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93" w:rsidRPr="00E8264A" w:rsidRDefault="00D53E1B" w:rsidP="006D6493">
      <w:pPr>
        <w:pStyle w:val="Title"/>
        <w:spacing w:before="120" w:after="160"/>
        <w:ind w:left="720" w:hanging="720"/>
        <w:rPr>
          <w:rFonts w:asciiTheme="minorHAnsi" w:hAnsiTheme="minorHAnsi"/>
          <w:sz w:val="36"/>
          <w:szCs w:val="36"/>
        </w:rPr>
      </w:pPr>
      <w:r w:rsidRPr="00E8264A">
        <w:rPr>
          <w:rFonts w:asciiTheme="minorHAnsi" w:hAnsiTheme="minorHAnsi"/>
          <w:sz w:val="36"/>
          <w:szCs w:val="36"/>
        </w:rPr>
        <w:t>5.19</w:t>
      </w:r>
      <w:r w:rsidR="006D6493" w:rsidRPr="00E8264A">
        <w:rPr>
          <w:rFonts w:asciiTheme="minorHAnsi" w:hAnsiTheme="minorHAnsi"/>
          <w:sz w:val="36"/>
          <w:szCs w:val="36"/>
        </w:rPr>
        <w:tab/>
      </w:r>
      <w:r w:rsidRPr="00E8264A">
        <w:rPr>
          <w:rFonts w:asciiTheme="minorHAnsi" w:hAnsiTheme="minorHAnsi"/>
          <w:sz w:val="36"/>
          <w:szCs w:val="36"/>
        </w:rPr>
        <w:t>INSULIN GLARGINE</w:t>
      </w:r>
      <w:r w:rsidR="006D6493" w:rsidRPr="00E8264A">
        <w:rPr>
          <w:rFonts w:asciiTheme="minorHAnsi" w:hAnsiTheme="minorHAnsi"/>
          <w:sz w:val="36"/>
          <w:szCs w:val="36"/>
        </w:rPr>
        <w:br/>
      </w:r>
      <w:r w:rsidRPr="00E8264A">
        <w:rPr>
          <w:rFonts w:asciiTheme="minorHAnsi" w:hAnsiTheme="minorHAnsi"/>
          <w:sz w:val="36"/>
          <w:szCs w:val="36"/>
        </w:rPr>
        <w:t>Injections (human analogue), cartridges, 100 units per mL, 3 mL, 5</w:t>
      </w:r>
      <w:r w:rsidR="006D6493" w:rsidRPr="00E8264A">
        <w:rPr>
          <w:rFonts w:asciiTheme="minorHAnsi" w:hAnsiTheme="minorHAnsi"/>
          <w:sz w:val="36"/>
          <w:szCs w:val="36"/>
        </w:rPr>
        <w:t xml:space="preserve">, </w:t>
      </w:r>
      <w:r w:rsidR="006D6493" w:rsidRPr="00E8264A">
        <w:rPr>
          <w:rFonts w:asciiTheme="minorHAnsi" w:hAnsiTheme="minorHAnsi"/>
          <w:sz w:val="36"/>
          <w:szCs w:val="36"/>
        </w:rPr>
        <w:br/>
      </w:r>
      <w:r w:rsidRPr="00E8264A">
        <w:rPr>
          <w:rFonts w:asciiTheme="minorHAnsi" w:hAnsiTheme="minorHAnsi"/>
          <w:sz w:val="36"/>
          <w:szCs w:val="36"/>
        </w:rPr>
        <w:t>Semglee</w:t>
      </w:r>
      <w:r w:rsidR="006D6493" w:rsidRPr="00C11190">
        <w:rPr>
          <w:rFonts w:asciiTheme="minorHAnsi" w:hAnsiTheme="minorHAnsi"/>
          <w:sz w:val="36"/>
          <w:szCs w:val="36"/>
        </w:rPr>
        <w:t>®</w:t>
      </w:r>
      <w:r w:rsidR="006D6493" w:rsidRPr="00E8264A">
        <w:rPr>
          <w:rFonts w:asciiTheme="minorHAnsi" w:hAnsiTheme="minorHAnsi"/>
          <w:sz w:val="36"/>
          <w:szCs w:val="36"/>
        </w:rPr>
        <w:t xml:space="preserve">, </w:t>
      </w:r>
      <w:r w:rsidRPr="00E8264A">
        <w:rPr>
          <w:rFonts w:asciiTheme="minorHAnsi" w:hAnsiTheme="minorHAnsi"/>
          <w:sz w:val="36"/>
          <w:szCs w:val="36"/>
        </w:rPr>
        <w:t>Alphapharm Pty Ltd</w:t>
      </w:r>
    </w:p>
    <w:p w:rsidR="008A50F1" w:rsidRPr="00E8264A" w:rsidRDefault="00CE10C4" w:rsidP="00EB0B63">
      <w:pPr>
        <w:pStyle w:val="PBACHeading1"/>
        <w:spacing w:before="240" w:after="120"/>
        <w:ind w:left="709" w:hanging="709"/>
        <w:rPr>
          <w:rFonts w:asciiTheme="minorHAnsi" w:hAnsiTheme="minorHAnsi"/>
          <w:sz w:val="32"/>
          <w:szCs w:val="32"/>
        </w:rPr>
      </w:pPr>
      <w:r w:rsidRPr="00E8264A">
        <w:rPr>
          <w:rFonts w:asciiTheme="minorHAnsi" w:hAnsiTheme="minorHAnsi"/>
          <w:sz w:val="32"/>
          <w:szCs w:val="32"/>
        </w:rPr>
        <w:t xml:space="preserve">Purpose of </w:t>
      </w:r>
      <w:r w:rsidR="0004240E" w:rsidRPr="00E8264A">
        <w:rPr>
          <w:rFonts w:asciiTheme="minorHAnsi" w:hAnsiTheme="minorHAnsi"/>
          <w:sz w:val="32"/>
          <w:szCs w:val="32"/>
        </w:rPr>
        <w:t>Application</w:t>
      </w:r>
    </w:p>
    <w:p w:rsidR="006A12A5" w:rsidRPr="00E8264A"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The mi</w:t>
      </w:r>
      <w:r w:rsidR="00FF2801" w:rsidRPr="00E8264A">
        <w:rPr>
          <w:rFonts w:asciiTheme="minorHAnsi" w:eastAsiaTheme="minorHAnsi" w:hAnsiTheme="minorHAnsi" w:cstheme="minorBidi"/>
          <w:snapToGrid/>
          <w:sz w:val="24"/>
          <w:szCs w:val="22"/>
        </w:rPr>
        <w:t xml:space="preserve">nor submission sought </w:t>
      </w:r>
      <w:r w:rsidRPr="00E8264A">
        <w:rPr>
          <w:rFonts w:asciiTheme="minorHAnsi" w:eastAsiaTheme="minorHAnsi" w:hAnsiTheme="minorHAnsi" w:cstheme="minorBidi"/>
          <w:snapToGrid/>
          <w:sz w:val="24"/>
          <w:szCs w:val="22"/>
        </w:rPr>
        <w:t>listing</w:t>
      </w:r>
      <w:r w:rsidR="00895662" w:rsidRPr="00E8264A">
        <w:rPr>
          <w:rFonts w:asciiTheme="minorHAnsi" w:eastAsiaTheme="minorHAnsi" w:hAnsiTheme="minorHAnsi" w:cstheme="minorBidi"/>
          <w:snapToGrid/>
          <w:sz w:val="24"/>
          <w:szCs w:val="22"/>
        </w:rPr>
        <w:t xml:space="preserve"> </w:t>
      </w:r>
      <w:r w:rsidR="00F260A8" w:rsidRPr="00E8264A">
        <w:rPr>
          <w:rFonts w:asciiTheme="minorHAnsi" w:eastAsiaTheme="minorHAnsi" w:hAnsiTheme="minorHAnsi" w:cstheme="minorBidi"/>
          <w:snapToGrid/>
          <w:sz w:val="24"/>
          <w:szCs w:val="22"/>
        </w:rPr>
        <w:t xml:space="preserve">for </w:t>
      </w:r>
      <w:r w:rsidR="00895662" w:rsidRPr="00E8264A">
        <w:rPr>
          <w:rFonts w:asciiTheme="minorHAnsi" w:eastAsiaTheme="minorHAnsi" w:hAnsiTheme="minorHAnsi" w:cstheme="minorBidi"/>
          <w:snapToGrid/>
          <w:sz w:val="24"/>
          <w:szCs w:val="22"/>
        </w:rPr>
        <w:t xml:space="preserve">a biosimilar </w:t>
      </w:r>
      <w:r w:rsidR="00F260A8" w:rsidRPr="00E8264A">
        <w:rPr>
          <w:rFonts w:asciiTheme="minorHAnsi" w:eastAsiaTheme="minorHAnsi" w:hAnsiTheme="minorHAnsi" w:cstheme="minorBidi"/>
          <w:snapToGrid/>
          <w:sz w:val="24"/>
          <w:szCs w:val="22"/>
        </w:rPr>
        <w:t xml:space="preserve">brand of insulin glargine </w:t>
      </w:r>
      <w:r w:rsidR="00410966" w:rsidRPr="00E8264A">
        <w:rPr>
          <w:rFonts w:asciiTheme="minorHAnsi" w:eastAsiaTheme="minorHAnsi" w:hAnsiTheme="minorHAnsi" w:cstheme="minorBidi"/>
          <w:snapToGrid/>
          <w:sz w:val="24"/>
          <w:szCs w:val="22"/>
        </w:rPr>
        <w:t>(</w:t>
      </w:r>
      <w:r w:rsidR="00895662" w:rsidRPr="00E8264A">
        <w:rPr>
          <w:rFonts w:asciiTheme="minorHAnsi" w:eastAsiaTheme="minorHAnsi" w:hAnsiTheme="minorHAnsi" w:cstheme="minorBidi"/>
          <w:snapToGrid/>
          <w:sz w:val="24"/>
          <w:szCs w:val="22"/>
        </w:rPr>
        <w:t>Semglee®</w:t>
      </w:r>
      <w:r w:rsidR="00F260A8" w:rsidRPr="00E8264A">
        <w:rPr>
          <w:rFonts w:asciiTheme="minorHAnsi" w:eastAsiaTheme="minorHAnsi" w:hAnsiTheme="minorHAnsi" w:cstheme="minorBidi"/>
          <w:snapToGrid/>
          <w:sz w:val="24"/>
          <w:szCs w:val="22"/>
        </w:rPr>
        <w:t>)</w:t>
      </w:r>
      <w:r w:rsidR="00895662" w:rsidRPr="00E8264A">
        <w:rPr>
          <w:rFonts w:asciiTheme="minorHAnsi" w:eastAsiaTheme="minorHAnsi" w:hAnsiTheme="minorHAnsi" w:cstheme="minorBidi"/>
          <w:snapToGrid/>
          <w:sz w:val="24"/>
          <w:szCs w:val="22"/>
        </w:rPr>
        <w:t xml:space="preserve">, </w:t>
      </w:r>
      <w:r w:rsidR="00F260A8" w:rsidRPr="00E8264A">
        <w:rPr>
          <w:rFonts w:asciiTheme="minorHAnsi" w:eastAsiaTheme="minorHAnsi" w:hAnsiTheme="minorHAnsi" w:cstheme="minorBidi"/>
          <w:snapToGrid/>
          <w:sz w:val="24"/>
          <w:szCs w:val="22"/>
        </w:rPr>
        <w:t>on the General Schedule (Section 85) as an unrestricted benefit.</w:t>
      </w:r>
    </w:p>
    <w:p w:rsidR="00DC6C29" w:rsidRPr="00E8264A" w:rsidRDefault="00DC6C29" w:rsidP="00175948">
      <w:pPr>
        <w:pStyle w:val="PBACHeading1"/>
        <w:spacing w:before="240" w:after="120"/>
        <w:ind w:left="709" w:hanging="709"/>
        <w:rPr>
          <w:rFonts w:asciiTheme="minorHAnsi" w:hAnsiTheme="minorHAnsi"/>
          <w:sz w:val="32"/>
          <w:szCs w:val="32"/>
        </w:rPr>
      </w:pPr>
      <w:r w:rsidRPr="00E8264A">
        <w:rPr>
          <w:rFonts w:asciiTheme="minorHAnsi" w:hAnsiTheme="minorHAnsi"/>
          <w:sz w:val="32"/>
          <w:szCs w:val="32"/>
        </w:rPr>
        <w:t>Background</w:t>
      </w:r>
    </w:p>
    <w:p w:rsidR="00DC6C29" w:rsidRPr="00E8264A" w:rsidRDefault="00DC6C29" w:rsidP="00DC6C29">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The Semglee</w:t>
      </w:r>
      <w:r w:rsidR="00E8264A">
        <w:rPr>
          <w:rFonts w:asciiTheme="minorHAnsi" w:eastAsiaTheme="minorHAnsi" w:hAnsiTheme="minorHAnsi" w:cstheme="minorBidi"/>
          <w:snapToGrid/>
          <w:sz w:val="24"/>
          <w:szCs w:val="22"/>
        </w:rPr>
        <w:t>®</w:t>
      </w:r>
      <w:r w:rsidRPr="00E8264A">
        <w:rPr>
          <w:rFonts w:asciiTheme="minorHAnsi" w:eastAsiaTheme="minorHAnsi" w:hAnsiTheme="minorHAnsi" w:cstheme="minorBidi"/>
          <w:snapToGrid/>
          <w:sz w:val="24"/>
          <w:szCs w:val="22"/>
        </w:rPr>
        <w:t xml:space="preserve"> brand of insulin glargine was TGA registered on 2</w:t>
      </w:r>
      <w:r w:rsidR="00F51EC9">
        <w:rPr>
          <w:rFonts w:asciiTheme="minorHAnsi" w:eastAsiaTheme="minorHAnsi" w:hAnsiTheme="minorHAnsi" w:cstheme="minorBidi"/>
          <w:snapToGrid/>
          <w:sz w:val="24"/>
          <w:szCs w:val="22"/>
        </w:rPr>
        <w:t>8</w:t>
      </w:r>
      <w:r w:rsidRPr="00E8264A">
        <w:rPr>
          <w:rFonts w:asciiTheme="minorHAnsi" w:eastAsiaTheme="minorHAnsi" w:hAnsiTheme="minorHAnsi" w:cstheme="minorBidi"/>
          <w:snapToGrid/>
          <w:sz w:val="24"/>
          <w:szCs w:val="22"/>
        </w:rPr>
        <w:t xml:space="preserve"> March 2018.</w:t>
      </w:r>
    </w:p>
    <w:p w:rsidR="00DC6C29" w:rsidRPr="00E8264A" w:rsidRDefault="00DC6C29" w:rsidP="00DC6C29">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The PBAC has not previously considered an application for this brand of insulin glargine.</w:t>
      </w:r>
    </w:p>
    <w:p w:rsidR="00DC6C29" w:rsidRPr="00E8264A" w:rsidRDefault="00DC6C29" w:rsidP="00DC6C29">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 xml:space="preserve">There are three PBS-listed presentations of the reference product, Lantus: vials for injection, cartridges for use in reusable injection pens and pre-filled disposable pen devices. The pre-filled disposable pen presentation, known as Lantus </w:t>
      </w:r>
      <w:proofErr w:type="spellStart"/>
      <w:r w:rsidRPr="00E8264A">
        <w:rPr>
          <w:rFonts w:asciiTheme="minorHAnsi" w:eastAsiaTheme="minorHAnsi" w:hAnsiTheme="minorHAnsi" w:cstheme="minorBidi"/>
          <w:snapToGrid/>
          <w:sz w:val="24"/>
          <w:szCs w:val="22"/>
        </w:rPr>
        <w:t>SoloStar</w:t>
      </w:r>
      <w:proofErr w:type="spellEnd"/>
      <w:r w:rsidR="00E8264A">
        <w:rPr>
          <w:rFonts w:asciiTheme="minorHAnsi" w:eastAsiaTheme="minorHAnsi" w:hAnsiTheme="minorHAnsi" w:cstheme="minorBidi"/>
          <w:snapToGrid/>
          <w:sz w:val="24"/>
          <w:szCs w:val="22"/>
        </w:rPr>
        <w:t>®</w:t>
      </w:r>
      <w:r w:rsidRPr="00E8264A">
        <w:rPr>
          <w:rFonts w:asciiTheme="minorHAnsi" w:eastAsiaTheme="minorHAnsi" w:hAnsiTheme="minorHAnsi" w:cstheme="minorBidi"/>
          <w:snapToGrid/>
          <w:sz w:val="24"/>
          <w:szCs w:val="22"/>
        </w:rPr>
        <w:t xml:space="preserve">, is the same presentation as </w:t>
      </w:r>
      <w:r w:rsidR="00E8264A">
        <w:rPr>
          <w:rFonts w:asciiTheme="minorHAnsi" w:eastAsiaTheme="minorHAnsi" w:hAnsiTheme="minorHAnsi" w:cstheme="minorBidi"/>
          <w:snapToGrid/>
          <w:sz w:val="24"/>
          <w:szCs w:val="22"/>
        </w:rPr>
        <w:t>Semglee®.</w:t>
      </w:r>
      <w:r w:rsidRPr="00E8264A">
        <w:rPr>
          <w:rFonts w:asciiTheme="minorHAnsi" w:eastAsiaTheme="minorHAnsi" w:hAnsiTheme="minorHAnsi" w:cstheme="minorBidi"/>
          <w:snapToGrid/>
          <w:sz w:val="24"/>
          <w:szCs w:val="22"/>
        </w:rPr>
        <w:t xml:space="preserve"> The sponsor has proposed that </w:t>
      </w:r>
      <w:r w:rsidR="00E8264A">
        <w:rPr>
          <w:rFonts w:asciiTheme="minorHAnsi" w:eastAsiaTheme="minorHAnsi" w:hAnsiTheme="minorHAnsi" w:cstheme="minorBidi"/>
          <w:snapToGrid/>
          <w:sz w:val="24"/>
          <w:szCs w:val="22"/>
        </w:rPr>
        <w:t xml:space="preserve">Semglee® </w:t>
      </w:r>
      <w:r w:rsidRPr="00E8264A">
        <w:rPr>
          <w:rFonts w:asciiTheme="minorHAnsi" w:eastAsiaTheme="minorHAnsi" w:hAnsiTheme="minorHAnsi" w:cstheme="minorBidi"/>
          <w:snapToGrid/>
          <w:sz w:val="24"/>
          <w:szCs w:val="22"/>
        </w:rPr>
        <w:t xml:space="preserve">be ‘a’ flagged to Lantus </w:t>
      </w:r>
      <w:proofErr w:type="spellStart"/>
      <w:r w:rsidRPr="00E8264A">
        <w:rPr>
          <w:rFonts w:asciiTheme="minorHAnsi" w:eastAsiaTheme="minorHAnsi" w:hAnsiTheme="minorHAnsi" w:cstheme="minorBidi"/>
          <w:snapToGrid/>
          <w:sz w:val="24"/>
          <w:szCs w:val="22"/>
        </w:rPr>
        <w:t>SoloStar</w:t>
      </w:r>
      <w:proofErr w:type="spellEnd"/>
      <w:r w:rsidR="00E8264A">
        <w:rPr>
          <w:rFonts w:asciiTheme="minorHAnsi" w:eastAsiaTheme="minorHAnsi" w:hAnsiTheme="minorHAnsi" w:cstheme="minorBidi"/>
          <w:snapToGrid/>
          <w:sz w:val="24"/>
          <w:szCs w:val="22"/>
        </w:rPr>
        <w:t>®</w:t>
      </w:r>
      <w:r w:rsidRPr="00E8264A">
        <w:rPr>
          <w:rFonts w:asciiTheme="minorHAnsi" w:eastAsiaTheme="minorHAnsi" w:hAnsiTheme="minorHAnsi" w:cstheme="minorBidi"/>
          <w:snapToGrid/>
          <w:sz w:val="24"/>
          <w:szCs w:val="22"/>
        </w:rPr>
        <w:t xml:space="preserve"> but not to the other presentations of Lantus.</w:t>
      </w:r>
    </w:p>
    <w:p w:rsidR="00DC6C29" w:rsidRPr="00E8264A" w:rsidRDefault="00DC6C29" w:rsidP="008D7D6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 xml:space="preserve">At its March 2015 meeting, the PBAC recommended the listing of </w:t>
      </w:r>
      <w:proofErr w:type="spellStart"/>
      <w:r w:rsidRPr="00E8264A">
        <w:rPr>
          <w:rFonts w:asciiTheme="minorHAnsi" w:eastAsiaTheme="minorHAnsi" w:hAnsiTheme="minorHAnsi" w:cstheme="minorBidi"/>
          <w:snapToGrid/>
          <w:sz w:val="24"/>
          <w:szCs w:val="22"/>
        </w:rPr>
        <w:t>Basaglar</w:t>
      </w:r>
      <w:proofErr w:type="spellEnd"/>
      <w:r w:rsidRPr="00E8264A">
        <w:rPr>
          <w:rFonts w:asciiTheme="minorHAnsi" w:eastAsiaTheme="minorHAnsi" w:hAnsiTheme="minorHAnsi" w:cstheme="minorBidi"/>
          <w:snapToGrid/>
          <w:sz w:val="24"/>
          <w:szCs w:val="22"/>
        </w:rPr>
        <w:t xml:space="preserve">®, a biosimilar brand of insulin glargine, on a cost-minimisation basis with its reference product, Lantus. </w:t>
      </w:r>
      <w:r w:rsidRPr="00E8264A">
        <w:rPr>
          <w:rFonts w:asciiTheme="minorHAnsi" w:eastAsiaTheme="minorHAnsi" w:hAnsiTheme="minorHAnsi" w:cstheme="minorBidi"/>
          <w:sz w:val="24"/>
          <w:szCs w:val="22"/>
        </w:rPr>
        <w:t xml:space="preserve">The PBAC also recommended that </w:t>
      </w:r>
      <w:proofErr w:type="spellStart"/>
      <w:r w:rsidRPr="00E8264A">
        <w:rPr>
          <w:rFonts w:asciiTheme="minorHAnsi" w:eastAsiaTheme="minorHAnsi" w:hAnsiTheme="minorHAnsi" w:cstheme="minorBidi"/>
          <w:sz w:val="24"/>
          <w:szCs w:val="22"/>
        </w:rPr>
        <w:t>Basaglar</w:t>
      </w:r>
      <w:proofErr w:type="spellEnd"/>
      <w:r w:rsidRPr="00E8264A">
        <w:rPr>
          <w:rFonts w:asciiTheme="minorHAnsi" w:eastAsiaTheme="minorHAnsi" w:hAnsiTheme="minorHAnsi" w:cstheme="minorBidi"/>
          <w:sz w:val="24"/>
          <w:szCs w:val="22"/>
        </w:rPr>
        <w:t xml:space="preserve"> and Lantus cartridge presentations could be ‘a’ flagged to each other, and the </w:t>
      </w:r>
      <w:proofErr w:type="spellStart"/>
      <w:r w:rsidRPr="00E8264A">
        <w:rPr>
          <w:rFonts w:asciiTheme="minorHAnsi" w:eastAsiaTheme="minorHAnsi" w:hAnsiTheme="minorHAnsi" w:cstheme="minorBidi"/>
          <w:sz w:val="24"/>
          <w:szCs w:val="22"/>
        </w:rPr>
        <w:t>Basaglar</w:t>
      </w:r>
      <w:proofErr w:type="spellEnd"/>
      <w:r w:rsidRPr="00E8264A">
        <w:rPr>
          <w:rFonts w:asciiTheme="minorHAnsi" w:eastAsiaTheme="minorHAnsi" w:hAnsiTheme="minorHAnsi" w:cstheme="minorBidi"/>
          <w:sz w:val="24"/>
          <w:szCs w:val="22"/>
        </w:rPr>
        <w:t xml:space="preserve"> </w:t>
      </w:r>
      <w:proofErr w:type="spellStart"/>
      <w:r w:rsidRPr="00E8264A">
        <w:rPr>
          <w:rFonts w:asciiTheme="minorHAnsi" w:eastAsiaTheme="minorHAnsi" w:hAnsiTheme="minorHAnsi" w:cstheme="minorBidi"/>
          <w:sz w:val="24"/>
          <w:szCs w:val="22"/>
        </w:rPr>
        <w:t>KwikPen</w:t>
      </w:r>
      <w:proofErr w:type="spellEnd"/>
      <w:r w:rsidRPr="00E8264A">
        <w:rPr>
          <w:rFonts w:asciiTheme="minorHAnsi" w:eastAsiaTheme="minorHAnsi" w:hAnsiTheme="minorHAnsi" w:cstheme="minorBidi"/>
          <w:sz w:val="24"/>
          <w:szCs w:val="22"/>
        </w:rPr>
        <w:t xml:space="preserve"> and Lantus </w:t>
      </w:r>
      <w:proofErr w:type="spellStart"/>
      <w:r w:rsidR="00175948" w:rsidRPr="00E8264A">
        <w:rPr>
          <w:rFonts w:asciiTheme="minorHAnsi" w:eastAsiaTheme="minorHAnsi" w:hAnsiTheme="minorHAnsi" w:cstheme="minorBidi"/>
          <w:sz w:val="24"/>
          <w:szCs w:val="22"/>
        </w:rPr>
        <w:t>SoloStar</w:t>
      </w:r>
      <w:proofErr w:type="spellEnd"/>
      <w:r w:rsidRPr="00E8264A">
        <w:rPr>
          <w:rFonts w:asciiTheme="minorHAnsi" w:eastAsiaTheme="minorHAnsi" w:hAnsiTheme="minorHAnsi" w:cstheme="minorBidi"/>
          <w:sz w:val="24"/>
          <w:szCs w:val="22"/>
        </w:rPr>
        <w:t xml:space="preserve"> pre-filled disposable pens could be ‘a’ flagged to each other. </w:t>
      </w:r>
      <w:r w:rsidR="00586DC4" w:rsidRPr="00E8264A">
        <w:rPr>
          <w:rFonts w:asciiTheme="minorHAnsi" w:eastAsiaTheme="minorHAnsi" w:hAnsiTheme="minorHAnsi" w:cstheme="minorBidi"/>
          <w:snapToGrid/>
          <w:sz w:val="24"/>
          <w:szCs w:val="22"/>
        </w:rPr>
        <w:t>During the PBAC evaluation, the</w:t>
      </w:r>
      <w:r w:rsidR="00056BD7" w:rsidRPr="00E8264A">
        <w:rPr>
          <w:rFonts w:asciiTheme="minorHAnsi" w:eastAsiaTheme="minorHAnsi" w:hAnsiTheme="minorHAnsi" w:cstheme="minorBidi"/>
          <w:snapToGrid/>
          <w:sz w:val="24"/>
          <w:szCs w:val="22"/>
        </w:rPr>
        <w:t xml:space="preserve"> sponsor </w:t>
      </w:r>
      <w:r w:rsidR="00586DC4" w:rsidRPr="00E8264A">
        <w:rPr>
          <w:rFonts w:asciiTheme="minorHAnsi" w:eastAsiaTheme="minorHAnsi" w:hAnsiTheme="minorHAnsi" w:cstheme="minorBidi"/>
          <w:snapToGrid/>
          <w:sz w:val="24"/>
          <w:szCs w:val="22"/>
        </w:rPr>
        <w:t>raised</w:t>
      </w:r>
      <w:r w:rsidR="00056BD7" w:rsidRPr="00E8264A">
        <w:rPr>
          <w:rFonts w:asciiTheme="minorHAnsi" w:eastAsiaTheme="minorHAnsi" w:hAnsiTheme="minorHAnsi" w:cstheme="minorBidi"/>
          <w:snapToGrid/>
          <w:sz w:val="24"/>
          <w:szCs w:val="22"/>
        </w:rPr>
        <w:t xml:space="preserve"> concern</w:t>
      </w:r>
      <w:r w:rsidR="00586DC4" w:rsidRPr="00E8264A">
        <w:rPr>
          <w:rFonts w:asciiTheme="minorHAnsi" w:eastAsiaTheme="minorHAnsi" w:hAnsiTheme="minorHAnsi" w:cstheme="minorBidi"/>
          <w:snapToGrid/>
          <w:sz w:val="24"/>
          <w:szCs w:val="22"/>
        </w:rPr>
        <w:t>s</w:t>
      </w:r>
      <w:r w:rsidR="00056BD7" w:rsidRPr="00E8264A">
        <w:rPr>
          <w:rFonts w:asciiTheme="minorHAnsi" w:eastAsiaTheme="minorHAnsi" w:hAnsiTheme="minorHAnsi" w:cstheme="minorBidi"/>
          <w:snapToGrid/>
          <w:sz w:val="24"/>
          <w:szCs w:val="22"/>
        </w:rPr>
        <w:t xml:space="preserve"> regarding the safety of substitution and potenti</w:t>
      </w:r>
      <w:r w:rsidR="00B1063A" w:rsidRPr="00E8264A">
        <w:rPr>
          <w:rFonts w:asciiTheme="minorHAnsi" w:eastAsiaTheme="minorHAnsi" w:hAnsiTheme="minorHAnsi" w:cstheme="minorBidi"/>
          <w:snapToGrid/>
          <w:sz w:val="24"/>
          <w:szCs w:val="22"/>
        </w:rPr>
        <w:t xml:space="preserve">al risks to pharmacovigilance. The PBAC noted these </w:t>
      </w:r>
      <w:proofErr w:type="gramStart"/>
      <w:r w:rsidR="00B1063A" w:rsidRPr="00E8264A">
        <w:rPr>
          <w:rFonts w:asciiTheme="minorHAnsi" w:eastAsiaTheme="minorHAnsi" w:hAnsiTheme="minorHAnsi" w:cstheme="minorBidi"/>
          <w:snapToGrid/>
          <w:sz w:val="24"/>
          <w:szCs w:val="22"/>
        </w:rPr>
        <w:t>concerns</w:t>
      </w:r>
      <w:proofErr w:type="gramEnd"/>
      <w:r w:rsidR="00B1063A" w:rsidRPr="00E8264A">
        <w:rPr>
          <w:rFonts w:asciiTheme="minorHAnsi" w:eastAsiaTheme="minorHAnsi" w:hAnsiTheme="minorHAnsi" w:cstheme="minorBidi"/>
          <w:snapToGrid/>
          <w:sz w:val="24"/>
          <w:szCs w:val="22"/>
        </w:rPr>
        <w:t xml:space="preserve"> but is satisfied regarding the safety of substitution as it is performed in consultation with, and with the consent of, the patient. The PBAC was also of the view that education and promotion regarding </w:t>
      </w:r>
      <w:proofErr w:type="spellStart"/>
      <w:r w:rsidR="00B1063A" w:rsidRPr="00E8264A">
        <w:rPr>
          <w:rFonts w:asciiTheme="minorHAnsi" w:eastAsiaTheme="minorHAnsi" w:hAnsiTheme="minorHAnsi" w:cstheme="minorBidi"/>
          <w:snapToGrid/>
          <w:sz w:val="24"/>
          <w:szCs w:val="22"/>
        </w:rPr>
        <w:t>biosimilars</w:t>
      </w:r>
      <w:proofErr w:type="spellEnd"/>
      <w:r w:rsidR="00B1063A" w:rsidRPr="00E8264A">
        <w:rPr>
          <w:rFonts w:asciiTheme="minorHAnsi" w:eastAsiaTheme="minorHAnsi" w:hAnsiTheme="minorHAnsi" w:cstheme="minorBidi"/>
          <w:snapToGrid/>
          <w:sz w:val="24"/>
          <w:szCs w:val="22"/>
        </w:rPr>
        <w:t xml:space="preserve"> was an opportunity to enhance pharmacovigilance by pharmacists (insulin glargine public summary document, November 2015). </w:t>
      </w:r>
      <w:r w:rsidR="00586DC4" w:rsidRPr="00E8264A">
        <w:rPr>
          <w:rFonts w:asciiTheme="minorHAnsi" w:eastAsiaTheme="minorHAnsi" w:hAnsiTheme="minorHAnsi" w:cstheme="minorBidi"/>
          <w:snapToGrid/>
          <w:sz w:val="24"/>
          <w:szCs w:val="22"/>
        </w:rPr>
        <w:t xml:space="preserve">To date, </w:t>
      </w:r>
      <w:proofErr w:type="spellStart"/>
      <w:r w:rsidR="00586DC4" w:rsidRPr="00E8264A">
        <w:rPr>
          <w:rFonts w:asciiTheme="minorHAnsi" w:eastAsiaTheme="minorHAnsi" w:hAnsiTheme="minorHAnsi" w:cstheme="minorBidi"/>
          <w:snapToGrid/>
          <w:sz w:val="24"/>
          <w:szCs w:val="22"/>
        </w:rPr>
        <w:t>Basaglar</w:t>
      </w:r>
      <w:proofErr w:type="spellEnd"/>
      <w:r w:rsidR="00586DC4" w:rsidRPr="00E8264A">
        <w:rPr>
          <w:rFonts w:asciiTheme="minorHAnsi" w:eastAsiaTheme="minorHAnsi" w:hAnsiTheme="minorHAnsi" w:cstheme="minorBidi"/>
          <w:snapToGrid/>
          <w:sz w:val="24"/>
          <w:szCs w:val="22"/>
        </w:rPr>
        <w:t xml:space="preserve"> has not progressed to PBS listing. </w:t>
      </w:r>
    </w:p>
    <w:p w:rsidR="00DC6C29" w:rsidRPr="00E8264A" w:rsidRDefault="00DC6C29" w:rsidP="00DC6C29">
      <w:pPr>
        <w:pStyle w:val="PBACHeading1"/>
        <w:numPr>
          <w:ilvl w:val="0"/>
          <w:numId w:val="0"/>
        </w:numPr>
        <w:spacing w:after="160"/>
        <w:outlineLvl w:val="9"/>
        <w:rPr>
          <w:rStyle w:val="Emphasis"/>
          <w:rFonts w:asciiTheme="minorHAnsi" w:hAnsiTheme="minorHAnsi"/>
          <w:sz w:val="24"/>
          <w:szCs w:val="24"/>
        </w:rPr>
      </w:pPr>
      <w:r w:rsidRPr="00E8264A">
        <w:rPr>
          <w:rStyle w:val="Emphasis"/>
          <w:rFonts w:asciiTheme="minorHAnsi" w:hAnsiTheme="minorHAnsi"/>
          <w:sz w:val="24"/>
          <w:szCs w:val="24"/>
        </w:rPr>
        <w:t>Brand equivalence and substitution at the pharmacist level (‘a’ flagging)</w:t>
      </w:r>
    </w:p>
    <w:p w:rsidR="00C86EEC" w:rsidRDefault="00DC6C29" w:rsidP="00DC6C29">
      <w:pPr>
        <w:pStyle w:val="ListParagraph"/>
        <w:widowControl/>
        <w:numPr>
          <w:ilvl w:val="1"/>
          <w:numId w:val="5"/>
        </w:numPr>
        <w:rPr>
          <w:rFonts w:asciiTheme="minorHAnsi" w:hAnsiTheme="minorHAnsi"/>
          <w:sz w:val="24"/>
          <w:szCs w:val="24"/>
        </w:rPr>
      </w:pPr>
      <w:r w:rsidRPr="00E8264A">
        <w:rPr>
          <w:rFonts w:asciiTheme="minorHAnsi" w:hAnsiTheme="minorHAnsi"/>
          <w:sz w:val="24"/>
          <w:szCs w:val="24"/>
        </w:rPr>
        <w:t xml:space="preserve">The Schedule of Pharmaceutical Benefits provide the following definition of brand equivalence: </w:t>
      </w:r>
    </w:p>
    <w:p w:rsidR="00C86EEC" w:rsidRDefault="00C86EEC" w:rsidP="00C86EEC">
      <w:pPr>
        <w:rPr>
          <w:rFonts w:cs="Arial"/>
          <w:snapToGrid w:val="0"/>
          <w:lang w:eastAsia="en-US"/>
        </w:rPr>
      </w:pPr>
      <w:r>
        <w:br w:type="page"/>
      </w:r>
    </w:p>
    <w:p w:rsidR="00DC6C29" w:rsidRPr="00E8264A" w:rsidRDefault="00DC6C29" w:rsidP="00DC6C29">
      <w:pPr>
        <w:pStyle w:val="NormalWeb"/>
        <w:pBdr>
          <w:top w:val="single" w:sz="4" w:space="1" w:color="auto"/>
          <w:left w:val="single" w:sz="4" w:space="4" w:color="auto"/>
          <w:bottom w:val="single" w:sz="4" w:space="1" w:color="auto"/>
          <w:right w:val="single" w:sz="4" w:space="4" w:color="auto"/>
        </w:pBdr>
        <w:ind w:left="720"/>
        <w:rPr>
          <w:rFonts w:asciiTheme="minorHAnsi" w:hAnsiTheme="minorHAnsi" w:cs="Arial"/>
          <w:b/>
          <w:szCs w:val="24"/>
          <w:lang w:val="en-AU"/>
        </w:rPr>
      </w:pPr>
      <w:r w:rsidRPr="00E8264A">
        <w:rPr>
          <w:rFonts w:asciiTheme="minorHAnsi" w:hAnsiTheme="minorHAnsi" w:cs="Arial"/>
          <w:b/>
          <w:szCs w:val="24"/>
          <w:lang w:val="en-AU"/>
        </w:rPr>
        <w:lastRenderedPageBreak/>
        <w:t>Extract from the Explanatory Notes to the PBS Schedule</w:t>
      </w:r>
      <w:r w:rsidRPr="00E8264A">
        <w:rPr>
          <w:rFonts w:asciiTheme="minorHAnsi" w:hAnsiTheme="minorHAnsi"/>
          <w:b/>
          <w:szCs w:val="24"/>
          <w:vertAlign w:val="superscript"/>
          <w:lang w:val="en-AU"/>
        </w:rPr>
        <w:footnoteReference w:id="1"/>
      </w:r>
    </w:p>
    <w:p w:rsidR="00DC6C29" w:rsidRPr="00E8264A" w:rsidRDefault="00DC6C29" w:rsidP="00DC6C29">
      <w:pPr>
        <w:pStyle w:val="NormalWeb"/>
        <w:pBdr>
          <w:top w:val="single" w:sz="4" w:space="1" w:color="auto"/>
          <w:left w:val="single" w:sz="4" w:space="4" w:color="auto"/>
          <w:bottom w:val="single" w:sz="4" w:space="1" w:color="auto"/>
          <w:right w:val="single" w:sz="4" w:space="4" w:color="auto"/>
        </w:pBdr>
        <w:ind w:left="720"/>
        <w:rPr>
          <w:rFonts w:asciiTheme="minorHAnsi" w:hAnsiTheme="minorHAnsi" w:cs="Arial"/>
          <w:b/>
          <w:szCs w:val="24"/>
          <w:lang w:val="en-AU"/>
        </w:rPr>
      </w:pPr>
      <w:r w:rsidRPr="00E8264A">
        <w:rPr>
          <w:rFonts w:asciiTheme="minorHAnsi" w:hAnsiTheme="minorHAnsi" w:cs="Arial"/>
          <w:b/>
          <w:szCs w:val="24"/>
          <w:lang w:val="en-AU"/>
        </w:rPr>
        <w:t>BRAND EQUIVALENCE</w:t>
      </w:r>
    </w:p>
    <w:p w:rsidR="00DC6C29" w:rsidRPr="00E8264A" w:rsidRDefault="00DC6C29" w:rsidP="00DC6C29">
      <w:pPr>
        <w:pStyle w:val="NormalWeb"/>
        <w:pBdr>
          <w:top w:val="single" w:sz="4" w:space="1" w:color="auto"/>
          <w:left w:val="single" w:sz="4" w:space="4" w:color="auto"/>
          <w:bottom w:val="single" w:sz="4" w:space="1" w:color="auto"/>
          <w:right w:val="single" w:sz="4" w:space="4" w:color="auto"/>
        </w:pBdr>
        <w:ind w:left="720"/>
        <w:rPr>
          <w:rFonts w:asciiTheme="minorHAnsi" w:hAnsiTheme="minorHAnsi" w:cs="Arial"/>
          <w:szCs w:val="24"/>
          <w:lang w:val="en-AU"/>
        </w:rPr>
      </w:pPr>
      <w:r w:rsidRPr="00E8264A">
        <w:rPr>
          <w:rFonts w:asciiTheme="minorHAnsi" w:hAnsiTheme="minorHAnsi" w:cs="Arial"/>
          <w:szCs w:val="24"/>
          <w:lang w:val="en-AU"/>
        </w:rPr>
        <w:t>'a' located immediately before brand names of a particular strength of an item indicates that the sponsors of these brands have submitted evidence that they have been demonstrated to be bioequivalent or therapeutically equivalent, or that justification for not needing bioequivalence or therapeutic equivalence data has been provided to and accepted by the Therapeutic Goods Administration. It would thus be expected that these brands may be interchanged without differences in clinical effect.</w:t>
      </w:r>
    </w:p>
    <w:p w:rsidR="00DC6C29" w:rsidRPr="00E8264A" w:rsidRDefault="00DC6C29" w:rsidP="00BB3B26">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 xml:space="preserve">Many medicines are available on the PBS in different brands. The Schedule of Pharmaceutical Benefits indicates where different brands are considered equivalent for the purposes of substitution at the point of dispensing by using ‘a’ flags.  </w:t>
      </w:r>
    </w:p>
    <w:p w:rsidR="00DC6C29" w:rsidRPr="00E8264A" w:rsidRDefault="00DC6C29" w:rsidP="00BB3B26">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 xml:space="preserve">The ability for prescribers and pharmacists to substitute generic or biosimilar brands for originator brands is an important part of encouraging use of generics and </w:t>
      </w:r>
      <w:proofErr w:type="spellStart"/>
      <w:r w:rsidRPr="00E8264A">
        <w:rPr>
          <w:rFonts w:asciiTheme="minorHAnsi" w:eastAsiaTheme="minorHAnsi" w:hAnsiTheme="minorHAnsi" w:cstheme="minorBidi"/>
          <w:snapToGrid/>
          <w:sz w:val="24"/>
          <w:szCs w:val="22"/>
        </w:rPr>
        <w:t>biosimilars</w:t>
      </w:r>
      <w:proofErr w:type="spellEnd"/>
      <w:r w:rsidRPr="00E8264A">
        <w:rPr>
          <w:rFonts w:asciiTheme="minorHAnsi" w:eastAsiaTheme="minorHAnsi" w:hAnsiTheme="minorHAnsi" w:cstheme="minorBidi"/>
          <w:snapToGrid/>
          <w:sz w:val="24"/>
          <w:szCs w:val="22"/>
        </w:rPr>
        <w:t xml:space="preserve"> in the marketplace and adds to the sustainability of the PBS.</w:t>
      </w:r>
    </w:p>
    <w:p w:rsidR="00DC6C29" w:rsidRPr="00E8264A" w:rsidRDefault="00DC6C29" w:rsidP="00BB3B26">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For any individual prescription, a prescriber may choose to not permit brand substitution by indicating ‘substitution not permitted’ on the prescription.  Likewise, when substitution is permitted, a patient may nominate which ‘a’ flagged brand they wish to receive from the pharmacist, except when State or Territory Law prohibits substitution (e.g. for Schedule 8 drugs of dependence). The substitution process allows for patient and prescriber choice and is not automatic.</w:t>
      </w:r>
    </w:p>
    <w:p w:rsidR="00DC6C29" w:rsidRPr="00E8264A" w:rsidRDefault="00DC6C29" w:rsidP="00BB3B26">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 xml:space="preserve">The </w:t>
      </w:r>
      <w:r w:rsidRPr="00E8264A">
        <w:rPr>
          <w:rFonts w:asciiTheme="minorHAnsi" w:eastAsiaTheme="minorHAnsi" w:hAnsiTheme="minorHAnsi" w:cstheme="minorBidi"/>
          <w:i/>
          <w:snapToGrid/>
          <w:sz w:val="24"/>
          <w:szCs w:val="22"/>
        </w:rPr>
        <w:t>National Health Act</w:t>
      </w:r>
      <w:r w:rsidRPr="00E8264A">
        <w:rPr>
          <w:rFonts w:asciiTheme="minorHAnsi" w:eastAsiaTheme="minorHAnsi" w:hAnsiTheme="minorHAnsi" w:cstheme="minorBidi"/>
          <w:snapToGrid/>
          <w:sz w:val="24"/>
          <w:szCs w:val="22"/>
        </w:rPr>
        <w:t xml:space="preserve"> 1953 (“The Act”) makes it an offence for a pharmacist to supply a pharmaceutical benefit other than the benefit directed to be supplied in a prescription except when, amongst other criteria, the Schedule issued by the Department of Health states that the specified benefit and the substitute benefit are equivalent. </w:t>
      </w:r>
    </w:p>
    <w:p w:rsidR="00EA1782" w:rsidRPr="00E8264A" w:rsidRDefault="00EA1782" w:rsidP="00BB3B26">
      <w:pPr>
        <w:pStyle w:val="ListParagraph"/>
        <w:widowControl/>
        <w:numPr>
          <w:ilvl w:val="1"/>
          <w:numId w:val="5"/>
        </w:numPr>
        <w:spacing w:before="120" w:after="160"/>
        <w:contextualSpacing w:val="0"/>
        <w:rPr>
          <w:rFonts w:asciiTheme="minorHAnsi" w:hAnsiTheme="minorHAnsi"/>
        </w:rPr>
      </w:pPr>
      <w:r w:rsidRPr="00E8264A">
        <w:rPr>
          <w:rFonts w:asciiTheme="minorHAnsi" w:eastAsiaTheme="minorHAnsi" w:hAnsiTheme="minorHAnsi" w:cstheme="minorBidi"/>
          <w:snapToGrid/>
          <w:sz w:val="24"/>
          <w:szCs w:val="22"/>
        </w:rPr>
        <w:t xml:space="preserve">At the March 2018 meeting, the PBAC advised that the following revised considerations will be used to make a recommendation on brand equivalence (‘a’ flagged) of </w:t>
      </w:r>
      <w:proofErr w:type="spellStart"/>
      <w:r w:rsidRPr="00E8264A">
        <w:rPr>
          <w:rFonts w:asciiTheme="minorHAnsi" w:eastAsiaTheme="minorHAnsi" w:hAnsiTheme="minorHAnsi" w:cstheme="minorBidi"/>
          <w:snapToGrid/>
          <w:sz w:val="24"/>
          <w:szCs w:val="22"/>
        </w:rPr>
        <w:t>biosimilars</w:t>
      </w:r>
      <w:proofErr w:type="spellEnd"/>
      <w:r w:rsidRPr="00E8264A">
        <w:rPr>
          <w:rFonts w:asciiTheme="minorHAnsi" w:eastAsiaTheme="minorHAnsi" w:hAnsiTheme="minorHAnsi" w:cstheme="minorBidi"/>
          <w:snapToGrid/>
          <w:sz w:val="24"/>
          <w:szCs w:val="22"/>
        </w:rPr>
        <w:t xml:space="preserve"> with the reference brand;</w:t>
      </w:r>
    </w:p>
    <w:p w:rsidR="00EA1782" w:rsidRPr="00E8264A" w:rsidRDefault="00EA1782" w:rsidP="00BB3B26">
      <w:pPr>
        <w:pStyle w:val="PBACheading10"/>
        <w:numPr>
          <w:ilvl w:val="0"/>
          <w:numId w:val="20"/>
        </w:numPr>
        <w:ind w:left="1077" w:hanging="357"/>
        <w:jc w:val="both"/>
        <w:outlineLvl w:val="9"/>
        <w:rPr>
          <w:rFonts w:asciiTheme="minorHAnsi" w:eastAsiaTheme="minorHAnsi" w:hAnsiTheme="minorHAnsi"/>
          <w:b w:val="0"/>
          <w:snapToGrid/>
          <w:sz w:val="24"/>
          <w:szCs w:val="24"/>
        </w:rPr>
      </w:pPr>
      <w:r w:rsidRPr="00E8264A">
        <w:rPr>
          <w:rFonts w:asciiTheme="minorHAnsi" w:eastAsiaTheme="minorHAnsi" w:hAnsiTheme="minorHAnsi"/>
          <w:b w:val="0"/>
          <w:snapToGrid/>
          <w:sz w:val="24"/>
          <w:szCs w:val="24"/>
        </w:rPr>
        <w:t>The Therapeutic Goods Administration has determined that the product is a biosimilar of the reference medicine as evidenced by ARTG registration documentation;</w:t>
      </w:r>
    </w:p>
    <w:p w:rsidR="00EA1782" w:rsidRPr="00E8264A" w:rsidRDefault="00EA1782" w:rsidP="00BB3B26">
      <w:pPr>
        <w:pStyle w:val="PBACheading10"/>
        <w:numPr>
          <w:ilvl w:val="0"/>
          <w:numId w:val="20"/>
        </w:numPr>
        <w:ind w:left="1077" w:hanging="357"/>
        <w:jc w:val="both"/>
        <w:outlineLvl w:val="9"/>
        <w:rPr>
          <w:rFonts w:asciiTheme="minorHAnsi" w:eastAsiaTheme="minorHAnsi" w:hAnsiTheme="minorHAnsi"/>
          <w:b w:val="0"/>
          <w:snapToGrid/>
          <w:sz w:val="24"/>
          <w:szCs w:val="24"/>
        </w:rPr>
      </w:pPr>
      <w:r w:rsidRPr="00E8264A">
        <w:rPr>
          <w:rFonts w:asciiTheme="minorHAnsi" w:eastAsiaTheme="minorHAnsi" w:hAnsiTheme="minorHAnsi"/>
          <w:b w:val="0"/>
          <w:snapToGrid/>
          <w:sz w:val="24"/>
          <w:szCs w:val="24"/>
        </w:rPr>
        <w:t>Availability of supportive data relating to the effects of switching between the reference product and the biosimilar product/s; and</w:t>
      </w:r>
    </w:p>
    <w:p w:rsidR="00EA1782" w:rsidRPr="00E8264A" w:rsidRDefault="00EA1782" w:rsidP="00BB3B26">
      <w:pPr>
        <w:pStyle w:val="PBACheading10"/>
        <w:numPr>
          <w:ilvl w:val="0"/>
          <w:numId w:val="20"/>
        </w:numPr>
        <w:ind w:left="1077" w:hanging="357"/>
        <w:jc w:val="both"/>
        <w:outlineLvl w:val="9"/>
        <w:rPr>
          <w:rFonts w:asciiTheme="minorHAnsi" w:eastAsiaTheme="minorHAnsi" w:hAnsiTheme="minorHAnsi"/>
          <w:b w:val="0"/>
          <w:snapToGrid/>
          <w:sz w:val="24"/>
          <w:szCs w:val="24"/>
        </w:rPr>
      </w:pPr>
      <w:r w:rsidRPr="00E8264A">
        <w:rPr>
          <w:rFonts w:asciiTheme="minorHAnsi" w:eastAsiaTheme="minorHAnsi" w:hAnsiTheme="minorHAnsi"/>
          <w:b w:val="0"/>
          <w:snapToGrid/>
          <w:sz w:val="24"/>
          <w:szCs w:val="24"/>
        </w:rPr>
        <w:t xml:space="preserve">Practical considerations relating to substitution by the pharmacist at the point of dispensing. This includes strength of formulation, number of units per pack and </w:t>
      </w:r>
      <w:r w:rsidRPr="00E8264A">
        <w:rPr>
          <w:rFonts w:asciiTheme="minorHAnsi" w:eastAsiaTheme="minorHAnsi" w:hAnsiTheme="minorHAnsi"/>
          <w:b w:val="0"/>
          <w:snapToGrid/>
          <w:sz w:val="24"/>
          <w:szCs w:val="24"/>
        </w:rPr>
        <w:lastRenderedPageBreak/>
        <w:t>maximum quantities between the brands, which may make substitution at the pharmacy level difficult from a practical perspective.</w:t>
      </w:r>
    </w:p>
    <w:p w:rsidR="00EA1782" w:rsidRPr="00E8264A" w:rsidRDefault="00EA1782" w:rsidP="00BB3B26">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The PBAC considered that where a biosimilar product could not be recommended to be brand equivalent (‘a’ flagged) at the time of PBS listing, data should be collected to support this consideration at a later point.</w:t>
      </w:r>
    </w:p>
    <w:p w:rsidR="00EA1782" w:rsidRPr="00E8264A" w:rsidRDefault="00EA1782" w:rsidP="00BB3B26">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 xml:space="preserve">If the PBAC provides advice on brand equivalence (‘a’ flagging), the decision to apply brand equivalence to listings in the Schedule is made by the Minister for Health (or Delegate). </w:t>
      </w:r>
    </w:p>
    <w:p w:rsidR="00DC6C29" w:rsidRPr="00E8264A" w:rsidRDefault="00DC6C29" w:rsidP="00BB3B26">
      <w:pPr>
        <w:pStyle w:val="PBACHeading1"/>
        <w:numPr>
          <w:ilvl w:val="0"/>
          <w:numId w:val="0"/>
        </w:numPr>
        <w:spacing w:after="160"/>
        <w:outlineLvl w:val="9"/>
        <w:rPr>
          <w:rStyle w:val="Emphasis"/>
          <w:rFonts w:asciiTheme="minorHAnsi" w:hAnsiTheme="minorHAnsi"/>
          <w:sz w:val="24"/>
          <w:szCs w:val="24"/>
        </w:rPr>
      </w:pPr>
      <w:r w:rsidRPr="00E8264A">
        <w:rPr>
          <w:rStyle w:val="Emphasis"/>
          <w:rFonts w:asciiTheme="minorHAnsi" w:hAnsiTheme="minorHAnsi"/>
          <w:sz w:val="24"/>
          <w:szCs w:val="24"/>
        </w:rPr>
        <w:t>Biosimilar uptake measures</w:t>
      </w:r>
    </w:p>
    <w:p w:rsidR="00DC6C29" w:rsidRPr="00E8264A" w:rsidRDefault="00DC6C29" w:rsidP="00BB3B26">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 xml:space="preserve">The biosimilar uptake measures were agreed as part of the strategic agreements that the Government reached with Medicines Australia, the Generic and Biosimilar Medicines Association and the Pharmacy Guild of Australia as part of the 2017 Budget process.  </w:t>
      </w:r>
    </w:p>
    <w:p w:rsidR="00DC6C29" w:rsidRPr="00E8264A" w:rsidRDefault="00DC6C29" w:rsidP="00BB3B26">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 xml:space="preserve">The PBAC will advise whether implementation of the uptake drivers is likely to raise any clinical or other concerns about appropriate use on the PBS.  The PBAC may, on a case-by-case basis, provide advice relating to: </w:t>
      </w:r>
    </w:p>
    <w:p w:rsidR="00DC6C29" w:rsidRPr="00E8264A" w:rsidRDefault="00DC6C29" w:rsidP="00BB3B26">
      <w:pPr>
        <w:pStyle w:val="ListParagraph"/>
        <w:numPr>
          <w:ilvl w:val="0"/>
          <w:numId w:val="19"/>
        </w:numPr>
        <w:autoSpaceDE w:val="0"/>
        <w:autoSpaceDN w:val="0"/>
        <w:adjustRightInd w:val="0"/>
        <w:ind w:left="1097"/>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 xml:space="preserve">encouraging the prescribing of a biosimilar brand for treatment naïve patients;  and </w:t>
      </w:r>
    </w:p>
    <w:p w:rsidR="00DC6C29" w:rsidRPr="00E8264A" w:rsidRDefault="00DC6C29" w:rsidP="00BB3B26">
      <w:pPr>
        <w:pStyle w:val="ListParagraph"/>
        <w:numPr>
          <w:ilvl w:val="0"/>
          <w:numId w:val="19"/>
        </w:numPr>
        <w:autoSpaceDE w:val="0"/>
        <w:autoSpaceDN w:val="0"/>
        <w:adjustRightInd w:val="0"/>
        <w:ind w:left="1097"/>
        <w:rPr>
          <w:rFonts w:asciiTheme="minorHAnsi" w:eastAsiaTheme="minorHAnsi" w:hAnsiTheme="minorHAnsi" w:cstheme="minorBidi"/>
          <w:snapToGrid/>
          <w:sz w:val="24"/>
          <w:szCs w:val="22"/>
        </w:rPr>
      </w:pPr>
      <w:proofErr w:type="gramStart"/>
      <w:r w:rsidRPr="00E8264A">
        <w:rPr>
          <w:rFonts w:asciiTheme="minorHAnsi" w:eastAsiaTheme="minorHAnsi" w:hAnsiTheme="minorHAnsi" w:cstheme="minorBidi"/>
          <w:snapToGrid/>
          <w:sz w:val="24"/>
          <w:szCs w:val="22"/>
        </w:rPr>
        <w:t>applying</w:t>
      </w:r>
      <w:proofErr w:type="gramEnd"/>
      <w:r w:rsidRPr="00E8264A">
        <w:rPr>
          <w:rFonts w:asciiTheme="minorHAnsi" w:eastAsiaTheme="minorHAnsi" w:hAnsiTheme="minorHAnsi" w:cstheme="minorBidi"/>
          <w:snapToGrid/>
          <w:sz w:val="24"/>
          <w:szCs w:val="22"/>
        </w:rPr>
        <w:t xml:space="preserve"> a lower level of authority to biosimilar brand(s) than exists for the reference brand of biological medicines. </w:t>
      </w:r>
    </w:p>
    <w:p w:rsidR="00DC6C29" w:rsidRPr="00E8264A" w:rsidRDefault="00DC6C29" w:rsidP="00BB3B26">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 xml:space="preserve">After PBAC advice is received, a decision will be made about applying the drivers for the relevant medicine. The policy provides for lower authority requirements only for biosimilar brands, but there will be no increase in authority requirements to prescribe reference brands. </w:t>
      </w:r>
    </w:p>
    <w:p w:rsidR="00DC6C29" w:rsidRPr="00E8264A" w:rsidRDefault="00DC6C29" w:rsidP="00BB3B26">
      <w:pPr>
        <w:pStyle w:val="ListParagraph"/>
        <w:numPr>
          <w:ilvl w:val="1"/>
          <w:numId w:val="5"/>
        </w:numPr>
        <w:spacing w:before="120" w:after="160"/>
        <w:rPr>
          <w:rFonts w:asciiTheme="minorHAnsi" w:hAnsiTheme="minorHAnsi"/>
          <w:sz w:val="24"/>
          <w:szCs w:val="24"/>
        </w:rPr>
      </w:pPr>
      <w:r w:rsidRPr="00E8264A">
        <w:rPr>
          <w:rFonts w:asciiTheme="minorHAnsi" w:hAnsiTheme="minorHAnsi"/>
          <w:sz w:val="24"/>
          <w:szCs w:val="24"/>
        </w:rPr>
        <w:t>The PBAC has previously stated it had no concerns about encouraging prescribing of a biosimilar brand rather than the reference biological agent brand for treatment naïve patients, including through notes in the Schedule and prescribing software changes. (Etanercept (Brenzys) Public Summary Document, August 2017 PBAC Meeting).</w:t>
      </w:r>
    </w:p>
    <w:p w:rsidR="005F2753" w:rsidRPr="00611B1C" w:rsidRDefault="005F2753" w:rsidP="00BB3B26">
      <w:pPr>
        <w:pStyle w:val="PBACHeading1"/>
        <w:numPr>
          <w:ilvl w:val="0"/>
          <w:numId w:val="0"/>
        </w:numPr>
        <w:outlineLvl w:val="9"/>
        <w:rPr>
          <w:rFonts w:asciiTheme="minorHAnsi" w:hAnsiTheme="minorHAnsi" w:cstheme="minorHAnsi"/>
          <w:b w:val="0"/>
          <w:i/>
          <w:sz w:val="24"/>
          <w:szCs w:val="24"/>
        </w:rPr>
      </w:pPr>
      <w:r w:rsidRPr="00611B1C">
        <w:rPr>
          <w:rFonts w:asciiTheme="minorHAnsi" w:hAnsiTheme="minorHAnsi" w:cstheme="minorHAnsi"/>
          <w:b w:val="0"/>
          <w:i/>
          <w:sz w:val="24"/>
          <w:szCs w:val="24"/>
        </w:rPr>
        <w:t xml:space="preserve">For more detail on PBAC’s view, see section </w:t>
      </w:r>
      <w:r w:rsidR="005D0E8A" w:rsidRPr="00611B1C">
        <w:rPr>
          <w:rFonts w:asciiTheme="minorHAnsi" w:hAnsiTheme="minorHAnsi" w:cstheme="minorHAnsi"/>
          <w:b w:val="0"/>
          <w:i/>
          <w:sz w:val="24"/>
          <w:szCs w:val="24"/>
        </w:rPr>
        <w:t>6</w:t>
      </w:r>
      <w:r w:rsidRPr="00611B1C">
        <w:rPr>
          <w:rFonts w:asciiTheme="minorHAnsi" w:hAnsiTheme="minorHAnsi" w:cstheme="minorHAnsi"/>
          <w:b w:val="0"/>
          <w:i/>
          <w:sz w:val="24"/>
          <w:szCs w:val="24"/>
        </w:rPr>
        <w:t xml:space="preserve"> PBAC outcome.</w:t>
      </w:r>
    </w:p>
    <w:p w:rsidR="00175948" w:rsidRPr="00E8264A" w:rsidRDefault="006A12A5" w:rsidP="00175948">
      <w:pPr>
        <w:pStyle w:val="PBACHeading1"/>
        <w:spacing w:before="240" w:after="120"/>
        <w:rPr>
          <w:rFonts w:asciiTheme="minorHAnsi" w:hAnsiTheme="minorHAnsi"/>
          <w:sz w:val="32"/>
          <w:szCs w:val="32"/>
        </w:rPr>
      </w:pPr>
      <w:r w:rsidRPr="00E8264A">
        <w:rPr>
          <w:rFonts w:asciiTheme="minorHAnsi" w:hAnsiTheme="minorHAnsi"/>
          <w:sz w:val="32"/>
          <w:szCs w:val="32"/>
        </w:rPr>
        <w:t>Requested listing</w:t>
      </w:r>
    </w:p>
    <w:p w:rsidR="00491095" w:rsidRPr="00E8264A"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 xml:space="preserve">The submission </w:t>
      </w:r>
      <w:r w:rsidR="00FF2801" w:rsidRPr="00E8264A">
        <w:rPr>
          <w:rFonts w:asciiTheme="minorHAnsi" w:eastAsiaTheme="minorHAnsi" w:hAnsiTheme="minorHAnsi" w:cstheme="minorBidi"/>
          <w:snapToGrid/>
          <w:sz w:val="24"/>
          <w:szCs w:val="22"/>
        </w:rPr>
        <w:t>requested</w:t>
      </w:r>
      <w:r w:rsidR="00585576" w:rsidRPr="00E8264A">
        <w:rPr>
          <w:rFonts w:asciiTheme="minorHAnsi" w:eastAsiaTheme="minorHAnsi" w:hAnsiTheme="minorHAnsi" w:cstheme="minorBidi"/>
          <w:snapToGrid/>
          <w:sz w:val="24"/>
          <w:szCs w:val="22"/>
        </w:rPr>
        <w:t>, with the exception of the price,</w:t>
      </w:r>
      <w:r w:rsidRPr="00E8264A">
        <w:rPr>
          <w:rFonts w:asciiTheme="minorHAnsi" w:eastAsiaTheme="minorHAnsi" w:hAnsiTheme="minorHAnsi" w:cstheme="minorBidi"/>
          <w:snapToGrid/>
          <w:sz w:val="24"/>
          <w:szCs w:val="22"/>
        </w:rPr>
        <w:t xml:space="preserve"> </w:t>
      </w:r>
      <w:r w:rsidR="00491095" w:rsidRPr="00E8264A">
        <w:rPr>
          <w:rFonts w:asciiTheme="minorHAnsi" w:eastAsiaTheme="minorHAnsi" w:hAnsiTheme="minorHAnsi" w:cstheme="minorBidi"/>
          <w:snapToGrid/>
          <w:sz w:val="24"/>
          <w:szCs w:val="22"/>
        </w:rPr>
        <w:t xml:space="preserve">an identical listing to the </w:t>
      </w:r>
      <w:r w:rsidR="00712CEC" w:rsidRPr="00E8264A">
        <w:rPr>
          <w:rFonts w:asciiTheme="minorHAnsi" w:eastAsiaTheme="minorHAnsi" w:hAnsiTheme="minorHAnsi" w:cstheme="minorBidi"/>
          <w:snapToGrid/>
          <w:sz w:val="24"/>
          <w:szCs w:val="22"/>
        </w:rPr>
        <w:t xml:space="preserve">currently listed PBS </w:t>
      </w:r>
      <w:r w:rsidR="00491095" w:rsidRPr="00E8264A">
        <w:rPr>
          <w:rFonts w:asciiTheme="minorHAnsi" w:eastAsiaTheme="minorHAnsi" w:hAnsiTheme="minorHAnsi" w:cstheme="minorBidi"/>
          <w:snapToGrid/>
          <w:sz w:val="24"/>
          <w:szCs w:val="22"/>
        </w:rPr>
        <w:t>reference brand Lantus®.</w:t>
      </w:r>
    </w:p>
    <w:p w:rsidR="00826F6D" w:rsidRPr="00E8264A" w:rsidRDefault="00712CEC" w:rsidP="002D454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 xml:space="preserve">The submission requested </w:t>
      </w:r>
      <w:r w:rsidR="00E8264A">
        <w:rPr>
          <w:rFonts w:asciiTheme="minorHAnsi" w:eastAsiaTheme="minorHAnsi" w:hAnsiTheme="minorHAnsi" w:cstheme="minorBidi"/>
          <w:snapToGrid/>
          <w:sz w:val="24"/>
          <w:szCs w:val="22"/>
        </w:rPr>
        <w:t xml:space="preserve">Semglee® </w:t>
      </w:r>
      <w:r w:rsidRPr="00E8264A">
        <w:rPr>
          <w:rFonts w:asciiTheme="minorHAnsi" w:eastAsiaTheme="minorHAnsi" w:hAnsiTheme="minorHAnsi" w:cstheme="minorBidi"/>
          <w:snapToGrid/>
          <w:sz w:val="24"/>
          <w:szCs w:val="22"/>
        </w:rPr>
        <w:t>be ‘a</w:t>
      </w:r>
      <w:r w:rsidR="00450C0F" w:rsidRPr="00E8264A">
        <w:rPr>
          <w:rFonts w:asciiTheme="minorHAnsi" w:eastAsiaTheme="minorHAnsi" w:hAnsiTheme="minorHAnsi" w:cstheme="minorBidi"/>
          <w:snapToGrid/>
          <w:sz w:val="24"/>
          <w:szCs w:val="22"/>
        </w:rPr>
        <w:t>’</w:t>
      </w:r>
      <w:r w:rsidR="000D609C" w:rsidRPr="00E8264A">
        <w:rPr>
          <w:rFonts w:asciiTheme="minorHAnsi" w:eastAsiaTheme="minorHAnsi" w:hAnsiTheme="minorHAnsi" w:cstheme="minorBidi"/>
          <w:snapToGrid/>
          <w:sz w:val="24"/>
          <w:szCs w:val="22"/>
        </w:rPr>
        <w:t xml:space="preserve"> </w:t>
      </w:r>
      <w:r w:rsidRPr="00E8264A">
        <w:rPr>
          <w:rFonts w:asciiTheme="minorHAnsi" w:eastAsiaTheme="minorHAnsi" w:hAnsiTheme="minorHAnsi" w:cstheme="minorBidi"/>
          <w:snapToGrid/>
          <w:sz w:val="24"/>
          <w:szCs w:val="22"/>
        </w:rPr>
        <w:t>flagged with</w:t>
      </w:r>
      <w:r w:rsidR="0028029C" w:rsidRPr="00E8264A">
        <w:rPr>
          <w:rFonts w:asciiTheme="minorHAnsi" w:eastAsiaTheme="minorHAnsi" w:hAnsiTheme="minorHAnsi" w:cstheme="minorBidi"/>
          <w:snapToGrid/>
          <w:sz w:val="24"/>
          <w:szCs w:val="22"/>
        </w:rPr>
        <w:t xml:space="preserve"> the pre-filled disposable pen presentation of Lantus,</w:t>
      </w:r>
      <w:r w:rsidRPr="00E8264A">
        <w:rPr>
          <w:rFonts w:asciiTheme="minorHAnsi" w:eastAsiaTheme="minorHAnsi" w:hAnsiTheme="minorHAnsi" w:cstheme="minorBidi"/>
          <w:snapToGrid/>
          <w:sz w:val="24"/>
          <w:szCs w:val="22"/>
        </w:rPr>
        <w:t xml:space="preserve"> Lantus</w:t>
      </w:r>
      <w:r w:rsidR="0028029C" w:rsidRPr="00E8264A">
        <w:rPr>
          <w:rFonts w:asciiTheme="minorHAnsi" w:eastAsiaTheme="minorHAnsi" w:hAnsiTheme="minorHAnsi" w:cstheme="minorBidi"/>
          <w:snapToGrid/>
          <w:sz w:val="24"/>
          <w:szCs w:val="22"/>
        </w:rPr>
        <w:t xml:space="preserve"> </w:t>
      </w:r>
      <w:proofErr w:type="spellStart"/>
      <w:r w:rsidR="0028029C" w:rsidRPr="00E8264A">
        <w:rPr>
          <w:rFonts w:asciiTheme="minorHAnsi" w:eastAsiaTheme="minorHAnsi" w:hAnsiTheme="minorHAnsi" w:cstheme="minorBidi"/>
          <w:snapToGrid/>
          <w:sz w:val="24"/>
          <w:szCs w:val="22"/>
        </w:rPr>
        <w:t>SoloStar</w:t>
      </w:r>
      <w:proofErr w:type="spellEnd"/>
      <w:r w:rsidRPr="00E8264A">
        <w:rPr>
          <w:rFonts w:asciiTheme="minorHAnsi" w:eastAsiaTheme="minorHAnsi" w:hAnsiTheme="minorHAnsi" w:cstheme="minorBidi"/>
          <w:snapToGrid/>
          <w:sz w:val="24"/>
          <w:szCs w:val="22"/>
        </w:rPr>
        <w:t>.</w:t>
      </w:r>
    </w:p>
    <w:p w:rsidR="00517FE0" w:rsidRPr="00E8264A" w:rsidRDefault="00517FE0" w:rsidP="00517FE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lastRenderedPageBreak/>
        <w:t>Suggestions and additions proposed by the Secretariat to the requested listing are added in italics and suggested deletions are crossed out with strikethrough.</w:t>
      </w:r>
    </w:p>
    <w:tbl>
      <w:tblPr>
        <w:tblStyle w:val="TableGrid1"/>
        <w:tblW w:w="0" w:type="auto"/>
        <w:jc w:val="center"/>
        <w:tblLook w:val="04A0" w:firstRow="1" w:lastRow="0" w:firstColumn="1" w:lastColumn="0" w:noHBand="0" w:noVBand="1"/>
        <w:tblCaption w:val="Suggestions and additions to the restriction proposed by the Secretariat to the requested listing"/>
      </w:tblPr>
      <w:tblGrid>
        <w:gridCol w:w="3381"/>
        <w:gridCol w:w="1250"/>
        <w:gridCol w:w="1053"/>
        <w:gridCol w:w="1519"/>
        <w:gridCol w:w="1723"/>
      </w:tblGrid>
      <w:tr w:rsidR="00FF0A39" w:rsidRPr="00E8264A" w:rsidTr="003D3BBD">
        <w:trPr>
          <w:trHeight w:val="721"/>
          <w:tblHeader/>
          <w:jc w:val="center"/>
        </w:trPr>
        <w:tc>
          <w:tcPr>
            <w:tcW w:w="3381" w:type="dxa"/>
            <w:tcBorders>
              <w:top w:val="nil"/>
              <w:left w:val="nil"/>
              <w:bottom w:val="single" w:sz="4" w:space="0" w:color="000000" w:themeColor="text1"/>
              <w:right w:val="nil"/>
            </w:tcBorders>
            <w:shd w:val="clear" w:color="auto" w:fill="auto"/>
          </w:tcPr>
          <w:p w:rsidR="00FF0A39" w:rsidRPr="00E8264A" w:rsidRDefault="00FF0A39" w:rsidP="00175948">
            <w:pPr>
              <w:pStyle w:val="TableLeft"/>
              <w:keepNext/>
              <w:jc w:val="left"/>
              <w:rPr>
                <w:rFonts w:ascii="Arial Narrow" w:hAnsi="Arial Narrow"/>
                <w:b/>
                <w:lang w:val="en-AU"/>
              </w:rPr>
            </w:pPr>
            <w:r w:rsidRPr="00E8264A">
              <w:rPr>
                <w:rFonts w:ascii="Arial Narrow" w:hAnsi="Arial Narrow"/>
                <w:b/>
                <w:lang w:val="en-AU"/>
              </w:rPr>
              <w:t>Name, restriction, manner of administration, form</w:t>
            </w:r>
          </w:p>
        </w:tc>
        <w:tc>
          <w:tcPr>
            <w:tcW w:w="1250" w:type="dxa"/>
            <w:tcBorders>
              <w:top w:val="nil"/>
              <w:left w:val="nil"/>
              <w:bottom w:val="single" w:sz="4" w:space="0" w:color="000000" w:themeColor="text1"/>
              <w:right w:val="nil"/>
            </w:tcBorders>
            <w:shd w:val="clear" w:color="auto" w:fill="auto"/>
          </w:tcPr>
          <w:p w:rsidR="00FF0A39" w:rsidRPr="00E8264A" w:rsidRDefault="00FF0A39" w:rsidP="00FF0A39">
            <w:pPr>
              <w:pStyle w:val="TableCentre"/>
              <w:rPr>
                <w:rFonts w:ascii="Arial Narrow" w:hAnsi="Arial Narrow"/>
                <w:b/>
                <w:lang w:val="en-AU"/>
              </w:rPr>
            </w:pPr>
            <w:r w:rsidRPr="00E8264A">
              <w:rPr>
                <w:rFonts w:ascii="Arial Narrow" w:hAnsi="Arial Narrow"/>
                <w:b/>
                <w:lang w:val="en-AU"/>
              </w:rPr>
              <w:t>Maximum quantity (units)</w:t>
            </w:r>
          </w:p>
        </w:tc>
        <w:tc>
          <w:tcPr>
            <w:tcW w:w="1053" w:type="dxa"/>
            <w:tcBorders>
              <w:top w:val="nil"/>
              <w:left w:val="nil"/>
              <w:bottom w:val="single" w:sz="4" w:space="0" w:color="000000" w:themeColor="text1"/>
              <w:right w:val="nil"/>
            </w:tcBorders>
            <w:shd w:val="clear" w:color="auto" w:fill="auto"/>
          </w:tcPr>
          <w:p w:rsidR="00FF0A39" w:rsidRPr="00E8264A" w:rsidRDefault="00FF0A39" w:rsidP="00FF0A39">
            <w:pPr>
              <w:pStyle w:val="TableCentre"/>
              <w:rPr>
                <w:rFonts w:ascii="Arial Narrow" w:hAnsi="Arial Narrow"/>
                <w:b/>
                <w:lang w:val="en-AU"/>
              </w:rPr>
            </w:pPr>
            <w:r w:rsidRPr="00E8264A">
              <w:rPr>
                <w:rFonts w:ascii="Arial Narrow" w:hAnsi="Arial Narrow"/>
                <w:b/>
                <w:lang w:val="en-AU"/>
              </w:rPr>
              <w:t>No. of repeats</w:t>
            </w:r>
          </w:p>
        </w:tc>
        <w:tc>
          <w:tcPr>
            <w:tcW w:w="1519" w:type="dxa"/>
            <w:tcBorders>
              <w:top w:val="nil"/>
              <w:left w:val="nil"/>
              <w:bottom w:val="single" w:sz="4" w:space="0" w:color="000000" w:themeColor="text1"/>
              <w:right w:val="nil"/>
            </w:tcBorders>
            <w:shd w:val="clear" w:color="auto" w:fill="auto"/>
          </w:tcPr>
          <w:p w:rsidR="00FF0A39" w:rsidRPr="00E8264A" w:rsidRDefault="00FF0A39" w:rsidP="00FF0A39">
            <w:pPr>
              <w:pStyle w:val="TableCentre"/>
              <w:rPr>
                <w:rFonts w:ascii="Arial Narrow" w:hAnsi="Arial Narrow"/>
                <w:b/>
                <w:lang w:val="en-AU"/>
              </w:rPr>
            </w:pPr>
            <w:r w:rsidRPr="00E8264A">
              <w:rPr>
                <w:rFonts w:ascii="Arial Narrow" w:hAnsi="Arial Narrow"/>
                <w:b/>
                <w:lang w:val="en-AU"/>
              </w:rPr>
              <w:t>Dispensed price for maximum quantity (DPMQ)</w:t>
            </w:r>
          </w:p>
        </w:tc>
        <w:tc>
          <w:tcPr>
            <w:tcW w:w="1723" w:type="dxa"/>
            <w:tcBorders>
              <w:top w:val="nil"/>
              <w:left w:val="nil"/>
              <w:bottom w:val="single" w:sz="4" w:space="0" w:color="000000" w:themeColor="text1"/>
              <w:right w:val="nil"/>
            </w:tcBorders>
            <w:shd w:val="clear" w:color="auto" w:fill="auto"/>
          </w:tcPr>
          <w:p w:rsidR="00FF0A39" w:rsidRPr="00E8264A" w:rsidRDefault="00FF0A39" w:rsidP="00FF0A39">
            <w:pPr>
              <w:pStyle w:val="TableCentre"/>
              <w:rPr>
                <w:rFonts w:ascii="Arial Narrow" w:hAnsi="Arial Narrow"/>
                <w:b/>
                <w:lang w:val="en-AU"/>
              </w:rPr>
            </w:pPr>
            <w:r w:rsidRPr="00E8264A">
              <w:rPr>
                <w:rFonts w:ascii="Arial Narrow" w:hAnsi="Arial Narrow"/>
                <w:b/>
                <w:lang w:val="en-AU"/>
              </w:rPr>
              <w:t>Proprietary name and manufacturer</w:t>
            </w:r>
          </w:p>
        </w:tc>
      </w:tr>
      <w:tr w:rsidR="00FF0A39" w:rsidRPr="00E8264A" w:rsidTr="00611B1C">
        <w:trPr>
          <w:jc w:val="center"/>
        </w:trPr>
        <w:tc>
          <w:tcPr>
            <w:tcW w:w="3381" w:type="dxa"/>
            <w:tcBorders>
              <w:left w:val="nil"/>
              <w:right w:val="nil"/>
            </w:tcBorders>
          </w:tcPr>
          <w:p w:rsidR="00FF0A39" w:rsidRPr="00E8264A" w:rsidRDefault="00FF0A39" w:rsidP="00175948">
            <w:pPr>
              <w:pStyle w:val="TableLeft"/>
              <w:keepNext/>
              <w:jc w:val="left"/>
              <w:rPr>
                <w:rFonts w:ascii="Arial Narrow" w:hAnsi="Arial Narrow"/>
                <w:i/>
                <w:lang w:val="en-AU"/>
              </w:rPr>
            </w:pPr>
            <w:r w:rsidRPr="00E8264A">
              <w:rPr>
                <w:rFonts w:ascii="Arial Narrow" w:hAnsi="Arial Narrow"/>
                <w:i/>
                <w:lang w:val="en-AU"/>
              </w:rPr>
              <w:t>INSULIN GLARGINE</w:t>
            </w:r>
          </w:p>
          <w:p w:rsidR="00DC6C29" w:rsidRPr="00E8264A" w:rsidRDefault="00E8264A" w:rsidP="00175948">
            <w:pPr>
              <w:pStyle w:val="TableLeft"/>
              <w:keepNext/>
              <w:jc w:val="left"/>
              <w:rPr>
                <w:rFonts w:ascii="Arial Narrow" w:hAnsi="Arial Narrow"/>
                <w:strike/>
                <w:lang w:val="en-AU"/>
              </w:rPr>
            </w:pPr>
            <w:r>
              <w:rPr>
                <w:rFonts w:ascii="Arial Narrow" w:hAnsi="Arial Narrow"/>
                <w:strike/>
                <w:lang w:val="en-AU"/>
              </w:rPr>
              <w:t xml:space="preserve">Semglee® </w:t>
            </w:r>
            <w:r w:rsidR="00DC6C29" w:rsidRPr="00E8264A">
              <w:rPr>
                <w:rFonts w:ascii="Arial Narrow" w:hAnsi="Arial Narrow"/>
                <w:strike/>
                <w:lang w:val="en-AU"/>
              </w:rPr>
              <w:t xml:space="preserve">(insulin glargine), </w:t>
            </w:r>
          </w:p>
          <w:p w:rsidR="00FF0A39" w:rsidRPr="00E8264A" w:rsidRDefault="00DC6C29" w:rsidP="00175948">
            <w:pPr>
              <w:pStyle w:val="TableLeft"/>
              <w:keepNext/>
              <w:jc w:val="left"/>
              <w:rPr>
                <w:rFonts w:ascii="Arial Narrow" w:hAnsi="Arial Narrow"/>
                <w:strike/>
                <w:lang w:val="en-AU"/>
              </w:rPr>
            </w:pPr>
            <w:r w:rsidRPr="00E8264A">
              <w:rPr>
                <w:rFonts w:ascii="Arial Narrow" w:hAnsi="Arial Narrow"/>
                <w:strike/>
                <w:lang w:val="en-AU"/>
              </w:rPr>
              <w:t>100 IU /mL, 3 mL, Type 1, colourless glass cartridges inside pre-filled, disposable pen devices</w:t>
            </w:r>
          </w:p>
          <w:p w:rsidR="00611B1C" w:rsidRPr="00E8264A" w:rsidRDefault="00DC6C29" w:rsidP="00847177">
            <w:pPr>
              <w:pStyle w:val="TableLeft"/>
              <w:keepNext/>
              <w:jc w:val="left"/>
              <w:rPr>
                <w:rFonts w:ascii="Arial Narrow" w:hAnsi="Arial Narrow"/>
                <w:i/>
                <w:lang w:val="en-AU"/>
              </w:rPr>
            </w:pPr>
            <w:r w:rsidRPr="00E8264A">
              <w:rPr>
                <w:rFonts w:ascii="Arial Narrow" w:hAnsi="Arial Narrow"/>
                <w:i/>
                <w:lang w:val="en-AU"/>
              </w:rPr>
              <w:t>insulin glargine 100 units/mL injection, 5 x 3 mL cartridges</w:t>
            </w:r>
          </w:p>
        </w:tc>
        <w:tc>
          <w:tcPr>
            <w:tcW w:w="1250" w:type="dxa"/>
            <w:tcBorders>
              <w:left w:val="nil"/>
              <w:right w:val="nil"/>
            </w:tcBorders>
          </w:tcPr>
          <w:p w:rsidR="00FF0A39" w:rsidRPr="00E8264A" w:rsidRDefault="00FF0A39" w:rsidP="00FF0A39">
            <w:pPr>
              <w:pStyle w:val="TableCentre"/>
              <w:rPr>
                <w:rFonts w:ascii="Arial Narrow" w:hAnsi="Arial Narrow"/>
                <w:lang w:val="en-AU"/>
              </w:rPr>
            </w:pPr>
            <w:r w:rsidRPr="00E8264A">
              <w:rPr>
                <w:rFonts w:ascii="Arial Narrow" w:hAnsi="Arial Narrow"/>
                <w:lang w:val="en-AU"/>
              </w:rPr>
              <w:t>5</w:t>
            </w:r>
          </w:p>
        </w:tc>
        <w:tc>
          <w:tcPr>
            <w:tcW w:w="1053" w:type="dxa"/>
            <w:tcBorders>
              <w:left w:val="nil"/>
              <w:right w:val="nil"/>
            </w:tcBorders>
          </w:tcPr>
          <w:p w:rsidR="00FF0A39" w:rsidRPr="00E8264A" w:rsidRDefault="00FF0A39" w:rsidP="00FF0A39">
            <w:pPr>
              <w:pStyle w:val="TableCentre"/>
              <w:rPr>
                <w:rFonts w:ascii="Arial Narrow" w:hAnsi="Arial Narrow"/>
                <w:lang w:val="en-AU"/>
              </w:rPr>
            </w:pPr>
            <w:r w:rsidRPr="00E8264A">
              <w:rPr>
                <w:rFonts w:ascii="Arial Narrow" w:hAnsi="Arial Narrow"/>
                <w:lang w:val="en-AU"/>
              </w:rPr>
              <w:t>1</w:t>
            </w:r>
          </w:p>
        </w:tc>
        <w:tc>
          <w:tcPr>
            <w:tcW w:w="1519" w:type="dxa"/>
            <w:tcBorders>
              <w:left w:val="nil"/>
              <w:right w:val="nil"/>
            </w:tcBorders>
          </w:tcPr>
          <w:p w:rsidR="00FF0A39" w:rsidRPr="00E8264A" w:rsidRDefault="00FF0A39" w:rsidP="00FF0A39">
            <w:pPr>
              <w:pStyle w:val="TableCentre"/>
              <w:rPr>
                <w:rStyle w:val="SmallHighlight"/>
                <w:rFonts w:ascii="Arial Narrow" w:hAnsi="Arial Narrow"/>
                <w:highlight w:val="yellow"/>
                <w:lang w:val="en-AU"/>
              </w:rPr>
            </w:pPr>
            <w:r w:rsidRPr="00E8264A">
              <w:rPr>
                <w:rFonts w:ascii="Arial Narrow" w:hAnsi="Arial Narrow"/>
                <w:lang w:val="en-AU"/>
              </w:rPr>
              <w:t>$</w:t>
            </w:r>
            <w:r w:rsidR="006F4DE2">
              <w:rPr>
                <w:rFonts w:ascii="Arial Narrow" w:hAnsi="Arial Narrow"/>
                <w:noProof/>
                <w:color w:val="000000"/>
                <w:highlight w:val="black"/>
              </w:rPr>
              <w:t>'''''''''''''''''</w:t>
            </w:r>
          </w:p>
        </w:tc>
        <w:tc>
          <w:tcPr>
            <w:tcW w:w="1723" w:type="dxa"/>
            <w:tcBorders>
              <w:left w:val="nil"/>
              <w:right w:val="nil"/>
            </w:tcBorders>
          </w:tcPr>
          <w:p w:rsidR="00FF0A39" w:rsidRPr="00E8264A" w:rsidRDefault="00FF0A39" w:rsidP="00FF0A39">
            <w:pPr>
              <w:pStyle w:val="TableCentre"/>
              <w:rPr>
                <w:rFonts w:ascii="Arial Narrow" w:hAnsi="Arial Narrow"/>
                <w:lang w:val="en-AU"/>
              </w:rPr>
            </w:pPr>
            <w:r w:rsidRPr="00E8264A">
              <w:rPr>
                <w:rFonts w:ascii="Arial Narrow" w:hAnsi="Arial Narrow"/>
                <w:lang w:val="en-AU"/>
              </w:rPr>
              <w:t xml:space="preserve">Semglee, Alphapharm Pty Ltd </w:t>
            </w:r>
          </w:p>
        </w:tc>
      </w:tr>
      <w:tr w:rsidR="00C8718C" w:rsidRPr="00E8264A" w:rsidTr="00611B1C">
        <w:trPr>
          <w:jc w:val="center"/>
        </w:trPr>
        <w:tc>
          <w:tcPr>
            <w:tcW w:w="3381" w:type="dxa"/>
          </w:tcPr>
          <w:p w:rsidR="00C8718C" w:rsidRPr="00E8264A" w:rsidRDefault="00C8718C" w:rsidP="00C8718C">
            <w:pPr>
              <w:pStyle w:val="TableLeft"/>
              <w:keepNext/>
              <w:jc w:val="left"/>
              <w:rPr>
                <w:rFonts w:ascii="Arial Narrow" w:hAnsi="Arial Narrow"/>
                <w:b/>
                <w:i/>
                <w:lang w:val="en-AU"/>
              </w:rPr>
            </w:pPr>
            <w:r w:rsidRPr="00E8264A">
              <w:rPr>
                <w:rFonts w:ascii="Arial Narrow" w:hAnsi="Arial Narrow"/>
                <w:b/>
                <w:i/>
                <w:lang w:val="en-AU"/>
              </w:rPr>
              <w:t>Administ</w:t>
            </w:r>
            <w:r w:rsidR="00D87894" w:rsidRPr="00E8264A">
              <w:rPr>
                <w:rFonts w:ascii="Arial Narrow" w:hAnsi="Arial Narrow"/>
                <w:b/>
                <w:i/>
                <w:lang w:val="en-AU"/>
              </w:rPr>
              <w:t>r</w:t>
            </w:r>
            <w:r w:rsidRPr="00E8264A">
              <w:rPr>
                <w:rFonts w:ascii="Arial Narrow" w:hAnsi="Arial Narrow"/>
                <w:b/>
                <w:i/>
                <w:lang w:val="en-AU"/>
              </w:rPr>
              <w:t>ative instructions</w:t>
            </w:r>
          </w:p>
        </w:tc>
        <w:tc>
          <w:tcPr>
            <w:tcW w:w="5545" w:type="dxa"/>
            <w:gridSpan w:val="4"/>
          </w:tcPr>
          <w:p w:rsidR="00C8718C" w:rsidRPr="00E8264A" w:rsidRDefault="00C8718C" w:rsidP="00C8718C">
            <w:pPr>
              <w:rPr>
                <w:rFonts w:ascii="Arial Narrow" w:hAnsi="Arial Narrow"/>
                <w:b/>
                <w:i/>
                <w:sz w:val="20"/>
                <w:szCs w:val="20"/>
                <w:lang w:val="en-AU"/>
              </w:rPr>
            </w:pPr>
            <w:r w:rsidRPr="00E8264A">
              <w:rPr>
                <w:rFonts w:ascii="Arial Narrow" w:hAnsi="Arial Narrow"/>
                <w:b/>
                <w:i/>
                <w:sz w:val="20"/>
                <w:szCs w:val="20"/>
                <w:lang w:val="en-AU"/>
              </w:rPr>
              <w:t>Note</w:t>
            </w:r>
          </w:p>
          <w:p w:rsidR="00C8718C" w:rsidRPr="00E8264A" w:rsidRDefault="00C8718C" w:rsidP="00C8718C">
            <w:pPr>
              <w:rPr>
                <w:rFonts w:ascii="Arial Narrow" w:hAnsi="Arial Narrow"/>
                <w:b/>
                <w:i/>
                <w:sz w:val="20"/>
                <w:szCs w:val="20"/>
                <w:lang w:val="en-AU"/>
              </w:rPr>
            </w:pPr>
            <w:r w:rsidRPr="00E8264A">
              <w:rPr>
                <w:rFonts w:ascii="Arial Narrow" w:hAnsi="Arial Narrow"/>
                <w:b/>
                <w:i/>
                <w:sz w:val="20"/>
                <w:szCs w:val="20"/>
                <w:lang w:val="en-AU"/>
              </w:rPr>
              <w:t xml:space="preserve">Biosimilar prescribing policy </w:t>
            </w:r>
          </w:p>
          <w:p w:rsidR="00C8718C" w:rsidRPr="00E8264A" w:rsidRDefault="00C8718C" w:rsidP="00C8718C">
            <w:pPr>
              <w:rPr>
                <w:rFonts w:ascii="Arial Narrow" w:hAnsi="Arial Narrow"/>
                <w:i/>
                <w:sz w:val="20"/>
                <w:szCs w:val="20"/>
                <w:lang w:val="en-AU"/>
              </w:rPr>
            </w:pPr>
            <w:r w:rsidRPr="00E8264A">
              <w:rPr>
                <w:rFonts w:ascii="Arial Narrow" w:hAnsi="Arial Narrow"/>
                <w:i/>
                <w:sz w:val="20"/>
                <w:szCs w:val="20"/>
                <w:lang w:val="en-AU"/>
              </w:rPr>
              <w:t xml:space="preserve">Prescribing of the biosimilar brand </w:t>
            </w:r>
            <w:r w:rsidR="00E8264A">
              <w:rPr>
                <w:rFonts w:ascii="Arial Narrow" w:hAnsi="Arial Narrow"/>
                <w:i/>
                <w:sz w:val="20"/>
                <w:szCs w:val="20"/>
                <w:lang w:val="en-AU"/>
              </w:rPr>
              <w:t xml:space="preserve">SEMGLEE® </w:t>
            </w:r>
            <w:r w:rsidRPr="00E8264A">
              <w:rPr>
                <w:rFonts w:ascii="Arial Narrow" w:hAnsi="Arial Narrow"/>
                <w:i/>
                <w:sz w:val="20"/>
                <w:szCs w:val="20"/>
                <w:lang w:val="en-AU"/>
              </w:rPr>
              <w:t xml:space="preserve">is encouraged for treatment naive patients. </w:t>
            </w:r>
          </w:p>
          <w:p w:rsidR="00C8718C" w:rsidRPr="00E8264A" w:rsidRDefault="00C8718C" w:rsidP="00C8718C">
            <w:pPr>
              <w:rPr>
                <w:rFonts w:ascii="Arial Narrow" w:hAnsi="Arial Narrow"/>
                <w:i/>
                <w:lang w:val="en-AU"/>
              </w:rPr>
            </w:pPr>
            <w:r w:rsidRPr="00E8264A">
              <w:rPr>
                <w:rFonts w:ascii="Arial Narrow" w:hAnsi="Arial Narrow"/>
                <w:i/>
                <w:sz w:val="20"/>
                <w:szCs w:val="20"/>
                <w:lang w:val="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Biosimilar Awareness Initiative webpage (www.health.gov.au/biosimilars).</w:t>
            </w:r>
          </w:p>
        </w:tc>
      </w:tr>
    </w:tbl>
    <w:p w:rsidR="00DE60AD" w:rsidRPr="00E8264A" w:rsidRDefault="00DE60AD" w:rsidP="00DE60AD">
      <w:pPr>
        <w:rPr>
          <w:rFonts w:eastAsiaTheme="minorHAnsi"/>
        </w:rPr>
      </w:pPr>
    </w:p>
    <w:p w:rsidR="005F2753" w:rsidRPr="00E8264A" w:rsidRDefault="005F2753" w:rsidP="00BB3B26">
      <w:pPr>
        <w:pStyle w:val="PBACHeading1"/>
        <w:numPr>
          <w:ilvl w:val="0"/>
          <w:numId w:val="0"/>
        </w:numPr>
        <w:outlineLvl w:val="9"/>
        <w:rPr>
          <w:rFonts w:asciiTheme="minorHAnsi" w:hAnsiTheme="minorHAnsi"/>
          <w:b w:val="0"/>
          <w:i/>
          <w:sz w:val="24"/>
          <w:szCs w:val="24"/>
        </w:rPr>
      </w:pPr>
      <w:r w:rsidRPr="00E8264A">
        <w:rPr>
          <w:rFonts w:asciiTheme="minorHAnsi" w:hAnsiTheme="minorHAnsi"/>
          <w:b w:val="0"/>
          <w:i/>
          <w:sz w:val="24"/>
          <w:szCs w:val="24"/>
        </w:rPr>
        <w:t xml:space="preserve">For more detail on PBAC’s view, see section </w:t>
      </w:r>
      <w:r w:rsidR="005D0E8A" w:rsidRPr="00E8264A">
        <w:rPr>
          <w:rFonts w:asciiTheme="minorHAnsi" w:hAnsiTheme="minorHAnsi"/>
          <w:b w:val="0"/>
          <w:i/>
          <w:sz w:val="24"/>
          <w:szCs w:val="24"/>
        </w:rPr>
        <w:t>6</w:t>
      </w:r>
      <w:r w:rsidRPr="00E8264A">
        <w:rPr>
          <w:rFonts w:asciiTheme="minorHAnsi" w:hAnsiTheme="minorHAnsi"/>
          <w:b w:val="0"/>
          <w:i/>
          <w:sz w:val="24"/>
          <w:szCs w:val="24"/>
        </w:rPr>
        <w:t xml:space="preserve"> PBAC outcome.</w:t>
      </w:r>
    </w:p>
    <w:p w:rsidR="005A3173" w:rsidRPr="00E8264A" w:rsidRDefault="005A3173" w:rsidP="00D31150">
      <w:pPr>
        <w:pStyle w:val="PBACHeading1"/>
        <w:spacing w:before="240" w:after="120"/>
        <w:ind w:left="709" w:hanging="709"/>
        <w:rPr>
          <w:rFonts w:asciiTheme="minorHAnsi" w:hAnsiTheme="minorHAnsi"/>
          <w:sz w:val="32"/>
          <w:szCs w:val="32"/>
        </w:rPr>
      </w:pPr>
      <w:r w:rsidRPr="00E8264A">
        <w:rPr>
          <w:rFonts w:asciiTheme="minorHAnsi" w:hAnsiTheme="minorHAnsi"/>
          <w:sz w:val="32"/>
          <w:szCs w:val="32"/>
        </w:rPr>
        <w:t>Comparator</w:t>
      </w:r>
    </w:p>
    <w:p w:rsidR="00C35996" w:rsidRPr="00E8264A" w:rsidRDefault="00FF2801" w:rsidP="00F550CF">
      <w:pPr>
        <w:pStyle w:val="ListParagraph"/>
        <w:widowControl/>
        <w:numPr>
          <w:ilvl w:val="1"/>
          <w:numId w:val="14"/>
        </w:numPr>
        <w:spacing w:before="120" w:after="16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The minor submission nominated</w:t>
      </w:r>
      <w:r w:rsidR="00450C0F" w:rsidRPr="00E8264A">
        <w:rPr>
          <w:rFonts w:asciiTheme="minorHAnsi" w:eastAsiaTheme="minorHAnsi" w:hAnsiTheme="minorHAnsi" w:cstheme="minorBidi"/>
          <w:snapToGrid/>
          <w:sz w:val="24"/>
          <w:szCs w:val="22"/>
        </w:rPr>
        <w:t xml:space="preserve"> the reference brand of insulin glargine (Lantus) as the comparator.</w:t>
      </w:r>
    </w:p>
    <w:p w:rsidR="000B558D" w:rsidRPr="00E8264A"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E8264A">
        <w:rPr>
          <w:rFonts w:asciiTheme="minorHAnsi" w:hAnsiTheme="minorHAnsi"/>
          <w:sz w:val="32"/>
          <w:szCs w:val="32"/>
        </w:rPr>
        <w:t>C</w:t>
      </w:r>
      <w:r w:rsidR="00D84934" w:rsidRPr="00E8264A">
        <w:rPr>
          <w:rFonts w:asciiTheme="minorHAnsi" w:hAnsiTheme="minorHAnsi"/>
          <w:sz w:val="32"/>
          <w:szCs w:val="32"/>
        </w:rPr>
        <w:t>onsideration of the evidence</w:t>
      </w:r>
    </w:p>
    <w:p w:rsidR="002B4C99" w:rsidRPr="00E8264A" w:rsidRDefault="002B4C99" w:rsidP="00BB3B26">
      <w:pPr>
        <w:widowControl w:val="0"/>
        <w:spacing w:before="240" w:line="276" w:lineRule="auto"/>
        <w:jc w:val="both"/>
        <w:outlineLvl w:val="1"/>
        <w:rPr>
          <w:rFonts w:asciiTheme="minorHAnsi" w:hAnsiTheme="minorHAnsi" w:cs="Arial"/>
          <w:b/>
          <w:bCs/>
          <w:i/>
          <w:snapToGrid w:val="0"/>
          <w:sz w:val="28"/>
          <w:szCs w:val="28"/>
        </w:rPr>
      </w:pPr>
      <w:r w:rsidRPr="00E8264A">
        <w:rPr>
          <w:rFonts w:asciiTheme="minorHAnsi" w:hAnsiTheme="minorHAnsi" w:cs="Arial"/>
          <w:b/>
          <w:bCs/>
          <w:i/>
          <w:snapToGrid w:val="0"/>
          <w:sz w:val="28"/>
          <w:szCs w:val="28"/>
        </w:rPr>
        <w:t>Sponsor hearing</w:t>
      </w:r>
    </w:p>
    <w:p w:rsidR="002B4C99" w:rsidRPr="00E8264A" w:rsidRDefault="002B4C99" w:rsidP="002B4C99">
      <w:pPr>
        <w:widowControl w:val="0"/>
        <w:numPr>
          <w:ilvl w:val="1"/>
          <w:numId w:val="5"/>
        </w:numPr>
        <w:spacing w:after="120"/>
        <w:jc w:val="both"/>
        <w:rPr>
          <w:rFonts w:asciiTheme="minorHAnsi" w:hAnsiTheme="minorHAnsi" w:cs="Arial"/>
          <w:bCs/>
          <w:snapToGrid w:val="0"/>
        </w:rPr>
      </w:pPr>
      <w:r w:rsidRPr="00E8264A">
        <w:rPr>
          <w:rFonts w:asciiTheme="minorHAnsi" w:hAnsiTheme="minorHAnsi" w:cs="Arial"/>
          <w:bCs/>
          <w:snapToGrid w:val="0"/>
        </w:rPr>
        <w:t>There was no hearing for this item as it was a minor submission.</w:t>
      </w:r>
    </w:p>
    <w:p w:rsidR="002B4C99" w:rsidRPr="00E8264A" w:rsidRDefault="002B4C99" w:rsidP="00BB3B26">
      <w:pPr>
        <w:widowControl w:val="0"/>
        <w:spacing w:before="240" w:line="276" w:lineRule="auto"/>
        <w:jc w:val="both"/>
        <w:outlineLvl w:val="1"/>
        <w:rPr>
          <w:rFonts w:asciiTheme="minorHAnsi" w:hAnsiTheme="minorHAnsi" w:cs="Arial"/>
          <w:b/>
          <w:bCs/>
          <w:i/>
          <w:snapToGrid w:val="0"/>
          <w:sz w:val="28"/>
          <w:szCs w:val="28"/>
        </w:rPr>
      </w:pPr>
      <w:r w:rsidRPr="00E8264A">
        <w:rPr>
          <w:rFonts w:asciiTheme="minorHAnsi" w:hAnsiTheme="minorHAnsi" w:cs="Arial"/>
          <w:b/>
          <w:bCs/>
          <w:i/>
          <w:snapToGrid w:val="0"/>
          <w:sz w:val="28"/>
          <w:szCs w:val="28"/>
        </w:rPr>
        <w:t>Consumer comments</w:t>
      </w:r>
    </w:p>
    <w:p w:rsidR="002B4C99" w:rsidRPr="00E8264A" w:rsidRDefault="002B4C99" w:rsidP="002B4C99">
      <w:pPr>
        <w:widowControl w:val="0"/>
        <w:numPr>
          <w:ilvl w:val="1"/>
          <w:numId w:val="5"/>
        </w:numPr>
        <w:spacing w:after="120"/>
        <w:jc w:val="both"/>
        <w:rPr>
          <w:rFonts w:asciiTheme="minorHAnsi" w:hAnsiTheme="minorHAnsi" w:cs="Arial"/>
          <w:bCs/>
          <w:snapToGrid w:val="0"/>
        </w:rPr>
      </w:pPr>
      <w:r w:rsidRPr="00E8264A">
        <w:rPr>
          <w:rFonts w:asciiTheme="minorHAnsi" w:hAnsiTheme="minorHAnsi" w:cs="Arial"/>
          <w:bCs/>
          <w:snapToGrid w:val="0"/>
        </w:rPr>
        <w:t>The PBAC noted that no consumer comments were received for this item.</w:t>
      </w:r>
    </w:p>
    <w:p w:rsidR="00D84934" w:rsidRPr="00E8264A" w:rsidRDefault="00D84934" w:rsidP="00937958">
      <w:pPr>
        <w:pStyle w:val="Heading2"/>
        <w:keepLines/>
        <w:spacing w:before="240" w:after="120"/>
        <w:rPr>
          <w:rFonts w:asciiTheme="minorHAnsi" w:eastAsiaTheme="majorEastAsia" w:hAnsiTheme="minorHAnsi" w:cstheme="majorBidi"/>
          <w:sz w:val="28"/>
          <w:szCs w:val="28"/>
          <w:lang w:eastAsia="en-US"/>
        </w:rPr>
      </w:pPr>
      <w:r w:rsidRPr="00E8264A">
        <w:rPr>
          <w:rFonts w:asciiTheme="minorHAnsi" w:eastAsiaTheme="majorEastAsia" w:hAnsiTheme="minorHAnsi" w:cstheme="majorBidi"/>
          <w:sz w:val="28"/>
          <w:szCs w:val="28"/>
          <w:lang w:eastAsia="en-US"/>
        </w:rPr>
        <w:t>Clinical trials</w:t>
      </w:r>
    </w:p>
    <w:p w:rsidR="0076420C" w:rsidRPr="00E8264A" w:rsidRDefault="00A7358C" w:rsidP="00AF2F5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The minor submission outlined the studies required by the TGA in determining comparability between the biosimilar and reference brands of insulin glargine.</w:t>
      </w:r>
      <w:r w:rsidR="001B01ED" w:rsidRPr="00E8264A">
        <w:rPr>
          <w:rFonts w:asciiTheme="minorHAnsi" w:eastAsiaTheme="minorHAnsi" w:hAnsiTheme="minorHAnsi" w:cstheme="minorBidi"/>
          <w:snapToGrid/>
          <w:sz w:val="24"/>
          <w:szCs w:val="22"/>
        </w:rPr>
        <w:t xml:space="preserve"> There were three key clinical studies, of which the submission presented two pivotal studies that </w:t>
      </w:r>
      <w:r w:rsidR="00635A10" w:rsidRPr="00E8264A">
        <w:rPr>
          <w:rFonts w:asciiTheme="minorHAnsi" w:eastAsiaTheme="minorHAnsi" w:hAnsiTheme="minorHAnsi" w:cstheme="minorBidi"/>
          <w:snapToGrid/>
          <w:sz w:val="24"/>
          <w:szCs w:val="22"/>
        </w:rPr>
        <w:t xml:space="preserve">demonstrated clinical comparability between </w:t>
      </w:r>
      <w:r w:rsidR="00E8264A">
        <w:rPr>
          <w:rFonts w:asciiTheme="minorHAnsi" w:eastAsiaTheme="minorHAnsi" w:hAnsiTheme="minorHAnsi" w:cstheme="minorBidi"/>
          <w:snapToGrid/>
          <w:sz w:val="24"/>
          <w:szCs w:val="22"/>
        </w:rPr>
        <w:t xml:space="preserve">Semglee® </w:t>
      </w:r>
      <w:r w:rsidR="00635A10" w:rsidRPr="00E8264A">
        <w:rPr>
          <w:rFonts w:asciiTheme="minorHAnsi" w:eastAsiaTheme="minorHAnsi" w:hAnsiTheme="minorHAnsi" w:cstheme="minorBidi"/>
          <w:snapToGrid/>
          <w:sz w:val="24"/>
          <w:szCs w:val="22"/>
        </w:rPr>
        <w:t>and Lantus; INSTRIDE 1 and INSTRIDE 2.</w:t>
      </w:r>
    </w:p>
    <w:p w:rsidR="00847177" w:rsidRDefault="00847177">
      <w:pPr>
        <w:rPr>
          <w:rFonts w:ascii="Arial Narrow" w:hAnsi="Arial Narrow"/>
          <w:b/>
          <w:sz w:val="20"/>
          <w:szCs w:val="22"/>
        </w:rPr>
      </w:pPr>
      <w:r>
        <w:rPr>
          <w:rFonts w:ascii="Arial Narrow" w:hAnsi="Arial Narrow"/>
          <w:b/>
          <w:sz w:val="20"/>
        </w:rPr>
        <w:br w:type="page"/>
      </w:r>
    </w:p>
    <w:p w:rsidR="0076420C" w:rsidRPr="00E8264A" w:rsidRDefault="00635A10" w:rsidP="00993635">
      <w:pPr>
        <w:pStyle w:val="NoSpacing"/>
        <w:keepNext/>
        <w:rPr>
          <w:rFonts w:ascii="Arial Narrow" w:hAnsi="Arial Narrow"/>
          <w:b/>
          <w:sz w:val="20"/>
        </w:rPr>
      </w:pPr>
      <w:r w:rsidRPr="00E8264A">
        <w:rPr>
          <w:rFonts w:ascii="Arial Narrow" w:hAnsi="Arial Narrow"/>
          <w:b/>
          <w:sz w:val="20"/>
        </w:rPr>
        <w:lastRenderedPageBreak/>
        <w:t xml:space="preserve">Table 1: </w:t>
      </w:r>
      <w:r w:rsidR="0076420C" w:rsidRPr="00E8264A">
        <w:rPr>
          <w:rFonts w:ascii="Arial Narrow" w:hAnsi="Arial Narrow"/>
          <w:b/>
          <w:sz w:val="20"/>
        </w:rPr>
        <w:t>Trials and associated reports presented in the re-submission</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094"/>
        <w:gridCol w:w="1177"/>
      </w:tblGrid>
      <w:tr w:rsidR="0076420C" w:rsidRPr="00E8264A" w:rsidTr="00175948">
        <w:trPr>
          <w:cantSplit/>
          <w:trHeight w:val="539"/>
          <w:tblHeader/>
        </w:trPr>
        <w:tc>
          <w:tcPr>
            <w:tcW w:w="948" w:type="pct"/>
          </w:tcPr>
          <w:p w:rsidR="0076420C" w:rsidRPr="00E8264A" w:rsidRDefault="0076420C" w:rsidP="006670BE">
            <w:pPr>
              <w:pStyle w:val="NoSpacing"/>
              <w:spacing w:before="40" w:after="40"/>
              <w:jc w:val="left"/>
              <w:rPr>
                <w:rFonts w:ascii="Arial Narrow" w:hAnsi="Arial Narrow"/>
                <w:b/>
                <w:sz w:val="20"/>
              </w:rPr>
            </w:pPr>
            <w:r w:rsidRPr="00E8264A">
              <w:rPr>
                <w:rFonts w:ascii="Arial Narrow" w:hAnsi="Arial Narrow"/>
                <w:b/>
                <w:sz w:val="20"/>
              </w:rPr>
              <w:t>Trial ID</w:t>
            </w:r>
            <w:r w:rsidR="006670BE" w:rsidRPr="00E8264A">
              <w:rPr>
                <w:rFonts w:ascii="Arial Narrow" w:hAnsi="Arial Narrow"/>
                <w:b/>
                <w:sz w:val="20"/>
              </w:rPr>
              <w:t>/First Author</w:t>
            </w:r>
          </w:p>
        </w:tc>
        <w:tc>
          <w:tcPr>
            <w:tcW w:w="3396" w:type="pct"/>
          </w:tcPr>
          <w:p w:rsidR="0076420C" w:rsidRPr="00E8264A" w:rsidRDefault="0076420C" w:rsidP="006670BE">
            <w:pPr>
              <w:keepNext/>
              <w:spacing w:before="40" w:after="40"/>
              <w:rPr>
                <w:rFonts w:ascii="Arial Narrow" w:hAnsi="Arial Narrow"/>
                <w:b/>
                <w:sz w:val="20"/>
              </w:rPr>
            </w:pPr>
            <w:r w:rsidRPr="00E8264A">
              <w:rPr>
                <w:rFonts w:ascii="Arial Narrow" w:hAnsi="Arial Narrow"/>
                <w:b/>
                <w:sz w:val="20"/>
              </w:rPr>
              <w:t>Protocol title/ Publication title</w:t>
            </w:r>
          </w:p>
        </w:tc>
        <w:tc>
          <w:tcPr>
            <w:tcW w:w="656" w:type="pct"/>
          </w:tcPr>
          <w:p w:rsidR="0076420C" w:rsidRPr="00E8264A" w:rsidRDefault="0076420C" w:rsidP="006670BE">
            <w:pPr>
              <w:keepNext/>
              <w:spacing w:before="40" w:after="40"/>
              <w:rPr>
                <w:rFonts w:ascii="Arial Narrow" w:hAnsi="Arial Narrow"/>
                <w:b/>
                <w:sz w:val="20"/>
              </w:rPr>
            </w:pPr>
            <w:r w:rsidRPr="00E8264A">
              <w:rPr>
                <w:rFonts w:ascii="Arial Narrow" w:hAnsi="Arial Narrow"/>
                <w:b/>
                <w:sz w:val="20"/>
              </w:rPr>
              <w:t>Publication citation</w:t>
            </w:r>
          </w:p>
        </w:tc>
      </w:tr>
      <w:tr w:rsidR="0076420C" w:rsidRPr="00E8264A" w:rsidTr="00175948">
        <w:trPr>
          <w:cantSplit/>
          <w:trHeight w:val="317"/>
        </w:trPr>
        <w:tc>
          <w:tcPr>
            <w:tcW w:w="5000" w:type="pct"/>
            <w:gridSpan w:val="3"/>
          </w:tcPr>
          <w:p w:rsidR="0076420C" w:rsidRPr="00E8264A" w:rsidRDefault="0076420C" w:rsidP="006670BE">
            <w:pPr>
              <w:pStyle w:val="NoSpacing"/>
              <w:spacing w:before="40" w:after="40"/>
              <w:rPr>
                <w:rFonts w:ascii="Arial Narrow" w:hAnsi="Arial Narrow"/>
                <w:b/>
                <w:sz w:val="20"/>
              </w:rPr>
            </w:pPr>
            <w:r w:rsidRPr="00E8264A">
              <w:rPr>
                <w:rFonts w:ascii="Arial Narrow" w:hAnsi="Arial Narrow"/>
                <w:b/>
                <w:sz w:val="20"/>
              </w:rPr>
              <w:t>Direct randomised trial</w:t>
            </w:r>
            <w:r w:rsidR="00B176C8" w:rsidRPr="00E8264A">
              <w:rPr>
                <w:rFonts w:ascii="Arial Narrow" w:hAnsi="Arial Narrow"/>
                <w:b/>
                <w:sz w:val="20"/>
              </w:rPr>
              <w:t>(</w:t>
            </w:r>
            <w:r w:rsidRPr="00E8264A">
              <w:rPr>
                <w:rFonts w:ascii="Arial Narrow" w:hAnsi="Arial Narrow"/>
                <w:b/>
                <w:sz w:val="20"/>
              </w:rPr>
              <w:t>s</w:t>
            </w:r>
            <w:r w:rsidR="00B176C8" w:rsidRPr="00E8264A">
              <w:rPr>
                <w:rFonts w:ascii="Arial Narrow" w:hAnsi="Arial Narrow"/>
                <w:b/>
                <w:sz w:val="20"/>
              </w:rPr>
              <w:t>)</w:t>
            </w:r>
          </w:p>
        </w:tc>
      </w:tr>
      <w:tr w:rsidR="0076420C" w:rsidRPr="00E8264A" w:rsidTr="00175948">
        <w:trPr>
          <w:cantSplit/>
          <w:trHeight w:val="317"/>
        </w:trPr>
        <w:tc>
          <w:tcPr>
            <w:tcW w:w="948" w:type="pct"/>
          </w:tcPr>
          <w:p w:rsidR="00AF2F5F" w:rsidRPr="00E8264A" w:rsidRDefault="00AF2F5F" w:rsidP="00175948">
            <w:pPr>
              <w:pStyle w:val="NoSpacing"/>
              <w:jc w:val="left"/>
              <w:rPr>
                <w:rFonts w:ascii="Arial Narrow" w:hAnsi="Arial Narrow"/>
                <w:sz w:val="20"/>
              </w:rPr>
            </w:pPr>
            <w:r w:rsidRPr="00E8264A">
              <w:rPr>
                <w:rFonts w:ascii="Arial Narrow" w:hAnsi="Arial Narrow"/>
                <w:sz w:val="20"/>
              </w:rPr>
              <w:t>INSTRIDE 1</w:t>
            </w:r>
          </w:p>
          <w:p w:rsidR="00AF2F5F" w:rsidRPr="00E8264A" w:rsidRDefault="00AF2F5F" w:rsidP="00175948">
            <w:pPr>
              <w:pStyle w:val="NoSpacing"/>
              <w:jc w:val="left"/>
              <w:rPr>
                <w:rFonts w:ascii="Arial Narrow" w:hAnsi="Arial Narrow"/>
                <w:sz w:val="20"/>
              </w:rPr>
            </w:pPr>
            <w:r w:rsidRPr="00E8264A">
              <w:rPr>
                <w:rFonts w:ascii="Arial Narrow" w:hAnsi="Arial Narrow"/>
                <w:sz w:val="20"/>
              </w:rPr>
              <w:t>MYL-GAI-3001</w:t>
            </w:r>
          </w:p>
          <w:p w:rsidR="00AF2F5F" w:rsidRPr="00E8264A" w:rsidRDefault="00AF2F5F" w:rsidP="00175948">
            <w:pPr>
              <w:pStyle w:val="NoSpacing"/>
              <w:jc w:val="left"/>
              <w:rPr>
                <w:rFonts w:ascii="Arial Narrow" w:hAnsi="Arial Narrow"/>
                <w:sz w:val="20"/>
              </w:rPr>
            </w:pPr>
          </w:p>
          <w:p w:rsidR="0076420C" w:rsidRPr="00E8264A" w:rsidRDefault="00AF2F5F" w:rsidP="00175948">
            <w:pPr>
              <w:pStyle w:val="NoSpacing"/>
              <w:jc w:val="left"/>
              <w:rPr>
                <w:rFonts w:ascii="Arial Narrow" w:hAnsi="Arial Narrow"/>
                <w:sz w:val="20"/>
              </w:rPr>
            </w:pPr>
            <w:r w:rsidRPr="00E8264A">
              <w:rPr>
                <w:rFonts w:ascii="Arial Narrow" w:hAnsi="Arial Narrow"/>
                <w:sz w:val="20"/>
              </w:rPr>
              <w:t>CTRI/EUDRACT 2014-000747-32</w:t>
            </w:r>
          </w:p>
        </w:tc>
        <w:tc>
          <w:tcPr>
            <w:tcW w:w="3396" w:type="pct"/>
          </w:tcPr>
          <w:p w:rsidR="0076420C" w:rsidRPr="00E8264A" w:rsidRDefault="00AF2F5F" w:rsidP="0062748A">
            <w:pPr>
              <w:keepNext/>
              <w:rPr>
                <w:rFonts w:ascii="Arial Narrow" w:hAnsi="Arial Narrow"/>
                <w:sz w:val="20"/>
              </w:rPr>
            </w:pPr>
            <w:r w:rsidRPr="00E8264A">
              <w:rPr>
                <w:rFonts w:ascii="Arial Narrow" w:hAnsi="Arial Narrow"/>
                <w:sz w:val="20"/>
              </w:rPr>
              <w:t>An Open-label, Randomized, Multi-centre, Parallel-group Clinical Trial Comparing the Efficacy and Safety of Mylan’s Insulin glargine with Lantus® in Type 1 Diabetes Mellitus Patients.</w:t>
            </w:r>
          </w:p>
        </w:tc>
        <w:tc>
          <w:tcPr>
            <w:tcW w:w="656" w:type="pct"/>
          </w:tcPr>
          <w:p w:rsidR="0076420C" w:rsidRPr="00E8264A" w:rsidRDefault="00AF2F5F" w:rsidP="0062748A">
            <w:pPr>
              <w:keepNext/>
              <w:rPr>
                <w:rFonts w:ascii="Arial Narrow" w:hAnsi="Arial Narrow"/>
                <w:sz w:val="20"/>
              </w:rPr>
            </w:pPr>
            <w:r w:rsidRPr="00E8264A">
              <w:rPr>
                <w:rFonts w:ascii="Arial Narrow" w:hAnsi="Arial Narrow"/>
                <w:sz w:val="20"/>
              </w:rPr>
              <w:t>NA</w:t>
            </w:r>
          </w:p>
        </w:tc>
      </w:tr>
      <w:tr w:rsidR="0076420C" w:rsidRPr="00E8264A" w:rsidTr="00175948">
        <w:trPr>
          <w:cantSplit/>
          <w:trHeight w:val="317"/>
        </w:trPr>
        <w:tc>
          <w:tcPr>
            <w:tcW w:w="948" w:type="pct"/>
          </w:tcPr>
          <w:p w:rsidR="00AF2F5F" w:rsidRPr="00E8264A" w:rsidRDefault="00AF2F5F" w:rsidP="00175948">
            <w:pPr>
              <w:pStyle w:val="NoSpacing"/>
              <w:jc w:val="left"/>
              <w:rPr>
                <w:rFonts w:ascii="Arial Narrow" w:hAnsi="Arial Narrow"/>
                <w:sz w:val="20"/>
              </w:rPr>
            </w:pPr>
            <w:r w:rsidRPr="00E8264A">
              <w:rPr>
                <w:rFonts w:ascii="Arial Narrow" w:hAnsi="Arial Narrow"/>
                <w:sz w:val="20"/>
              </w:rPr>
              <w:t>INSTRIDE 2</w:t>
            </w:r>
          </w:p>
          <w:p w:rsidR="00AF2F5F" w:rsidRPr="00E8264A" w:rsidRDefault="00AF2F5F" w:rsidP="00175948">
            <w:pPr>
              <w:pStyle w:val="NoSpacing"/>
              <w:jc w:val="left"/>
              <w:rPr>
                <w:rFonts w:ascii="Arial Narrow" w:hAnsi="Arial Narrow"/>
                <w:sz w:val="20"/>
              </w:rPr>
            </w:pPr>
            <w:r w:rsidRPr="00E8264A">
              <w:rPr>
                <w:rFonts w:ascii="Arial Narrow" w:hAnsi="Arial Narrow"/>
                <w:sz w:val="20"/>
              </w:rPr>
              <w:t>MYL-GAI-3002</w:t>
            </w:r>
          </w:p>
          <w:p w:rsidR="0076420C" w:rsidRPr="00E8264A" w:rsidRDefault="00AF2F5F" w:rsidP="00175948">
            <w:pPr>
              <w:pStyle w:val="NoSpacing"/>
              <w:jc w:val="left"/>
              <w:rPr>
                <w:rFonts w:ascii="Arial Narrow" w:hAnsi="Arial Narrow"/>
                <w:sz w:val="20"/>
              </w:rPr>
            </w:pPr>
            <w:r w:rsidRPr="00E8264A">
              <w:rPr>
                <w:rFonts w:ascii="Arial Narrow" w:hAnsi="Arial Narrow"/>
                <w:sz w:val="20"/>
              </w:rPr>
              <w:t>EUDRACT No. 2014-000881-23</w:t>
            </w:r>
          </w:p>
        </w:tc>
        <w:tc>
          <w:tcPr>
            <w:tcW w:w="3396" w:type="pct"/>
          </w:tcPr>
          <w:p w:rsidR="0076420C" w:rsidRPr="00E8264A" w:rsidRDefault="00AF2F5F" w:rsidP="0062748A">
            <w:pPr>
              <w:keepNext/>
              <w:rPr>
                <w:rFonts w:ascii="Arial Narrow" w:hAnsi="Arial Narrow"/>
                <w:sz w:val="20"/>
              </w:rPr>
            </w:pPr>
            <w:r w:rsidRPr="00E8264A">
              <w:rPr>
                <w:rFonts w:ascii="Arial Narrow" w:hAnsi="Arial Narrow"/>
                <w:sz w:val="20"/>
              </w:rPr>
              <w:t>An Open-label, Randomized, Multicentre, Parallel-Group Clinical Trial Comparing the Efficacy and Safety of Mylan’s Insulin Glargine with Lantus® in Type 2 Diabetes Mellitus Patients.</w:t>
            </w:r>
          </w:p>
        </w:tc>
        <w:tc>
          <w:tcPr>
            <w:tcW w:w="656" w:type="pct"/>
          </w:tcPr>
          <w:p w:rsidR="0076420C" w:rsidRPr="00E8264A" w:rsidRDefault="00AF2F5F" w:rsidP="0062748A">
            <w:pPr>
              <w:keepNext/>
              <w:rPr>
                <w:rFonts w:ascii="Arial Narrow" w:hAnsi="Arial Narrow"/>
                <w:sz w:val="20"/>
              </w:rPr>
            </w:pPr>
            <w:r w:rsidRPr="00E8264A">
              <w:rPr>
                <w:rFonts w:ascii="Arial Narrow" w:hAnsi="Arial Narrow"/>
                <w:sz w:val="20"/>
              </w:rPr>
              <w:t>NA</w:t>
            </w:r>
          </w:p>
        </w:tc>
      </w:tr>
    </w:tbl>
    <w:p w:rsidR="0076420C" w:rsidRPr="00E8264A" w:rsidRDefault="0076420C" w:rsidP="00AF2F5F">
      <w:pPr>
        <w:pStyle w:val="tablenotes"/>
        <w:spacing w:after="120"/>
        <w:rPr>
          <w:rFonts w:ascii="Arial Narrow" w:hAnsi="Arial Narrow"/>
          <w:sz w:val="18"/>
          <w:szCs w:val="18"/>
        </w:rPr>
      </w:pPr>
      <w:r w:rsidRPr="00E8264A">
        <w:rPr>
          <w:rFonts w:ascii="Arial Narrow" w:hAnsi="Arial Narrow"/>
          <w:sz w:val="18"/>
          <w:szCs w:val="18"/>
        </w:rPr>
        <w:t xml:space="preserve">Source: </w:t>
      </w:r>
      <w:r w:rsidR="00AF2F5F" w:rsidRPr="00E8264A">
        <w:rPr>
          <w:rFonts w:ascii="Arial Narrow" w:hAnsi="Arial Narrow"/>
          <w:sz w:val="18"/>
          <w:szCs w:val="18"/>
        </w:rPr>
        <w:t xml:space="preserve">Minor submission, </w:t>
      </w:r>
      <w:proofErr w:type="spellStart"/>
      <w:r w:rsidR="00AF2F5F" w:rsidRPr="00E8264A">
        <w:rPr>
          <w:rFonts w:ascii="Arial Narrow" w:hAnsi="Arial Narrow"/>
          <w:sz w:val="18"/>
          <w:szCs w:val="18"/>
        </w:rPr>
        <w:t>pg</w:t>
      </w:r>
      <w:proofErr w:type="spellEnd"/>
      <w:r w:rsidR="00AF2F5F" w:rsidRPr="00E8264A">
        <w:rPr>
          <w:rFonts w:ascii="Arial Narrow" w:hAnsi="Arial Narrow"/>
          <w:sz w:val="18"/>
          <w:szCs w:val="18"/>
        </w:rPr>
        <w:t xml:space="preserve"> 19-20</w:t>
      </w:r>
    </w:p>
    <w:p w:rsidR="00D84934" w:rsidRPr="00E8264A" w:rsidRDefault="00D84934" w:rsidP="00175948">
      <w:pPr>
        <w:rPr>
          <w:rFonts w:asciiTheme="minorHAnsi" w:hAnsiTheme="minorHAnsi"/>
          <w:sz w:val="20"/>
          <w:szCs w:val="20"/>
        </w:rPr>
      </w:pPr>
    </w:p>
    <w:p w:rsidR="00BB7EC3" w:rsidRPr="00E8264A" w:rsidRDefault="0076420C" w:rsidP="00AF2F5F">
      <w:pPr>
        <w:pStyle w:val="ListParagraph"/>
        <w:widowControl/>
        <w:numPr>
          <w:ilvl w:val="1"/>
          <w:numId w:val="14"/>
        </w:numPr>
        <w:spacing w:after="120"/>
        <w:contextualSpacing w:val="0"/>
        <w:rPr>
          <w:rFonts w:asciiTheme="minorHAnsi" w:hAnsiTheme="minorHAnsi"/>
          <w:sz w:val="24"/>
          <w:szCs w:val="24"/>
        </w:rPr>
      </w:pPr>
      <w:r w:rsidRPr="00E8264A">
        <w:rPr>
          <w:rFonts w:asciiTheme="minorHAnsi" w:eastAsiaTheme="minorHAnsi" w:hAnsiTheme="minorHAnsi" w:cstheme="minorBidi"/>
          <w:snapToGrid/>
          <w:sz w:val="24"/>
          <w:szCs w:val="22"/>
        </w:rPr>
        <w:t xml:space="preserve">The </w:t>
      </w:r>
      <w:r w:rsidR="00AF2F5F" w:rsidRPr="00E8264A">
        <w:rPr>
          <w:rFonts w:asciiTheme="minorHAnsi" w:eastAsiaTheme="minorHAnsi" w:hAnsiTheme="minorHAnsi" w:cstheme="minorBidi"/>
          <w:snapToGrid/>
          <w:sz w:val="24"/>
          <w:szCs w:val="22"/>
        </w:rPr>
        <w:t xml:space="preserve">minor submission presented results of both studies in a summarised form and the complete Clinical Study Reports for both trials were provided as attachments to the submission. </w:t>
      </w:r>
    </w:p>
    <w:p w:rsidR="005A3173" w:rsidRPr="00E8264A" w:rsidRDefault="005A3173" w:rsidP="00937958">
      <w:pPr>
        <w:pStyle w:val="Heading2"/>
        <w:keepLines/>
        <w:spacing w:before="240" w:after="120"/>
        <w:rPr>
          <w:rFonts w:asciiTheme="minorHAnsi" w:eastAsiaTheme="majorEastAsia" w:hAnsiTheme="minorHAnsi" w:cstheme="majorBidi"/>
          <w:sz w:val="28"/>
          <w:szCs w:val="28"/>
          <w:lang w:eastAsia="en-US"/>
        </w:rPr>
      </w:pPr>
      <w:r w:rsidRPr="00E8264A">
        <w:rPr>
          <w:rFonts w:asciiTheme="minorHAnsi" w:eastAsiaTheme="majorEastAsia" w:hAnsiTheme="minorHAnsi" w:cstheme="majorBidi"/>
          <w:sz w:val="28"/>
          <w:szCs w:val="28"/>
          <w:lang w:eastAsia="en-US"/>
        </w:rPr>
        <w:t>Comparative effectiveness</w:t>
      </w:r>
      <w:r w:rsidR="004E4B68" w:rsidRPr="00E8264A">
        <w:rPr>
          <w:rFonts w:asciiTheme="minorHAnsi" w:eastAsiaTheme="majorEastAsia" w:hAnsiTheme="minorHAnsi" w:cstheme="majorBidi"/>
          <w:sz w:val="28"/>
          <w:szCs w:val="28"/>
          <w:lang w:eastAsia="en-US"/>
        </w:rPr>
        <w:t xml:space="preserve"> and comparative harms</w:t>
      </w:r>
    </w:p>
    <w:p w:rsidR="009E716F" w:rsidRPr="00E8264A" w:rsidRDefault="009E716F" w:rsidP="004E4B68">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 xml:space="preserve">The submission claimed that the results of the clinical trials showed that </w:t>
      </w:r>
      <w:r w:rsidR="00E8264A">
        <w:rPr>
          <w:rFonts w:asciiTheme="minorHAnsi" w:eastAsiaTheme="minorHAnsi" w:hAnsiTheme="minorHAnsi" w:cstheme="minorBidi"/>
          <w:snapToGrid/>
          <w:sz w:val="24"/>
          <w:szCs w:val="22"/>
        </w:rPr>
        <w:t xml:space="preserve">Semglee® </w:t>
      </w:r>
      <w:r w:rsidRPr="00E8264A">
        <w:rPr>
          <w:rFonts w:asciiTheme="minorHAnsi" w:eastAsiaTheme="minorHAnsi" w:hAnsiTheme="minorHAnsi" w:cstheme="minorBidi"/>
          <w:snapToGrid/>
          <w:sz w:val="24"/>
          <w:szCs w:val="22"/>
        </w:rPr>
        <w:t>was non-inferior to Lantus in terms of efficacy and safety.</w:t>
      </w:r>
    </w:p>
    <w:p w:rsidR="00EA3F2F" w:rsidRPr="00E8264A" w:rsidRDefault="00EA3F2F" w:rsidP="004E4B68">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E8264A">
        <w:rPr>
          <w:rFonts w:asciiTheme="minorHAnsi" w:hAnsiTheme="minorHAnsi"/>
          <w:sz w:val="24"/>
          <w:szCs w:val="24"/>
        </w:rPr>
        <w:t xml:space="preserve">The sponsor </w:t>
      </w:r>
      <w:r w:rsidR="00586DC4" w:rsidRPr="00E8264A">
        <w:rPr>
          <w:rFonts w:asciiTheme="minorHAnsi" w:hAnsiTheme="minorHAnsi"/>
          <w:sz w:val="24"/>
          <w:szCs w:val="24"/>
        </w:rPr>
        <w:t xml:space="preserve">was requested to </w:t>
      </w:r>
      <w:r w:rsidRPr="00E8264A">
        <w:rPr>
          <w:rFonts w:asciiTheme="minorHAnsi" w:hAnsiTheme="minorHAnsi"/>
          <w:sz w:val="24"/>
          <w:szCs w:val="24"/>
        </w:rPr>
        <w:t xml:space="preserve">provide a copy of the TGA clinical evaluation report (CER) </w:t>
      </w:r>
      <w:r w:rsidR="00C5567F" w:rsidRPr="00E8264A">
        <w:rPr>
          <w:rFonts w:asciiTheme="minorHAnsi" w:hAnsiTheme="minorHAnsi"/>
          <w:sz w:val="24"/>
          <w:szCs w:val="24"/>
        </w:rPr>
        <w:t xml:space="preserve">on Semglee, which </w:t>
      </w:r>
      <w:r w:rsidRPr="00E8264A">
        <w:rPr>
          <w:rFonts w:asciiTheme="minorHAnsi" w:hAnsiTheme="minorHAnsi"/>
          <w:sz w:val="24"/>
          <w:szCs w:val="24"/>
        </w:rPr>
        <w:t>concluded that</w:t>
      </w:r>
      <w:r w:rsidR="008E5FD3" w:rsidRPr="00E8264A">
        <w:rPr>
          <w:rFonts w:asciiTheme="minorHAnsi" w:hAnsiTheme="minorHAnsi"/>
          <w:sz w:val="24"/>
          <w:szCs w:val="24"/>
        </w:rPr>
        <w:t>:</w:t>
      </w:r>
      <w:r w:rsidRPr="00E8264A">
        <w:rPr>
          <w:rFonts w:asciiTheme="minorHAnsi" w:hAnsiTheme="minorHAnsi"/>
          <w:sz w:val="24"/>
          <w:szCs w:val="24"/>
        </w:rPr>
        <w:t xml:space="preserve"> </w:t>
      </w:r>
    </w:p>
    <w:p w:rsidR="008E5FD3" w:rsidRPr="00E8264A" w:rsidRDefault="008E5FD3" w:rsidP="00175948">
      <w:pPr>
        <w:pStyle w:val="ListParagraph"/>
        <w:widowControl/>
        <w:numPr>
          <w:ilvl w:val="1"/>
          <w:numId w:val="21"/>
        </w:numPr>
        <w:spacing w:after="120"/>
        <w:ind w:left="1077" w:hanging="357"/>
        <w:contextualSpacing w:val="0"/>
        <w:rPr>
          <w:rFonts w:asciiTheme="minorHAnsi" w:eastAsiaTheme="minorHAnsi" w:hAnsiTheme="minorHAnsi" w:cstheme="minorBidi"/>
          <w:snapToGrid/>
          <w:sz w:val="24"/>
          <w:szCs w:val="24"/>
        </w:rPr>
      </w:pPr>
      <w:r w:rsidRPr="00E8264A">
        <w:rPr>
          <w:rFonts w:asciiTheme="minorHAnsi" w:hAnsiTheme="minorHAnsi"/>
          <w:bCs/>
          <w:sz w:val="24"/>
          <w:szCs w:val="24"/>
        </w:rPr>
        <w:t>the evidence of pharmacokinetic bioequivalence of the biosimilar product with the original Lantus formulation of insulin glargine appear</w:t>
      </w:r>
      <w:r w:rsidR="00C5567F" w:rsidRPr="00E8264A">
        <w:rPr>
          <w:rFonts w:asciiTheme="minorHAnsi" w:hAnsiTheme="minorHAnsi"/>
          <w:bCs/>
          <w:sz w:val="24"/>
          <w:szCs w:val="24"/>
        </w:rPr>
        <w:t>ed</w:t>
      </w:r>
      <w:r w:rsidRPr="00E8264A">
        <w:rPr>
          <w:rFonts w:asciiTheme="minorHAnsi" w:hAnsiTheme="minorHAnsi"/>
          <w:bCs/>
          <w:sz w:val="24"/>
          <w:szCs w:val="24"/>
        </w:rPr>
        <w:t xml:space="preserve"> conclusive;</w:t>
      </w:r>
    </w:p>
    <w:p w:rsidR="008E5FD3" w:rsidRPr="00E8264A" w:rsidRDefault="008E5FD3" w:rsidP="00175948">
      <w:pPr>
        <w:pStyle w:val="ListParagraph"/>
        <w:widowControl/>
        <w:numPr>
          <w:ilvl w:val="1"/>
          <w:numId w:val="21"/>
        </w:numPr>
        <w:spacing w:after="120"/>
        <w:ind w:left="1077" w:hanging="357"/>
        <w:contextualSpacing w:val="0"/>
        <w:rPr>
          <w:rFonts w:asciiTheme="minorHAnsi" w:eastAsiaTheme="minorHAnsi" w:hAnsiTheme="minorHAnsi" w:cstheme="minorBidi"/>
          <w:snapToGrid/>
          <w:sz w:val="24"/>
          <w:szCs w:val="24"/>
        </w:rPr>
      </w:pPr>
      <w:r w:rsidRPr="00E8264A">
        <w:rPr>
          <w:rFonts w:asciiTheme="minorHAnsi" w:hAnsiTheme="minorHAnsi"/>
          <w:sz w:val="24"/>
          <w:szCs w:val="24"/>
        </w:rPr>
        <w:t xml:space="preserve">bioequivalence between the biosimilar product and the reference product Lantus </w:t>
      </w:r>
      <w:r w:rsidR="008F1952" w:rsidRPr="00E8264A">
        <w:rPr>
          <w:rFonts w:asciiTheme="minorHAnsi" w:hAnsiTheme="minorHAnsi"/>
          <w:sz w:val="24"/>
          <w:szCs w:val="24"/>
        </w:rPr>
        <w:t>wa</w:t>
      </w:r>
      <w:r w:rsidRPr="00E8264A">
        <w:rPr>
          <w:rFonts w:asciiTheme="minorHAnsi" w:hAnsiTheme="minorHAnsi"/>
          <w:sz w:val="24"/>
          <w:szCs w:val="24"/>
        </w:rPr>
        <w:t xml:space="preserve">s clearly shown on </w:t>
      </w:r>
      <w:proofErr w:type="spellStart"/>
      <w:r w:rsidRPr="00E8264A">
        <w:rPr>
          <w:rFonts w:asciiTheme="minorHAnsi" w:hAnsiTheme="minorHAnsi"/>
          <w:sz w:val="24"/>
          <w:szCs w:val="24"/>
        </w:rPr>
        <w:t>pharmacodynamic</w:t>
      </w:r>
      <w:proofErr w:type="spellEnd"/>
      <w:r w:rsidRPr="00E8264A">
        <w:rPr>
          <w:rFonts w:asciiTheme="minorHAnsi" w:hAnsiTheme="minorHAnsi"/>
          <w:sz w:val="24"/>
          <w:szCs w:val="24"/>
        </w:rPr>
        <w:t xml:space="preserve"> grounds;</w:t>
      </w:r>
    </w:p>
    <w:p w:rsidR="008E5FD3" w:rsidRPr="00E8264A" w:rsidRDefault="00C5567F" w:rsidP="00175948">
      <w:pPr>
        <w:pStyle w:val="ListParagraph"/>
        <w:widowControl/>
        <w:numPr>
          <w:ilvl w:val="1"/>
          <w:numId w:val="21"/>
        </w:numPr>
        <w:spacing w:after="120"/>
        <w:ind w:left="1077" w:hanging="357"/>
        <w:contextualSpacing w:val="0"/>
        <w:rPr>
          <w:rFonts w:asciiTheme="minorHAnsi" w:eastAsiaTheme="minorHAnsi" w:hAnsiTheme="minorHAnsi" w:cstheme="minorBidi"/>
          <w:snapToGrid/>
          <w:sz w:val="24"/>
          <w:szCs w:val="24"/>
        </w:rPr>
      </w:pPr>
      <w:r w:rsidRPr="00E8264A">
        <w:rPr>
          <w:rFonts w:asciiTheme="minorHAnsi" w:hAnsiTheme="minorHAnsi"/>
          <w:sz w:val="24"/>
          <w:szCs w:val="24"/>
        </w:rPr>
        <w:t>t</w:t>
      </w:r>
      <w:r w:rsidR="008E5FD3" w:rsidRPr="00E8264A">
        <w:rPr>
          <w:rFonts w:asciiTheme="minorHAnsi" w:hAnsiTheme="minorHAnsi"/>
          <w:sz w:val="24"/>
          <w:szCs w:val="24"/>
        </w:rPr>
        <w:t>he submitted data provide</w:t>
      </w:r>
      <w:r w:rsidRPr="00E8264A">
        <w:rPr>
          <w:rFonts w:asciiTheme="minorHAnsi" w:hAnsiTheme="minorHAnsi"/>
          <w:sz w:val="24"/>
          <w:szCs w:val="24"/>
        </w:rPr>
        <w:t>d</w:t>
      </w:r>
      <w:r w:rsidR="008E5FD3" w:rsidRPr="00E8264A">
        <w:rPr>
          <w:rFonts w:asciiTheme="minorHAnsi" w:hAnsiTheme="minorHAnsi"/>
          <w:sz w:val="24"/>
          <w:szCs w:val="24"/>
        </w:rPr>
        <w:t xml:space="preserve"> adequate evidence of efficacy in all aspects of the stated indication</w:t>
      </w:r>
      <w:r w:rsidR="008F1952" w:rsidRPr="00E8264A">
        <w:rPr>
          <w:rFonts w:asciiTheme="minorHAnsi" w:hAnsiTheme="minorHAnsi"/>
          <w:sz w:val="24"/>
          <w:szCs w:val="24"/>
        </w:rPr>
        <w:t>; and</w:t>
      </w:r>
    </w:p>
    <w:p w:rsidR="008E5FD3" w:rsidRPr="00E8264A" w:rsidRDefault="00EE31B6" w:rsidP="00175948">
      <w:pPr>
        <w:pStyle w:val="ListParagraph"/>
        <w:widowControl/>
        <w:numPr>
          <w:ilvl w:val="1"/>
          <w:numId w:val="21"/>
        </w:numPr>
        <w:spacing w:after="120"/>
        <w:ind w:left="1077" w:hanging="357"/>
        <w:contextualSpacing w:val="0"/>
        <w:rPr>
          <w:rFonts w:asciiTheme="minorHAnsi" w:eastAsiaTheme="minorHAnsi" w:hAnsiTheme="minorHAnsi" w:cstheme="minorBidi"/>
          <w:snapToGrid/>
          <w:sz w:val="24"/>
          <w:szCs w:val="24"/>
        </w:rPr>
      </w:pPr>
      <w:proofErr w:type="gramStart"/>
      <w:r w:rsidRPr="00E8264A">
        <w:rPr>
          <w:rFonts w:asciiTheme="minorHAnsi" w:hAnsiTheme="minorHAnsi"/>
          <w:sz w:val="24"/>
          <w:szCs w:val="24"/>
        </w:rPr>
        <w:t>the</w:t>
      </w:r>
      <w:proofErr w:type="gramEnd"/>
      <w:r w:rsidR="008E5FD3" w:rsidRPr="00E8264A">
        <w:rPr>
          <w:rFonts w:asciiTheme="minorHAnsi" w:hAnsiTheme="minorHAnsi"/>
          <w:sz w:val="24"/>
          <w:szCs w:val="24"/>
        </w:rPr>
        <w:t xml:space="preserve"> submission contain</w:t>
      </w:r>
      <w:r w:rsidR="00C5567F" w:rsidRPr="00E8264A">
        <w:rPr>
          <w:rFonts w:asciiTheme="minorHAnsi" w:hAnsiTheme="minorHAnsi"/>
          <w:sz w:val="24"/>
          <w:szCs w:val="24"/>
        </w:rPr>
        <w:t>ed</w:t>
      </w:r>
      <w:r w:rsidR="008E5FD3" w:rsidRPr="00E8264A">
        <w:rPr>
          <w:rFonts w:asciiTheme="minorHAnsi" w:hAnsiTheme="minorHAnsi"/>
          <w:sz w:val="24"/>
          <w:szCs w:val="24"/>
        </w:rPr>
        <w:t xml:space="preserve"> a substantial body of evidence that use of the n</w:t>
      </w:r>
      <w:r w:rsidR="008F1952" w:rsidRPr="00E8264A">
        <w:rPr>
          <w:rFonts w:asciiTheme="minorHAnsi" w:hAnsiTheme="minorHAnsi"/>
          <w:sz w:val="24"/>
          <w:szCs w:val="24"/>
        </w:rPr>
        <w:t>ew biosimilar glargine product wa</w:t>
      </w:r>
      <w:r w:rsidR="008E5FD3" w:rsidRPr="00E8264A">
        <w:rPr>
          <w:rFonts w:asciiTheme="minorHAnsi" w:hAnsiTheme="minorHAnsi"/>
          <w:sz w:val="24"/>
          <w:szCs w:val="24"/>
        </w:rPr>
        <w:t>s not associated with any newly emerging safety risk, nor any greater inc</w:t>
      </w:r>
      <w:r w:rsidR="008F1952" w:rsidRPr="00E8264A">
        <w:rPr>
          <w:rFonts w:asciiTheme="minorHAnsi" w:hAnsiTheme="minorHAnsi"/>
          <w:sz w:val="24"/>
          <w:szCs w:val="24"/>
        </w:rPr>
        <w:t>idence of adverse effects, than wa</w:t>
      </w:r>
      <w:r w:rsidR="008E5FD3" w:rsidRPr="00E8264A">
        <w:rPr>
          <w:rFonts w:asciiTheme="minorHAnsi" w:hAnsiTheme="minorHAnsi"/>
          <w:sz w:val="24"/>
          <w:szCs w:val="24"/>
        </w:rPr>
        <w:t>s experienced with the existing registered product.</w:t>
      </w:r>
    </w:p>
    <w:p w:rsidR="000B7467" w:rsidRPr="00E8264A" w:rsidRDefault="00665924" w:rsidP="00175948">
      <w:pPr>
        <w:pStyle w:val="ListParagraph"/>
        <w:widowControl/>
        <w:numPr>
          <w:ilvl w:val="1"/>
          <w:numId w:val="21"/>
        </w:numPr>
        <w:spacing w:after="120"/>
        <w:ind w:left="1077" w:hanging="357"/>
        <w:contextualSpacing w:val="0"/>
        <w:rPr>
          <w:rFonts w:asciiTheme="minorHAnsi" w:eastAsiaTheme="minorHAnsi" w:hAnsiTheme="minorHAnsi" w:cstheme="minorBidi"/>
          <w:snapToGrid/>
          <w:sz w:val="24"/>
          <w:szCs w:val="24"/>
        </w:rPr>
      </w:pPr>
      <w:r w:rsidRPr="00E8264A">
        <w:rPr>
          <w:rFonts w:asciiTheme="minorHAnsi" w:hAnsiTheme="minorHAnsi"/>
          <w:sz w:val="24"/>
          <w:szCs w:val="24"/>
        </w:rPr>
        <w:t>t</w:t>
      </w:r>
      <w:r w:rsidR="000B7467" w:rsidRPr="00E8264A">
        <w:rPr>
          <w:rFonts w:asciiTheme="minorHAnsi" w:hAnsiTheme="minorHAnsi"/>
          <w:sz w:val="24"/>
          <w:szCs w:val="24"/>
        </w:rPr>
        <w:t xml:space="preserve">he CER noted that there was no data on use in children, but ultimately found that it was reasonable to extrapolate efficacy in children from the adult data on </w:t>
      </w:r>
      <w:r w:rsidR="00E8264A">
        <w:rPr>
          <w:rFonts w:asciiTheme="minorHAnsi" w:hAnsiTheme="minorHAnsi"/>
          <w:sz w:val="24"/>
          <w:szCs w:val="24"/>
        </w:rPr>
        <w:t xml:space="preserve">Semglee® </w:t>
      </w:r>
      <w:r w:rsidR="000B7467" w:rsidRPr="00E8264A">
        <w:rPr>
          <w:rFonts w:asciiTheme="minorHAnsi" w:hAnsiTheme="minorHAnsi"/>
          <w:sz w:val="24"/>
          <w:szCs w:val="24"/>
        </w:rPr>
        <w:t>and the paediatric data on Lantus (section 11.1 of the CER).</w:t>
      </w:r>
    </w:p>
    <w:p w:rsidR="00600A1C" w:rsidRPr="00E8264A" w:rsidRDefault="00600A1C" w:rsidP="00600A1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This submission did not require further consideration by the Advisory Committee on Medicines (ACM).</w:t>
      </w:r>
    </w:p>
    <w:p w:rsidR="002B4C99" w:rsidRPr="00E8264A" w:rsidRDefault="002B4C99" w:rsidP="002B4C99">
      <w:pPr>
        <w:pStyle w:val="ListParagraph"/>
        <w:widowControl/>
        <w:numPr>
          <w:ilvl w:val="1"/>
          <w:numId w:val="14"/>
        </w:numPr>
        <w:spacing w:after="120"/>
        <w:contextualSpacing w:val="0"/>
        <w:rPr>
          <w:rFonts w:asciiTheme="minorHAnsi" w:hAnsiTheme="minorHAnsi"/>
          <w:sz w:val="24"/>
          <w:szCs w:val="24"/>
        </w:rPr>
      </w:pPr>
      <w:r w:rsidRPr="00E8264A">
        <w:rPr>
          <w:rFonts w:asciiTheme="minorHAnsi" w:hAnsiTheme="minorHAnsi"/>
          <w:sz w:val="24"/>
          <w:szCs w:val="24"/>
        </w:rPr>
        <w:t>The PBAC considered that the claim of non-inferior comparative effectiveness was reasonable.</w:t>
      </w:r>
    </w:p>
    <w:p w:rsidR="002B4C99" w:rsidRPr="00E8264A" w:rsidRDefault="002B4C99" w:rsidP="002B4C99">
      <w:pPr>
        <w:pStyle w:val="ListParagraph"/>
        <w:widowControl/>
        <w:numPr>
          <w:ilvl w:val="1"/>
          <w:numId w:val="14"/>
        </w:numPr>
        <w:spacing w:after="120"/>
        <w:contextualSpacing w:val="0"/>
        <w:rPr>
          <w:rFonts w:asciiTheme="minorHAnsi" w:hAnsiTheme="minorHAnsi"/>
          <w:sz w:val="24"/>
          <w:szCs w:val="24"/>
        </w:rPr>
      </w:pPr>
      <w:r w:rsidRPr="00E8264A">
        <w:rPr>
          <w:rFonts w:asciiTheme="minorHAnsi" w:hAnsiTheme="minorHAnsi"/>
          <w:sz w:val="24"/>
          <w:szCs w:val="24"/>
        </w:rPr>
        <w:lastRenderedPageBreak/>
        <w:t>The PBAC considered that the claim of non-inferior safety was reasonable.</w:t>
      </w:r>
    </w:p>
    <w:p w:rsidR="005A3173" w:rsidRPr="00E8264A" w:rsidRDefault="008B43B5" w:rsidP="008306F3">
      <w:pPr>
        <w:pStyle w:val="Heading2"/>
        <w:keepLines/>
        <w:spacing w:before="240" w:after="120"/>
        <w:rPr>
          <w:rFonts w:asciiTheme="minorHAnsi" w:eastAsiaTheme="majorEastAsia" w:hAnsiTheme="minorHAnsi" w:cstheme="majorBidi"/>
          <w:sz w:val="28"/>
          <w:szCs w:val="28"/>
          <w:lang w:eastAsia="en-US"/>
        </w:rPr>
      </w:pPr>
      <w:r w:rsidRPr="00E8264A">
        <w:rPr>
          <w:rFonts w:asciiTheme="minorHAnsi" w:eastAsiaTheme="majorEastAsia" w:hAnsiTheme="minorHAnsi" w:cstheme="majorBidi"/>
          <w:sz w:val="28"/>
          <w:szCs w:val="28"/>
          <w:lang w:eastAsia="en-US"/>
        </w:rPr>
        <w:t>F</w:t>
      </w:r>
      <w:r w:rsidR="005A3173" w:rsidRPr="00E8264A">
        <w:rPr>
          <w:rFonts w:asciiTheme="minorHAnsi" w:eastAsiaTheme="majorEastAsia" w:hAnsiTheme="minorHAnsi" w:cstheme="majorBidi"/>
          <w:sz w:val="28"/>
          <w:szCs w:val="28"/>
          <w:lang w:eastAsia="en-US"/>
        </w:rPr>
        <w:t>inancial implications</w:t>
      </w:r>
    </w:p>
    <w:p w:rsidR="00E94252" w:rsidRPr="00E8264A" w:rsidRDefault="009E716F" w:rsidP="003508B1">
      <w:pPr>
        <w:pStyle w:val="ListParagraph"/>
        <w:numPr>
          <w:ilvl w:val="1"/>
          <w:numId w:val="14"/>
        </w:numPr>
        <w:spacing w:before="120" w:after="16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 xml:space="preserve">If recommended, </w:t>
      </w:r>
      <w:r w:rsidR="00E8264A">
        <w:rPr>
          <w:rFonts w:asciiTheme="minorHAnsi" w:eastAsiaTheme="minorHAnsi" w:hAnsiTheme="minorHAnsi" w:cstheme="minorBidi"/>
          <w:snapToGrid/>
          <w:sz w:val="24"/>
          <w:szCs w:val="22"/>
        </w:rPr>
        <w:t xml:space="preserve">Semglee® </w:t>
      </w:r>
      <w:r w:rsidR="00591A45" w:rsidRPr="00E8264A">
        <w:rPr>
          <w:rFonts w:asciiTheme="minorHAnsi" w:eastAsiaTheme="minorHAnsi" w:hAnsiTheme="minorHAnsi" w:cstheme="minorBidi"/>
          <w:snapToGrid/>
          <w:sz w:val="24"/>
          <w:szCs w:val="22"/>
        </w:rPr>
        <w:t>would be the first biosimilar brand of insulin glargine to be listed on the PBS</w:t>
      </w:r>
      <w:r w:rsidRPr="00E8264A">
        <w:rPr>
          <w:rFonts w:asciiTheme="minorHAnsi" w:eastAsiaTheme="minorHAnsi" w:hAnsiTheme="minorHAnsi" w:cstheme="minorBidi"/>
          <w:snapToGrid/>
          <w:sz w:val="24"/>
          <w:szCs w:val="22"/>
        </w:rPr>
        <w:t>.</w:t>
      </w:r>
      <w:r w:rsidR="007104EE" w:rsidRPr="00E8264A">
        <w:rPr>
          <w:rFonts w:asciiTheme="minorHAnsi" w:eastAsiaTheme="minorHAnsi" w:hAnsiTheme="minorHAnsi" w:cstheme="minorBidi"/>
          <w:snapToGrid/>
          <w:sz w:val="24"/>
          <w:szCs w:val="22"/>
        </w:rPr>
        <w:t xml:space="preserve">  Under the latest amendments to the </w:t>
      </w:r>
      <w:r w:rsidR="007104EE" w:rsidRPr="005147F0">
        <w:rPr>
          <w:rFonts w:asciiTheme="minorHAnsi" w:eastAsiaTheme="minorHAnsi" w:hAnsiTheme="minorHAnsi" w:cstheme="minorBidi"/>
          <w:i/>
          <w:snapToGrid/>
          <w:sz w:val="24"/>
          <w:szCs w:val="22"/>
        </w:rPr>
        <w:t>National Health Act 1953</w:t>
      </w:r>
      <w:r w:rsidR="007104EE" w:rsidRPr="00E8264A">
        <w:rPr>
          <w:rFonts w:asciiTheme="minorHAnsi" w:eastAsiaTheme="minorHAnsi" w:hAnsiTheme="minorHAnsi" w:cstheme="minorBidi"/>
          <w:snapToGrid/>
          <w:sz w:val="24"/>
          <w:szCs w:val="22"/>
        </w:rPr>
        <w:t xml:space="preserve"> the maximum statutory reduction for first new brands of a pharmaceutical item from 1 October 2018 is 25%. </w:t>
      </w:r>
      <w:r w:rsidR="00591A45" w:rsidRPr="00E8264A">
        <w:rPr>
          <w:rFonts w:asciiTheme="minorHAnsi" w:eastAsiaTheme="minorHAnsi" w:hAnsiTheme="minorHAnsi" w:cstheme="minorBidi"/>
          <w:snapToGrid/>
          <w:sz w:val="24"/>
          <w:szCs w:val="22"/>
        </w:rPr>
        <w:t xml:space="preserve"> </w:t>
      </w:r>
    </w:p>
    <w:p w:rsidR="0028029C" w:rsidRPr="00105C57" w:rsidRDefault="0028029C" w:rsidP="003508B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05C57">
        <w:rPr>
          <w:rFonts w:asciiTheme="minorHAnsi" w:eastAsiaTheme="minorHAnsi" w:hAnsiTheme="minorHAnsi" w:cstheme="minorBidi"/>
          <w:snapToGrid/>
          <w:sz w:val="24"/>
          <w:szCs w:val="22"/>
        </w:rPr>
        <w:t xml:space="preserve">The Sponsor proposed an ex-manufacturer price for </w:t>
      </w:r>
      <w:r w:rsidR="00E8264A" w:rsidRPr="00105C57">
        <w:rPr>
          <w:rFonts w:asciiTheme="minorHAnsi" w:eastAsiaTheme="minorHAnsi" w:hAnsiTheme="minorHAnsi" w:cstheme="minorBidi"/>
          <w:snapToGrid/>
          <w:sz w:val="24"/>
          <w:szCs w:val="22"/>
        </w:rPr>
        <w:t xml:space="preserve">Semglee® </w:t>
      </w:r>
      <w:r w:rsidRPr="00105C57">
        <w:rPr>
          <w:rFonts w:asciiTheme="minorHAnsi" w:eastAsiaTheme="minorHAnsi" w:hAnsiTheme="minorHAnsi" w:cstheme="minorBidi"/>
          <w:snapToGrid/>
          <w:sz w:val="24"/>
          <w:szCs w:val="22"/>
        </w:rPr>
        <w:t>of 305.87, which is 25% lower than the price of Lantus</w:t>
      </w:r>
      <w:r w:rsidR="007104EE" w:rsidRPr="00105C57">
        <w:rPr>
          <w:rFonts w:asciiTheme="minorHAnsi" w:eastAsiaTheme="minorHAnsi" w:hAnsiTheme="minorHAnsi" w:cstheme="minorBidi"/>
          <w:snapToGrid/>
          <w:sz w:val="24"/>
          <w:szCs w:val="22"/>
        </w:rPr>
        <w:t xml:space="preserve"> at the time of submission</w:t>
      </w:r>
      <w:r w:rsidRPr="00105C57">
        <w:rPr>
          <w:rFonts w:asciiTheme="minorHAnsi" w:eastAsiaTheme="minorHAnsi" w:hAnsiTheme="minorHAnsi" w:cstheme="minorBidi"/>
          <w:snapToGrid/>
          <w:sz w:val="24"/>
          <w:szCs w:val="22"/>
        </w:rPr>
        <w:t xml:space="preserve"> ($360.75). The Secretariat note</w:t>
      </w:r>
      <w:r w:rsidR="00591E68" w:rsidRPr="00105C57">
        <w:rPr>
          <w:rFonts w:asciiTheme="minorHAnsi" w:eastAsiaTheme="minorHAnsi" w:hAnsiTheme="minorHAnsi" w:cstheme="minorBidi"/>
          <w:snapToGrid/>
          <w:sz w:val="24"/>
          <w:szCs w:val="22"/>
        </w:rPr>
        <w:t>d</w:t>
      </w:r>
      <w:r w:rsidRPr="00105C57">
        <w:rPr>
          <w:rFonts w:asciiTheme="minorHAnsi" w:eastAsiaTheme="minorHAnsi" w:hAnsiTheme="minorHAnsi" w:cstheme="minorBidi"/>
          <w:snapToGrid/>
          <w:sz w:val="24"/>
          <w:szCs w:val="22"/>
        </w:rPr>
        <w:t xml:space="preserve"> that a 25% price reduction to the published DPMQ of Lantus ($406.25) is $304.69.</w:t>
      </w:r>
      <w:r w:rsidR="00591E68" w:rsidRPr="00105C57">
        <w:rPr>
          <w:rFonts w:asciiTheme="minorHAnsi" w:eastAsiaTheme="minorHAnsi" w:hAnsiTheme="minorHAnsi" w:cstheme="minorBidi"/>
          <w:snapToGrid/>
          <w:sz w:val="24"/>
          <w:szCs w:val="22"/>
        </w:rPr>
        <w:t xml:space="preserve"> In its pre-PBAC response, the sponsor clarified that it wished to propose an ex-manufacturer price of $270.55, which is 25% lower than the price of Lantus </w:t>
      </w:r>
      <w:r w:rsidR="007104EE" w:rsidRPr="00105C57">
        <w:rPr>
          <w:rFonts w:asciiTheme="minorHAnsi" w:eastAsiaTheme="minorHAnsi" w:hAnsiTheme="minorHAnsi" w:cstheme="minorBidi"/>
          <w:snapToGrid/>
          <w:sz w:val="24"/>
          <w:szCs w:val="22"/>
        </w:rPr>
        <w:t xml:space="preserve">at the time of the submission </w:t>
      </w:r>
      <w:r w:rsidR="00591E68" w:rsidRPr="00105C57">
        <w:rPr>
          <w:rFonts w:asciiTheme="minorHAnsi" w:eastAsiaTheme="minorHAnsi" w:hAnsiTheme="minorHAnsi" w:cstheme="minorBidi"/>
          <w:snapToGrid/>
          <w:sz w:val="24"/>
          <w:szCs w:val="22"/>
        </w:rPr>
        <w:t xml:space="preserve">($360.75) and with standard fees and mark-ups results in a DPMQ for </w:t>
      </w:r>
      <w:r w:rsidR="00E8264A" w:rsidRPr="00105C57">
        <w:rPr>
          <w:rFonts w:asciiTheme="minorHAnsi" w:eastAsiaTheme="minorHAnsi" w:hAnsiTheme="minorHAnsi" w:cstheme="minorBidi"/>
          <w:snapToGrid/>
          <w:sz w:val="24"/>
          <w:szCs w:val="22"/>
        </w:rPr>
        <w:t xml:space="preserve">Semglee® </w:t>
      </w:r>
      <w:r w:rsidR="00591E68" w:rsidRPr="00105C57">
        <w:rPr>
          <w:rFonts w:asciiTheme="minorHAnsi" w:eastAsiaTheme="minorHAnsi" w:hAnsiTheme="minorHAnsi" w:cstheme="minorBidi"/>
          <w:snapToGrid/>
          <w:sz w:val="24"/>
          <w:szCs w:val="22"/>
        </w:rPr>
        <w:t>of $305.87.</w:t>
      </w:r>
    </w:p>
    <w:p w:rsidR="000C74FF" w:rsidRPr="00E8264A" w:rsidRDefault="009E716F" w:rsidP="003508B1">
      <w:pPr>
        <w:pStyle w:val="ListParagraph"/>
        <w:numPr>
          <w:ilvl w:val="1"/>
          <w:numId w:val="14"/>
        </w:numPr>
        <w:spacing w:before="120" w:after="16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The</w:t>
      </w:r>
      <w:r w:rsidR="00A076B3" w:rsidRPr="00E8264A">
        <w:rPr>
          <w:rFonts w:asciiTheme="minorHAnsi" w:eastAsiaTheme="minorHAnsi" w:hAnsiTheme="minorHAnsi" w:cstheme="minorBidi"/>
          <w:snapToGrid/>
          <w:sz w:val="24"/>
          <w:szCs w:val="22"/>
        </w:rPr>
        <w:t xml:space="preserve"> minor</w:t>
      </w:r>
      <w:r w:rsidRPr="00E8264A">
        <w:rPr>
          <w:rFonts w:asciiTheme="minorHAnsi" w:eastAsiaTheme="minorHAnsi" w:hAnsiTheme="minorHAnsi" w:cstheme="minorBidi"/>
          <w:snapToGrid/>
          <w:sz w:val="24"/>
          <w:szCs w:val="22"/>
        </w:rPr>
        <w:t xml:space="preserve"> submission</w:t>
      </w:r>
      <w:r w:rsidR="00A076B3" w:rsidRPr="00E8264A">
        <w:rPr>
          <w:rFonts w:asciiTheme="minorHAnsi" w:eastAsiaTheme="minorHAnsi" w:hAnsiTheme="minorHAnsi" w:cstheme="minorBidi"/>
          <w:snapToGrid/>
          <w:sz w:val="24"/>
          <w:szCs w:val="22"/>
        </w:rPr>
        <w:t xml:space="preserve"> estimated a </w:t>
      </w:r>
      <w:r w:rsidR="00A92B5F" w:rsidRPr="00E8264A">
        <w:rPr>
          <w:rFonts w:asciiTheme="minorHAnsi" w:eastAsiaTheme="minorHAnsi" w:hAnsiTheme="minorHAnsi" w:cstheme="minorBidi"/>
          <w:snapToGrid/>
          <w:sz w:val="24"/>
          <w:szCs w:val="22"/>
        </w:rPr>
        <w:t xml:space="preserve">net save to the PBS of </w:t>
      </w:r>
      <w:r w:rsidR="00AE164C">
        <w:rPr>
          <w:rFonts w:asciiTheme="minorHAnsi" w:eastAsiaTheme="minorHAnsi" w:hAnsiTheme="minorHAnsi" w:cstheme="minorBidi"/>
          <w:snapToGrid/>
          <w:sz w:val="24"/>
          <w:szCs w:val="22"/>
        </w:rPr>
        <w:t>$10 - $20 million</w:t>
      </w:r>
      <w:r w:rsidR="00A92B5F" w:rsidRPr="00E8264A">
        <w:rPr>
          <w:rFonts w:asciiTheme="minorHAnsi" w:eastAsiaTheme="minorHAnsi" w:hAnsiTheme="minorHAnsi" w:cstheme="minorBidi"/>
          <w:snapToGrid/>
          <w:sz w:val="24"/>
          <w:szCs w:val="22"/>
        </w:rPr>
        <w:t xml:space="preserve"> in Year 6 of listing with a </w:t>
      </w:r>
      <w:r w:rsidR="00A076B3" w:rsidRPr="00E8264A">
        <w:rPr>
          <w:rFonts w:asciiTheme="minorHAnsi" w:eastAsiaTheme="minorHAnsi" w:hAnsiTheme="minorHAnsi" w:cstheme="minorBidi"/>
          <w:snapToGrid/>
          <w:sz w:val="24"/>
          <w:szCs w:val="22"/>
        </w:rPr>
        <w:t xml:space="preserve">total net save to the PBS/RPBS of </w:t>
      </w:r>
      <w:r w:rsidR="00AE164C">
        <w:rPr>
          <w:rFonts w:asciiTheme="minorHAnsi" w:eastAsiaTheme="minorHAnsi" w:hAnsiTheme="minorHAnsi" w:cstheme="minorBidi"/>
          <w:snapToGrid/>
          <w:sz w:val="24"/>
          <w:szCs w:val="22"/>
        </w:rPr>
        <w:t>$30 - $60 million</w:t>
      </w:r>
      <w:r w:rsidR="00A92B5F" w:rsidRPr="00E8264A">
        <w:rPr>
          <w:rFonts w:asciiTheme="minorHAnsi" w:eastAsiaTheme="minorHAnsi" w:hAnsiTheme="minorHAnsi" w:cstheme="minorBidi"/>
          <w:snapToGrid/>
          <w:sz w:val="24"/>
          <w:szCs w:val="22"/>
        </w:rPr>
        <w:t xml:space="preserve"> over the first 6 years in listing. This is summarised in the </w:t>
      </w:r>
      <w:r w:rsidR="0037045A">
        <w:rPr>
          <w:rFonts w:asciiTheme="minorHAnsi" w:eastAsiaTheme="minorHAnsi" w:hAnsiTheme="minorHAnsi" w:cstheme="minorBidi"/>
          <w:snapToGrid/>
          <w:sz w:val="24"/>
          <w:szCs w:val="22"/>
        </w:rPr>
        <w:t xml:space="preserve">redacted </w:t>
      </w:r>
      <w:r w:rsidR="00A92B5F" w:rsidRPr="00E8264A">
        <w:rPr>
          <w:rFonts w:asciiTheme="minorHAnsi" w:eastAsiaTheme="minorHAnsi" w:hAnsiTheme="minorHAnsi" w:cstheme="minorBidi"/>
          <w:snapToGrid/>
          <w:sz w:val="24"/>
          <w:szCs w:val="22"/>
        </w:rPr>
        <w:t>table below.</w:t>
      </w:r>
    </w:p>
    <w:p w:rsidR="00A92B5F" w:rsidRPr="00611B1C" w:rsidRDefault="00A92B5F" w:rsidP="00611B1C">
      <w:pPr>
        <w:keepNext/>
        <w:jc w:val="both"/>
        <w:rPr>
          <w:rFonts w:ascii="Arial Narrow" w:hAnsi="Arial Narrow"/>
          <w:b/>
          <w:bCs/>
          <w:sz w:val="20"/>
          <w:szCs w:val="18"/>
          <w:lang w:eastAsia="en-US" w:bidi="en-US"/>
        </w:rPr>
      </w:pPr>
      <w:bookmarkStart w:id="0" w:name="_Ref499799828"/>
      <w:bookmarkStart w:id="1" w:name="_Ref499808266"/>
      <w:bookmarkStart w:id="2" w:name="_Toc501101492"/>
      <w:r w:rsidRPr="00611B1C">
        <w:rPr>
          <w:rFonts w:ascii="Arial Narrow" w:hAnsi="Arial Narrow"/>
          <w:b/>
          <w:bCs/>
          <w:sz w:val="20"/>
          <w:szCs w:val="18"/>
          <w:lang w:eastAsia="en-US" w:bidi="en-US"/>
        </w:rPr>
        <w:t xml:space="preserve">Table </w:t>
      </w:r>
      <w:bookmarkEnd w:id="0"/>
      <w:bookmarkEnd w:id="1"/>
      <w:r w:rsidR="00CB386C" w:rsidRPr="00611B1C">
        <w:rPr>
          <w:rFonts w:ascii="Arial Narrow" w:hAnsi="Arial Narrow"/>
          <w:b/>
          <w:bCs/>
          <w:sz w:val="20"/>
          <w:szCs w:val="18"/>
          <w:lang w:eastAsia="en-US" w:bidi="en-US"/>
        </w:rPr>
        <w:t>2</w:t>
      </w:r>
      <w:r w:rsidRPr="00611B1C">
        <w:rPr>
          <w:rFonts w:ascii="Arial Narrow" w:hAnsi="Arial Narrow"/>
          <w:b/>
          <w:bCs/>
          <w:sz w:val="20"/>
          <w:szCs w:val="18"/>
          <w:lang w:eastAsia="en-US" w:bidi="en-US"/>
        </w:rPr>
        <w:t>: Estimated net cost to the PBS/RPBS for Semglee</w:t>
      </w:r>
      <w:bookmarkEnd w:id="2"/>
    </w:p>
    <w:tbl>
      <w:tblPr>
        <w:tblStyle w:val="Submissionstandard91"/>
        <w:tblpPr w:leftFromText="180" w:rightFromText="180" w:vertAnchor="text" w:horzAnchor="margin" w:tblpY="33"/>
        <w:tblW w:w="5064" w:type="pct"/>
        <w:tblLayout w:type="fixed"/>
        <w:tblLook w:val="04A0" w:firstRow="1" w:lastRow="0" w:firstColumn="1" w:lastColumn="0" w:noHBand="0" w:noVBand="1"/>
        <w:tblCaption w:val="Table 2: Estimated net cost to the PBS/RPBS for Semglee"/>
      </w:tblPr>
      <w:tblGrid>
        <w:gridCol w:w="1371"/>
        <w:gridCol w:w="1335"/>
        <w:gridCol w:w="1335"/>
        <w:gridCol w:w="1335"/>
        <w:gridCol w:w="1335"/>
        <w:gridCol w:w="1335"/>
        <w:gridCol w:w="1314"/>
      </w:tblGrid>
      <w:tr w:rsidR="00CB386C" w:rsidRPr="00E8264A" w:rsidTr="003D3BBD">
        <w:trPr>
          <w:cnfStyle w:val="100000000000" w:firstRow="1" w:lastRow="0" w:firstColumn="0" w:lastColumn="0" w:oddVBand="0" w:evenVBand="0" w:oddHBand="0" w:evenHBand="0" w:firstRowFirstColumn="0" w:firstRowLastColumn="0" w:lastRowFirstColumn="0" w:lastRowLastColumn="0"/>
          <w:trHeight w:val="285"/>
          <w:tblHeader/>
        </w:trPr>
        <w:tc>
          <w:tcPr>
            <w:tcW w:w="733" w:type="pct"/>
            <w:shd w:val="clear" w:color="auto" w:fill="auto"/>
            <w:noWrap/>
            <w:hideMark/>
          </w:tcPr>
          <w:p w:rsidR="00CB386C" w:rsidRPr="00E8264A" w:rsidRDefault="00CB386C" w:rsidP="00611B1C">
            <w:pPr>
              <w:keepNext/>
              <w:rPr>
                <w:sz w:val="20"/>
                <w:szCs w:val="20"/>
                <w:lang w:val="en-AU"/>
              </w:rPr>
            </w:pPr>
            <w:r w:rsidRPr="00E8264A">
              <w:rPr>
                <w:sz w:val="20"/>
                <w:szCs w:val="20"/>
                <w:lang w:val="en-AU"/>
              </w:rPr>
              <w:t> </w:t>
            </w:r>
          </w:p>
        </w:tc>
        <w:tc>
          <w:tcPr>
            <w:tcW w:w="713" w:type="pct"/>
            <w:shd w:val="clear" w:color="auto" w:fill="auto"/>
            <w:noWrap/>
            <w:vAlign w:val="center"/>
            <w:hideMark/>
          </w:tcPr>
          <w:p w:rsidR="00CB386C" w:rsidRPr="00E8264A" w:rsidRDefault="00CB386C" w:rsidP="00611B1C">
            <w:pPr>
              <w:keepNext/>
              <w:jc w:val="center"/>
              <w:rPr>
                <w:sz w:val="20"/>
                <w:szCs w:val="20"/>
                <w:lang w:val="en-AU"/>
              </w:rPr>
            </w:pPr>
            <w:r w:rsidRPr="00E8264A">
              <w:rPr>
                <w:sz w:val="20"/>
                <w:szCs w:val="20"/>
                <w:lang w:val="en-AU"/>
              </w:rPr>
              <w:t>2018</w:t>
            </w:r>
          </w:p>
        </w:tc>
        <w:tc>
          <w:tcPr>
            <w:tcW w:w="713" w:type="pct"/>
            <w:shd w:val="clear" w:color="auto" w:fill="auto"/>
            <w:noWrap/>
            <w:vAlign w:val="center"/>
            <w:hideMark/>
          </w:tcPr>
          <w:p w:rsidR="00CB386C" w:rsidRPr="00E8264A" w:rsidRDefault="00CB386C" w:rsidP="00611B1C">
            <w:pPr>
              <w:keepNext/>
              <w:jc w:val="center"/>
              <w:rPr>
                <w:sz w:val="20"/>
                <w:szCs w:val="20"/>
                <w:lang w:val="en-AU"/>
              </w:rPr>
            </w:pPr>
            <w:r w:rsidRPr="00E8264A">
              <w:rPr>
                <w:sz w:val="20"/>
                <w:szCs w:val="20"/>
                <w:lang w:val="en-AU"/>
              </w:rPr>
              <w:t>2019</w:t>
            </w:r>
          </w:p>
        </w:tc>
        <w:tc>
          <w:tcPr>
            <w:tcW w:w="713" w:type="pct"/>
            <w:shd w:val="clear" w:color="auto" w:fill="auto"/>
            <w:noWrap/>
            <w:vAlign w:val="center"/>
            <w:hideMark/>
          </w:tcPr>
          <w:p w:rsidR="00CB386C" w:rsidRPr="00E8264A" w:rsidRDefault="00CB386C" w:rsidP="00611B1C">
            <w:pPr>
              <w:keepNext/>
              <w:jc w:val="center"/>
              <w:rPr>
                <w:sz w:val="20"/>
                <w:szCs w:val="20"/>
                <w:lang w:val="en-AU"/>
              </w:rPr>
            </w:pPr>
            <w:r w:rsidRPr="00E8264A">
              <w:rPr>
                <w:sz w:val="20"/>
                <w:szCs w:val="20"/>
                <w:lang w:val="en-AU"/>
              </w:rPr>
              <w:t>2020</w:t>
            </w:r>
          </w:p>
        </w:tc>
        <w:tc>
          <w:tcPr>
            <w:tcW w:w="713" w:type="pct"/>
            <w:shd w:val="clear" w:color="auto" w:fill="auto"/>
            <w:noWrap/>
            <w:vAlign w:val="center"/>
            <w:hideMark/>
          </w:tcPr>
          <w:p w:rsidR="00CB386C" w:rsidRPr="00E8264A" w:rsidRDefault="00CB386C" w:rsidP="00611B1C">
            <w:pPr>
              <w:keepNext/>
              <w:jc w:val="center"/>
              <w:rPr>
                <w:sz w:val="20"/>
                <w:szCs w:val="20"/>
                <w:lang w:val="en-AU"/>
              </w:rPr>
            </w:pPr>
            <w:r w:rsidRPr="00E8264A">
              <w:rPr>
                <w:sz w:val="20"/>
                <w:szCs w:val="20"/>
                <w:lang w:val="en-AU"/>
              </w:rPr>
              <w:t>2021</w:t>
            </w:r>
          </w:p>
        </w:tc>
        <w:tc>
          <w:tcPr>
            <w:tcW w:w="713" w:type="pct"/>
            <w:shd w:val="clear" w:color="auto" w:fill="auto"/>
            <w:noWrap/>
            <w:vAlign w:val="center"/>
            <w:hideMark/>
          </w:tcPr>
          <w:p w:rsidR="00CB386C" w:rsidRPr="00E8264A" w:rsidRDefault="00CB386C" w:rsidP="00611B1C">
            <w:pPr>
              <w:keepNext/>
              <w:jc w:val="center"/>
              <w:rPr>
                <w:sz w:val="20"/>
                <w:szCs w:val="20"/>
                <w:lang w:val="en-AU"/>
              </w:rPr>
            </w:pPr>
            <w:r w:rsidRPr="00E8264A">
              <w:rPr>
                <w:sz w:val="20"/>
                <w:szCs w:val="20"/>
                <w:lang w:val="en-AU"/>
              </w:rPr>
              <w:t>2022</w:t>
            </w:r>
          </w:p>
        </w:tc>
        <w:tc>
          <w:tcPr>
            <w:tcW w:w="702" w:type="pct"/>
            <w:shd w:val="clear" w:color="auto" w:fill="auto"/>
            <w:noWrap/>
            <w:vAlign w:val="center"/>
            <w:hideMark/>
          </w:tcPr>
          <w:p w:rsidR="00CB386C" w:rsidRPr="00E8264A" w:rsidRDefault="00CB386C" w:rsidP="00611B1C">
            <w:pPr>
              <w:keepNext/>
              <w:jc w:val="center"/>
              <w:rPr>
                <w:sz w:val="20"/>
                <w:szCs w:val="20"/>
                <w:lang w:val="en-AU"/>
              </w:rPr>
            </w:pPr>
            <w:r w:rsidRPr="00E8264A">
              <w:rPr>
                <w:sz w:val="20"/>
                <w:szCs w:val="20"/>
                <w:lang w:val="en-AU"/>
              </w:rPr>
              <w:t>2023</w:t>
            </w:r>
          </w:p>
        </w:tc>
      </w:tr>
      <w:tr w:rsidR="00CB386C" w:rsidRPr="00E8264A" w:rsidTr="00410966">
        <w:trPr>
          <w:trHeight w:val="285"/>
        </w:trPr>
        <w:tc>
          <w:tcPr>
            <w:tcW w:w="5000" w:type="pct"/>
            <w:gridSpan w:val="7"/>
            <w:shd w:val="clear" w:color="auto" w:fill="D9D9D9" w:themeFill="background1" w:themeFillShade="D9"/>
            <w:noWrap/>
            <w:vAlign w:val="center"/>
            <w:hideMark/>
          </w:tcPr>
          <w:p w:rsidR="00CB386C" w:rsidRPr="00E8264A" w:rsidRDefault="00CB386C" w:rsidP="00611B1C">
            <w:pPr>
              <w:keepNext/>
              <w:rPr>
                <w:b/>
                <w:sz w:val="20"/>
                <w:szCs w:val="20"/>
                <w:lang w:val="en-AU"/>
              </w:rPr>
            </w:pPr>
            <w:r w:rsidRPr="00E8264A">
              <w:rPr>
                <w:b/>
                <w:sz w:val="20"/>
                <w:szCs w:val="20"/>
                <w:lang w:val="en-AU"/>
              </w:rPr>
              <w:t>Projected net cost of new listing (Semglee)</w:t>
            </w:r>
          </w:p>
        </w:tc>
      </w:tr>
      <w:tr w:rsidR="00CB386C" w:rsidRPr="00E8264A" w:rsidTr="00410966">
        <w:trPr>
          <w:trHeight w:val="285"/>
        </w:trPr>
        <w:tc>
          <w:tcPr>
            <w:tcW w:w="733" w:type="pct"/>
            <w:noWrap/>
            <w:vAlign w:val="center"/>
            <w:hideMark/>
          </w:tcPr>
          <w:p w:rsidR="00CB386C" w:rsidRPr="00E8264A" w:rsidRDefault="00CB386C" w:rsidP="00611B1C">
            <w:pPr>
              <w:keepNext/>
              <w:rPr>
                <w:sz w:val="20"/>
                <w:szCs w:val="20"/>
                <w:lang w:val="en-AU"/>
              </w:rPr>
            </w:pPr>
            <w:r w:rsidRPr="00E8264A">
              <w:rPr>
                <w:sz w:val="20"/>
                <w:szCs w:val="20"/>
                <w:lang w:val="en-AU"/>
              </w:rPr>
              <w:t>to PBS</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02"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r>
      <w:tr w:rsidR="00CB386C" w:rsidRPr="00E8264A" w:rsidTr="00410966">
        <w:trPr>
          <w:trHeight w:val="285"/>
        </w:trPr>
        <w:tc>
          <w:tcPr>
            <w:tcW w:w="733" w:type="pct"/>
            <w:noWrap/>
            <w:vAlign w:val="center"/>
            <w:hideMark/>
          </w:tcPr>
          <w:p w:rsidR="00CB386C" w:rsidRPr="00E8264A" w:rsidRDefault="00CB386C" w:rsidP="00611B1C">
            <w:pPr>
              <w:keepNext/>
              <w:rPr>
                <w:sz w:val="20"/>
                <w:szCs w:val="20"/>
                <w:lang w:val="en-AU"/>
              </w:rPr>
            </w:pPr>
            <w:r w:rsidRPr="00E8264A">
              <w:rPr>
                <w:sz w:val="20"/>
                <w:szCs w:val="20"/>
                <w:lang w:val="en-AU"/>
              </w:rPr>
              <w:t>to RPBS</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02"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r>
      <w:tr w:rsidR="00CB386C" w:rsidRPr="00E8264A" w:rsidTr="00410966">
        <w:trPr>
          <w:trHeight w:val="285"/>
        </w:trPr>
        <w:tc>
          <w:tcPr>
            <w:tcW w:w="733" w:type="pct"/>
            <w:noWrap/>
            <w:vAlign w:val="center"/>
            <w:hideMark/>
          </w:tcPr>
          <w:p w:rsidR="00CB386C" w:rsidRPr="00E8264A" w:rsidRDefault="00CB386C" w:rsidP="00611B1C">
            <w:pPr>
              <w:keepNext/>
              <w:rPr>
                <w:sz w:val="20"/>
                <w:szCs w:val="20"/>
                <w:lang w:val="en-AU"/>
              </w:rPr>
            </w:pPr>
            <w:r w:rsidRPr="00E8264A">
              <w:rPr>
                <w:sz w:val="20"/>
                <w:szCs w:val="20"/>
                <w:lang w:val="en-AU"/>
              </w:rPr>
              <w:t>to PBS/RPBS</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02"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r>
      <w:tr w:rsidR="00CB386C" w:rsidRPr="00E8264A" w:rsidTr="00410966">
        <w:trPr>
          <w:trHeight w:val="285"/>
        </w:trPr>
        <w:tc>
          <w:tcPr>
            <w:tcW w:w="5000" w:type="pct"/>
            <w:gridSpan w:val="7"/>
            <w:shd w:val="clear" w:color="auto" w:fill="D9D9D9" w:themeFill="background1" w:themeFillShade="D9"/>
            <w:noWrap/>
            <w:vAlign w:val="center"/>
            <w:hideMark/>
          </w:tcPr>
          <w:p w:rsidR="00CB386C" w:rsidRPr="00E8264A" w:rsidRDefault="00CB386C" w:rsidP="00611B1C">
            <w:pPr>
              <w:keepNext/>
              <w:rPr>
                <w:b/>
                <w:sz w:val="20"/>
                <w:szCs w:val="20"/>
                <w:lang w:val="en-AU"/>
              </w:rPr>
            </w:pPr>
            <w:r w:rsidRPr="00E8264A">
              <w:rPr>
                <w:b/>
                <w:sz w:val="20"/>
                <w:szCs w:val="20"/>
                <w:lang w:val="en-AU"/>
              </w:rPr>
              <w:t>Projected net savings of displaced medicines (Lantus)</w:t>
            </w:r>
          </w:p>
        </w:tc>
      </w:tr>
      <w:tr w:rsidR="00CB386C" w:rsidRPr="00E8264A" w:rsidTr="00410966">
        <w:trPr>
          <w:trHeight w:val="285"/>
        </w:trPr>
        <w:tc>
          <w:tcPr>
            <w:tcW w:w="733" w:type="pct"/>
            <w:noWrap/>
            <w:vAlign w:val="center"/>
            <w:hideMark/>
          </w:tcPr>
          <w:p w:rsidR="00CB386C" w:rsidRPr="00E8264A" w:rsidRDefault="00CB386C" w:rsidP="00611B1C">
            <w:pPr>
              <w:keepNext/>
              <w:rPr>
                <w:sz w:val="20"/>
                <w:szCs w:val="20"/>
                <w:lang w:val="en-AU"/>
              </w:rPr>
            </w:pPr>
            <w:r w:rsidRPr="00E8264A">
              <w:rPr>
                <w:sz w:val="20"/>
                <w:szCs w:val="20"/>
                <w:lang w:val="en-AU"/>
              </w:rPr>
              <w:t>to PBS</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02"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r>
      <w:tr w:rsidR="00CB386C" w:rsidRPr="00E8264A" w:rsidTr="00410966">
        <w:trPr>
          <w:trHeight w:val="285"/>
        </w:trPr>
        <w:tc>
          <w:tcPr>
            <w:tcW w:w="733" w:type="pct"/>
            <w:noWrap/>
            <w:vAlign w:val="center"/>
            <w:hideMark/>
          </w:tcPr>
          <w:p w:rsidR="00CB386C" w:rsidRPr="00E8264A" w:rsidRDefault="00CB386C" w:rsidP="00611B1C">
            <w:pPr>
              <w:keepNext/>
              <w:rPr>
                <w:sz w:val="20"/>
                <w:szCs w:val="20"/>
                <w:lang w:val="en-AU"/>
              </w:rPr>
            </w:pPr>
            <w:r w:rsidRPr="00E8264A">
              <w:rPr>
                <w:sz w:val="20"/>
                <w:szCs w:val="20"/>
                <w:lang w:val="en-AU"/>
              </w:rPr>
              <w:t>to RPBS</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02"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r>
      <w:tr w:rsidR="00CB386C" w:rsidRPr="00E8264A" w:rsidTr="00410966">
        <w:trPr>
          <w:trHeight w:val="285"/>
        </w:trPr>
        <w:tc>
          <w:tcPr>
            <w:tcW w:w="733" w:type="pct"/>
            <w:noWrap/>
            <w:vAlign w:val="center"/>
            <w:hideMark/>
          </w:tcPr>
          <w:p w:rsidR="00CB386C" w:rsidRPr="00E8264A" w:rsidRDefault="00CB386C" w:rsidP="00611B1C">
            <w:pPr>
              <w:keepNext/>
              <w:rPr>
                <w:sz w:val="20"/>
                <w:szCs w:val="20"/>
                <w:lang w:val="en-AU"/>
              </w:rPr>
            </w:pPr>
            <w:r w:rsidRPr="00E8264A">
              <w:rPr>
                <w:sz w:val="20"/>
                <w:szCs w:val="20"/>
                <w:lang w:val="en-AU"/>
              </w:rPr>
              <w:t>to PBS/RPBS</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02"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r>
      <w:tr w:rsidR="00CB386C" w:rsidRPr="00E8264A" w:rsidTr="00410966">
        <w:trPr>
          <w:trHeight w:val="285"/>
        </w:trPr>
        <w:tc>
          <w:tcPr>
            <w:tcW w:w="5000" w:type="pct"/>
            <w:gridSpan w:val="7"/>
            <w:shd w:val="clear" w:color="auto" w:fill="B8CCE4" w:themeFill="accent1" w:themeFillTint="66"/>
            <w:noWrap/>
            <w:vAlign w:val="center"/>
            <w:hideMark/>
          </w:tcPr>
          <w:p w:rsidR="00CB386C" w:rsidRPr="00E8264A" w:rsidRDefault="00CB386C" w:rsidP="00611B1C">
            <w:pPr>
              <w:keepNext/>
              <w:rPr>
                <w:b/>
                <w:sz w:val="20"/>
                <w:szCs w:val="20"/>
                <w:lang w:val="en-AU"/>
              </w:rPr>
            </w:pPr>
            <w:r w:rsidRPr="00E8264A">
              <w:rPr>
                <w:b/>
                <w:sz w:val="20"/>
                <w:szCs w:val="20"/>
                <w:lang w:val="en-AU"/>
              </w:rPr>
              <w:t>Net cost to the PBS/RPBS</w:t>
            </w:r>
          </w:p>
        </w:tc>
      </w:tr>
      <w:tr w:rsidR="00CB386C" w:rsidRPr="00E8264A" w:rsidTr="00014F74">
        <w:trPr>
          <w:trHeight w:hRule="exact" w:val="304"/>
        </w:trPr>
        <w:tc>
          <w:tcPr>
            <w:tcW w:w="733" w:type="pct"/>
            <w:noWrap/>
            <w:vAlign w:val="center"/>
            <w:hideMark/>
          </w:tcPr>
          <w:p w:rsidR="00CB386C" w:rsidRPr="00E8264A" w:rsidRDefault="00CB386C" w:rsidP="00611B1C">
            <w:pPr>
              <w:keepNext/>
              <w:rPr>
                <w:sz w:val="20"/>
                <w:szCs w:val="20"/>
                <w:lang w:val="en-AU"/>
              </w:rPr>
            </w:pPr>
            <w:r w:rsidRPr="00E8264A">
              <w:rPr>
                <w:sz w:val="20"/>
                <w:szCs w:val="20"/>
                <w:lang w:val="en-AU"/>
              </w:rPr>
              <w:t>to PBS</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02"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r>
      <w:tr w:rsidR="00CB386C" w:rsidRPr="00E8264A" w:rsidTr="00410966">
        <w:trPr>
          <w:trHeight w:val="285"/>
        </w:trPr>
        <w:tc>
          <w:tcPr>
            <w:tcW w:w="733" w:type="pct"/>
            <w:noWrap/>
            <w:vAlign w:val="center"/>
            <w:hideMark/>
          </w:tcPr>
          <w:p w:rsidR="00CB386C" w:rsidRPr="00E8264A" w:rsidRDefault="00CB386C" w:rsidP="00611B1C">
            <w:pPr>
              <w:keepNext/>
              <w:rPr>
                <w:sz w:val="20"/>
                <w:szCs w:val="20"/>
                <w:lang w:val="en-AU"/>
              </w:rPr>
            </w:pPr>
            <w:r w:rsidRPr="00E8264A">
              <w:rPr>
                <w:sz w:val="20"/>
                <w:szCs w:val="20"/>
                <w:lang w:val="en-AU"/>
              </w:rPr>
              <w:t>to RPBS</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02"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r>
      <w:tr w:rsidR="00CB386C" w:rsidRPr="00E8264A" w:rsidTr="00410966">
        <w:trPr>
          <w:trHeight w:val="285"/>
        </w:trPr>
        <w:tc>
          <w:tcPr>
            <w:tcW w:w="733" w:type="pct"/>
            <w:noWrap/>
            <w:vAlign w:val="center"/>
            <w:hideMark/>
          </w:tcPr>
          <w:p w:rsidR="00CB386C" w:rsidRPr="00E8264A" w:rsidRDefault="00CB386C" w:rsidP="00611B1C">
            <w:pPr>
              <w:keepNext/>
              <w:rPr>
                <w:sz w:val="20"/>
                <w:szCs w:val="20"/>
                <w:lang w:val="en-AU"/>
              </w:rPr>
            </w:pPr>
            <w:r w:rsidRPr="00E8264A">
              <w:rPr>
                <w:sz w:val="20"/>
                <w:szCs w:val="20"/>
                <w:lang w:val="en-AU"/>
              </w:rPr>
              <w:t>to PBS/RPBS</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02"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r>
      <w:tr w:rsidR="00CB386C" w:rsidRPr="00E8264A" w:rsidTr="00410966">
        <w:trPr>
          <w:trHeight w:val="285"/>
        </w:trPr>
        <w:tc>
          <w:tcPr>
            <w:tcW w:w="5000" w:type="pct"/>
            <w:gridSpan w:val="7"/>
            <w:shd w:val="clear" w:color="auto" w:fill="D9D9D9" w:themeFill="background1" w:themeFillShade="D9"/>
            <w:noWrap/>
            <w:vAlign w:val="center"/>
            <w:hideMark/>
          </w:tcPr>
          <w:p w:rsidR="00CB386C" w:rsidRPr="00E8264A" w:rsidRDefault="00CB386C" w:rsidP="00611B1C">
            <w:pPr>
              <w:keepNext/>
              <w:rPr>
                <w:b/>
                <w:sz w:val="20"/>
                <w:szCs w:val="20"/>
                <w:lang w:val="en-AU"/>
              </w:rPr>
            </w:pPr>
            <w:r w:rsidRPr="00E8264A">
              <w:rPr>
                <w:b/>
                <w:sz w:val="20"/>
                <w:szCs w:val="20"/>
                <w:lang w:val="en-AU"/>
              </w:rPr>
              <w:t xml:space="preserve">Projected net cost of Lantus not replaced with </w:t>
            </w:r>
            <w:r w:rsidR="00E8264A">
              <w:rPr>
                <w:b/>
                <w:sz w:val="20"/>
                <w:szCs w:val="20"/>
                <w:lang w:val="en-AU"/>
              </w:rPr>
              <w:t xml:space="preserve">Semglee® </w:t>
            </w:r>
            <w:r w:rsidRPr="00E8264A">
              <w:rPr>
                <w:b/>
                <w:sz w:val="20"/>
                <w:szCs w:val="20"/>
                <w:lang w:val="en-AU"/>
              </w:rPr>
              <w:t>(after 25% price cut)</w:t>
            </w:r>
          </w:p>
        </w:tc>
      </w:tr>
      <w:tr w:rsidR="00CB386C" w:rsidRPr="00E8264A" w:rsidTr="00410966">
        <w:trPr>
          <w:trHeight w:val="285"/>
        </w:trPr>
        <w:tc>
          <w:tcPr>
            <w:tcW w:w="733" w:type="pct"/>
            <w:noWrap/>
            <w:vAlign w:val="center"/>
            <w:hideMark/>
          </w:tcPr>
          <w:p w:rsidR="00CB386C" w:rsidRPr="00E8264A" w:rsidRDefault="00CB386C" w:rsidP="00611B1C">
            <w:pPr>
              <w:keepNext/>
              <w:rPr>
                <w:sz w:val="20"/>
                <w:szCs w:val="20"/>
                <w:lang w:val="en-AU"/>
              </w:rPr>
            </w:pPr>
            <w:r w:rsidRPr="00E8264A">
              <w:rPr>
                <w:sz w:val="20"/>
                <w:szCs w:val="20"/>
                <w:lang w:val="en-AU"/>
              </w:rPr>
              <w:t>to PBS</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02"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r>
      <w:tr w:rsidR="00CB386C" w:rsidRPr="00E8264A" w:rsidTr="00410966">
        <w:trPr>
          <w:trHeight w:val="285"/>
        </w:trPr>
        <w:tc>
          <w:tcPr>
            <w:tcW w:w="733" w:type="pct"/>
            <w:noWrap/>
            <w:vAlign w:val="center"/>
            <w:hideMark/>
          </w:tcPr>
          <w:p w:rsidR="00CB386C" w:rsidRPr="00E8264A" w:rsidRDefault="00CB386C" w:rsidP="00611B1C">
            <w:pPr>
              <w:keepNext/>
              <w:rPr>
                <w:sz w:val="20"/>
                <w:szCs w:val="20"/>
                <w:lang w:val="en-AU"/>
              </w:rPr>
            </w:pPr>
            <w:r w:rsidRPr="00E8264A">
              <w:rPr>
                <w:sz w:val="20"/>
                <w:szCs w:val="20"/>
                <w:lang w:val="en-AU"/>
              </w:rPr>
              <w:t>to RPBS</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02"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r>
      <w:tr w:rsidR="00CB386C" w:rsidRPr="00E8264A" w:rsidTr="00410966">
        <w:trPr>
          <w:trHeight w:val="285"/>
        </w:trPr>
        <w:tc>
          <w:tcPr>
            <w:tcW w:w="733" w:type="pct"/>
            <w:noWrap/>
            <w:vAlign w:val="center"/>
            <w:hideMark/>
          </w:tcPr>
          <w:p w:rsidR="00CB386C" w:rsidRPr="00E8264A" w:rsidRDefault="00CB386C" w:rsidP="00611B1C">
            <w:pPr>
              <w:keepNext/>
              <w:rPr>
                <w:sz w:val="20"/>
                <w:szCs w:val="20"/>
                <w:lang w:val="en-AU"/>
              </w:rPr>
            </w:pPr>
            <w:r w:rsidRPr="00E8264A">
              <w:rPr>
                <w:sz w:val="20"/>
                <w:szCs w:val="20"/>
                <w:lang w:val="en-AU"/>
              </w:rPr>
              <w:t>to PBS/RPBS</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02"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r>
      <w:tr w:rsidR="00CB386C" w:rsidRPr="00E8264A" w:rsidTr="00410966">
        <w:trPr>
          <w:trHeight w:val="285"/>
        </w:trPr>
        <w:tc>
          <w:tcPr>
            <w:tcW w:w="5000" w:type="pct"/>
            <w:gridSpan w:val="7"/>
            <w:shd w:val="clear" w:color="auto" w:fill="B8CCE4" w:themeFill="accent1" w:themeFillTint="66"/>
            <w:noWrap/>
            <w:vAlign w:val="center"/>
            <w:hideMark/>
          </w:tcPr>
          <w:p w:rsidR="00CB386C" w:rsidRPr="00E8264A" w:rsidRDefault="00CB386C" w:rsidP="00611B1C">
            <w:pPr>
              <w:keepNext/>
              <w:rPr>
                <w:b/>
                <w:sz w:val="20"/>
                <w:szCs w:val="20"/>
                <w:lang w:val="en-AU"/>
              </w:rPr>
            </w:pPr>
            <w:r w:rsidRPr="00E8264A">
              <w:rPr>
                <w:b/>
                <w:sz w:val="20"/>
                <w:szCs w:val="20"/>
                <w:lang w:val="en-AU"/>
              </w:rPr>
              <w:t>Overall net cost to the PBS/RPBS</w:t>
            </w:r>
          </w:p>
        </w:tc>
      </w:tr>
      <w:tr w:rsidR="00CB386C" w:rsidRPr="00E8264A" w:rsidTr="00410966">
        <w:trPr>
          <w:trHeight w:val="285"/>
        </w:trPr>
        <w:tc>
          <w:tcPr>
            <w:tcW w:w="733" w:type="pct"/>
            <w:noWrap/>
            <w:vAlign w:val="center"/>
            <w:hideMark/>
          </w:tcPr>
          <w:p w:rsidR="00CB386C" w:rsidRPr="00E8264A" w:rsidRDefault="00CB386C" w:rsidP="00611B1C">
            <w:pPr>
              <w:keepNext/>
              <w:rPr>
                <w:sz w:val="20"/>
                <w:szCs w:val="20"/>
                <w:lang w:val="en-AU"/>
              </w:rPr>
            </w:pPr>
            <w:r w:rsidRPr="00E8264A">
              <w:rPr>
                <w:sz w:val="20"/>
                <w:szCs w:val="20"/>
                <w:lang w:val="en-AU"/>
              </w:rPr>
              <w:t>to PBS</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02"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r>
      <w:tr w:rsidR="00CB386C" w:rsidRPr="00E8264A" w:rsidTr="00410966">
        <w:trPr>
          <w:trHeight w:val="285"/>
        </w:trPr>
        <w:tc>
          <w:tcPr>
            <w:tcW w:w="733" w:type="pct"/>
            <w:noWrap/>
            <w:vAlign w:val="center"/>
            <w:hideMark/>
          </w:tcPr>
          <w:p w:rsidR="00CB386C" w:rsidRPr="00E8264A" w:rsidRDefault="00CB386C" w:rsidP="00611B1C">
            <w:pPr>
              <w:keepNext/>
              <w:rPr>
                <w:sz w:val="20"/>
                <w:szCs w:val="20"/>
                <w:lang w:val="en-AU"/>
              </w:rPr>
            </w:pPr>
            <w:r w:rsidRPr="00E8264A">
              <w:rPr>
                <w:sz w:val="20"/>
                <w:szCs w:val="20"/>
                <w:lang w:val="en-AU"/>
              </w:rPr>
              <w:t>to RPBS</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13"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c>
          <w:tcPr>
            <w:tcW w:w="702" w:type="pct"/>
            <w:noWrap/>
            <w:hideMark/>
          </w:tcPr>
          <w:p w:rsidR="00CB386C" w:rsidRPr="00E8264A" w:rsidRDefault="00CB386C" w:rsidP="00611B1C">
            <w:pPr>
              <w:keepNext/>
              <w:jc w:val="center"/>
              <w:rPr>
                <w:sz w:val="20"/>
                <w:szCs w:val="20"/>
                <w:lang w:val="en-AU"/>
              </w:rPr>
            </w:pPr>
            <w:r w:rsidRPr="00E8264A">
              <w:rPr>
                <w:sz w:val="20"/>
                <w:szCs w:val="20"/>
                <w:lang w:val="en-AU"/>
              </w:rPr>
              <w:t>-$</w:t>
            </w:r>
            <w:r w:rsidR="006F4DE2">
              <w:rPr>
                <w:noProof/>
                <w:color w:val="000000"/>
                <w:sz w:val="20"/>
                <w:szCs w:val="20"/>
                <w:highlight w:val="black"/>
                <w:lang w:val="en-AU"/>
              </w:rPr>
              <w:t>''''''''''''''''''</w:t>
            </w:r>
          </w:p>
        </w:tc>
      </w:tr>
      <w:tr w:rsidR="00CB386C" w:rsidRPr="00E8264A" w:rsidTr="00410966">
        <w:trPr>
          <w:trHeight w:val="285"/>
        </w:trPr>
        <w:tc>
          <w:tcPr>
            <w:tcW w:w="733" w:type="pct"/>
            <w:noWrap/>
            <w:vAlign w:val="center"/>
            <w:hideMark/>
          </w:tcPr>
          <w:p w:rsidR="00CB386C" w:rsidRPr="00E8264A" w:rsidRDefault="00CB386C" w:rsidP="00611B1C">
            <w:pPr>
              <w:keepNext/>
              <w:rPr>
                <w:b/>
                <w:sz w:val="20"/>
                <w:szCs w:val="20"/>
                <w:lang w:val="en-AU"/>
              </w:rPr>
            </w:pPr>
            <w:r w:rsidRPr="00E8264A">
              <w:rPr>
                <w:b/>
                <w:sz w:val="20"/>
                <w:szCs w:val="20"/>
                <w:lang w:val="en-AU"/>
              </w:rPr>
              <w:t>to PBS/RPBS</w:t>
            </w:r>
          </w:p>
        </w:tc>
        <w:tc>
          <w:tcPr>
            <w:tcW w:w="713" w:type="pct"/>
            <w:noWrap/>
            <w:hideMark/>
          </w:tcPr>
          <w:p w:rsidR="00CB386C" w:rsidRPr="00E8264A" w:rsidRDefault="00CB386C" w:rsidP="00611B1C">
            <w:pPr>
              <w:keepNext/>
              <w:jc w:val="center"/>
              <w:rPr>
                <w:b/>
                <w:sz w:val="20"/>
                <w:szCs w:val="20"/>
                <w:lang w:val="en-AU"/>
              </w:rPr>
            </w:pPr>
            <w:r w:rsidRPr="00E8264A">
              <w:rPr>
                <w:b/>
                <w:sz w:val="20"/>
                <w:szCs w:val="20"/>
                <w:lang w:val="en-AU"/>
              </w:rPr>
              <w:t>-$</w:t>
            </w:r>
            <w:r w:rsidR="006F4DE2">
              <w:rPr>
                <w:b/>
                <w:noProof/>
                <w:color w:val="000000"/>
                <w:sz w:val="20"/>
                <w:szCs w:val="20"/>
                <w:highlight w:val="black"/>
                <w:lang w:val="en-AU"/>
              </w:rPr>
              <w:t>'''''''''''''''''''''</w:t>
            </w:r>
          </w:p>
        </w:tc>
        <w:tc>
          <w:tcPr>
            <w:tcW w:w="713" w:type="pct"/>
            <w:noWrap/>
            <w:hideMark/>
          </w:tcPr>
          <w:p w:rsidR="00CB386C" w:rsidRPr="00E8264A" w:rsidRDefault="00CB386C" w:rsidP="00611B1C">
            <w:pPr>
              <w:keepNext/>
              <w:jc w:val="center"/>
              <w:rPr>
                <w:b/>
                <w:sz w:val="20"/>
                <w:szCs w:val="20"/>
                <w:lang w:val="en-AU"/>
              </w:rPr>
            </w:pPr>
            <w:r w:rsidRPr="00E8264A">
              <w:rPr>
                <w:b/>
                <w:sz w:val="20"/>
                <w:szCs w:val="20"/>
                <w:lang w:val="en-AU"/>
              </w:rPr>
              <w:t>-$</w:t>
            </w:r>
            <w:r w:rsidR="006F4DE2">
              <w:rPr>
                <w:b/>
                <w:noProof/>
                <w:color w:val="000000"/>
                <w:sz w:val="20"/>
                <w:szCs w:val="20"/>
                <w:highlight w:val="black"/>
                <w:lang w:val="en-AU"/>
              </w:rPr>
              <w:t>''''''''''''''''''''</w:t>
            </w:r>
          </w:p>
        </w:tc>
        <w:tc>
          <w:tcPr>
            <w:tcW w:w="713" w:type="pct"/>
            <w:noWrap/>
            <w:hideMark/>
          </w:tcPr>
          <w:p w:rsidR="00CB386C" w:rsidRPr="00E8264A" w:rsidRDefault="00CB386C" w:rsidP="00611B1C">
            <w:pPr>
              <w:keepNext/>
              <w:jc w:val="center"/>
              <w:rPr>
                <w:b/>
                <w:sz w:val="20"/>
                <w:szCs w:val="20"/>
                <w:lang w:val="en-AU"/>
              </w:rPr>
            </w:pPr>
            <w:r w:rsidRPr="00E8264A">
              <w:rPr>
                <w:b/>
                <w:sz w:val="20"/>
                <w:szCs w:val="20"/>
                <w:lang w:val="en-AU"/>
              </w:rPr>
              <w:t>-$</w:t>
            </w:r>
            <w:r w:rsidR="006F4DE2">
              <w:rPr>
                <w:b/>
                <w:noProof/>
                <w:color w:val="000000"/>
                <w:sz w:val="20"/>
                <w:szCs w:val="20"/>
                <w:highlight w:val="black"/>
                <w:lang w:val="en-AU"/>
              </w:rPr>
              <w:t>'''''''''''''''''''''</w:t>
            </w:r>
          </w:p>
        </w:tc>
        <w:tc>
          <w:tcPr>
            <w:tcW w:w="713" w:type="pct"/>
            <w:noWrap/>
            <w:hideMark/>
          </w:tcPr>
          <w:p w:rsidR="00CB386C" w:rsidRPr="00E8264A" w:rsidRDefault="00CB386C" w:rsidP="00611B1C">
            <w:pPr>
              <w:keepNext/>
              <w:jc w:val="center"/>
              <w:rPr>
                <w:b/>
                <w:sz w:val="20"/>
                <w:szCs w:val="20"/>
                <w:lang w:val="en-AU"/>
              </w:rPr>
            </w:pPr>
            <w:r w:rsidRPr="00E8264A">
              <w:rPr>
                <w:b/>
                <w:sz w:val="20"/>
                <w:szCs w:val="20"/>
                <w:lang w:val="en-AU"/>
              </w:rPr>
              <w:t>-$</w:t>
            </w:r>
            <w:r w:rsidR="006F4DE2">
              <w:rPr>
                <w:b/>
                <w:noProof/>
                <w:color w:val="000000"/>
                <w:sz w:val="20"/>
                <w:szCs w:val="20"/>
                <w:highlight w:val="black"/>
                <w:lang w:val="en-AU"/>
              </w:rPr>
              <w:t>'''''''''''''''''''''''</w:t>
            </w:r>
          </w:p>
        </w:tc>
        <w:tc>
          <w:tcPr>
            <w:tcW w:w="713" w:type="pct"/>
            <w:noWrap/>
            <w:hideMark/>
          </w:tcPr>
          <w:p w:rsidR="00CB386C" w:rsidRPr="00E8264A" w:rsidRDefault="00CB386C" w:rsidP="00611B1C">
            <w:pPr>
              <w:keepNext/>
              <w:jc w:val="center"/>
              <w:rPr>
                <w:b/>
                <w:sz w:val="20"/>
                <w:szCs w:val="20"/>
                <w:lang w:val="en-AU"/>
              </w:rPr>
            </w:pPr>
            <w:r w:rsidRPr="00E8264A">
              <w:rPr>
                <w:b/>
                <w:sz w:val="20"/>
                <w:szCs w:val="20"/>
                <w:lang w:val="en-AU"/>
              </w:rPr>
              <w:t>-$</w:t>
            </w:r>
            <w:r w:rsidR="006F4DE2">
              <w:rPr>
                <w:b/>
                <w:noProof/>
                <w:color w:val="000000"/>
                <w:sz w:val="20"/>
                <w:szCs w:val="20"/>
                <w:highlight w:val="black"/>
                <w:lang w:val="en-AU"/>
              </w:rPr>
              <w:t>''''''''''''''''''''''</w:t>
            </w:r>
          </w:p>
        </w:tc>
        <w:tc>
          <w:tcPr>
            <w:tcW w:w="702" w:type="pct"/>
            <w:noWrap/>
            <w:hideMark/>
          </w:tcPr>
          <w:p w:rsidR="00CB386C" w:rsidRPr="00E8264A" w:rsidRDefault="00CB386C" w:rsidP="00611B1C">
            <w:pPr>
              <w:keepNext/>
              <w:jc w:val="center"/>
              <w:rPr>
                <w:b/>
                <w:sz w:val="20"/>
                <w:szCs w:val="20"/>
                <w:lang w:val="en-AU"/>
              </w:rPr>
            </w:pPr>
            <w:r w:rsidRPr="00E8264A">
              <w:rPr>
                <w:b/>
                <w:sz w:val="20"/>
                <w:szCs w:val="20"/>
                <w:lang w:val="en-AU"/>
              </w:rPr>
              <w:t>-$</w:t>
            </w:r>
            <w:r w:rsidR="006F4DE2">
              <w:rPr>
                <w:b/>
                <w:noProof/>
                <w:color w:val="000000"/>
                <w:sz w:val="20"/>
                <w:szCs w:val="20"/>
                <w:highlight w:val="black"/>
                <w:lang w:val="en-AU"/>
              </w:rPr>
              <w:t>'''''''''''''''''''''</w:t>
            </w:r>
          </w:p>
        </w:tc>
      </w:tr>
    </w:tbl>
    <w:p w:rsidR="0047746D" w:rsidRPr="00E8264A" w:rsidRDefault="00CB386C" w:rsidP="00CB386C">
      <w:pPr>
        <w:pStyle w:val="tablenotes"/>
        <w:spacing w:after="120"/>
        <w:rPr>
          <w:rFonts w:ascii="Arial Narrow" w:hAnsi="Arial Narrow"/>
          <w:sz w:val="18"/>
          <w:szCs w:val="18"/>
        </w:rPr>
      </w:pPr>
      <w:r w:rsidRPr="00E8264A">
        <w:rPr>
          <w:rFonts w:ascii="Arial Narrow" w:hAnsi="Arial Narrow"/>
          <w:sz w:val="18"/>
          <w:szCs w:val="18"/>
        </w:rPr>
        <w:t xml:space="preserve">Source: Minor submission, </w:t>
      </w:r>
      <w:proofErr w:type="spellStart"/>
      <w:r w:rsidRPr="00E8264A">
        <w:rPr>
          <w:rFonts w:ascii="Arial Narrow" w:hAnsi="Arial Narrow"/>
          <w:sz w:val="18"/>
          <w:szCs w:val="18"/>
        </w:rPr>
        <w:t>pg</w:t>
      </w:r>
      <w:proofErr w:type="spellEnd"/>
      <w:r w:rsidRPr="00E8264A">
        <w:rPr>
          <w:rFonts w:ascii="Arial Narrow" w:hAnsi="Arial Narrow"/>
          <w:sz w:val="18"/>
          <w:szCs w:val="18"/>
        </w:rPr>
        <w:t xml:space="preserve"> 50</w:t>
      </w:r>
    </w:p>
    <w:p w:rsidR="0047746D" w:rsidRPr="00E8264A" w:rsidRDefault="0047746D" w:rsidP="000C74FF">
      <w:pPr>
        <w:pStyle w:val="ListParagraph"/>
        <w:numPr>
          <w:ilvl w:val="1"/>
          <w:numId w:val="14"/>
        </w:numPr>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The sponsor acknowledge</w:t>
      </w:r>
      <w:r w:rsidR="00E94252" w:rsidRPr="00E8264A">
        <w:rPr>
          <w:rFonts w:asciiTheme="minorHAnsi" w:eastAsiaTheme="minorHAnsi" w:hAnsiTheme="minorHAnsi" w:cstheme="minorBidi"/>
          <w:snapToGrid/>
          <w:sz w:val="24"/>
          <w:szCs w:val="22"/>
        </w:rPr>
        <w:t>d</w:t>
      </w:r>
      <w:r w:rsidRPr="00E8264A">
        <w:rPr>
          <w:rFonts w:asciiTheme="minorHAnsi" w:eastAsiaTheme="minorHAnsi" w:hAnsiTheme="minorHAnsi" w:cstheme="minorBidi"/>
          <w:snapToGrid/>
          <w:sz w:val="24"/>
          <w:szCs w:val="22"/>
        </w:rPr>
        <w:t xml:space="preserve"> that </w:t>
      </w:r>
      <w:r w:rsidR="00DA3458" w:rsidRPr="00E8264A">
        <w:rPr>
          <w:rFonts w:asciiTheme="minorHAnsi" w:eastAsiaTheme="minorHAnsi" w:hAnsiTheme="minorHAnsi" w:cstheme="minorBidi"/>
          <w:snapToGrid/>
          <w:sz w:val="24"/>
          <w:szCs w:val="22"/>
        </w:rPr>
        <w:t>a</w:t>
      </w:r>
      <w:r w:rsidR="007104EE" w:rsidRPr="00E8264A">
        <w:rPr>
          <w:rFonts w:asciiTheme="minorHAnsi" w:eastAsiaTheme="minorHAnsi" w:hAnsiTheme="minorHAnsi" w:cstheme="minorBidi"/>
          <w:snapToGrid/>
          <w:sz w:val="24"/>
          <w:szCs w:val="22"/>
        </w:rPr>
        <w:t>t the time of the submission a</w:t>
      </w:r>
      <w:r w:rsidR="00DA3458" w:rsidRPr="00E8264A">
        <w:rPr>
          <w:rFonts w:asciiTheme="minorHAnsi" w:eastAsiaTheme="minorHAnsi" w:hAnsiTheme="minorHAnsi" w:cstheme="minorBidi"/>
          <w:snapToGrid/>
          <w:sz w:val="24"/>
          <w:szCs w:val="22"/>
        </w:rPr>
        <w:t xml:space="preserve"> special pricing </w:t>
      </w:r>
      <w:r w:rsidR="00DA3458" w:rsidRPr="00E8264A">
        <w:rPr>
          <w:rFonts w:asciiTheme="minorHAnsi" w:eastAsiaTheme="minorHAnsi" w:hAnsiTheme="minorHAnsi" w:cstheme="minorBidi"/>
          <w:snapToGrid/>
          <w:sz w:val="24"/>
          <w:szCs w:val="22"/>
        </w:rPr>
        <w:lastRenderedPageBreak/>
        <w:t>arrangement</w:t>
      </w:r>
      <w:r w:rsidR="007104EE" w:rsidRPr="00E8264A">
        <w:rPr>
          <w:rFonts w:asciiTheme="minorHAnsi" w:eastAsiaTheme="minorHAnsi" w:hAnsiTheme="minorHAnsi" w:cstheme="minorBidi"/>
          <w:snapToGrid/>
          <w:sz w:val="24"/>
          <w:szCs w:val="22"/>
        </w:rPr>
        <w:t xml:space="preserve"> applied</w:t>
      </w:r>
      <w:r w:rsidRPr="00E8264A">
        <w:rPr>
          <w:rFonts w:asciiTheme="minorHAnsi" w:eastAsiaTheme="minorHAnsi" w:hAnsiTheme="minorHAnsi" w:cstheme="minorBidi"/>
          <w:snapToGrid/>
          <w:sz w:val="24"/>
          <w:szCs w:val="22"/>
        </w:rPr>
        <w:t xml:space="preserve"> to Lantus, and </w:t>
      </w:r>
      <w:r w:rsidR="007104EE" w:rsidRPr="00E8264A">
        <w:rPr>
          <w:rFonts w:asciiTheme="minorHAnsi" w:eastAsiaTheme="minorHAnsi" w:hAnsiTheme="minorHAnsi" w:cstheme="minorBidi"/>
          <w:snapToGrid/>
          <w:sz w:val="24"/>
          <w:szCs w:val="22"/>
        </w:rPr>
        <w:t>using the effective price would</w:t>
      </w:r>
      <w:r w:rsidRPr="00E8264A">
        <w:rPr>
          <w:rFonts w:asciiTheme="minorHAnsi" w:eastAsiaTheme="minorHAnsi" w:hAnsiTheme="minorHAnsi" w:cstheme="minorBidi"/>
          <w:snapToGrid/>
          <w:sz w:val="24"/>
          <w:szCs w:val="22"/>
        </w:rPr>
        <w:t xml:space="preserve"> affect the forward estimates.</w:t>
      </w:r>
    </w:p>
    <w:p w:rsidR="005F2753" w:rsidRPr="00E8264A" w:rsidRDefault="005F2753" w:rsidP="004E5B75">
      <w:pPr>
        <w:rPr>
          <w:rFonts w:eastAsiaTheme="minorHAnsi"/>
        </w:rPr>
      </w:pPr>
    </w:p>
    <w:p w:rsidR="005F2753" w:rsidRPr="00E8264A" w:rsidRDefault="005F2753" w:rsidP="00BB3B26">
      <w:pPr>
        <w:pStyle w:val="PBACHeading1"/>
        <w:numPr>
          <w:ilvl w:val="0"/>
          <w:numId w:val="0"/>
        </w:numPr>
        <w:outlineLvl w:val="9"/>
        <w:rPr>
          <w:rFonts w:asciiTheme="minorHAnsi" w:hAnsiTheme="minorHAnsi"/>
          <w:b w:val="0"/>
          <w:i/>
          <w:sz w:val="24"/>
          <w:szCs w:val="24"/>
        </w:rPr>
      </w:pPr>
      <w:r w:rsidRPr="00E8264A">
        <w:rPr>
          <w:rFonts w:asciiTheme="minorHAnsi" w:hAnsiTheme="minorHAnsi"/>
          <w:b w:val="0"/>
          <w:i/>
          <w:sz w:val="24"/>
          <w:szCs w:val="24"/>
        </w:rPr>
        <w:t xml:space="preserve">For more detail on PBAC’s view, see section </w:t>
      </w:r>
      <w:r w:rsidR="005D0E8A" w:rsidRPr="00E8264A">
        <w:rPr>
          <w:rFonts w:asciiTheme="minorHAnsi" w:hAnsiTheme="minorHAnsi"/>
          <w:b w:val="0"/>
          <w:i/>
          <w:sz w:val="24"/>
          <w:szCs w:val="24"/>
        </w:rPr>
        <w:t>6</w:t>
      </w:r>
      <w:r w:rsidRPr="00E8264A">
        <w:rPr>
          <w:rFonts w:asciiTheme="minorHAnsi" w:hAnsiTheme="minorHAnsi"/>
          <w:b w:val="0"/>
          <w:i/>
          <w:sz w:val="24"/>
          <w:szCs w:val="24"/>
        </w:rPr>
        <w:t xml:space="preserve"> PBAC outcome.</w:t>
      </w:r>
    </w:p>
    <w:p w:rsidR="002B4C99" w:rsidRPr="00E8264A" w:rsidRDefault="002B4C99" w:rsidP="00BB3B26">
      <w:pPr>
        <w:pStyle w:val="Heading1"/>
        <w:keepNext/>
        <w:keepLines/>
        <w:widowControl/>
        <w:numPr>
          <w:ilvl w:val="0"/>
          <w:numId w:val="14"/>
        </w:numPr>
        <w:spacing w:before="240" w:after="120"/>
        <w:ind w:left="709" w:hanging="709"/>
        <w:contextualSpacing w:val="0"/>
        <w:jc w:val="left"/>
        <w:rPr>
          <w:rFonts w:asciiTheme="minorHAnsi" w:hAnsiTheme="minorHAnsi"/>
          <w:b w:val="0"/>
          <w:bCs/>
          <w:sz w:val="32"/>
        </w:rPr>
      </w:pPr>
      <w:r w:rsidRPr="00E8264A">
        <w:rPr>
          <w:rFonts w:asciiTheme="minorHAnsi" w:hAnsiTheme="minorHAnsi"/>
          <w:bCs/>
          <w:sz w:val="32"/>
        </w:rPr>
        <w:t>PBAC Outcome</w:t>
      </w:r>
    </w:p>
    <w:p w:rsidR="002B4C99" w:rsidRPr="00E8264A" w:rsidRDefault="00CD4ADF" w:rsidP="002B4C99">
      <w:pPr>
        <w:widowControl w:val="0"/>
        <w:numPr>
          <w:ilvl w:val="1"/>
          <w:numId w:val="5"/>
        </w:numPr>
        <w:spacing w:after="120"/>
        <w:jc w:val="both"/>
        <w:rPr>
          <w:rFonts w:asciiTheme="minorHAnsi" w:hAnsiTheme="minorHAnsi" w:cs="Arial"/>
          <w:bCs/>
          <w:snapToGrid w:val="0"/>
        </w:rPr>
      </w:pPr>
      <w:r w:rsidRPr="00E8264A">
        <w:rPr>
          <w:rFonts w:asciiTheme="minorHAnsi" w:hAnsiTheme="minorHAnsi" w:cs="Arial"/>
          <w:bCs/>
          <w:snapToGrid w:val="0"/>
        </w:rPr>
        <w:t>The PBAC recommended</w:t>
      </w:r>
      <w:r w:rsidR="005A4BDD" w:rsidRPr="00E8264A">
        <w:rPr>
          <w:rFonts w:asciiTheme="minorHAnsi" w:hAnsiTheme="minorHAnsi" w:cs="Arial"/>
          <w:bCs/>
          <w:snapToGrid w:val="0"/>
        </w:rPr>
        <w:t xml:space="preserve"> listing the biosimilar brand of insulin glargine (Semglee) on the General Schedule (Section 85) as an unrestricted benefit.</w:t>
      </w:r>
    </w:p>
    <w:p w:rsidR="00E463B1" w:rsidRPr="00E8264A" w:rsidRDefault="00E47554" w:rsidP="002B4C99">
      <w:pPr>
        <w:widowControl w:val="0"/>
        <w:numPr>
          <w:ilvl w:val="1"/>
          <w:numId w:val="5"/>
        </w:numPr>
        <w:spacing w:after="120"/>
        <w:jc w:val="both"/>
        <w:rPr>
          <w:rFonts w:asciiTheme="minorHAnsi" w:hAnsiTheme="minorHAnsi" w:cs="Arial"/>
          <w:bCs/>
          <w:snapToGrid w:val="0"/>
        </w:rPr>
      </w:pPr>
      <w:r w:rsidRPr="00E8264A">
        <w:rPr>
          <w:rFonts w:asciiTheme="minorHAnsi" w:hAnsiTheme="minorHAnsi" w:cs="Arial"/>
          <w:bCs/>
          <w:snapToGrid w:val="0"/>
        </w:rPr>
        <w:t>In making this recommendation, t</w:t>
      </w:r>
      <w:r w:rsidR="00E463B1" w:rsidRPr="00E8264A">
        <w:rPr>
          <w:rFonts w:asciiTheme="minorHAnsi" w:hAnsiTheme="minorHAnsi" w:cs="Arial"/>
          <w:bCs/>
          <w:snapToGrid w:val="0"/>
        </w:rPr>
        <w:t xml:space="preserve">he PBAC noted the TGA CER on </w:t>
      </w:r>
      <w:r w:rsidR="00E8264A">
        <w:rPr>
          <w:rFonts w:asciiTheme="minorHAnsi" w:hAnsiTheme="minorHAnsi" w:cs="Arial"/>
          <w:bCs/>
          <w:snapToGrid w:val="0"/>
        </w:rPr>
        <w:t xml:space="preserve">Semglee® </w:t>
      </w:r>
      <w:r w:rsidR="00E463B1" w:rsidRPr="00E8264A">
        <w:rPr>
          <w:rFonts w:asciiTheme="minorHAnsi" w:hAnsiTheme="minorHAnsi" w:cs="Arial"/>
          <w:bCs/>
          <w:snapToGrid w:val="0"/>
        </w:rPr>
        <w:t>concluded that</w:t>
      </w:r>
      <w:r w:rsidR="00993635" w:rsidRPr="00E8264A">
        <w:rPr>
          <w:rFonts w:asciiTheme="minorHAnsi" w:hAnsiTheme="minorHAnsi" w:cs="Arial"/>
          <w:bCs/>
          <w:snapToGrid w:val="0"/>
        </w:rPr>
        <w:t xml:space="preserve"> the TGA was satisfied that </w:t>
      </w:r>
      <w:r w:rsidR="00E8264A">
        <w:rPr>
          <w:rFonts w:asciiTheme="minorHAnsi" w:hAnsiTheme="minorHAnsi" w:cs="Arial"/>
          <w:bCs/>
          <w:snapToGrid w:val="0"/>
        </w:rPr>
        <w:t xml:space="preserve">Semglee® </w:t>
      </w:r>
      <w:r w:rsidR="00E463B1" w:rsidRPr="00E8264A">
        <w:rPr>
          <w:rFonts w:asciiTheme="minorHAnsi" w:hAnsiTheme="minorHAnsi" w:cs="Arial"/>
          <w:bCs/>
          <w:snapToGrid w:val="0"/>
        </w:rPr>
        <w:t xml:space="preserve">was bioequivalent to the </w:t>
      </w:r>
      <w:r w:rsidRPr="00E8264A">
        <w:rPr>
          <w:rFonts w:asciiTheme="minorHAnsi" w:hAnsiTheme="minorHAnsi" w:cs="Arial"/>
          <w:bCs/>
          <w:snapToGrid w:val="0"/>
        </w:rPr>
        <w:t xml:space="preserve">reference product, </w:t>
      </w:r>
      <w:r w:rsidR="00E463B1" w:rsidRPr="00E8264A">
        <w:rPr>
          <w:rFonts w:asciiTheme="minorHAnsi" w:hAnsiTheme="minorHAnsi" w:cs="Arial"/>
          <w:bCs/>
          <w:snapToGrid w:val="0"/>
        </w:rPr>
        <w:t>Lantus and was non-inferior in terms of both efficacy and safety.</w:t>
      </w:r>
    </w:p>
    <w:p w:rsidR="004D548A" w:rsidRPr="00E8264A" w:rsidRDefault="004D548A" w:rsidP="0027694E">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E8264A">
        <w:rPr>
          <w:rFonts w:asciiTheme="minorHAnsi" w:eastAsiaTheme="minorHAnsi" w:hAnsiTheme="minorHAnsi" w:cstheme="minorBidi"/>
          <w:snapToGrid/>
          <w:sz w:val="24"/>
          <w:szCs w:val="22"/>
        </w:rPr>
        <w:t xml:space="preserve">The PBAC </w:t>
      </w:r>
      <w:r w:rsidR="00E47554" w:rsidRPr="00E8264A">
        <w:rPr>
          <w:rFonts w:asciiTheme="minorHAnsi" w:eastAsiaTheme="minorHAnsi" w:hAnsiTheme="minorHAnsi" w:cstheme="minorBidi"/>
          <w:snapToGrid/>
          <w:sz w:val="24"/>
          <w:szCs w:val="22"/>
        </w:rPr>
        <w:t xml:space="preserve">advised </w:t>
      </w:r>
      <w:r w:rsidRPr="00E8264A">
        <w:rPr>
          <w:rFonts w:asciiTheme="minorHAnsi" w:eastAsiaTheme="minorHAnsi" w:hAnsiTheme="minorHAnsi" w:cstheme="minorBidi"/>
          <w:snapToGrid/>
          <w:sz w:val="24"/>
          <w:szCs w:val="22"/>
        </w:rPr>
        <w:t xml:space="preserve">that, under Section 101(4AACD) of the </w:t>
      </w:r>
      <w:r w:rsidRPr="005147F0">
        <w:rPr>
          <w:rFonts w:asciiTheme="minorHAnsi" w:eastAsiaTheme="minorHAnsi" w:hAnsiTheme="minorHAnsi" w:cstheme="minorBidi"/>
          <w:i/>
          <w:snapToGrid/>
          <w:sz w:val="24"/>
          <w:szCs w:val="22"/>
        </w:rPr>
        <w:t>National Health Act 1953</w:t>
      </w:r>
      <w:r w:rsidR="00935B69" w:rsidRPr="00E8264A">
        <w:rPr>
          <w:rFonts w:asciiTheme="minorHAnsi" w:eastAsiaTheme="minorHAnsi" w:hAnsiTheme="minorHAnsi" w:cstheme="minorBidi"/>
          <w:snapToGrid/>
          <w:sz w:val="24"/>
          <w:szCs w:val="22"/>
        </w:rPr>
        <w:t>,</w:t>
      </w:r>
      <w:r w:rsidRPr="00E8264A">
        <w:rPr>
          <w:rFonts w:asciiTheme="minorHAnsi" w:eastAsiaTheme="minorHAnsi" w:hAnsiTheme="minorHAnsi" w:cstheme="minorBidi"/>
          <w:snapToGrid/>
          <w:sz w:val="24"/>
          <w:szCs w:val="22"/>
        </w:rPr>
        <w:t xml:space="preserve"> </w:t>
      </w:r>
      <w:r w:rsidR="00935B69" w:rsidRPr="00E8264A">
        <w:rPr>
          <w:rFonts w:asciiTheme="minorHAnsi" w:eastAsiaTheme="minorHAnsi" w:hAnsiTheme="minorHAnsi" w:cstheme="minorBidi"/>
          <w:snapToGrid/>
          <w:sz w:val="24"/>
          <w:szCs w:val="22"/>
        </w:rPr>
        <w:t xml:space="preserve">the </w:t>
      </w:r>
      <w:r w:rsidR="00E8264A">
        <w:rPr>
          <w:rFonts w:asciiTheme="minorHAnsi" w:eastAsiaTheme="minorHAnsi" w:hAnsiTheme="minorHAnsi" w:cstheme="minorBidi"/>
          <w:snapToGrid/>
          <w:sz w:val="24"/>
          <w:szCs w:val="22"/>
        </w:rPr>
        <w:t xml:space="preserve">Semglee® </w:t>
      </w:r>
      <w:r w:rsidRPr="00E8264A">
        <w:rPr>
          <w:rFonts w:asciiTheme="minorHAnsi" w:eastAsiaTheme="minorHAnsi" w:hAnsiTheme="minorHAnsi" w:cstheme="minorBidi"/>
          <w:snapToGrid/>
          <w:sz w:val="24"/>
          <w:szCs w:val="22"/>
        </w:rPr>
        <w:t>and Lantus</w:t>
      </w:r>
      <w:r w:rsidR="0027694E" w:rsidRPr="00E8264A">
        <w:rPr>
          <w:rFonts w:asciiTheme="minorHAnsi" w:eastAsiaTheme="minorHAnsi" w:hAnsiTheme="minorHAnsi" w:cstheme="minorBidi"/>
          <w:snapToGrid/>
          <w:sz w:val="24"/>
          <w:szCs w:val="22"/>
        </w:rPr>
        <w:t xml:space="preserve"> </w:t>
      </w:r>
      <w:proofErr w:type="spellStart"/>
      <w:r w:rsidR="0027694E" w:rsidRPr="00E8264A">
        <w:rPr>
          <w:rFonts w:asciiTheme="minorHAnsi" w:eastAsiaTheme="minorHAnsi" w:hAnsiTheme="minorHAnsi" w:cstheme="minorBidi"/>
          <w:snapToGrid/>
          <w:sz w:val="24"/>
          <w:szCs w:val="22"/>
        </w:rPr>
        <w:t>Solostar</w:t>
      </w:r>
      <w:proofErr w:type="spellEnd"/>
      <w:r w:rsidRPr="00E8264A">
        <w:rPr>
          <w:rFonts w:asciiTheme="minorHAnsi" w:eastAsiaTheme="minorHAnsi" w:hAnsiTheme="minorHAnsi" w:cstheme="minorBidi"/>
          <w:snapToGrid/>
          <w:sz w:val="24"/>
          <w:szCs w:val="22"/>
        </w:rPr>
        <w:t xml:space="preserve"> brands of insulin glargine </w:t>
      </w:r>
      <w:r w:rsidR="0027694E" w:rsidRPr="00E8264A">
        <w:rPr>
          <w:rFonts w:asciiTheme="minorHAnsi" w:eastAsiaTheme="minorHAnsi" w:hAnsiTheme="minorHAnsi" w:cstheme="minorBidi"/>
          <w:snapToGrid/>
          <w:sz w:val="24"/>
          <w:szCs w:val="22"/>
        </w:rPr>
        <w:t xml:space="preserve">Injections (human analogue), cartridges, </w:t>
      </w:r>
      <w:r w:rsidRPr="00E8264A">
        <w:rPr>
          <w:rFonts w:asciiTheme="minorHAnsi" w:eastAsiaTheme="minorHAnsi" w:hAnsiTheme="minorHAnsi" w:cstheme="minorBidi"/>
          <w:snapToGrid/>
          <w:sz w:val="24"/>
          <w:szCs w:val="22"/>
        </w:rPr>
        <w:t>could be marked as equivalent in the Schedule of Pharmaceutical Benefits</w:t>
      </w:r>
      <w:r w:rsidR="00E47554" w:rsidRPr="00E8264A">
        <w:rPr>
          <w:rFonts w:asciiTheme="minorHAnsi" w:eastAsiaTheme="minorHAnsi" w:hAnsiTheme="minorHAnsi" w:cstheme="minorBidi"/>
          <w:snapToGrid/>
          <w:sz w:val="24"/>
          <w:szCs w:val="22"/>
        </w:rPr>
        <w:t xml:space="preserve"> for the purposes of substitution at the pharmacy level</w:t>
      </w:r>
      <w:r w:rsidRPr="00E8264A">
        <w:rPr>
          <w:rFonts w:asciiTheme="minorHAnsi" w:eastAsiaTheme="minorHAnsi" w:hAnsiTheme="minorHAnsi" w:cstheme="minorBidi"/>
          <w:snapToGrid/>
          <w:sz w:val="24"/>
          <w:szCs w:val="22"/>
        </w:rPr>
        <w:t>.</w:t>
      </w:r>
    </w:p>
    <w:p w:rsidR="00600A1C" w:rsidRPr="005147F0" w:rsidRDefault="004B7B23" w:rsidP="004D548A">
      <w:pPr>
        <w:pStyle w:val="ListParagraph"/>
        <w:widowControl/>
        <w:numPr>
          <w:ilvl w:val="1"/>
          <w:numId w:val="5"/>
        </w:numPr>
        <w:spacing w:after="120"/>
        <w:contextualSpacing w:val="0"/>
        <w:rPr>
          <w:rFonts w:asciiTheme="minorHAnsi" w:eastAsiaTheme="minorHAnsi" w:hAnsiTheme="minorHAnsi" w:cstheme="minorHAnsi"/>
          <w:snapToGrid/>
          <w:sz w:val="24"/>
          <w:szCs w:val="24"/>
        </w:rPr>
      </w:pPr>
      <w:r w:rsidRPr="00E8264A">
        <w:rPr>
          <w:rFonts w:asciiTheme="minorHAnsi" w:hAnsiTheme="minorHAnsi" w:cstheme="minorHAnsi"/>
          <w:color w:val="000000"/>
          <w:sz w:val="24"/>
          <w:szCs w:val="24"/>
        </w:rPr>
        <w:t xml:space="preserve">The PBAC considered that </w:t>
      </w:r>
      <w:r w:rsidR="00E8264A">
        <w:rPr>
          <w:rFonts w:asciiTheme="minorHAnsi" w:hAnsiTheme="minorHAnsi" w:cstheme="minorHAnsi"/>
          <w:color w:val="000000"/>
          <w:sz w:val="24"/>
          <w:szCs w:val="24"/>
        </w:rPr>
        <w:t xml:space="preserve">health care professionals could safely manage </w:t>
      </w:r>
      <w:r w:rsidRPr="00E8264A">
        <w:rPr>
          <w:rFonts w:asciiTheme="minorHAnsi" w:hAnsiTheme="minorHAnsi" w:cstheme="minorHAnsi"/>
          <w:color w:val="000000"/>
          <w:sz w:val="24"/>
          <w:szCs w:val="24"/>
        </w:rPr>
        <w:t xml:space="preserve">any differences in the devices in the course of regular patient education and counselling </w:t>
      </w:r>
      <w:r w:rsidR="00E8264A">
        <w:rPr>
          <w:rFonts w:asciiTheme="minorHAnsi" w:hAnsiTheme="minorHAnsi" w:cstheme="minorHAnsi"/>
          <w:color w:val="000000"/>
          <w:sz w:val="24"/>
          <w:szCs w:val="24"/>
        </w:rPr>
        <w:t xml:space="preserve">they </w:t>
      </w:r>
      <w:r w:rsidRPr="00E8264A">
        <w:rPr>
          <w:rFonts w:asciiTheme="minorHAnsi" w:hAnsiTheme="minorHAnsi" w:cstheme="minorHAnsi"/>
          <w:color w:val="000000"/>
          <w:sz w:val="24"/>
          <w:szCs w:val="24"/>
        </w:rPr>
        <w:t>provide on the use of devices.</w:t>
      </w:r>
    </w:p>
    <w:p w:rsidR="0027694E" w:rsidRPr="00E8264A" w:rsidRDefault="0027694E" w:rsidP="004D548A">
      <w:pPr>
        <w:pStyle w:val="ListParagraph"/>
        <w:widowControl/>
        <w:numPr>
          <w:ilvl w:val="1"/>
          <w:numId w:val="5"/>
        </w:numPr>
        <w:spacing w:after="120"/>
        <w:contextualSpacing w:val="0"/>
        <w:rPr>
          <w:rFonts w:asciiTheme="minorHAnsi" w:eastAsiaTheme="minorHAnsi" w:hAnsiTheme="minorHAnsi" w:cstheme="minorHAnsi"/>
          <w:snapToGrid/>
          <w:sz w:val="24"/>
          <w:szCs w:val="24"/>
        </w:rPr>
      </w:pPr>
      <w:r w:rsidRPr="00E8264A">
        <w:rPr>
          <w:rFonts w:asciiTheme="minorHAnsi" w:hAnsiTheme="minorHAnsi" w:cstheme="minorHAnsi"/>
          <w:color w:val="000000"/>
          <w:sz w:val="24"/>
          <w:szCs w:val="24"/>
        </w:rPr>
        <w:t xml:space="preserve">The PBAC noted that the Special Pricing Arrangement for Lantus and Lantus </w:t>
      </w:r>
      <w:proofErr w:type="spellStart"/>
      <w:r w:rsidRPr="00E8264A">
        <w:rPr>
          <w:rFonts w:asciiTheme="minorHAnsi" w:hAnsiTheme="minorHAnsi" w:cstheme="minorHAnsi"/>
          <w:color w:val="000000"/>
          <w:sz w:val="24"/>
          <w:szCs w:val="24"/>
        </w:rPr>
        <w:t>Solostar</w:t>
      </w:r>
      <w:proofErr w:type="spellEnd"/>
      <w:r w:rsidRPr="00E8264A">
        <w:rPr>
          <w:rFonts w:asciiTheme="minorHAnsi" w:hAnsiTheme="minorHAnsi" w:cstheme="minorHAnsi"/>
          <w:color w:val="000000"/>
          <w:sz w:val="24"/>
          <w:szCs w:val="24"/>
        </w:rPr>
        <w:t xml:space="preserve"> was removed from 1 June 2018, and the current price in the Schedule of Pharmaceutical Products for these brands of insulin glargine is $240.29 DPMQ ($</w:t>
      </w:r>
      <w:r w:rsidRPr="008E2EE9">
        <w:rPr>
          <w:rFonts w:asciiTheme="minorHAnsi" w:hAnsiTheme="minorHAnsi" w:cstheme="minorHAnsi"/>
          <w:color w:val="000000"/>
          <w:sz w:val="24"/>
          <w:szCs w:val="24"/>
        </w:rPr>
        <w:t>211.40</w:t>
      </w:r>
      <w:r w:rsidRPr="00E8264A">
        <w:rPr>
          <w:rFonts w:asciiTheme="minorHAnsi" w:hAnsiTheme="minorHAnsi" w:cstheme="minorHAnsi"/>
          <w:color w:val="000000"/>
          <w:sz w:val="24"/>
          <w:szCs w:val="24"/>
        </w:rPr>
        <w:t xml:space="preserve"> ex-man).  For the savings to be realised as presented in the submission, the reduction proposed by the sponsor would need to be calculated from this price.</w:t>
      </w:r>
    </w:p>
    <w:p w:rsidR="002B4C99" w:rsidRPr="00E8264A" w:rsidRDefault="002B4C99" w:rsidP="00FF3B77">
      <w:pPr>
        <w:widowControl w:val="0"/>
        <w:numPr>
          <w:ilvl w:val="1"/>
          <w:numId w:val="5"/>
        </w:numPr>
        <w:spacing w:after="120"/>
        <w:jc w:val="both"/>
        <w:rPr>
          <w:rFonts w:asciiTheme="minorHAnsi" w:hAnsiTheme="minorHAnsi" w:cs="Arial"/>
          <w:bCs/>
          <w:snapToGrid w:val="0"/>
        </w:rPr>
      </w:pPr>
      <w:r w:rsidRPr="00E8264A">
        <w:rPr>
          <w:rFonts w:asciiTheme="minorHAnsi" w:hAnsiTheme="minorHAnsi" w:cs="Arial"/>
          <w:bCs/>
          <w:snapToGrid w:val="0"/>
        </w:rPr>
        <w:t xml:space="preserve">The PBAC </w:t>
      </w:r>
      <w:r w:rsidR="004B7B23" w:rsidRPr="00E8264A">
        <w:rPr>
          <w:rFonts w:asciiTheme="minorHAnsi" w:hAnsiTheme="minorHAnsi" w:cs="Arial"/>
          <w:bCs/>
          <w:snapToGrid w:val="0"/>
          <w:lang w:eastAsia="en-US"/>
        </w:rPr>
        <w:t>advised that there are no clinical or other concerns about appropriate use of medicines, if the policy decision were made to apply the</w:t>
      </w:r>
      <w:r w:rsidR="00FF3B77" w:rsidRPr="00E8264A">
        <w:rPr>
          <w:rFonts w:asciiTheme="minorHAnsi" w:hAnsiTheme="minorHAnsi" w:cs="Arial"/>
          <w:bCs/>
          <w:snapToGrid w:val="0"/>
        </w:rPr>
        <w:t xml:space="preserve"> following uptake driver to the proposed indication:</w:t>
      </w:r>
    </w:p>
    <w:p w:rsidR="00FF3B77" w:rsidRPr="00E8264A" w:rsidRDefault="00FF3B77" w:rsidP="00BB3B26">
      <w:pPr>
        <w:pStyle w:val="ListParagraph"/>
        <w:widowControl/>
        <w:numPr>
          <w:ilvl w:val="1"/>
          <w:numId w:val="21"/>
        </w:numPr>
        <w:spacing w:after="120"/>
        <w:ind w:left="1077" w:hanging="357"/>
        <w:contextualSpacing w:val="0"/>
        <w:rPr>
          <w:rFonts w:asciiTheme="minorHAnsi" w:hAnsiTheme="minorHAnsi"/>
          <w:b/>
          <w:bCs/>
          <w:sz w:val="24"/>
          <w:szCs w:val="24"/>
          <w:lang w:eastAsia="en-AU"/>
        </w:rPr>
      </w:pPr>
      <w:r w:rsidRPr="00E8264A">
        <w:rPr>
          <w:rFonts w:asciiTheme="minorHAnsi" w:hAnsiTheme="minorHAnsi"/>
          <w:bCs/>
          <w:sz w:val="24"/>
          <w:szCs w:val="24"/>
          <w:lang w:eastAsia="en-AU"/>
        </w:rPr>
        <w:t>Encouraging the prescribing of a biosimilar brand for treatment naïve patients.</w:t>
      </w:r>
    </w:p>
    <w:p w:rsidR="00FF3B77" w:rsidRPr="00E8264A" w:rsidRDefault="00FF3B77" w:rsidP="00BB3B26">
      <w:pPr>
        <w:widowControl w:val="0"/>
        <w:numPr>
          <w:ilvl w:val="1"/>
          <w:numId w:val="5"/>
        </w:numPr>
        <w:spacing w:after="120"/>
        <w:jc w:val="both"/>
        <w:rPr>
          <w:rFonts w:asciiTheme="minorHAnsi" w:hAnsiTheme="minorHAnsi" w:cs="Arial"/>
          <w:bCs/>
          <w:snapToGrid w:val="0"/>
        </w:rPr>
      </w:pPr>
      <w:r w:rsidRPr="00E8264A">
        <w:rPr>
          <w:rFonts w:asciiTheme="minorHAnsi" w:hAnsiTheme="minorHAnsi" w:cs="Arial"/>
          <w:bCs/>
          <w:snapToGrid w:val="0"/>
        </w:rPr>
        <w:t xml:space="preserve">The PBAC noted that the following uptake driver was not appropriate, as </w:t>
      </w:r>
      <w:r w:rsidR="004B7B23" w:rsidRPr="00E8264A">
        <w:rPr>
          <w:rFonts w:asciiTheme="minorHAnsi" w:hAnsiTheme="minorHAnsi" w:cs="Arial"/>
          <w:bCs/>
          <w:snapToGrid w:val="0"/>
        </w:rPr>
        <w:t>the reference product</w:t>
      </w:r>
      <w:r w:rsidRPr="00E8264A">
        <w:rPr>
          <w:rFonts w:asciiTheme="minorHAnsi" w:hAnsiTheme="minorHAnsi" w:cs="Arial"/>
          <w:bCs/>
          <w:snapToGrid w:val="0"/>
        </w:rPr>
        <w:t xml:space="preserve"> is </w:t>
      </w:r>
      <w:r w:rsidR="004B7B23" w:rsidRPr="00E8264A">
        <w:rPr>
          <w:rFonts w:asciiTheme="minorHAnsi" w:hAnsiTheme="minorHAnsi" w:cs="Arial"/>
          <w:bCs/>
          <w:snapToGrid w:val="0"/>
        </w:rPr>
        <w:t xml:space="preserve">currently </w:t>
      </w:r>
      <w:r w:rsidRPr="00E8264A">
        <w:rPr>
          <w:rFonts w:asciiTheme="minorHAnsi" w:hAnsiTheme="minorHAnsi" w:cs="Arial"/>
          <w:bCs/>
          <w:snapToGrid w:val="0"/>
        </w:rPr>
        <w:t>an unrestricted benefit.</w:t>
      </w:r>
    </w:p>
    <w:p w:rsidR="00FF3B77" w:rsidRPr="00E8264A" w:rsidRDefault="00FF3B77" w:rsidP="00BB3B26">
      <w:pPr>
        <w:pStyle w:val="ListParagraph"/>
        <w:widowControl/>
        <w:numPr>
          <w:ilvl w:val="1"/>
          <w:numId w:val="21"/>
        </w:numPr>
        <w:spacing w:after="120"/>
        <w:ind w:left="1077" w:hanging="357"/>
        <w:contextualSpacing w:val="0"/>
        <w:rPr>
          <w:rFonts w:asciiTheme="minorHAnsi" w:hAnsiTheme="minorHAnsi"/>
          <w:b/>
          <w:bCs/>
          <w:sz w:val="24"/>
          <w:szCs w:val="24"/>
          <w:lang w:eastAsia="en-AU"/>
        </w:rPr>
      </w:pPr>
      <w:r w:rsidRPr="00E8264A">
        <w:rPr>
          <w:rFonts w:asciiTheme="minorHAnsi" w:hAnsiTheme="minorHAnsi"/>
          <w:bCs/>
          <w:sz w:val="24"/>
          <w:szCs w:val="24"/>
          <w:lang w:eastAsia="en-AU"/>
        </w:rPr>
        <w:t>Applying a lower level of authority to biosimilar brand(s) than e</w:t>
      </w:r>
      <w:r w:rsidR="004D548A" w:rsidRPr="00E8264A">
        <w:rPr>
          <w:rFonts w:asciiTheme="minorHAnsi" w:hAnsiTheme="minorHAnsi"/>
          <w:bCs/>
          <w:sz w:val="24"/>
          <w:szCs w:val="24"/>
          <w:lang w:eastAsia="en-AU"/>
        </w:rPr>
        <w:t>x</w:t>
      </w:r>
      <w:r w:rsidRPr="00E8264A">
        <w:rPr>
          <w:rFonts w:asciiTheme="minorHAnsi" w:hAnsiTheme="minorHAnsi"/>
          <w:bCs/>
          <w:sz w:val="24"/>
          <w:szCs w:val="24"/>
          <w:lang w:eastAsia="en-AU"/>
        </w:rPr>
        <w:t>ists for the reference brand of biological medicines.</w:t>
      </w:r>
    </w:p>
    <w:p w:rsidR="006E0203" w:rsidRPr="00E8264A" w:rsidRDefault="006E0203" w:rsidP="006E0203">
      <w:pPr>
        <w:widowControl w:val="0"/>
        <w:numPr>
          <w:ilvl w:val="1"/>
          <w:numId w:val="5"/>
        </w:numPr>
        <w:spacing w:after="120"/>
        <w:jc w:val="both"/>
        <w:rPr>
          <w:rFonts w:asciiTheme="minorHAnsi" w:hAnsiTheme="minorHAnsi" w:cs="Arial"/>
          <w:bCs/>
          <w:snapToGrid w:val="0"/>
        </w:rPr>
      </w:pPr>
      <w:r w:rsidRPr="00E8264A">
        <w:rPr>
          <w:rFonts w:asciiTheme="minorHAnsi" w:hAnsiTheme="minorHAnsi" w:cs="Arial"/>
          <w:bCs/>
          <w:snapToGrid w:val="0"/>
        </w:rPr>
        <w:t>The PBAC considered that the Australian Government</w:t>
      </w:r>
      <w:r w:rsidR="004B65B9" w:rsidRPr="00E8264A">
        <w:rPr>
          <w:rFonts w:asciiTheme="minorHAnsi" w:hAnsiTheme="minorHAnsi" w:cs="Arial"/>
          <w:bCs/>
          <w:snapToGrid w:val="0"/>
        </w:rPr>
        <w:t xml:space="preserve"> be requested, through the</w:t>
      </w:r>
      <w:r w:rsidRPr="00E8264A">
        <w:rPr>
          <w:rFonts w:asciiTheme="minorHAnsi" w:hAnsiTheme="minorHAnsi" w:cs="Arial"/>
          <w:bCs/>
          <w:snapToGrid w:val="0"/>
        </w:rPr>
        <w:t xml:space="preserve"> Biosimilar </w:t>
      </w:r>
      <w:r w:rsidR="004B65B9" w:rsidRPr="00E8264A">
        <w:rPr>
          <w:rFonts w:asciiTheme="minorHAnsi" w:hAnsiTheme="minorHAnsi" w:cs="Arial"/>
          <w:bCs/>
          <w:snapToGrid w:val="0"/>
        </w:rPr>
        <w:t>Education Grant,</w:t>
      </w:r>
      <w:r w:rsidRPr="00E8264A">
        <w:rPr>
          <w:rFonts w:asciiTheme="minorHAnsi" w:hAnsiTheme="minorHAnsi" w:cs="Arial"/>
          <w:bCs/>
          <w:snapToGrid w:val="0"/>
        </w:rPr>
        <w:t xml:space="preserve"> to support the PBS listing of the first </w:t>
      </w:r>
      <w:r w:rsidR="00D87894" w:rsidRPr="00E8264A">
        <w:rPr>
          <w:rFonts w:asciiTheme="minorHAnsi" w:hAnsiTheme="minorHAnsi" w:cs="Arial"/>
          <w:bCs/>
          <w:snapToGrid w:val="0"/>
        </w:rPr>
        <w:t>insulin</w:t>
      </w:r>
      <w:r w:rsidRPr="00E8264A">
        <w:rPr>
          <w:rFonts w:asciiTheme="minorHAnsi" w:hAnsiTheme="minorHAnsi" w:cs="Arial"/>
          <w:bCs/>
          <w:snapToGrid w:val="0"/>
        </w:rPr>
        <w:t xml:space="preserve"> biosimilar in the </w:t>
      </w:r>
      <w:r w:rsidR="00D87894" w:rsidRPr="00E8264A">
        <w:rPr>
          <w:rFonts w:asciiTheme="minorHAnsi" w:hAnsiTheme="minorHAnsi" w:cs="Arial"/>
          <w:bCs/>
          <w:snapToGrid w:val="0"/>
        </w:rPr>
        <w:t>diabetic</w:t>
      </w:r>
      <w:r w:rsidRPr="00E8264A">
        <w:rPr>
          <w:rFonts w:asciiTheme="minorHAnsi" w:hAnsiTheme="minorHAnsi" w:cs="Arial"/>
          <w:bCs/>
          <w:snapToGrid w:val="0"/>
        </w:rPr>
        <w:t xml:space="preserve"> setting via the development of </w:t>
      </w:r>
      <w:r w:rsidR="00D87894" w:rsidRPr="00E8264A">
        <w:rPr>
          <w:rFonts w:asciiTheme="minorHAnsi" w:hAnsiTheme="minorHAnsi" w:cs="Arial"/>
          <w:bCs/>
          <w:snapToGrid w:val="0"/>
        </w:rPr>
        <w:t>educational materials</w:t>
      </w:r>
      <w:r w:rsidRPr="00E8264A">
        <w:rPr>
          <w:rFonts w:asciiTheme="minorHAnsi" w:hAnsiTheme="minorHAnsi" w:cs="Arial"/>
          <w:bCs/>
          <w:snapToGrid w:val="0"/>
        </w:rPr>
        <w:t xml:space="preserve"> aimed at consumers</w:t>
      </w:r>
      <w:r w:rsidR="00D87894" w:rsidRPr="00E8264A">
        <w:rPr>
          <w:rFonts w:asciiTheme="minorHAnsi" w:hAnsiTheme="minorHAnsi" w:cs="Arial"/>
          <w:bCs/>
          <w:snapToGrid w:val="0"/>
        </w:rPr>
        <w:t xml:space="preserve"> and health care professionals.</w:t>
      </w:r>
    </w:p>
    <w:p w:rsidR="002B4C99" w:rsidRPr="00E8264A" w:rsidRDefault="002B4C99" w:rsidP="00FF3B77">
      <w:pPr>
        <w:widowControl w:val="0"/>
        <w:numPr>
          <w:ilvl w:val="1"/>
          <w:numId w:val="5"/>
        </w:numPr>
        <w:spacing w:after="120"/>
        <w:jc w:val="both"/>
        <w:rPr>
          <w:rFonts w:asciiTheme="minorHAnsi" w:hAnsiTheme="minorHAnsi" w:cs="Arial"/>
          <w:bCs/>
          <w:snapToGrid w:val="0"/>
        </w:rPr>
      </w:pPr>
      <w:r w:rsidRPr="00E8264A">
        <w:rPr>
          <w:rFonts w:asciiTheme="minorHAnsi" w:hAnsiTheme="minorHAnsi" w:cs="Arial"/>
          <w:bCs/>
          <w:snapToGrid w:val="0"/>
        </w:rPr>
        <w:t>The PBAC noted that this submission is not eligible for an Independent Review</w:t>
      </w:r>
      <w:r w:rsidR="00517FE0" w:rsidRPr="00E8264A">
        <w:rPr>
          <w:rFonts w:asciiTheme="minorHAnsi" w:hAnsiTheme="minorHAnsi" w:cs="Arial"/>
          <w:bCs/>
          <w:snapToGrid w:val="0"/>
        </w:rPr>
        <w:t xml:space="preserve"> as it received a positive recommendation</w:t>
      </w:r>
      <w:r w:rsidRPr="00E8264A">
        <w:rPr>
          <w:rFonts w:asciiTheme="minorHAnsi" w:hAnsiTheme="minorHAnsi" w:cs="Arial"/>
          <w:bCs/>
          <w:snapToGrid w:val="0"/>
        </w:rPr>
        <w:t xml:space="preserve">. </w:t>
      </w:r>
    </w:p>
    <w:p w:rsidR="00FF7F10" w:rsidRDefault="00FF7F10">
      <w:pPr>
        <w:rPr>
          <w:rFonts w:asciiTheme="minorHAnsi" w:hAnsiTheme="minorHAnsi" w:cs="Arial"/>
          <w:b/>
          <w:bCs/>
          <w:snapToGrid w:val="0"/>
        </w:rPr>
      </w:pPr>
      <w:r>
        <w:rPr>
          <w:rFonts w:asciiTheme="minorHAnsi" w:hAnsiTheme="minorHAnsi" w:cs="Arial"/>
          <w:b/>
          <w:bCs/>
          <w:snapToGrid w:val="0"/>
        </w:rPr>
        <w:br w:type="page"/>
      </w:r>
    </w:p>
    <w:p w:rsidR="002B4C99" w:rsidRPr="00E8264A" w:rsidRDefault="002B4C99" w:rsidP="002B4C99">
      <w:pPr>
        <w:spacing w:before="240"/>
        <w:jc w:val="both"/>
        <w:rPr>
          <w:rFonts w:asciiTheme="minorHAnsi" w:hAnsiTheme="minorHAnsi" w:cs="Arial"/>
          <w:b/>
          <w:bCs/>
          <w:snapToGrid w:val="0"/>
        </w:rPr>
      </w:pPr>
      <w:r w:rsidRPr="00E8264A">
        <w:rPr>
          <w:rFonts w:asciiTheme="minorHAnsi" w:hAnsiTheme="minorHAnsi" w:cs="Arial"/>
          <w:b/>
          <w:bCs/>
          <w:snapToGrid w:val="0"/>
        </w:rPr>
        <w:lastRenderedPageBreak/>
        <w:t>Outcome:</w:t>
      </w:r>
    </w:p>
    <w:p w:rsidR="002B4C99" w:rsidRPr="00E8264A" w:rsidRDefault="002B4C99" w:rsidP="002B4C99">
      <w:pPr>
        <w:jc w:val="both"/>
        <w:rPr>
          <w:rFonts w:asciiTheme="minorHAnsi" w:hAnsiTheme="minorHAnsi" w:cs="Arial"/>
          <w:bCs/>
          <w:snapToGrid w:val="0"/>
        </w:rPr>
      </w:pPr>
      <w:r w:rsidRPr="00E8264A">
        <w:rPr>
          <w:rFonts w:asciiTheme="minorHAnsi" w:hAnsiTheme="minorHAnsi" w:cs="Arial"/>
          <w:bCs/>
          <w:snapToGrid w:val="0"/>
        </w:rPr>
        <w:t xml:space="preserve">Recommended </w:t>
      </w:r>
    </w:p>
    <w:p w:rsidR="002B4C99" w:rsidRPr="00E8264A" w:rsidRDefault="002B4C99" w:rsidP="002B4C99">
      <w:pPr>
        <w:widowControl w:val="0"/>
        <w:jc w:val="both"/>
        <w:rPr>
          <w:rFonts w:asciiTheme="minorHAnsi" w:hAnsiTheme="minorHAnsi" w:cs="Arial"/>
          <w:b/>
          <w:bCs/>
          <w:snapToGrid w:val="0"/>
        </w:rPr>
      </w:pPr>
    </w:p>
    <w:p w:rsidR="002B4C99" w:rsidRPr="00E8264A" w:rsidRDefault="002B4C99" w:rsidP="00BB3B26">
      <w:pPr>
        <w:pStyle w:val="Heading1"/>
        <w:keepNext/>
        <w:keepLines/>
        <w:widowControl/>
        <w:numPr>
          <w:ilvl w:val="0"/>
          <w:numId w:val="14"/>
        </w:numPr>
        <w:spacing w:before="240" w:after="120"/>
        <w:ind w:left="709" w:hanging="709"/>
        <w:contextualSpacing w:val="0"/>
        <w:jc w:val="left"/>
        <w:rPr>
          <w:rFonts w:asciiTheme="minorHAnsi" w:hAnsiTheme="minorHAnsi"/>
          <w:b w:val="0"/>
          <w:bCs/>
          <w:i/>
          <w:sz w:val="32"/>
        </w:rPr>
      </w:pPr>
      <w:r w:rsidRPr="00E8264A">
        <w:rPr>
          <w:rFonts w:asciiTheme="minorHAnsi" w:hAnsiTheme="minorHAnsi"/>
          <w:bCs/>
          <w:sz w:val="32"/>
        </w:rPr>
        <w:t>Recommended listing</w:t>
      </w:r>
    </w:p>
    <w:p w:rsidR="002B4C99" w:rsidRPr="00E8264A" w:rsidRDefault="00611B1C" w:rsidP="00E87F79">
      <w:pPr>
        <w:widowControl w:val="0"/>
        <w:jc w:val="both"/>
        <w:rPr>
          <w:rFonts w:asciiTheme="minorHAnsi" w:hAnsiTheme="minorHAnsi" w:cs="Arial"/>
          <w:bCs/>
          <w:snapToGrid w:val="0"/>
        </w:rPr>
      </w:pPr>
      <w:r>
        <w:rPr>
          <w:rFonts w:asciiTheme="minorHAnsi" w:hAnsiTheme="minorHAnsi" w:cs="Arial"/>
          <w:bCs/>
          <w:snapToGrid w:val="0"/>
        </w:rPr>
        <w:t>7.1</w:t>
      </w:r>
      <w:r>
        <w:rPr>
          <w:rFonts w:asciiTheme="minorHAnsi" w:hAnsiTheme="minorHAnsi" w:cs="Arial"/>
          <w:bCs/>
          <w:snapToGrid w:val="0"/>
        </w:rPr>
        <w:tab/>
      </w:r>
      <w:r w:rsidR="002B4C99" w:rsidRPr="00E8264A">
        <w:rPr>
          <w:rFonts w:asciiTheme="minorHAnsi" w:hAnsiTheme="minorHAnsi" w:cs="Arial"/>
          <w:bCs/>
          <w:snapToGrid w:val="0"/>
        </w:rPr>
        <w:t>Add new item:</w:t>
      </w:r>
    </w:p>
    <w:p w:rsidR="002B4C99" w:rsidRPr="00E8264A" w:rsidRDefault="002B4C99" w:rsidP="002B4C99">
      <w:pPr>
        <w:pStyle w:val="NoSpacing"/>
      </w:pPr>
    </w:p>
    <w:tbl>
      <w:tblPr>
        <w:tblStyle w:val="TableGrid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commended listing "/>
      </w:tblPr>
      <w:tblGrid>
        <w:gridCol w:w="4150"/>
        <w:gridCol w:w="1580"/>
        <w:gridCol w:w="1331"/>
        <w:gridCol w:w="2181"/>
      </w:tblGrid>
      <w:tr w:rsidR="00EA28BE" w:rsidRPr="00E8264A" w:rsidTr="003D3BBD">
        <w:trPr>
          <w:trHeight w:val="277"/>
          <w:tblHeader/>
          <w:jc w:val="center"/>
        </w:trPr>
        <w:tc>
          <w:tcPr>
            <w:tcW w:w="2245" w:type="pct"/>
            <w:tcBorders>
              <w:left w:val="nil"/>
              <w:right w:val="nil"/>
            </w:tcBorders>
            <w:shd w:val="clear" w:color="auto" w:fill="auto"/>
          </w:tcPr>
          <w:p w:rsidR="00EA28BE" w:rsidRPr="00E8264A" w:rsidRDefault="00EA28BE" w:rsidP="00C8718C">
            <w:pPr>
              <w:pStyle w:val="TableLeft"/>
              <w:keepNext/>
              <w:jc w:val="left"/>
              <w:rPr>
                <w:rFonts w:ascii="Arial Narrow" w:hAnsi="Arial Narrow"/>
                <w:b/>
                <w:lang w:val="en-AU"/>
              </w:rPr>
            </w:pPr>
            <w:r w:rsidRPr="00E8264A">
              <w:rPr>
                <w:rFonts w:ascii="Arial Narrow" w:hAnsi="Arial Narrow"/>
                <w:b/>
                <w:lang w:val="en-AU"/>
              </w:rPr>
              <w:t>Name, restriction, manner of administration, form</w:t>
            </w:r>
          </w:p>
        </w:tc>
        <w:tc>
          <w:tcPr>
            <w:tcW w:w="855" w:type="pct"/>
            <w:tcBorders>
              <w:left w:val="nil"/>
              <w:right w:val="nil"/>
            </w:tcBorders>
            <w:shd w:val="clear" w:color="auto" w:fill="auto"/>
          </w:tcPr>
          <w:p w:rsidR="00EA28BE" w:rsidRPr="00E8264A" w:rsidRDefault="00EA28BE" w:rsidP="00C8718C">
            <w:pPr>
              <w:pStyle w:val="TableCentre"/>
              <w:rPr>
                <w:rFonts w:ascii="Arial Narrow" w:hAnsi="Arial Narrow"/>
                <w:b/>
                <w:lang w:val="en-AU"/>
              </w:rPr>
            </w:pPr>
            <w:r w:rsidRPr="00E8264A">
              <w:rPr>
                <w:rFonts w:ascii="Arial Narrow" w:hAnsi="Arial Narrow"/>
                <w:b/>
                <w:lang w:val="en-AU"/>
              </w:rPr>
              <w:t>Maximum quantity (units)</w:t>
            </w:r>
          </w:p>
        </w:tc>
        <w:tc>
          <w:tcPr>
            <w:tcW w:w="720" w:type="pct"/>
            <w:tcBorders>
              <w:left w:val="nil"/>
              <w:right w:val="nil"/>
            </w:tcBorders>
            <w:shd w:val="clear" w:color="auto" w:fill="auto"/>
          </w:tcPr>
          <w:p w:rsidR="00EA28BE" w:rsidRPr="00E8264A" w:rsidRDefault="00EA28BE" w:rsidP="00C8718C">
            <w:pPr>
              <w:pStyle w:val="TableCentre"/>
              <w:rPr>
                <w:rFonts w:ascii="Arial Narrow" w:hAnsi="Arial Narrow"/>
                <w:b/>
                <w:lang w:val="en-AU"/>
              </w:rPr>
            </w:pPr>
            <w:r w:rsidRPr="00E8264A">
              <w:rPr>
                <w:rFonts w:ascii="Arial Narrow" w:hAnsi="Arial Narrow"/>
                <w:b/>
                <w:lang w:val="en-AU"/>
              </w:rPr>
              <w:t>No. of repeats</w:t>
            </w:r>
          </w:p>
        </w:tc>
        <w:tc>
          <w:tcPr>
            <w:tcW w:w="1180" w:type="pct"/>
            <w:tcBorders>
              <w:left w:val="nil"/>
              <w:right w:val="nil"/>
            </w:tcBorders>
            <w:shd w:val="clear" w:color="auto" w:fill="auto"/>
          </w:tcPr>
          <w:p w:rsidR="00EA28BE" w:rsidRPr="00E8264A" w:rsidRDefault="00EA28BE" w:rsidP="00C8718C">
            <w:pPr>
              <w:pStyle w:val="TableCentre"/>
              <w:rPr>
                <w:rFonts w:ascii="Arial Narrow" w:hAnsi="Arial Narrow"/>
                <w:b/>
                <w:lang w:val="en-AU"/>
              </w:rPr>
            </w:pPr>
            <w:r w:rsidRPr="00E8264A">
              <w:rPr>
                <w:rFonts w:ascii="Arial Narrow" w:hAnsi="Arial Narrow"/>
                <w:b/>
                <w:lang w:val="en-AU"/>
              </w:rPr>
              <w:t>Proprietary name and manufacturer</w:t>
            </w:r>
          </w:p>
        </w:tc>
      </w:tr>
      <w:tr w:rsidR="00EA28BE" w:rsidRPr="00E8264A" w:rsidTr="00611B1C">
        <w:trPr>
          <w:trHeight w:val="525"/>
          <w:jc w:val="center"/>
        </w:trPr>
        <w:tc>
          <w:tcPr>
            <w:tcW w:w="2245" w:type="pct"/>
            <w:tcBorders>
              <w:left w:val="nil"/>
              <w:right w:val="nil"/>
            </w:tcBorders>
          </w:tcPr>
          <w:p w:rsidR="00EA28BE" w:rsidRPr="00E8264A" w:rsidRDefault="00EA28BE" w:rsidP="00C8718C">
            <w:pPr>
              <w:pStyle w:val="TableLeft"/>
              <w:keepNext/>
              <w:jc w:val="left"/>
              <w:rPr>
                <w:rFonts w:ascii="Arial Narrow" w:hAnsi="Arial Narrow"/>
                <w:lang w:val="en-AU"/>
              </w:rPr>
            </w:pPr>
            <w:r w:rsidRPr="00E8264A">
              <w:rPr>
                <w:rFonts w:ascii="Arial Narrow" w:hAnsi="Arial Narrow"/>
                <w:lang w:val="en-AU"/>
              </w:rPr>
              <w:t>INSULIN GLARGINE</w:t>
            </w:r>
          </w:p>
          <w:p w:rsidR="00611B1C" w:rsidRPr="00BB3B26" w:rsidRDefault="00EA28BE" w:rsidP="00C8718C">
            <w:pPr>
              <w:pStyle w:val="TableLeft"/>
              <w:keepNext/>
              <w:jc w:val="left"/>
              <w:rPr>
                <w:rFonts w:ascii="Arial Narrow" w:hAnsi="Arial Narrow"/>
                <w:lang w:val="en-AU"/>
              </w:rPr>
            </w:pPr>
            <w:r w:rsidRPr="00E8264A">
              <w:rPr>
                <w:rFonts w:ascii="Arial Narrow" w:hAnsi="Arial Narrow"/>
                <w:lang w:val="en-AU"/>
              </w:rPr>
              <w:t>insulin glargine 100 units/mL injection, 5 x 3 mL cartridges</w:t>
            </w:r>
          </w:p>
        </w:tc>
        <w:tc>
          <w:tcPr>
            <w:tcW w:w="855" w:type="pct"/>
            <w:tcBorders>
              <w:left w:val="nil"/>
              <w:right w:val="nil"/>
            </w:tcBorders>
          </w:tcPr>
          <w:p w:rsidR="00EA28BE" w:rsidRPr="00E8264A" w:rsidRDefault="00EA28BE" w:rsidP="00C8718C">
            <w:pPr>
              <w:pStyle w:val="TableCentre"/>
              <w:rPr>
                <w:rFonts w:ascii="Arial Narrow" w:hAnsi="Arial Narrow"/>
                <w:lang w:val="en-AU"/>
              </w:rPr>
            </w:pPr>
            <w:r w:rsidRPr="00E8264A">
              <w:rPr>
                <w:rFonts w:ascii="Arial Narrow" w:hAnsi="Arial Narrow"/>
                <w:lang w:val="en-AU"/>
              </w:rPr>
              <w:t>5</w:t>
            </w:r>
          </w:p>
        </w:tc>
        <w:tc>
          <w:tcPr>
            <w:tcW w:w="720" w:type="pct"/>
            <w:tcBorders>
              <w:left w:val="nil"/>
              <w:right w:val="nil"/>
            </w:tcBorders>
          </w:tcPr>
          <w:p w:rsidR="00EA28BE" w:rsidRPr="00E8264A" w:rsidRDefault="00EA28BE" w:rsidP="00C8718C">
            <w:pPr>
              <w:pStyle w:val="TableCentre"/>
              <w:rPr>
                <w:rFonts w:ascii="Arial Narrow" w:hAnsi="Arial Narrow"/>
                <w:lang w:val="en-AU"/>
              </w:rPr>
            </w:pPr>
            <w:r w:rsidRPr="00E8264A">
              <w:rPr>
                <w:rFonts w:ascii="Arial Narrow" w:hAnsi="Arial Narrow"/>
                <w:lang w:val="en-AU"/>
              </w:rPr>
              <w:t>1</w:t>
            </w:r>
          </w:p>
        </w:tc>
        <w:tc>
          <w:tcPr>
            <w:tcW w:w="1180" w:type="pct"/>
            <w:tcBorders>
              <w:left w:val="nil"/>
              <w:right w:val="nil"/>
            </w:tcBorders>
          </w:tcPr>
          <w:p w:rsidR="00EA28BE" w:rsidRPr="00E8264A" w:rsidRDefault="00EA28BE" w:rsidP="00C8718C">
            <w:pPr>
              <w:pStyle w:val="TableCentre"/>
              <w:rPr>
                <w:rFonts w:ascii="Arial Narrow" w:hAnsi="Arial Narrow"/>
                <w:lang w:val="en-AU"/>
              </w:rPr>
            </w:pPr>
            <w:r w:rsidRPr="00E8264A">
              <w:rPr>
                <w:rFonts w:ascii="Arial Narrow" w:hAnsi="Arial Narrow"/>
                <w:lang w:val="en-AU"/>
              </w:rPr>
              <w:t xml:space="preserve">Semglee, Alphapharm Pty Ltd </w:t>
            </w:r>
          </w:p>
        </w:tc>
      </w:tr>
      <w:tr w:rsidR="00EA28BE" w:rsidRPr="00E8264A" w:rsidTr="00EA28BE">
        <w:trPr>
          <w:jc w:val="center"/>
        </w:trPr>
        <w:tc>
          <w:tcPr>
            <w:tcW w:w="2245" w:type="pct"/>
          </w:tcPr>
          <w:p w:rsidR="00EA28BE" w:rsidRPr="00E8264A" w:rsidRDefault="00EA28BE" w:rsidP="00C8718C">
            <w:pPr>
              <w:pStyle w:val="TableLeft"/>
              <w:keepNext/>
              <w:jc w:val="left"/>
              <w:rPr>
                <w:rFonts w:ascii="Arial Narrow" w:hAnsi="Arial Narrow"/>
                <w:b/>
                <w:lang w:val="en-AU"/>
              </w:rPr>
            </w:pPr>
            <w:r w:rsidRPr="00E8264A">
              <w:rPr>
                <w:rFonts w:ascii="Arial Narrow" w:hAnsi="Arial Narrow"/>
                <w:b/>
                <w:lang w:val="en-AU"/>
              </w:rPr>
              <w:t>Administrative Advice</w:t>
            </w:r>
          </w:p>
        </w:tc>
        <w:tc>
          <w:tcPr>
            <w:tcW w:w="2755" w:type="pct"/>
            <w:gridSpan w:val="3"/>
          </w:tcPr>
          <w:p w:rsidR="00EA28BE" w:rsidRPr="00E8264A" w:rsidRDefault="00EA28BE" w:rsidP="00EA28BE">
            <w:pPr>
              <w:rPr>
                <w:rFonts w:ascii="Arial Narrow" w:hAnsi="Arial Narrow"/>
                <w:b/>
                <w:sz w:val="20"/>
                <w:szCs w:val="20"/>
                <w:lang w:val="en-AU"/>
              </w:rPr>
            </w:pPr>
            <w:r w:rsidRPr="00E8264A">
              <w:rPr>
                <w:rFonts w:ascii="Arial Narrow" w:hAnsi="Arial Narrow"/>
                <w:b/>
                <w:sz w:val="20"/>
                <w:szCs w:val="20"/>
                <w:lang w:val="en-AU"/>
              </w:rPr>
              <w:t>Note</w:t>
            </w:r>
          </w:p>
          <w:p w:rsidR="00EA28BE" w:rsidRPr="00E8264A" w:rsidRDefault="00EA28BE" w:rsidP="00EA28BE">
            <w:pPr>
              <w:rPr>
                <w:rFonts w:ascii="Arial Narrow" w:hAnsi="Arial Narrow"/>
                <w:b/>
                <w:sz w:val="20"/>
                <w:szCs w:val="20"/>
                <w:lang w:val="en-AU"/>
              </w:rPr>
            </w:pPr>
            <w:r w:rsidRPr="00E8264A">
              <w:rPr>
                <w:rFonts w:ascii="Arial Narrow" w:hAnsi="Arial Narrow"/>
                <w:b/>
                <w:sz w:val="20"/>
                <w:szCs w:val="20"/>
                <w:lang w:val="en-AU"/>
              </w:rPr>
              <w:t xml:space="preserve">Biosimilar prescribing policy </w:t>
            </w:r>
          </w:p>
          <w:p w:rsidR="00EA28BE" w:rsidRPr="00E8264A" w:rsidRDefault="00EA28BE" w:rsidP="00EA28BE">
            <w:pPr>
              <w:rPr>
                <w:rFonts w:ascii="Arial Narrow" w:hAnsi="Arial Narrow"/>
                <w:sz w:val="20"/>
                <w:szCs w:val="20"/>
                <w:lang w:val="en-AU"/>
              </w:rPr>
            </w:pPr>
            <w:r w:rsidRPr="00E8264A">
              <w:rPr>
                <w:rFonts w:ascii="Arial Narrow" w:hAnsi="Arial Narrow"/>
                <w:sz w:val="20"/>
                <w:szCs w:val="20"/>
                <w:lang w:val="en-AU"/>
              </w:rPr>
              <w:t xml:space="preserve">Prescribing of the biosimilar brand </w:t>
            </w:r>
            <w:r w:rsidR="00E8264A">
              <w:rPr>
                <w:rFonts w:ascii="Arial Narrow" w:hAnsi="Arial Narrow"/>
                <w:sz w:val="20"/>
                <w:szCs w:val="20"/>
                <w:lang w:val="en-AU"/>
              </w:rPr>
              <w:t xml:space="preserve">SEMGLEE® </w:t>
            </w:r>
            <w:r w:rsidRPr="00E8264A">
              <w:rPr>
                <w:rFonts w:ascii="Arial Narrow" w:hAnsi="Arial Narrow"/>
                <w:sz w:val="20"/>
                <w:szCs w:val="20"/>
                <w:lang w:val="en-AU"/>
              </w:rPr>
              <w:t xml:space="preserve">is encouraged for treatment naive patients. </w:t>
            </w:r>
          </w:p>
          <w:p w:rsidR="00EA28BE" w:rsidRPr="00E8264A" w:rsidRDefault="00EA28BE" w:rsidP="00E36355">
            <w:pPr>
              <w:pStyle w:val="NoSpacing"/>
              <w:rPr>
                <w:lang w:val="en-AU"/>
              </w:rPr>
            </w:pPr>
            <w:r w:rsidRPr="00E8264A">
              <w:rPr>
                <w:rFonts w:ascii="Arial Narrow" w:hAnsi="Arial Narrow"/>
                <w:sz w:val="20"/>
                <w:szCs w:val="20"/>
                <w:lang w:val="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Biosimilar Awareness Initiative webpage (www.health.gov.au/biosimilars).</w:t>
            </w:r>
          </w:p>
        </w:tc>
      </w:tr>
    </w:tbl>
    <w:p w:rsidR="00BB3B26" w:rsidRPr="00BB3B26" w:rsidRDefault="00BB3B26" w:rsidP="00BB3B26">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BB3B26">
        <w:rPr>
          <w:rFonts w:asciiTheme="minorHAnsi" w:hAnsiTheme="minorHAnsi"/>
          <w:sz w:val="32"/>
          <w:szCs w:val="32"/>
        </w:rPr>
        <w:t>Context for Decision</w:t>
      </w:r>
    </w:p>
    <w:p w:rsidR="00BB3B26" w:rsidRDefault="00BB3B26" w:rsidP="00BB3B26">
      <w:pPr>
        <w:ind w:left="709"/>
        <w:jc w:val="both"/>
        <w:rPr>
          <w:rFonts w:asciiTheme="minorHAnsi" w:hAnsiTheme="minorHAnsi" w:cs="Arial"/>
        </w:rPr>
      </w:pPr>
      <w:r>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B3B26" w:rsidRPr="00BB3B26" w:rsidRDefault="00BB3B26" w:rsidP="00BB3B26">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BB3B26">
        <w:rPr>
          <w:rFonts w:asciiTheme="minorHAnsi" w:hAnsiTheme="minorHAnsi"/>
          <w:sz w:val="32"/>
          <w:szCs w:val="32"/>
        </w:rPr>
        <w:t>Sponsor’s Comment</w:t>
      </w:r>
    </w:p>
    <w:p w:rsidR="00BB3B26" w:rsidRPr="006D3AA6" w:rsidRDefault="00B44254" w:rsidP="006D3AA6">
      <w:pPr>
        <w:spacing w:after="120"/>
        <w:ind w:left="709"/>
        <w:jc w:val="both"/>
        <w:rPr>
          <w:rFonts w:asciiTheme="minorHAnsi" w:hAnsiTheme="minorHAnsi" w:cs="Arial"/>
          <w:bCs/>
        </w:rPr>
      </w:pPr>
      <w:r w:rsidRPr="00DA5034">
        <w:rPr>
          <w:rFonts w:asciiTheme="minorHAnsi" w:hAnsiTheme="minorHAnsi" w:cs="Arial"/>
          <w:bCs/>
        </w:rPr>
        <w:t>Alphapharm welcomes the PBAC’s decision to recommend Semglee</w:t>
      </w:r>
      <w:bookmarkStart w:id="3" w:name="_GoBack"/>
      <w:bookmarkEnd w:id="3"/>
      <w:r w:rsidRPr="00DA5034">
        <w:rPr>
          <w:rFonts w:asciiTheme="minorHAnsi" w:hAnsiTheme="minorHAnsi" w:cs="Arial"/>
          <w:bCs/>
        </w:rPr>
        <w:t xml:space="preserve"> for Australian patients and looks forward to a PBS listing at the earliest opportunity.</w:t>
      </w:r>
    </w:p>
    <w:p w:rsidR="00CE10C4" w:rsidRPr="00E8264A" w:rsidRDefault="00CE10C4" w:rsidP="002B4C99">
      <w:pPr>
        <w:tabs>
          <w:tab w:val="left" w:pos="2011"/>
        </w:tabs>
        <w:rPr>
          <w:rFonts w:asciiTheme="minorHAnsi" w:hAnsiTheme="minorHAnsi"/>
          <w:sz w:val="22"/>
          <w:szCs w:val="22"/>
        </w:rPr>
      </w:pPr>
    </w:p>
    <w:sectPr w:rsidR="00CE10C4" w:rsidRPr="00E8264A"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DE2" w:rsidRDefault="006F4DE2">
      <w:r>
        <w:separator/>
      </w:r>
    </w:p>
    <w:p w:rsidR="006F4DE2" w:rsidRDefault="006F4DE2"/>
  </w:endnote>
  <w:endnote w:type="continuationSeparator" w:id="0">
    <w:p w:rsidR="006F4DE2" w:rsidRDefault="006F4DE2">
      <w:r>
        <w:continuationSeparator/>
      </w:r>
    </w:p>
    <w:p w:rsidR="006F4DE2" w:rsidRDefault="006F4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A28BE" w:rsidTr="005A3173">
      <w:trPr>
        <w:trHeight w:val="151"/>
      </w:trPr>
      <w:tc>
        <w:tcPr>
          <w:tcW w:w="2250" w:type="pct"/>
          <w:tcBorders>
            <w:top w:val="nil"/>
            <w:left w:val="nil"/>
            <w:bottom w:val="single" w:sz="4" w:space="0" w:color="4F81BD"/>
            <w:right w:val="nil"/>
          </w:tcBorders>
        </w:tcPr>
        <w:p w:rsidR="00EA28BE" w:rsidRPr="005A3173" w:rsidRDefault="00EA28B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A28BE" w:rsidRPr="005A3173" w:rsidRDefault="00EA28B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A28BE" w:rsidRPr="005A3173" w:rsidRDefault="00EA28BE" w:rsidP="005A3173">
          <w:pPr>
            <w:pStyle w:val="Header"/>
            <w:spacing w:line="276" w:lineRule="auto"/>
            <w:rPr>
              <w:rFonts w:ascii="Calibri" w:eastAsia="MS Gothic" w:hAnsi="Calibri"/>
              <w:b/>
              <w:bCs/>
              <w:color w:val="4F81BD"/>
            </w:rPr>
          </w:pPr>
        </w:p>
      </w:tc>
    </w:tr>
    <w:tr w:rsidR="00EA28BE" w:rsidTr="005A3173">
      <w:trPr>
        <w:trHeight w:val="150"/>
      </w:trPr>
      <w:tc>
        <w:tcPr>
          <w:tcW w:w="2250" w:type="pct"/>
          <w:tcBorders>
            <w:top w:val="single" w:sz="4" w:space="0" w:color="4F81BD"/>
            <w:left w:val="nil"/>
            <w:bottom w:val="nil"/>
            <w:right w:val="nil"/>
          </w:tcBorders>
        </w:tcPr>
        <w:p w:rsidR="00EA28BE" w:rsidRPr="005A3173" w:rsidRDefault="00EA28BE" w:rsidP="005A3173">
          <w:pPr>
            <w:pStyle w:val="Header"/>
            <w:spacing w:line="276" w:lineRule="auto"/>
            <w:rPr>
              <w:rFonts w:ascii="Calibri" w:eastAsia="MS Gothic" w:hAnsi="Calibri"/>
              <w:b/>
              <w:bCs/>
              <w:color w:val="4F81BD"/>
            </w:rPr>
          </w:pPr>
        </w:p>
      </w:tc>
      <w:tc>
        <w:tcPr>
          <w:tcW w:w="0" w:type="auto"/>
          <w:vMerge/>
          <w:vAlign w:val="center"/>
          <w:hideMark/>
        </w:tcPr>
        <w:p w:rsidR="00EA28BE" w:rsidRPr="005A3173" w:rsidRDefault="00EA28BE" w:rsidP="005A3173">
          <w:pPr>
            <w:rPr>
              <w:rFonts w:ascii="Calibri" w:hAnsi="Calibri"/>
              <w:color w:val="365F91"/>
              <w:sz w:val="22"/>
              <w:szCs w:val="22"/>
            </w:rPr>
          </w:pPr>
        </w:p>
      </w:tc>
      <w:tc>
        <w:tcPr>
          <w:tcW w:w="2250" w:type="pct"/>
          <w:tcBorders>
            <w:top w:val="single" w:sz="4" w:space="0" w:color="4F81BD"/>
            <w:left w:val="nil"/>
            <w:bottom w:val="nil"/>
            <w:right w:val="nil"/>
          </w:tcBorders>
        </w:tcPr>
        <w:p w:rsidR="00EA28BE" w:rsidRPr="005A3173" w:rsidRDefault="00EA28BE" w:rsidP="005A3173">
          <w:pPr>
            <w:pStyle w:val="Header"/>
            <w:spacing w:line="276" w:lineRule="auto"/>
            <w:rPr>
              <w:rFonts w:ascii="Calibri" w:eastAsia="MS Gothic" w:hAnsi="Calibri"/>
              <w:b/>
              <w:bCs/>
              <w:color w:val="4F81BD"/>
            </w:rPr>
          </w:pPr>
        </w:p>
      </w:tc>
    </w:tr>
  </w:tbl>
  <w:p w:rsidR="00EA28BE" w:rsidRDefault="00EA28B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28BE" w:rsidRDefault="00EA28BE">
    <w:pPr>
      <w:pStyle w:val="Footer"/>
    </w:pPr>
  </w:p>
  <w:p w:rsidR="00EA28BE" w:rsidRDefault="00EA28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502744"/>
      <w:docPartObj>
        <w:docPartGallery w:val="Page Numbers (Bottom of Page)"/>
        <w:docPartUnique/>
      </w:docPartObj>
    </w:sdtPr>
    <w:sdtEndPr>
      <w:rPr>
        <w:rFonts w:asciiTheme="minorHAnsi" w:hAnsiTheme="minorHAnsi"/>
        <w:b/>
        <w:noProof/>
        <w:sz w:val="20"/>
      </w:rPr>
    </w:sdtEndPr>
    <w:sdtContent>
      <w:p w:rsidR="00C86EEC" w:rsidRDefault="00C86EEC" w:rsidP="00C86EEC">
        <w:pPr>
          <w:pStyle w:val="Footer"/>
          <w:jc w:val="center"/>
        </w:pPr>
      </w:p>
      <w:p w:rsidR="00EA28BE" w:rsidRPr="00C86EEC" w:rsidRDefault="00EA28BE" w:rsidP="00C86EEC">
        <w:pPr>
          <w:pStyle w:val="Footer"/>
          <w:jc w:val="center"/>
          <w:rPr>
            <w:rFonts w:asciiTheme="minorHAnsi" w:hAnsiTheme="minorHAnsi"/>
            <w:b/>
            <w:sz w:val="20"/>
          </w:rPr>
        </w:pPr>
        <w:r w:rsidRPr="00C86EEC">
          <w:rPr>
            <w:rFonts w:asciiTheme="minorHAnsi" w:hAnsiTheme="minorHAnsi"/>
            <w:b/>
            <w:sz w:val="20"/>
          </w:rPr>
          <w:fldChar w:fldCharType="begin"/>
        </w:r>
        <w:r w:rsidRPr="00C86EEC">
          <w:rPr>
            <w:rFonts w:asciiTheme="minorHAnsi" w:hAnsiTheme="minorHAnsi"/>
            <w:b/>
            <w:sz w:val="20"/>
          </w:rPr>
          <w:instrText xml:space="preserve"> PAGE   \* MERGEFORMAT </w:instrText>
        </w:r>
        <w:r w:rsidRPr="00C86EEC">
          <w:rPr>
            <w:rFonts w:asciiTheme="minorHAnsi" w:hAnsiTheme="minorHAnsi"/>
            <w:b/>
            <w:sz w:val="20"/>
          </w:rPr>
          <w:fldChar w:fldCharType="separate"/>
        </w:r>
        <w:r w:rsidR="003D3BBD">
          <w:rPr>
            <w:rFonts w:asciiTheme="minorHAnsi" w:hAnsiTheme="minorHAnsi"/>
            <w:b/>
            <w:noProof/>
            <w:sz w:val="20"/>
          </w:rPr>
          <w:t>1</w:t>
        </w:r>
        <w:r w:rsidRPr="00C86EEC">
          <w:rPr>
            <w:rFonts w:asciiTheme="minorHAnsi" w:hAnsiTheme="minorHAnsi"/>
            <w:b/>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EA28BE" w:rsidTr="005A3173">
      <w:trPr>
        <w:trHeight w:val="151"/>
      </w:trPr>
      <w:tc>
        <w:tcPr>
          <w:tcW w:w="2250" w:type="pct"/>
          <w:tcBorders>
            <w:top w:val="nil"/>
            <w:left w:val="nil"/>
            <w:bottom w:val="single" w:sz="4" w:space="0" w:color="4F81BD"/>
            <w:right w:val="nil"/>
          </w:tcBorders>
        </w:tcPr>
        <w:p w:rsidR="00EA28BE" w:rsidRPr="005A3173" w:rsidRDefault="00EA28B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A28BE" w:rsidRPr="005A3173" w:rsidRDefault="00EA28B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A28BE" w:rsidRPr="005A3173" w:rsidRDefault="00EA28BE" w:rsidP="005A3173">
          <w:pPr>
            <w:pStyle w:val="Header"/>
            <w:spacing w:line="276" w:lineRule="auto"/>
            <w:rPr>
              <w:rFonts w:ascii="Calibri" w:eastAsia="MS Gothic" w:hAnsi="Calibri"/>
              <w:b/>
              <w:bCs/>
              <w:color w:val="4F81BD"/>
            </w:rPr>
          </w:pPr>
        </w:p>
      </w:tc>
    </w:tr>
    <w:tr w:rsidR="00EA28BE" w:rsidTr="005A3173">
      <w:trPr>
        <w:trHeight w:val="150"/>
      </w:trPr>
      <w:tc>
        <w:tcPr>
          <w:tcW w:w="2250" w:type="pct"/>
          <w:tcBorders>
            <w:top w:val="single" w:sz="4" w:space="0" w:color="4F81BD"/>
            <w:left w:val="nil"/>
            <w:bottom w:val="nil"/>
            <w:right w:val="nil"/>
          </w:tcBorders>
        </w:tcPr>
        <w:p w:rsidR="00EA28BE" w:rsidRPr="005A3173" w:rsidRDefault="00EA28BE" w:rsidP="005A3173">
          <w:pPr>
            <w:pStyle w:val="Header"/>
            <w:spacing w:line="276" w:lineRule="auto"/>
            <w:rPr>
              <w:rFonts w:ascii="Calibri" w:eastAsia="MS Gothic" w:hAnsi="Calibri"/>
              <w:b/>
              <w:bCs/>
              <w:color w:val="4F81BD"/>
            </w:rPr>
          </w:pPr>
        </w:p>
      </w:tc>
      <w:tc>
        <w:tcPr>
          <w:tcW w:w="0" w:type="auto"/>
          <w:vMerge/>
          <w:vAlign w:val="center"/>
          <w:hideMark/>
        </w:tcPr>
        <w:p w:rsidR="00EA28BE" w:rsidRPr="005A3173" w:rsidRDefault="00EA28BE" w:rsidP="005A3173">
          <w:pPr>
            <w:rPr>
              <w:rFonts w:ascii="Calibri" w:hAnsi="Calibri"/>
              <w:color w:val="365F91"/>
              <w:sz w:val="22"/>
              <w:szCs w:val="22"/>
            </w:rPr>
          </w:pPr>
        </w:p>
      </w:tc>
      <w:tc>
        <w:tcPr>
          <w:tcW w:w="2250" w:type="pct"/>
          <w:tcBorders>
            <w:top w:val="single" w:sz="4" w:space="0" w:color="4F81BD"/>
            <w:left w:val="nil"/>
            <w:bottom w:val="nil"/>
            <w:right w:val="nil"/>
          </w:tcBorders>
        </w:tcPr>
        <w:p w:rsidR="00EA28BE" w:rsidRPr="005A3173" w:rsidRDefault="00EA28BE"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A28BE" w:rsidTr="005A3173">
      <w:trPr>
        <w:trHeight w:val="151"/>
      </w:trPr>
      <w:tc>
        <w:tcPr>
          <w:tcW w:w="2250" w:type="pct"/>
          <w:tcBorders>
            <w:top w:val="nil"/>
            <w:left w:val="nil"/>
            <w:bottom w:val="single" w:sz="4" w:space="0" w:color="4F81BD"/>
            <w:right w:val="nil"/>
          </w:tcBorders>
        </w:tcPr>
        <w:p w:rsidR="00EA28BE" w:rsidRPr="005A3173" w:rsidRDefault="00EA28B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A28BE" w:rsidRPr="005A3173" w:rsidRDefault="00EA28B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A28BE" w:rsidRPr="005A3173" w:rsidRDefault="00EA28BE" w:rsidP="005A3173">
          <w:pPr>
            <w:pStyle w:val="Header"/>
            <w:spacing w:line="276" w:lineRule="auto"/>
            <w:rPr>
              <w:rFonts w:ascii="Calibri" w:eastAsia="MS Gothic" w:hAnsi="Calibri"/>
              <w:b/>
              <w:bCs/>
              <w:color w:val="4F81BD"/>
            </w:rPr>
          </w:pPr>
        </w:p>
      </w:tc>
    </w:tr>
    <w:tr w:rsidR="00EA28BE" w:rsidTr="005A3173">
      <w:trPr>
        <w:trHeight w:val="150"/>
      </w:trPr>
      <w:tc>
        <w:tcPr>
          <w:tcW w:w="2250" w:type="pct"/>
          <w:tcBorders>
            <w:top w:val="single" w:sz="4" w:space="0" w:color="4F81BD"/>
            <w:left w:val="nil"/>
            <w:bottom w:val="nil"/>
            <w:right w:val="nil"/>
          </w:tcBorders>
        </w:tcPr>
        <w:p w:rsidR="00EA28BE" w:rsidRPr="005A3173" w:rsidRDefault="00EA28BE" w:rsidP="005A3173">
          <w:pPr>
            <w:pStyle w:val="Header"/>
            <w:spacing w:line="276" w:lineRule="auto"/>
            <w:rPr>
              <w:rFonts w:ascii="Calibri" w:eastAsia="MS Gothic" w:hAnsi="Calibri"/>
              <w:b/>
              <w:bCs/>
              <w:color w:val="4F81BD"/>
            </w:rPr>
          </w:pPr>
        </w:p>
      </w:tc>
      <w:tc>
        <w:tcPr>
          <w:tcW w:w="0" w:type="auto"/>
          <w:vMerge/>
          <w:vAlign w:val="center"/>
          <w:hideMark/>
        </w:tcPr>
        <w:p w:rsidR="00EA28BE" w:rsidRPr="005A3173" w:rsidRDefault="00EA28BE" w:rsidP="005A3173">
          <w:pPr>
            <w:rPr>
              <w:rFonts w:ascii="Calibri" w:hAnsi="Calibri"/>
              <w:color w:val="365F91"/>
              <w:sz w:val="22"/>
              <w:szCs w:val="22"/>
            </w:rPr>
          </w:pPr>
        </w:p>
      </w:tc>
      <w:tc>
        <w:tcPr>
          <w:tcW w:w="2250" w:type="pct"/>
          <w:tcBorders>
            <w:top w:val="single" w:sz="4" w:space="0" w:color="4F81BD"/>
            <w:left w:val="nil"/>
            <w:bottom w:val="nil"/>
            <w:right w:val="nil"/>
          </w:tcBorders>
        </w:tcPr>
        <w:p w:rsidR="00EA28BE" w:rsidRPr="005A3173" w:rsidRDefault="00EA28BE" w:rsidP="005A3173">
          <w:pPr>
            <w:pStyle w:val="Header"/>
            <w:spacing w:line="276" w:lineRule="auto"/>
            <w:rPr>
              <w:rFonts w:ascii="Calibri" w:eastAsia="MS Gothic" w:hAnsi="Calibri"/>
              <w:b/>
              <w:bCs/>
              <w:color w:val="4F81BD"/>
            </w:rPr>
          </w:pPr>
        </w:p>
      </w:tc>
    </w:tr>
  </w:tbl>
  <w:p w:rsidR="00EA28BE" w:rsidRPr="007C0F57" w:rsidRDefault="00EA28B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A28BE" w:rsidRPr="007C0F57" w:rsidRDefault="00EA28BE" w:rsidP="007C0F57">
    <w:pPr>
      <w:pStyle w:val="Footer"/>
      <w:jc w:val="center"/>
      <w:rPr>
        <w:b/>
        <w:i/>
        <w:sz w:val="20"/>
        <w:szCs w:val="20"/>
      </w:rPr>
    </w:pPr>
    <w:r w:rsidRPr="007C0F57">
      <w:rPr>
        <w:b/>
        <w:i/>
        <w:sz w:val="20"/>
        <w:szCs w:val="20"/>
      </w:rPr>
      <w:t>Commercial-in-Confidence</w:t>
    </w:r>
  </w:p>
  <w:p w:rsidR="00EA28BE" w:rsidRDefault="00EA28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DE2" w:rsidRDefault="006F4DE2">
      <w:r>
        <w:separator/>
      </w:r>
    </w:p>
    <w:p w:rsidR="006F4DE2" w:rsidRDefault="006F4DE2"/>
  </w:footnote>
  <w:footnote w:type="continuationSeparator" w:id="0">
    <w:p w:rsidR="006F4DE2" w:rsidRDefault="006F4DE2">
      <w:r>
        <w:continuationSeparator/>
      </w:r>
    </w:p>
    <w:p w:rsidR="006F4DE2" w:rsidRDefault="006F4DE2"/>
  </w:footnote>
  <w:footnote w:id="1">
    <w:p w:rsidR="00EA28BE" w:rsidRPr="00500979" w:rsidRDefault="00EA28BE" w:rsidP="00DC6C29">
      <w:pPr>
        <w:pStyle w:val="FootnoteText"/>
        <w:rPr>
          <w:rFonts w:ascii="Arial Narrow" w:hAnsi="Arial Narrow" w:cs="Arial"/>
        </w:rPr>
      </w:pPr>
      <w:r w:rsidRPr="00500979">
        <w:rPr>
          <w:rStyle w:val="FootnoteReference"/>
          <w:rFonts w:ascii="Arial Narrow" w:hAnsi="Arial Narrow" w:cs="Arial"/>
        </w:rPr>
        <w:footnoteRef/>
      </w:r>
      <w:r w:rsidRPr="00500979">
        <w:rPr>
          <w:rFonts w:ascii="Arial Narrow" w:hAnsi="Arial Narrow" w:cs="Arial"/>
        </w:rPr>
        <w:t xml:space="preserve"> Symbols used in the Schedule</w:t>
      </w:r>
      <w:hyperlink r:id="rId1" w:history="1"/>
      <w:r w:rsidRPr="00500979">
        <w:rPr>
          <w:rFonts w:ascii="Arial Narrow" w:hAnsi="Arial Narrow" w:cs="Arial"/>
        </w:rPr>
        <w:t xml:space="preserve"> - http://www.pbs.gov.au/info/healthpro/explanatory-notes/section2/section-2-symbols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A28BE" w:rsidRPr="008E0D90" w:rsidTr="00A06225">
      <w:trPr>
        <w:trHeight w:val="151"/>
      </w:trPr>
      <w:tc>
        <w:tcPr>
          <w:tcW w:w="2389" w:type="pct"/>
          <w:tcBorders>
            <w:top w:val="nil"/>
            <w:left w:val="nil"/>
            <w:bottom w:val="single" w:sz="4" w:space="0" w:color="4F81BD"/>
            <w:right w:val="nil"/>
          </w:tcBorders>
        </w:tcPr>
        <w:p w:rsidR="00EA28BE" w:rsidRPr="00A06225" w:rsidRDefault="00EA28BE">
          <w:pPr>
            <w:pStyle w:val="Header"/>
            <w:spacing w:line="276" w:lineRule="auto"/>
            <w:rPr>
              <w:rFonts w:ascii="Cambria" w:eastAsia="MS Gothic" w:hAnsi="Cambria"/>
              <w:b/>
              <w:bCs/>
              <w:color w:val="4F81BD"/>
            </w:rPr>
          </w:pPr>
        </w:p>
      </w:tc>
      <w:tc>
        <w:tcPr>
          <w:tcW w:w="333" w:type="pct"/>
          <w:vMerge w:val="restart"/>
          <w:noWrap/>
          <w:vAlign w:val="center"/>
          <w:hideMark/>
        </w:tcPr>
        <w:p w:rsidR="00EA28BE" w:rsidRPr="00A06225" w:rsidRDefault="00EA28B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A28BE" w:rsidRPr="00A06225" w:rsidRDefault="00EA28BE">
          <w:pPr>
            <w:pStyle w:val="Header"/>
            <w:spacing w:line="276" w:lineRule="auto"/>
            <w:rPr>
              <w:rFonts w:ascii="Cambria" w:eastAsia="MS Gothic" w:hAnsi="Cambria"/>
              <w:b/>
              <w:bCs/>
              <w:color w:val="4F81BD"/>
            </w:rPr>
          </w:pPr>
        </w:p>
      </w:tc>
    </w:tr>
    <w:tr w:rsidR="00EA28BE" w:rsidRPr="008E0D90" w:rsidTr="00A06225">
      <w:trPr>
        <w:trHeight w:val="150"/>
      </w:trPr>
      <w:tc>
        <w:tcPr>
          <w:tcW w:w="2389" w:type="pct"/>
          <w:tcBorders>
            <w:top w:val="single" w:sz="4" w:space="0" w:color="4F81BD"/>
            <w:left w:val="nil"/>
            <w:bottom w:val="nil"/>
            <w:right w:val="nil"/>
          </w:tcBorders>
        </w:tcPr>
        <w:p w:rsidR="00EA28BE" w:rsidRPr="00A06225" w:rsidRDefault="00EA28BE">
          <w:pPr>
            <w:pStyle w:val="Header"/>
            <w:spacing w:line="276" w:lineRule="auto"/>
            <w:rPr>
              <w:rFonts w:ascii="Cambria" w:eastAsia="MS Gothic" w:hAnsi="Cambria"/>
              <w:b/>
              <w:bCs/>
              <w:color w:val="4F81BD"/>
            </w:rPr>
          </w:pPr>
        </w:p>
      </w:tc>
      <w:tc>
        <w:tcPr>
          <w:tcW w:w="0" w:type="auto"/>
          <w:vMerge/>
          <w:vAlign w:val="center"/>
          <w:hideMark/>
        </w:tcPr>
        <w:p w:rsidR="00EA28BE" w:rsidRPr="00A06225" w:rsidRDefault="00EA28BE">
          <w:pPr>
            <w:rPr>
              <w:rFonts w:ascii="Cambria" w:hAnsi="Cambria"/>
              <w:color w:val="4F81BD"/>
              <w:sz w:val="22"/>
              <w:szCs w:val="22"/>
            </w:rPr>
          </w:pPr>
        </w:p>
      </w:tc>
      <w:tc>
        <w:tcPr>
          <w:tcW w:w="2278" w:type="pct"/>
          <w:tcBorders>
            <w:top w:val="single" w:sz="4" w:space="0" w:color="4F81BD"/>
            <w:left w:val="nil"/>
            <w:bottom w:val="nil"/>
            <w:right w:val="nil"/>
          </w:tcBorders>
        </w:tcPr>
        <w:p w:rsidR="00EA28BE" w:rsidRPr="00A06225" w:rsidRDefault="00EA28BE">
          <w:pPr>
            <w:pStyle w:val="Header"/>
            <w:spacing w:line="276" w:lineRule="auto"/>
            <w:rPr>
              <w:rFonts w:ascii="Cambria" w:eastAsia="MS Gothic" w:hAnsi="Cambria"/>
              <w:b/>
              <w:bCs/>
              <w:color w:val="4F81BD"/>
            </w:rPr>
          </w:pPr>
        </w:p>
      </w:tc>
    </w:tr>
  </w:tbl>
  <w:p w:rsidR="00EA28BE" w:rsidRDefault="00EA28BE">
    <w:pPr>
      <w:pStyle w:val="Header"/>
    </w:pPr>
  </w:p>
  <w:p w:rsidR="00EA28BE" w:rsidRDefault="00EA28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8BE" w:rsidRPr="00F90A91" w:rsidRDefault="005F4CB8" w:rsidP="00980748">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00EA28BE" w:rsidRPr="00F90A91">
      <w:rPr>
        <w:rFonts w:asciiTheme="minorHAnsi" w:hAnsiTheme="minorHAnsi" w:cs="Arial"/>
        <w:i/>
        <w:color w:val="808080"/>
        <w:sz w:val="22"/>
      </w:rPr>
      <w:t xml:space="preserve"> – </w:t>
    </w:r>
    <w:r w:rsidR="00EA28BE">
      <w:rPr>
        <w:rFonts w:asciiTheme="minorHAnsi" w:hAnsiTheme="minorHAnsi" w:cs="Arial"/>
        <w:i/>
        <w:color w:val="808080"/>
        <w:sz w:val="22"/>
      </w:rPr>
      <w:t>July 2018</w:t>
    </w:r>
    <w:r w:rsidR="00EA28BE" w:rsidRPr="00F90A91">
      <w:rPr>
        <w:rFonts w:asciiTheme="minorHAnsi" w:hAnsiTheme="minorHAnsi" w:cs="Arial"/>
        <w:i/>
        <w:color w:val="808080"/>
        <w:sz w:val="22"/>
      </w:rPr>
      <w:t xml:space="preserve"> PBAC Meeting</w:t>
    </w:r>
  </w:p>
  <w:p w:rsidR="00EA28BE" w:rsidRDefault="00EA28BE"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0F5D22B6"/>
    <w:multiLevelType w:val="multilevel"/>
    <w:tmpl w:val="9D18489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9F4598"/>
    <w:multiLevelType w:val="multilevel"/>
    <w:tmpl w:val="2BE207FA"/>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asciiTheme="minorHAnsi" w:hAnsiTheme="minorHAnsi"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617E2B"/>
    <w:multiLevelType w:val="multilevel"/>
    <w:tmpl w:val="0CC657A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971565F"/>
    <w:multiLevelType w:val="hybridMultilevel"/>
    <w:tmpl w:val="9104B1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42062046"/>
    <w:multiLevelType w:val="hybridMultilevel"/>
    <w:tmpl w:val="8BB07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8F51F80"/>
    <w:multiLevelType w:val="hybridMultilevel"/>
    <w:tmpl w:val="367C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C3310E"/>
    <w:multiLevelType w:val="hybridMultilevel"/>
    <w:tmpl w:val="3BDCDB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64EB54BD"/>
    <w:multiLevelType w:val="hybridMultilevel"/>
    <w:tmpl w:val="59885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A3962F0"/>
    <w:multiLevelType w:val="hybridMultilevel"/>
    <w:tmpl w:val="C14E67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784D033C"/>
    <w:multiLevelType w:val="multilevel"/>
    <w:tmpl w:val="1A3A89BC"/>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6"/>
  </w:num>
  <w:num w:numId="4">
    <w:abstractNumId w:val="20"/>
  </w:num>
  <w:num w:numId="5">
    <w:abstractNumId w:val="26"/>
  </w:num>
  <w:num w:numId="6">
    <w:abstractNumId w:val="8"/>
  </w:num>
  <w:num w:numId="7">
    <w:abstractNumId w:val="15"/>
  </w:num>
  <w:num w:numId="8">
    <w:abstractNumId w:val="4"/>
  </w:num>
  <w:num w:numId="9">
    <w:abstractNumId w:val="14"/>
  </w:num>
  <w:num w:numId="10">
    <w:abstractNumId w:val="13"/>
  </w:num>
  <w:num w:numId="11">
    <w:abstractNumId w:val="12"/>
  </w:num>
  <w:num w:numId="12">
    <w:abstractNumId w:val="1"/>
  </w:num>
  <w:num w:numId="13">
    <w:abstractNumId w:val="0"/>
  </w:num>
  <w:num w:numId="14">
    <w:abstractNumId w:val="26"/>
  </w:num>
  <w:num w:numId="15">
    <w:abstractNumId w:val="17"/>
  </w:num>
  <w:num w:numId="16">
    <w:abstractNumId w:val="18"/>
  </w:num>
  <w:num w:numId="17">
    <w:abstractNumId w:val="23"/>
  </w:num>
  <w:num w:numId="18">
    <w:abstractNumId w:val="7"/>
  </w:num>
  <w:num w:numId="19">
    <w:abstractNumId w:val="19"/>
  </w:num>
  <w:num w:numId="20">
    <w:abstractNumId w:val="25"/>
  </w:num>
  <w:num w:numId="21">
    <w:abstractNumId w:val="16"/>
  </w:num>
  <w:num w:numId="22">
    <w:abstractNumId w:val="26"/>
  </w:num>
  <w:num w:numId="23">
    <w:abstractNumId w:val="21"/>
  </w:num>
  <w:num w:numId="24">
    <w:abstractNumId w:val="22"/>
  </w:num>
  <w:num w:numId="25">
    <w:abstractNumId w:val="5"/>
  </w:num>
  <w:num w:numId="26">
    <w:abstractNumId w:val="2"/>
  </w:num>
  <w:num w:numId="27">
    <w:abstractNumId w:val="11"/>
  </w:num>
  <w:num w:numId="28">
    <w:abstractNumId w:val="10"/>
  </w:num>
  <w:num w:numId="29">
    <w:abstractNumId w:val="24"/>
  </w:num>
  <w:num w:numId="30">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14F74"/>
    <w:rsid w:val="0002464A"/>
    <w:rsid w:val="0003106B"/>
    <w:rsid w:val="000421A1"/>
    <w:rsid w:val="0004240E"/>
    <w:rsid w:val="00045E26"/>
    <w:rsid w:val="000501E6"/>
    <w:rsid w:val="000514B5"/>
    <w:rsid w:val="00056BD7"/>
    <w:rsid w:val="00060561"/>
    <w:rsid w:val="00060E64"/>
    <w:rsid w:val="00066755"/>
    <w:rsid w:val="00077143"/>
    <w:rsid w:val="000803F6"/>
    <w:rsid w:val="00082169"/>
    <w:rsid w:val="000826F8"/>
    <w:rsid w:val="000969AD"/>
    <w:rsid w:val="000B558D"/>
    <w:rsid w:val="000B7467"/>
    <w:rsid w:val="000C6996"/>
    <w:rsid w:val="000C74FF"/>
    <w:rsid w:val="000D23BA"/>
    <w:rsid w:val="000D4CF2"/>
    <w:rsid w:val="000D609C"/>
    <w:rsid w:val="000E681E"/>
    <w:rsid w:val="000F0003"/>
    <w:rsid w:val="000F4E6A"/>
    <w:rsid w:val="00104227"/>
    <w:rsid w:val="0010510A"/>
    <w:rsid w:val="00105BE2"/>
    <w:rsid w:val="00105C57"/>
    <w:rsid w:val="00106B20"/>
    <w:rsid w:val="001107BF"/>
    <w:rsid w:val="0012417C"/>
    <w:rsid w:val="00142395"/>
    <w:rsid w:val="00142714"/>
    <w:rsid w:val="001452ED"/>
    <w:rsid w:val="0015425B"/>
    <w:rsid w:val="00163329"/>
    <w:rsid w:val="00164623"/>
    <w:rsid w:val="00165B64"/>
    <w:rsid w:val="00175948"/>
    <w:rsid w:val="00176407"/>
    <w:rsid w:val="00180713"/>
    <w:rsid w:val="001830CE"/>
    <w:rsid w:val="0018643B"/>
    <w:rsid w:val="00196307"/>
    <w:rsid w:val="001A33EA"/>
    <w:rsid w:val="001B017F"/>
    <w:rsid w:val="001B01ED"/>
    <w:rsid w:val="001B2BBC"/>
    <w:rsid w:val="001B5129"/>
    <w:rsid w:val="001C1195"/>
    <w:rsid w:val="001E063C"/>
    <w:rsid w:val="001F1850"/>
    <w:rsid w:val="001F1E45"/>
    <w:rsid w:val="00203FAC"/>
    <w:rsid w:val="00213CFB"/>
    <w:rsid w:val="00217BE1"/>
    <w:rsid w:val="002350B5"/>
    <w:rsid w:val="00252B13"/>
    <w:rsid w:val="00271BA1"/>
    <w:rsid w:val="002762FA"/>
    <w:rsid w:val="0027694E"/>
    <w:rsid w:val="00277505"/>
    <w:rsid w:val="0028029C"/>
    <w:rsid w:val="0029458F"/>
    <w:rsid w:val="002A104C"/>
    <w:rsid w:val="002A4960"/>
    <w:rsid w:val="002B1AE6"/>
    <w:rsid w:val="002B2DE8"/>
    <w:rsid w:val="002B30F8"/>
    <w:rsid w:val="002B4C99"/>
    <w:rsid w:val="002B5596"/>
    <w:rsid w:val="002C212F"/>
    <w:rsid w:val="002D4543"/>
    <w:rsid w:val="002E3153"/>
    <w:rsid w:val="002E72CA"/>
    <w:rsid w:val="002F53E9"/>
    <w:rsid w:val="002F600D"/>
    <w:rsid w:val="00300AD6"/>
    <w:rsid w:val="0030302B"/>
    <w:rsid w:val="00311C86"/>
    <w:rsid w:val="00317C6C"/>
    <w:rsid w:val="00322BD0"/>
    <w:rsid w:val="00326E79"/>
    <w:rsid w:val="0033518A"/>
    <w:rsid w:val="003367EF"/>
    <w:rsid w:val="00341AE4"/>
    <w:rsid w:val="003508B1"/>
    <w:rsid w:val="0037045A"/>
    <w:rsid w:val="003807DA"/>
    <w:rsid w:val="003872CF"/>
    <w:rsid w:val="0039675E"/>
    <w:rsid w:val="00397026"/>
    <w:rsid w:val="0039782C"/>
    <w:rsid w:val="003A5B4A"/>
    <w:rsid w:val="003B23C5"/>
    <w:rsid w:val="003B2A75"/>
    <w:rsid w:val="003B6124"/>
    <w:rsid w:val="003C2FB5"/>
    <w:rsid w:val="003D3BBD"/>
    <w:rsid w:val="003D4AC4"/>
    <w:rsid w:val="003D63B7"/>
    <w:rsid w:val="003E468B"/>
    <w:rsid w:val="003F3228"/>
    <w:rsid w:val="003F5C8C"/>
    <w:rsid w:val="004049DA"/>
    <w:rsid w:val="00410966"/>
    <w:rsid w:val="004252EC"/>
    <w:rsid w:val="00425849"/>
    <w:rsid w:val="00425CAC"/>
    <w:rsid w:val="004465BD"/>
    <w:rsid w:val="00450C0F"/>
    <w:rsid w:val="00466ADA"/>
    <w:rsid w:val="00466BA4"/>
    <w:rsid w:val="00476245"/>
    <w:rsid w:val="0047746D"/>
    <w:rsid w:val="00483035"/>
    <w:rsid w:val="00485940"/>
    <w:rsid w:val="00490946"/>
    <w:rsid w:val="00491095"/>
    <w:rsid w:val="00494843"/>
    <w:rsid w:val="004A2484"/>
    <w:rsid w:val="004A5A85"/>
    <w:rsid w:val="004A71D1"/>
    <w:rsid w:val="004B23E4"/>
    <w:rsid w:val="004B5640"/>
    <w:rsid w:val="004B65B9"/>
    <w:rsid w:val="004B7B23"/>
    <w:rsid w:val="004C1BD7"/>
    <w:rsid w:val="004C31FE"/>
    <w:rsid w:val="004C691D"/>
    <w:rsid w:val="004C6C07"/>
    <w:rsid w:val="004D362D"/>
    <w:rsid w:val="004D548A"/>
    <w:rsid w:val="004D5A03"/>
    <w:rsid w:val="004E4B68"/>
    <w:rsid w:val="004E5B75"/>
    <w:rsid w:val="004E692D"/>
    <w:rsid w:val="00500979"/>
    <w:rsid w:val="00501554"/>
    <w:rsid w:val="005147F0"/>
    <w:rsid w:val="00514CD7"/>
    <w:rsid w:val="00517FE0"/>
    <w:rsid w:val="0052619E"/>
    <w:rsid w:val="005319B2"/>
    <w:rsid w:val="00532402"/>
    <w:rsid w:val="00532C74"/>
    <w:rsid w:val="00534E2E"/>
    <w:rsid w:val="00544552"/>
    <w:rsid w:val="00545EDB"/>
    <w:rsid w:val="00577C4D"/>
    <w:rsid w:val="00581932"/>
    <w:rsid w:val="00585576"/>
    <w:rsid w:val="00586A03"/>
    <w:rsid w:val="00586DC4"/>
    <w:rsid w:val="00591A45"/>
    <w:rsid w:val="00591E68"/>
    <w:rsid w:val="005963BB"/>
    <w:rsid w:val="005A3173"/>
    <w:rsid w:val="005A3223"/>
    <w:rsid w:val="005A3DA3"/>
    <w:rsid w:val="005A4BDD"/>
    <w:rsid w:val="005A52C4"/>
    <w:rsid w:val="005B71AF"/>
    <w:rsid w:val="005D03AB"/>
    <w:rsid w:val="005D0E8A"/>
    <w:rsid w:val="005D5017"/>
    <w:rsid w:val="005E1333"/>
    <w:rsid w:val="005F2753"/>
    <w:rsid w:val="005F4CB8"/>
    <w:rsid w:val="00600A1C"/>
    <w:rsid w:val="00601A91"/>
    <w:rsid w:val="00602BA3"/>
    <w:rsid w:val="00611B1C"/>
    <w:rsid w:val="00612E34"/>
    <w:rsid w:val="00614159"/>
    <w:rsid w:val="00617C00"/>
    <w:rsid w:val="006263BF"/>
    <w:rsid w:val="0062748A"/>
    <w:rsid w:val="00630A2C"/>
    <w:rsid w:val="00635A10"/>
    <w:rsid w:val="0063682E"/>
    <w:rsid w:val="006436CD"/>
    <w:rsid w:val="00651169"/>
    <w:rsid w:val="00653D69"/>
    <w:rsid w:val="00665924"/>
    <w:rsid w:val="006670BE"/>
    <w:rsid w:val="00670A76"/>
    <w:rsid w:val="006711AA"/>
    <w:rsid w:val="00672B57"/>
    <w:rsid w:val="00675622"/>
    <w:rsid w:val="0067747D"/>
    <w:rsid w:val="006802EA"/>
    <w:rsid w:val="006906DB"/>
    <w:rsid w:val="00691E6C"/>
    <w:rsid w:val="00696129"/>
    <w:rsid w:val="00697CF2"/>
    <w:rsid w:val="006A12A5"/>
    <w:rsid w:val="006B0094"/>
    <w:rsid w:val="006B0D94"/>
    <w:rsid w:val="006B485D"/>
    <w:rsid w:val="006C4EFC"/>
    <w:rsid w:val="006C708E"/>
    <w:rsid w:val="006D14E7"/>
    <w:rsid w:val="006D3AA6"/>
    <w:rsid w:val="006D6493"/>
    <w:rsid w:val="006D6EC7"/>
    <w:rsid w:val="006D7FDB"/>
    <w:rsid w:val="006E0203"/>
    <w:rsid w:val="006F4DE2"/>
    <w:rsid w:val="006F5125"/>
    <w:rsid w:val="007009D8"/>
    <w:rsid w:val="00702B6F"/>
    <w:rsid w:val="007104EE"/>
    <w:rsid w:val="00712CEC"/>
    <w:rsid w:val="0071340B"/>
    <w:rsid w:val="007174BB"/>
    <w:rsid w:val="0072025D"/>
    <w:rsid w:val="00722B41"/>
    <w:rsid w:val="00730DBE"/>
    <w:rsid w:val="00732AEE"/>
    <w:rsid w:val="007353D3"/>
    <w:rsid w:val="0076420C"/>
    <w:rsid w:val="007753C2"/>
    <w:rsid w:val="007838B8"/>
    <w:rsid w:val="007969FF"/>
    <w:rsid w:val="007B7D74"/>
    <w:rsid w:val="007C0F57"/>
    <w:rsid w:val="007C40B6"/>
    <w:rsid w:val="007C729F"/>
    <w:rsid w:val="007E1D28"/>
    <w:rsid w:val="007E6157"/>
    <w:rsid w:val="007F2641"/>
    <w:rsid w:val="007F7C36"/>
    <w:rsid w:val="00806796"/>
    <w:rsid w:val="008151D6"/>
    <w:rsid w:val="00826F6D"/>
    <w:rsid w:val="008306F3"/>
    <w:rsid w:val="008366AD"/>
    <w:rsid w:val="00837F73"/>
    <w:rsid w:val="00847177"/>
    <w:rsid w:val="00850164"/>
    <w:rsid w:val="00856DDD"/>
    <w:rsid w:val="00863E68"/>
    <w:rsid w:val="00882085"/>
    <w:rsid w:val="00883188"/>
    <w:rsid w:val="00892681"/>
    <w:rsid w:val="00895662"/>
    <w:rsid w:val="00897D58"/>
    <w:rsid w:val="00897F22"/>
    <w:rsid w:val="008A1956"/>
    <w:rsid w:val="008A4937"/>
    <w:rsid w:val="008A50F1"/>
    <w:rsid w:val="008B43B5"/>
    <w:rsid w:val="008B7F35"/>
    <w:rsid w:val="008D1B5C"/>
    <w:rsid w:val="008D3C82"/>
    <w:rsid w:val="008D447E"/>
    <w:rsid w:val="008D7A41"/>
    <w:rsid w:val="008D7D6A"/>
    <w:rsid w:val="008E2EE9"/>
    <w:rsid w:val="008E3680"/>
    <w:rsid w:val="008E5870"/>
    <w:rsid w:val="008E5FD3"/>
    <w:rsid w:val="008F1434"/>
    <w:rsid w:val="008F1952"/>
    <w:rsid w:val="008F7355"/>
    <w:rsid w:val="009067B7"/>
    <w:rsid w:val="00930937"/>
    <w:rsid w:val="00933E6C"/>
    <w:rsid w:val="00935B69"/>
    <w:rsid w:val="00937958"/>
    <w:rsid w:val="00942160"/>
    <w:rsid w:val="0095146F"/>
    <w:rsid w:val="009602C5"/>
    <w:rsid w:val="00962223"/>
    <w:rsid w:val="00966D0D"/>
    <w:rsid w:val="00974C21"/>
    <w:rsid w:val="00980748"/>
    <w:rsid w:val="00993635"/>
    <w:rsid w:val="009B0F67"/>
    <w:rsid w:val="009C703C"/>
    <w:rsid w:val="009D3CAA"/>
    <w:rsid w:val="009E40E1"/>
    <w:rsid w:val="009E716F"/>
    <w:rsid w:val="009F4E46"/>
    <w:rsid w:val="009F5B65"/>
    <w:rsid w:val="009F5F2E"/>
    <w:rsid w:val="00A0060F"/>
    <w:rsid w:val="00A06225"/>
    <w:rsid w:val="00A076B3"/>
    <w:rsid w:val="00A128E6"/>
    <w:rsid w:val="00A22659"/>
    <w:rsid w:val="00A34E6C"/>
    <w:rsid w:val="00A37C8D"/>
    <w:rsid w:val="00A5273B"/>
    <w:rsid w:val="00A53A9D"/>
    <w:rsid w:val="00A55FEE"/>
    <w:rsid w:val="00A62C1A"/>
    <w:rsid w:val="00A6426D"/>
    <w:rsid w:val="00A665C1"/>
    <w:rsid w:val="00A70622"/>
    <w:rsid w:val="00A70977"/>
    <w:rsid w:val="00A7358C"/>
    <w:rsid w:val="00A77613"/>
    <w:rsid w:val="00A8390C"/>
    <w:rsid w:val="00A879E5"/>
    <w:rsid w:val="00A928BD"/>
    <w:rsid w:val="00A92B5F"/>
    <w:rsid w:val="00AA4D1C"/>
    <w:rsid w:val="00AC193C"/>
    <w:rsid w:val="00AC5206"/>
    <w:rsid w:val="00AE11A5"/>
    <w:rsid w:val="00AE13E2"/>
    <w:rsid w:val="00AE164C"/>
    <w:rsid w:val="00AE22D3"/>
    <w:rsid w:val="00AE2D21"/>
    <w:rsid w:val="00AF2F5F"/>
    <w:rsid w:val="00AF62DF"/>
    <w:rsid w:val="00AF68CC"/>
    <w:rsid w:val="00B1059E"/>
    <w:rsid w:val="00B1063A"/>
    <w:rsid w:val="00B176C8"/>
    <w:rsid w:val="00B205AA"/>
    <w:rsid w:val="00B22E84"/>
    <w:rsid w:val="00B25F75"/>
    <w:rsid w:val="00B26B3F"/>
    <w:rsid w:val="00B43E90"/>
    <w:rsid w:val="00B44254"/>
    <w:rsid w:val="00B467DC"/>
    <w:rsid w:val="00B56118"/>
    <w:rsid w:val="00B6773F"/>
    <w:rsid w:val="00B801BA"/>
    <w:rsid w:val="00B84D5C"/>
    <w:rsid w:val="00BB3B26"/>
    <w:rsid w:val="00BB69F5"/>
    <w:rsid w:val="00BB7EC3"/>
    <w:rsid w:val="00BC4B9A"/>
    <w:rsid w:val="00BD784C"/>
    <w:rsid w:val="00BE521F"/>
    <w:rsid w:val="00BF4CB6"/>
    <w:rsid w:val="00C00DA7"/>
    <w:rsid w:val="00C11190"/>
    <w:rsid w:val="00C12768"/>
    <w:rsid w:val="00C26D21"/>
    <w:rsid w:val="00C27B58"/>
    <w:rsid w:val="00C35996"/>
    <w:rsid w:val="00C44FC8"/>
    <w:rsid w:val="00C4747E"/>
    <w:rsid w:val="00C5342C"/>
    <w:rsid w:val="00C5567F"/>
    <w:rsid w:val="00C603D4"/>
    <w:rsid w:val="00C6256A"/>
    <w:rsid w:val="00C738C6"/>
    <w:rsid w:val="00C77891"/>
    <w:rsid w:val="00C86EEC"/>
    <w:rsid w:val="00C8718C"/>
    <w:rsid w:val="00C91449"/>
    <w:rsid w:val="00C92D10"/>
    <w:rsid w:val="00C9614E"/>
    <w:rsid w:val="00CB386C"/>
    <w:rsid w:val="00CD4ADF"/>
    <w:rsid w:val="00CE10C4"/>
    <w:rsid w:val="00CE27B5"/>
    <w:rsid w:val="00D0321E"/>
    <w:rsid w:val="00D1455A"/>
    <w:rsid w:val="00D31150"/>
    <w:rsid w:val="00D3138B"/>
    <w:rsid w:val="00D31BB2"/>
    <w:rsid w:val="00D3280C"/>
    <w:rsid w:val="00D3406A"/>
    <w:rsid w:val="00D41BDA"/>
    <w:rsid w:val="00D4572C"/>
    <w:rsid w:val="00D469B2"/>
    <w:rsid w:val="00D53E1B"/>
    <w:rsid w:val="00D559F3"/>
    <w:rsid w:val="00D71D64"/>
    <w:rsid w:val="00D741EB"/>
    <w:rsid w:val="00D83605"/>
    <w:rsid w:val="00D84934"/>
    <w:rsid w:val="00D87894"/>
    <w:rsid w:val="00D91271"/>
    <w:rsid w:val="00D919F5"/>
    <w:rsid w:val="00D94F03"/>
    <w:rsid w:val="00DA2CB5"/>
    <w:rsid w:val="00DA3458"/>
    <w:rsid w:val="00DA4BAC"/>
    <w:rsid w:val="00DA5034"/>
    <w:rsid w:val="00DB0672"/>
    <w:rsid w:val="00DC6C29"/>
    <w:rsid w:val="00DE60AD"/>
    <w:rsid w:val="00DE6D27"/>
    <w:rsid w:val="00DF217D"/>
    <w:rsid w:val="00DF26A7"/>
    <w:rsid w:val="00E15627"/>
    <w:rsid w:val="00E164B3"/>
    <w:rsid w:val="00E16910"/>
    <w:rsid w:val="00E36355"/>
    <w:rsid w:val="00E42BDB"/>
    <w:rsid w:val="00E463B1"/>
    <w:rsid w:val="00E47554"/>
    <w:rsid w:val="00E57EEB"/>
    <w:rsid w:val="00E62D94"/>
    <w:rsid w:val="00E65E54"/>
    <w:rsid w:val="00E76CF7"/>
    <w:rsid w:val="00E80155"/>
    <w:rsid w:val="00E81F28"/>
    <w:rsid w:val="00E8264A"/>
    <w:rsid w:val="00E848C0"/>
    <w:rsid w:val="00E87F79"/>
    <w:rsid w:val="00E91B96"/>
    <w:rsid w:val="00E941A1"/>
    <w:rsid w:val="00E94252"/>
    <w:rsid w:val="00E95788"/>
    <w:rsid w:val="00E95CE3"/>
    <w:rsid w:val="00EA1782"/>
    <w:rsid w:val="00EA2825"/>
    <w:rsid w:val="00EA28BE"/>
    <w:rsid w:val="00EA3F2F"/>
    <w:rsid w:val="00EB0B63"/>
    <w:rsid w:val="00EB1936"/>
    <w:rsid w:val="00EB5088"/>
    <w:rsid w:val="00ED1644"/>
    <w:rsid w:val="00ED2593"/>
    <w:rsid w:val="00ED7D9C"/>
    <w:rsid w:val="00EE31B6"/>
    <w:rsid w:val="00EE3EA6"/>
    <w:rsid w:val="00EF44A0"/>
    <w:rsid w:val="00EF4FED"/>
    <w:rsid w:val="00F050BD"/>
    <w:rsid w:val="00F05657"/>
    <w:rsid w:val="00F25578"/>
    <w:rsid w:val="00F258E5"/>
    <w:rsid w:val="00F260A8"/>
    <w:rsid w:val="00F300BC"/>
    <w:rsid w:val="00F3334E"/>
    <w:rsid w:val="00F36CCB"/>
    <w:rsid w:val="00F374E5"/>
    <w:rsid w:val="00F43AF2"/>
    <w:rsid w:val="00F50EC4"/>
    <w:rsid w:val="00F51EC9"/>
    <w:rsid w:val="00F550CF"/>
    <w:rsid w:val="00F57A6D"/>
    <w:rsid w:val="00F638CC"/>
    <w:rsid w:val="00F64CC1"/>
    <w:rsid w:val="00F72317"/>
    <w:rsid w:val="00F80475"/>
    <w:rsid w:val="00F809A5"/>
    <w:rsid w:val="00F8247A"/>
    <w:rsid w:val="00F9629A"/>
    <w:rsid w:val="00F97EFC"/>
    <w:rsid w:val="00FA5883"/>
    <w:rsid w:val="00FA6055"/>
    <w:rsid w:val="00FB322F"/>
    <w:rsid w:val="00FB442F"/>
    <w:rsid w:val="00FB47EA"/>
    <w:rsid w:val="00FC1929"/>
    <w:rsid w:val="00FC5B46"/>
    <w:rsid w:val="00FD6D8E"/>
    <w:rsid w:val="00FE0E94"/>
    <w:rsid w:val="00FF00BD"/>
    <w:rsid w:val="00FF0A39"/>
    <w:rsid w:val="00FF1ED4"/>
    <w:rsid w:val="00FF2801"/>
    <w:rsid w:val="00FF3B77"/>
    <w:rsid w:val="00FF7F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styleId="Emphasis">
    <w:name w:val="Emphasis"/>
    <w:basedOn w:val="DefaultParagraphFont"/>
    <w:qFormat/>
    <w:rsid w:val="00425849"/>
    <w:rPr>
      <w:i/>
      <w:iCs/>
    </w:rPr>
  </w:style>
  <w:style w:type="paragraph" w:styleId="FootnoteText">
    <w:name w:val="footnote text"/>
    <w:basedOn w:val="Normal"/>
    <w:link w:val="FootnoteTextChar"/>
    <w:rsid w:val="00425849"/>
    <w:rPr>
      <w:sz w:val="20"/>
      <w:szCs w:val="20"/>
    </w:rPr>
  </w:style>
  <w:style w:type="character" w:customStyle="1" w:styleId="FootnoteTextChar">
    <w:name w:val="Footnote Text Char"/>
    <w:basedOn w:val="DefaultParagraphFont"/>
    <w:link w:val="FootnoteText"/>
    <w:rsid w:val="00425849"/>
  </w:style>
  <w:style w:type="character" w:styleId="FootnoteReference">
    <w:name w:val="footnote reference"/>
    <w:basedOn w:val="DefaultParagraphFont"/>
    <w:rsid w:val="00425849"/>
    <w:rPr>
      <w:vertAlign w:val="superscript"/>
    </w:rPr>
  </w:style>
  <w:style w:type="paragraph" w:styleId="NormalWeb">
    <w:name w:val="Normal (Web)"/>
    <w:basedOn w:val="Normal"/>
    <w:uiPriority w:val="99"/>
    <w:rsid w:val="00425849"/>
    <w:pPr>
      <w:spacing w:before="100" w:after="100"/>
    </w:pPr>
    <w:rPr>
      <w:szCs w:val="20"/>
      <w:lang w:val="en-GB" w:eastAsia="en-US"/>
    </w:rPr>
  </w:style>
  <w:style w:type="table" w:customStyle="1" w:styleId="Submissionstandard9">
    <w:name w:val="Submission standard9"/>
    <w:basedOn w:val="TableNormal"/>
    <w:uiPriority w:val="99"/>
    <w:qFormat/>
    <w:rsid w:val="00A92B5F"/>
    <w:rPr>
      <w:rFonts w:ascii="Arial Narrow" w:hAnsi="Arial Narrow"/>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Arial Narrow" w:hAnsi="Arial Narrow"/>
        <w:b/>
        <w:sz w:val="20"/>
      </w:rPr>
      <w:tblPr/>
      <w:tcPr>
        <w:shd w:val="clear" w:color="auto" w:fill="BFBFBF"/>
      </w:tcPr>
    </w:tblStylePr>
  </w:style>
  <w:style w:type="table" w:customStyle="1" w:styleId="Submissionstandard91">
    <w:name w:val="Submission standard91"/>
    <w:basedOn w:val="TableNormal"/>
    <w:uiPriority w:val="99"/>
    <w:qFormat/>
    <w:rsid w:val="00CB386C"/>
    <w:rPr>
      <w:rFonts w:ascii="Arial Narrow" w:hAnsi="Arial Narrow"/>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Arial Narrow" w:hAnsi="Arial Narrow"/>
        <w:b/>
        <w:sz w:val="20"/>
      </w:rPr>
      <w:tblPr/>
      <w:tcPr>
        <w:shd w:val="clear" w:color="auto" w:fill="BFBFBF"/>
      </w:tcPr>
    </w:tblStylePr>
  </w:style>
  <w:style w:type="paragraph" w:customStyle="1" w:styleId="TableLeft">
    <w:name w:val="Table Left"/>
    <w:basedOn w:val="Normal"/>
    <w:link w:val="TableLeftChar"/>
    <w:uiPriority w:val="99"/>
    <w:qFormat/>
    <w:rsid w:val="00FF0A39"/>
    <w:pPr>
      <w:jc w:val="both"/>
    </w:pPr>
    <w:rPr>
      <w:rFonts w:ascii="Calibri" w:eastAsiaTheme="majorEastAsia" w:hAnsi="Calibri" w:cstheme="majorBidi"/>
      <w:sz w:val="20"/>
      <w:szCs w:val="22"/>
      <w:lang w:eastAsia="en-US" w:bidi="en-US"/>
    </w:rPr>
  </w:style>
  <w:style w:type="character" w:customStyle="1" w:styleId="TableLeftChar">
    <w:name w:val="Table Left Char"/>
    <w:basedOn w:val="DefaultParagraphFont"/>
    <w:link w:val="TableLeft"/>
    <w:uiPriority w:val="99"/>
    <w:locked/>
    <w:rsid w:val="00FF0A39"/>
    <w:rPr>
      <w:rFonts w:ascii="Calibri" w:eastAsiaTheme="majorEastAsia" w:hAnsi="Calibri" w:cstheme="majorBidi"/>
      <w:szCs w:val="22"/>
      <w:lang w:eastAsia="en-US" w:bidi="en-US"/>
    </w:rPr>
  </w:style>
  <w:style w:type="table" w:customStyle="1" w:styleId="TableGrid1">
    <w:name w:val="Table Grid1"/>
    <w:basedOn w:val="TableNormal"/>
    <w:next w:val="TableGrid"/>
    <w:uiPriority w:val="59"/>
    <w:rsid w:val="00FF0A39"/>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Highlight">
    <w:name w:val="Small Highlight"/>
    <w:basedOn w:val="DefaultParagraphFont"/>
    <w:uiPriority w:val="1"/>
    <w:qFormat/>
    <w:rsid w:val="00FF0A39"/>
    <w:rPr>
      <w:rFonts w:ascii="Calibri" w:hAnsi="Calibri"/>
      <w:sz w:val="20"/>
      <w:bdr w:val="none" w:sz="0" w:space="0" w:color="auto"/>
      <w:shd w:val="clear" w:color="auto" w:fill="FFFF00"/>
    </w:rPr>
  </w:style>
  <w:style w:type="paragraph" w:customStyle="1" w:styleId="TableCentre">
    <w:name w:val="Table Centre"/>
    <w:basedOn w:val="Normal"/>
    <w:qFormat/>
    <w:rsid w:val="00FF0A39"/>
    <w:pPr>
      <w:jc w:val="center"/>
    </w:pPr>
    <w:rPr>
      <w:rFonts w:ascii="Calibri" w:eastAsiaTheme="majorEastAsia" w:hAnsi="Calibri" w:cstheme="majorBidi"/>
      <w:sz w:val="20"/>
      <w:szCs w:val="22"/>
      <w:lang w:eastAsia="en-US" w:bidi="en-US"/>
    </w:rPr>
  </w:style>
  <w:style w:type="paragraph" w:customStyle="1" w:styleId="FrontPage1">
    <w:name w:val="Front Page 1"/>
    <w:basedOn w:val="Normal"/>
    <w:next w:val="Normal"/>
    <w:link w:val="FrontPage1Char"/>
    <w:uiPriority w:val="10"/>
    <w:qFormat/>
    <w:rsid w:val="00DC6C29"/>
    <w:pPr>
      <w:spacing w:after="200" w:line="276" w:lineRule="auto"/>
      <w:jc w:val="center"/>
    </w:pPr>
    <w:rPr>
      <w:rFonts w:ascii="Calibri" w:eastAsiaTheme="majorEastAsia" w:hAnsi="Calibri" w:cstheme="majorBidi"/>
      <w:b/>
      <w:sz w:val="48"/>
      <w:szCs w:val="22"/>
      <w:lang w:eastAsia="en-US" w:bidi="en-US"/>
    </w:rPr>
  </w:style>
  <w:style w:type="character" w:customStyle="1" w:styleId="FrontPage1Char">
    <w:name w:val="Front Page 1 Char"/>
    <w:basedOn w:val="DefaultParagraphFont"/>
    <w:link w:val="FrontPage1"/>
    <w:uiPriority w:val="10"/>
    <w:rsid w:val="00DC6C29"/>
    <w:rPr>
      <w:rFonts w:ascii="Calibri" w:eastAsiaTheme="majorEastAsia" w:hAnsi="Calibri" w:cstheme="majorBidi"/>
      <w:b/>
      <w:sz w:val="48"/>
      <w:szCs w:val="22"/>
      <w:lang w:eastAsia="en-US" w:bidi="en-US"/>
    </w:rPr>
  </w:style>
  <w:style w:type="paragraph" w:customStyle="1" w:styleId="PBACheading10">
    <w:name w:val="PBAC heading 1"/>
    <w:qFormat/>
    <w:rsid w:val="00EA1782"/>
    <w:pPr>
      <w:ind w:left="720" w:hanging="720"/>
      <w:outlineLvl w:val="0"/>
    </w:pPr>
    <w:rPr>
      <w:rFonts w:ascii="Arial" w:hAnsi="Arial" w:cs="Arial"/>
      <w:b/>
      <w:snapToGrid w:val="0"/>
      <w:sz w:val="22"/>
      <w:szCs w:val="22"/>
      <w:lang w:eastAsia="en-US"/>
    </w:rPr>
  </w:style>
  <w:style w:type="paragraph" w:styleId="Revision">
    <w:name w:val="Revision"/>
    <w:hidden/>
    <w:uiPriority w:val="71"/>
    <w:rsid w:val="008D7D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styleId="Emphasis">
    <w:name w:val="Emphasis"/>
    <w:basedOn w:val="DefaultParagraphFont"/>
    <w:qFormat/>
    <w:rsid w:val="00425849"/>
    <w:rPr>
      <w:i/>
      <w:iCs/>
    </w:rPr>
  </w:style>
  <w:style w:type="paragraph" w:styleId="FootnoteText">
    <w:name w:val="footnote text"/>
    <w:basedOn w:val="Normal"/>
    <w:link w:val="FootnoteTextChar"/>
    <w:rsid w:val="00425849"/>
    <w:rPr>
      <w:sz w:val="20"/>
      <w:szCs w:val="20"/>
    </w:rPr>
  </w:style>
  <w:style w:type="character" w:customStyle="1" w:styleId="FootnoteTextChar">
    <w:name w:val="Footnote Text Char"/>
    <w:basedOn w:val="DefaultParagraphFont"/>
    <w:link w:val="FootnoteText"/>
    <w:rsid w:val="00425849"/>
  </w:style>
  <w:style w:type="character" w:styleId="FootnoteReference">
    <w:name w:val="footnote reference"/>
    <w:basedOn w:val="DefaultParagraphFont"/>
    <w:rsid w:val="00425849"/>
    <w:rPr>
      <w:vertAlign w:val="superscript"/>
    </w:rPr>
  </w:style>
  <w:style w:type="paragraph" w:styleId="NormalWeb">
    <w:name w:val="Normal (Web)"/>
    <w:basedOn w:val="Normal"/>
    <w:uiPriority w:val="99"/>
    <w:rsid w:val="00425849"/>
    <w:pPr>
      <w:spacing w:before="100" w:after="100"/>
    </w:pPr>
    <w:rPr>
      <w:szCs w:val="20"/>
      <w:lang w:val="en-GB" w:eastAsia="en-US"/>
    </w:rPr>
  </w:style>
  <w:style w:type="table" w:customStyle="1" w:styleId="Submissionstandard9">
    <w:name w:val="Submission standard9"/>
    <w:basedOn w:val="TableNormal"/>
    <w:uiPriority w:val="99"/>
    <w:qFormat/>
    <w:rsid w:val="00A92B5F"/>
    <w:rPr>
      <w:rFonts w:ascii="Arial Narrow" w:hAnsi="Arial Narrow"/>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Arial Narrow" w:hAnsi="Arial Narrow"/>
        <w:b/>
        <w:sz w:val="20"/>
      </w:rPr>
      <w:tblPr/>
      <w:tcPr>
        <w:shd w:val="clear" w:color="auto" w:fill="BFBFBF"/>
      </w:tcPr>
    </w:tblStylePr>
  </w:style>
  <w:style w:type="table" w:customStyle="1" w:styleId="Submissionstandard91">
    <w:name w:val="Submission standard91"/>
    <w:basedOn w:val="TableNormal"/>
    <w:uiPriority w:val="99"/>
    <w:qFormat/>
    <w:rsid w:val="00CB386C"/>
    <w:rPr>
      <w:rFonts w:ascii="Arial Narrow" w:hAnsi="Arial Narrow"/>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Arial Narrow" w:hAnsi="Arial Narrow"/>
        <w:b/>
        <w:sz w:val="20"/>
      </w:rPr>
      <w:tblPr/>
      <w:tcPr>
        <w:shd w:val="clear" w:color="auto" w:fill="BFBFBF"/>
      </w:tcPr>
    </w:tblStylePr>
  </w:style>
  <w:style w:type="paragraph" w:customStyle="1" w:styleId="TableLeft">
    <w:name w:val="Table Left"/>
    <w:basedOn w:val="Normal"/>
    <w:link w:val="TableLeftChar"/>
    <w:uiPriority w:val="99"/>
    <w:qFormat/>
    <w:rsid w:val="00FF0A39"/>
    <w:pPr>
      <w:jc w:val="both"/>
    </w:pPr>
    <w:rPr>
      <w:rFonts w:ascii="Calibri" w:eastAsiaTheme="majorEastAsia" w:hAnsi="Calibri" w:cstheme="majorBidi"/>
      <w:sz w:val="20"/>
      <w:szCs w:val="22"/>
      <w:lang w:eastAsia="en-US" w:bidi="en-US"/>
    </w:rPr>
  </w:style>
  <w:style w:type="character" w:customStyle="1" w:styleId="TableLeftChar">
    <w:name w:val="Table Left Char"/>
    <w:basedOn w:val="DefaultParagraphFont"/>
    <w:link w:val="TableLeft"/>
    <w:uiPriority w:val="99"/>
    <w:locked/>
    <w:rsid w:val="00FF0A39"/>
    <w:rPr>
      <w:rFonts w:ascii="Calibri" w:eastAsiaTheme="majorEastAsia" w:hAnsi="Calibri" w:cstheme="majorBidi"/>
      <w:szCs w:val="22"/>
      <w:lang w:eastAsia="en-US" w:bidi="en-US"/>
    </w:rPr>
  </w:style>
  <w:style w:type="table" w:customStyle="1" w:styleId="TableGrid1">
    <w:name w:val="Table Grid1"/>
    <w:basedOn w:val="TableNormal"/>
    <w:next w:val="TableGrid"/>
    <w:uiPriority w:val="59"/>
    <w:rsid w:val="00FF0A39"/>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Highlight">
    <w:name w:val="Small Highlight"/>
    <w:basedOn w:val="DefaultParagraphFont"/>
    <w:uiPriority w:val="1"/>
    <w:qFormat/>
    <w:rsid w:val="00FF0A39"/>
    <w:rPr>
      <w:rFonts w:ascii="Calibri" w:hAnsi="Calibri"/>
      <w:sz w:val="20"/>
      <w:bdr w:val="none" w:sz="0" w:space="0" w:color="auto"/>
      <w:shd w:val="clear" w:color="auto" w:fill="FFFF00"/>
    </w:rPr>
  </w:style>
  <w:style w:type="paragraph" w:customStyle="1" w:styleId="TableCentre">
    <w:name w:val="Table Centre"/>
    <w:basedOn w:val="Normal"/>
    <w:qFormat/>
    <w:rsid w:val="00FF0A39"/>
    <w:pPr>
      <w:jc w:val="center"/>
    </w:pPr>
    <w:rPr>
      <w:rFonts w:ascii="Calibri" w:eastAsiaTheme="majorEastAsia" w:hAnsi="Calibri" w:cstheme="majorBidi"/>
      <w:sz w:val="20"/>
      <w:szCs w:val="22"/>
      <w:lang w:eastAsia="en-US" w:bidi="en-US"/>
    </w:rPr>
  </w:style>
  <w:style w:type="paragraph" w:customStyle="1" w:styleId="FrontPage1">
    <w:name w:val="Front Page 1"/>
    <w:basedOn w:val="Normal"/>
    <w:next w:val="Normal"/>
    <w:link w:val="FrontPage1Char"/>
    <w:uiPriority w:val="10"/>
    <w:qFormat/>
    <w:rsid w:val="00DC6C29"/>
    <w:pPr>
      <w:spacing w:after="200" w:line="276" w:lineRule="auto"/>
      <w:jc w:val="center"/>
    </w:pPr>
    <w:rPr>
      <w:rFonts w:ascii="Calibri" w:eastAsiaTheme="majorEastAsia" w:hAnsi="Calibri" w:cstheme="majorBidi"/>
      <w:b/>
      <w:sz w:val="48"/>
      <w:szCs w:val="22"/>
      <w:lang w:eastAsia="en-US" w:bidi="en-US"/>
    </w:rPr>
  </w:style>
  <w:style w:type="character" w:customStyle="1" w:styleId="FrontPage1Char">
    <w:name w:val="Front Page 1 Char"/>
    <w:basedOn w:val="DefaultParagraphFont"/>
    <w:link w:val="FrontPage1"/>
    <w:uiPriority w:val="10"/>
    <w:rsid w:val="00DC6C29"/>
    <w:rPr>
      <w:rFonts w:ascii="Calibri" w:eastAsiaTheme="majorEastAsia" w:hAnsi="Calibri" w:cstheme="majorBidi"/>
      <w:b/>
      <w:sz w:val="48"/>
      <w:szCs w:val="22"/>
      <w:lang w:eastAsia="en-US" w:bidi="en-US"/>
    </w:rPr>
  </w:style>
  <w:style w:type="paragraph" w:customStyle="1" w:styleId="PBACheading10">
    <w:name w:val="PBAC heading 1"/>
    <w:qFormat/>
    <w:rsid w:val="00EA1782"/>
    <w:pPr>
      <w:ind w:left="720" w:hanging="720"/>
      <w:outlineLvl w:val="0"/>
    </w:pPr>
    <w:rPr>
      <w:rFonts w:ascii="Arial" w:hAnsi="Arial" w:cs="Arial"/>
      <w:b/>
      <w:snapToGrid w:val="0"/>
      <w:sz w:val="22"/>
      <w:szCs w:val="22"/>
      <w:lang w:eastAsia="en-US"/>
    </w:rPr>
  </w:style>
  <w:style w:type="paragraph" w:styleId="Revision">
    <w:name w:val="Revision"/>
    <w:hidden/>
    <w:uiPriority w:val="71"/>
    <w:rsid w:val="008D7D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4540442">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9770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fo/healthpro/explanatory-notes/section2/section-2-symb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DBB11-3C96-459B-B324-F15B6373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2579</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2018-09-24T03:22:00Z</dcterms:created>
  <dcterms:modified xsi:type="dcterms:W3CDTF">2018-10-16T06:04:00Z</dcterms:modified>
</cp:coreProperties>
</file>