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82" w:rsidRPr="00FE7CBE" w:rsidRDefault="00CA0B82" w:rsidP="00CA0B82">
      <w:pPr>
        <w:pStyle w:val="Title"/>
        <w:spacing w:before="120" w:after="160"/>
        <w:rPr>
          <w:rFonts w:asciiTheme="minorHAnsi" w:hAnsiTheme="minorHAnsi"/>
          <w:sz w:val="36"/>
          <w:szCs w:val="36"/>
        </w:rPr>
      </w:pPr>
      <w:bookmarkStart w:id="0" w:name="_GoBack"/>
      <w:bookmarkEnd w:id="0"/>
    </w:p>
    <w:p w:rsidR="0039188A" w:rsidRPr="00FE7CBE" w:rsidRDefault="0039188A" w:rsidP="0039188A">
      <w:pPr>
        <w:pStyle w:val="Title"/>
        <w:spacing w:before="120" w:after="160"/>
        <w:ind w:left="720" w:hanging="720"/>
        <w:rPr>
          <w:rFonts w:asciiTheme="minorHAnsi" w:hAnsiTheme="minorHAnsi"/>
          <w:sz w:val="36"/>
          <w:szCs w:val="36"/>
        </w:rPr>
      </w:pPr>
      <w:r w:rsidRPr="00FE7CBE">
        <w:rPr>
          <w:rFonts w:asciiTheme="minorHAnsi" w:hAnsiTheme="minorHAnsi"/>
          <w:sz w:val="36"/>
          <w:szCs w:val="36"/>
        </w:rPr>
        <w:t>6.11</w:t>
      </w:r>
      <w:r w:rsidRPr="00FE7CBE">
        <w:rPr>
          <w:rFonts w:asciiTheme="minorHAnsi" w:hAnsiTheme="minorHAnsi"/>
          <w:sz w:val="36"/>
          <w:szCs w:val="36"/>
        </w:rPr>
        <w:tab/>
        <w:t xml:space="preserve">LENVATINIB </w:t>
      </w:r>
      <w:r w:rsidRPr="00FE7CBE">
        <w:rPr>
          <w:rFonts w:asciiTheme="minorHAnsi" w:hAnsiTheme="minorHAnsi"/>
          <w:sz w:val="36"/>
          <w:szCs w:val="36"/>
        </w:rPr>
        <w:br/>
        <w:t>Capsule, 4 mg (as mesilate)</w:t>
      </w:r>
    </w:p>
    <w:p w:rsidR="0039188A" w:rsidRPr="00FE7CBE" w:rsidRDefault="0039188A" w:rsidP="0039188A">
      <w:pPr>
        <w:pStyle w:val="Title"/>
        <w:spacing w:before="120" w:after="160"/>
        <w:ind w:left="720" w:hanging="11"/>
        <w:rPr>
          <w:rFonts w:asciiTheme="minorHAnsi" w:hAnsiTheme="minorHAnsi"/>
          <w:sz w:val="36"/>
          <w:szCs w:val="36"/>
        </w:rPr>
      </w:pPr>
      <w:r w:rsidRPr="00FE7CBE">
        <w:rPr>
          <w:rFonts w:asciiTheme="minorHAnsi" w:hAnsiTheme="minorHAnsi"/>
          <w:sz w:val="36"/>
          <w:szCs w:val="36"/>
        </w:rPr>
        <w:t xml:space="preserve">Capsule, 10 mg (as </w:t>
      </w:r>
      <w:proofErr w:type="spellStart"/>
      <w:r w:rsidRPr="00FE7CBE">
        <w:rPr>
          <w:rFonts w:asciiTheme="minorHAnsi" w:hAnsiTheme="minorHAnsi"/>
          <w:sz w:val="36"/>
          <w:szCs w:val="36"/>
        </w:rPr>
        <w:t>mesilate</w:t>
      </w:r>
      <w:proofErr w:type="spellEnd"/>
      <w:r w:rsidRPr="00FE7CBE">
        <w:rPr>
          <w:rFonts w:asciiTheme="minorHAnsi" w:hAnsiTheme="minorHAnsi"/>
          <w:sz w:val="36"/>
          <w:szCs w:val="36"/>
        </w:rPr>
        <w:t xml:space="preserve">) </w:t>
      </w:r>
      <w:r w:rsidRPr="00FE7CBE">
        <w:rPr>
          <w:rFonts w:asciiTheme="minorHAnsi" w:hAnsiTheme="minorHAnsi"/>
          <w:sz w:val="36"/>
          <w:szCs w:val="36"/>
        </w:rPr>
        <w:br/>
      </w:r>
      <w:proofErr w:type="spellStart"/>
      <w:r w:rsidRPr="00FE7CBE">
        <w:rPr>
          <w:rFonts w:asciiTheme="minorHAnsi" w:hAnsiTheme="minorHAnsi"/>
          <w:sz w:val="36"/>
          <w:szCs w:val="36"/>
        </w:rPr>
        <w:t>Lenvima</w:t>
      </w:r>
      <w:proofErr w:type="spellEnd"/>
      <w:r w:rsidRPr="00FE7CBE">
        <w:rPr>
          <w:rFonts w:asciiTheme="minorHAnsi" w:hAnsiTheme="minorHAnsi"/>
          <w:sz w:val="36"/>
          <w:szCs w:val="36"/>
          <w:vertAlign w:val="superscript"/>
        </w:rPr>
        <w:t>®</w:t>
      </w:r>
      <w:r w:rsidRPr="00FE7CBE">
        <w:rPr>
          <w:rFonts w:asciiTheme="minorHAnsi" w:hAnsiTheme="minorHAnsi"/>
          <w:sz w:val="36"/>
          <w:szCs w:val="36"/>
        </w:rPr>
        <w:t>, Eisai Australia Pty Ltd</w:t>
      </w:r>
    </w:p>
    <w:p w:rsidR="0039188A" w:rsidRPr="00FE7CBE" w:rsidRDefault="0039188A" w:rsidP="0039188A">
      <w:pPr>
        <w:pStyle w:val="PBACHeading1"/>
        <w:spacing w:before="240" w:after="120"/>
        <w:ind w:left="709" w:hanging="709"/>
        <w:rPr>
          <w:rFonts w:asciiTheme="minorHAnsi" w:hAnsiTheme="minorHAnsi"/>
          <w:sz w:val="32"/>
          <w:szCs w:val="32"/>
        </w:rPr>
      </w:pPr>
      <w:r w:rsidRPr="00FE7CBE">
        <w:rPr>
          <w:rFonts w:asciiTheme="minorHAnsi" w:hAnsiTheme="minorHAnsi"/>
          <w:sz w:val="32"/>
          <w:szCs w:val="32"/>
        </w:rPr>
        <w:t>Purpose of Application</w:t>
      </w:r>
    </w:p>
    <w:p w:rsidR="0039188A" w:rsidRPr="00FE7CBE" w:rsidRDefault="0039188A" w:rsidP="0039188A">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 minor submission requested an amendment to the current PBS listing of lenvatinib to allow for prescribing of one pack of 10 mg and two packs of 4 mg capsules. </w:t>
      </w:r>
    </w:p>
    <w:p w:rsidR="0039188A" w:rsidRPr="00FE7CBE" w:rsidRDefault="0039188A" w:rsidP="0039188A">
      <w:pPr>
        <w:pStyle w:val="PBACHeading1"/>
        <w:spacing w:before="240" w:after="120"/>
        <w:ind w:left="709" w:hanging="709"/>
        <w:rPr>
          <w:rFonts w:asciiTheme="minorHAnsi" w:hAnsiTheme="minorHAnsi"/>
          <w:sz w:val="32"/>
          <w:szCs w:val="32"/>
        </w:rPr>
      </w:pPr>
      <w:r w:rsidRPr="00FE7CBE">
        <w:rPr>
          <w:rFonts w:asciiTheme="minorHAnsi" w:hAnsiTheme="minorHAnsi"/>
          <w:sz w:val="32"/>
          <w:szCs w:val="32"/>
        </w:rPr>
        <w:t>Requested listing</w:t>
      </w:r>
    </w:p>
    <w:p w:rsidR="0039188A" w:rsidRPr="005C5FE0" w:rsidRDefault="0039188A" w:rsidP="000531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The submission requested a change to the current listing as shown below in italics</w:t>
      </w:r>
      <w:r w:rsidR="00692404" w:rsidRPr="00FE7CBE">
        <w:rPr>
          <w:rFonts w:asciiTheme="minorHAnsi" w:eastAsiaTheme="minorHAnsi" w:hAnsiTheme="minorHAnsi" w:cstheme="minorBidi"/>
          <w:snapToGrid/>
          <w:sz w:val="24"/>
          <w:szCs w:val="22"/>
        </w:rPr>
        <w:t xml:space="preserve">, and suggested deletions are crossed out with strikethrough. </w:t>
      </w:r>
    </w:p>
    <w:tbl>
      <w:tblPr>
        <w:tblW w:w="4908" w:type="pct"/>
        <w:tblInd w:w="108" w:type="dxa"/>
        <w:tblLook w:val="0000" w:firstRow="0" w:lastRow="0" w:firstColumn="0" w:lastColumn="0" w:noHBand="0" w:noVBand="0"/>
      </w:tblPr>
      <w:tblGrid>
        <w:gridCol w:w="1353"/>
        <w:gridCol w:w="771"/>
        <w:gridCol w:w="833"/>
        <w:gridCol w:w="1047"/>
        <w:gridCol w:w="1047"/>
        <w:gridCol w:w="1314"/>
        <w:gridCol w:w="1314"/>
        <w:gridCol w:w="1393"/>
      </w:tblGrid>
      <w:tr w:rsidR="00086EEE" w:rsidRPr="00FE7CBE" w:rsidTr="00A36855">
        <w:trPr>
          <w:cantSplit/>
          <w:trHeight w:val="471"/>
        </w:trPr>
        <w:tc>
          <w:tcPr>
            <w:tcW w:w="1630" w:type="pct"/>
            <w:gridSpan w:val="3"/>
            <w:tcBorders>
              <w:top w:val="single" w:sz="4" w:space="0" w:color="auto"/>
              <w:bottom w:val="single" w:sz="4" w:space="0" w:color="auto"/>
            </w:tcBorders>
          </w:tcPr>
          <w:p w:rsidR="00086EEE" w:rsidRPr="00FE7CBE" w:rsidRDefault="00086EEE" w:rsidP="00054699">
            <w:pPr>
              <w:keepNext/>
              <w:ind w:left="-108"/>
              <w:jc w:val="both"/>
              <w:rPr>
                <w:rFonts w:ascii="Arial Narrow" w:hAnsi="Arial Narrow" w:cs="Arial"/>
                <w:b/>
                <w:sz w:val="20"/>
                <w:szCs w:val="20"/>
              </w:rPr>
            </w:pPr>
            <w:r w:rsidRPr="00FE7CBE">
              <w:rPr>
                <w:rFonts w:ascii="Arial Narrow" w:hAnsi="Arial Narrow" w:cs="Arial"/>
                <w:b/>
                <w:sz w:val="20"/>
                <w:szCs w:val="20"/>
              </w:rPr>
              <w:lastRenderedPageBreak/>
              <w:t>Name, Restriction,</w:t>
            </w:r>
          </w:p>
          <w:p w:rsidR="00086EEE" w:rsidRPr="00FE7CBE" w:rsidRDefault="00086EEE" w:rsidP="00054699">
            <w:pPr>
              <w:keepNext/>
              <w:ind w:left="-108"/>
              <w:jc w:val="both"/>
              <w:rPr>
                <w:rFonts w:ascii="Arial Narrow" w:hAnsi="Arial Narrow" w:cs="Arial"/>
                <w:b/>
                <w:sz w:val="20"/>
                <w:szCs w:val="20"/>
              </w:rPr>
            </w:pPr>
            <w:r w:rsidRPr="00FE7CBE">
              <w:rPr>
                <w:rFonts w:ascii="Arial Narrow" w:hAnsi="Arial Narrow" w:cs="Arial"/>
                <w:b/>
                <w:sz w:val="20"/>
                <w:szCs w:val="20"/>
              </w:rPr>
              <w:t>Manner of administration and form</w:t>
            </w:r>
          </w:p>
        </w:tc>
        <w:tc>
          <w:tcPr>
            <w:tcW w:w="577" w:type="pct"/>
            <w:tcBorders>
              <w:top w:val="single" w:sz="4" w:space="0" w:color="auto"/>
              <w:bottom w:val="single" w:sz="4" w:space="0" w:color="auto"/>
            </w:tcBorders>
          </w:tcPr>
          <w:p w:rsidR="00086EEE" w:rsidRPr="00FE7CBE" w:rsidRDefault="00086EEE" w:rsidP="00054699">
            <w:pPr>
              <w:keepNext/>
              <w:ind w:left="-108"/>
              <w:jc w:val="both"/>
              <w:rPr>
                <w:rFonts w:ascii="Arial Narrow" w:hAnsi="Arial Narrow" w:cs="Arial"/>
                <w:b/>
                <w:sz w:val="20"/>
                <w:szCs w:val="20"/>
              </w:rPr>
            </w:pPr>
            <w:r w:rsidRPr="00FE7CBE">
              <w:rPr>
                <w:rFonts w:ascii="Arial Narrow" w:hAnsi="Arial Narrow" w:cs="Arial"/>
                <w:b/>
                <w:sz w:val="20"/>
                <w:szCs w:val="20"/>
              </w:rPr>
              <w:t>Max. Qty</w:t>
            </w:r>
          </w:p>
        </w:tc>
        <w:tc>
          <w:tcPr>
            <w:tcW w:w="577" w:type="pct"/>
            <w:tcBorders>
              <w:top w:val="single" w:sz="4" w:space="0" w:color="auto"/>
              <w:bottom w:val="single" w:sz="4" w:space="0" w:color="auto"/>
            </w:tcBorders>
          </w:tcPr>
          <w:p w:rsidR="00086EEE" w:rsidRPr="00FE7CBE" w:rsidRDefault="00086EEE" w:rsidP="00054699">
            <w:pPr>
              <w:keepNext/>
              <w:ind w:left="-108"/>
              <w:jc w:val="both"/>
              <w:rPr>
                <w:rFonts w:ascii="Arial Narrow" w:hAnsi="Arial Narrow" w:cs="Arial"/>
                <w:b/>
                <w:sz w:val="20"/>
                <w:szCs w:val="20"/>
              </w:rPr>
            </w:pPr>
            <w:r w:rsidRPr="00FE7CBE">
              <w:rPr>
                <w:rFonts w:ascii="Arial Narrow" w:hAnsi="Arial Narrow" w:cs="Arial"/>
                <w:b/>
                <w:sz w:val="20"/>
                <w:szCs w:val="20"/>
              </w:rPr>
              <w:t>№.of Rpts</w:t>
            </w:r>
          </w:p>
        </w:tc>
        <w:tc>
          <w:tcPr>
            <w:tcW w:w="724" w:type="pct"/>
            <w:tcBorders>
              <w:top w:val="single" w:sz="4" w:space="0" w:color="auto"/>
              <w:bottom w:val="single" w:sz="4" w:space="0" w:color="auto"/>
            </w:tcBorders>
          </w:tcPr>
          <w:p w:rsidR="00086EEE" w:rsidRPr="00FE7CBE" w:rsidRDefault="00086EEE" w:rsidP="00054699">
            <w:pPr>
              <w:keepNext/>
              <w:rPr>
                <w:rFonts w:ascii="Arial Narrow" w:hAnsi="Arial Narrow" w:cs="Arial"/>
                <w:b/>
                <w:sz w:val="20"/>
                <w:szCs w:val="20"/>
              </w:rPr>
            </w:pPr>
            <w:r w:rsidRPr="00FE7CBE">
              <w:rPr>
                <w:rFonts w:ascii="Arial Narrow" w:hAnsi="Arial Narrow" w:cs="Arial"/>
                <w:b/>
                <w:sz w:val="20"/>
                <w:szCs w:val="20"/>
              </w:rPr>
              <w:t>DPMQ</w:t>
            </w:r>
          </w:p>
        </w:tc>
        <w:tc>
          <w:tcPr>
            <w:tcW w:w="1491" w:type="pct"/>
            <w:gridSpan w:val="2"/>
            <w:tcBorders>
              <w:top w:val="single" w:sz="4" w:space="0" w:color="auto"/>
              <w:bottom w:val="single" w:sz="4" w:space="0" w:color="auto"/>
            </w:tcBorders>
          </w:tcPr>
          <w:p w:rsidR="00086EEE" w:rsidRPr="00FE7CBE" w:rsidRDefault="00086EEE" w:rsidP="00054699">
            <w:pPr>
              <w:keepNext/>
              <w:rPr>
                <w:rFonts w:ascii="Arial Narrow" w:hAnsi="Arial Narrow" w:cs="Arial"/>
                <w:b/>
                <w:sz w:val="20"/>
                <w:szCs w:val="20"/>
              </w:rPr>
            </w:pPr>
            <w:r w:rsidRPr="00FE7CBE">
              <w:rPr>
                <w:rFonts w:ascii="Arial Narrow" w:hAnsi="Arial Narrow" w:cs="Arial"/>
                <w:b/>
                <w:sz w:val="20"/>
                <w:szCs w:val="20"/>
              </w:rPr>
              <w:t>Proprietary Name and Manufacturer</w:t>
            </w:r>
          </w:p>
        </w:tc>
      </w:tr>
      <w:tr w:rsidR="00086EEE" w:rsidRPr="00FE7CBE" w:rsidTr="00A36855">
        <w:trPr>
          <w:cantSplit/>
          <w:trHeight w:val="577"/>
        </w:trPr>
        <w:tc>
          <w:tcPr>
            <w:tcW w:w="1630" w:type="pct"/>
            <w:gridSpan w:val="3"/>
            <w:tcBorders>
              <w:top w:val="single" w:sz="4" w:space="0" w:color="auto"/>
              <w:bottom w:val="single" w:sz="4" w:space="0" w:color="auto"/>
            </w:tcBorders>
          </w:tcPr>
          <w:p w:rsidR="00086EEE" w:rsidRPr="00FE7CBE" w:rsidRDefault="00086EEE" w:rsidP="00054699">
            <w:pPr>
              <w:keepNext/>
              <w:ind w:left="-108"/>
              <w:rPr>
                <w:rFonts w:ascii="Arial Narrow" w:hAnsi="Arial Narrow"/>
                <w:sz w:val="20"/>
              </w:rPr>
            </w:pPr>
            <w:r w:rsidRPr="00FE7CBE">
              <w:rPr>
                <w:rFonts w:ascii="Arial Narrow" w:hAnsi="Arial Narrow"/>
                <w:smallCaps/>
                <w:sz w:val="20"/>
              </w:rPr>
              <w:t>LENVATINIB</w:t>
            </w:r>
          </w:p>
          <w:p w:rsidR="00086EEE" w:rsidRPr="00FE7CBE" w:rsidRDefault="00086EEE" w:rsidP="00054699">
            <w:pPr>
              <w:keepNext/>
              <w:ind w:left="-108"/>
              <w:rPr>
                <w:rFonts w:ascii="Arial Narrow" w:hAnsi="Arial Narrow"/>
                <w:sz w:val="20"/>
              </w:rPr>
            </w:pPr>
            <w:r w:rsidRPr="00FE7CBE">
              <w:rPr>
                <w:rFonts w:ascii="Arial Narrow" w:hAnsi="Arial Narrow"/>
                <w:sz w:val="20"/>
              </w:rPr>
              <w:t>lenvatinib 4 mg capsule, 30</w:t>
            </w:r>
          </w:p>
          <w:p w:rsidR="00086EEE" w:rsidRPr="00FE7CBE" w:rsidRDefault="00086EEE" w:rsidP="00054699">
            <w:pPr>
              <w:keepNext/>
              <w:rPr>
                <w:rFonts w:ascii="Arial Narrow" w:hAnsi="Arial Narrow"/>
                <w:sz w:val="20"/>
              </w:rPr>
            </w:pPr>
          </w:p>
          <w:p w:rsidR="00086EEE" w:rsidRPr="00FE7CBE" w:rsidRDefault="00086EEE" w:rsidP="00054699">
            <w:pPr>
              <w:keepNext/>
              <w:ind w:left="-108"/>
              <w:rPr>
                <w:rFonts w:ascii="Arial Narrow" w:hAnsi="Arial Narrow"/>
                <w:sz w:val="20"/>
              </w:rPr>
            </w:pPr>
            <w:r w:rsidRPr="00FE7CBE">
              <w:rPr>
                <w:rFonts w:ascii="Arial Narrow" w:hAnsi="Arial Narrow"/>
                <w:sz w:val="20"/>
              </w:rPr>
              <w:t>lenvatinib 10 mg capsule, 30</w:t>
            </w:r>
          </w:p>
        </w:tc>
        <w:tc>
          <w:tcPr>
            <w:tcW w:w="577" w:type="pct"/>
            <w:tcBorders>
              <w:top w:val="single" w:sz="4" w:space="0" w:color="auto"/>
              <w:bottom w:val="single" w:sz="4" w:space="0" w:color="auto"/>
            </w:tcBorders>
          </w:tcPr>
          <w:p w:rsidR="00086EEE" w:rsidRPr="00FE7CBE" w:rsidRDefault="00086EEE" w:rsidP="00054699">
            <w:pPr>
              <w:keepNext/>
              <w:ind w:left="-108"/>
              <w:rPr>
                <w:rFonts w:ascii="Arial Narrow" w:hAnsi="Arial Narrow"/>
                <w:sz w:val="20"/>
              </w:rPr>
            </w:pPr>
          </w:p>
          <w:p w:rsidR="00086EEE" w:rsidRPr="00FE7CBE" w:rsidRDefault="00086EEE" w:rsidP="00054699">
            <w:pPr>
              <w:keepNext/>
              <w:ind w:left="-108"/>
              <w:rPr>
                <w:rFonts w:ascii="Arial Narrow" w:hAnsi="Arial Narrow"/>
                <w:sz w:val="20"/>
              </w:rPr>
            </w:pPr>
            <w:r w:rsidRPr="00FE7CBE">
              <w:rPr>
                <w:rFonts w:ascii="Arial Narrow" w:hAnsi="Arial Narrow"/>
                <w:sz w:val="20"/>
              </w:rPr>
              <w:t>1</w:t>
            </w:r>
          </w:p>
          <w:p w:rsidR="00086EEE" w:rsidRPr="00FE7CBE" w:rsidRDefault="00086EEE" w:rsidP="00054699">
            <w:pPr>
              <w:keepNext/>
              <w:ind w:left="-108"/>
              <w:rPr>
                <w:rFonts w:ascii="Arial Narrow" w:hAnsi="Arial Narrow"/>
                <w:sz w:val="20"/>
              </w:rPr>
            </w:pPr>
          </w:p>
          <w:p w:rsidR="00086EEE" w:rsidRPr="00FE7CBE" w:rsidRDefault="00086EEE" w:rsidP="00054699">
            <w:pPr>
              <w:keepNext/>
              <w:ind w:left="-108"/>
              <w:rPr>
                <w:rFonts w:ascii="Arial Narrow" w:hAnsi="Arial Narrow"/>
                <w:sz w:val="20"/>
              </w:rPr>
            </w:pPr>
            <w:r w:rsidRPr="00FE7CBE">
              <w:rPr>
                <w:rFonts w:ascii="Arial Narrow" w:hAnsi="Arial Narrow"/>
                <w:sz w:val="20"/>
              </w:rPr>
              <w:t>2</w:t>
            </w:r>
          </w:p>
        </w:tc>
        <w:tc>
          <w:tcPr>
            <w:tcW w:w="577" w:type="pct"/>
            <w:tcBorders>
              <w:top w:val="single" w:sz="4" w:space="0" w:color="auto"/>
              <w:bottom w:val="single" w:sz="4" w:space="0" w:color="auto"/>
            </w:tcBorders>
          </w:tcPr>
          <w:p w:rsidR="00086EEE" w:rsidRPr="00FE7CBE" w:rsidRDefault="00086EEE" w:rsidP="00054699">
            <w:pPr>
              <w:keepNext/>
              <w:ind w:left="-108"/>
              <w:rPr>
                <w:rFonts w:ascii="Arial Narrow" w:hAnsi="Arial Narrow"/>
                <w:sz w:val="20"/>
              </w:rPr>
            </w:pPr>
          </w:p>
          <w:p w:rsidR="00086EEE" w:rsidRPr="00FE7CBE" w:rsidRDefault="00086EEE" w:rsidP="00054699">
            <w:pPr>
              <w:keepNext/>
              <w:ind w:left="-108"/>
              <w:rPr>
                <w:rFonts w:ascii="Arial Narrow" w:hAnsi="Arial Narrow"/>
                <w:sz w:val="20"/>
              </w:rPr>
            </w:pPr>
            <w:r w:rsidRPr="00FE7CBE">
              <w:rPr>
                <w:rFonts w:ascii="Arial Narrow" w:hAnsi="Arial Narrow"/>
                <w:sz w:val="20"/>
              </w:rPr>
              <w:t xml:space="preserve"> 2</w:t>
            </w:r>
          </w:p>
          <w:p w:rsidR="00086EEE" w:rsidRPr="00FE7CBE" w:rsidRDefault="00086EEE" w:rsidP="00054699">
            <w:pPr>
              <w:keepNext/>
              <w:ind w:left="-108"/>
              <w:rPr>
                <w:rFonts w:ascii="Arial Narrow" w:hAnsi="Arial Narrow"/>
                <w:sz w:val="20"/>
              </w:rPr>
            </w:pPr>
          </w:p>
          <w:p w:rsidR="00086EEE" w:rsidRPr="00FE7CBE" w:rsidRDefault="00A36855" w:rsidP="00054699">
            <w:pPr>
              <w:keepNext/>
              <w:ind w:left="-108"/>
              <w:rPr>
                <w:rFonts w:ascii="Arial Narrow" w:hAnsi="Arial Narrow"/>
                <w:sz w:val="20"/>
              </w:rPr>
            </w:pPr>
            <w:r w:rsidRPr="00FE7CBE">
              <w:rPr>
                <w:rFonts w:ascii="Arial Narrow" w:hAnsi="Arial Narrow"/>
                <w:sz w:val="20"/>
              </w:rPr>
              <w:t xml:space="preserve"> </w:t>
            </w:r>
            <w:r w:rsidR="00086EEE" w:rsidRPr="00FE7CBE">
              <w:rPr>
                <w:rFonts w:ascii="Arial Narrow" w:hAnsi="Arial Narrow"/>
                <w:sz w:val="20"/>
              </w:rPr>
              <w:t>2</w:t>
            </w:r>
          </w:p>
        </w:tc>
        <w:tc>
          <w:tcPr>
            <w:tcW w:w="724" w:type="pct"/>
            <w:tcBorders>
              <w:top w:val="single" w:sz="4" w:space="0" w:color="auto"/>
              <w:bottom w:val="single" w:sz="4" w:space="0" w:color="auto"/>
            </w:tcBorders>
          </w:tcPr>
          <w:p w:rsidR="00086EEE" w:rsidRPr="00FE7CBE" w:rsidRDefault="00086EEE" w:rsidP="00054699">
            <w:pPr>
              <w:keepNext/>
              <w:rPr>
                <w:rFonts w:ascii="Arial Narrow" w:hAnsi="Arial Narrow"/>
                <w:sz w:val="20"/>
              </w:rPr>
            </w:pPr>
          </w:p>
          <w:p w:rsidR="00086EEE" w:rsidRPr="00FE7CBE" w:rsidRDefault="00086EEE" w:rsidP="00054699">
            <w:pPr>
              <w:keepNext/>
              <w:rPr>
                <w:rFonts w:ascii="Arial Narrow" w:hAnsi="Arial Narrow"/>
                <w:sz w:val="20"/>
              </w:rPr>
            </w:pPr>
            <w:r w:rsidRPr="00FE7CBE">
              <w:rPr>
                <w:rFonts w:ascii="Arial Narrow" w:hAnsi="Arial Narrow"/>
                <w:sz w:val="20"/>
              </w:rPr>
              <w:t>$3,304.52</w:t>
            </w:r>
          </w:p>
          <w:p w:rsidR="00086EEE" w:rsidRPr="00FE7CBE" w:rsidRDefault="00086EEE" w:rsidP="00054699">
            <w:pPr>
              <w:keepNext/>
              <w:rPr>
                <w:rFonts w:ascii="Arial Narrow" w:hAnsi="Arial Narrow"/>
                <w:sz w:val="20"/>
              </w:rPr>
            </w:pPr>
          </w:p>
          <w:p w:rsidR="00086EEE" w:rsidRPr="00FE7CBE" w:rsidRDefault="00086EEE" w:rsidP="00054699">
            <w:pPr>
              <w:keepNext/>
              <w:rPr>
                <w:rFonts w:ascii="Arial Narrow" w:hAnsi="Arial Narrow"/>
                <w:sz w:val="20"/>
              </w:rPr>
            </w:pPr>
            <w:r w:rsidRPr="00FE7CBE">
              <w:rPr>
                <w:rFonts w:ascii="Arial Narrow" w:hAnsi="Arial Narrow"/>
                <w:sz w:val="20"/>
              </w:rPr>
              <w:t>$6,459.53</w:t>
            </w:r>
          </w:p>
        </w:tc>
        <w:tc>
          <w:tcPr>
            <w:tcW w:w="724" w:type="pct"/>
            <w:tcBorders>
              <w:top w:val="single" w:sz="4" w:space="0" w:color="auto"/>
              <w:bottom w:val="single" w:sz="4" w:space="0" w:color="auto"/>
            </w:tcBorders>
          </w:tcPr>
          <w:p w:rsidR="00086EEE" w:rsidRPr="00FE7CBE" w:rsidRDefault="00086EEE" w:rsidP="00054699">
            <w:pPr>
              <w:keepNext/>
              <w:rPr>
                <w:rFonts w:ascii="Arial Narrow" w:hAnsi="Arial Narrow"/>
                <w:sz w:val="20"/>
              </w:rPr>
            </w:pPr>
            <w:proofErr w:type="spellStart"/>
            <w:r w:rsidRPr="00FE7CBE">
              <w:rPr>
                <w:rFonts w:ascii="Arial Narrow" w:hAnsi="Arial Narrow"/>
                <w:sz w:val="20"/>
              </w:rPr>
              <w:t>Lenvima</w:t>
            </w:r>
            <w:proofErr w:type="spellEnd"/>
            <w:r w:rsidRPr="00FE7CBE">
              <w:rPr>
                <w:rFonts w:ascii="Arial Narrow" w:hAnsi="Arial Narrow"/>
                <w:sz w:val="20"/>
              </w:rPr>
              <w:t>®</w:t>
            </w:r>
          </w:p>
        </w:tc>
        <w:tc>
          <w:tcPr>
            <w:tcW w:w="767" w:type="pct"/>
            <w:tcBorders>
              <w:top w:val="single" w:sz="4" w:space="0" w:color="auto"/>
              <w:bottom w:val="single" w:sz="4" w:space="0" w:color="auto"/>
            </w:tcBorders>
          </w:tcPr>
          <w:p w:rsidR="00086EEE" w:rsidRPr="00FE7CBE" w:rsidRDefault="00086EEE" w:rsidP="00054699">
            <w:pPr>
              <w:keepNext/>
              <w:rPr>
                <w:rFonts w:ascii="Arial Narrow" w:hAnsi="Arial Narrow"/>
                <w:sz w:val="20"/>
              </w:rPr>
            </w:pPr>
            <w:r w:rsidRPr="00FE7CBE">
              <w:rPr>
                <w:rFonts w:ascii="Arial Narrow" w:hAnsi="Arial Narrow"/>
                <w:sz w:val="20"/>
              </w:rPr>
              <w:t>Eisai Australia</w:t>
            </w:r>
          </w:p>
        </w:tc>
      </w:tr>
      <w:tr w:rsidR="00086EEE" w:rsidRPr="00FE7CBE" w:rsidTr="00A36855">
        <w:trPr>
          <w:cantSplit/>
          <w:trHeight w:val="360"/>
        </w:trPr>
        <w:tc>
          <w:tcPr>
            <w:tcW w:w="746" w:type="pct"/>
            <w:tcBorders>
              <w:bottom w:val="single" w:sz="4" w:space="0" w:color="auto"/>
            </w:tcBorders>
          </w:tcPr>
          <w:p w:rsidR="00086EEE" w:rsidRPr="00FE7CBE" w:rsidRDefault="00086EEE" w:rsidP="00054699">
            <w:pPr>
              <w:keepNext/>
              <w:jc w:val="both"/>
              <w:rPr>
                <w:rFonts w:ascii="Arial Narrow" w:hAnsi="Arial Narrow" w:cs="Arial"/>
                <w:sz w:val="20"/>
                <w:szCs w:val="20"/>
              </w:rPr>
            </w:pPr>
          </w:p>
        </w:tc>
        <w:tc>
          <w:tcPr>
            <w:tcW w:w="4254" w:type="pct"/>
            <w:gridSpan w:val="7"/>
            <w:tcBorders>
              <w:bottom w:val="single" w:sz="4" w:space="0" w:color="auto"/>
            </w:tcBorders>
          </w:tcPr>
          <w:p w:rsidR="00086EEE" w:rsidRPr="00FE7CBE" w:rsidRDefault="00086EEE" w:rsidP="00054699">
            <w:pPr>
              <w:keepNext/>
              <w:jc w:val="both"/>
              <w:rPr>
                <w:rFonts w:ascii="Arial Narrow" w:hAnsi="Arial Narrow" w:cs="Arial"/>
                <w:sz w:val="20"/>
                <w:szCs w:val="20"/>
              </w:rPr>
            </w:pPr>
          </w:p>
        </w:tc>
      </w:tr>
      <w:tr w:rsidR="00A36855" w:rsidRPr="00FE7CBE" w:rsidTr="00A36855">
        <w:trPr>
          <w:cantSplit/>
          <w:trHeight w:val="309"/>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Category/Program:</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GENERAL – General Schedule (Code GE)</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Prescriber type:</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Dental  </w:t>
            </w:r>
            <w:r w:rsidRPr="00FE7CBE">
              <w:rPr>
                <w:rFonts w:ascii="Arial Narrow" w:hAnsi="Arial Narrow" w:cs="Arial"/>
                <w:sz w:val="20"/>
                <w:szCs w:val="20"/>
              </w:rPr>
              <w:fldChar w:fldCharType="begin">
                <w:ffData>
                  <w:name w:val=""/>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Medical Practitioners  </w:t>
            </w: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Nurse practitioners  </w:t>
            </w: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Optometrists </w:t>
            </w: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Midwives</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Severity:</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Locally advanced or metastatic </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Condition:</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Differentiated thyroid cancer</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PBS Indication:</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Locally advanced or metastatic differentiated thyroid cancer</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Treatment phase:</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Initial treatment</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b/>
                <w:sz w:val="20"/>
                <w:szCs w:val="20"/>
              </w:rPr>
            </w:pPr>
            <w:r w:rsidRPr="00FE7CBE">
              <w:rPr>
                <w:rFonts w:ascii="Arial Narrow" w:hAnsi="Arial Narrow" w:cs="Arial"/>
                <w:b/>
                <w:sz w:val="20"/>
                <w:szCs w:val="20"/>
              </w:rPr>
              <w:t>Restriction Level / Method:</w:t>
            </w:r>
          </w:p>
          <w:p w:rsidR="00A36855" w:rsidRPr="00FE7CBE" w:rsidRDefault="00A36855" w:rsidP="00054699">
            <w:pPr>
              <w:keepNext/>
              <w:rPr>
                <w:rFonts w:ascii="Arial Narrow" w:hAnsi="Arial Narrow" w:cs="Arial"/>
                <w:sz w:val="20"/>
                <w:szCs w:val="20"/>
              </w:rPr>
            </w:pP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Restricted benefit</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In Writing</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Telephone</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Emergency</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Electronic</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Streamlined</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Clinical criteria:</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i/>
                <w:sz w:val="20"/>
                <w:szCs w:val="20"/>
              </w:rPr>
            </w:pPr>
            <w:r w:rsidRPr="00FE7CBE">
              <w:rPr>
                <w:rFonts w:ascii="Arial Narrow" w:hAnsi="Arial Narrow" w:cs="Arial"/>
                <w:sz w:val="20"/>
                <w:szCs w:val="20"/>
              </w:rPr>
              <w:t>Patient must have symptomatic progressive disease prior to treatment; OR</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Patient must have progressive disease at critical sites with a high risk or morbidity or mortality where local control cannot be achieved by other measures</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AND</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Patient must have TSH adequately repressed [TSH ≤0.50 </w:t>
            </w:r>
            <w:proofErr w:type="spellStart"/>
            <w:r w:rsidRPr="00FE7CBE">
              <w:rPr>
                <w:rFonts w:ascii="Arial Narrow" w:hAnsi="Arial Narrow" w:cs="Arial"/>
                <w:sz w:val="20"/>
                <w:szCs w:val="20"/>
              </w:rPr>
              <w:t>μIU</w:t>
            </w:r>
            <w:proofErr w:type="spellEnd"/>
            <w:r w:rsidRPr="00FE7CBE">
              <w:rPr>
                <w:rFonts w:ascii="Arial Narrow" w:hAnsi="Arial Narrow" w:cs="Arial"/>
                <w:sz w:val="20"/>
                <w:szCs w:val="20"/>
              </w:rPr>
              <w:t>/mL]</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AND</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Patient must have a WHO performance status of  2 or less</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AND</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Patient must be one in whom surgery is inappropriate</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AND</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Patient must not be a candidate for radiotherapy with curative intent</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AND</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The condition must be refractory to radioactive iodine.</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AND </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The treatment must be the sole PBS-subsidised therapy for this condition.</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b/>
                <w:sz w:val="20"/>
                <w:szCs w:val="20"/>
              </w:rPr>
              <w:t>Prescriber Instructions:</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Radioactive iodine refractory is defined as:</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 A lesion without iodine uptake on a radioactive iodine (RAI) scan, or </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 Receiving cumulative RAI ≥ 600 </w:t>
            </w:r>
            <w:proofErr w:type="spellStart"/>
            <w:r w:rsidRPr="00FE7CBE">
              <w:rPr>
                <w:rFonts w:ascii="Arial Narrow" w:hAnsi="Arial Narrow" w:cs="Arial"/>
                <w:sz w:val="20"/>
                <w:szCs w:val="20"/>
              </w:rPr>
              <w:t>mCi</w:t>
            </w:r>
            <w:proofErr w:type="spellEnd"/>
            <w:r w:rsidRPr="00FE7CBE">
              <w:rPr>
                <w:rFonts w:ascii="Arial Narrow" w:hAnsi="Arial Narrow" w:cs="Arial"/>
                <w:sz w:val="20"/>
                <w:szCs w:val="20"/>
              </w:rPr>
              <w:t xml:space="preserve">, or </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 Experiencing a progression after a RAI treatment within 12 months of enrolment, or </w:t>
            </w: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After two RAI treatments within 12 months of each other</w:t>
            </w:r>
          </w:p>
        </w:tc>
      </w:tr>
      <w:tr w:rsidR="00A36855" w:rsidRPr="00FE7CBE" w:rsidTr="00A36855">
        <w:trPr>
          <w:cantSplit/>
          <w:trHeight w:val="360"/>
        </w:trPr>
        <w:tc>
          <w:tcPr>
            <w:tcW w:w="1171" w:type="pct"/>
            <w:gridSpan w:val="2"/>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trike/>
                <w:sz w:val="20"/>
                <w:szCs w:val="20"/>
              </w:rPr>
            </w:pPr>
            <w:r w:rsidRPr="00FE7CBE">
              <w:rPr>
                <w:rFonts w:ascii="Arial Narrow" w:hAnsi="Arial Narrow" w:cs="Arial"/>
                <w:b/>
                <w:sz w:val="20"/>
                <w:szCs w:val="20"/>
              </w:rPr>
              <w:t>Administrative Advice:</w:t>
            </w:r>
          </w:p>
        </w:tc>
        <w:tc>
          <w:tcPr>
            <w:tcW w:w="3829" w:type="pct"/>
            <w:gridSpan w:val="6"/>
            <w:tcBorders>
              <w:top w:val="single" w:sz="4" w:space="0" w:color="auto"/>
              <w:left w:val="single" w:sz="4" w:space="0" w:color="auto"/>
              <w:bottom w:val="single" w:sz="4" w:space="0" w:color="auto"/>
              <w:right w:val="single" w:sz="4" w:space="0" w:color="auto"/>
            </w:tcBorders>
          </w:tcPr>
          <w:p w:rsidR="00A36855" w:rsidRPr="00FE7CBE" w:rsidRDefault="00A36855" w:rsidP="00054699">
            <w:pPr>
              <w:keepNext/>
              <w:rPr>
                <w:rFonts w:ascii="Arial Narrow" w:hAnsi="Arial Narrow" w:cs="Arial"/>
                <w:strike/>
                <w:sz w:val="20"/>
                <w:szCs w:val="20"/>
              </w:rPr>
            </w:pPr>
            <w:r w:rsidRPr="00FE7CBE">
              <w:rPr>
                <w:rFonts w:ascii="Arial Narrow" w:hAnsi="Arial Narrow" w:cs="Arial"/>
                <w:strike/>
                <w:sz w:val="20"/>
                <w:szCs w:val="20"/>
              </w:rPr>
              <w:t xml:space="preserve">No increase in the maximum quantity or number of units may be authorised. </w:t>
            </w:r>
          </w:p>
          <w:p w:rsidR="00A36855" w:rsidRPr="00FE7CBE" w:rsidRDefault="00A36855" w:rsidP="00054699">
            <w:pPr>
              <w:keepNext/>
              <w:rPr>
                <w:rFonts w:ascii="Arial Narrow" w:hAnsi="Arial Narrow" w:cs="Arial"/>
                <w:sz w:val="20"/>
                <w:szCs w:val="20"/>
              </w:rPr>
            </w:pP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No increase in the maximum number of repeats may be authorised. </w:t>
            </w:r>
          </w:p>
          <w:p w:rsidR="00A36855" w:rsidRPr="00FE7CBE" w:rsidRDefault="00A36855" w:rsidP="00054699">
            <w:pPr>
              <w:keepNext/>
              <w:rPr>
                <w:rFonts w:ascii="Arial Narrow" w:hAnsi="Arial Narrow" w:cs="Arial"/>
                <w:sz w:val="20"/>
                <w:szCs w:val="20"/>
              </w:rPr>
            </w:pPr>
          </w:p>
          <w:p w:rsidR="00A36855" w:rsidRPr="00FE7CBE" w:rsidRDefault="00A36855" w:rsidP="00054699">
            <w:pPr>
              <w:keepNext/>
              <w:rPr>
                <w:rFonts w:ascii="Arial Narrow" w:hAnsi="Arial Narrow" w:cs="Arial"/>
                <w:sz w:val="20"/>
                <w:szCs w:val="20"/>
              </w:rPr>
            </w:pPr>
            <w:r w:rsidRPr="00FE7CBE">
              <w:rPr>
                <w:rFonts w:ascii="Arial Narrow" w:hAnsi="Arial Narrow" w:cs="Arial"/>
                <w:sz w:val="20"/>
                <w:szCs w:val="20"/>
              </w:rPr>
              <w:t xml:space="preserve">A patient who has progressive disease when treated with this drug is no longer eligible for PBS-subsidised treatment with this drug.  </w:t>
            </w:r>
          </w:p>
        </w:tc>
      </w:tr>
    </w:tbl>
    <w:p w:rsidR="00054699" w:rsidRPr="003672A8" w:rsidRDefault="00054699" w:rsidP="003672A8">
      <w:pPr>
        <w:rPr>
          <w:szCs w:val="22"/>
        </w:rPr>
      </w:pPr>
    </w:p>
    <w:tbl>
      <w:tblPr>
        <w:tblW w:w="9042" w:type="dxa"/>
        <w:jc w:val="center"/>
        <w:tblInd w:w="426" w:type="dxa"/>
        <w:tblLayout w:type="fixed"/>
        <w:tblLook w:val="0000" w:firstRow="0" w:lastRow="0" w:firstColumn="0" w:lastColumn="0" w:noHBand="0" w:noVBand="0"/>
      </w:tblPr>
      <w:tblGrid>
        <w:gridCol w:w="2092"/>
        <w:gridCol w:w="6950"/>
      </w:tblGrid>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b/>
                <w:sz w:val="20"/>
                <w:szCs w:val="20"/>
              </w:rPr>
            </w:pPr>
            <w:r w:rsidRPr="00FE7CBE">
              <w:rPr>
                <w:rFonts w:ascii="Arial Narrow" w:hAnsi="Arial Narrow" w:cs="Arial"/>
                <w:b/>
                <w:sz w:val="20"/>
                <w:szCs w:val="20"/>
              </w:rPr>
              <w:t>Category/Program</w:t>
            </w:r>
            <w:r w:rsidR="00A36855" w:rsidRPr="00FE7CBE">
              <w:rPr>
                <w:rFonts w:ascii="Arial Narrow" w:hAnsi="Arial Narrow" w:cs="Arial"/>
                <w:b/>
                <w:sz w:val="20"/>
                <w:szCs w:val="20"/>
              </w:rPr>
              <w:t>:</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GENERAL – General Schedule (Code GE)</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b/>
                <w:sz w:val="20"/>
                <w:szCs w:val="20"/>
              </w:rPr>
            </w:pPr>
            <w:r w:rsidRPr="00FE7CBE">
              <w:rPr>
                <w:rFonts w:ascii="Arial Narrow" w:hAnsi="Arial Narrow" w:cs="Arial"/>
                <w:b/>
                <w:sz w:val="20"/>
                <w:szCs w:val="20"/>
              </w:rPr>
              <w:t>Prescriber type:</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Dental  </w:t>
            </w:r>
            <w:r w:rsidRPr="00FE7CBE">
              <w:rPr>
                <w:rFonts w:ascii="Arial Narrow" w:hAnsi="Arial Narrow" w:cs="Arial"/>
                <w:sz w:val="20"/>
                <w:szCs w:val="20"/>
              </w:rPr>
              <w:fldChar w:fldCharType="begin">
                <w:ffData>
                  <w:name w:val=""/>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Medical Practitioners  </w:t>
            </w: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Nurse practitioners  </w:t>
            </w: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Optometrists </w:t>
            </w: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Midwives</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b/>
                <w:sz w:val="20"/>
                <w:szCs w:val="20"/>
              </w:rPr>
            </w:pPr>
            <w:r w:rsidRPr="00FE7CBE">
              <w:rPr>
                <w:rFonts w:ascii="Arial Narrow" w:hAnsi="Arial Narrow" w:cs="Arial"/>
                <w:b/>
                <w:sz w:val="20"/>
                <w:szCs w:val="20"/>
              </w:rPr>
              <w:t>Severity:</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Locally advanced or metastatic</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b/>
                <w:sz w:val="20"/>
                <w:szCs w:val="20"/>
              </w:rPr>
            </w:pPr>
            <w:r w:rsidRPr="00FE7CBE">
              <w:rPr>
                <w:rFonts w:ascii="Arial Narrow" w:hAnsi="Arial Narrow" w:cs="Arial"/>
                <w:b/>
                <w:sz w:val="20"/>
                <w:szCs w:val="20"/>
              </w:rPr>
              <w:t>Condition:</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Differentiated thyroid cancer</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b/>
                <w:sz w:val="20"/>
                <w:szCs w:val="20"/>
              </w:rPr>
            </w:pPr>
            <w:r w:rsidRPr="00FE7CBE">
              <w:rPr>
                <w:rFonts w:ascii="Arial Narrow" w:hAnsi="Arial Narrow" w:cs="Arial"/>
                <w:b/>
                <w:sz w:val="20"/>
                <w:szCs w:val="20"/>
              </w:rPr>
              <w:lastRenderedPageBreak/>
              <w:t>PBS Indication:</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Locally advanced or metastatic differentiated thyroid cancer</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b/>
                <w:sz w:val="20"/>
                <w:szCs w:val="20"/>
              </w:rPr>
            </w:pPr>
            <w:r w:rsidRPr="00FE7CBE">
              <w:rPr>
                <w:rFonts w:ascii="Arial Narrow" w:hAnsi="Arial Narrow" w:cs="Arial"/>
                <w:b/>
                <w:sz w:val="20"/>
                <w:szCs w:val="20"/>
              </w:rPr>
              <w:t>Treatment phase:</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Continuing treatment</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jc w:val="both"/>
              <w:rPr>
                <w:rFonts w:ascii="Arial Narrow" w:hAnsi="Arial Narrow" w:cs="Arial"/>
                <w:b/>
                <w:sz w:val="20"/>
                <w:szCs w:val="20"/>
              </w:rPr>
            </w:pPr>
            <w:r w:rsidRPr="00FE7CBE">
              <w:rPr>
                <w:rFonts w:ascii="Arial Narrow" w:hAnsi="Arial Narrow" w:cs="Arial"/>
                <w:b/>
                <w:sz w:val="20"/>
                <w:szCs w:val="20"/>
              </w:rPr>
              <w:t>Restriction Level/ Method:</w:t>
            </w:r>
          </w:p>
          <w:p w:rsidR="0039188A" w:rsidRPr="00FE7CBE" w:rsidRDefault="0039188A" w:rsidP="00ED1BCB">
            <w:pPr>
              <w:rPr>
                <w:rFonts w:ascii="Arial Narrow" w:hAnsi="Arial Narrow" w:cs="Arial"/>
                <w:sz w:val="20"/>
                <w:szCs w:val="20"/>
              </w:rPr>
            </w:pP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Restricted benefit</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In Writing</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Telephone</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Emergency</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Electronic</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fldChar w:fldCharType="begin">
                <w:ffData>
                  <w:name w:val="Check5"/>
                  <w:enabled/>
                  <w:calcOnExit w:val="0"/>
                  <w:checkBox>
                    <w:sizeAuto/>
                    <w:default w:val="1"/>
                  </w:checkBox>
                </w:ffData>
              </w:fldChar>
            </w:r>
            <w:bookmarkStart w:id="1" w:name="Check5"/>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bookmarkEnd w:id="1"/>
            <w:r w:rsidRPr="00FE7CBE">
              <w:rPr>
                <w:rFonts w:ascii="Arial Narrow" w:hAnsi="Arial Narrow" w:cs="Arial"/>
                <w:sz w:val="20"/>
                <w:szCs w:val="20"/>
              </w:rPr>
              <w:t>Streamlined</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jc w:val="both"/>
              <w:rPr>
                <w:rFonts w:ascii="Arial Narrow" w:hAnsi="Arial Narrow" w:cs="Arial"/>
                <w:b/>
                <w:sz w:val="20"/>
                <w:szCs w:val="20"/>
              </w:rPr>
            </w:pPr>
            <w:r w:rsidRPr="00FE7CBE">
              <w:rPr>
                <w:rFonts w:ascii="Arial Narrow" w:hAnsi="Arial Narrow" w:cs="Arial"/>
                <w:b/>
                <w:sz w:val="20"/>
                <w:szCs w:val="20"/>
              </w:rPr>
              <w:t>Clinical criteria:</w:t>
            </w: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Patient must have previously been issued with an authority prescription for this drug for this condition</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AND</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Patient must have stable or responding disease according to the Response Evaluation Criteria in Solid Tumours (RECIST)</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AND</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The treatment must be the sole PBS-subsidised therapy for this condition.</w:t>
            </w:r>
          </w:p>
        </w:tc>
      </w:tr>
      <w:tr w:rsidR="0039188A" w:rsidRPr="00FE7CBE" w:rsidTr="00A36855">
        <w:trPr>
          <w:cantSplit/>
          <w:trHeight w:val="360"/>
          <w:jc w:val="center"/>
        </w:trPr>
        <w:tc>
          <w:tcPr>
            <w:tcW w:w="2092"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jc w:val="both"/>
              <w:rPr>
                <w:rFonts w:ascii="Arial Narrow" w:hAnsi="Arial Narrow" w:cs="Arial"/>
                <w:b/>
                <w:sz w:val="20"/>
                <w:szCs w:val="20"/>
              </w:rPr>
            </w:pPr>
            <w:r w:rsidRPr="00FE7CBE">
              <w:rPr>
                <w:rFonts w:ascii="Arial Narrow" w:hAnsi="Arial Narrow" w:cs="Arial"/>
                <w:b/>
                <w:sz w:val="20"/>
                <w:szCs w:val="20"/>
              </w:rPr>
              <w:t>Administrative Advice:</w:t>
            </w:r>
          </w:p>
          <w:p w:rsidR="0039188A" w:rsidRPr="00FE7CBE" w:rsidRDefault="0039188A" w:rsidP="00ED1BCB">
            <w:pPr>
              <w:jc w:val="both"/>
              <w:rPr>
                <w:rFonts w:ascii="Arial Narrow" w:hAnsi="Arial Narrow" w:cs="Arial"/>
                <w:i/>
                <w:sz w:val="20"/>
                <w:szCs w:val="20"/>
              </w:rPr>
            </w:pPr>
          </w:p>
        </w:tc>
        <w:tc>
          <w:tcPr>
            <w:tcW w:w="6950" w:type="dxa"/>
            <w:tcBorders>
              <w:top w:val="single" w:sz="4" w:space="0" w:color="auto"/>
              <w:left w:val="single" w:sz="4" w:space="0" w:color="auto"/>
              <w:bottom w:val="single" w:sz="4" w:space="0" w:color="auto"/>
              <w:right w:val="single" w:sz="4" w:space="0" w:color="auto"/>
            </w:tcBorders>
          </w:tcPr>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Response Evaluation Criteria In Solid Tumours (RECIST) is defined as follows:</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Complete response (CR) is disappearance of all target lesions.</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Partial response (PR) is a 30% decrease in the sum of the longest diameter of target lesions.</w:t>
            </w: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Progressive disease (PD) is a 20% increase in the sum of the longest diameter of target lesions.</w:t>
            </w:r>
          </w:p>
          <w:p w:rsidR="0039188A" w:rsidRPr="00FE7CBE" w:rsidRDefault="0039188A" w:rsidP="00ED1BCB">
            <w:pPr>
              <w:rPr>
                <w:rFonts w:ascii="Arial Narrow" w:hAnsi="Arial Narrow" w:cs="Arial"/>
                <w:i/>
                <w:sz w:val="20"/>
                <w:szCs w:val="20"/>
              </w:rPr>
            </w:pPr>
            <w:r w:rsidRPr="00FE7CBE">
              <w:rPr>
                <w:rFonts w:ascii="Arial Narrow" w:hAnsi="Arial Narrow" w:cs="Arial"/>
                <w:sz w:val="20"/>
                <w:szCs w:val="20"/>
              </w:rPr>
              <w:t>Stable disease (SD) is small changes that do not meet above criteria.</w:t>
            </w:r>
          </w:p>
          <w:p w:rsidR="0039188A" w:rsidRPr="00FE7CBE" w:rsidRDefault="0039188A" w:rsidP="00ED1BCB">
            <w:pPr>
              <w:rPr>
                <w:rFonts w:ascii="Arial Narrow" w:hAnsi="Arial Narrow" w:cs="Arial"/>
                <w:sz w:val="20"/>
                <w:szCs w:val="20"/>
              </w:rPr>
            </w:pPr>
          </w:p>
          <w:p w:rsidR="0039188A" w:rsidRPr="00FE7CBE" w:rsidRDefault="0039188A" w:rsidP="00ED1BCB">
            <w:pPr>
              <w:rPr>
                <w:rFonts w:ascii="Arial Narrow" w:hAnsi="Arial Narrow" w:cs="Arial"/>
                <w:strike/>
                <w:sz w:val="20"/>
                <w:szCs w:val="20"/>
              </w:rPr>
            </w:pPr>
            <w:r w:rsidRPr="00FE7CBE">
              <w:rPr>
                <w:rFonts w:ascii="Arial Narrow" w:hAnsi="Arial Narrow" w:cs="Arial"/>
                <w:strike/>
                <w:sz w:val="20"/>
                <w:szCs w:val="20"/>
              </w:rPr>
              <w:t xml:space="preserve">No increase in the maximum quantity or number of units may be authorised. </w:t>
            </w:r>
          </w:p>
          <w:p w:rsidR="0039188A" w:rsidRPr="00FE7CBE" w:rsidRDefault="0039188A" w:rsidP="00ED1BCB">
            <w:pPr>
              <w:rPr>
                <w:rFonts w:ascii="Arial Narrow" w:hAnsi="Arial Narrow" w:cs="Arial"/>
                <w:sz w:val="20"/>
                <w:szCs w:val="20"/>
              </w:rPr>
            </w:pP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 xml:space="preserve">No increase in the maximum number of repeats may be authorised. </w:t>
            </w:r>
          </w:p>
          <w:p w:rsidR="0039188A" w:rsidRPr="00FE7CBE" w:rsidRDefault="0039188A" w:rsidP="00ED1BCB">
            <w:pPr>
              <w:rPr>
                <w:rFonts w:ascii="Arial Narrow" w:hAnsi="Arial Narrow" w:cs="Arial"/>
                <w:sz w:val="20"/>
                <w:szCs w:val="20"/>
              </w:rPr>
            </w:pPr>
          </w:p>
          <w:p w:rsidR="0039188A" w:rsidRPr="00FE7CBE" w:rsidRDefault="0039188A" w:rsidP="00ED1BCB">
            <w:pPr>
              <w:rPr>
                <w:rFonts w:ascii="Arial Narrow" w:hAnsi="Arial Narrow" w:cs="Arial"/>
                <w:sz w:val="20"/>
                <w:szCs w:val="20"/>
              </w:rPr>
            </w:pPr>
            <w:r w:rsidRPr="00FE7CBE">
              <w:rPr>
                <w:rFonts w:ascii="Arial Narrow" w:hAnsi="Arial Narrow" w:cs="Arial"/>
                <w:sz w:val="20"/>
                <w:szCs w:val="20"/>
              </w:rPr>
              <w:t>A patient who has progressive disease when treated with this drug is no longer eligible for PBS-subsidised treatment with this drug.</w:t>
            </w:r>
          </w:p>
        </w:tc>
      </w:tr>
    </w:tbl>
    <w:p w:rsidR="00020557" w:rsidRPr="00FE7CBE" w:rsidRDefault="00020557" w:rsidP="00020557">
      <w:pPr>
        <w:rPr>
          <w:rFonts w:asciiTheme="minorHAnsi" w:eastAsiaTheme="majorEastAsia" w:hAnsiTheme="minorHAnsi" w:cstheme="majorBidi"/>
          <w:b/>
          <w:i/>
          <w:sz w:val="28"/>
          <w:szCs w:val="28"/>
          <w:lang w:eastAsia="en-US"/>
        </w:rPr>
      </w:pPr>
    </w:p>
    <w:p w:rsidR="00C56CE0" w:rsidRPr="00FE7CBE" w:rsidRDefault="00C56CE0" w:rsidP="00020557">
      <w:pPr>
        <w:ind w:firstLine="709"/>
      </w:pPr>
      <w:r w:rsidRPr="00FE7CBE">
        <w:rPr>
          <w:rFonts w:asciiTheme="minorHAnsi" w:hAnsiTheme="minorHAnsi"/>
          <w:i/>
        </w:rPr>
        <w:t xml:space="preserve">For more detail on PBAC’s view, see section </w:t>
      </w:r>
      <w:r w:rsidR="002058AD" w:rsidRPr="00FE7CBE">
        <w:rPr>
          <w:rFonts w:asciiTheme="minorHAnsi" w:hAnsiTheme="minorHAnsi"/>
          <w:i/>
        </w:rPr>
        <w:t>5</w:t>
      </w:r>
      <w:r w:rsidRPr="00FE7CBE">
        <w:rPr>
          <w:rFonts w:asciiTheme="minorHAnsi" w:hAnsiTheme="minorHAnsi"/>
          <w:i/>
        </w:rPr>
        <w:t xml:space="preserve"> PBAC outcome.</w:t>
      </w:r>
    </w:p>
    <w:p w:rsidR="0039188A" w:rsidRPr="00FE7CBE" w:rsidRDefault="0039188A" w:rsidP="0039188A">
      <w:pPr>
        <w:pStyle w:val="PBACHeading1"/>
        <w:spacing w:before="240" w:after="120"/>
        <w:ind w:left="709" w:hanging="709"/>
        <w:rPr>
          <w:rFonts w:asciiTheme="minorHAnsi" w:hAnsiTheme="minorHAnsi"/>
          <w:sz w:val="32"/>
          <w:szCs w:val="32"/>
        </w:rPr>
      </w:pPr>
      <w:r w:rsidRPr="00FE7CBE">
        <w:rPr>
          <w:rFonts w:asciiTheme="minorHAnsi" w:hAnsiTheme="minorHAnsi"/>
          <w:sz w:val="32"/>
          <w:szCs w:val="32"/>
        </w:rPr>
        <w:t>Background</w:t>
      </w:r>
    </w:p>
    <w:p w:rsidR="0039188A" w:rsidRPr="00FE7CBE" w:rsidRDefault="0039188A" w:rsidP="0039188A">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At the July 2016 meeting, the PBAC recommended the listing of lenvatinib for the treatment of locally advanced or metastatic differentiated thyroid cancer </w:t>
      </w:r>
      <w:r w:rsidR="00FE7CBE" w:rsidRPr="00FE7CBE">
        <w:rPr>
          <w:rFonts w:asciiTheme="minorHAnsi" w:eastAsiaTheme="minorHAnsi" w:hAnsiTheme="minorHAnsi" w:cstheme="minorBidi"/>
          <w:snapToGrid/>
          <w:sz w:val="24"/>
          <w:szCs w:val="22"/>
        </w:rPr>
        <w:t>based on</w:t>
      </w:r>
      <w:r w:rsidRPr="00FE7CBE">
        <w:rPr>
          <w:rFonts w:asciiTheme="minorHAnsi" w:eastAsiaTheme="minorHAnsi" w:hAnsiTheme="minorHAnsi" w:cstheme="minorBidi"/>
          <w:snapToGrid/>
          <w:sz w:val="24"/>
          <w:szCs w:val="22"/>
        </w:rPr>
        <w:t xml:space="preserve"> acceptable cost effectiveness over best supportive care. </w:t>
      </w:r>
    </w:p>
    <w:p w:rsidR="0039188A" w:rsidRPr="00FE7CBE" w:rsidRDefault="0039188A" w:rsidP="0039188A">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 sponsor stated that over the past 12 months a number of treating clinicians have made contact to request a listing amendment that would allow for easier prescribing of doses that differed from the recommended starting dose of 24 mg per day. The submission reports that a dose reduction from 24 mg per day occurs in up to 80% of patients, and this is a common mechanism for managing treatment related side effects. </w:t>
      </w:r>
    </w:p>
    <w:p w:rsidR="00B05817" w:rsidRPr="00FE7CBE" w:rsidRDefault="0039188A" w:rsidP="0039188A">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The sponsor requested that the current PBS listing of lenvatinib be amended to create two additional item codes to allow for prescribing of one pack of 10 mg and two packs of 4 mg capsules.</w:t>
      </w:r>
    </w:p>
    <w:p w:rsidR="00020557" w:rsidRPr="00FE7CBE" w:rsidRDefault="00B05817" w:rsidP="0002055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 Secretariat noted that it may be more appropriate to retain the current maximum quantity for the 4 mg table, but remove the administrative advice that states “no increase in the maximum quantity or the number of units may be </w:t>
      </w:r>
      <w:r w:rsidRPr="00FE7CBE">
        <w:rPr>
          <w:rFonts w:asciiTheme="minorHAnsi" w:eastAsiaTheme="minorHAnsi" w:hAnsiTheme="minorHAnsi" w:cstheme="minorBidi"/>
          <w:snapToGrid/>
          <w:sz w:val="24"/>
          <w:szCs w:val="22"/>
        </w:rPr>
        <w:lastRenderedPageBreak/>
        <w:t xml:space="preserve">authorised”. The small number of patients taking an 8 mg dose will then be able to access one months’ supply via an authority request. </w:t>
      </w:r>
    </w:p>
    <w:p w:rsidR="000F1BDD" w:rsidRPr="00FE7CBE" w:rsidRDefault="000F1BDD" w:rsidP="0002055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Prescribers may administratively change the number of packs prescribed, so that they may prescribe one pack of 10 mg capsules. </w:t>
      </w:r>
    </w:p>
    <w:p w:rsidR="00C56CE0" w:rsidRPr="00FE7CBE" w:rsidRDefault="00C56CE0" w:rsidP="00C56CE0">
      <w:pPr>
        <w:ind w:left="709"/>
        <w:rPr>
          <w:rFonts w:asciiTheme="minorHAnsi" w:hAnsiTheme="minorHAnsi"/>
          <w:i/>
        </w:rPr>
      </w:pPr>
      <w:r w:rsidRPr="00FE7CBE">
        <w:rPr>
          <w:rFonts w:asciiTheme="minorHAnsi" w:hAnsiTheme="minorHAnsi"/>
          <w:i/>
        </w:rPr>
        <w:t xml:space="preserve">For more detail on PBAC’s view, see section </w:t>
      </w:r>
      <w:r w:rsidR="002058AD" w:rsidRPr="00FE7CBE">
        <w:rPr>
          <w:rFonts w:asciiTheme="minorHAnsi" w:hAnsiTheme="minorHAnsi"/>
          <w:i/>
        </w:rPr>
        <w:t>5</w:t>
      </w:r>
      <w:r w:rsidRPr="00FE7CBE">
        <w:rPr>
          <w:rFonts w:asciiTheme="minorHAnsi" w:hAnsiTheme="minorHAnsi"/>
          <w:i/>
        </w:rPr>
        <w:t xml:space="preserve"> PBAC outcome.</w:t>
      </w:r>
    </w:p>
    <w:p w:rsidR="0039188A" w:rsidRPr="00FE7CBE" w:rsidRDefault="0039188A" w:rsidP="0039188A">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FE7CBE">
        <w:rPr>
          <w:rFonts w:asciiTheme="minorHAnsi" w:hAnsiTheme="minorHAnsi"/>
          <w:sz w:val="32"/>
          <w:szCs w:val="32"/>
        </w:rPr>
        <w:t>Consideration of the evidence</w:t>
      </w:r>
    </w:p>
    <w:p w:rsidR="0039188A" w:rsidRPr="00FE7CBE" w:rsidRDefault="00C56CE0" w:rsidP="0039188A">
      <w:pPr>
        <w:pStyle w:val="Heading2"/>
        <w:keepLines/>
        <w:spacing w:before="240" w:after="120"/>
        <w:rPr>
          <w:rFonts w:asciiTheme="minorHAnsi" w:eastAsiaTheme="majorEastAsia" w:hAnsiTheme="minorHAnsi" w:cstheme="majorBidi"/>
          <w:sz w:val="28"/>
          <w:szCs w:val="28"/>
          <w:lang w:eastAsia="en-US"/>
        </w:rPr>
      </w:pPr>
      <w:r w:rsidRPr="00FE7CBE">
        <w:rPr>
          <w:rFonts w:asciiTheme="minorHAnsi" w:eastAsiaTheme="majorEastAsia" w:hAnsiTheme="minorHAnsi" w:cstheme="majorBidi"/>
          <w:sz w:val="28"/>
          <w:szCs w:val="28"/>
          <w:lang w:eastAsia="en-US"/>
        </w:rPr>
        <w:t>Sponsor hearing</w:t>
      </w:r>
    </w:p>
    <w:p w:rsidR="0039188A" w:rsidRPr="00FE7CBE" w:rsidRDefault="00C56CE0" w:rsidP="0039188A">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There was no hearing for this item as it was a minor submission. </w:t>
      </w:r>
    </w:p>
    <w:p w:rsidR="00C56CE0" w:rsidRPr="00FE7CBE" w:rsidRDefault="00C56CE0" w:rsidP="00C56CE0">
      <w:pPr>
        <w:pStyle w:val="Heading2"/>
        <w:keepLines/>
        <w:spacing w:before="240" w:after="120"/>
        <w:rPr>
          <w:rFonts w:asciiTheme="minorHAnsi" w:eastAsiaTheme="majorEastAsia" w:hAnsiTheme="minorHAnsi" w:cstheme="majorBidi"/>
          <w:sz w:val="28"/>
          <w:szCs w:val="28"/>
          <w:lang w:eastAsia="en-US"/>
        </w:rPr>
      </w:pPr>
      <w:r w:rsidRPr="00FE7CBE">
        <w:rPr>
          <w:rFonts w:asciiTheme="minorHAnsi" w:eastAsiaTheme="majorEastAsia" w:hAnsiTheme="minorHAnsi" w:cstheme="majorBidi"/>
          <w:sz w:val="28"/>
          <w:szCs w:val="28"/>
          <w:lang w:eastAsia="en-US"/>
        </w:rPr>
        <w:t>Consumer comments</w:t>
      </w:r>
    </w:p>
    <w:p w:rsidR="00C56CE0" w:rsidRPr="00FE7CBE" w:rsidRDefault="00C56CE0" w:rsidP="00C56CE0">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 PBAC noted that no consumer comments were received for this item. </w:t>
      </w:r>
    </w:p>
    <w:p w:rsidR="00C56CE0" w:rsidRPr="00FE7CBE" w:rsidRDefault="00C56CE0" w:rsidP="00C56CE0">
      <w:pPr>
        <w:pStyle w:val="Heading2"/>
        <w:keepLines/>
        <w:spacing w:before="240" w:after="120"/>
        <w:rPr>
          <w:rFonts w:asciiTheme="minorHAnsi" w:eastAsiaTheme="majorEastAsia" w:hAnsiTheme="minorHAnsi" w:cstheme="majorBidi"/>
          <w:sz w:val="28"/>
          <w:szCs w:val="28"/>
          <w:lang w:eastAsia="en-US"/>
        </w:rPr>
      </w:pPr>
      <w:r w:rsidRPr="00FE7CBE">
        <w:rPr>
          <w:rFonts w:asciiTheme="minorHAnsi" w:eastAsiaTheme="majorEastAsia" w:hAnsiTheme="minorHAnsi" w:cstheme="majorBidi"/>
          <w:sz w:val="28"/>
          <w:szCs w:val="28"/>
          <w:lang w:eastAsia="en-US"/>
        </w:rPr>
        <w:t>Clinical trials</w:t>
      </w:r>
    </w:p>
    <w:p w:rsidR="00C56CE0" w:rsidRPr="00FE7CBE" w:rsidRDefault="00C56CE0" w:rsidP="00C56CE0">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As a minor submission, no clinical trials were presented in the submission. </w:t>
      </w:r>
    </w:p>
    <w:p w:rsidR="0039188A" w:rsidRPr="00FE7CBE" w:rsidRDefault="0039188A" w:rsidP="0039188A">
      <w:pPr>
        <w:pStyle w:val="Heading2"/>
        <w:keepLines/>
        <w:spacing w:before="240" w:after="120"/>
        <w:rPr>
          <w:rFonts w:asciiTheme="minorHAnsi" w:eastAsiaTheme="majorEastAsia" w:hAnsiTheme="minorHAnsi" w:cstheme="majorBidi"/>
          <w:sz w:val="28"/>
          <w:szCs w:val="28"/>
          <w:lang w:eastAsia="en-US"/>
        </w:rPr>
      </w:pPr>
      <w:r w:rsidRPr="00FE7CBE">
        <w:rPr>
          <w:rFonts w:asciiTheme="minorHAnsi" w:eastAsiaTheme="majorEastAsia" w:hAnsiTheme="minorHAnsi" w:cstheme="majorBidi"/>
          <w:sz w:val="28"/>
          <w:szCs w:val="28"/>
          <w:lang w:eastAsia="en-US"/>
        </w:rPr>
        <w:t>Estimated PBS usage &amp; financial implications</w:t>
      </w:r>
    </w:p>
    <w:p w:rsidR="0039188A" w:rsidRPr="00FE7CBE" w:rsidRDefault="0039188A" w:rsidP="0039188A">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The minor submission claimed that the suggested changes would result in a cost</w:t>
      </w:r>
      <w:r w:rsidRPr="00FE7CBE">
        <w:rPr>
          <w:rFonts w:asciiTheme="minorHAnsi" w:eastAsiaTheme="minorHAnsi" w:hAnsiTheme="minorHAnsi" w:cstheme="minorBidi"/>
          <w:snapToGrid/>
          <w:sz w:val="24"/>
          <w:szCs w:val="22"/>
        </w:rPr>
        <w:noBreakHyphen/>
      </w:r>
      <w:r w:rsidR="00B05817" w:rsidRPr="00FE7CBE">
        <w:rPr>
          <w:rFonts w:asciiTheme="minorHAnsi" w:eastAsiaTheme="minorHAnsi" w:hAnsiTheme="minorHAnsi" w:cstheme="minorBidi"/>
          <w:snapToGrid/>
          <w:sz w:val="24"/>
          <w:szCs w:val="22"/>
        </w:rPr>
        <w:t>saving to the PBS/RPBS and would allow</w:t>
      </w:r>
      <w:r w:rsidRPr="00FE7CBE">
        <w:rPr>
          <w:rFonts w:asciiTheme="minorHAnsi" w:eastAsiaTheme="minorHAnsi" w:hAnsiTheme="minorHAnsi" w:cstheme="minorBidi"/>
          <w:snapToGrid/>
          <w:sz w:val="24"/>
          <w:szCs w:val="22"/>
        </w:rPr>
        <w:t xml:space="preserve"> </w:t>
      </w:r>
      <w:r w:rsidR="00B05817" w:rsidRPr="00FE7CBE">
        <w:rPr>
          <w:rFonts w:asciiTheme="minorHAnsi" w:eastAsiaTheme="minorHAnsi" w:hAnsiTheme="minorHAnsi" w:cstheme="minorBidi"/>
          <w:snapToGrid/>
          <w:sz w:val="24"/>
          <w:szCs w:val="22"/>
        </w:rPr>
        <w:t>p</w:t>
      </w:r>
      <w:r w:rsidRPr="00FE7CBE">
        <w:rPr>
          <w:rFonts w:asciiTheme="minorHAnsi" w:eastAsiaTheme="minorHAnsi" w:hAnsiTheme="minorHAnsi" w:cstheme="minorBidi"/>
          <w:snapToGrid/>
          <w:sz w:val="24"/>
          <w:szCs w:val="22"/>
        </w:rPr>
        <w:t xml:space="preserve">rescribers to accurately prescribe all approved doses and combinations of the 10 mg and 4 mg strength capsules in monthly allocations, reducing wastage. </w:t>
      </w:r>
    </w:p>
    <w:p w:rsidR="0039188A" w:rsidRPr="00FE7CBE" w:rsidRDefault="0039188A" w:rsidP="0039188A">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The submission also claimed that there would also be reduced potential for wasted 10 mg packs when dose interruptions</w:t>
      </w:r>
      <w:r w:rsidR="00FE7CBE">
        <w:rPr>
          <w:rFonts w:asciiTheme="minorHAnsi" w:eastAsiaTheme="minorHAnsi" w:hAnsiTheme="minorHAnsi" w:cstheme="minorBidi"/>
          <w:snapToGrid/>
          <w:sz w:val="24"/>
          <w:szCs w:val="22"/>
        </w:rPr>
        <w:t>,</w:t>
      </w:r>
      <w:r w:rsidRPr="00FE7CBE">
        <w:rPr>
          <w:rFonts w:asciiTheme="minorHAnsi" w:eastAsiaTheme="minorHAnsi" w:hAnsiTheme="minorHAnsi" w:cstheme="minorBidi"/>
          <w:snapToGrid/>
          <w:sz w:val="24"/>
          <w:szCs w:val="22"/>
        </w:rPr>
        <w:t xml:space="preserve"> changes or cessation of therapy occur.  </w:t>
      </w:r>
    </w:p>
    <w:p w:rsidR="0039188A" w:rsidRPr="00FE7CBE" w:rsidRDefault="0039188A" w:rsidP="0039188A">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 submission did not present financial estimates of the </w:t>
      </w:r>
      <w:r w:rsidR="00FE7CBE" w:rsidRPr="00FE7CBE">
        <w:rPr>
          <w:rFonts w:asciiTheme="minorHAnsi" w:eastAsiaTheme="minorHAnsi" w:hAnsiTheme="minorHAnsi" w:cstheme="minorBidi"/>
          <w:snapToGrid/>
          <w:sz w:val="24"/>
          <w:szCs w:val="22"/>
        </w:rPr>
        <w:t>cost saving</w:t>
      </w:r>
      <w:r w:rsidR="00886196" w:rsidRPr="00FE7CBE">
        <w:rPr>
          <w:rFonts w:asciiTheme="minorHAnsi" w:eastAsiaTheme="minorHAnsi" w:hAnsiTheme="minorHAnsi" w:cstheme="minorBidi"/>
          <w:snapToGrid/>
          <w:sz w:val="24"/>
          <w:szCs w:val="22"/>
        </w:rPr>
        <w:t>.</w:t>
      </w:r>
      <w:r w:rsidR="00886196" w:rsidRPr="00FE7CBE" w:rsidDel="00886196">
        <w:rPr>
          <w:rFonts w:asciiTheme="minorHAnsi" w:eastAsiaTheme="minorHAnsi" w:hAnsiTheme="minorHAnsi" w:cstheme="minorBidi"/>
          <w:snapToGrid/>
          <w:sz w:val="24"/>
          <w:szCs w:val="22"/>
        </w:rPr>
        <w:t xml:space="preserve"> </w:t>
      </w:r>
    </w:p>
    <w:p w:rsidR="00687948" w:rsidRPr="00FE7CBE" w:rsidRDefault="00687948" w:rsidP="00687948">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FE7CBE">
        <w:rPr>
          <w:rFonts w:asciiTheme="minorHAnsi" w:hAnsiTheme="minorHAnsi"/>
          <w:sz w:val="32"/>
          <w:szCs w:val="32"/>
        </w:rPr>
        <w:t>PBAC Outcome</w:t>
      </w:r>
    </w:p>
    <w:p w:rsidR="00B05817" w:rsidRPr="00FE7CBE" w:rsidRDefault="00C56CE0" w:rsidP="00B157E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 xml:space="preserve">The PBAC recommended </w:t>
      </w:r>
      <w:r w:rsidR="00E17341" w:rsidRPr="00FE7CBE">
        <w:rPr>
          <w:rFonts w:asciiTheme="minorHAnsi" w:eastAsiaTheme="minorHAnsi" w:hAnsiTheme="minorHAnsi" w:cstheme="minorBidi"/>
          <w:snapToGrid/>
          <w:sz w:val="24"/>
          <w:szCs w:val="22"/>
        </w:rPr>
        <w:t>an amendment to the</w:t>
      </w:r>
      <w:r w:rsidR="009A04BD" w:rsidRPr="00FE7CBE">
        <w:rPr>
          <w:rFonts w:asciiTheme="minorHAnsi" w:eastAsiaTheme="minorHAnsi" w:hAnsiTheme="minorHAnsi" w:cstheme="minorBidi"/>
          <w:snapToGrid/>
          <w:sz w:val="24"/>
          <w:szCs w:val="22"/>
        </w:rPr>
        <w:t xml:space="preserve"> general schedule</w:t>
      </w:r>
      <w:r w:rsidR="00E17341" w:rsidRPr="00FE7CBE">
        <w:rPr>
          <w:rFonts w:asciiTheme="minorHAnsi" w:eastAsiaTheme="minorHAnsi" w:hAnsiTheme="minorHAnsi" w:cstheme="minorBidi"/>
          <w:snapToGrid/>
          <w:sz w:val="24"/>
          <w:szCs w:val="22"/>
        </w:rPr>
        <w:t xml:space="preserve"> Authori</w:t>
      </w:r>
      <w:r w:rsidR="00B340D7" w:rsidRPr="00FE7CBE">
        <w:rPr>
          <w:rFonts w:asciiTheme="minorHAnsi" w:eastAsiaTheme="minorHAnsi" w:hAnsiTheme="minorHAnsi" w:cstheme="minorBidi"/>
          <w:snapToGrid/>
          <w:sz w:val="24"/>
          <w:szCs w:val="22"/>
        </w:rPr>
        <w:t xml:space="preserve">ty </w:t>
      </w:r>
      <w:r w:rsidR="009A04BD" w:rsidRPr="00FE7CBE">
        <w:rPr>
          <w:rFonts w:asciiTheme="minorHAnsi" w:eastAsiaTheme="minorHAnsi" w:hAnsiTheme="minorHAnsi" w:cstheme="minorBidi"/>
          <w:snapToGrid/>
          <w:sz w:val="24"/>
          <w:szCs w:val="22"/>
        </w:rPr>
        <w:t xml:space="preserve">Required </w:t>
      </w:r>
      <w:r w:rsidR="00B340D7" w:rsidRPr="00FE7CBE">
        <w:rPr>
          <w:rFonts w:asciiTheme="minorHAnsi" w:eastAsiaTheme="minorHAnsi" w:hAnsiTheme="minorHAnsi" w:cstheme="minorBidi"/>
          <w:snapToGrid/>
          <w:sz w:val="24"/>
          <w:szCs w:val="22"/>
        </w:rPr>
        <w:t>(STREAMLINED</w:t>
      </w:r>
      <w:r w:rsidR="00E17341" w:rsidRPr="00FE7CBE">
        <w:rPr>
          <w:rFonts w:asciiTheme="minorHAnsi" w:eastAsiaTheme="minorHAnsi" w:hAnsiTheme="minorHAnsi" w:cstheme="minorBidi"/>
          <w:snapToGrid/>
          <w:sz w:val="24"/>
          <w:szCs w:val="22"/>
        </w:rPr>
        <w:t>)</w:t>
      </w:r>
      <w:r w:rsidR="00B340D7" w:rsidRPr="00FE7CBE">
        <w:rPr>
          <w:rFonts w:asciiTheme="minorHAnsi" w:eastAsiaTheme="minorHAnsi" w:hAnsiTheme="minorHAnsi" w:cstheme="minorBidi"/>
          <w:snapToGrid/>
          <w:sz w:val="24"/>
          <w:szCs w:val="22"/>
        </w:rPr>
        <w:t xml:space="preserve"> listing</w:t>
      </w:r>
      <w:r w:rsidR="00E17341" w:rsidRPr="00FE7CBE">
        <w:rPr>
          <w:rFonts w:asciiTheme="minorHAnsi" w:eastAsiaTheme="minorHAnsi" w:hAnsiTheme="minorHAnsi" w:cstheme="minorBidi"/>
          <w:snapToGrid/>
          <w:sz w:val="24"/>
          <w:szCs w:val="22"/>
        </w:rPr>
        <w:t xml:space="preserve"> for </w:t>
      </w:r>
      <w:proofErr w:type="spellStart"/>
      <w:r w:rsidR="00E17341" w:rsidRPr="00FE7CBE">
        <w:rPr>
          <w:rFonts w:asciiTheme="minorHAnsi" w:eastAsiaTheme="minorHAnsi" w:hAnsiTheme="minorHAnsi" w:cstheme="minorBidi"/>
          <w:snapToGrid/>
          <w:sz w:val="24"/>
          <w:szCs w:val="22"/>
        </w:rPr>
        <w:t>lenvatinib</w:t>
      </w:r>
      <w:proofErr w:type="spellEnd"/>
      <w:r w:rsidR="00E17341" w:rsidRPr="00FE7CBE">
        <w:rPr>
          <w:rFonts w:asciiTheme="minorHAnsi" w:eastAsiaTheme="minorHAnsi" w:hAnsiTheme="minorHAnsi" w:cstheme="minorBidi"/>
          <w:snapToGrid/>
          <w:sz w:val="24"/>
          <w:szCs w:val="22"/>
        </w:rPr>
        <w:t xml:space="preserve"> (</w:t>
      </w:r>
      <w:proofErr w:type="spellStart"/>
      <w:r w:rsidR="00E17341" w:rsidRPr="00FE7CBE">
        <w:rPr>
          <w:rFonts w:asciiTheme="minorHAnsi" w:eastAsiaTheme="minorHAnsi" w:hAnsiTheme="minorHAnsi" w:cstheme="minorBidi"/>
          <w:snapToGrid/>
          <w:sz w:val="24"/>
          <w:szCs w:val="22"/>
        </w:rPr>
        <w:t>Lenvima</w:t>
      </w:r>
      <w:proofErr w:type="spellEnd"/>
      <w:r w:rsidR="00E17341" w:rsidRPr="00FE7CBE">
        <w:rPr>
          <w:rFonts w:asciiTheme="minorHAnsi" w:eastAsiaTheme="minorHAnsi" w:hAnsiTheme="minorHAnsi" w:cstheme="minorBidi"/>
          <w:snapToGrid/>
          <w:sz w:val="24"/>
          <w:szCs w:val="22"/>
        </w:rPr>
        <w:t>®)</w:t>
      </w:r>
      <w:r w:rsidR="00B157E7" w:rsidRPr="00FE7CBE">
        <w:rPr>
          <w:rFonts w:asciiTheme="minorHAnsi" w:eastAsiaTheme="minorHAnsi" w:hAnsiTheme="minorHAnsi" w:cstheme="minorBidi"/>
          <w:snapToGrid/>
          <w:sz w:val="24"/>
          <w:szCs w:val="22"/>
        </w:rPr>
        <w:t xml:space="preserve"> for the treatment of locally advanced or metastatic differentiated thyroid cancer, </w:t>
      </w:r>
      <w:r w:rsidR="0091031A" w:rsidRPr="00FE7CBE">
        <w:rPr>
          <w:rFonts w:asciiTheme="minorHAnsi" w:eastAsiaTheme="minorHAnsi" w:hAnsiTheme="minorHAnsi" w:cstheme="minorBidi"/>
          <w:snapToGrid/>
          <w:sz w:val="24"/>
          <w:szCs w:val="22"/>
        </w:rPr>
        <w:t xml:space="preserve">to </w:t>
      </w:r>
      <w:r w:rsidR="00F27770" w:rsidRPr="00FE7CBE">
        <w:rPr>
          <w:rFonts w:asciiTheme="minorHAnsi" w:eastAsiaTheme="minorHAnsi" w:hAnsiTheme="minorHAnsi" w:cstheme="minorBidi"/>
          <w:snapToGrid/>
          <w:sz w:val="24"/>
          <w:szCs w:val="22"/>
        </w:rPr>
        <w:t xml:space="preserve"> </w:t>
      </w:r>
      <w:r w:rsidR="00B05817" w:rsidRPr="00FE7CBE">
        <w:rPr>
          <w:rFonts w:asciiTheme="minorHAnsi" w:eastAsiaTheme="minorHAnsi" w:hAnsiTheme="minorHAnsi" w:cstheme="minorBidi"/>
          <w:snapToGrid/>
          <w:sz w:val="24"/>
          <w:szCs w:val="22"/>
        </w:rPr>
        <w:t>allow for prescribing of one pack of 10 mg and two packs of 4 mg capsules.</w:t>
      </w:r>
    </w:p>
    <w:p w:rsidR="00C56CE0" w:rsidRDefault="00B05817" w:rsidP="00B157E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FE7CBE">
        <w:rPr>
          <w:rFonts w:asciiTheme="minorHAnsi" w:eastAsiaTheme="minorHAnsi" w:hAnsiTheme="minorHAnsi" w:cstheme="minorBidi"/>
          <w:snapToGrid/>
          <w:sz w:val="24"/>
          <w:szCs w:val="22"/>
        </w:rPr>
        <w:t>The PBAC</w:t>
      </w:r>
      <w:r w:rsidR="00F27770" w:rsidRPr="00FE7CBE">
        <w:rPr>
          <w:rFonts w:asciiTheme="minorHAnsi" w:eastAsiaTheme="minorHAnsi" w:hAnsiTheme="minorHAnsi" w:cstheme="minorBidi"/>
          <w:snapToGrid/>
          <w:sz w:val="24"/>
          <w:szCs w:val="22"/>
        </w:rPr>
        <w:t>, noting the advice</w:t>
      </w:r>
      <w:r w:rsidRPr="00FE7CBE">
        <w:rPr>
          <w:rFonts w:asciiTheme="minorHAnsi" w:eastAsiaTheme="minorHAnsi" w:hAnsiTheme="minorHAnsi" w:cstheme="minorBidi"/>
          <w:snapToGrid/>
          <w:sz w:val="24"/>
          <w:szCs w:val="22"/>
        </w:rPr>
        <w:t xml:space="preserve"> from the secretariat, considered that this </w:t>
      </w:r>
      <w:r w:rsidR="00F27770" w:rsidRPr="00FE7CBE">
        <w:rPr>
          <w:rFonts w:asciiTheme="minorHAnsi" w:eastAsiaTheme="minorHAnsi" w:hAnsiTheme="minorHAnsi" w:cstheme="minorBidi"/>
          <w:snapToGrid/>
          <w:sz w:val="24"/>
          <w:szCs w:val="22"/>
        </w:rPr>
        <w:t>amendment</w:t>
      </w:r>
      <w:r w:rsidRPr="00FE7CBE">
        <w:rPr>
          <w:rFonts w:asciiTheme="minorHAnsi" w:eastAsiaTheme="minorHAnsi" w:hAnsiTheme="minorHAnsi" w:cstheme="minorBidi"/>
          <w:snapToGrid/>
          <w:sz w:val="24"/>
          <w:szCs w:val="22"/>
        </w:rPr>
        <w:t xml:space="preserve"> </w:t>
      </w:r>
      <w:r w:rsidR="00F27770" w:rsidRPr="00FE7CBE">
        <w:rPr>
          <w:rFonts w:asciiTheme="minorHAnsi" w:eastAsiaTheme="minorHAnsi" w:hAnsiTheme="minorHAnsi" w:cstheme="minorBidi"/>
          <w:snapToGrid/>
          <w:sz w:val="24"/>
          <w:szCs w:val="22"/>
        </w:rPr>
        <w:t xml:space="preserve">should occur by </w:t>
      </w:r>
      <w:r w:rsidR="0091031A" w:rsidRPr="00FE7CBE">
        <w:rPr>
          <w:rFonts w:asciiTheme="minorHAnsi" w:eastAsiaTheme="minorHAnsi" w:hAnsiTheme="minorHAnsi" w:cstheme="minorBidi"/>
          <w:snapToGrid/>
          <w:sz w:val="24"/>
          <w:szCs w:val="22"/>
        </w:rPr>
        <w:t>remov</w:t>
      </w:r>
      <w:r w:rsidR="00F27770" w:rsidRPr="00FE7CBE">
        <w:rPr>
          <w:rFonts w:asciiTheme="minorHAnsi" w:eastAsiaTheme="minorHAnsi" w:hAnsiTheme="minorHAnsi" w:cstheme="minorBidi"/>
          <w:snapToGrid/>
          <w:sz w:val="24"/>
          <w:szCs w:val="22"/>
        </w:rPr>
        <w:t>ing</w:t>
      </w:r>
      <w:r w:rsidR="0091031A" w:rsidRPr="00FE7CBE">
        <w:rPr>
          <w:rFonts w:asciiTheme="minorHAnsi" w:eastAsiaTheme="minorHAnsi" w:hAnsiTheme="minorHAnsi" w:cstheme="minorBidi"/>
          <w:snapToGrid/>
          <w:sz w:val="24"/>
          <w:szCs w:val="22"/>
        </w:rPr>
        <w:t xml:space="preserve"> the</w:t>
      </w:r>
      <w:r w:rsidR="00B157E7" w:rsidRPr="00FE7CBE">
        <w:rPr>
          <w:rFonts w:asciiTheme="minorHAnsi" w:eastAsiaTheme="minorHAnsi" w:hAnsiTheme="minorHAnsi" w:cstheme="minorBidi"/>
          <w:snapToGrid/>
          <w:sz w:val="24"/>
          <w:szCs w:val="22"/>
        </w:rPr>
        <w:t xml:space="preserve"> administrative advice </w:t>
      </w:r>
      <w:r w:rsidR="00FE7CBE" w:rsidRPr="00FE7CBE">
        <w:rPr>
          <w:rFonts w:asciiTheme="minorHAnsi" w:eastAsiaTheme="minorHAnsi" w:hAnsiTheme="minorHAnsi" w:cstheme="minorBidi"/>
          <w:snapToGrid/>
          <w:sz w:val="24"/>
          <w:szCs w:val="22"/>
        </w:rPr>
        <w:t>stating,</w:t>
      </w:r>
      <w:r w:rsidR="00B157E7" w:rsidRPr="00FE7CBE">
        <w:rPr>
          <w:rFonts w:asciiTheme="minorHAnsi" w:eastAsiaTheme="minorHAnsi" w:hAnsiTheme="minorHAnsi" w:cstheme="minorBidi"/>
          <w:snapToGrid/>
          <w:sz w:val="24"/>
          <w:szCs w:val="22"/>
        </w:rPr>
        <w:t xml:space="preserve"> “</w:t>
      </w:r>
      <w:proofErr w:type="gramStart"/>
      <w:r w:rsidR="00B157E7" w:rsidRPr="00FE7CBE">
        <w:rPr>
          <w:rFonts w:asciiTheme="minorHAnsi" w:eastAsiaTheme="minorHAnsi" w:hAnsiTheme="minorHAnsi" w:cstheme="minorBidi"/>
          <w:snapToGrid/>
          <w:sz w:val="24"/>
          <w:szCs w:val="22"/>
        </w:rPr>
        <w:t>no</w:t>
      </w:r>
      <w:proofErr w:type="gramEnd"/>
      <w:r w:rsidR="00B157E7" w:rsidRPr="00FE7CBE">
        <w:rPr>
          <w:rFonts w:asciiTheme="minorHAnsi" w:eastAsiaTheme="minorHAnsi" w:hAnsiTheme="minorHAnsi" w:cstheme="minorBidi"/>
          <w:snapToGrid/>
          <w:sz w:val="24"/>
          <w:szCs w:val="22"/>
        </w:rPr>
        <w:t xml:space="preserve"> increase in the maximum quantity or the number of units may be authorised</w:t>
      </w:r>
      <w:r w:rsidR="0091031A" w:rsidRPr="00FE7CBE">
        <w:rPr>
          <w:rFonts w:asciiTheme="minorHAnsi" w:eastAsiaTheme="minorHAnsi" w:hAnsiTheme="minorHAnsi" w:cstheme="minorBidi"/>
          <w:snapToGrid/>
          <w:sz w:val="24"/>
          <w:szCs w:val="22"/>
        </w:rPr>
        <w:t>”</w:t>
      </w:r>
      <w:r w:rsidR="00F27770" w:rsidRPr="00FE7CBE">
        <w:rPr>
          <w:rFonts w:asciiTheme="minorHAnsi" w:eastAsiaTheme="minorHAnsi" w:hAnsiTheme="minorHAnsi" w:cstheme="minorBidi"/>
          <w:snapToGrid/>
          <w:sz w:val="24"/>
          <w:szCs w:val="22"/>
        </w:rPr>
        <w:t xml:space="preserve"> in the current lenvat</w:t>
      </w:r>
      <w:r w:rsidR="00886196" w:rsidRPr="00FE7CBE">
        <w:rPr>
          <w:rFonts w:asciiTheme="minorHAnsi" w:eastAsiaTheme="minorHAnsi" w:hAnsiTheme="minorHAnsi" w:cstheme="minorBidi"/>
          <w:snapToGrid/>
          <w:sz w:val="24"/>
          <w:szCs w:val="22"/>
        </w:rPr>
        <w:t>i</w:t>
      </w:r>
      <w:r w:rsidR="00F27770" w:rsidRPr="00FE7CBE">
        <w:rPr>
          <w:rFonts w:asciiTheme="minorHAnsi" w:eastAsiaTheme="minorHAnsi" w:hAnsiTheme="minorHAnsi" w:cstheme="minorBidi"/>
          <w:snapToGrid/>
          <w:sz w:val="24"/>
          <w:szCs w:val="22"/>
        </w:rPr>
        <w:t xml:space="preserve">nib restriction, rather than by the addition of new item codes. </w:t>
      </w:r>
      <w:r w:rsidR="00A53134" w:rsidRPr="00FE7CBE">
        <w:rPr>
          <w:rFonts w:asciiTheme="minorHAnsi" w:eastAsiaTheme="minorHAnsi" w:hAnsiTheme="minorHAnsi" w:cstheme="minorBidi"/>
          <w:snapToGrid/>
          <w:sz w:val="24"/>
          <w:szCs w:val="22"/>
        </w:rPr>
        <w:t>The PBAC noted that this would allow patients taking an 8 mg dose to access one months’ supply via an authority request.</w:t>
      </w:r>
    </w:p>
    <w:p w:rsidR="008D771F" w:rsidRPr="00FE7CBE" w:rsidRDefault="008D771F" w:rsidP="00B157E7">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 this submission is not eligible for an Independent Review because the PBAC has made a positive recommendation.</w:t>
      </w:r>
    </w:p>
    <w:p w:rsidR="00B157E7" w:rsidRPr="00FE7CBE" w:rsidRDefault="00B157E7" w:rsidP="00B157E7">
      <w:pPr>
        <w:spacing w:before="240"/>
        <w:jc w:val="both"/>
        <w:rPr>
          <w:rFonts w:asciiTheme="minorHAnsi" w:hAnsiTheme="minorHAnsi" w:cs="Arial"/>
          <w:b/>
          <w:bCs/>
          <w:snapToGrid w:val="0"/>
        </w:rPr>
      </w:pPr>
      <w:r w:rsidRPr="00FE7CBE">
        <w:rPr>
          <w:rFonts w:asciiTheme="minorHAnsi" w:hAnsiTheme="minorHAnsi" w:cs="Arial"/>
          <w:b/>
          <w:bCs/>
          <w:snapToGrid w:val="0"/>
        </w:rPr>
        <w:lastRenderedPageBreak/>
        <w:t>Outcome:</w:t>
      </w:r>
    </w:p>
    <w:p w:rsidR="00B157E7" w:rsidRPr="00FE7CBE" w:rsidRDefault="00B157E7" w:rsidP="00B157E7">
      <w:pPr>
        <w:jc w:val="both"/>
        <w:rPr>
          <w:rFonts w:asciiTheme="minorHAnsi" w:hAnsiTheme="minorHAnsi" w:cs="Arial"/>
          <w:bCs/>
          <w:snapToGrid w:val="0"/>
        </w:rPr>
      </w:pPr>
      <w:r w:rsidRPr="00FE7CBE">
        <w:rPr>
          <w:rFonts w:asciiTheme="minorHAnsi" w:hAnsiTheme="minorHAnsi" w:cs="Arial"/>
          <w:bCs/>
          <w:snapToGrid w:val="0"/>
        </w:rPr>
        <w:t xml:space="preserve">Recommended </w:t>
      </w:r>
    </w:p>
    <w:p w:rsidR="003F03AE" w:rsidRPr="00FE7CBE" w:rsidRDefault="003F03AE" w:rsidP="003F03AE">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FE7CBE">
        <w:rPr>
          <w:rFonts w:asciiTheme="minorHAnsi" w:hAnsiTheme="minorHAnsi"/>
          <w:sz w:val="32"/>
          <w:szCs w:val="32"/>
        </w:rPr>
        <w:t>Recommended listing</w:t>
      </w:r>
    </w:p>
    <w:p w:rsidR="009F3147" w:rsidRPr="00FE7CBE" w:rsidRDefault="00A36855" w:rsidP="00A36855">
      <w:pPr>
        <w:widowControl w:val="0"/>
        <w:jc w:val="both"/>
        <w:rPr>
          <w:rFonts w:asciiTheme="minorHAnsi" w:hAnsiTheme="minorHAnsi" w:cs="Arial"/>
          <w:bCs/>
          <w:snapToGrid w:val="0"/>
        </w:rPr>
      </w:pPr>
      <w:r w:rsidRPr="00FE7CBE">
        <w:rPr>
          <w:rFonts w:asciiTheme="minorHAnsi" w:hAnsiTheme="minorHAnsi" w:cs="Arial"/>
          <w:bCs/>
          <w:snapToGrid w:val="0"/>
        </w:rPr>
        <w:t>6.1</w:t>
      </w:r>
      <w:r w:rsidRPr="00FE7CBE">
        <w:rPr>
          <w:rFonts w:asciiTheme="minorHAnsi" w:hAnsiTheme="minorHAnsi" w:cs="Arial"/>
          <w:bCs/>
          <w:snapToGrid w:val="0"/>
        </w:rPr>
        <w:tab/>
      </w:r>
      <w:r w:rsidR="00964186" w:rsidRPr="00FE7CBE">
        <w:rPr>
          <w:rFonts w:asciiTheme="minorHAnsi" w:hAnsiTheme="minorHAnsi" w:cs="Arial"/>
          <w:bCs/>
          <w:snapToGrid w:val="0"/>
        </w:rPr>
        <w:t>Amend existing/recommended listing as follows:</w:t>
      </w:r>
    </w:p>
    <w:p w:rsidR="009F3147" w:rsidRPr="00FE7CBE" w:rsidRDefault="009F3147" w:rsidP="009F3147">
      <w:pPr>
        <w:widowControl w:val="0"/>
        <w:ind w:firstLine="720"/>
        <w:jc w:val="both"/>
        <w:rPr>
          <w:rFonts w:asciiTheme="minorHAnsi" w:hAnsiTheme="minorHAnsi" w:cs="Arial"/>
          <w:bCs/>
          <w:snapToGrid w:val="0"/>
        </w:rPr>
      </w:pPr>
    </w:p>
    <w:tbl>
      <w:tblPr>
        <w:tblW w:w="9072" w:type="dxa"/>
        <w:tblInd w:w="108" w:type="dxa"/>
        <w:tblLayout w:type="fixed"/>
        <w:tblLook w:val="0000" w:firstRow="0" w:lastRow="0" w:firstColumn="0" w:lastColumn="0" w:noHBand="0" w:noVBand="0"/>
      </w:tblPr>
      <w:tblGrid>
        <w:gridCol w:w="2410"/>
        <w:gridCol w:w="1418"/>
        <w:gridCol w:w="1134"/>
        <w:gridCol w:w="1134"/>
        <w:gridCol w:w="1417"/>
        <w:gridCol w:w="1559"/>
      </w:tblGrid>
      <w:tr w:rsidR="009F3147" w:rsidRPr="00FE7CBE" w:rsidTr="00054699">
        <w:trPr>
          <w:cantSplit/>
          <w:trHeight w:val="471"/>
        </w:trPr>
        <w:tc>
          <w:tcPr>
            <w:tcW w:w="3828" w:type="dxa"/>
            <w:gridSpan w:val="2"/>
            <w:tcBorders>
              <w:top w:val="single" w:sz="4" w:space="0" w:color="auto"/>
              <w:bottom w:val="single" w:sz="4" w:space="0" w:color="auto"/>
            </w:tcBorders>
          </w:tcPr>
          <w:p w:rsidR="009F3147" w:rsidRPr="00FE7CBE" w:rsidRDefault="009F3147" w:rsidP="00065B0B">
            <w:pPr>
              <w:keepNext/>
              <w:ind w:left="-108"/>
              <w:jc w:val="both"/>
              <w:rPr>
                <w:rFonts w:ascii="Arial Narrow" w:hAnsi="Arial Narrow" w:cs="Arial"/>
                <w:b/>
                <w:sz w:val="20"/>
                <w:szCs w:val="20"/>
              </w:rPr>
            </w:pPr>
            <w:r w:rsidRPr="00FE7CBE">
              <w:rPr>
                <w:rFonts w:ascii="Arial Narrow" w:hAnsi="Arial Narrow" w:cs="Arial"/>
                <w:b/>
                <w:sz w:val="20"/>
                <w:szCs w:val="20"/>
              </w:rPr>
              <w:t>Name, Restriction,</w:t>
            </w:r>
          </w:p>
          <w:p w:rsidR="009F3147" w:rsidRPr="00FE7CBE" w:rsidRDefault="009F3147" w:rsidP="00065B0B">
            <w:pPr>
              <w:keepNext/>
              <w:ind w:left="-108"/>
              <w:jc w:val="both"/>
              <w:rPr>
                <w:rFonts w:ascii="Arial Narrow" w:hAnsi="Arial Narrow" w:cs="Arial"/>
                <w:b/>
                <w:sz w:val="20"/>
                <w:szCs w:val="20"/>
              </w:rPr>
            </w:pPr>
            <w:r w:rsidRPr="00FE7CBE">
              <w:rPr>
                <w:rFonts w:ascii="Arial Narrow" w:hAnsi="Arial Narrow" w:cs="Arial"/>
                <w:b/>
                <w:sz w:val="20"/>
                <w:szCs w:val="20"/>
              </w:rPr>
              <w:t>Manner of administration and form</w:t>
            </w:r>
          </w:p>
        </w:tc>
        <w:tc>
          <w:tcPr>
            <w:tcW w:w="1134" w:type="dxa"/>
            <w:tcBorders>
              <w:top w:val="single" w:sz="4" w:space="0" w:color="auto"/>
              <w:bottom w:val="single" w:sz="4" w:space="0" w:color="auto"/>
            </w:tcBorders>
          </w:tcPr>
          <w:p w:rsidR="009F3147" w:rsidRPr="00FE7CBE" w:rsidRDefault="009F3147" w:rsidP="00054699">
            <w:pPr>
              <w:keepNext/>
              <w:ind w:left="-108"/>
              <w:jc w:val="center"/>
              <w:rPr>
                <w:rFonts w:ascii="Arial Narrow" w:hAnsi="Arial Narrow" w:cs="Arial"/>
                <w:b/>
                <w:sz w:val="20"/>
                <w:szCs w:val="20"/>
              </w:rPr>
            </w:pPr>
            <w:r w:rsidRPr="00FE7CBE">
              <w:rPr>
                <w:rFonts w:ascii="Arial Narrow" w:hAnsi="Arial Narrow" w:cs="Arial"/>
                <w:b/>
                <w:sz w:val="20"/>
                <w:szCs w:val="20"/>
              </w:rPr>
              <w:t>Max. Qty</w:t>
            </w:r>
          </w:p>
        </w:tc>
        <w:tc>
          <w:tcPr>
            <w:tcW w:w="1134" w:type="dxa"/>
            <w:tcBorders>
              <w:top w:val="single" w:sz="4" w:space="0" w:color="auto"/>
              <w:bottom w:val="single" w:sz="4" w:space="0" w:color="auto"/>
            </w:tcBorders>
          </w:tcPr>
          <w:p w:rsidR="009F3147" w:rsidRPr="00FE7CBE" w:rsidRDefault="009F3147" w:rsidP="00054699">
            <w:pPr>
              <w:keepNext/>
              <w:ind w:left="-108"/>
              <w:jc w:val="center"/>
              <w:rPr>
                <w:rFonts w:ascii="Arial Narrow" w:hAnsi="Arial Narrow" w:cs="Arial"/>
                <w:b/>
                <w:sz w:val="20"/>
                <w:szCs w:val="20"/>
              </w:rPr>
            </w:pPr>
            <w:r w:rsidRPr="00FE7CBE">
              <w:rPr>
                <w:rFonts w:ascii="Arial Narrow" w:hAnsi="Arial Narrow" w:cs="Arial"/>
                <w:b/>
                <w:sz w:val="20"/>
                <w:szCs w:val="20"/>
              </w:rPr>
              <w:t>№.of Rpts</w:t>
            </w:r>
          </w:p>
        </w:tc>
        <w:tc>
          <w:tcPr>
            <w:tcW w:w="2976" w:type="dxa"/>
            <w:gridSpan w:val="2"/>
            <w:tcBorders>
              <w:top w:val="single" w:sz="4" w:space="0" w:color="auto"/>
              <w:bottom w:val="single" w:sz="4" w:space="0" w:color="auto"/>
            </w:tcBorders>
          </w:tcPr>
          <w:p w:rsidR="009F3147" w:rsidRPr="00FE7CBE" w:rsidRDefault="009F3147" w:rsidP="00065B0B">
            <w:pPr>
              <w:keepNext/>
              <w:rPr>
                <w:rFonts w:ascii="Arial Narrow" w:hAnsi="Arial Narrow" w:cs="Arial"/>
                <w:b/>
                <w:sz w:val="20"/>
                <w:szCs w:val="20"/>
              </w:rPr>
            </w:pPr>
            <w:r w:rsidRPr="00FE7CBE">
              <w:rPr>
                <w:rFonts w:ascii="Arial Narrow" w:hAnsi="Arial Narrow" w:cs="Arial"/>
                <w:b/>
                <w:sz w:val="20"/>
                <w:szCs w:val="20"/>
              </w:rPr>
              <w:t>Proprietary Name and Manufacturer</w:t>
            </w:r>
          </w:p>
        </w:tc>
      </w:tr>
      <w:tr w:rsidR="009F3147" w:rsidRPr="00FE7CBE" w:rsidTr="00054699">
        <w:trPr>
          <w:cantSplit/>
          <w:trHeight w:val="577"/>
        </w:trPr>
        <w:tc>
          <w:tcPr>
            <w:tcW w:w="3828" w:type="dxa"/>
            <w:gridSpan w:val="2"/>
            <w:tcBorders>
              <w:top w:val="single" w:sz="4" w:space="0" w:color="auto"/>
              <w:bottom w:val="single" w:sz="4" w:space="0" w:color="auto"/>
            </w:tcBorders>
          </w:tcPr>
          <w:p w:rsidR="009F3147" w:rsidRPr="00FE7CBE" w:rsidRDefault="009F3147" w:rsidP="00065B0B">
            <w:pPr>
              <w:keepNext/>
              <w:ind w:left="-108"/>
              <w:rPr>
                <w:rFonts w:ascii="Arial Narrow" w:hAnsi="Arial Narrow"/>
                <w:sz w:val="20"/>
              </w:rPr>
            </w:pPr>
            <w:r w:rsidRPr="00FE7CBE">
              <w:rPr>
                <w:rFonts w:ascii="Arial Narrow" w:hAnsi="Arial Narrow"/>
                <w:smallCaps/>
                <w:sz w:val="20"/>
              </w:rPr>
              <w:t>LENVATINIB</w:t>
            </w:r>
          </w:p>
          <w:p w:rsidR="009F3147" w:rsidRPr="00FE7CBE" w:rsidRDefault="009F3147" w:rsidP="00065B0B">
            <w:pPr>
              <w:keepNext/>
              <w:ind w:left="-108"/>
              <w:rPr>
                <w:rFonts w:ascii="Arial Narrow" w:hAnsi="Arial Narrow"/>
                <w:sz w:val="20"/>
              </w:rPr>
            </w:pPr>
            <w:r w:rsidRPr="00FE7CBE">
              <w:rPr>
                <w:rFonts w:ascii="Arial Narrow" w:hAnsi="Arial Narrow"/>
                <w:sz w:val="20"/>
              </w:rPr>
              <w:t>lenvatinib 4 mg capsule, 30</w:t>
            </w:r>
          </w:p>
          <w:p w:rsidR="009F3147" w:rsidRPr="00FE7CBE" w:rsidRDefault="009F3147" w:rsidP="00065B0B">
            <w:pPr>
              <w:keepNext/>
              <w:rPr>
                <w:rFonts w:ascii="Arial Narrow" w:hAnsi="Arial Narrow"/>
                <w:sz w:val="20"/>
              </w:rPr>
            </w:pPr>
          </w:p>
          <w:p w:rsidR="009F3147" w:rsidRPr="00FE7CBE" w:rsidRDefault="009F3147" w:rsidP="00065B0B">
            <w:pPr>
              <w:keepNext/>
              <w:ind w:left="-108"/>
              <w:rPr>
                <w:rFonts w:ascii="Arial Narrow" w:hAnsi="Arial Narrow"/>
                <w:sz w:val="20"/>
              </w:rPr>
            </w:pPr>
            <w:r w:rsidRPr="00FE7CBE">
              <w:rPr>
                <w:rFonts w:ascii="Arial Narrow" w:hAnsi="Arial Narrow"/>
                <w:sz w:val="20"/>
              </w:rPr>
              <w:t>lenvatinib 10 mg capsule, 30</w:t>
            </w:r>
          </w:p>
        </w:tc>
        <w:tc>
          <w:tcPr>
            <w:tcW w:w="1134" w:type="dxa"/>
            <w:tcBorders>
              <w:top w:val="single" w:sz="4" w:space="0" w:color="auto"/>
              <w:bottom w:val="single" w:sz="4" w:space="0" w:color="auto"/>
            </w:tcBorders>
          </w:tcPr>
          <w:p w:rsidR="009F3147" w:rsidRPr="00FE7CBE" w:rsidRDefault="009F3147" w:rsidP="00054699">
            <w:pPr>
              <w:keepNext/>
              <w:ind w:left="-108"/>
              <w:jc w:val="center"/>
              <w:rPr>
                <w:rFonts w:ascii="Arial Narrow" w:hAnsi="Arial Narrow"/>
                <w:sz w:val="20"/>
              </w:rPr>
            </w:pPr>
          </w:p>
          <w:p w:rsidR="009F3147" w:rsidRPr="00FE7CBE" w:rsidRDefault="009F3147" w:rsidP="00054699">
            <w:pPr>
              <w:keepNext/>
              <w:ind w:left="-108"/>
              <w:jc w:val="center"/>
              <w:rPr>
                <w:rFonts w:ascii="Arial Narrow" w:hAnsi="Arial Narrow"/>
                <w:sz w:val="20"/>
              </w:rPr>
            </w:pPr>
            <w:r w:rsidRPr="00FE7CBE">
              <w:rPr>
                <w:rFonts w:ascii="Arial Narrow" w:hAnsi="Arial Narrow"/>
                <w:sz w:val="20"/>
              </w:rPr>
              <w:t>1</w:t>
            </w:r>
          </w:p>
          <w:p w:rsidR="009F3147" w:rsidRPr="00FE7CBE" w:rsidRDefault="009F3147" w:rsidP="00054699">
            <w:pPr>
              <w:keepNext/>
              <w:ind w:left="-108"/>
              <w:jc w:val="center"/>
              <w:rPr>
                <w:rFonts w:ascii="Arial Narrow" w:hAnsi="Arial Narrow"/>
                <w:sz w:val="20"/>
              </w:rPr>
            </w:pPr>
          </w:p>
          <w:p w:rsidR="009F3147" w:rsidRPr="00FE7CBE" w:rsidRDefault="009F3147" w:rsidP="00054699">
            <w:pPr>
              <w:keepNext/>
              <w:ind w:left="-108"/>
              <w:jc w:val="center"/>
              <w:rPr>
                <w:rFonts w:ascii="Arial Narrow" w:hAnsi="Arial Narrow"/>
                <w:sz w:val="20"/>
              </w:rPr>
            </w:pPr>
            <w:r w:rsidRPr="00FE7CBE">
              <w:rPr>
                <w:rFonts w:ascii="Arial Narrow" w:hAnsi="Arial Narrow"/>
                <w:sz w:val="20"/>
              </w:rPr>
              <w:t>2</w:t>
            </w:r>
          </w:p>
        </w:tc>
        <w:tc>
          <w:tcPr>
            <w:tcW w:w="1134" w:type="dxa"/>
            <w:tcBorders>
              <w:top w:val="single" w:sz="4" w:space="0" w:color="auto"/>
              <w:bottom w:val="single" w:sz="4" w:space="0" w:color="auto"/>
            </w:tcBorders>
          </w:tcPr>
          <w:p w:rsidR="009F3147" w:rsidRPr="00FE7CBE" w:rsidRDefault="009F3147" w:rsidP="00054699">
            <w:pPr>
              <w:keepNext/>
              <w:ind w:left="-108"/>
              <w:jc w:val="center"/>
              <w:rPr>
                <w:rFonts w:ascii="Arial Narrow" w:hAnsi="Arial Narrow"/>
                <w:sz w:val="20"/>
              </w:rPr>
            </w:pPr>
          </w:p>
          <w:p w:rsidR="009F3147" w:rsidRPr="00FE7CBE" w:rsidRDefault="009F3147" w:rsidP="00054699">
            <w:pPr>
              <w:keepNext/>
              <w:ind w:left="-108"/>
              <w:jc w:val="center"/>
              <w:rPr>
                <w:rFonts w:ascii="Arial Narrow" w:hAnsi="Arial Narrow"/>
                <w:sz w:val="20"/>
              </w:rPr>
            </w:pPr>
            <w:r w:rsidRPr="00FE7CBE">
              <w:rPr>
                <w:rFonts w:ascii="Arial Narrow" w:hAnsi="Arial Narrow"/>
                <w:sz w:val="20"/>
              </w:rPr>
              <w:t>2</w:t>
            </w:r>
          </w:p>
          <w:p w:rsidR="009F3147" w:rsidRPr="00FE7CBE" w:rsidRDefault="009F3147" w:rsidP="00054699">
            <w:pPr>
              <w:keepNext/>
              <w:ind w:left="-108"/>
              <w:jc w:val="center"/>
              <w:rPr>
                <w:rFonts w:ascii="Arial Narrow" w:hAnsi="Arial Narrow"/>
                <w:sz w:val="20"/>
              </w:rPr>
            </w:pPr>
          </w:p>
          <w:p w:rsidR="009F3147" w:rsidRPr="00FE7CBE" w:rsidRDefault="009F3147" w:rsidP="00054699">
            <w:pPr>
              <w:keepNext/>
              <w:ind w:left="-108"/>
              <w:jc w:val="center"/>
              <w:rPr>
                <w:rFonts w:ascii="Arial Narrow" w:hAnsi="Arial Narrow"/>
                <w:sz w:val="20"/>
              </w:rPr>
            </w:pPr>
            <w:r w:rsidRPr="00FE7CBE">
              <w:rPr>
                <w:rFonts w:ascii="Arial Narrow" w:hAnsi="Arial Narrow"/>
                <w:sz w:val="20"/>
              </w:rPr>
              <w:t>2</w:t>
            </w:r>
          </w:p>
        </w:tc>
        <w:tc>
          <w:tcPr>
            <w:tcW w:w="1417" w:type="dxa"/>
            <w:tcBorders>
              <w:top w:val="single" w:sz="4" w:space="0" w:color="auto"/>
              <w:bottom w:val="single" w:sz="4" w:space="0" w:color="auto"/>
            </w:tcBorders>
          </w:tcPr>
          <w:p w:rsidR="009F3147" w:rsidRPr="00FE7CBE" w:rsidRDefault="009F3147" w:rsidP="00065B0B">
            <w:pPr>
              <w:keepNext/>
              <w:rPr>
                <w:rFonts w:ascii="Arial Narrow" w:hAnsi="Arial Narrow"/>
                <w:sz w:val="20"/>
              </w:rPr>
            </w:pPr>
            <w:proofErr w:type="spellStart"/>
            <w:r w:rsidRPr="00FE7CBE">
              <w:rPr>
                <w:rFonts w:ascii="Arial Narrow" w:hAnsi="Arial Narrow"/>
                <w:sz w:val="20"/>
              </w:rPr>
              <w:t>Lenvima</w:t>
            </w:r>
            <w:proofErr w:type="spellEnd"/>
            <w:r w:rsidRPr="00FE7CBE">
              <w:rPr>
                <w:rFonts w:ascii="Arial Narrow" w:hAnsi="Arial Narrow"/>
                <w:sz w:val="20"/>
              </w:rPr>
              <w:t>®</w:t>
            </w:r>
          </w:p>
        </w:tc>
        <w:tc>
          <w:tcPr>
            <w:tcW w:w="1559" w:type="dxa"/>
            <w:tcBorders>
              <w:top w:val="single" w:sz="4" w:space="0" w:color="auto"/>
              <w:bottom w:val="single" w:sz="4" w:space="0" w:color="auto"/>
            </w:tcBorders>
          </w:tcPr>
          <w:p w:rsidR="009F3147" w:rsidRPr="00FE7CBE" w:rsidRDefault="009F3147" w:rsidP="00065B0B">
            <w:pPr>
              <w:keepNext/>
              <w:rPr>
                <w:rFonts w:ascii="Arial Narrow" w:hAnsi="Arial Narrow"/>
                <w:sz w:val="20"/>
              </w:rPr>
            </w:pPr>
            <w:r w:rsidRPr="00FE7CBE">
              <w:rPr>
                <w:rFonts w:ascii="Arial Narrow" w:hAnsi="Arial Narrow"/>
                <w:sz w:val="20"/>
              </w:rPr>
              <w:t>Eisai Australia</w:t>
            </w:r>
          </w:p>
        </w:tc>
      </w:tr>
      <w:tr w:rsidR="009F3147" w:rsidRPr="00FE7CBE" w:rsidTr="00054699">
        <w:trPr>
          <w:cantSplit/>
          <w:trHeight w:val="360"/>
        </w:trPr>
        <w:tc>
          <w:tcPr>
            <w:tcW w:w="9072" w:type="dxa"/>
            <w:gridSpan w:val="6"/>
            <w:tcBorders>
              <w:bottom w:val="single" w:sz="4" w:space="0" w:color="auto"/>
            </w:tcBorders>
          </w:tcPr>
          <w:p w:rsidR="009F3147" w:rsidRPr="00FE7CBE" w:rsidRDefault="009F3147" w:rsidP="00065B0B">
            <w:pPr>
              <w:jc w:val="both"/>
              <w:rPr>
                <w:rFonts w:ascii="Arial Narrow" w:hAnsi="Arial Narrow" w:cs="Arial"/>
                <w:sz w:val="20"/>
                <w:szCs w:val="20"/>
              </w:rPr>
            </w:pPr>
          </w:p>
        </w:tc>
      </w:tr>
      <w:tr w:rsidR="009F3147" w:rsidRPr="00FE7CBE" w:rsidTr="00054699">
        <w:trPr>
          <w:cantSplit/>
          <w:trHeight w:val="309"/>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Category/Program</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GENERAL – General Schedule (Code GE)</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Prescriber type:</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Dental  </w:t>
            </w:r>
            <w:r w:rsidRPr="00FE7CBE">
              <w:rPr>
                <w:rFonts w:ascii="Arial Narrow" w:hAnsi="Arial Narrow" w:cs="Arial"/>
                <w:sz w:val="20"/>
                <w:szCs w:val="20"/>
              </w:rPr>
              <w:fldChar w:fldCharType="begin">
                <w:ffData>
                  <w:name w:val=""/>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Medical Practitioners  </w:t>
            </w: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Nurse practitioners  </w:t>
            </w: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Optometrists </w:t>
            </w: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Midwives</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Severity:</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Locally advanced or metastatic </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Condition:</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Differentiated thyroid cancer</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PBS Indication:</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Locally advanced or metastatic differentiated thyroid cancer</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Treatment phase:</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Initial treatment</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Restriction Level / Method:</w:t>
            </w:r>
          </w:p>
          <w:p w:rsidR="009F3147" w:rsidRPr="00FE7CBE" w:rsidRDefault="009F3147" w:rsidP="00065B0B">
            <w:pPr>
              <w:rPr>
                <w:rFonts w:ascii="Arial Narrow" w:hAnsi="Arial Narrow" w:cs="Arial"/>
                <w:sz w:val="20"/>
                <w:szCs w:val="20"/>
              </w:rPr>
            </w:pP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Restricted benefit</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In Writing</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Telephone</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Emergency</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Electronic</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Streamlined</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Clinical criteria:</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i/>
                <w:sz w:val="20"/>
                <w:szCs w:val="20"/>
              </w:rPr>
            </w:pPr>
            <w:r w:rsidRPr="00FE7CBE">
              <w:rPr>
                <w:rFonts w:ascii="Arial Narrow" w:hAnsi="Arial Narrow" w:cs="Arial"/>
                <w:sz w:val="20"/>
                <w:szCs w:val="20"/>
              </w:rPr>
              <w:t>Patient must have symptomatic progressive disease prior to treatment; OR</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Patient must have progressive disease at critical sites with a high risk or morbidity or mortality where local control cannot be achieved by other measures</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Patient must have TSH adequately repressed [TSH ≤0.50 </w:t>
            </w:r>
            <w:proofErr w:type="spellStart"/>
            <w:r w:rsidRPr="00FE7CBE">
              <w:rPr>
                <w:rFonts w:ascii="Arial Narrow" w:hAnsi="Arial Narrow" w:cs="Arial"/>
                <w:sz w:val="20"/>
                <w:szCs w:val="20"/>
              </w:rPr>
              <w:t>μIU</w:t>
            </w:r>
            <w:proofErr w:type="spellEnd"/>
            <w:r w:rsidRPr="00FE7CBE">
              <w:rPr>
                <w:rFonts w:ascii="Arial Narrow" w:hAnsi="Arial Narrow" w:cs="Arial"/>
                <w:sz w:val="20"/>
                <w:szCs w:val="20"/>
              </w:rPr>
              <w:t>/mL]</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Patient must have a WHO performance status of  2 or less</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Patient must be one in whom surgery is inappropriate</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Patient must not be a candidate for radiotherapy with curative intent</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The condition must be refractory to radioactive iodine.</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AND </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The treatment must be the sole PBS-subsidised therapy for this condition.</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Prescriber Instructions:</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Radioactive iodine refractory is defined as:</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 A lesion without iodine uptake on a radioactive iodine (RAI) scan, or </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 Receiving cumulative RAI ≥ 600 </w:t>
            </w:r>
            <w:proofErr w:type="spellStart"/>
            <w:r w:rsidRPr="00FE7CBE">
              <w:rPr>
                <w:rFonts w:ascii="Arial Narrow" w:hAnsi="Arial Narrow" w:cs="Arial"/>
                <w:sz w:val="20"/>
                <w:szCs w:val="20"/>
              </w:rPr>
              <w:t>mCi</w:t>
            </w:r>
            <w:proofErr w:type="spellEnd"/>
            <w:r w:rsidRPr="00FE7CBE">
              <w:rPr>
                <w:rFonts w:ascii="Arial Narrow" w:hAnsi="Arial Narrow" w:cs="Arial"/>
                <w:sz w:val="20"/>
                <w:szCs w:val="20"/>
              </w:rPr>
              <w:t xml:space="preserve">, or </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 Experiencing a progression after a RAI treatment within 12 months of enrolment, or </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After two RAI treatments within 12 months of each other</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Administrative Advice:</w:t>
            </w:r>
          </w:p>
        </w:tc>
        <w:tc>
          <w:tcPr>
            <w:tcW w:w="6662" w:type="dxa"/>
            <w:gridSpan w:val="5"/>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No increase in the maximum number of repeats may be authorised. </w:t>
            </w:r>
          </w:p>
          <w:p w:rsidR="009F3147" w:rsidRPr="00FE7CBE" w:rsidRDefault="009F3147" w:rsidP="00065B0B">
            <w:pPr>
              <w:rPr>
                <w:rFonts w:ascii="Arial Narrow" w:hAnsi="Arial Narrow" w:cs="Arial"/>
                <w:sz w:val="20"/>
                <w:szCs w:val="20"/>
              </w:rPr>
            </w:pP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A patient who has progressive disease when treated with this drug is no longer eligible for PBS-subsidised treatment with this drug.  </w:t>
            </w:r>
          </w:p>
        </w:tc>
      </w:tr>
    </w:tbl>
    <w:p w:rsidR="009F3147" w:rsidRPr="00FE7CBE" w:rsidRDefault="009F3147" w:rsidP="009F3147">
      <w:pPr>
        <w:pStyle w:val="ListParagraph"/>
        <w:rPr>
          <w:szCs w:val="22"/>
        </w:rPr>
      </w:pPr>
    </w:p>
    <w:tbl>
      <w:tblPr>
        <w:tblW w:w="9072" w:type="dxa"/>
        <w:tblInd w:w="108" w:type="dxa"/>
        <w:tblLayout w:type="fixed"/>
        <w:tblLook w:val="0000" w:firstRow="0" w:lastRow="0" w:firstColumn="0" w:lastColumn="0" w:noHBand="0" w:noVBand="0"/>
      </w:tblPr>
      <w:tblGrid>
        <w:gridCol w:w="2410"/>
        <w:gridCol w:w="6662"/>
      </w:tblGrid>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lastRenderedPageBreak/>
              <w:t>Category/Program</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GENERAL – General Schedule (Code GE)</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Prescriber type:</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Dental  </w:t>
            </w:r>
            <w:r w:rsidRPr="00FE7CBE">
              <w:rPr>
                <w:rFonts w:ascii="Arial Narrow" w:hAnsi="Arial Narrow" w:cs="Arial"/>
                <w:sz w:val="20"/>
                <w:szCs w:val="20"/>
              </w:rPr>
              <w:fldChar w:fldCharType="begin">
                <w:ffData>
                  <w:name w:val=""/>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Medical Practitioners  </w:t>
            </w: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Nurse practitioners  </w:t>
            </w: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 xml:space="preserve">Optometrists </w:t>
            </w: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Midwives</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Severity:</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Locally advanced or metastatic</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Differentiated thyroid cancer</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Locally advanced or metastatic differentiated thyroid cancer</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b/>
                <w:sz w:val="20"/>
                <w:szCs w:val="20"/>
              </w:rPr>
            </w:pPr>
            <w:r w:rsidRPr="00FE7CBE">
              <w:rPr>
                <w:rFonts w:ascii="Arial Narrow" w:hAnsi="Arial Narrow" w:cs="Arial"/>
                <w:b/>
                <w:sz w:val="20"/>
                <w:szCs w:val="20"/>
              </w:rPr>
              <w:t>Treatment phase:</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Continuing treatment</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Restriction Level/ Method:</w:t>
            </w:r>
          </w:p>
          <w:p w:rsidR="009F3147" w:rsidRPr="00FE7CBE" w:rsidRDefault="009F3147" w:rsidP="00065B0B">
            <w:pPr>
              <w:rPr>
                <w:rFonts w:ascii="Arial Narrow" w:hAnsi="Arial Narrow"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1"/>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Restricted benefit</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In Writing</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3"/>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Telephone</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Emergency</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5"/>
                  <w:enabled/>
                  <w:calcOnExit w:val="0"/>
                  <w:checkBox>
                    <w:sizeAuto/>
                    <w:default w:val="0"/>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Authority Required - Electronic</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fldChar w:fldCharType="begin">
                <w:ffData>
                  <w:name w:val="Check5"/>
                  <w:enabled/>
                  <w:calcOnExit w:val="0"/>
                  <w:checkBox>
                    <w:sizeAuto/>
                    <w:default w:val="1"/>
                  </w:checkBox>
                </w:ffData>
              </w:fldChar>
            </w:r>
            <w:r w:rsidRPr="00FE7CBE">
              <w:rPr>
                <w:rFonts w:ascii="Arial Narrow" w:hAnsi="Arial Narrow" w:cs="Arial"/>
                <w:sz w:val="20"/>
                <w:szCs w:val="20"/>
              </w:rPr>
              <w:instrText xml:space="preserve"> FORMCHECKBOX </w:instrText>
            </w:r>
            <w:r w:rsidR="003672A8">
              <w:rPr>
                <w:rFonts w:ascii="Arial Narrow" w:hAnsi="Arial Narrow" w:cs="Arial"/>
                <w:sz w:val="20"/>
                <w:szCs w:val="20"/>
              </w:rPr>
            </w:r>
            <w:r w:rsidR="003672A8">
              <w:rPr>
                <w:rFonts w:ascii="Arial Narrow" w:hAnsi="Arial Narrow" w:cs="Arial"/>
                <w:sz w:val="20"/>
                <w:szCs w:val="20"/>
              </w:rPr>
              <w:fldChar w:fldCharType="separate"/>
            </w:r>
            <w:r w:rsidRPr="00FE7CBE">
              <w:rPr>
                <w:rFonts w:ascii="Arial Narrow" w:hAnsi="Arial Narrow" w:cs="Arial"/>
                <w:sz w:val="20"/>
                <w:szCs w:val="20"/>
              </w:rPr>
              <w:fldChar w:fldCharType="end"/>
            </w:r>
            <w:r w:rsidRPr="00FE7CBE">
              <w:rPr>
                <w:rFonts w:ascii="Arial Narrow" w:hAnsi="Arial Narrow" w:cs="Arial"/>
                <w:sz w:val="20"/>
                <w:szCs w:val="20"/>
              </w:rPr>
              <w:t>Streamlined</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Clinical criteria:</w:t>
            </w: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Patient must have previously been issued with an authority prescription for this drug for this condition</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Patient must have stable or responding disease according to the Response Evaluation Criteria in Solid Tumours (RECIST)</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AND</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The treatment must be the sole PBS-subsidised therapy for this condition.</w:t>
            </w:r>
          </w:p>
        </w:tc>
      </w:tr>
      <w:tr w:rsidR="009F3147" w:rsidRPr="00FE7CBE" w:rsidTr="00054699">
        <w:trPr>
          <w:cantSplit/>
          <w:trHeight w:val="360"/>
        </w:trPr>
        <w:tc>
          <w:tcPr>
            <w:tcW w:w="2410"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jc w:val="both"/>
              <w:rPr>
                <w:rFonts w:ascii="Arial Narrow" w:hAnsi="Arial Narrow" w:cs="Arial"/>
                <w:b/>
                <w:sz w:val="20"/>
                <w:szCs w:val="20"/>
              </w:rPr>
            </w:pPr>
            <w:r w:rsidRPr="00FE7CBE">
              <w:rPr>
                <w:rFonts w:ascii="Arial Narrow" w:hAnsi="Arial Narrow" w:cs="Arial"/>
                <w:b/>
                <w:sz w:val="20"/>
                <w:szCs w:val="20"/>
              </w:rPr>
              <w:t>Administrative Advice:</w:t>
            </w:r>
          </w:p>
          <w:p w:rsidR="009F3147" w:rsidRPr="00FE7CBE" w:rsidRDefault="009F3147" w:rsidP="00065B0B">
            <w:pPr>
              <w:jc w:val="both"/>
              <w:rPr>
                <w:rFonts w:ascii="Arial Narrow" w:hAnsi="Arial Narrow" w:cs="Arial"/>
                <w:i/>
                <w:sz w:val="20"/>
                <w:szCs w:val="20"/>
              </w:rPr>
            </w:pPr>
          </w:p>
        </w:tc>
        <w:tc>
          <w:tcPr>
            <w:tcW w:w="6662" w:type="dxa"/>
            <w:tcBorders>
              <w:top w:val="single" w:sz="4" w:space="0" w:color="auto"/>
              <w:left w:val="single" w:sz="4" w:space="0" w:color="auto"/>
              <w:bottom w:val="single" w:sz="4" w:space="0" w:color="auto"/>
              <w:right w:val="single" w:sz="4" w:space="0" w:color="auto"/>
            </w:tcBorders>
          </w:tcPr>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Response Evaluation Criteria In Solid Tumours (RECIST) is defined as follows:</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Complete response (CR) is disappearance of all target lesions.</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Partial response (PR) is a 30% decrease in the sum of the longest diameter of target lesions.</w:t>
            </w: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Progressive disease (PD) is a 20% increase in the sum of the longest diameter of target lesions.</w:t>
            </w:r>
          </w:p>
          <w:p w:rsidR="009F3147" w:rsidRPr="00FE7CBE" w:rsidRDefault="009F3147" w:rsidP="00065B0B">
            <w:pPr>
              <w:rPr>
                <w:rFonts w:ascii="Arial Narrow" w:hAnsi="Arial Narrow" w:cs="Arial"/>
                <w:i/>
                <w:sz w:val="20"/>
                <w:szCs w:val="20"/>
              </w:rPr>
            </w:pPr>
            <w:r w:rsidRPr="00FE7CBE">
              <w:rPr>
                <w:rFonts w:ascii="Arial Narrow" w:hAnsi="Arial Narrow" w:cs="Arial"/>
                <w:sz w:val="20"/>
                <w:szCs w:val="20"/>
              </w:rPr>
              <w:t>Stable disease (SD) is small changes that do not meet above criteria.</w:t>
            </w:r>
          </w:p>
          <w:p w:rsidR="009F3147" w:rsidRPr="00FE7CBE" w:rsidRDefault="009F3147" w:rsidP="00065B0B">
            <w:pPr>
              <w:rPr>
                <w:rFonts w:ascii="Arial Narrow" w:hAnsi="Arial Narrow" w:cs="Arial"/>
                <w:sz w:val="20"/>
                <w:szCs w:val="20"/>
              </w:rPr>
            </w:pP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 xml:space="preserve">No increase in the maximum number of repeats may be authorised. </w:t>
            </w:r>
          </w:p>
          <w:p w:rsidR="009F3147" w:rsidRPr="00FE7CBE" w:rsidRDefault="009F3147" w:rsidP="00065B0B">
            <w:pPr>
              <w:rPr>
                <w:rFonts w:ascii="Arial Narrow" w:hAnsi="Arial Narrow" w:cs="Arial"/>
                <w:sz w:val="20"/>
                <w:szCs w:val="20"/>
              </w:rPr>
            </w:pPr>
          </w:p>
          <w:p w:rsidR="009F3147" w:rsidRPr="00FE7CBE" w:rsidRDefault="009F3147" w:rsidP="00065B0B">
            <w:pPr>
              <w:rPr>
                <w:rFonts w:ascii="Arial Narrow" w:hAnsi="Arial Narrow" w:cs="Arial"/>
                <w:sz w:val="20"/>
                <w:szCs w:val="20"/>
              </w:rPr>
            </w:pPr>
            <w:r w:rsidRPr="00FE7CBE">
              <w:rPr>
                <w:rFonts w:ascii="Arial Narrow" w:hAnsi="Arial Narrow" w:cs="Arial"/>
                <w:sz w:val="20"/>
                <w:szCs w:val="20"/>
              </w:rPr>
              <w:t>A patient who has progressive disease when treated with this drug is no longer eligible for PBS-subsidised treatment with this drug.</w:t>
            </w:r>
          </w:p>
        </w:tc>
      </w:tr>
    </w:tbl>
    <w:p w:rsidR="00053138" w:rsidRDefault="00053138" w:rsidP="00053138">
      <w:pPr>
        <w:rPr>
          <w:rFonts w:eastAsiaTheme="minorHAnsi"/>
        </w:rPr>
      </w:pPr>
    </w:p>
    <w:p w:rsidR="00053138" w:rsidRDefault="00053138" w:rsidP="00053138">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167EA7" w:rsidRDefault="00167EA7" w:rsidP="00167EA7">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7EA7" w:rsidRDefault="00167EA7" w:rsidP="00167EA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Sponsor’s Comment </w:t>
      </w:r>
    </w:p>
    <w:p w:rsidR="00167EA7" w:rsidRPr="00C07617" w:rsidRDefault="00167EA7" w:rsidP="00167EA7">
      <w:pPr>
        <w:spacing w:after="120"/>
        <w:jc w:val="both"/>
        <w:rPr>
          <w:rFonts w:asciiTheme="minorHAnsi" w:hAnsiTheme="minorHAnsi" w:cs="Arial"/>
          <w:bCs/>
        </w:rPr>
      </w:pPr>
      <w:r w:rsidRPr="00C07617">
        <w:rPr>
          <w:rFonts w:asciiTheme="minorHAnsi" w:hAnsiTheme="minorHAnsi" w:cs="Arial"/>
          <w:bCs/>
        </w:rPr>
        <w:t>The sponsor had no comment.</w:t>
      </w:r>
    </w:p>
    <w:p w:rsidR="00692404" w:rsidRPr="00053138" w:rsidRDefault="00692404" w:rsidP="00053138">
      <w:pPr>
        <w:rPr>
          <w:rFonts w:eastAsiaTheme="minorHAnsi"/>
        </w:rPr>
      </w:pPr>
    </w:p>
    <w:sectPr w:rsidR="00692404" w:rsidRPr="00053138"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82" w:rsidRDefault="00CA0B82" w:rsidP="00CA0B82">
      <w:r>
        <w:separator/>
      </w:r>
    </w:p>
  </w:endnote>
  <w:endnote w:type="continuationSeparator" w:id="0">
    <w:p w:rsidR="00CA0B82" w:rsidRDefault="00CA0B82" w:rsidP="00CA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3672A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9020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3672A8"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3672A8"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3672A8"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3672A8" w:rsidP="005A3173">
          <w:pPr>
            <w:pStyle w:val="Header"/>
            <w:spacing w:line="276" w:lineRule="auto"/>
            <w:rPr>
              <w:rFonts w:ascii="Calibri" w:eastAsia="MS Gothic" w:hAnsi="Calibri"/>
              <w:b/>
              <w:bCs/>
              <w:color w:val="4F81BD"/>
            </w:rPr>
          </w:pPr>
        </w:p>
      </w:tc>
    </w:tr>
  </w:tbl>
  <w:p w:rsidR="00F80475" w:rsidRDefault="009020F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3672A8">
    <w:pPr>
      <w:pStyle w:val="Footer"/>
    </w:pPr>
  </w:p>
  <w:p w:rsidR="00F80475" w:rsidRDefault="003672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64132"/>
      <w:docPartObj>
        <w:docPartGallery w:val="Page Numbers (Bottom of Page)"/>
        <w:docPartUnique/>
      </w:docPartObj>
    </w:sdtPr>
    <w:sdtEndPr>
      <w:rPr>
        <w:rFonts w:asciiTheme="minorHAnsi" w:hAnsiTheme="minorHAnsi" w:cstheme="minorHAnsi"/>
        <w:b/>
        <w:noProof/>
        <w:sz w:val="20"/>
      </w:rPr>
    </w:sdtEndPr>
    <w:sdtContent>
      <w:p w:rsidR="00CA0B82" w:rsidRPr="00CA0B82" w:rsidRDefault="00CA0B82">
        <w:pPr>
          <w:pStyle w:val="Footer"/>
          <w:jc w:val="center"/>
          <w:rPr>
            <w:rFonts w:asciiTheme="minorHAnsi" w:hAnsiTheme="minorHAnsi" w:cstheme="minorHAnsi"/>
            <w:b/>
            <w:sz w:val="20"/>
          </w:rPr>
        </w:pPr>
        <w:r w:rsidRPr="00CA0B82">
          <w:rPr>
            <w:rFonts w:asciiTheme="minorHAnsi" w:hAnsiTheme="minorHAnsi" w:cstheme="minorHAnsi"/>
            <w:b/>
            <w:sz w:val="20"/>
          </w:rPr>
          <w:fldChar w:fldCharType="begin"/>
        </w:r>
        <w:r w:rsidRPr="00CA0B82">
          <w:rPr>
            <w:rFonts w:asciiTheme="minorHAnsi" w:hAnsiTheme="minorHAnsi" w:cstheme="minorHAnsi"/>
            <w:b/>
            <w:sz w:val="20"/>
          </w:rPr>
          <w:instrText xml:space="preserve"> PAGE   \* MERGEFORMAT </w:instrText>
        </w:r>
        <w:r w:rsidRPr="00CA0B82">
          <w:rPr>
            <w:rFonts w:asciiTheme="minorHAnsi" w:hAnsiTheme="minorHAnsi" w:cstheme="minorHAnsi"/>
            <w:b/>
            <w:sz w:val="20"/>
          </w:rPr>
          <w:fldChar w:fldCharType="separate"/>
        </w:r>
        <w:r w:rsidR="003672A8">
          <w:rPr>
            <w:rFonts w:asciiTheme="minorHAnsi" w:hAnsiTheme="minorHAnsi" w:cstheme="minorHAnsi"/>
            <w:b/>
            <w:noProof/>
            <w:sz w:val="20"/>
          </w:rPr>
          <w:t>3</w:t>
        </w:r>
        <w:r w:rsidRPr="00CA0B82">
          <w:rPr>
            <w:rFonts w:asciiTheme="minorHAnsi" w:hAnsiTheme="minorHAnsi" w:cstheme="minorHAnsi"/>
            <w:b/>
            <w:noProof/>
            <w:sz w:val="20"/>
          </w:rPr>
          <w:fldChar w:fldCharType="end"/>
        </w:r>
      </w:p>
    </w:sdtContent>
  </w:sdt>
  <w:p w:rsidR="00F80475" w:rsidRDefault="003672A8"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3672A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9020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3672A8"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3672A8"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3672A8"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3672A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3672A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9020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3672A8"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3672A8"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3672A8"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3672A8" w:rsidP="005A3173">
          <w:pPr>
            <w:pStyle w:val="Header"/>
            <w:spacing w:line="276" w:lineRule="auto"/>
            <w:rPr>
              <w:rFonts w:ascii="Calibri" w:eastAsia="MS Gothic" w:hAnsi="Calibri"/>
              <w:b/>
              <w:bCs/>
              <w:color w:val="4F81BD"/>
            </w:rPr>
          </w:pPr>
        </w:p>
      </w:tc>
    </w:tr>
  </w:tbl>
  <w:p w:rsidR="00F80475" w:rsidRPr="007C0F57" w:rsidRDefault="009020F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9020FC" w:rsidP="007C0F57">
    <w:pPr>
      <w:pStyle w:val="Footer"/>
      <w:jc w:val="center"/>
      <w:rPr>
        <w:b/>
        <w:i/>
        <w:sz w:val="20"/>
        <w:szCs w:val="20"/>
      </w:rPr>
    </w:pPr>
    <w:r w:rsidRPr="007C0F57">
      <w:rPr>
        <w:b/>
        <w:i/>
        <w:sz w:val="20"/>
        <w:szCs w:val="20"/>
      </w:rPr>
      <w:t>Commercial-in-Confidence</w:t>
    </w:r>
  </w:p>
  <w:p w:rsidR="00F80475" w:rsidRDefault="003672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82" w:rsidRDefault="00CA0B82" w:rsidP="00CA0B82">
      <w:r>
        <w:separator/>
      </w:r>
    </w:p>
  </w:footnote>
  <w:footnote w:type="continuationSeparator" w:id="0">
    <w:p w:rsidR="00CA0B82" w:rsidRDefault="00CA0B82" w:rsidP="00CA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3672A8">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9020F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3672A8">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3672A8">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3672A8">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3672A8">
          <w:pPr>
            <w:pStyle w:val="Header"/>
            <w:spacing w:line="276" w:lineRule="auto"/>
            <w:rPr>
              <w:rFonts w:ascii="Cambria" w:eastAsia="MS Gothic" w:hAnsi="Cambria"/>
              <w:b/>
              <w:bCs/>
              <w:color w:val="4F81BD"/>
            </w:rPr>
          </w:pPr>
        </w:p>
      </w:tc>
    </w:tr>
  </w:tbl>
  <w:p w:rsidR="00F80475" w:rsidRDefault="003672A8">
    <w:pPr>
      <w:pStyle w:val="Header"/>
    </w:pPr>
  </w:p>
  <w:p w:rsidR="00F80475" w:rsidRDefault="003672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Default="00A34836" w:rsidP="00A34836">
    <w:pPr>
      <w:pStyle w:val="NoSpacing"/>
      <w:jc w:val="center"/>
    </w:pPr>
    <w:r w:rsidRPr="00895E96">
      <w:rPr>
        <w:rFonts w:asciiTheme="minorHAnsi" w:hAnsiTheme="minorHAnsi" w:cstheme="minorHAnsi"/>
        <w:i/>
        <w:color w:val="808080"/>
      </w:rPr>
      <w:t xml:space="preserve">Public Summary Document – </w:t>
    </w:r>
    <w:r>
      <w:rPr>
        <w:rFonts w:asciiTheme="minorHAnsi" w:hAnsiTheme="minorHAnsi" w:cstheme="minorHAnsi"/>
        <w:i/>
        <w:color w:val="808080"/>
      </w:rPr>
      <w:t>July 2018</w:t>
    </w:r>
    <w:r w:rsidRPr="00895E96">
      <w:rPr>
        <w:rFonts w:asciiTheme="minorHAnsi" w:hAnsiTheme="minorHAnsi" w:cstheme="minorHAnsi"/>
        <w:i/>
        <w:color w:val="808080"/>
      </w:rPr>
      <w:t xml:space="preserve"> PBAC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8A"/>
    <w:rsid w:val="00020557"/>
    <w:rsid w:val="00053138"/>
    <w:rsid w:val="00054699"/>
    <w:rsid w:val="00086EEE"/>
    <w:rsid w:val="00095EC3"/>
    <w:rsid w:val="000F1BDD"/>
    <w:rsid w:val="00167EA7"/>
    <w:rsid w:val="002058AD"/>
    <w:rsid w:val="00244FBE"/>
    <w:rsid w:val="003319CC"/>
    <w:rsid w:val="00361355"/>
    <w:rsid w:val="003672A8"/>
    <w:rsid w:val="0039188A"/>
    <w:rsid w:val="003F03AE"/>
    <w:rsid w:val="004133F6"/>
    <w:rsid w:val="00540211"/>
    <w:rsid w:val="00546792"/>
    <w:rsid w:val="005C5FE0"/>
    <w:rsid w:val="00687948"/>
    <w:rsid w:val="00692404"/>
    <w:rsid w:val="00804498"/>
    <w:rsid w:val="00886196"/>
    <w:rsid w:val="008D771F"/>
    <w:rsid w:val="008F5070"/>
    <w:rsid w:val="009020BC"/>
    <w:rsid w:val="009020FC"/>
    <w:rsid w:val="0091031A"/>
    <w:rsid w:val="00964186"/>
    <w:rsid w:val="009A04BD"/>
    <w:rsid w:val="009F3147"/>
    <w:rsid w:val="00A22558"/>
    <w:rsid w:val="00A34836"/>
    <w:rsid w:val="00A36855"/>
    <w:rsid w:val="00A53134"/>
    <w:rsid w:val="00B05817"/>
    <w:rsid w:val="00B157E7"/>
    <w:rsid w:val="00B313A4"/>
    <w:rsid w:val="00B340D7"/>
    <w:rsid w:val="00BB044E"/>
    <w:rsid w:val="00C56CE0"/>
    <w:rsid w:val="00CA0B82"/>
    <w:rsid w:val="00E17341"/>
    <w:rsid w:val="00E421D6"/>
    <w:rsid w:val="00F27770"/>
    <w:rsid w:val="00FE7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8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ListParagraph"/>
    <w:next w:val="Normal"/>
    <w:link w:val="Heading1Char"/>
    <w:uiPriority w:val="1"/>
    <w:qFormat/>
    <w:rsid w:val="0039188A"/>
    <w:pPr>
      <w:ind w:left="0"/>
      <w:outlineLvl w:val="0"/>
    </w:pPr>
    <w:rPr>
      <w:b/>
      <w:szCs w:val="22"/>
    </w:rPr>
  </w:style>
  <w:style w:type="paragraph" w:styleId="Heading2">
    <w:name w:val="heading 2"/>
    <w:basedOn w:val="Normal"/>
    <w:next w:val="Normal"/>
    <w:link w:val="Heading2Char"/>
    <w:uiPriority w:val="1"/>
    <w:qFormat/>
    <w:rsid w:val="0039188A"/>
    <w:pPr>
      <w:keepNext/>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188A"/>
    <w:rPr>
      <w:rFonts w:ascii="Arial" w:eastAsia="Times New Roman" w:hAnsi="Arial" w:cs="Arial"/>
      <w:b/>
      <w:snapToGrid w:val="0"/>
    </w:rPr>
  </w:style>
  <w:style w:type="character" w:customStyle="1" w:styleId="Heading2Char">
    <w:name w:val="Heading 2 Char"/>
    <w:basedOn w:val="DefaultParagraphFont"/>
    <w:link w:val="Heading2"/>
    <w:uiPriority w:val="1"/>
    <w:rsid w:val="0039188A"/>
    <w:rPr>
      <w:rFonts w:ascii="Arial" w:eastAsia="Times New Roman" w:hAnsi="Arial" w:cs="Times New Roman"/>
      <w:b/>
      <w:i/>
      <w:szCs w:val="24"/>
      <w:lang w:eastAsia="en-AU"/>
    </w:rPr>
  </w:style>
  <w:style w:type="paragraph" w:styleId="Header">
    <w:name w:val="header"/>
    <w:aliases w:val="Page Header,Header title,he=header,cntr/bld"/>
    <w:basedOn w:val="Normal"/>
    <w:link w:val="HeaderChar"/>
    <w:uiPriority w:val="99"/>
    <w:rsid w:val="0039188A"/>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39188A"/>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39188A"/>
    <w:pPr>
      <w:tabs>
        <w:tab w:val="center" w:pos="4153"/>
        <w:tab w:val="right" w:pos="8306"/>
      </w:tabs>
    </w:pPr>
  </w:style>
  <w:style w:type="character" w:customStyle="1" w:styleId="FooterChar">
    <w:name w:val="Footer Char"/>
    <w:basedOn w:val="DefaultParagraphFont"/>
    <w:link w:val="Footer"/>
    <w:uiPriority w:val="99"/>
    <w:rsid w:val="0039188A"/>
    <w:rPr>
      <w:rFonts w:ascii="Times New Roman" w:eastAsia="Times New Roman" w:hAnsi="Times New Roman" w:cs="Times New Roman"/>
      <w:sz w:val="24"/>
      <w:szCs w:val="24"/>
      <w:lang w:eastAsia="en-AU"/>
    </w:rPr>
  </w:style>
  <w:style w:type="character" w:styleId="PageNumber">
    <w:name w:val="page number"/>
    <w:basedOn w:val="DefaultParagraphFont"/>
    <w:rsid w:val="0039188A"/>
  </w:style>
  <w:style w:type="paragraph" w:customStyle="1" w:styleId="MediumGrid21">
    <w:name w:val="Medium Grid 21"/>
    <w:link w:val="MediumGrid2Char"/>
    <w:qFormat/>
    <w:rsid w:val="0039188A"/>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39188A"/>
    <w:rPr>
      <w:rFonts w:ascii="PMingLiU" w:eastAsia="MS Mincho" w:hAnsi="PMingLiU" w:cs="Times New Roman"/>
      <w:lang w:val="en-US"/>
    </w:rPr>
  </w:style>
  <w:style w:type="paragraph" w:styleId="ListParagraph">
    <w:name w:val="List Paragraph"/>
    <w:aliases w:val="BulletPoints"/>
    <w:basedOn w:val="Normal"/>
    <w:link w:val="ListParagraphChar"/>
    <w:uiPriority w:val="72"/>
    <w:qFormat/>
    <w:rsid w:val="0039188A"/>
    <w:pPr>
      <w:widowControl w:val="0"/>
      <w:ind w:left="720"/>
      <w:contextualSpacing/>
      <w:jc w:val="both"/>
    </w:pPr>
    <w:rPr>
      <w:rFonts w:ascii="Arial" w:hAnsi="Arial" w:cs="Arial"/>
      <w:snapToGrid w:val="0"/>
      <w:sz w:val="22"/>
      <w:szCs w:val="20"/>
      <w:lang w:eastAsia="en-US"/>
    </w:rPr>
  </w:style>
  <w:style w:type="paragraph" w:styleId="NoSpacing">
    <w:name w:val="No Spacing"/>
    <w:basedOn w:val="Normal"/>
    <w:uiPriority w:val="99"/>
    <w:qFormat/>
    <w:rsid w:val="0039188A"/>
    <w:pPr>
      <w:jc w:val="both"/>
    </w:pPr>
    <w:rPr>
      <w:rFonts w:ascii="Arial" w:hAnsi="Arial"/>
      <w:sz w:val="22"/>
      <w:szCs w:val="22"/>
    </w:rPr>
  </w:style>
  <w:style w:type="paragraph" w:styleId="Title">
    <w:name w:val="Title"/>
    <w:basedOn w:val="Normal"/>
    <w:next w:val="Normal"/>
    <w:link w:val="TitleChar"/>
    <w:qFormat/>
    <w:rsid w:val="0039188A"/>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9188A"/>
    <w:rPr>
      <w:rFonts w:ascii="Arial Bold" w:eastAsiaTheme="majorEastAsia" w:hAnsi="Arial Bold"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rsid w:val="0039188A"/>
    <w:rPr>
      <w:rFonts w:ascii="Arial" w:eastAsia="Times New Roman" w:hAnsi="Arial" w:cs="Arial"/>
      <w:snapToGrid w:val="0"/>
      <w:szCs w:val="20"/>
    </w:rPr>
  </w:style>
  <w:style w:type="paragraph" w:customStyle="1" w:styleId="PBACHeading1">
    <w:name w:val="PBAC Heading 1"/>
    <w:qFormat/>
    <w:rsid w:val="0039188A"/>
    <w:pPr>
      <w:numPr>
        <w:numId w:val="1"/>
      </w:numPr>
      <w:spacing w:after="0" w:line="240" w:lineRule="auto"/>
      <w:outlineLvl w:val="0"/>
    </w:pPr>
    <w:rPr>
      <w:rFonts w:ascii="Arial" w:eastAsia="Times New Roman" w:hAnsi="Arial" w:cs="Arial"/>
      <w:b/>
      <w:snapToGrid w:val="0"/>
    </w:rPr>
  </w:style>
  <w:style w:type="character" w:styleId="CommentReference">
    <w:name w:val="annotation reference"/>
    <w:basedOn w:val="DefaultParagraphFont"/>
    <w:uiPriority w:val="99"/>
    <w:semiHidden/>
    <w:unhideWhenUsed/>
    <w:rsid w:val="00244FBE"/>
    <w:rPr>
      <w:sz w:val="16"/>
      <w:szCs w:val="16"/>
    </w:rPr>
  </w:style>
  <w:style w:type="paragraph" w:styleId="CommentText">
    <w:name w:val="annotation text"/>
    <w:basedOn w:val="Normal"/>
    <w:link w:val="CommentTextChar"/>
    <w:uiPriority w:val="99"/>
    <w:semiHidden/>
    <w:unhideWhenUsed/>
    <w:rsid w:val="00244FBE"/>
    <w:rPr>
      <w:sz w:val="20"/>
      <w:szCs w:val="20"/>
    </w:rPr>
  </w:style>
  <w:style w:type="character" w:customStyle="1" w:styleId="CommentTextChar">
    <w:name w:val="Comment Text Char"/>
    <w:basedOn w:val="DefaultParagraphFont"/>
    <w:link w:val="CommentText"/>
    <w:uiPriority w:val="99"/>
    <w:semiHidden/>
    <w:rsid w:val="00244F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44FBE"/>
    <w:rPr>
      <w:b/>
      <w:bCs/>
    </w:rPr>
  </w:style>
  <w:style w:type="character" w:customStyle="1" w:styleId="CommentSubjectChar">
    <w:name w:val="Comment Subject Char"/>
    <w:basedOn w:val="CommentTextChar"/>
    <w:link w:val="CommentSubject"/>
    <w:uiPriority w:val="99"/>
    <w:semiHidden/>
    <w:rsid w:val="00244FB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44FBE"/>
    <w:rPr>
      <w:rFonts w:ascii="Tahoma" w:hAnsi="Tahoma" w:cs="Tahoma"/>
      <w:sz w:val="16"/>
      <w:szCs w:val="16"/>
    </w:rPr>
  </w:style>
  <w:style w:type="character" w:customStyle="1" w:styleId="BalloonTextChar">
    <w:name w:val="Balloon Text Char"/>
    <w:basedOn w:val="DefaultParagraphFont"/>
    <w:link w:val="BalloonText"/>
    <w:uiPriority w:val="99"/>
    <w:semiHidden/>
    <w:rsid w:val="00244FBE"/>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8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ListParagraph"/>
    <w:next w:val="Normal"/>
    <w:link w:val="Heading1Char"/>
    <w:uiPriority w:val="1"/>
    <w:qFormat/>
    <w:rsid w:val="0039188A"/>
    <w:pPr>
      <w:ind w:left="0"/>
      <w:outlineLvl w:val="0"/>
    </w:pPr>
    <w:rPr>
      <w:b/>
      <w:szCs w:val="22"/>
    </w:rPr>
  </w:style>
  <w:style w:type="paragraph" w:styleId="Heading2">
    <w:name w:val="heading 2"/>
    <w:basedOn w:val="Normal"/>
    <w:next w:val="Normal"/>
    <w:link w:val="Heading2Char"/>
    <w:uiPriority w:val="1"/>
    <w:qFormat/>
    <w:rsid w:val="0039188A"/>
    <w:pPr>
      <w:keepNext/>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188A"/>
    <w:rPr>
      <w:rFonts w:ascii="Arial" w:eastAsia="Times New Roman" w:hAnsi="Arial" w:cs="Arial"/>
      <w:b/>
      <w:snapToGrid w:val="0"/>
    </w:rPr>
  </w:style>
  <w:style w:type="character" w:customStyle="1" w:styleId="Heading2Char">
    <w:name w:val="Heading 2 Char"/>
    <w:basedOn w:val="DefaultParagraphFont"/>
    <w:link w:val="Heading2"/>
    <w:uiPriority w:val="1"/>
    <w:rsid w:val="0039188A"/>
    <w:rPr>
      <w:rFonts w:ascii="Arial" w:eastAsia="Times New Roman" w:hAnsi="Arial" w:cs="Times New Roman"/>
      <w:b/>
      <w:i/>
      <w:szCs w:val="24"/>
      <w:lang w:eastAsia="en-AU"/>
    </w:rPr>
  </w:style>
  <w:style w:type="paragraph" w:styleId="Header">
    <w:name w:val="header"/>
    <w:aliases w:val="Page Header,Header title,he=header,cntr/bld"/>
    <w:basedOn w:val="Normal"/>
    <w:link w:val="HeaderChar"/>
    <w:uiPriority w:val="99"/>
    <w:rsid w:val="0039188A"/>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39188A"/>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39188A"/>
    <w:pPr>
      <w:tabs>
        <w:tab w:val="center" w:pos="4153"/>
        <w:tab w:val="right" w:pos="8306"/>
      </w:tabs>
    </w:pPr>
  </w:style>
  <w:style w:type="character" w:customStyle="1" w:styleId="FooterChar">
    <w:name w:val="Footer Char"/>
    <w:basedOn w:val="DefaultParagraphFont"/>
    <w:link w:val="Footer"/>
    <w:uiPriority w:val="99"/>
    <w:rsid w:val="0039188A"/>
    <w:rPr>
      <w:rFonts w:ascii="Times New Roman" w:eastAsia="Times New Roman" w:hAnsi="Times New Roman" w:cs="Times New Roman"/>
      <w:sz w:val="24"/>
      <w:szCs w:val="24"/>
      <w:lang w:eastAsia="en-AU"/>
    </w:rPr>
  </w:style>
  <w:style w:type="character" w:styleId="PageNumber">
    <w:name w:val="page number"/>
    <w:basedOn w:val="DefaultParagraphFont"/>
    <w:rsid w:val="0039188A"/>
  </w:style>
  <w:style w:type="paragraph" w:customStyle="1" w:styleId="MediumGrid21">
    <w:name w:val="Medium Grid 21"/>
    <w:link w:val="MediumGrid2Char"/>
    <w:qFormat/>
    <w:rsid w:val="0039188A"/>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39188A"/>
    <w:rPr>
      <w:rFonts w:ascii="PMingLiU" w:eastAsia="MS Mincho" w:hAnsi="PMingLiU" w:cs="Times New Roman"/>
      <w:lang w:val="en-US"/>
    </w:rPr>
  </w:style>
  <w:style w:type="paragraph" w:styleId="ListParagraph">
    <w:name w:val="List Paragraph"/>
    <w:aliases w:val="BulletPoints"/>
    <w:basedOn w:val="Normal"/>
    <w:link w:val="ListParagraphChar"/>
    <w:uiPriority w:val="72"/>
    <w:qFormat/>
    <w:rsid w:val="0039188A"/>
    <w:pPr>
      <w:widowControl w:val="0"/>
      <w:ind w:left="720"/>
      <w:contextualSpacing/>
      <w:jc w:val="both"/>
    </w:pPr>
    <w:rPr>
      <w:rFonts w:ascii="Arial" w:hAnsi="Arial" w:cs="Arial"/>
      <w:snapToGrid w:val="0"/>
      <w:sz w:val="22"/>
      <w:szCs w:val="20"/>
      <w:lang w:eastAsia="en-US"/>
    </w:rPr>
  </w:style>
  <w:style w:type="paragraph" w:styleId="NoSpacing">
    <w:name w:val="No Spacing"/>
    <w:basedOn w:val="Normal"/>
    <w:uiPriority w:val="99"/>
    <w:qFormat/>
    <w:rsid w:val="0039188A"/>
    <w:pPr>
      <w:jc w:val="both"/>
    </w:pPr>
    <w:rPr>
      <w:rFonts w:ascii="Arial" w:hAnsi="Arial"/>
      <w:sz w:val="22"/>
      <w:szCs w:val="22"/>
    </w:rPr>
  </w:style>
  <w:style w:type="paragraph" w:styleId="Title">
    <w:name w:val="Title"/>
    <w:basedOn w:val="Normal"/>
    <w:next w:val="Normal"/>
    <w:link w:val="TitleChar"/>
    <w:qFormat/>
    <w:rsid w:val="0039188A"/>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9188A"/>
    <w:rPr>
      <w:rFonts w:ascii="Arial Bold" w:eastAsiaTheme="majorEastAsia" w:hAnsi="Arial Bold"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72"/>
    <w:rsid w:val="0039188A"/>
    <w:rPr>
      <w:rFonts w:ascii="Arial" w:eastAsia="Times New Roman" w:hAnsi="Arial" w:cs="Arial"/>
      <w:snapToGrid w:val="0"/>
      <w:szCs w:val="20"/>
    </w:rPr>
  </w:style>
  <w:style w:type="paragraph" w:customStyle="1" w:styleId="PBACHeading1">
    <w:name w:val="PBAC Heading 1"/>
    <w:qFormat/>
    <w:rsid w:val="0039188A"/>
    <w:pPr>
      <w:numPr>
        <w:numId w:val="1"/>
      </w:numPr>
      <w:spacing w:after="0" w:line="240" w:lineRule="auto"/>
      <w:outlineLvl w:val="0"/>
    </w:pPr>
    <w:rPr>
      <w:rFonts w:ascii="Arial" w:eastAsia="Times New Roman" w:hAnsi="Arial" w:cs="Arial"/>
      <w:b/>
      <w:snapToGrid w:val="0"/>
    </w:rPr>
  </w:style>
  <w:style w:type="character" w:styleId="CommentReference">
    <w:name w:val="annotation reference"/>
    <w:basedOn w:val="DefaultParagraphFont"/>
    <w:uiPriority w:val="99"/>
    <w:semiHidden/>
    <w:unhideWhenUsed/>
    <w:rsid w:val="00244FBE"/>
    <w:rPr>
      <w:sz w:val="16"/>
      <w:szCs w:val="16"/>
    </w:rPr>
  </w:style>
  <w:style w:type="paragraph" w:styleId="CommentText">
    <w:name w:val="annotation text"/>
    <w:basedOn w:val="Normal"/>
    <w:link w:val="CommentTextChar"/>
    <w:uiPriority w:val="99"/>
    <w:semiHidden/>
    <w:unhideWhenUsed/>
    <w:rsid w:val="00244FBE"/>
    <w:rPr>
      <w:sz w:val="20"/>
      <w:szCs w:val="20"/>
    </w:rPr>
  </w:style>
  <w:style w:type="character" w:customStyle="1" w:styleId="CommentTextChar">
    <w:name w:val="Comment Text Char"/>
    <w:basedOn w:val="DefaultParagraphFont"/>
    <w:link w:val="CommentText"/>
    <w:uiPriority w:val="99"/>
    <w:semiHidden/>
    <w:rsid w:val="00244F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44FBE"/>
    <w:rPr>
      <w:b/>
      <w:bCs/>
    </w:rPr>
  </w:style>
  <w:style w:type="character" w:customStyle="1" w:styleId="CommentSubjectChar">
    <w:name w:val="Comment Subject Char"/>
    <w:basedOn w:val="CommentTextChar"/>
    <w:link w:val="CommentSubject"/>
    <w:uiPriority w:val="99"/>
    <w:semiHidden/>
    <w:rsid w:val="00244FB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44FBE"/>
    <w:rPr>
      <w:rFonts w:ascii="Tahoma" w:hAnsi="Tahoma" w:cs="Tahoma"/>
      <w:sz w:val="16"/>
      <w:szCs w:val="16"/>
    </w:rPr>
  </w:style>
  <w:style w:type="character" w:customStyle="1" w:styleId="BalloonTextChar">
    <w:name w:val="Balloon Text Char"/>
    <w:basedOn w:val="DefaultParagraphFont"/>
    <w:link w:val="BalloonText"/>
    <w:uiPriority w:val="99"/>
    <w:semiHidden/>
    <w:rsid w:val="00244FBE"/>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E5E7-9340-43A1-A1EA-7B35EF3D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2018-07-27T02:06:00Z</dcterms:created>
  <dcterms:modified xsi:type="dcterms:W3CDTF">2018-10-16T06:53:00Z</dcterms:modified>
</cp:coreProperties>
</file>