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22" w:rsidRDefault="00903021" w:rsidP="00C12C14">
      <w:pPr>
        <w:rPr>
          <w:b/>
          <w:sz w:val="36"/>
          <w:szCs w:val="36"/>
        </w:rPr>
      </w:pPr>
      <w:r w:rsidRPr="00941995">
        <w:rPr>
          <w:b/>
          <w:sz w:val="36"/>
          <w:szCs w:val="36"/>
        </w:rPr>
        <w:t>5.07</w:t>
      </w:r>
      <w:r w:rsidR="00B60939" w:rsidRPr="00941995">
        <w:rPr>
          <w:b/>
          <w:sz w:val="36"/>
          <w:szCs w:val="36"/>
        </w:rPr>
        <w:tab/>
      </w:r>
      <w:r w:rsidR="002D24ED" w:rsidRPr="00941995">
        <w:rPr>
          <w:b/>
          <w:sz w:val="36"/>
          <w:szCs w:val="36"/>
        </w:rPr>
        <w:t>LETERMOVIR</w:t>
      </w:r>
      <w:r w:rsidR="00B60939" w:rsidRPr="00941995">
        <w:rPr>
          <w:b/>
          <w:sz w:val="36"/>
          <w:szCs w:val="36"/>
        </w:rPr>
        <w:t xml:space="preserve">, </w:t>
      </w:r>
    </w:p>
    <w:p w:rsidR="00102222" w:rsidRDefault="00102222" w:rsidP="00102222">
      <w:pPr>
        <w:ind w:firstLine="720"/>
        <w:rPr>
          <w:b/>
          <w:sz w:val="36"/>
          <w:szCs w:val="36"/>
        </w:rPr>
      </w:pPr>
      <w:r>
        <w:rPr>
          <w:b/>
          <w:sz w:val="36"/>
          <w:szCs w:val="36"/>
        </w:rPr>
        <w:t>T</w:t>
      </w:r>
      <w:r w:rsidR="002D24ED" w:rsidRPr="00941995">
        <w:rPr>
          <w:b/>
          <w:sz w:val="36"/>
          <w:szCs w:val="36"/>
        </w:rPr>
        <w:t>ablet</w:t>
      </w:r>
      <w:r w:rsidR="00B60939" w:rsidRPr="00941995">
        <w:rPr>
          <w:b/>
          <w:sz w:val="36"/>
          <w:szCs w:val="36"/>
        </w:rPr>
        <w:t xml:space="preserve"> </w:t>
      </w:r>
      <w:r w:rsidR="002D24ED" w:rsidRPr="00941995">
        <w:rPr>
          <w:b/>
          <w:sz w:val="36"/>
          <w:szCs w:val="36"/>
        </w:rPr>
        <w:t>240mg</w:t>
      </w:r>
      <w:r w:rsidR="00B60939" w:rsidRPr="00941995">
        <w:rPr>
          <w:b/>
          <w:sz w:val="36"/>
          <w:szCs w:val="36"/>
        </w:rPr>
        <w:t xml:space="preserve">, </w:t>
      </w:r>
    </w:p>
    <w:p w:rsidR="00102222" w:rsidRDefault="002D24ED" w:rsidP="00102222">
      <w:pPr>
        <w:ind w:firstLine="720"/>
        <w:rPr>
          <w:b/>
          <w:sz w:val="36"/>
          <w:szCs w:val="36"/>
        </w:rPr>
      </w:pPr>
      <w:proofErr w:type="spellStart"/>
      <w:r w:rsidRPr="00941995">
        <w:rPr>
          <w:b/>
          <w:sz w:val="36"/>
          <w:szCs w:val="36"/>
        </w:rPr>
        <w:t>Prevymis</w:t>
      </w:r>
      <w:proofErr w:type="spellEnd"/>
      <w:r w:rsidRPr="00941995">
        <w:rPr>
          <w:rFonts w:cs="Calibri"/>
          <w:b/>
          <w:sz w:val="36"/>
          <w:szCs w:val="36"/>
          <w:vertAlign w:val="superscript"/>
        </w:rPr>
        <w:t>™</w:t>
      </w:r>
    </w:p>
    <w:p w:rsidR="00102222" w:rsidRPr="00967337" w:rsidRDefault="002D24ED" w:rsidP="00967337">
      <w:pPr>
        <w:ind w:firstLine="720"/>
        <w:rPr>
          <w:rFonts w:asciiTheme="minorHAnsi" w:hAnsiTheme="minorHAnsi"/>
          <w:b/>
          <w:sz w:val="36"/>
          <w:szCs w:val="36"/>
        </w:rPr>
      </w:pPr>
      <w:r w:rsidRPr="00941995">
        <w:rPr>
          <w:rFonts w:asciiTheme="minorHAnsi" w:hAnsiTheme="minorHAnsi"/>
          <w:b/>
          <w:sz w:val="36"/>
          <w:szCs w:val="36"/>
        </w:rPr>
        <w:t>Merck Sharpe</w:t>
      </w:r>
      <w:r w:rsidR="00F74A5F" w:rsidRPr="00941995">
        <w:rPr>
          <w:rFonts w:asciiTheme="minorHAnsi" w:hAnsiTheme="minorHAnsi"/>
          <w:b/>
          <w:sz w:val="36"/>
          <w:szCs w:val="36"/>
        </w:rPr>
        <w:t xml:space="preserve"> &amp;</w:t>
      </w:r>
      <w:r w:rsidRPr="00941995">
        <w:rPr>
          <w:rFonts w:asciiTheme="minorHAnsi" w:hAnsiTheme="minorHAnsi"/>
          <w:b/>
          <w:sz w:val="36"/>
          <w:szCs w:val="36"/>
        </w:rPr>
        <w:t xml:space="preserve"> Dohme</w:t>
      </w:r>
      <w:r w:rsidR="00F74A5F" w:rsidRPr="00941995">
        <w:rPr>
          <w:rFonts w:asciiTheme="minorHAnsi" w:hAnsiTheme="minorHAnsi"/>
          <w:b/>
          <w:sz w:val="36"/>
          <w:szCs w:val="36"/>
        </w:rPr>
        <w:t xml:space="preserve"> Australia</w:t>
      </w:r>
    </w:p>
    <w:p w:rsidR="00B60939" w:rsidRPr="00B45E7F" w:rsidRDefault="00B50DB8" w:rsidP="00B60939">
      <w:pPr>
        <w:pStyle w:val="PBACHeading1"/>
        <w:spacing w:before="240" w:after="120"/>
        <w:outlineLvl w:val="0"/>
      </w:pPr>
      <w:bookmarkStart w:id="0" w:name="_Toc514242719"/>
      <w:r w:rsidRPr="00B45E7F">
        <w:t>Purpose of Application</w:t>
      </w:r>
      <w:bookmarkEnd w:id="0"/>
    </w:p>
    <w:p w:rsidR="002C2775" w:rsidRPr="00B45E7F" w:rsidRDefault="000676D3" w:rsidP="00BA50FB">
      <w:pPr>
        <w:pStyle w:val="ListParagraph"/>
        <w:numPr>
          <w:ilvl w:val="1"/>
          <w:numId w:val="2"/>
        </w:numPr>
      </w:pPr>
      <w:r w:rsidRPr="00B45E7F">
        <w:t>The submission requested a Section 1</w:t>
      </w:r>
      <w:r w:rsidR="005A578E" w:rsidRPr="00B45E7F">
        <w:t>00</w:t>
      </w:r>
      <w:r w:rsidRPr="00B45E7F">
        <w:t xml:space="preserve"> Authority Required listing for letermovir </w:t>
      </w:r>
      <w:r w:rsidR="008B1757" w:rsidRPr="00B45E7F">
        <w:t>for</w:t>
      </w:r>
      <w:r w:rsidRPr="00B45E7F">
        <w:t xml:space="preserve"> prophylaxis of cytomegalovirus (CMV) infection or disease in CMV sero-positive patients who have received a</w:t>
      </w:r>
      <w:r w:rsidR="00BA50FB">
        <w:t xml:space="preserve">n </w:t>
      </w:r>
      <w:r w:rsidR="00BA50FB" w:rsidRPr="00BA50FB">
        <w:t>allogeneic</w:t>
      </w:r>
      <w:r w:rsidRPr="00B45E7F">
        <w:t xml:space="preserve"> haematopoietic stem cell transplant (HSCT)</w:t>
      </w:r>
      <w:r w:rsidR="00967337">
        <w:t>.</w:t>
      </w:r>
    </w:p>
    <w:p w:rsidR="00FE7BB6" w:rsidRPr="00B45E7F" w:rsidRDefault="00FE7BB6" w:rsidP="007A12C6">
      <w:pPr>
        <w:pStyle w:val="ListParagraph"/>
        <w:numPr>
          <w:ilvl w:val="1"/>
          <w:numId w:val="2"/>
        </w:numPr>
        <w:spacing w:after="120"/>
      </w:pPr>
      <w:r w:rsidRPr="00B45E7F">
        <w:rPr>
          <w:rFonts w:asciiTheme="minorHAnsi" w:hAnsiTheme="minorHAnsi" w:cs="Arial"/>
        </w:rPr>
        <w:t>The draft PI indicates that letermovir is available in two formulations, film-coated tablets containing 240 mg or 480 mg of letermovir and concentrate for solution for infusion containing 240 mg or 480 mg of letermovir. The oral and intravenous (IV) formulations of letermovir may be used interchangeably with no dose adjustment required when switching between the formulations. Only the tablets containing 240</w:t>
      </w:r>
      <w:r w:rsidR="00D82048" w:rsidRPr="00B45E7F">
        <w:rPr>
          <w:rFonts w:asciiTheme="minorHAnsi" w:hAnsiTheme="minorHAnsi" w:cs="Arial"/>
        </w:rPr>
        <w:t> </w:t>
      </w:r>
      <w:r w:rsidRPr="00B45E7F">
        <w:rPr>
          <w:rFonts w:asciiTheme="minorHAnsi" w:hAnsiTheme="minorHAnsi" w:cs="Arial"/>
        </w:rPr>
        <w:t>mg of letermovir have been requested for listing in this submission</w:t>
      </w:r>
      <w:r w:rsidR="00967337">
        <w:rPr>
          <w:rFonts w:asciiTheme="minorHAnsi" w:hAnsiTheme="minorHAnsi" w:cs="Arial"/>
        </w:rPr>
        <w:t>.</w:t>
      </w:r>
    </w:p>
    <w:p w:rsidR="00C2778B" w:rsidRPr="00B45E7F" w:rsidRDefault="00D95E13" w:rsidP="007A12C6">
      <w:pPr>
        <w:pStyle w:val="ListParagraph"/>
        <w:numPr>
          <w:ilvl w:val="1"/>
          <w:numId w:val="2"/>
        </w:numPr>
        <w:spacing w:after="120"/>
      </w:pPr>
      <w:r w:rsidRPr="00B45E7F">
        <w:t>Listing was requested on the basis of a cost utility analysis versus placebo.  The key components of the clinical issue addressed by the submission are presented in Table 1.</w:t>
      </w:r>
    </w:p>
    <w:p w:rsidR="008B1757" w:rsidRPr="00B45E7F" w:rsidRDefault="008B1757" w:rsidP="008B1757">
      <w:pPr>
        <w:rPr>
          <w:rStyle w:val="CommentReference"/>
        </w:rPr>
      </w:pPr>
      <w:r w:rsidRPr="00B45E7F">
        <w:rPr>
          <w:rStyle w:val="CommentReference"/>
        </w:rPr>
        <w:t xml:space="preserve">Table </w:t>
      </w:r>
      <w:r w:rsidR="00D95E13" w:rsidRPr="00B45E7F">
        <w:rPr>
          <w:rStyle w:val="CommentReference"/>
        </w:rPr>
        <w:t>1</w:t>
      </w:r>
      <w:r w:rsidRPr="00B45E7F">
        <w:rPr>
          <w:rStyle w:val="CommentReference"/>
        </w:rPr>
        <w:t>:  Key components of the clinical issue addressed by the submission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535"/>
      </w:tblGrid>
      <w:tr w:rsidR="008B1757" w:rsidRPr="00B45E7F" w:rsidTr="0003348A">
        <w:trPr>
          <w:cantSplit/>
          <w:tblHeader/>
        </w:trPr>
        <w:tc>
          <w:tcPr>
            <w:tcW w:w="876" w:type="pct"/>
            <w:shd w:val="clear" w:color="auto" w:fill="auto"/>
          </w:tcPr>
          <w:p w:rsidR="008B1757" w:rsidRPr="00B45E7F" w:rsidRDefault="008B1757" w:rsidP="008B1757">
            <w:pPr>
              <w:pStyle w:val="Tabletext"/>
              <w:rPr>
                <w:b/>
                <w:szCs w:val="20"/>
              </w:rPr>
            </w:pPr>
            <w:r w:rsidRPr="00B45E7F">
              <w:rPr>
                <w:b/>
              </w:rPr>
              <w:t>Component</w:t>
            </w:r>
          </w:p>
        </w:tc>
        <w:tc>
          <w:tcPr>
            <w:tcW w:w="4124" w:type="pct"/>
            <w:shd w:val="clear" w:color="auto" w:fill="auto"/>
          </w:tcPr>
          <w:p w:rsidR="008B1757" w:rsidRPr="00B45E7F" w:rsidRDefault="008B1757" w:rsidP="008B1757">
            <w:pPr>
              <w:pStyle w:val="Tabletext"/>
              <w:jc w:val="center"/>
              <w:rPr>
                <w:b/>
              </w:rPr>
            </w:pPr>
            <w:r w:rsidRPr="00B45E7F">
              <w:rPr>
                <w:b/>
              </w:rPr>
              <w:t>Description</w:t>
            </w:r>
          </w:p>
        </w:tc>
      </w:tr>
      <w:tr w:rsidR="00D95E13" w:rsidRPr="00B45E7F" w:rsidTr="0003348A">
        <w:trPr>
          <w:cantSplit/>
        </w:trPr>
        <w:tc>
          <w:tcPr>
            <w:tcW w:w="876" w:type="pct"/>
            <w:shd w:val="clear" w:color="auto" w:fill="auto"/>
          </w:tcPr>
          <w:p w:rsidR="00D95E13" w:rsidRPr="00B45E7F" w:rsidRDefault="00D95E13" w:rsidP="00D95E13">
            <w:pPr>
              <w:pStyle w:val="Tabletext"/>
            </w:pPr>
            <w:r w:rsidRPr="00B45E7F">
              <w:t>Population</w:t>
            </w:r>
          </w:p>
        </w:tc>
        <w:tc>
          <w:tcPr>
            <w:tcW w:w="4124" w:type="pct"/>
            <w:shd w:val="clear" w:color="auto" w:fill="auto"/>
            <w:vAlign w:val="center"/>
          </w:tcPr>
          <w:p w:rsidR="00D95E13" w:rsidRPr="00B45E7F" w:rsidRDefault="00D95E13" w:rsidP="00D95E13">
            <w:pPr>
              <w:pStyle w:val="Tabletext"/>
            </w:pPr>
            <w:r w:rsidRPr="00B45E7F">
              <w:t>Adult CMV-seropositive recipients [R+] of an allogeneic haematopoietic stem cell transplant (HSCT).</w:t>
            </w:r>
          </w:p>
        </w:tc>
      </w:tr>
      <w:tr w:rsidR="00D95E13" w:rsidRPr="00B45E7F" w:rsidTr="0003348A">
        <w:trPr>
          <w:cantSplit/>
        </w:trPr>
        <w:tc>
          <w:tcPr>
            <w:tcW w:w="876" w:type="pct"/>
            <w:shd w:val="clear" w:color="auto" w:fill="auto"/>
          </w:tcPr>
          <w:p w:rsidR="00D95E13" w:rsidRPr="00B45E7F" w:rsidRDefault="00D95E13" w:rsidP="00D95E13">
            <w:pPr>
              <w:pStyle w:val="Tabletext"/>
            </w:pPr>
            <w:r w:rsidRPr="00B45E7F">
              <w:t>Intervention</w:t>
            </w:r>
          </w:p>
        </w:tc>
        <w:tc>
          <w:tcPr>
            <w:tcW w:w="4124" w:type="pct"/>
            <w:shd w:val="clear" w:color="auto" w:fill="auto"/>
            <w:vAlign w:val="center"/>
          </w:tcPr>
          <w:p w:rsidR="00D95E13" w:rsidRPr="00B45E7F" w:rsidRDefault="00D95E13" w:rsidP="00D95E13">
            <w:pPr>
              <w:pStyle w:val="Tabletext"/>
            </w:pPr>
            <w:r w:rsidRPr="00B45E7F">
              <w:t>Letermovir 240mg/day is used concomitantly with cyclosporin (480mg/day if used alone) through 100 days post-transplant.</w:t>
            </w:r>
          </w:p>
          <w:p w:rsidR="00D95E13" w:rsidRPr="00B45E7F" w:rsidRDefault="00D95E13" w:rsidP="00D95E13">
            <w:pPr>
              <w:pStyle w:val="Tabletext"/>
            </w:pPr>
            <w:r w:rsidRPr="00B45E7F">
              <w:t>The submission also stated (Table 1-1, p8) that letermovir would be added to standard of care pre-emptive treatment for active CMV infection as required.</w:t>
            </w:r>
          </w:p>
        </w:tc>
      </w:tr>
      <w:tr w:rsidR="00D95E13" w:rsidRPr="00B45E7F" w:rsidTr="0003348A">
        <w:trPr>
          <w:cantSplit/>
        </w:trPr>
        <w:tc>
          <w:tcPr>
            <w:tcW w:w="876" w:type="pct"/>
            <w:shd w:val="clear" w:color="auto" w:fill="auto"/>
          </w:tcPr>
          <w:p w:rsidR="00D95E13" w:rsidRPr="00B45E7F" w:rsidRDefault="00D95E13" w:rsidP="00D95E13">
            <w:pPr>
              <w:pStyle w:val="Tabletext"/>
            </w:pPr>
            <w:r w:rsidRPr="00B45E7F">
              <w:t>Comparator</w:t>
            </w:r>
          </w:p>
        </w:tc>
        <w:tc>
          <w:tcPr>
            <w:tcW w:w="4124" w:type="pct"/>
            <w:shd w:val="clear" w:color="auto" w:fill="auto"/>
            <w:vAlign w:val="center"/>
          </w:tcPr>
          <w:p w:rsidR="00D95E13" w:rsidRPr="00B45E7F" w:rsidRDefault="00D95E13" w:rsidP="00D95E13">
            <w:pPr>
              <w:pStyle w:val="Tabletext"/>
            </w:pPr>
            <w:r w:rsidRPr="00B45E7F">
              <w:t xml:space="preserve">Placebo. </w:t>
            </w:r>
          </w:p>
        </w:tc>
      </w:tr>
      <w:tr w:rsidR="00D95E13" w:rsidRPr="00B45E7F" w:rsidTr="0003348A">
        <w:trPr>
          <w:cantSplit/>
        </w:trPr>
        <w:tc>
          <w:tcPr>
            <w:tcW w:w="876" w:type="pct"/>
            <w:shd w:val="clear" w:color="auto" w:fill="auto"/>
          </w:tcPr>
          <w:p w:rsidR="00D95E13" w:rsidRPr="00B45E7F" w:rsidRDefault="00D95E13" w:rsidP="00D95E13">
            <w:pPr>
              <w:pStyle w:val="Tabletext"/>
            </w:pPr>
            <w:r w:rsidRPr="00B45E7F">
              <w:t>Outcomes</w:t>
            </w:r>
          </w:p>
        </w:tc>
        <w:tc>
          <w:tcPr>
            <w:tcW w:w="4124" w:type="pct"/>
            <w:shd w:val="clear" w:color="auto" w:fill="auto"/>
            <w:vAlign w:val="center"/>
          </w:tcPr>
          <w:p w:rsidR="00D95E13" w:rsidRPr="00B45E7F" w:rsidRDefault="00D95E13" w:rsidP="00D95E13">
            <w:pPr>
              <w:pStyle w:val="Tabletext"/>
            </w:pPr>
            <w:r w:rsidRPr="00B45E7F">
              <w:t>Prevention of clinically significant CMV infection and improved survival.</w:t>
            </w:r>
          </w:p>
        </w:tc>
      </w:tr>
      <w:tr w:rsidR="00D95E13" w:rsidRPr="00B45E7F" w:rsidTr="0003348A">
        <w:trPr>
          <w:cantSplit/>
        </w:trPr>
        <w:tc>
          <w:tcPr>
            <w:tcW w:w="876" w:type="pct"/>
            <w:shd w:val="clear" w:color="auto" w:fill="auto"/>
          </w:tcPr>
          <w:p w:rsidR="00D95E13" w:rsidRPr="00B45E7F" w:rsidRDefault="00D95E13" w:rsidP="00D95E13">
            <w:pPr>
              <w:pStyle w:val="Tabletext"/>
            </w:pPr>
            <w:r w:rsidRPr="00B45E7F">
              <w:t>Clinical claim</w:t>
            </w:r>
          </w:p>
        </w:tc>
        <w:tc>
          <w:tcPr>
            <w:tcW w:w="4124" w:type="pct"/>
            <w:shd w:val="clear" w:color="auto" w:fill="auto"/>
            <w:vAlign w:val="center"/>
          </w:tcPr>
          <w:p w:rsidR="00D95E13" w:rsidRPr="00B45E7F" w:rsidRDefault="00D95E13" w:rsidP="00D95E13">
            <w:pPr>
              <w:pStyle w:val="Tabletext"/>
            </w:pPr>
            <w:r w:rsidRPr="00B45E7F">
              <w:t>Letermovir is superior in terms of efficacy and has non-inferior safety in the prophylaxis of CMV infection or disease in adult CMV-seropositive recipients of an allogeneic HSCT compared to placebo.</w:t>
            </w:r>
          </w:p>
        </w:tc>
      </w:tr>
    </w:tbl>
    <w:p w:rsidR="004E43B2" w:rsidRPr="00967337" w:rsidRDefault="008B1757" w:rsidP="00967337">
      <w:pPr>
        <w:pStyle w:val="TableFooter"/>
        <w:rPr>
          <w:sz w:val="20"/>
        </w:rPr>
      </w:pPr>
      <w:r w:rsidRPr="00B45E7F">
        <w:t xml:space="preserve">Source: </w:t>
      </w:r>
      <w:r w:rsidR="00D95E13" w:rsidRPr="00B45E7F">
        <w:t>Table 1-1, p8 of the submission.</w:t>
      </w:r>
    </w:p>
    <w:p w:rsidR="00B60939" w:rsidRPr="00941995" w:rsidRDefault="00B50DB8" w:rsidP="00967337">
      <w:pPr>
        <w:pStyle w:val="PBACHeading1"/>
        <w:spacing w:before="240" w:after="120"/>
        <w:outlineLvl w:val="0"/>
      </w:pPr>
      <w:bookmarkStart w:id="1" w:name="_Toc514242720"/>
      <w:r w:rsidRPr="00941995">
        <w:t>Requested listing</w:t>
      </w:r>
      <w:bookmarkEnd w:id="1"/>
    </w:p>
    <w:p w:rsidR="004D68A8" w:rsidRPr="002F586C" w:rsidRDefault="004D68A8" w:rsidP="004D68A8">
      <w:pPr>
        <w:rPr>
          <w:rFonts w:asciiTheme="minorHAnsi" w:hAnsiTheme="minorHAnsi" w:cs="Arial"/>
        </w:rPr>
      </w:pPr>
      <w:r>
        <w:rPr>
          <w:rFonts w:asciiTheme="minorHAnsi" w:hAnsiTheme="minorHAnsi" w:cs="Arial"/>
        </w:rPr>
        <w:t>The Secretariat’s s</w:t>
      </w:r>
      <w:r w:rsidRPr="006D0EAA">
        <w:rPr>
          <w:rFonts w:asciiTheme="minorHAnsi" w:hAnsiTheme="minorHAnsi" w:cs="Arial"/>
        </w:rPr>
        <w:t xml:space="preserve">uggested additions are </w:t>
      </w:r>
      <w:r w:rsidRPr="004D68A8">
        <w:rPr>
          <w:rFonts w:asciiTheme="minorHAnsi" w:hAnsiTheme="minorHAnsi" w:cs="Arial"/>
          <w:i/>
        </w:rPr>
        <w:t>in italics</w:t>
      </w:r>
      <w:r w:rsidRPr="006D0EAA">
        <w:rPr>
          <w:rFonts w:asciiTheme="minorHAnsi" w:hAnsiTheme="minorHAnsi" w:cs="Arial"/>
        </w:rPr>
        <w:t xml:space="preserve"> and deletions are </w:t>
      </w:r>
      <w:r w:rsidRPr="004D68A8">
        <w:rPr>
          <w:rFonts w:asciiTheme="minorHAnsi" w:hAnsiTheme="minorHAnsi" w:cs="Arial"/>
          <w:strike/>
        </w:rPr>
        <w:t>in strikethrough</w:t>
      </w:r>
      <w:r w:rsidRPr="002F586C">
        <w:rPr>
          <w:rFonts w:asciiTheme="minorHAnsi" w:hAnsiTheme="minorHAnsi" w:cs="Arial"/>
        </w:rPr>
        <w:t>.</w:t>
      </w:r>
    </w:p>
    <w:p w:rsidR="004D68A8" w:rsidRPr="003B567A" w:rsidRDefault="004D68A8" w:rsidP="004D68A8">
      <w:pPr>
        <w:rPr>
          <w:rFonts w:cs="Arial"/>
          <w:sz w:val="22"/>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418"/>
        <w:gridCol w:w="1417"/>
      </w:tblGrid>
      <w:tr w:rsidR="004D68A8" w:rsidRPr="004B7571" w:rsidTr="00ED0209">
        <w:trPr>
          <w:cantSplit/>
          <w:trHeight w:val="471"/>
        </w:trPr>
        <w:tc>
          <w:tcPr>
            <w:tcW w:w="3261" w:type="dxa"/>
            <w:gridSpan w:val="2"/>
            <w:tcBorders>
              <w:bottom w:val="single" w:sz="4" w:space="0" w:color="auto"/>
            </w:tcBorders>
          </w:tcPr>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Name, Restriction,</w:t>
            </w:r>
          </w:p>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Manner of administration and form</w:t>
            </w:r>
          </w:p>
        </w:tc>
        <w:tc>
          <w:tcPr>
            <w:tcW w:w="567" w:type="dxa"/>
            <w:tcBorders>
              <w:bottom w:val="single" w:sz="4" w:space="0" w:color="auto"/>
            </w:tcBorders>
          </w:tcPr>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Max.</w:t>
            </w:r>
          </w:p>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Qty</w:t>
            </w:r>
          </w:p>
        </w:tc>
        <w:tc>
          <w:tcPr>
            <w:tcW w:w="850" w:type="dxa"/>
            <w:tcBorders>
              <w:bottom w:val="single" w:sz="4" w:space="0" w:color="auto"/>
            </w:tcBorders>
          </w:tcPr>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№.of</w:t>
            </w:r>
          </w:p>
          <w:p w:rsidR="004D68A8" w:rsidRPr="00374D70" w:rsidRDefault="004D68A8" w:rsidP="004B7571">
            <w:pPr>
              <w:keepNext/>
              <w:ind w:left="-108"/>
              <w:rPr>
                <w:rFonts w:ascii="Arial Narrow" w:hAnsi="Arial Narrow" w:cs="Arial"/>
                <w:b/>
                <w:sz w:val="18"/>
                <w:szCs w:val="18"/>
              </w:rPr>
            </w:pPr>
            <w:r w:rsidRPr="00374D70">
              <w:rPr>
                <w:rFonts w:ascii="Arial Narrow" w:hAnsi="Arial Narrow" w:cs="Arial"/>
                <w:b/>
                <w:sz w:val="18"/>
                <w:szCs w:val="18"/>
              </w:rPr>
              <w:t>Rpts</w:t>
            </w:r>
          </w:p>
        </w:tc>
        <w:tc>
          <w:tcPr>
            <w:tcW w:w="1701" w:type="dxa"/>
            <w:tcBorders>
              <w:bottom w:val="single" w:sz="4" w:space="0" w:color="auto"/>
            </w:tcBorders>
          </w:tcPr>
          <w:p w:rsidR="004D68A8" w:rsidRPr="00374D70" w:rsidRDefault="004D68A8" w:rsidP="00374D70">
            <w:pPr>
              <w:keepNext/>
              <w:ind w:left="-108"/>
              <w:jc w:val="left"/>
              <w:rPr>
                <w:rFonts w:ascii="Arial Narrow" w:hAnsi="Arial Narrow" w:cs="Arial"/>
                <w:b/>
                <w:sz w:val="18"/>
                <w:szCs w:val="18"/>
              </w:rPr>
            </w:pPr>
            <w:r w:rsidRPr="00374D70">
              <w:rPr>
                <w:rFonts w:ascii="Arial Narrow" w:hAnsi="Arial Narrow" w:cs="Arial"/>
                <w:b/>
                <w:sz w:val="18"/>
                <w:szCs w:val="18"/>
              </w:rPr>
              <w:t>Dispensed Price for Max. Qty</w:t>
            </w:r>
          </w:p>
        </w:tc>
        <w:tc>
          <w:tcPr>
            <w:tcW w:w="2835" w:type="dxa"/>
            <w:gridSpan w:val="2"/>
            <w:tcBorders>
              <w:bottom w:val="single" w:sz="4" w:space="0" w:color="auto"/>
            </w:tcBorders>
          </w:tcPr>
          <w:p w:rsidR="004D68A8" w:rsidRPr="00374D70" w:rsidRDefault="004D68A8" w:rsidP="00374D70">
            <w:pPr>
              <w:keepNext/>
              <w:jc w:val="left"/>
              <w:rPr>
                <w:rFonts w:ascii="Arial Narrow" w:hAnsi="Arial Narrow" w:cs="Arial"/>
                <w:b/>
                <w:sz w:val="18"/>
                <w:szCs w:val="18"/>
                <w:lang w:val="fr-FR"/>
              </w:rPr>
            </w:pPr>
            <w:r w:rsidRPr="00374D70">
              <w:rPr>
                <w:rFonts w:ascii="Arial Narrow" w:hAnsi="Arial Narrow" w:cs="Arial"/>
                <w:b/>
                <w:sz w:val="18"/>
                <w:szCs w:val="18"/>
              </w:rPr>
              <w:t>Proprietary Name and Manufacturer</w:t>
            </w:r>
          </w:p>
        </w:tc>
      </w:tr>
      <w:tr w:rsidR="004D68A8" w:rsidRPr="004B7571" w:rsidTr="00ED0209">
        <w:trPr>
          <w:cantSplit/>
          <w:trHeight w:val="577"/>
        </w:trPr>
        <w:tc>
          <w:tcPr>
            <w:tcW w:w="3261" w:type="dxa"/>
            <w:gridSpan w:val="2"/>
          </w:tcPr>
          <w:p w:rsidR="004D68A8" w:rsidRPr="004B7571" w:rsidRDefault="004D68A8" w:rsidP="004B7571">
            <w:pPr>
              <w:pStyle w:val="NoSpacing"/>
              <w:rPr>
                <w:rFonts w:ascii="Arial Narrow" w:hAnsi="Arial Narrow"/>
                <w:sz w:val="18"/>
                <w:szCs w:val="18"/>
              </w:rPr>
            </w:pPr>
            <w:r w:rsidRPr="004B7571">
              <w:rPr>
                <w:rFonts w:ascii="Arial Narrow" w:hAnsi="Arial Narrow"/>
                <w:sz w:val="18"/>
                <w:szCs w:val="18"/>
              </w:rPr>
              <w:t>Letermovir 240mg tablet, 28 tablets</w:t>
            </w:r>
          </w:p>
        </w:tc>
        <w:tc>
          <w:tcPr>
            <w:tcW w:w="567" w:type="dxa"/>
          </w:tcPr>
          <w:p w:rsidR="004D68A8" w:rsidRPr="004B7571" w:rsidRDefault="004D68A8" w:rsidP="004B7571">
            <w:pPr>
              <w:pStyle w:val="NoSpacing"/>
              <w:rPr>
                <w:rFonts w:ascii="Arial Narrow" w:hAnsi="Arial Narrow"/>
                <w:i/>
                <w:sz w:val="18"/>
                <w:szCs w:val="18"/>
              </w:rPr>
            </w:pPr>
            <w:r w:rsidRPr="004B7571">
              <w:rPr>
                <w:rFonts w:ascii="Arial Narrow" w:hAnsi="Arial Narrow"/>
                <w:sz w:val="18"/>
                <w:szCs w:val="18"/>
              </w:rPr>
              <w:t>1</w:t>
            </w:r>
          </w:p>
        </w:tc>
        <w:tc>
          <w:tcPr>
            <w:tcW w:w="850" w:type="dxa"/>
          </w:tcPr>
          <w:p w:rsidR="004D68A8" w:rsidRPr="004B7571" w:rsidRDefault="004D68A8" w:rsidP="004B7571">
            <w:pPr>
              <w:pStyle w:val="NoSpacing"/>
              <w:rPr>
                <w:rFonts w:ascii="Arial Narrow" w:hAnsi="Arial Narrow"/>
                <w:i/>
                <w:sz w:val="18"/>
                <w:szCs w:val="18"/>
              </w:rPr>
            </w:pPr>
            <w:r w:rsidRPr="004B7571">
              <w:rPr>
                <w:rFonts w:ascii="Arial Narrow" w:hAnsi="Arial Narrow"/>
                <w:sz w:val="18"/>
                <w:szCs w:val="18"/>
              </w:rPr>
              <w:t>3</w:t>
            </w:r>
          </w:p>
        </w:tc>
        <w:tc>
          <w:tcPr>
            <w:tcW w:w="1701" w:type="dxa"/>
          </w:tcPr>
          <w:p w:rsidR="004D68A8" w:rsidRPr="004B7571" w:rsidRDefault="004D68A8" w:rsidP="004B7571">
            <w:pPr>
              <w:pStyle w:val="NoSpacing"/>
              <w:rPr>
                <w:rFonts w:ascii="Arial Narrow" w:hAnsi="Arial Narrow"/>
                <w:sz w:val="18"/>
                <w:szCs w:val="18"/>
              </w:rPr>
            </w:pPr>
            <w:r w:rsidRPr="004B7571">
              <w:rPr>
                <w:rFonts w:ascii="Arial Narrow" w:hAnsi="Arial Narrow"/>
                <w:sz w:val="18"/>
                <w:szCs w:val="18"/>
              </w:rPr>
              <w:t>$</w:t>
            </w:r>
            <w:r w:rsidR="004569C1">
              <w:rPr>
                <w:rFonts w:ascii="Arial Narrow" w:hAnsi="Arial Narrow"/>
                <w:noProof/>
                <w:color w:val="000000"/>
                <w:sz w:val="18"/>
                <w:szCs w:val="18"/>
                <w:highlight w:val="black"/>
              </w:rPr>
              <w:t>'''''''''''''''''''</w:t>
            </w:r>
          </w:p>
        </w:tc>
        <w:tc>
          <w:tcPr>
            <w:tcW w:w="1418" w:type="dxa"/>
          </w:tcPr>
          <w:p w:rsidR="004D68A8" w:rsidRPr="004B7571" w:rsidRDefault="004D68A8" w:rsidP="004B7571">
            <w:pPr>
              <w:pStyle w:val="NoSpacing"/>
              <w:rPr>
                <w:rFonts w:ascii="Arial Narrow" w:hAnsi="Arial Narrow"/>
                <w:sz w:val="18"/>
                <w:szCs w:val="18"/>
              </w:rPr>
            </w:pPr>
            <w:r w:rsidRPr="004B7571">
              <w:rPr>
                <w:rFonts w:ascii="Arial Narrow" w:hAnsi="Arial Narrow"/>
                <w:sz w:val="18"/>
                <w:szCs w:val="18"/>
              </w:rPr>
              <w:t xml:space="preserve">PREVYMIS </w:t>
            </w:r>
          </w:p>
        </w:tc>
        <w:tc>
          <w:tcPr>
            <w:tcW w:w="1417" w:type="dxa"/>
          </w:tcPr>
          <w:p w:rsidR="004D68A8" w:rsidRPr="004B7571" w:rsidRDefault="004D68A8" w:rsidP="004B7571">
            <w:pPr>
              <w:pStyle w:val="NoSpacing"/>
              <w:rPr>
                <w:rFonts w:ascii="Arial Narrow" w:hAnsi="Arial Narrow"/>
                <w:i/>
                <w:sz w:val="18"/>
                <w:szCs w:val="18"/>
              </w:rPr>
            </w:pPr>
            <w:r w:rsidRPr="004B7571">
              <w:rPr>
                <w:rFonts w:ascii="Arial Narrow" w:hAnsi="Arial Narrow"/>
                <w:sz w:val="18"/>
                <w:szCs w:val="18"/>
              </w:rPr>
              <w:t>MSD AUSTRALIA</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03348A">
            <w:pPr>
              <w:rPr>
                <w:rFonts w:ascii="Arial Narrow" w:hAnsi="Arial Narrow" w:cs="Arial"/>
                <w:b/>
                <w:sz w:val="18"/>
                <w:szCs w:val="18"/>
              </w:rPr>
            </w:pPr>
            <w:r w:rsidRPr="004B7571">
              <w:rPr>
                <w:rFonts w:ascii="Arial Narrow" w:hAnsi="Arial Narrow" w:cs="Arial"/>
                <w:b/>
                <w:sz w:val="18"/>
                <w:szCs w:val="18"/>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t xml:space="preserve">Section 100 – Highly Specialised Drugs Program </w:t>
            </w:r>
            <w:r w:rsidRPr="004B7571">
              <w:rPr>
                <w:rFonts w:ascii="Arial Narrow" w:hAnsi="Arial Narrow" w:cs="Arial"/>
                <w:i/>
                <w:sz w:val="18"/>
                <w:szCs w:val="18"/>
              </w:rPr>
              <w:t>(Private and Public Hospitals)</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03348A">
            <w:pPr>
              <w:rPr>
                <w:rFonts w:ascii="Arial Narrow" w:hAnsi="Arial Narrow" w:cs="Arial"/>
                <w:sz w:val="18"/>
                <w:szCs w:val="18"/>
              </w:rPr>
            </w:pPr>
            <w:r w:rsidRPr="004B7571">
              <w:rPr>
                <w:rFonts w:ascii="Arial Narrow" w:hAnsi="Arial Narrow" w:cs="Arial"/>
                <w:sz w:val="18"/>
                <w:szCs w:val="18"/>
              </w:rPr>
              <w:fldChar w:fldCharType="begin">
                <w:ffData>
                  <w:name w:val="Check1"/>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 xml:space="preserve">Dental  </w:t>
            </w:r>
            <w:r w:rsidRPr="004B7571">
              <w:rPr>
                <w:rFonts w:ascii="Arial Narrow" w:hAnsi="Arial Narrow" w:cs="Arial"/>
                <w:sz w:val="18"/>
                <w:szCs w:val="18"/>
              </w:rPr>
              <w:fldChar w:fldCharType="begin">
                <w:ffData>
                  <w:name w:val=""/>
                  <w:enabled/>
                  <w:calcOnExit w:val="0"/>
                  <w:checkBox>
                    <w:sizeAuto/>
                    <w:default w:val="1"/>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 xml:space="preserve">Medical Practitioners  </w:t>
            </w:r>
            <w:r w:rsidRPr="004B7571">
              <w:rPr>
                <w:rFonts w:ascii="Arial Narrow" w:hAnsi="Arial Narrow" w:cs="Arial"/>
                <w:sz w:val="18"/>
                <w:szCs w:val="18"/>
              </w:rPr>
              <w:fldChar w:fldCharType="begin">
                <w:ffData>
                  <w:name w:val="Check3"/>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 xml:space="preserve">Nurse practitioners  </w:t>
            </w:r>
            <w:r w:rsidRPr="004B7571">
              <w:rPr>
                <w:rFonts w:ascii="Arial Narrow" w:hAnsi="Arial Narrow" w:cs="Arial"/>
                <w:sz w:val="18"/>
                <w:szCs w:val="18"/>
              </w:rPr>
              <w:fldChar w:fldCharType="begin">
                <w:ffData>
                  <w:name w:val=""/>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Optometrists</w:t>
            </w:r>
            <w:r w:rsidR="0003348A">
              <w:rPr>
                <w:rFonts w:ascii="Arial Narrow" w:hAnsi="Arial Narrow" w:cs="Arial"/>
                <w:sz w:val="18"/>
                <w:szCs w:val="18"/>
              </w:rPr>
              <w:t xml:space="preserve"> </w:t>
            </w:r>
            <w:r w:rsidRPr="004B7571">
              <w:rPr>
                <w:rFonts w:ascii="Arial Narrow" w:hAnsi="Arial Narrow" w:cs="Arial"/>
                <w:sz w:val="18"/>
                <w:szCs w:val="18"/>
              </w:rPr>
              <w:fldChar w:fldCharType="begin">
                <w:ffData>
                  <w:name w:val="Check5"/>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Midwives</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lastRenderedPageBreak/>
              <w:t>Condition:</w:t>
            </w: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trike/>
                <w:sz w:val="18"/>
                <w:szCs w:val="18"/>
              </w:rPr>
            </w:pPr>
            <w:r w:rsidRPr="004B7571">
              <w:rPr>
                <w:rFonts w:ascii="Arial Narrow" w:hAnsi="Arial Narrow" w:cs="Arial"/>
                <w:strike/>
                <w:sz w:val="18"/>
                <w:szCs w:val="18"/>
              </w:rPr>
              <w:t xml:space="preserve">Allogeneic haematopoietic stem cell transplant </w:t>
            </w:r>
            <w:r w:rsidRPr="004B7571">
              <w:rPr>
                <w:rFonts w:ascii="Arial Narrow" w:hAnsi="Arial Narrow" w:cs="Arial"/>
                <w:i/>
                <w:sz w:val="18"/>
                <w:szCs w:val="18"/>
              </w:rPr>
              <w:t>Cytomegalovirus infection and disease</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03348A" w:rsidRDefault="004D68A8" w:rsidP="004B7571">
            <w:pPr>
              <w:rPr>
                <w:rFonts w:ascii="Arial Narrow" w:hAnsi="Arial Narrow" w:cs="Arial"/>
                <w:b/>
                <w:sz w:val="18"/>
                <w:szCs w:val="18"/>
              </w:rPr>
            </w:pPr>
            <w:r w:rsidRPr="004B7571">
              <w:rPr>
                <w:rFonts w:ascii="Arial Narrow" w:hAnsi="Arial Narrow" w:cs="Arial"/>
                <w:b/>
                <w:sz w:val="18"/>
                <w:szCs w:val="18"/>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z w:val="18"/>
                <w:szCs w:val="18"/>
              </w:rPr>
            </w:pPr>
            <w:r w:rsidRPr="004B7571">
              <w:rPr>
                <w:rFonts w:ascii="Arial Narrow" w:hAnsi="Arial Narrow" w:cs="Arial"/>
                <w:strike/>
                <w:sz w:val="18"/>
                <w:szCs w:val="18"/>
              </w:rPr>
              <w:t>Prophylaxis of CMV</w:t>
            </w:r>
            <w:r w:rsidRPr="004B7571">
              <w:rPr>
                <w:rFonts w:ascii="Arial Narrow" w:hAnsi="Arial Narrow" w:cs="Arial"/>
                <w:sz w:val="18"/>
                <w:szCs w:val="18"/>
              </w:rPr>
              <w:t xml:space="preserve"> </w:t>
            </w:r>
            <w:r w:rsidRPr="004B7571">
              <w:rPr>
                <w:rFonts w:ascii="Arial Narrow" w:hAnsi="Arial Narrow" w:cs="Arial"/>
                <w:i/>
                <w:sz w:val="18"/>
                <w:szCs w:val="18"/>
              </w:rPr>
              <w:t xml:space="preserve">Cytomegalovirus </w:t>
            </w:r>
            <w:r w:rsidRPr="004B7571">
              <w:rPr>
                <w:rFonts w:ascii="Arial Narrow" w:hAnsi="Arial Narrow" w:cs="Arial"/>
                <w:sz w:val="18"/>
                <w:szCs w:val="18"/>
              </w:rPr>
              <w:t xml:space="preserve">infection </w:t>
            </w:r>
            <w:r w:rsidRPr="004B7571">
              <w:rPr>
                <w:rFonts w:ascii="Arial Narrow" w:hAnsi="Arial Narrow" w:cs="Arial"/>
                <w:strike/>
                <w:sz w:val="18"/>
                <w:szCs w:val="18"/>
              </w:rPr>
              <w:t>or</w:t>
            </w:r>
            <w:r w:rsidRPr="004B7571">
              <w:rPr>
                <w:rFonts w:ascii="Arial Narrow" w:hAnsi="Arial Narrow" w:cs="Arial"/>
                <w:sz w:val="18"/>
                <w:szCs w:val="18"/>
              </w:rPr>
              <w:t xml:space="preserve"> </w:t>
            </w:r>
            <w:r w:rsidRPr="004B7571">
              <w:rPr>
                <w:rFonts w:ascii="Arial Narrow" w:hAnsi="Arial Narrow" w:cs="Arial"/>
                <w:i/>
                <w:sz w:val="18"/>
                <w:szCs w:val="18"/>
              </w:rPr>
              <w:t>and</w:t>
            </w:r>
            <w:r w:rsidRPr="004B7571">
              <w:rPr>
                <w:rFonts w:ascii="Arial Narrow" w:hAnsi="Arial Narrow" w:cs="Arial"/>
                <w:sz w:val="18"/>
                <w:szCs w:val="18"/>
              </w:rPr>
              <w:t xml:space="preserve"> disease </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trike/>
                <w:sz w:val="18"/>
                <w:szCs w:val="18"/>
              </w:rPr>
            </w:pPr>
            <w:r w:rsidRPr="004B7571">
              <w:rPr>
                <w:rFonts w:ascii="Arial Narrow" w:hAnsi="Arial Narrow" w:cs="Arial"/>
                <w:strike/>
                <w:sz w:val="18"/>
                <w:szCs w:val="18"/>
              </w:rPr>
              <w:t>Initial</w:t>
            </w:r>
            <w:r w:rsidRPr="004B7571">
              <w:rPr>
                <w:rFonts w:ascii="Arial Narrow" w:hAnsi="Arial Narrow" w:cs="Arial"/>
                <w:sz w:val="18"/>
                <w:szCs w:val="18"/>
              </w:rPr>
              <w:t xml:space="preserve"> </w:t>
            </w:r>
            <w:r w:rsidRPr="004B7571">
              <w:rPr>
                <w:rFonts w:ascii="Arial Narrow" w:hAnsi="Arial Narrow" w:cs="Arial"/>
                <w:i/>
                <w:sz w:val="18"/>
                <w:szCs w:val="18"/>
              </w:rPr>
              <w:t>Prophylaxis</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Restriction Level / Method:</w:t>
            </w:r>
          </w:p>
          <w:p w:rsidR="004D68A8" w:rsidRPr="004B7571" w:rsidRDefault="004D68A8" w:rsidP="004B7571">
            <w:pPr>
              <w:rPr>
                <w:rFonts w:ascii="Arial Narrow" w:hAnsi="Arial Narrow" w:cs="Arial"/>
                <w:i/>
                <w:sz w:val="18"/>
                <w:szCs w:val="18"/>
                <w:highlight w:val="yellow"/>
              </w:rPr>
            </w:pPr>
          </w:p>
          <w:p w:rsidR="004D68A8" w:rsidRPr="004B7571" w:rsidRDefault="004D68A8" w:rsidP="004B7571">
            <w:pPr>
              <w:rPr>
                <w:rFonts w:ascii="Arial Narrow" w:hAnsi="Arial Narrow" w:cs="Arial"/>
                <w:i/>
                <w:sz w:val="18"/>
                <w:szCs w:val="18"/>
              </w:rPr>
            </w:pPr>
          </w:p>
          <w:p w:rsidR="004D68A8" w:rsidRPr="004B7571" w:rsidRDefault="004D68A8" w:rsidP="004B7571">
            <w:pPr>
              <w:rPr>
                <w:rFonts w:ascii="Arial Narrow" w:hAnsi="Arial Narrow" w:cs="Arial"/>
                <w:i/>
                <w:sz w:val="18"/>
                <w:szCs w:val="18"/>
              </w:rPr>
            </w:pP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Check1"/>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Restricted benefit</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
                  <w:enabled/>
                  <w:calcOnExit w:val="0"/>
                  <w:checkBox>
                    <w:sizeAuto/>
                    <w:default w:val="1"/>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Authority Required - In Writing (Public/Private)</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Check3"/>
                  <w:enabled/>
                  <w:calcOnExit w:val="0"/>
                  <w:checkBox>
                    <w:sizeAuto/>
                    <w:default w:val="1"/>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Authority Required – Telephone (Public/Private)</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 xml:space="preserve">Authority Required – Emergency </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Check5"/>
                  <w:enabled/>
                  <w:calcOnExit w:val="0"/>
                  <w:checkBox>
                    <w:sizeAuto/>
                    <w:default w:val="0"/>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sz w:val="18"/>
                <w:szCs w:val="18"/>
              </w:rPr>
              <w:t>Authority Required - Electronic</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fldChar w:fldCharType="begin">
                <w:ffData>
                  <w:name w:val="Check5"/>
                  <w:enabled/>
                  <w:calcOnExit w:val="0"/>
                  <w:checkBox>
                    <w:sizeAuto/>
                    <w:default w:val="1"/>
                  </w:checkBox>
                </w:ffData>
              </w:fldChar>
            </w:r>
            <w:r w:rsidRPr="004B7571">
              <w:rPr>
                <w:rFonts w:ascii="Arial Narrow" w:hAnsi="Arial Narrow" w:cs="Arial"/>
                <w:sz w:val="18"/>
                <w:szCs w:val="18"/>
              </w:rPr>
              <w:instrText xml:space="preserve"> FORMCHECKBOX </w:instrText>
            </w:r>
            <w:r w:rsidR="00A632EF">
              <w:rPr>
                <w:rFonts w:ascii="Arial Narrow" w:hAnsi="Arial Narrow" w:cs="Arial"/>
                <w:sz w:val="18"/>
                <w:szCs w:val="18"/>
              </w:rPr>
            </w:r>
            <w:r w:rsidR="00A632EF">
              <w:rPr>
                <w:rFonts w:ascii="Arial Narrow" w:hAnsi="Arial Narrow" w:cs="Arial"/>
                <w:sz w:val="18"/>
                <w:szCs w:val="18"/>
              </w:rPr>
              <w:fldChar w:fldCharType="separate"/>
            </w:r>
            <w:r w:rsidRPr="004B7571">
              <w:rPr>
                <w:rFonts w:ascii="Arial Narrow" w:hAnsi="Arial Narrow" w:cs="Arial"/>
                <w:sz w:val="18"/>
                <w:szCs w:val="18"/>
              </w:rPr>
              <w:fldChar w:fldCharType="end"/>
            </w:r>
            <w:r w:rsidRPr="004B7571">
              <w:rPr>
                <w:rFonts w:ascii="Arial Narrow" w:hAnsi="Arial Narrow" w:cs="Arial"/>
                <w:i/>
                <w:sz w:val="18"/>
                <w:szCs w:val="18"/>
              </w:rPr>
              <w:t xml:space="preserve">Streamlined </w:t>
            </w:r>
            <w:r w:rsidRPr="004B7571">
              <w:rPr>
                <w:rFonts w:ascii="Arial Narrow" w:hAnsi="Arial Narrow" w:cs="Arial"/>
                <w:sz w:val="18"/>
                <w:szCs w:val="18"/>
              </w:rPr>
              <w:t>(Public only)</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Clinical criteria:</w:t>
            </w:r>
          </w:p>
          <w:p w:rsidR="004D68A8" w:rsidRPr="004B7571" w:rsidRDefault="004D68A8" w:rsidP="004B7571">
            <w:pPr>
              <w:rPr>
                <w:rFonts w:ascii="Arial Narrow" w:hAnsi="Arial Narrow" w:cs="Arial"/>
                <w:i/>
                <w:sz w:val="18"/>
                <w:szCs w:val="18"/>
              </w:rPr>
            </w:pPr>
          </w:p>
          <w:p w:rsidR="004D68A8" w:rsidRPr="004B7571" w:rsidRDefault="004D68A8" w:rsidP="004B7571">
            <w:pPr>
              <w:rPr>
                <w:rFonts w:ascii="Arial Narrow" w:hAnsi="Arial Narrow" w:cs="Arial"/>
                <w:sz w:val="18"/>
                <w:szCs w:val="18"/>
              </w:rPr>
            </w:pP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t xml:space="preserve">Patient must have </w:t>
            </w:r>
            <w:r w:rsidRPr="004B7571">
              <w:rPr>
                <w:rFonts w:ascii="Arial Narrow" w:hAnsi="Arial Narrow" w:cs="Arial"/>
                <w:strike/>
                <w:sz w:val="18"/>
                <w:szCs w:val="18"/>
              </w:rPr>
              <w:t>received</w:t>
            </w:r>
            <w:r w:rsidRPr="004B7571">
              <w:rPr>
                <w:rFonts w:ascii="Arial Narrow" w:hAnsi="Arial Narrow" w:cs="Arial"/>
                <w:sz w:val="18"/>
                <w:szCs w:val="18"/>
              </w:rPr>
              <w:t xml:space="preserve"> </w:t>
            </w:r>
            <w:r w:rsidRPr="004B7571">
              <w:rPr>
                <w:rFonts w:ascii="Arial Narrow" w:hAnsi="Arial Narrow" w:cs="Arial"/>
                <w:i/>
                <w:sz w:val="18"/>
                <w:szCs w:val="18"/>
              </w:rPr>
              <w:t xml:space="preserve">undergone, </w:t>
            </w:r>
            <w:r w:rsidRPr="0088371C">
              <w:rPr>
                <w:rFonts w:ascii="Arial Narrow" w:hAnsi="Arial Narrow" w:cs="Arial"/>
                <w:i/>
                <w:strike/>
                <w:sz w:val="18"/>
                <w:szCs w:val="18"/>
              </w:rPr>
              <w:t xml:space="preserve">be undergoing </w:t>
            </w:r>
            <w:r w:rsidRPr="0088371C">
              <w:rPr>
                <w:rFonts w:ascii="Arial Narrow" w:hAnsi="Arial Narrow" w:cs="Arial"/>
                <w:strike/>
                <w:sz w:val="18"/>
                <w:szCs w:val="18"/>
              </w:rPr>
              <w:t xml:space="preserve">or be scheduled to receive  </w:t>
            </w:r>
            <w:r w:rsidRPr="0088371C">
              <w:rPr>
                <w:rFonts w:ascii="Arial Narrow" w:hAnsi="Arial Narrow" w:cs="Arial"/>
                <w:i/>
                <w:strike/>
                <w:sz w:val="18"/>
                <w:szCs w:val="18"/>
              </w:rPr>
              <w:t>for</w:t>
            </w:r>
            <w:r w:rsidRPr="004B7571">
              <w:rPr>
                <w:rFonts w:ascii="Arial Narrow" w:hAnsi="Arial Narrow" w:cs="Arial"/>
                <w:sz w:val="18"/>
                <w:szCs w:val="18"/>
              </w:rPr>
              <w:t xml:space="preserve"> an allogeneic haematopoietic stem cell transplant</w:t>
            </w:r>
            <w:r w:rsidRPr="004B7571">
              <w:rPr>
                <w:rFonts w:ascii="Arial Narrow" w:hAnsi="Arial Narrow" w:cs="Arial"/>
                <w:strike/>
                <w:sz w:val="18"/>
                <w:szCs w:val="18"/>
              </w:rPr>
              <w:t>;</w:t>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t>AND</w:t>
            </w:r>
            <w:r w:rsidRPr="004B7571">
              <w:rPr>
                <w:rFonts w:ascii="Arial Narrow" w:hAnsi="Arial Narrow" w:cs="Arial"/>
                <w:sz w:val="18"/>
                <w:szCs w:val="18"/>
              </w:rPr>
              <w:tab/>
            </w:r>
          </w:p>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t xml:space="preserve">The patient must have confirmed presence of </w:t>
            </w:r>
            <w:r w:rsidRPr="004B7571">
              <w:rPr>
                <w:rFonts w:ascii="Arial Narrow" w:hAnsi="Arial Narrow" w:cs="Arial"/>
                <w:strike/>
                <w:sz w:val="18"/>
                <w:szCs w:val="18"/>
              </w:rPr>
              <w:t>CMV</w:t>
            </w:r>
            <w:r w:rsidRPr="004B7571">
              <w:rPr>
                <w:rFonts w:ascii="Arial Narrow" w:hAnsi="Arial Narrow" w:cs="Arial"/>
                <w:i/>
                <w:sz w:val="18"/>
                <w:szCs w:val="18"/>
              </w:rPr>
              <w:t xml:space="preserve"> cytomegalovirus</w:t>
            </w:r>
            <w:r w:rsidRPr="004B7571">
              <w:rPr>
                <w:rFonts w:ascii="Arial Narrow" w:hAnsi="Arial Narrow" w:cs="Arial"/>
                <w:sz w:val="18"/>
                <w:szCs w:val="18"/>
              </w:rPr>
              <w:t xml:space="preserve"> -specific antibodies </w:t>
            </w:r>
            <w:r w:rsidRPr="004B7571">
              <w:rPr>
                <w:rFonts w:ascii="Arial Narrow" w:hAnsi="Arial Narrow" w:cs="Arial"/>
                <w:strike/>
                <w:sz w:val="18"/>
                <w:szCs w:val="18"/>
              </w:rPr>
              <w:t>(confirmed seropositivity)</w:t>
            </w:r>
            <w:r w:rsidRPr="004B7571">
              <w:rPr>
                <w:rFonts w:ascii="Arial Narrow" w:hAnsi="Arial Narrow" w:cs="Arial"/>
                <w:sz w:val="18"/>
                <w:szCs w:val="18"/>
              </w:rPr>
              <w:t>.</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Prescriber Instructions</w:t>
            </w:r>
          </w:p>
          <w:p w:rsidR="004D68A8" w:rsidRPr="004B7571" w:rsidRDefault="004D68A8" w:rsidP="004B7571">
            <w:pPr>
              <w:rPr>
                <w:rFonts w:ascii="Arial Narrow" w:hAnsi="Arial Narrow" w:cs="Arial"/>
                <w:sz w:val="18"/>
                <w:szCs w:val="18"/>
              </w:rPr>
            </w:pP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i/>
                <w:sz w:val="18"/>
                <w:szCs w:val="18"/>
              </w:rPr>
            </w:pPr>
            <w:r w:rsidRPr="004B7571">
              <w:rPr>
                <w:rFonts w:ascii="Arial Narrow" w:hAnsi="Arial Narrow" w:cs="Arial"/>
                <w:i/>
                <w:sz w:val="18"/>
                <w:szCs w:val="18"/>
              </w:rPr>
              <w:t>For patients who are not concurrently taking cyclosporin and letermovir, two packs of 28 tablets will need to be requested and authorised for dispensing.</w:t>
            </w:r>
          </w:p>
        </w:tc>
      </w:tr>
      <w:tr w:rsidR="004D68A8" w:rsidRPr="004B7571" w:rsidTr="00ED0209">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b/>
                <w:sz w:val="18"/>
                <w:szCs w:val="18"/>
              </w:rPr>
            </w:pPr>
            <w:r w:rsidRPr="004B7571">
              <w:rPr>
                <w:rFonts w:ascii="Arial Narrow" w:hAnsi="Arial Narrow" w:cs="Arial"/>
                <w:b/>
                <w:sz w:val="18"/>
                <w:szCs w:val="18"/>
              </w:rPr>
              <w:t>Administrative Advice</w:t>
            </w:r>
          </w:p>
          <w:p w:rsidR="004D68A8" w:rsidRPr="004B7571" w:rsidRDefault="004D68A8" w:rsidP="004B7571">
            <w:pPr>
              <w:rPr>
                <w:rFonts w:ascii="Arial Narrow" w:hAnsi="Arial Narrow" w:cs="Arial"/>
                <w:i/>
                <w:sz w:val="18"/>
                <w:szCs w:val="18"/>
              </w:rPr>
            </w:pPr>
          </w:p>
        </w:tc>
        <w:tc>
          <w:tcPr>
            <w:tcW w:w="6379" w:type="dxa"/>
            <w:gridSpan w:val="6"/>
            <w:tcBorders>
              <w:top w:val="single" w:sz="4" w:space="0" w:color="auto"/>
              <w:left w:val="single" w:sz="4" w:space="0" w:color="auto"/>
              <w:bottom w:val="single" w:sz="4" w:space="0" w:color="auto"/>
              <w:right w:val="single" w:sz="4" w:space="0" w:color="auto"/>
            </w:tcBorders>
          </w:tcPr>
          <w:p w:rsidR="004D68A8" w:rsidRPr="004B7571" w:rsidRDefault="004D68A8" w:rsidP="004B7571">
            <w:pPr>
              <w:rPr>
                <w:rFonts w:ascii="Arial Narrow" w:hAnsi="Arial Narrow" w:cs="Arial"/>
                <w:sz w:val="18"/>
                <w:szCs w:val="18"/>
              </w:rPr>
            </w:pPr>
            <w:r w:rsidRPr="004B7571">
              <w:rPr>
                <w:rFonts w:ascii="Arial Narrow" w:hAnsi="Arial Narrow" w:cs="Arial"/>
                <w:sz w:val="18"/>
                <w:szCs w:val="18"/>
              </w:rPr>
              <w:t>No increase in the maximum number of repeats will be authorised</w:t>
            </w:r>
          </w:p>
          <w:p w:rsidR="004D68A8" w:rsidRPr="004B7571" w:rsidRDefault="004D68A8" w:rsidP="004B7571">
            <w:pPr>
              <w:rPr>
                <w:rFonts w:ascii="Arial Narrow" w:hAnsi="Arial Narrow" w:cs="Arial"/>
                <w:sz w:val="18"/>
                <w:szCs w:val="18"/>
              </w:rPr>
            </w:pPr>
          </w:p>
          <w:p w:rsidR="004D68A8" w:rsidRPr="004B7571" w:rsidRDefault="004D68A8" w:rsidP="004B7571">
            <w:pPr>
              <w:rPr>
                <w:rFonts w:ascii="Arial Narrow" w:hAnsi="Arial Narrow" w:cs="Arial"/>
                <w:strike/>
                <w:sz w:val="18"/>
                <w:szCs w:val="18"/>
              </w:rPr>
            </w:pPr>
            <w:r w:rsidRPr="004B7571">
              <w:rPr>
                <w:rFonts w:ascii="Arial Narrow" w:hAnsi="Arial Narrow" w:cs="Arial"/>
                <w:strike/>
                <w:sz w:val="18"/>
                <w:szCs w:val="18"/>
              </w:rPr>
              <w:t>For patients who are not concurrently taking cyclosporin and letermovir, two packs of 28 tablets will need to be requested and authorised for dispensing.</w:t>
            </w:r>
          </w:p>
          <w:p w:rsidR="004D68A8" w:rsidRPr="004B7571" w:rsidRDefault="004D68A8" w:rsidP="004B7571">
            <w:pPr>
              <w:rPr>
                <w:rFonts w:ascii="Arial Narrow" w:hAnsi="Arial Narrow" w:cs="Arial"/>
                <w:strike/>
                <w:sz w:val="18"/>
                <w:szCs w:val="18"/>
              </w:rPr>
            </w:pPr>
          </w:p>
          <w:p w:rsidR="004D68A8" w:rsidRPr="004B7571" w:rsidRDefault="004D68A8" w:rsidP="004B7571">
            <w:pPr>
              <w:rPr>
                <w:rFonts w:ascii="Arial Narrow" w:hAnsi="Arial Narrow" w:cs="Arial"/>
                <w:strike/>
                <w:sz w:val="18"/>
                <w:szCs w:val="18"/>
              </w:rPr>
            </w:pPr>
            <w:r w:rsidRPr="004B7571">
              <w:rPr>
                <w:rFonts w:ascii="Arial Narrow" w:hAnsi="Arial Narrow" w:cs="Arial"/>
                <w:strike/>
                <w:sz w:val="18"/>
                <w:szCs w:val="18"/>
              </w:rPr>
              <w:t>Note: As an Authority Required medication, physicians will be required to provide whether the patient is concurrently taking cyclosporin. For patients who are not concurrently taking cyclosporin and letermovir, two packs of 28 tablets will need to be requested and authorised for dispensing. This is estimated to impact ~7% of patients treated with letermovir.</w:t>
            </w:r>
          </w:p>
        </w:tc>
      </w:tr>
    </w:tbl>
    <w:p w:rsidR="00B60939" w:rsidRPr="00882085" w:rsidRDefault="00B60939" w:rsidP="004B1CB4"/>
    <w:p w:rsidR="004E47CE" w:rsidRPr="00B45E7F" w:rsidRDefault="00967337" w:rsidP="009F1035">
      <w:pPr>
        <w:pStyle w:val="ListParagraph"/>
        <w:numPr>
          <w:ilvl w:val="1"/>
          <w:numId w:val="2"/>
        </w:numPr>
      </w:pPr>
      <w:r>
        <w:t xml:space="preserve">The submission stated </w:t>
      </w:r>
      <w:r w:rsidR="004E47CE" w:rsidRPr="00B45E7F">
        <w:t xml:space="preserve">that PBS listing is sought under the Highly Specialised Drugs (HSD) program, as ‘Public Hospital Authority Required’ and ‘Private Hospital Authority Required’.  The submission indicated that while letermovir is not for chronic treatment, having letermovir as a HSD would be appropriate as this therapy is likely to be dispensed in a hospital outpatient setting on the advice of specialists.  </w:t>
      </w:r>
      <w:r w:rsidR="002A1738" w:rsidRPr="00B45E7F">
        <w:rPr>
          <w:rFonts w:cs="Arial"/>
        </w:rPr>
        <w:t>The proposed restriction is like to be considered a non-Complex Authority Required (CAR) listing. A STREAMLINED Authority is appropriate for non-CAR HSD listings in the public hospital setting.</w:t>
      </w:r>
      <w:r w:rsidR="009F1035" w:rsidRPr="00B45E7F">
        <w:rPr>
          <w:rFonts w:cs="Arial"/>
        </w:rPr>
        <w:t xml:space="preserve"> The </w:t>
      </w:r>
      <w:r>
        <w:rPr>
          <w:rFonts w:cs="Arial"/>
        </w:rPr>
        <w:t>Pre-Sub-Committee Response (</w:t>
      </w:r>
      <w:r w:rsidR="009F1035" w:rsidRPr="00B45E7F">
        <w:rPr>
          <w:rFonts w:cs="Arial"/>
        </w:rPr>
        <w:t>PSCR</w:t>
      </w:r>
      <w:r>
        <w:rPr>
          <w:rFonts w:cs="Arial"/>
        </w:rPr>
        <w:t>)</w:t>
      </w:r>
      <w:r w:rsidR="009F1035" w:rsidRPr="00B45E7F">
        <w:rPr>
          <w:rFonts w:cs="Arial"/>
        </w:rPr>
        <w:t xml:space="preserve"> accepted the commentary feedback and is agreeable to aligning the requested restriction according to the changes proposed by the Secretariat</w:t>
      </w:r>
      <w:r w:rsidR="00C7033E" w:rsidRPr="00B45E7F">
        <w:rPr>
          <w:rFonts w:cs="Arial"/>
        </w:rPr>
        <w:t>.</w:t>
      </w:r>
    </w:p>
    <w:p w:rsidR="00591957" w:rsidRPr="00B45E7F" w:rsidRDefault="004E47CE" w:rsidP="007A12C6">
      <w:pPr>
        <w:pStyle w:val="ListParagraph"/>
        <w:numPr>
          <w:ilvl w:val="1"/>
          <w:numId w:val="2"/>
        </w:numPr>
      </w:pPr>
      <w:r w:rsidRPr="00B45E7F">
        <w:t>The submission added that clinician feedback has indicated that some HSCT recipients are treated solely in an outpatient setting and are not admitted for a transplant procedure.  On this basis, the submission requested that the number of repeats be sufficient to allow for at least 100 days of treatment.  The requested restriction will allow for 112 days of treatment, which is greater than the recommended 100 days of treatment, although with a pack size of 28 tablets it would not be possible to obtain concurrence with the recommended 100 days of treatment.  The submission provided no indication of the likely proportion of patients who would be treated solely in an outpatient setting.</w:t>
      </w:r>
    </w:p>
    <w:p w:rsidR="0020732F" w:rsidRPr="002914F1" w:rsidRDefault="009F1035" w:rsidP="009F1035">
      <w:pPr>
        <w:pStyle w:val="ListParagraph"/>
        <w:numPr>
          <w:ilvl w:val="1"/>
          <w:numId w:val="2"/>
        </w:numPr>
      </w:pPr>
      <w:r w:rsidRPr="00B45E7F">
        <w:t>The submission state</w:t>
      </w:r>
      <w:r w:rsidR="00B47B66" w:rsidRPr="00B45E7F">
        <w:t>d</w:t>
      </w:r>
      <w:r w:rsidRPr="00B45E7F">
        <w:t xml:space="preserve"> that a similar example of such dispensing behaviour is seen with eculizumab (Soliris) for the treatment of patients with atypical haemolytic uraemic syndrome (aHUS) in end stage renal disease who are eligible for a renal </w:t>
      </w:r>
      <w:r w:rsidRPr="00B45E7F">
        <w:lastRenderedPageBreak/>
        <w:t>transplant</w:t>
      </w:r>
      <w:r w:rsidR="00B47B66" w:rsidRPr="00B45E7F">
        <w:t>.</w:t>
      </w:r>
      <w:r w:rsidRPr="00B45E7F">
        <w:t xml:space="preserve"> </w:t>
      </w:r>
      <w:r w:rsidR="00FE5367" w:rsidRPr="00B45E7F">
        <w:t>In this situation, the PBAC indicated that in-patient treatment should not be subsidised by the PBS (paragraph 7.2, July 2017 eculizumab P</w:t>
      </w:r>
      <w:r w:rsidR="00217ECD">
        <w:t xml:space="preserve">ublic </w:t>
      </w:r>
      <w:r w:rsidR="00FE5367" w:rsidRPr="00B45E7F">
        <w:t>S</w:t>
      </w:r>
      <w:r w:rsidR="00217ECD">
        <w:t xml:space="preserve">ummary </w:t>
      </w:r>
      <w:r w:rsidR="00FE5367" w:rsidRPr="00B45E7F">
        <w:t>D</w:t>
      </w:r>
      <w:r w:rsidR="00217ECD">
        <w:t>ocument</w:t>
      </w:r>
      <w:r w:rsidR="00B8347F">
        <w:t xml:space="preserve">). </w:t>
      </w:r>
      <w:r w:rsidR="00FE5367" w:rsidRPr="00B45E7F">
        <w:t xml:space="preserve">The submission has requested to follow the precedence of eculizumab use in-hospital, and maintained that pre-approval and drug delivery in advance of transplant is possible and </w:t>
      </w:r>
      <w:r w:rsidR="00080F9E" w:rsidRPr="00B45E7F">
        <w:rPr>
          <w:rFonts w:asciiTheme="minorHAnsi" w:hAnsiTheme="minorHAnsi" w:cs="Arial"/>
        </w:rPr>
        <w:t>is likely to occur as the high cost of allogeneic HSCT incurred by the hospital is expected to prohibit further spending in this patient population</w:t>
      </w:r>
      <w:r w:rsidR="00FE5367" w:rsidRPr="00B45E7F">
        <w:t>.</w:t>
      </w:r>
      <w:r w:rsidR="002A1738" w:rsidRPr="00B45E7F">
        <w:rPr>
          <w:rFonts w:cs="Arial"/>
        </w:rPr>
        <w:t xml:space="preserve"> The July 2017 recommendation for the treatment of </w:t>
      </w:r>
      <w:r w:rsidR="002A1738" w:rsidRPr="00B45E7F">
        <w:t>patients with aHUS in end stage renal disease who are eligible for a renal transplant</w:t>
      </w:r>
      <w:r w:rsidR="002A1738" w:rsidRPr="00B45E7F">
        <w:rPr>
          <w:rFonts w:cs="Arial"/>
        </w:rPr>
        <w:t xml:space="preserve"> has not yet been listed on the PBS, so the final circumstance of the eculizumab restriction is not known.</w:t>
      </w:r>
      <w:r w:rsidR="00080F9E" w:rsidRPr="00B45E7F">
        <w:rPr>
          <w:rFonts w:asciiTheme="minorHAnsi" w:hAnsiTheme="minorHAnsi" w:cs="Arial"/>
        </w:rPr>
        <w:t xml:space="preserve"> The Secretariat </w:t>
      </w:r>
      <w:r w:rsidR="00B47B66" w:rsidRPr="00B45E7F">
        <w:rPr>
          <w:rFonts w:asciiTheme="minorHAnsi" w:hAnsiTheme="minorHAnsi" w:cs="Arial"/>
        </w:rPr>
        <w:t xml:space="preserve">noted </w:t>
      </w:r>
      <w:r w:rsidR="00080F9E" w:rsidRPr="00B45E7F">
        <w:rPr>
          <w:rFonts w:asciiTheme="minorHAnsi" w:hAnsiTheme="minorHAnsi" w:cs="Arial"/>
        </w:rPr>
        <w:t xml:space="preserve">in the Commentary </w:t>
      </w:r>
      <w:r w:rsidR="00B47B66" w:rsidRPr="00B45E7F">
        <w:rPr>
          <w:rFonts w:asciiTheme="minorHAnsi" w:hAnsiTheme="minorHAnsi" w:cs="Arial"/>
        </w:rPr>
        <w:t xml:space="preserve">that is </w:t>
      </w:r>
      <w:r w:rsidR="00080F9E" w:rsidRPr="00B45E7F">
        <w:rPr>
          <w:rFonts w:asciiTheme="minorHAnsi" w:hAnsiTheme="minorHAnsi" w:cs="Arial"/>
        </w:rPr>
        <w:t xml:space="preserve">was not </w:t>
      </w:r>
      <w:r w:rsidR="00B47B66" w:rsidRPr="00B45E7F">
        <w:rPr>
          <w:rFonts w:asciiTheme="minorHAnsi" w:hAnsiTheme="minorHAnsi" w:cs="Arial"/>
        </w:rPr>
        <w:t>clear</w:t>
      </w:r>
      <w:r w:rsidR="00080F9E" w:rsidRPr="00B45E7F">
        <w:rPr>
          <w:rFonts w:asciiTheme="minorHAnsi" w:hAnsiTheme="minorHAnsi" w:cs="Arial"/>
        </w:rPr>
        <w:t xml:space="preserve"> what this submission is requesting in regards to how letermovir is made available to a patient. This </w:t>
      </w:r>
      <w:r w:rsidR="0043589C" w:rsidRPr="00B45E7F">
        <w:rPr>
          <w:rFonts w:asciiTheme="minorHAnsi" w:hAnsiTheme="minorHAnsi" w:cs="Arial"/>
        </w:rPr>
        <w:t>issue</w:t>
      </w:r>
      <w:r w:rsidR="00080F9E" w:rsidRPr="00B45E7F">
        <w:rPr>
          <w:rFonts w:asciiTheme="minorHAnsi" w:hAnsiTheme="minorHAnsi" w:cs="Arial"/>
        </w:rPr>
        <w:t xml:space="preserve"> was not addressed in the PSCR. </w:t>
      </w:r>
    </w:p>
    <w:p w:rsidR="002914F1" w:rsidRPr="006F7B04" w:rsidRDefault="002914F1" w:rsidP="006F7B04">
      <w:pPr>
        <w:pStyle w:val="ListParagraph"/>
        <w:numPr>
          <w:ilvl w:val="1"/>
          <w:numId w:val="2"/>
        </w:numPr>
        <w:rPr>
          <w:rFonts w:asciiTheme="minorHAnsi" w:hAnsiTheme="minorHAnsi"/>
        </w:rPr>
      </w:pPr>
      <w:r w:rsidRPr="006F7B04">
        <w:rPr>
          <w:rFonts w:asciiTheme="minorHAnsi" w:hAnsiTheme="minorHAnsi"/>
        </w:rPr>
        <w:t xml:space="preserve">DUSC discussed several issues where the proposed restriction did not align with the clinical criteria in the P001 trial and the draft Product Information (PI): </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DUSC noted that although the draft PI stated that letermovir should be continued through 100 days post-transplant, the maximum duration of therapy of letermovir was not specified in the restriction.</w:t>
      </w:r>
      <w:r w:rsidR="004C1F24">
        <w:rPr>
          <w:rFonts w:asciiTheme="minorHAnsi" w:hAnsiTheme="minorHAnsi"/>
        </w:rPr>
        <w:t xml:space="preserve">  T</w:t>
      </w:r>
      <w:r w:rsidR="004C1F24" w:rsidRPr="004C1F24">
        <w:rPr>
          <w:rFonts w:asciiTheme="minorHAnsi" w:hAnsiTheme="minorHAnsi"/>
        </w:rPr>
        <w:t>he sponsor highlighted that it would be unlikely for patients to continue treatment beyond 100 days. However, DUSC noted that there is potential that the duration of treatment for letermovir may be longer in some patients due to the potential for rebound viraemia.</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In the P001 trial, letermovir was ceased if CMV infection developed. However, this was not specified in the draft PI or in the proposed restriction.</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The draft PI (concurrent with the P001 key inclusion criteria) stated that letermovir may be started on the day of transplant and no later than 28 days post-transplant. DUSC pointed out that this was not specified in the proposed restriction.</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DUSC considered that patients who are CMV</w:t>
      </w:r>
      <w:r w:rsidRPr="006F7B04">
        <w:rPr>
          <w:rFonts w:asciiTheme="minorHAnsi" w:hAnsiTheme="minorHAnsi"/>
        </w:rPr>
        <w:noBreakHyphen/>
        <w:t>seronegative may have a donor who is CMV</w:t>
      </w:r>
      <w:r w:rsidRPr="006F7B04">
        <w:rPr>
          <w:rFonts w:asciiTheme="minorHAnsi" w:hAnsiTheme="minorHAnsi"/>
        </w:rPr>
        <w:noBreakHyphen/>
        <w:t>seropositive and noted that the restriction did not specify when testing for CMV</w:t>
      </w:r>
      <w:r w:rsidRPr="006F7B04">
        <w:rPr>
          <w:rFonts w:asciiTheme="minorHAnsi" w:hAnsiTheme="minorHAnsi"/>
        </w:rPr>
        <w:noBreakHyphen/>
        <w:t>specific antibodies is to be undertaken.</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Patients who had detectable CMV infection were excluded from the P001 trial. This was not mentioned in the proposed restriction or in the draft PI.</w:t>
      </w:r>
      <w:r w:rsidR="00B92B6A">
        <w:rPr>
          <w:rFonts w:asciiTheme="minorHAnsi" w:hAnsiTheme="minorHAnsi"/>
        </w:rPr>
        <w:t xml:space="preserve"> </w:t>
      </w:r>
      <w:r w:rsidR="00B92B6A" w:rsidRPr="00B92B6A">
        <w:rPr>
          <w:rFonts w:asciiTheme="minorHAnsi" w:hAnsiTheme="minorHAnsi"/>
        </w:rPr>
        <w:t>This allows for use in patients with CMV infection where safety and effectiveness have not been established.</w:t>
      </w:r>
    </w:p>
    <w:p w:rsidR="002914F1" w:rsidRPr="006F7B04" w:rsidRDefault="002914F1" w:rsidP="0003348A">
      <w:pPr>
        <w:pStyle w:val="ListParagraph"/>
        <w:numPr>
          <w:ilvl w:val="0"/>
          <w:numId w:val="14"/>
        </w:numPr>
        <w:spacing w:after="0"/>
        <w:ind w:left="1077" w:hanging="357"/>
        <w:contextualSpacing/>
        <w:rPr>
          <w:rFonts w:asciiTheme="minorHAnsi" w:hAnsiTheme="minorHAnsi"/>
        </w:rPr>
      </w:pPr>
      <w:r w:rsidRPr="006F7B04">
        <w:rPr>
          <w:rFonts w:asciiTheme="minorHAnsi" w:hAnsiTheme="minorHAnsi"/>
        </w:rPr>
        <w:t xml:space="preserve">DUSC expressed concern that while the safety and efficacy of letermovir has not been established in paediatric patients under the age of 18 years, the proposed restriction did not impose age restrictions. </w:t>
      </w:r>
    </w:p>
    <w:p w:rsidR="006F7B04" w:rsidRPr="006F7B04" w:rsidRDefault="006F7B04" w:rsidP="009C09F7">
      <w:pPr>
        <w:pStyle w:val="Bulletpoints"/>
        <w:numPr>
          <w:ilvl w:val="0"/>
          <w:numId w:val="0"/>
        </w:numPr>
        <w:ind w:left="720"/>
      </w:pPr>
    </w:p>
    <w:p w:rsidR="006F7B04" w:rsidRPr="006F7B04" w:rsidRDefault="006F7B04" w:rsidP="006F7B04">
      <w:pPr>
        <w:pStyle w:val="ListParagraph"/>
        <w:numPr>
          <w:ilvl w:val="1"/>
          <w:numId w:val="2"/>
        </w:numPr>
      </w:pPr>
      <w:r w:rsidRPr="006F7B04">
        <w:t xml:space="preserve">The ESC </w:t>
      </w:r>
      <w:r>
        <w:t xml:space="preserve">and DUSC </w:t>
      </w:r>
      <w:r w:rsidRPr="006F7B04">
        <w:t>noted that the TGA Delegate Overview includes the proposed registration of ‘concentrated injection for infusion vial’.  The ESC requested that the sponsor includes in the pre-PBAC response an indication of whether the intravenous</w:t>
      </w:r>
      <w:r w:rsidR="004C1F24">
        <w:t xml:space="preserve"> (IV)</w:t>
      </w:r>
      <w:r w:rsidRPr="006F7B04">
        <w:t xml:space="preserve"> form of letermovir will be made available in Australia for use in a hospital setting. The ESC noted that severe mucositis and / or diarrhoea can occur in patients </w:t>
      </w:r>
      <w:r w:rsidRPr="006F7B04">
        <w:lastRenderedPageBreak/>
        <w:t>following allogeneic haematopoietic stem cell transplant (HSCT), where oral letermovir for 1-2 weeks</w:t>
      </w:r>
      <w:r w:rsidRPr="006F7B04">
        <w:rPr>
          <w:rStyle w:val="CommentReference"/>
        </w:rPr>
        <w:t xml:space="preserve"> </w:t>
      </w:r>
      <w:r w:rsidR="009C09F7">
        <w:t xml:space="preserve">may not be appropriate. </w:t>
      </w:r>
      <w:r w:rsidRPr="006F7B04">
        <w:t xml:space="preserve">If a patient was to receive intravenous letermovir for a period of time, the dispensing of 112 tablets as per the proposed listing would likely result in wastage. </w:t>
      </w:r>
    </w:p>
    <w:p w:rsidR="002914F1" w:rsidRDefault="006F7B04" w:rsidP="004C1F24">
      <w:pPr>
        <w:pStyle w:val="ListParagraph"/>
        <w:numPr>
          <w:ilvl w:val="1"/>
          <w:numId w:val="2"/>
        </w:numPr>
      </w:pPr>
      <w:r>
        <w:t>The Pre-PBAC response accepted</w:t>
      </w:r>
      <w:r w:rsidRPr="006F7B04">
        <w:t xml:space="preserve"> the DUSC feedback and </w:t>
      </w:r>
      <w:r>
        <w:t>wa</w:t>
      </w:r>
      <w:r w:rsidRPr="006F7B04">
        <w:t xml:space="preserve">s agreeable to aligning the requested restriction according to the issues raised </w:t>
      </w:r>
      <w:r>
        <w:t xml:space="preserve">by </w:t>
      </w:r>
      <w:r w:rsidRPr="006F7B04">
        <w:t>DUSC</w:t>
      </w:r>
      <w:r>
        <w:t xml:space="preserve">. </w:t>
      </w:r>
      <w:r w:rsidR="004C1F24">
        <w:t xml:space="preserve"> In addition, the Pre-PBAC response </w:t>
      </w:r>
      <w:r w:rsidR="004C1F24" w:rsidRPr="004C1F24">
        <w:t>advise</w:t>
      </w:r>
      <w:r w:rsidR="004C1F24">
        <w:t>d</w:t>
      </w:r>
      <w:r w:rsidR="004C1F24" w:rsidRPr="004C1F24">
        <w:t xml:space="preserve"> that the IV formulation of letermovir will be made available for use in a hospital setting. It is not expected that the use of the IV formulation will increase the likelihood of wastage, as patients will receive IV letermovir as an inpatient following the transplant procedure and are then expected to be discharged with letermovir tablets when they are able to tolerate oral formulations. The appropriate quantity of repeats to ensure therapy up to 100 days post-transplant is expected to be requested upon prescribing letermovir on discharge in these patients</w:t>
      </w:r>
      <w:r w:rsidR="00891AA3">
        <w:t>.</w:t>
      </w:r>
    </w:p>
    <w:p w:rsidR="0003348A" w:rsidRPr="0003348A" w:rsidRDefault="0003348A" w:rsidP="00967337">
      <w:pPr>
        <w:pStyle w:val="PBACHeading1"/>
        <w:numPr>
          <w:ilvl w:val="0"/>
          <w:numId w:val="0"/>
        </w:numPr>
        <w:ind w:left="720"/>
        <w:rPr>
          <w:rFonts w:asciiTheme="minorHAnsi" w:hAnsiTheme="minorHAnsi" w:cstheme="minorHAnsi"/>
          <w:b w:val="0"/>
          <w:i/>
          <w:sz w:val="24"/>
          <w:szCs w:val="24"/>
        </w:rPr>
      </w:pPr>
      <w:r w:rsidRPr="0003348A">
        <w:rPr>
          <w:rFonts w:asciiTheme="minorHAnsi" w:hAnsiTheme="minorHAnsi" w:cstheme="minorHAnsi"/>
          <w:b w:val="0"/>
          <w:i/>
          <w:sz w:val="24"/>
          <w:szCs w:val="24"/>
        </w:rPr>
        <w:t>For more detail on PBAC’s view, see section 7 PBAC outcome.</w:t>
      </w:r>
    </w:p>
    <w:p w:rsidR="00B50DB8" w:rsidRPr="00B45E7F" w:rsidRDefault="00B50DB8" w:rsidP="00967337">
      <w:pPr>
        <w:pStyle w:val="PBACHeading1"/>
        <w:spacing w:before="240" w:after="120"/>
        <w:outlineLvl w:val="0"/>
      </w:pPr>
      <w:bookmarkStart w:id="2" w:name="_Toc514242721"/>
      <w:r w:rsidRPr="00B45E7F">
        <w:t>Background</w:t>
      </w:r>
      <w:bookmarkEnd w:id="2"/>
    </w:p>
    <w:p w:rsidR="00B60939" w:rsidRPr="00CA3B62" w:rsidRDefault="00591957" w:rsidP="001F0352">
      <w:pPr>
        <w:widowControl w:val="0"/>
        <w:spacing w:before="240" w:after="120" w:line="276" w:lineRule="auto"/>
        <w:outlineLvl w:val="1"/>
        <w:rPr>
          <w:rFonts w:asciiTheme="minorHAnsi" w:hAnsiTheme="minorHAnsi" w:cs="Arial"/>
          <w:b/>
          <w:bCs/>
          <w:i/>
          <w:snapToGrid w:val="0"/>
          <w:sz w:val="28"/>
          <w:szCs w:val="28"/>
        </w:rPr>
      </w:pPr>
      <w:r w:rsidRPr="00CA3B62">
        <w:rPr>
          <w:rFonts w:asciiTheme="minorHAnsi" w:hAnsiTheme="minorHAnsi" w:cs="Arial"/>
          <w:b/>
          <w:bCs/>
          <w:i/>
          <w:snapToGrid w:val="0"/>
          <w:sz w:val="28"/>
          <w:szCs w:val="28"/>
        </w:rPr>
        <w:t>Registration status</w:t>
      </w:r>
    </w:p>
    <w:p w:rsidR="00471E65" w:rsidRPr="00B45E7F" w:rsidRDefault="005B7AE9" w:rsidP="007A12C6">
      <w:pPr>
        <w:pStyle w:val="ListParagraph"/>
        <w:numPr>
          <w:ilvl w:val="1"/>
          <w:numId w:val="2"/>
        </w:numPr>
      </w:pPr>
      <w:r w:rsidRPr="00B45E7F">
        <w:t xml:space="preserve">The submission was made under the TGA/PBAC parallel process. </w:t>
      </w:r>
      <w:r w:rsidR="00764890">
        <w:t xml:space="preserve">At the time of the PBAC consideration, letermovir was registered on the ARTG (22 June 2018). </w:t>
      </w:r>
      <w:r w:rsidRPr="00B45E7F">
        <w:t xml:space="preserve">At the time of </w:t>
      </w:r>
      <w:r w:rsidR="00F32EE1" w:rsidRPr="00B45E7F">
        <w:t>ESC Advice</w:t>
      </w:r>
      <w:r w:rsidRPr="00B45E7F">
        <w:t xml:space="preserve">, </w:t>
      </w:r>
      <w:r w:rsidR="007A12C6" w:rsidRPr="00B45E7F">
        <w:t>an extract of the round 2 Clinical Evaluation Report (CER) and the TGA Delegate’s Overview</w:t>
      </w:r>
      <w:r w:rsidR="0089615E">
        <w:t xml:space="preserve"> </w:t>
      </w:r>
      <w:r w:rsidR="00374D70">
        <w:t>were</w:t>
      </w:r>
      <w:r w:rsidR="0089615E">
        <w:t xml:space="preserve"> available.</w:t>
      </w:r>
      <w:r w:rsidR="007A12C6" w:rsidRPr="00B45E7F">
        <w:t xml:space="preserve"> At the time of the evaluation, </w:t>
      </w:r>
      <w:r w:rsidRPr="00B45E7F">
        <w:t>the round 1 CER was available.</w:t>
      </w:r>
      <w:r w:rsidR="007A12C6" w:rsidRPr="00B45E7F">
        <w:t xml:space="preserve"> </w:t>
      </w:r>
    </w:p>
    <w:p w:rsidR="00471E65" w:rsidRPr="00B45E7F" w:rsidRDefault="00471E65" w:rsidP="0089615E">
      <w:pPr>
        <w:pStyle w:val="ListParagraph"/>
        <w:numPr>
          <w:ilvl w:val="1"/>
          <w:numId w:val="2"/>
        </w:numPr>
      </w:pPr>
      <w:r w:rsidRPr="00B45E7F">
        <w:t>The submission stated that letermovir has been granted regulatory approval in the USA (November 2017), Canada (November 2017) and the European Union (January 2018).</w:t>
      </w:r>
      <w:r w:rsidR="0089615E">
        <w:t xml:space="preserve"> The TGA Delegate’s Overview stated the advice of the Advisory Committee on Medicines was not sought for this TGA submission, as the evaluations by the TGA and overseas assessment reports were deemed to be sufficient. </w:t>
      </w:r>
    </w:p>
    <w:p w:rsidR="007A12C6" w:rsidRPr="00B45E7F" w:rsidRDefault="007A12C6" w:rsidP="007A12C6">
      <w:pPr>
        <w:pStyle w:val="ListParagraph"/>
        <w:numPr>
          <w:ilvl w:val="1"/>
          <w:numId w:val="2"/>
        </w:numPr>
      </w:pPr>
      <w:r w:rsidRPr="00B45E7F">
        <w:t xml:space="preserve">The </w:t>
      </w:r>
      <w:r w:rsidR="00D97EA0">
        <w:t xml:space="preserve">final </w:t>
      </w:r>
      <w:r w:rsidR="00764890">
        <w:t xml:space="preserve">Product </w:t>
      </w:r>
      <w:r w:rsidR="00891AA3">
        <w:t>I</w:t>
      </w:r>
      <w:r w:rsidR="00764890">
        <w:t>nformation</w:t>
      </w:r>
      <w:r w:rsidRPr="00B45E7F">
        <w:t xml:space="preserve"> </w:t>
      </w:r>
      <w:r w:rsidR="00382A93">
        <w:t>states</w:t>
      </w:r>
      <w:r w:rsidRPr="00B45E7F">
        <w:t>:</w:t>
      </w:r>
    </w:p>
    <w:p w:rsidR="00382A93" w:rsidRDefault="00382A93" w:rsidP="0003348A">
      <w:pPr>
        <w:pStyle w:val="ListParagraph"/>
        <w:numPr>
          <w:ilvl w:val="1"/>
          <w:numId w:val="11"/>
        </w:numPr>
        <w:ind w:left="1077" w:hanging="357"/>
      </w:pPr>
      <w:r>
        <w:t>I</w:t>
      </w:r>
      <w:r w:rsidR="007A12C6" w:rsidRPr="00B45E7F">
        <w:t xml:space="preserve">ndication is for the prophylaxis of cytomegalovirus (CMV) infection or disease in adult CMV seropositive recipients [R+] of an allogeneic hematopoietic stem cell transplant (HSCT).’ </w:t>
      </w:r>
    </w:p>
    <w:p w:rsidR="00382A93" w:rsidRDefault="00382A93" w:rsidP="0003348A">
      <w:pPr>
        <w:pStyle w:val="ListParagraph"/>
        <w:numPr>
          <w:ilvl w:val="1"/>
          <w:numId w:val="11"/>
        </w:numPr>
        <w:ind w:left="1077" w:hanging="357"/>
      </w:pPr>
      <w:r w:rsidRPr="00382A93">
        <w:t xml:space="preserve">The recommended dosage of PREVYMIS is 480 mg administered once daily. </w:t>
      </w:r>
    </w:p>
    <w:p w:rsidR="00382A93" w:rsidRDefault="00382A93" w:rsidP="0003348A">
      <w:pPr>
        <w:pStyle w:val="ListParagraph"/>
        <w:numPr>
          <w:ilvl w:val="1"/>
          <w:numId w:val="11"/>
        </w:numPr>
        <w:ind w:left="1077" w:hanging="357"/>
      </w:pPr>
      <w:r w:rsidRPr="00764890">
        <w:t>PREVYMIS should be started after HSCT. PREVYMIS may be started on the day of transplant and no later than 28 days post-transplant. PREVYMIS may be started before or after engraftment. Continue PREVYMIS through 100 days post-transplant</w:t>
      </w:r>
      <w:r>
        <w:t xml:space="preserve"> </w:t>
      </w:r>
    </w:p>
    <w:p w:rsidR="00382A93" w:rsidRDefault="00382A93" w:rsidP="0003348A">
      <w:pPr>
        <w:pStyle w:val="ListParagraph"/>
        <w:numPr>
          <w:ilvl w:val="1"/>
          <w:numId w:val="11"/>
        </w:numPr>
        <w:ind w:left="1077" w:hanging="357"/>
      </w:pPr>
      <w:r w:rsidRPr="00764890">
        <w:lastRenderedPageBreak/>
        <w:t>PREVYMIS</w:t>
      </w:r>
      <w:r w:rsidR="007A12C6" w:rsidRPr="00B45E7F">
        <w:t xml:space="preserve"> tablet and concentrated injection for infusion may be used interchangeably at the discretion of the physician, and no dose adjustment is necessary.</w:t>
      </w:r>
    </w:p>
    <w:p w:rsidR="00764890" w:rsidRDefault="00382A93" w:rsidP="0003348A">
      <w:pPr>
        <w:pStyle w:val="ListParagraph"/>
        <w:numPr>
          <w:ilvl w:val="1"/>
          <w:numId w:val="11"/>
        </w:numPr>
        <w:ind w:left="1077" w:hanging="357"/>
      </w:pPr>
      <w:r w:rsidRPr="00382A93">
        <w:t>If PREVYMIS is co-administered with c</w:t>
      </w:r>
      <w:r w:rsidR="00891AA3">
        <w:t>y</w:t>
      </w:r>
      <w:r w:rsidRPr="00382A93">
        <w:t>closporin, the dosage of PREVYMIS should be decreased to 240 mg once daily</w:t>
      </w:r>
    </w:p>
    <w:p w:rsidR="00471E65" w:rsidRPr="00764890" w:rsidRDefault="00764890" w:rsidP="00967337">
      <w:pPr>
        <w:ind w:firstLine="720"/>
        <w:rPr>
          <w:i/>
        </w:rPr>
      </w:pPr>
      <w:r w:rsidRPr="00764890">
        <w:rPr>
          <w:i/>
        </w:rPr>
        <w:t>For more detail on PBAC’s view, see section 7 PBAC outcome.</w:t>
      </w:r>
    </w:p>
    <w:p w:rsidR="00B60939" w:rsidRPr="00B45E7F" w:rsidRDefault="00203181" w:rsidP="00B60939">
      <w:pPr>
        <w:pStyle w:val="PBACHeading1"/>
        <w:spacing w:before="240" w:after="120"/>
        <w:outlineLvl w:val="0"/>
      </w:pPr>
      <w:bookmarkStart w:id="3" w:name="_Toc514242722"/>
      <w:r w:rsidRPr="00B45E7F">
        <w:t xml:space="preserve">Population and </w:t>
      </w:r>
      <w:r w:rsidR="008E0D3C" w:rsidRPr="00B45E7F">
        <w:t>d</w:t>
      </w:r>
      <w:r w:rsidRPr="00B45E7F">
        <w:t>isease</w:t>
      </w:r>
      <w:bookmarkEnd w:id="3"/>
    </w:p>
    <w:p w:rsidR="009C5F03" w:rsidRPr="00B45E7F" w:rsidRDefault="00F71268" w:rsidP="007A12C6">
      <w:pPr>
        <w:pStyle w:val="ListParagraph"/>
        <w:numPr>
          <w:ilvl w:val="1"/>
          <w:numId w:val="2"/>
        </w:numPr>
      </w:pPr>
      <w:r w:rsidRPr="00B45E7F">
        <w:t xml:space="preserve">CMV infection or CMV viraemia refers to the presence of viral proteins or nucleic acid in body fluids or tissue.  It has been estimated that CMV infects </w:t>
      </w:r>
      <w:proofErr w:type="gramStart"/>
      <w:r w:rsidRPr="00B45E7F">
        <w:t>between 40% to 90% of all individuals worldwide</w:t>
      </w:r>
      <w:proofErr w:type="gramEnd"/>
      <w:r w:rsidRPr="00B45E7F">
        <w:t>.  Following initial infection, CMV establishes a life-long latent infection in the host.  Individuals who carry latent CMV are sero-positive.  A sero-survey of CMV in Australia demonstrated that the population-weighted rate of CMV sero-positivity in individuals aged between 1 to 59 years was 57%.</w:t>
      </w:r>
    </w:p>
    <w:p w:rsidR="006740ED" w:rsidRPr="00B45E7F" w:rsidRDefault="00017B53" w:rsidP="007A12C6">
      <w:pPr>
        <w:pStyle w:val="ListParagraph"/>
        <w:numPr>
          <w:ilvl w:val="1"/>
          <w:numId w:val="2"/>
        </w:numPr>
      </w:pPr>
      <w:r w:rsidRPr="00B45E7F">
        <w:t>F</w:t>
      </w:r>
      <w:r w:rsidR="006740ED" w:rsidRPr="00B45E7F">
        <w:t>ollowing haematopoiet</w:t>
      </w:r>
      <w:r w:rsidRPr="00B45E7F">
        <w:t xml:space="preserve">ic stem cell transplant (HSCT) </w:t>
      </w:r>
      <w:r w:rsidR="006740ED" w:rsidRPr="00B45E7F">
        <w:t>patients are at risk of developing opportunistic infections such as CMV due to the immunosuppressive regimens used as part of the transplant process.</w:t>
      </w:r>
      <w:r w:rsidR="00131E55" w:rsidRPr="00B45E7F">
        <w:t xml:space="preserve">  CMV infection ha</w:t>
      </w:r>
      <w:r w:rsidR="001F6053" w:rsidRPr="00B45E7F">
        <w:t>s</w:t>
      </w:r>
      <w:r w:rsidR="00131E55" w:rsidRPr="00B45E7F">
        <w:t xml:space="preserve"> </w:t>
      </w:r>
      <w:r w:rsidR="001F6053" w:rsidRPr="00B45E7F">
        <w:t>been associated with an increased risk of bacterial and fungal infections, graft rejection, inc</w:t>
      </w:r>
      <w:r w:rsidR="00131E55" w:rsidRPr="00B45E7F">
        <w:t>r</w:t>
      </w:r>
      <w:r w:rsidR="001F6053" w:rsidRPr="00B45E7F">
        <w:t>eased health care costs and decreased survival</w:t>
      </w:r>
      <w:r w:rsidR="00131E55" w:rsidRPr="00B45E7F">
        <w:t>.</w:t>
      </w:r>
    </w:p>
    <w:p w:rsidR="00F16185" w:rsidRPr="00B45E7F" w:rsidRDefault="00123E22" w:rsidP="007A12C6">
      <w:pPr>
        <w:pStyle w:val="ListParagraph"/>
        <w:numPr>
          <w:ilvl w:val="1"/>
          <w:numId w:val="2"/>
        </w:numPr>
      </w:pPr>
      <w:r w:rsidRPr="00B45E7F">
        <w:t>CMV infection is currently managed with prophylactic treatm</w:t>
      </w:r>
      <w:r w:rsidR="00A95932">
        <w:t>ent with anti</w:t>
      </w:r>
      <w:r w:rsidRPr="00B45E7F">
        <w:t>viral medications, which the submission stated was limited by toxicities with the use of these agents such as ganciclovir.  CMV infection has also been managed with the use of pre-emptive therapy (PET) wh</w:t>
      </w:r>
      <w:r w:rsidR="00A95932">
        <w:t>ich consists of the use of anti</w:t>
      </w:r>
      <w:r w:rsidRPr="00B45E7F">
        <w:t>virals following detection of CMV and aims to treat the detected CMV infection and prevent development of symptoms and CMV disease.</w:t>
      </w:r>
    </w:p>
    <w:p w:rsidR="00764890" w:rsidRDefault="00F16185" w:rsidP="00764890">
      <w:pPr>
        <w:pStyle w:val="ListParagraph"/>
        <w:numPr>
          <w:ilvl w:val="1"/>
          <w:numId w:val="2"/>
        </w:numPr>
      </w:pPr>
      <w:r w:rsidRPr="00B45E7F">
        <w:t>Letermovir is proposed for use as prophylactic therapy for CMV infection, with treatment commencing within 28 days of HSCT.</w:t>
      </w:r>
    </w:p>
    <w:p w:rsidR="00E55BB5" w:rsidRPr="00967337" w:rsidRDefault="00764890" w:rsidP="00967337">
      <w:pPr>
        <w:pStyle w:val="Header"/>
        <w:ind w:left="720"/>
        <w:rPr>
          <w:i/>
        </w:rPr>
      </w:pPr>
      <w:r w:rsidRPr="00764890">
        <w:rPr>
          <w:i/>
        </w:rPr>
        <w:t>For more detail on PBAC’s view, see section 7 PBAC outcome.</w:t>
      </w:r>
    </w:p>
    <w:p w:rsidR="00B60939" w:rsidRPr="00B45E7F" w:rsidRDefault="00B50DB8" w:rsidP="004B1CB4">
      <w:pPr>
        <w:pStyle w:val="PBACHeading1"/>
        <w:spacing w:before="240" w:after="120"/>
        <w:outlineLvl w:val="0"/>
      </w:pPr>
      <w:bookmarkStart w:id="4" w:name="_Toc514242723"/>
      <w:r w:rsidRPr="00B45E7F">
        <w:t>Comparator</w:t>
      </w:r>
      <w:bookmarkEnd w:id="4"/>
    </w:p>
    <w:p w:rsidR="00954F32" w:rsidRPr="00B45E7F" w:rsidRDefault="00954F32" w:rsidP="007A12C6">
      <w:pPr>
        <w:pStyle w:val="ListParagraph"/>
        <w:numPr>
          <w:ilvl w:val="1"/>
          <w:numId w:val="2"/>
        </w:numPr>
      </w:pPr>
      <w:r w:rsidRPr="00B45E7F">
        <w:t>The submission nominated placebo as the main comparator</w:t>
      </w:r>
      <w:r w:rsidR="00AE48D1" w:rsidRPr="00B45E7F">
        <w:t xml:space="preserve"> as the majority of patients in Australia do not receive prophylaxis for CMV infection </w:t>
      </w:r>
      <w:r w:rsidR="00DC25AD" w:rsidRPr="00B45E7F">
        <w:t>following</w:t>
      </w:r>
      <w:r w:rsidR="00AE48D1" w:rsidRPr="00B45E7F">
        <w:t xml:space="preserve"> HSCT.</w:t>
      </w:r>
      <w:r w:rsidR="00D96219" w:rsidRPr="00B45E7F">
        <w:t xml:space="preserve">  To support this cla</w:t>
      </w:r>
      <w:r w:rsidR="0021331F" w:rsidRPr="00B45E7F">
        <w:t>im the submission cited</w:t>
      </w:r>
      <w:r w:rsidR="00D96219" w:rsidRPr="00B45E7F">
        <w:t xml:space="preserve"> data from the </w:t>
      </w:r>
      <w:r w:rsidR="00D84E0E" w:rsidRPr="00B45E7F">
        <w:rPr>
          <w:lang w:val="en-US"/>
        </w:rPr>
        <w:t xml:space="preserve">Australasian Bone </w:t>
      </w:r>
      <w:r w:rsidR="00D96219" w:rsidRPr="00B45E7F">
        <w:t>Marrow Transplant Recipient Registry (ABMTRR</w:t>
      </w:r>
      <w:r w:rsidR="00E852E5" w:rsidRPr="00B45E7F">
        <w:rPr>
          <w:rStyle w:val="FootnoteReference"/>
        </w:rPr>
        <w:footnoteReference w:id="1"/>
      </w:r>
      <w:r w:rsidR="00D96219" w:rsidRPr="00B45E7F">
        <w:t xml:space="preserve">) which indicated that </w:t>
      </w:r>
      <w:r w:rsidR="004569C1">
        <w:rPr>
          <w:noProof/>
          <w:color w:val="000000"/>
          <w:highlight w:val="black"/>
        </w:rPr>
        <w:t>'''''</w:t>
      </w:r>
      <w:r w:rsidR="00D96219" w:rsidRPr="00B45E7F">
        <w:t>% of Australian patients receive a prophylaxis strategy using ganciclovir following HSCT.</w:t>
      </w:r>
      <w:r w:rsidR="002F7B56" w:rsidRPr="00B45E7F">
        <w:t xml:space="preserve">  The </w:t>
      </w:r>
      <w:r w:rsidR="002F7B56" w:rsidRPr="00B45E7F">
        <w:lastRenderedPageBreak/>
        <w:t xml:space="preserve">ABMTRR data provided with the submission indicated that approximately </w:t>
      </w:r>
      <w:r w:rsidR="004569C1">
        <w:rPr>
          <w:noProof/>
          <w:color w:val="000000"/>
          <w:highlight w:val="black"/>
        </w:rPr>
        <w:t>'''''</w:t>
      </w:r>
      <w:r w:rsidR="002F7B56" w:rsidRPr="00B45E7F">
        <w:t>% of CMV sero-positive patients had used ganciclovir for CMV prophylaxis (Table 9, Attachment 1 of the submission).</w:t>
      </w:r>
      <w:r w:rsidR="00F73E44" w:rsidRPr="00B45E7F">
        <w:t xml:space="preserve">  The submission also stated that clinician feedback was sought and this feedback universally indicated a lack of routine prophylaxis in Australian transplant centres, and that clinicians report that the toxicities experienced with current anti-CMV agents prohibit prophylaxis in this patient group.  The submission did not provide any information on the how this clinician feedback was sourced, or how many clinicians provided feedback.</w:t>
      </w:r>
      <w:r w:rsidR="00CE4553" w:rsidRPr="00CE4553">
        <w:t xml:space="preserve"> </w:t>
      </w:r>
      <w:r w:rsidR="00CE4553">
        <w:t>The PBAC noted that PET became possible since the development of quantitative PCR assays.</w:t>
      </w:r>
    </w:p>
    <w:p w:rsidR="00747ED8" w:rsidRPr="00B45E7F" w:rsidRDefault="00747ED8" w:rsidP="007A12C6">
      <w:pPr>
        <w:pStyle w:val="ListParagraph"/>
        <w:numPr>
          <w:ilvl w:val="1"/>
          <w:numId w:val="2"/>
        </w:numPr>
      </w:pPr>
      <w:r w:rsidRPr="00B45E7F">
        <w:rPr>
          <w:rFonts w:cs="Calibri"/>
        </w:rPr>
        <w:t>PBS statistics for use of ganciclovir for CMV prophylaxis (PBS items 5749N and 6136Y) indicated that there were 259 services in 2016 and 300 in 2017.  The submission estimated a patient population of 375 patients in Year 1 for letermovir with each patient using 3.21 packs per year (1 pack per script).  Since the ganciclovir PI indicates dosing is on an individual case-by-case basis (</w:t>
      </w:r>
      <w:r w:rsidR="00374D70" w:rsidRPr="00B45E7F">
        <w:rPr>
          <w:rFonts w:cs="Calibri"/>
        </w:rPr>
        <w:t>i.e.</w:t>
      </w:r>
      <w:r w:rsidRPr="00B45E7F">
        <w:rPr>
          <w:rFonts w:cs="Calibri"/>
        </w:rPr>
        <w:t xml:space="preserve"> 10 mg/kg for 14 to 21 days for induction and 5mg/kg once daily 7 days per week or 6mg/kg once daily for 5 days per week for maintenance) and the drug is supplied as 5 vials of a 500mg injection, the current PBS statistics for ganciclovir as prophylaxis (</w:t>
      </w:r>
      <w:r w:rsidR="003C735F" w:rsidRPr="00B45E7F">
        <w:rPr>
          <w:rFonts w:cs="Calibri"/>
        </w:rPr>
        <w:t>e.g.</w:t>
      </w:r>
      <w:r w:rsidRPr="00B45E7F">
        <w:rPr>
          <w:rFonts w:cs="Calibri"/>
        </w:rPr>
        <w:t xml:space="preserve"> 300 scripts in 2017) would match usage for 60 patients assuming PI dosing is used and an averag</w:t>
      </w:r>
      <w:r w:rsidR="006D0EAA" w:rsidRPr="00B45E7F">
        <w:rPr>
          <w:rFonts w:cs="Calibri"/>
        </w:rPr>
        <w:t>e weight of 80kg per patient w</w:t>
      </w:r>
      <w:r w:rsidRPr="00B45E7F">
        <w:rPr>
          <w:rFonts w:cs="Calibri"/>
        </w:rPr>
        <w:t xml:space="preserve">hich, </w:t>
      </w:r>
      <w:r w:rsidR="002F7B56" w:rsidRPr="00B45E7F">
        <w:rPr>
          <w:rFonts w:cs="Calibri"/>
        </w:rPr>
        <w:t>wa</w:t>
      </w:r>
      <w:r w:rsidRPr="00B45E7F">
        <w:rPr>
          <w:rFonts w:cs="Calibri"/>
        </w:rPr>
        <w:t>s 16% of the 375 patients estimated by the submission to be treated with letermovir in Year 1 of PBS listing.</w:t>
      </w:r>
    </w:p>
    <w:p w:rsidR="001933BF" w:rsidRPr="00B45E7F" w:rsidRDefault="001933BF" w:rsidP="007A12C6">
      <w:pPr>
        <w:pStyle w:val="ListParagraph"/>
        <w:numPr>
          <w:ilvl w:val="1"/>
          <w:numId w:val="2"/>
        </w:numPr>
      </w:pPr>
      <w:r w:rsidRPr="00B45E7F">
        <w:t>Other agencies (</w:t>
      </w:r>
      <w:r w:rsidR="006D0EAA" w:rsidRPr="00B45E7F">
        <w:t>e.g.</w:t>
      </w:r>
      <w:r w:rsidRPr="00B45E7F">
        <w:t xml:space="preserve"> NICE</w:t>
      </w:r>
      <w:r w:rsidRPr="00B45E7F">
        <w:rPr>
          <w:rStyle w:val="FootnoteReference"/>
        </w:rPr>
        <w:footnoteReference w:id="2"/>
      </w:r>
      <w:r w:rsidRPr="00B45E7F">
        <w:t xml:space="preserve"> ) are including antivirals (ac</w:t>
      </w:r>
      <w:r w:rsidR="00C44669" w:rsidRPr="00B45E7F">
        <w:t>i</w:t>
      </w:r>
      <w:r w:rsidRPr="00B45E7F">
        <w:t xml:space="preserve">clovir and valaciclovir) as comparators for letermovir. The ABMTRR data provided with the submission indicated that approximately </w:t>
      </w:r>
      <w:r w:rsidR="004569C1">
        <w:rPr>
          <w:noProof/>
          <w:color w:val="000000"/>
          <w:highlight w:val="black"/>
        </w:rPr>
        <w:t>'''''</w:t>
      </w:r>
      <w:r w:rsidRPr="00B45E7F">
        <w:t xml:space="preserve">% of CMV sero-positive patients </w:t>
      </w:r>
      <w:r w:rsidR="00D84E0E" w:rsidRPr="00B45E7F">
        <w:t xml:space="preserve">and approximately </w:t>
      </w:r>
      <w:r w:rsidR="004569C1">
        <w:rPr>
          <w:noProof/>
          <w:color w:val="000000"/>
          <w:highlight w:val="black"/>
        </w:rPr>
        <w:t>''''''</w:t>
      </w:r>
      <w:r w:rsidR="00D84E0E" w:rsidRPr="00B45E7F">
        <w:t xml:space="preserve">% of CMV sero-negative patients </w:t>
      </w:r>
      <w:r w:rsidRPr="00B45E7F">
        <w:t xml:space="preserve">had used </w:t>
      </w:r>
      <w:r w:rsidR="00C44669" w:rsidRPr="00B45E7F">
        <w:t>aciclovir, valaciclovir or valganciclovir</w:t>
      </w:r>
      <w:r w:rsidRPr="00B45E7F">
        <w:t xml:space="preserve"> for CMV prophylaxis</w:t>
      </w:r>
      <w:r w:rsidR="00FE7BB6" w:rsidRPr="00B45E7F">
        <w:t xml:space="preserve"> </w:t>
      </w:r>
      <w:r w:rsidRPr="00B45E7F">
        <w:t>(Table 9, Attachment 1 of the submission).</w:t>
      </w:r>
      <w:r w:rsidR="00FE7BB6" w:rsidRPr="00B45E7F">
        <w:t xml:space="preserve"> </w:t>
      </w:r>
      <w:r w:rsidR="00B908A4" w:rsidRPr="00B45E7F">
        <w:t xml:space="preserve"> In this Table 9, ‘Recipient CMV status’ nor ‘CMV prophylaxis’ was not reported for </w:t>
      </w:r>
      <w:r w:rsidR="004569C1">
        <w:rPr>
          <w:noProof/>
          <w:color w:val="000000"/>
          <w:highlight w:val="black"/>
        </w:rPr>
        <w:t>'''''''</w:t>
      </w:r>
      <w:r w:rsidR="00B908A4" w:rsidRPr="00B45E7F">
        <w:t xml:space="preserve"> patients of the total </w:t>
      </w:r>
      <w:r w:rsidR="004569C1">
        <w:rPr>
          <w:noProof/>
          <w:color w:val="000000"/>
          <w:highlight w:val="black"/>
        </w:rPr>
        <w:t>'''''''''''</w:t>
      </w:r>
      <w:r w:rsidR="00B908A4" w:rsidRPr="00B45E7F">
        <w:t xml:space="preserve"> patients (</w:t>
      </w:r>
      <w:r w:rsidR="004569C1">
        <w:rPr>
          <w:noProof/>
          <w:color w:val="000000"/>
          <w:highlight w:val="black"/>
        </w:rPr>
        <w:t>'''''</w:t>
      </w:r>
      <w:r w:rsidR="00B908A4" w:rsidRPr="00B45E7F">
        <w:t>%).</w:t>
      </w:r>
    </w:p>
    <w:p w:rsidR="00BC37CE" w:rsidRPr="00B45E7F" w:rsidRDefault="0047122D" w:rsidP="007A12C6">
      <w:pPr>
        <w:pStyle w:val="ListParagraph"/>
        <w:numPr>
          <w:ilvl w:val="1"/>
          <w:numId w:val="2"/>
        </w:numPr>
      </w:pPr>
      <w:r>
        <w:rPr>
          <w:rFonts w:cs="Calibri"/>
        </w:rPr>
        <w:t xml:space="preserve">The evaluation considered it </w:t>
      </w:r>
      <w:r w:rsidRPr="00B45E7F">
        <w:rPr>
          <w:rFonts w:cs="Calibri"/>
        </w:rPr>
        <w:t>was reasonable to use placebo as the comparator</w:t>
      </w:r>
      <w:r>
        <w:rPr>
          <w:rFonts w:cs="Calibri"/>
        </w:rPr>
        <w:t>, as there is</w:t>
      </w:r>
      <w:r w:rsidR="00347D7B" w:rsidRPr="00B45E7F">
        <w:rPr>
          <w:rFonts w:cs="Calibri"/>
        </w:rPr>
        <w:t xml:space="preserve"> limited use of ganciclovir as prophylaxis for </w:t>
      </w:r>
      <w:r>
        <w:rPr>
          <w:rFonts w:cs="Calibri"/>
        </w:rPr>
        <w:t>CMV infection following HSCT.</w:t>
      </w:r>
    </w:p>
    <w:p w:rsidR="005B108B" w:rsidRPr="00A95932" w:rsidRDefault="005B108B" w:rsidP="00144980">
      <w:pPr>
        <w:pStyle w:val="ListParagraph"/>
        <w:numPr>
          <w:ilvl w:val="1"/>
          <w:numId w:val="2"/>
        </w:numPr>
      </w:pPr>
      <w:r w:rsidRPr="00B45E7F">
        <w:rPr>
          <w:rFonts w:cs="Calibri"/>
        </w:rPr>
        <w:t xml:space="preserve">The ESC noted that currently only high risk patients receive prophylaxis for CMV post </w:t>
      </w:r>
      <w:r w:rsidR="00144980" w:rsidRPr="00B45E7F">
        <w:rPr>
          <w:rFonts w:cs="Calibri"/>
        </w:rPr>
        <w:t>-</w:t>
      </w:r>
      <w:r w:rsidRPr="00B45E7F">
        <w:rPr>
          <w:rFonts w:cs="Calibri"/>
        </w:rPr>
        <w:t xml:space="preserve">allograft and use is this population is variable. </w:t>
      </w:r>
      <w:r w:rsidR="00144980" w:rsidRPr="00B45E7F">
        <w:rPr>
          <w:rFonts w:cs="Calibri"/>
        </w:rPr>
        <w:t>For this small patient population</w:t>
      </w:r>
      <w:r w:rsidRPr="00B45E7F">
        <w:rPr>
          <w:rFonts w:cs="Calibri"/>
        </w:rPr>
        <w:t xml:space="preserve">, </w:t>
      </w:r>
      <w:r w:rsidR="0043589C" w:rsidRPr="00B45E7F">
        <w:rPr>
          <w:rFonts w:cs="Calibri"/>
        </w:rPr>
        <w:t>comparators</w:t>
      </w:r>
      <w:r w:rsidRPr="00B45E7F">
        <w:rPr>
          <w:rFonts w:cs="Calibri"/>
        </w:rPr>
        <w:t xml:space="preserve"> </w:t>
      </w:r>
      <w:r w:rsidR="00144980" w:rsidRPr="00B45E7F">
        <w:rPr>
          <w:rFonts w:cs="Calibri"/>
        </w:rPr>
        <w:t>c</w:t>
      </w:r>
      <w:r w:rsidRPr="00B45E7F">
        <w:rPr>
          <w:rFonts w:cs="Calibri"/>
        </w:rPr>
        <w:t xml:space="preserve">ould include acyclovir, valaciclovir and ganciclovir. However, the ESC agreed with the submission and the evaluation </w:t>
      </w:r>
      <w:r w:rsidR="00144980" w:rsidRPr="00B45E7F">
        <w:rPr>
          <w:rFonts w:cs="Calibri"/>
        </w:rPr>
        <w:t xml:space="preserve">that in the overall proposed patient population, it was reasonable to use placebo as the comparator. </w:t>
      </w:r>
    </w:p>
    <w:p w:rsidR="00A95932" w:rsidRPr="00B45E7F" w:rsidRDefault="00A95932" w:rsidP="00144980">
      <w:pPr>
        <w:pStyle w:val="ListParagraph"/>
        <w:numPr>
          <w:ilvl w:val="1"/>
          <w:numId w:val="2"/>
        </w:numPr>
      </w:pPr>
      <w:r>
        <w:t xml:space="preserve">The PBAC noted the evidence, such as the ABMTRR report, showed that antiviral treatments are used in Australian practice, either prophylactically or as PET, and their use would likely reduced with the availability of letermovir. The PBAC </w:t>
      </w:r>
      <w:r>
        <w:lastRenderedPageBreak/>
        <w:t xml:space="preserve">considered that both </w:t>
      </w:r>
      <w:r w:rsidRPr="009149A1">
        <w:rPr>
          <w:lang w:val="en-US"/>
        </w:rPr>
        <w:t xml:space="preserve">placebo </w:t>
      </w:r>
      <w:r>
        <w:rPr>
          <w:lang w:val="en-US"/>
        </w:rPr>
        <w:t>and</w:t>
      </w:r>
      <w:r w:rsidRPr="009149A1">
        <w:rPr>
          <w:lang w:val="en-US"/>
        </w:rPr>
        <w:t xml:space="preserve"> antiviral treatments would be informative comparator</w:t>
      </w:r>
      <w:r>
        <w:rPr>
          <w:lang w:val="en-US"/>
        </w:rPr>
        <w:t>s</w:t>
      </w:r>
      <w:r w:rsidRPr="009149A1">
        <w:rPr>
          <w:lang w:val="en-US"/>
        </w:rPr>
        <w:t>.</w:t>
      </w:r>
    </w:p>
    <w:p w:rsidR="005E6F6D" w:rsidRPr="00967337" w:rsidRDefault="00764890" w:rsidP="00967337">
      <w:pPr>
        <w:ind w:firstLine="720"/>
        <w:rPr>
          <w:i/>
        </w:rPr>
      </w:pPr>
      <w:r w:rsidRPr="00764890">
        <w:rPr>
          <w:i/>
        </w:rPr>
        <w:t>For more detail on PBAC’s view, see section 7 PBAC outcome.</w:t>
      </w:r>
    </w:p>
    <w:p w:rsidR="00B50DB8" w:rsidRPr="00B45E7F" w:rsidRDefault="00BD6CF3" w:rsidP="00967337">
      <w:pPr>
        <w:pStyle w:val="PBACHeading1"/>
        <w:spacing w:before="240" w:after="120"/>
        <w:outlineLvl w:val="0"/>
      </w:pPr>
      <w:bookmarkStart w:id="5" w:name="_Toc514242724"/>
      <w:r w:rsidRPr="00B45E7F">
        <w:t>C</w:t>
      </w:r>
      <w:r w:rsidR="00B50DB8" w:rsidRPr="00B45E7F">
        <w:t>onsideration of the evidence</w:t>
      </w:r>
      <w:bookmarkEnd w:id="5"/>
    </w:p>
    <w:p w:rsidR="008F20E4" w:rsidRPr="00CA3B62" w:rsidRDefault="008F20E4" w:rsidP="001F0352">
      <w:pPr>
        <w:widowControl w:val="0"/>
        <w:spacing w:before="240" w:after="120" w:line="276" w:lineRule="auto"/>
        <w:outlineLvl w:val="1"/>
        <w:rPr>
          <w:rFonts w:asciiTheme="minorHAnsi" w:hAnsiTheme="minorHAnsi" w:cs="Arial"/>
          <w:b/>
          <w:bCs/>
          <w:i/>
          <w:snapToGrid w:val="0"/>
          <w:sz w:val="28"/>
          <w:szCs w:val="28"/>
        </w:rPr>
      </w:pPr>
      <w:r w:rsidRPr="00CA3B62">
        <w:rPr>
          <w:rFonts w:asciiTheme="minorHAnsi" w:hAnsiTheme="minorHAnsi" w:cs="Arial"/>
          <w:b/>
          <w:bCs/>
          <w:i/>
          <w:snapToGrid w:val="0"/>
          <w:sz w:val="28"/>
          <w:szCs w:val="28"/>
        </w:rPr>
        <w:t>Sponsor hearing</w:t>
      </w:r>
    </w:p>
    <w:p w:rsidR="00B60939" w:rsidRPr="00581E20" w:rsidRDefault="008F20E4" w:rsidP="00A50BB8">
      <w:pPr>
        <w:pStyle w:val="ListParagraph"/>
        <w:numPr>
          <w:ilvl w:val="1"/>
          <w:numId w:val="2"/>
        </w:numPr>
      </w:pPr>
      <w:r w:rsidRPr="00525B39">
        <w:rPr>
          <w:rFonts w:asciiTheme="minorHAnsi" w:hAnsiTheme="minorHAnsi" w:cs="Arial"/>
          <w:bCs/>
          <w:snapToGrid w:val="0"/>
        </w:rPr>
        <w:t>The sponsor requ</w:t>
      </w:r>
      <w:r w:rsidR="00A50BB8">
        <w:rPr>
          <w:rFonts w:asciiTheme="minorHAnsi" w:hAnsiTheme="minorHAnsi" w:cs="Arial"/>
          <w:bCs/>
          <w:snapToGrid w:val="0"/>
        </w:rPr>
        <w:t xml:space="preserve">ested a hearing for this item. </w:t>
      </w:r>
      <w:r w:rsidRPr="00525B39">
        <w:rPr>
          <w:rFonts w:asciiTheme="minorHAnsi" w:hAnsiTheme="minorHAnsi" w:cs="Arial"/>
          <w:bCs/>
          <w:snapToGrid w:val="0"/>
        </w:rPr>
        <w:t xml:space="preserve">The clinician </w:t>
      </w:r>
      <w:r w:rsidR="00A50BB8">
        <w:rPr>
          <w:rFonts w:asciiTheme="minorHAnsi" w:hAnsiTheme="minorHAnsi" w:cs="Arial"/>
          <w:bCs/>
          <w:snapToGrid w:val="0"/>
        </w:rPr>
        <w:t>discussed the r</w:t>
      </w:r>
      <w:r w:rsidR="00A50BB8" w:rsidRPr="00A50BB8">
        <w:rPr>
          <w:rFonts w:asciiTheme="minorHAnsi" w:hAnsiTheme="minorHAnsi" w:cs="Arial"/>
          <w:bCs/>
          <w:snapToGrid w:val="0"/>
        </w:rPr>
        <w:t xml:space="preserve">isk </w:t>
      </w:r>
      <w:r w:rsidR="00A50BB8">
        <w:rPr>
          <w:rFonts w:asciiTheme="minorHAnsi" w:hAnsiTheme="minorHAnsi" w:cs="Arial"/>
          <w:bCs/>
          <w:snapToGrid w:val="0"/>
        </w:rPr>
        <w:t>f</w:t>
      </w:r>
      <w:r w:rsidR="00A50BB8" w:rsidRPr="00A50BB8">
        <w:rPr>
          <w:rFonts w:asciiTheme="minorHAnsi" w:hAnsiTheme="minorHAnsi" w:cs="Arial"/>
          <w:bCs/>
          <w:snapToGrid w:val="0"/>
        </w:rPr>
        <w:t xml:space="preserve">actors for CMV Infection </w:t>
      </w:r>
      <w:r w:rsidR="00A50BB8">
        <w:rPr>
          <w:rFonts w:asciiTheme="minorHAnsi" w:hAnsiTheme="minorHAnsi" w:cs="Arial"/>
          <w:bCs/>
          <w:snapToGrid w:val="0"/>
        </w:rPr>
        <w:t>or CMV</w:t>
      </w:r>
      <w:r w:rsidR="00A50BB8" w:rsidRPr="00A50BB8">
        <w:rPr>
          <w:rFonts w:asciiTheme="minorHAnsi" w:hAnsiTheme="minorHAnsi" w:cs="Arial"/>
          <w:bCs/>
          <w:snapToGrid w:val="0"/>
        </w:rPr>
        <w:t xml:space="preserve"> </w:t>
      </w:r>
      <w:r w:rsidR="00A50BB8">
        <w:rPr>
          <w:rFonts w:asciiTheme="minorHAnsi" w:hAnsiTheme="minorHAnsi" w:cs="Arial"/>
          <w:bCs/>
          <w:snapToGrid w:val="0"/>
        </w:rPr>
        <w:t>r</w:t>
      </w:r>
      <w:r w:rsidR="00A50BB8" w:rsidRPr="00A50BB8">
        <w:rPr>
          <w:rFonts w:asciiTheme="minorHAnsi" w:hAnsiTheme="minorHAnsi" w:cs="Arial"/>
          <w:bCs/>
          <w:snapToGrid w:val="0"/>
        </w:rPr>
        <w:t>eactivation</w:t>
      </w:r>
      <w:r w:rsidR="00A50BB8">
        <w:rPr>
          <w:rFonts w:asciiTheme="minorHAnsi" w:hAnsiTheme="minorHAnsi" w:cs="Arial"/>
          <w:bCs/>
          <w:snapToGrid w:val="0"/>
        </w:rPr>
        <w:t xml:space="preserve"> and resulting </w:t>
      </w:r>
      <w:r w:rsidR="00A50BB8" w:rsidRPr="00A50BB8">
        <w:rPr>
          <w:rFonts w:asciiTheme="minorHAnsi" w:hAnsiTheme="minorHAnsi" w:cs="Arial"/>
          <w:bCs/>
          <w:snapToGrid w:val="0"/>
          <w:lang w:val="en-US"/>
        </w:rPr>
        <w:t>CMV-</w:t>
      </w:r>
      <w:r w:rsidR="00A50BB8">
        <w:rPr>
          <w:rFonts w:asciiTheme="minorHAnsi" w:hAnsiTheme="minorHAnsi" w:cs="Arial"/>
          <w:bCs/>
          <w:snapToGrid w:val="0"/>
          <w:lang w:val="en-US"/>
        </w:rPr>
        <w:t>associated c</w:t>
      </w:r>
      <w:r w:rsidR="00A50BB8" w:rsidRPr="00A50BB8">
        <w:rPr>
          <w:rFonts w:asciiTheme="minorHAnsi" w:hAnsiTheme="minorHAnsi" w:cs="Arial"/>
          <w:bCs/>
          <w:snapToGrid w:val="0"/>
          <w:lang w:val="en-US"/>
        </w:rPr>
        <w:t xml:space="preserve">linical </w:t>
      </w:r>
      <w:r w:rsidR="00A50BB8">
        <w:rPr>
          <w:rFonts w:asciiTheme="minorHAnsi" w:hAnsiTheme="minorHAnsi" w:cs="Arial"/>
          <w:bCs/>
          <w:snapToGrid w:val="0"/>
          <w:lang w:val="en-US"/>
        </w:rPr>
        <w:t>c</w:t>
      </w:r>
      <w:r w:rsidR="00A50BB8" w:rsidRPr="00A50BB8">
        <w:rPr>
          <w:rFonts w:asciiTheme="minorHAnsi" w:hAnsiTheme="minorHAnsi" w:cs="Arial"/>
          <w:bCs/>
          <w:snapToGrid w:val="0"/>
          <w:lang w:val="en-US"/>
        </w:rPr>
        <w:t>omplications</w:t>
      </w:r>
      <w:r w:rsidR="00A50BB8">
        <w:rPr>
          <w:rFonts w:asciiTheme="minorHAnsi" w:hAnsiTheme="minorHAnsi" w:cs="Arial"/>
          <w:bCs/>
          <w:snapToGrid w:val="0"/>
          <w:lang w:val="en-US"/>
        </w:rPr>
        <w:t xml:space="preserve"> for patients after a transplant. The clinician</w:t>
      </w:r>
      <w:r w:rsidR="00A50BB8" w:rsidRPr="00A50BB8">
        <w:rPr>
          <w:rFonts w:asciiTheme="minorHAnsi" w:hAnsiTheme="minorHAnsi" w:cs="Arial"/>
          <w:bCs/>
          <w:snapToGrid w:val="0"/>
        </w:rPr>
        <w:t xml:space="preserve"> </w:t>
      </w:r>
      <w:r w:rsidR="009F68F9">
        <w:rPr>
          <w:rFonts w:asciiTheme="minorHAnsi" w:hAnsiTheme="minorHAnsi" w:cs="Arial"/>
          <w:bCs/>
          <w:snapToGrid w:val="0"/>
        </w:rPr>
        <w:t>summ</w:t>
      </w:r>
      <w:r w:rsidR="005B1374">
        <w:rPr>
          <w:rFonts w:asciiTheme="minorHAnsi" w:hAnsiTheme="minorHAnsi" w:cs="Arial"/>
          <w:bCs/>
          <w:snapToGrid w:val="0"/>
        </w:rPr>
        <w:t>a</w:t>
      </w:r>
      <w:r w:rsidR="00B069F8">
        <w:rPr>
          <w:rFonts w:asciiTheme="minorHAnsi" w:hAnsiTheme="minorHAnsi" w:cs="Arial"/>
          <w:bCs/>
          <w:snapToGrid w:val="0"/>
        </w:rPr>
        <w:t xml:space="preserve">rised recent clinical experience in their institution and </w:t>
      </w:r>
      <w:r w:rsidRPr="00525B39">
        <w:rPr>
          <w:rFonts w:asciiTheme="minorHAnsi" w:hAnsiTheme="minorHAnsi" w:cs="Arial"/>
          <w:bCs/>
          <w:snapToGrid w:val="0"/>
        </w:rPr>
        <w:t xml:space="preserve">presented </w:t>
      </w:r>
      <w:r w:rsidR="00A50BB8">
        <w:rPr>
          <w:rFonts w:asciiTheme="minorHAnsi" w:hAnsiTheme="minorHAnsi" w:cs="Arial"/>
          <w:bCs/>
          <w:snapToGrid w:val="0"/>
        </w:rPr>
        <w:t xml:space="preserve">a </w:t>
      </w:r>
      <w:r w:rsidRPr="00525B39">
        <w:rPr>
          <w:rFonts w:asciiTheme="minorHAnsi" w:hAnsiTheme="minorHAnsi" w:cs="Arial"/>
          <w:bCs/>
          <w:snapToGrid w:val="0"/>
        </w:rPr>
        <w:t>clinical case stud</w:t>
      </w:r>
      <w:r w:rsidR="00A50BB8">
        <w:rPr>
          <w:rFonts w:asciiTheme="minorHAnsi" w:hAnsiTheme="minorHAnsi" w:cs="Arial"/>
          <w:bCs/>
          <w:snapToGrid w:val="0"/>
        </w:rPr>
        <w:t xml:space="preserve">y of the impact of CMV on a patient following an </w:t>
      </w:r>
      <w:r w:rsidR="00A50BB8" w:rsidRPr="00A50BB8">
        <w:rPr>
          <w:rFonts w:asciiTheme="minorHAnsi" w:hAnsiTheme="minorHAnsi" w:cs="Arial"/>
          <w:bCs/>
          <w:snapToGrid w:val="0"/>
        </w:rPr>
        <w:t>allogeneic HSCT</w:t>
      </w:r>
      <w:r w:rsidR="00B069F8">
        <w:rPr>
          <w:rFonts w:asciiTheme="minorHAnsi" w:hAnsiTheme="minorHAnsi" w:cs="Arial"/>
          <w:bCs/>
          <w:snapToGrid w:val="0"/>
        </w:rPr>
        <w:t xml:space="preserve">. </w:t>
      </w:r>
      <w:r w:rsidR="00C807EF">
        <w:rPr>
          <w:rFonts w:asciiTheme="minorHAnsi" w:hAnsiTheme="minorHAnsi" w:cs="Arial"/>
          <w:bCs/>
          <w:snapToGrid w:val="0"/>
        </w:rPr>
        <w:t>I</w:t>
      </w:r>
      <w:r w:rsidR="00C807EF" w:rsidRPr="00525B39">
        <w:rPr>
          <w:rFonts w:asciiTheme="minorHAnsi" w:hAnsiTheme="minorHAnsi" w:cs="Arial"/>
          <w:bCs/>
          <w:snapToGrid w:val="0"/>
        </w:rPr>
        <w:t xml:space="preserve">n response </w:t>
      </w:r>
      <w:r w:rsidR="00C807EF">
        <w:rPr>
          <w:rFonts w:asciiTheme="minorHAnsi" w:hAnsiTheme="minorHAnsi" w:cs="Arial"/>
          <w:bCs/>
          <w:snapToGrid w:val="0"/>
        </w:rPr>
        <w:t>to the Committee’s questions, t</w:t>
      </w:r>
      <w:r w:rsidR="00B069F8">
        <w:rPr>
          <w:rFonts w:asciiTheme="minorHAnsi" w:hAnsiTheme="minorHAnsi" w:cs="Arial"/>
          <w:bCs/>
          <w:snapToGrid w:val="0"/>
        </w:rPr>
        <w:t xml:space="preserve">he </w:t>
      </w:r>
      <w:r w:rsidR="00374D70">
        <w:rPr>
          <w:rFonts w:asciiTheme="minorHAnsi" w:hAnsiTheme="minorHAnsi" w:cs="Arial"/>
          <w:bCs/>
          <w:snapToGrid w:val="0"/>
        </w:rPr>
        <w:t>clinician</w:t>
      </w:r>
      <w:r w:rsidR="00B069F8">
        <w:rPr>
          <w:rFonts w:asciiTheme="minorHAnsi" w:hAnsiTheme="minorHAnsi" w:cs="Arial"/>
          <w:bCs/>
          <w:snapToGrid w:val="0"/>
        </w:rPr>
        <w:t xml:space="preserve"> </w:t>
      </w:r>
      <w:r w:rsidRPr="00525B39">
        <w:rPr>
          <w:rFonts w:asciiTheme="minorHAnsi" w:hAnsiTheme="minorHAnsi" w:cs="Arial"/>
          <w:bCs/>
          <w:snapToGrid w:val="0"/>
        </w:rPr>
        <w:t xml:space="preserve">addressed other matters </w:t>
      </w:r>
      <w:r w:rsidR="00A95932">
        <w:rPr>
          <w:rFonts w:asciiTheme="minorHAnsi" w:hAnsiTheme="minorHAnsi" w:cs="Arial"/>
          <w:bCs/>
          <w:snapToGrid w:val="0"/>
        </w:rPr>
        <w:t>about the current anti</w:t>
      </w:r>
      <w:r w:rsidR="00B069F8">
        <w:rPr>
          <w:rFonts w:asciiTheme="minorHAnsi" w:hAnsiTheme="minorHAnsi" w:cs="Arial"/>
          <w:bCs/>
          <w:snapToGrid w:val="0"/>
        </w:rPr>
        <w:t xml:space="preserve">viral treatments and </w:t>
      </w:r>
      <w:r w:rsidR="00C807EF">
        <w:rPr>
          <w:rFonts w:asciiTheme="minorHAnsi" w:hAnsiTheme="minorHAnsi" w:cs="Arial"/>
          <w:bCs/>
          <w:snapToGrid w:val="0"/>
        </w:rPr>
        <w:t xml:space="preserve">noted that the clinical evidence supported a reduction in the use of </w:t>
      </w:r>
      <w:r w:rsidR="00A95932" w:rsidRPr="00B45E7F">
        <w:t>pre-emptive therapy (PET)</w:t>
      </w:r>
      <w:r w:rsidR="00C807EF">
        <w:rPr>
          <w:rFonts w:asciiTheme="minorHAnsi" w:hAnsiTheme="minorHAnsi" w:cs="Arial"/>
          <w:bCs/>
          <w:snapToGrid w:val="0"/>
        </w:rPr>
        <w:t xml:space="preserve"> but no difference in the incidence of </w:t>
      </w:r>
      <w:r w:rsidR="00D97EA0" w:rsidRPr="00B45E7F">
        <w:t>graft versus host disease</w:t>
      </w:r>
      <w:r w:rsidR="00D97EA0">
        <w:rPr>
          <w:rFonts w:asciiTheme="minorHAnsi" w:hAnsiTheme="minorHAnsi" w:cs="Arial"/>
          <w:bCs/>
          <w:snapToGrid w:val="0"/>
        </w:rPr>
        <w:t xml:space="preserve"> (</w:t>
      </w:r>
      <w:r w:rsidR="00C807EF">
        <w:rPr>
          <w:rFonts w:asciiTheme="minorHAnsi" w:hAnsiTheme="minorHAnsi" w:cs="Arial"/>
          <w:bCs/>
          <w:snapToGrid w:val="0"/>
        </w:rPr>
        <w:t>GVHD</w:t>
      </w:r>
      <w:r w:rsidR="00D97EA0">
        <w:rPr>
          <w:rFonts w:asciiTheme="minorHAnsi" w:hAnsiTheme="minorHAnsi" w:cs="Arial"/>
          <w:bCs/>
          <w:snapToGrid w:val="0"/>
        </w:rPr>
        <w:t>)</w:t>
      </w:r>
      <w:r w:rsidR="00C807EF">
        <w:rPr>
          <w:rFonts w:asciiTheme="minorHAnsi" w:hAnsiTheme="minorHAnsi" w:cs="Arial"/>
          <w:bCs/>
          <w:snapToGrid w:val="0"/>
        </w:rPr>
        <w:t xml:space="preserve"> with letermovir treatment</w:t>
      </w:r>
      <w:r w:rsidR="00A50BB8">
        <w:rPr>
          <w:rFonts w:asciiTheme="minorHAnsi" w:hAnsiTheme="minorHAnsi" w:cs="Arial"/>
          <w:bCs/>
          <w:snapToGrid w:val="0"/>
        </w:rPr>
        <w:t>.</w:t>
      </w:r>
    </w:p>
    <w:p w:rsidR="00581E20" w:rsidRPr="00CA3B62" w:rsidRDefault="00581E20" w:rsidP="001F0352">
      <w:pPr>
        <w:widowControl w:val="0"/>
        <w:spacing w:before="240" w:after="120" w:line="276" w:lineRule="auto"/>
        <w:outlineLvl w:val="1"/>
        <w:rPr>
          <w:rFonts w:asciiTheme="minorHAnsi" w:hAnsiTheme="minorHAnsi" w:cs="Arial"/>
          <w:b/>
          <w:bCs/>
          <w:i/>
          <w:snapToGrid w:val="0"/>
          <w:sz w:val="28"/>
          <w:szCs w:val="28"/>
        </w:rPr>
      </w:pPr>
      <w:r w:rsidRPr="00CA3B62">
        <w:rPr>
          <w:rFonts w:asciiTheme="minorHAnsi" w:hAnsiTheme="minorHAnsi" w:cs="Arial"/>
          <w:b/>
          <w:bCs/>
          <w:i/>
          <w:snapToGrid w:val="0"/>
          <w:sz w:val="28"/>
          <w:szCs w:val="28"/>
        </w:rPr>
        <w:t>Consumer comments</w:t>
      </w:r>
    </w:p>
    <w:p w:rsidR="00581E20" w:rsidRPr="00581E20" w:rsidRDefault="00581E20" w:rsidP="00581E20">
      <w:pPr>
        <w:widowControl w:val="0"/>
        <w:numPr>
          <w:ilvl w:val="1"/>
          <w:numId w:val="2"/>
        </w:numPr>
        <w:spacing w:after="120"/>
        <w:rPr>
          <w:rFonts w:asciiTheme="minorHAnsi" w:hAnsiTheme="minorHAnsi" w:cs="Arial"/>
          <w:bCs/>
          <w:snapToGrid w:val="0"/>
        </w:rPr>
      </w:pPr>
      <w:r w:rsidRPr="00581E20">
        <w:rPr>
          <w:rFonts w:asciiTheme="minorHAnsi" w:hAnsiTheme="minorHAnsi" w:cs="Arial"/>
          <w:bCs/>
          <w:snapToGrid w:val="0"/>
        </w:rPr>
        <w:t>The PBAC noted and welcomed the input from health care professionals (</w:t>
      </w:r>
      <w:r w:rsidR="002618CB">
        <w:rPr>
          <w:rFonts w:asciiTheme="minorHAnsi" w:hAnsiTheme="minorHAnsi" w:cs="Arial"/>
          <w:bCs/>
          <w:snapToGrid w:val="0"/>
        </w:rPr>
        <w:t>3</w:t>
      </w:r>
      <w:r w:rsidRPr="00581E20">
        <w:rPr>
          <w:rFonts w:asciiTheme="minorHAnsi" w:hAnsiTheme="minorHAnsi" w:cs="Arial"/>
          <w:bCs/>
          <w:snapToGrid w:val="0"/>
        </w:rPr>
        <w:t>) via the Consumer Comments facility on t</w:t>
      </w:r>
      <w:r w:rsidR="00092BA5">
        <w:rPr>
          <w:rFonts w:asciiTheme="minorHAnsi" w:hAnsiTheme="minorHAnsi" w:cs="Arial"/>
          <w:bCs/>
          <w:snapToGrid w:val="0"/>
        </w:rPr>
        <w:t xml:space="preserve">he PBS website. </w:t>
      </w:r>
      <w:r w:rsidRPr="00581E20">
        <w:rPr>
          <w:rFonts w:asciiTheme="minorHAnsi" w:hAnsiTheme="minorHAnsi" w:cs="Arial"/>
          <w:bCs/>
          <w:snapToGrid w:val="0"/>
        </w:rPr>
        <w:t xml:space="preserve">The comments described </w:t>
      </w:r>
      <w:r w:rsidR="002618CB">
        <w:rPr>
          <w:rFonts w:asciiTheme="minorHAnsi" w:hAnsiTheme="minorHAnsi" w:cs="Arial"/>
          <w:bCs/>
          <w:snapToGrid w:val="0"/>
        </w:rPr>
        <w:t>the</w:t>
      </w:r>
      <w:r w:rsidR="00092BA5">
        <w:rPr>
          <w:rFonts w:asciiTheme="minorHAnsi" w:hAnsiTheme="minorHAnsi" w:cs="Arial"/>
          <w:bCs/>
          <w:snapToGrid w:val="0"/>
        </w:rPr>
        <w:t>ir experiences with the</w:t>
      </w:r>
      <w:r w:rsidR="002618CB">
        <w:rPr>
          <w:rFonts w:asciiTheme="minorHAnsi" w:hAnsiTheme="minorHAnsi" w:cs="Arial"/>
          <w:bCs/>
          <w:snapToGrid w:val="0"/>
        </w:rPr>
        <w:t xml:space="preserve"> issues </w:t>
      </w:r>
      <w:r w:rsidR="00092BA5">
        <w:rPr>
          <w:rFonts w:asciiTheme="minorHAnsi" w:hAnsiTheme="minorHAnsi" w:cs="Arial"/>
          <w:bCs/>
          <w:snapToGrid w:val="0"/>
        </w:rPr>
        <w:t xml:space="preserve">that arise </w:t>
      </w:r>
      <w:r w:rsidR="002618CB">
        <w:rPr>
          <w:rFonts w:asciiTheme="minorHAnsi" w:hAnsiTheme="minorHAnsi" w:cs="Arial"/>
          <w:bCs/>
          <w:snapToGrid w:val="0"/>
        </w:rPr>
        <w:t xml:space="preserve">with the current treatment options and </w:t>
      </w:r>
      <w:r w:rsidR="00092BA5">
        <w:rPr>
          <w:rFonts w:asciiTheme="minorHAnsi" w:hAnsiTheme="minorHAnsi" w:cs="Arial"/>
          <w:bCs/>
          <w:snapToGrid w:val="0"/>
        </w:rPr>
        <w:t xml:space="preserve">their views on the advantages of having </w:t>
      </w:r>
      <w:r w:rsidR="00092BA5">
        <w:t>an effective prophylactic therapy</w:t>
      </w:r>
      <w:r w:rsidR="00C807EF">
        <w:t>.</w:t>
      </w:r>
    </w:p>
    <w:p w:rsidR="00B60939" w:rsidRPr="00CA3B62" w:rsidRDefault="00B60939" w:rsidP="001F0352">
      <w:pPr>
        <w:widowControl w:val="0"/>
        <w:spacing w:before="240" w:after="120" w:line="276" w:lineRule="auto"/>
        <w:outlineLvl w:val="1"/>
        <w:rPr>
          <w:rFonts w:asciiTheme="minorHAnsi" w:hAnsiTheme="minorHAnsi" w:cs="Arial"/>
          <w:b/>
          <w:bCs/>
          <w:i/>
          <w:snapToGrid w:val="0"/>
          <w:sz w:val="28"/>
          <w:szCs w:val="28"/>
        </w:rPr>
      </w:pPr>
      <w:bookmarkStart w:id="6" w:name="_Toc514242725"/>
      <w:r w:rsidRPr="00CA3B62">
        <w:rPr>
          <w:rFonts w:asciiTheme="minorHAnsi" w:hAnsiTheme="minorHAnsi" w:cs="Arial"/>
          <w:b/>
          <w:bCs/>
          <w:i/>
          <w:snapToGrid w:val="0"/>
          <w:sz w:val="28"/>
          <w:szCs w:val="28"/>
        </w:rPr>
        <w:t>Clinical trials</w:t>
      </w:r>
      <w:bookmarkEnd w:id="6"/>
    </w:p>
    <w:p w:rsidR="00347D7B" w:rsidRPr="00B45E7F" w:rsidRDefault="00347D7B" w:rsidP="007A12C6">
      <w:pPr>
        <w:pStyle w:val="ListParagraph"/>
        <w:numPr>
          <w:ilvl w:val="1"/>
          <w:numId w:val="2"/>
        </w:numPr>
      </w:pPr>
      <w:r w:rsidRPr="00B45E7F">
        <w:t xml:space="preserve">The submission was based on Trial P001, a randomised, double-blind </w:t>
      </w:r>
      <w:r w:rsidR="008933B8" w:rsidRPr="00B45E7F">
        <w:t xml:space="preserve">Phase III </w:t>
      </w:r>
      <w:r w:rsidRPr="00B45E7F">
        <w:t xml:space="preserve">trial comparing letermovir and placebo in CMV sero-positive patients who had received an allogeneic HSCT.  There appeared </w:t>
      </w:r>
      <w:r w:rsidR="008933B8" w:rsidRPr="00B45E7F">
        <w:t>to be a limite</w:t>
      </w:r>
      <w:r w:rsidRPr="00B45E7F">
        <w:t>d</w:t>
      </w:r>
      <w:r w:rsidR="008933B8" w:rsidRPr="00B45E7F">
        <w:t xml:space="preserve"> numbe</w:t>
      </w:r>
      <w:r w:rsidRPr="00B45E7F">
        <w:t>r</w:t>
      </w:r>
      <w:r w:rsidR="008933B8" w:rsidRPr="00B45E7F">
        <w:t xml:space="preserve"> </w:t>
      </w:r>
      <w:r w:rsidRPr="00B45E7F">
        <w:t>of letermovir tr</w:t>
      </w:r>
      <w:r w:rsidR="00CC6202" w:rsidRPr="00B45E7F">
        <w:t>ia</w:t>
      </w:r>
      <w:r w:rsidRPr="00B45E7F">
        <w:t>ls availabl</w:t>
      </w:r>
      <w:r w:rsidR="008933B8" w:rsidRPr="00B45E7F">
        <w:t>e, with only three trials liste</w:t>
      </w:r>
      <w:r w:rsidRPr="00B45E7F">
        <w:t>d</w:t>
      </w:r>
      <w:r w:rsidR="008933B8" w:rsidRPr="00B45E7F">
        <w:t xml:space="preserve"> </w:t>
      </w:r>
      <w:r w:rsidRPr="00B45E7F">
        <w:t>on cl</w:t>
      </w:r>
      <w:r w:rsidR="008933B8" w:rsidRPr="00B45E7F">
        <w:t>inicaltrials.gov, and one of th</w:t>
      </w:r>
      <w:r w:rsidRPr="00B45E7F">
        <w:t xml:space="preserve">ose trials </w:t>
      </w:r>
      <w:r w:rsidR="008933B8" w:rsidRPr="00B45E7F">
        <w:t xml:space="preserve">in kidney transplant patients, which was not relevant to the requested restriction.  The other available trial was a Phase II letermovir trial which assessed letermovir dosing in sero-positive allogeneic HSCT recipients. </w:t>
      </w:r>
      <w:r w:rsidR="009706CC">
        <w:t xml:space="preserve"> The submission indicated </w:t>
      </w:r>
      <w:r w:rsidR="008933B8" w:rsidRPr="00B45E7F">
        <w:t>that this Phase II trial was excluded from consideration because of the availability of Phase III data from Trial P001.</w:t>
      </w:r>
    </w:p>
    <w:p w:rsidR="007F1017" w:rsidRPr="00B45E7F" w:rsidRDefault="008933B8" w:rsidP="007A12C6">
      <w:pPr>
        <w:pStyle w:val="ListParagraph"/>
        <w:numPr>
          <w:ilvl w:val="1"/>
          <w:numId w:val="2"/>
        </w:numPr>
      </w:pPr>
      <w:r w:rsidRPr="00B45E7F">
        <w:t xml:space="preserve">While it may be reasonable to focus on the available Phase III data, given </w:t>
      </w:r>
      <w:r w:rsidR="00E852E5" w:rsidRPr="00B45E7F">
        <w:t>the limited</w:t>
      </w:r>
      <w:r w:rsidRPr="00B45E7F">
        <w:t xml:space="preserve"> available data for letermovir it would have been informative for the submission to provide a summary of information from the Phase II trial.  A brief summary of results from the Phase II trial is presented below under ‘Comparative effectiveness’.</w:t>
      </w:r>
      <w:r w:rsidR="00702F8F" w:rsidRPr="00B45E7F">
        <w:rPr>
          <w:color w:val="3366FF"/>
        </w:rPr>
        <w:t xml:space="preserve">  </w:t>
      </w:r>
    </w:p>
    <w:p w:rsidR="00862502" w:rsidRPr="00B45E7F" w:rsidRDefault="00E2469E" w:rsidP="007A12C6">
      <w:pPr>
        <w:pStyle w:val="ListParagraph"/>
        <w:numPr>
          <w:ilvl w:val="1"/>
          <w:numId w:val="2"/>
        </w:numPr>
      </w:pPr>
      <w:r w:rsidRPr="00B45E7F">
        <w:rPr>
          <w:rFonts w:cs="Calibri"/>
          <w:lang w:val="en-US" w:eastAsia="en-AU"/>
        </w:rPr>
        <w:t>Clinical study report and publication d</w:t>
      </w:r>
      <w:r w:rsidR="00A73134" w:rsidRPr="00B45E7F">
        <w:rPr>
          <w:rFonts w:cs="Calibri"/>
          <w:lang w:val="en-US" w:eastAsia="en-AU"/>
        </w:rPr>
        <w:t xml:space="preserve">etails of </w:t>
      </w:r>
      <w:r w:rsidR="008933B8" w:rsidRPr="00B45E7F">
        <w:rPr>
          <w:rFonts w:cs="Calibri"/>
          <w:lang w:val="en-US" w:eastAsia="en-AU"/>
        </w:rPr>
        <w:t>Trial P001</w:t>
      </w:r>
      <w:r w:rsidR="00A73134" w:rsidRPr="00B45E7F">
        <w:rPr>
          <w:rFonts w:cs="Calibri"/>
          <w:lang w:val="en-US" w:eastAsia="en-AU"/>
        </w:rPr>
        <w:t xml:space="preserve"> are provided in the table below.  </w:t>
      </w:r>
    </w:p>
    <w:p w:rsidR="00A47268" w:rsidRPr="00B45E7F" w:rsidRDefault="00420CF9" w:rsidP="00B97F9F">
      <w:pPr>
        <w:keepNext/>
        <w:keepLines/>
        <w:rPr>
          <w:rFonts w:ascii="Arial Narrow" w:hAnsi="Arial Narrow"/>
          <w:b/>
          <w:sz w:val="20"/>
          <w:szCs w:val="20"/>
        </w:rPr>
      </w:pPr>
      <w:r w:rsidRPr="00B45E7F">
        <w:rPr>
          <w:rStyle w:val="CommentReference"/>
          <w:szCs w:val="20"/>
        </w:rPr>
        <w:lastRenderedPageBreak/>
        <w:t>Table 2: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A47268" w:rsidRPr="00B45E7F" w:rsidTr="00B97F9F">
        <w:trPr>
          <w:tblHeader/>
        </w:trPr>
        <w:tc>
          <w:tcPr>
            <w:tcW w:w="796" w:type="pct"/>
            <w:vAlign w:val="center"/>
          </w:tcPr>
          <w:p w:rsidR="00A47268" w:rsidRPr="00B45E7F" w:rsidRDefault="00A47268" w:rsidP="00B97F9F">
            <w:pPr>
              <w:pStyle w:val="Tabletext"/>
              <w:keepNext/>
              <w:keepLines/>
              <w:rPr>
                <w:b/>
              </w:rPr>
            </w:pPr>
            <w:r w:rsidRPr="00B45E7F">
              <w:rPr>
                <w:b/>
              </w:rPr>
              <w:t>Trial ID</w:t>
            </w:r>
          </w:p>
        </w:tc>
        <w:tc>
          <w:tcPr>
            <w:tcW w:w="3027" w:type="pct"/>
            <w:vAlign w:val="center"/>
          </w:tcPr>
          <w:p w:rsidR="00A47268" w:rsidRPr="00B45E7F" w:rsidRDefault="00A47268" w:rsidP="00B97F9F">
            <w:pPr>
              <w:pStyle w:val="Tabletext"/>
              <w:keepNext/>
              <w:keepLines/>
              <w:jc w:val="center"/>
              <w:rPr>
                <w:b/>
              </w:rPr>
            </w:pPr>
            <w:r w:rsidRPr="00B45E7F">
              <w:rPr>
                <w:b/>
              </w:rPr>
              <w:t>Protocol title/ Publication title</w:t>
            </w:r>
          </w:p>
        </w:tc>
        <w:tc>
          <w:tcPr>
            <w:tcW w:w="1177" w:type="pct"/>
            <w:vAlign w:val="center"/>
          </w:tcPr>
          <w:p w:rsidR="00A47268" w:rsidRPr="00B45E7F" w:rsidRDefault="00A47268" w:rsidP="00B97F9F">
            <w:pPr>
              <w:pStyle w:val="Tabletext"/>
              <w:keepNext/>
              <w:keepLines/>
              <w:jc w:val="center"/>
              <w:rPr>
                <w:b/>
              </w:rPr>
            </w:pPr>
            <w:r w:rsidRPr="00B45E7F">
              <w:rPr>
                <w:b/>
              </w:rPr>
              <w:t>Publication citation</w:t>
            </w:r>
          </w:p>
        </w:tc>
      </w:tr>
      <w:tr w:rsidR="00A47268" w:rsidRPr="00B45E7F" w:rsidTr="00B97F9F">
        <w:tc>
          <w:tcPr>
            <w:tcW w:w="796" w:type="pct"/>
            <w:tcBorders>
              <w:bottom w:val="nil"/>
            </w:tcBorders>
            <w:vAlign w:val="center"/>
          </w:tcPr>
          <w:p w:rsidR="00A47268" w:rsidRPr="00B45E7F" w:rsidRDefault="00A47268" w:rsidP="00B97F9F">
            <w:pPr>
              <w:pStyle w:val="Tabletext"/>
              <w:keepNext/>
              <w:keepLines/>
              <w:rPr>
                <w:rFonts w:ascii="Times" w:hAnsi="Times"/>
              </w:rPr>
            </w:pPr>
            <w:r w:rsidRPr="00B45E7F">
              <w:t>P001</w:t>
            </w:r>
          </w:p>
        </w:tc>
        <w:tc>
          <w:tcPr>
            <w:tcW w:w="3027" w:type="pct"/>
            <w:tcBorders>
              <w:bottom w:val="nil"/>
            </w:tcBorders>
            <w:vAlign w:val="center"/>
          </w:tcPr>
          <w:p w:rsidR="00A47268" w:rsidRPr="00B45E7F" w:rsidRDefault="00A47268" w:rsidP="00B97F9F">
            <w:pPr>
              <w:pStyle w:val="Tabletext"/>
              <w:keepNext/>
              <w:keepLines/>
              <w:rPr>
                <w:szCs w:val="18"/>
              </w:rPr>
            </w:pPr>
            <w:r w:rsidRPr="00B45E7F">
              <w:t>A Phase III Randomized, Placebo-controlled Clinical Trial to Evaluate the Safety and Efficacy of MK-8228 (Letermovir) for the Prevention of Clinically Significant Human Cytomegalovirus (CMV) Infection in Adult, CMV-Seropositive Allogeneic Hematopoietic Stem Cell Transplant Recipients</w:t>
            </w:r>
          </w:p>
        </w:tc>
        <w:tc>
          <w:tcPr>
            <w:tcW w:w="1177" w:type="pct"/>
            <w:tcBorders>
              <w:bottom w:val="nil"/>
            </w:tcBorders>
            <w:vAlign w:val="center"/>
          </w:tcPr>
          <w:p w:rsidR="00A47268" w:rsidRPr="00B45E7F" w:rsidRDefault="00A47268" w:rsidP="00B97F9F">
            <w:pPr>
              <w:pStyle w:val="Tabletext"/>
              <w:keepNext/>
              <w:keepLines/>
              <w:rPr>
                <w:rFonts w:ascii="Times" w:hAnsi="Times"/>
              </w:rPr>
            </w:pPr>
            <w:r w:rsidRPr="00B45E7F">
              <w:t>May 2017</w:t>
            </w:r>
          </w:p>
        </w:tc>
      </w:tr>
      <w:tr w:rsidR="00A47268" w:rsidRPr="00B45E7F" w:rsidTr="00B97F9F">
        <w:tc>
          <w:tcPr>
            <w:tcW w:w="796" w:type="pct"/>
            <w:tcBorders>
              <w:top w:val="nil"/>
              <w:bottom w:val="single" w:sz="4" w:space="0" w:color="auto"/>
            </w:tcBorders>
            <w:vAlign w:val="center"/>
          </w:tcPr>
          <w:p w:rsidR="00A47268" w:rsidRPr="00B45E7F" w:rsidRDefault="00A47268" w:rsidP="00B97F9F">
            <w:pPr>
              <w:pStyle w:val="Tabletext"/>
              <w:keepNext/>
              <w:keepLines/>
            </w:pPr>
          </w:p>
        </w:tc>
        <w:tc>
          <w:tcPr>
            <w:tcW w:w="3027" w:type="pct"/>
            <w:tcBorders>
              <w:top w:val="nil"/>
              <w:bottom w:val="single" w:sz="4" w:space="0" w:color="auto"/>
            </w:tcBorders>
            <w:vAlign w:val="center"/>
          </w:tcPr>
          <w:p w:rsidR="00A47268" w:rsidRPr="00B45E7F" w:rsidRDefault="00A47268" w:rsidP="00B97F9F">
            <w:pPr>
              <w:pStyle w:val="Tabletext"/>
              <w:keepNext/>
              <w:keepLines/>
              <w:rPr>
                <w:szCs w:val="18"/>
                <w:lang w:eastAsia="en-AU"/>
              </w:rPr>
            </w:pPr>
            <w:r w:rsidRPr="00B45E7F">
              <w:t>Marty FM, Ljungman P, Chemaly RF, Maertens J, et al. Letermovir Prophylaxis for Cytomegalovirus in Hematopoietic-Cell Transplantation.</w:t>
            </w:r>
          </w:p>
        </w:tc>
        <w:tc>
          <w:tcPr>
            <w:tcW w:w="1177" w:type="pct"/>
            <w:tcBorders>
              <w:top w:val="nil"/>
              <w:bottom w:val="single" w:sz="4" w:space="0" w:color="auto"/>
            </w:tcBorders>
            <w:vAlign w:val="center"/>
          </w:tcPr>
          <w:p w:rsidR="00A47268" w:rsidRPr="00B45E7F" w:rsidRDefault="00A47268" w:rsidP="00B97F9F">
            <w:pPr>
              <w:pStyle w:val="Tabletext"/>
              <w:keepNext/>
              <w:keepLines/>
              <w:rPr>
                <w:szCs w:val="18"/>
                <w:lang w:eastAsia="en-AU"/>
              </w:rPr>
            </w:pPr>
            <w:r w:rsidRPr="00B45E7F">
              <w:t>NEJM 2017; 377(25):2433-2444</w:t>
            </w:r>
          </w:p>
        </w:tc>
      </w:tr>
    </w:tbl>
    <w:p w:rsidR="008E0D3C" w:rsidRPr="00B45E7F" w:rsidRDefault="00A47268" w:rsidP="00B97F9F">
      <w:pPr>
        <w:pStyle w:val="TableFooter"/>
        <w:keepNext/>
        <w:keepLines/>
        <w:rPr>
          <w:b/>
          <w:sz w:val="20"/>
          <w:szCs w:val="16"/>
        </w:rPr>
      </w:pPr>
      <w:r w:rsidRPr="00B45E7F">
        <w:t>Source: Table 2-2, p33-34 of the submission.</w:t>
      </w:r>
    </w:p>
    <w:p w:rsidR="00862502" w:rsidRPr="00B45E7F" w:rsidRDefault="00862502" w:rsidP="008F120A"/>
    <w:p w:rsidR="007F1017" w:rsidRPr="00B45E7F" w:rsidRDefault="008F120A" w:rsidP="007A12C6">
      <w:pPr>
        <w:pStyle w:val="ListParagraph"/>
        <w:numPr>
          <w:ilvl w:val="1"/>
          <w:numId w:val="2"/>
        </w:numPr>
      </w:pPr>
      <w:r w:rsidRPr="00B45E7F">
        <w:t xml:space="preserve">The key features of </w:t>
      </w:r>
      <w:r w:rsidR="00C807EF">
        <w:t>T</w:t>
      </w:r>
      <w:r w:rsidR="00A47268" w:rsidRPr="00B45E7F">
        <w:t>rial P001</w:t>
      </w:r>
      <w:r w:rsidRPr="00B45E7F">
        <w:t xml:space="preserve"> are summarised in the table below.  </w:t>
      </w:r>
    </w:p>
    <w:p w:rsidR="007F1017" w:rsidRPr="00B45E7F" w:rsidRDefault="007F1017" w:rsidP="00045017">
      <w:pPr>
        <w:rPr>
          <w:rStyle w:val="CommentReference"/>
        </w:rPr>
      </w:pPr>
      <w:r w:rsidRPr="00B45E7F">
        <w:rPr>
          <w:rStyle w:val="CommentReference"/>
        </w:rPr>
        <w:t xml:space="preserve">Table </w:t>
      </w:r>
      <w:r w:rsidR="00161A03" w:rsidRPr="00B45E7F">
        <w:rPr>
          <w:rStyle w:val="CommentReference"/>
        </w:rPr>
        <w:t>3</w:t>
      </w:r>
      <w:r w:rsidRPr="00B45E7F">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8"/>
        <w:gridCol w:w="687"/>
        <w:gridCol w:w="1571"/>
        <w:gridCol w:w="1065"/>
        <w:gridCol w:w="1522"/>
        <w:gridCol w:w="1738"/>
        <w:gridCol w:w="1442"/>
      </w:tblGrid>
      <w:tr w:rsidR="00B37FBB" w:rsidRPr="00B45E7F" w:rsidTr="00B97F9F">
        <w:tc>
          <w:tcPr>
            <w:tcW w:w="582" w:type="pct"/>
            <w:shd w:val="clear" w:color="auto" w:fill="auto"/>
            <w:vAlign w:val="center"/>
          </w:tcPr>
          <w:p w:rsidR="007F1017" w:rsidRPr="00B45E7F" w:rsidRDefault="007F1017" w:rsidP="00B41614">
            <w:pPr>
              <w:pStyle w:val="Tabletext"/>
              <w:rPr>
                <w:b/>
                <w:lang w:val="en-US"/>
              </w:rPr>
            </w:pPr>
            <w:r w:rsidRPr="00B45E7F">
              <w:rPr>
                <w:b/>
                <w:lang w:val="en-US"/>
              </w:rPr>
              <w:t>Trial</w:t>
            </w:r>
          </w:p>
        </w:tc>
        <w:tc>
          <w:tcPr>
            <w:tcW w:w="378" w:type="pct"/>
            <w:shd w:val="clear" w:color="auto" w:fill="auto"/>
            <w:vAlign w:val="center"/>
          </w:tcPr>
          <w:p w:rsidR="007F1017" w:rsidRPr="00B45E7F" w:rsidRDefault="007F1017" w:rsidP="00B41614">
            <w:pPr>
              <w:pStyle w:val="Tabletext"/>
              <w:jc w:val="center"/>
              <w:rPr>
                <w:b/>
                <w:lang w:val="en-US"/>
              </w:rPr>
            </w:pPr>
            <w:r w:rsidRPr="00B45E7F">
              <w:rPr>
                <w:b/>
                <w:lang w:val="en-US"/>
              </w:rPr>
              <w:t>N</w:t>
            </w:r>
          </w:p>
        </w:tc>
        <w:tc>
          <w:tcPr>
            <w:tcW w:w="865" w:type="pct"/>
            <w:shd w:val="clear" w:color="auto" w:fill="auto"/>
            <w:vAlign w:val="center"/>
          </w:tcPr>
          <w:p w:rsidR="007F1017" w:rsidRPr="00B45E7F" w:rsidRDefault="007F1017" w:rsidP="00B41614">
            <w:pPr>
              <w:pStyle w:val="Tabletext"/>
              <w:jc w:val="center"/>
              <w:rPr>
                <w:b/>
                <w:lang w:val="en-US"/>
              </w:rPr>
            </w:pPr>
            <w:r w:rsidRPr="00B45E7F">
              <w:rPr>
                <w:b/>
                <w:lang w:val="en-US"/>
              </w:rPr>
              <w:t>Design/ duration</w:t>
            </w:r>
          </w:p>
        </w:tc>
        <w:tc>
          <w:tcPr>
            <w:tcW w:w="586" w:type="pct"/>
            <w:shd w:val="clear" w:color="auto" w:fill="auto"/>
            <w:vAlign w:val="center"/>
          </w:tcPr>
          <w:p w:rsidR="007F1017" w:rsidRPr="00B45E7F" w:rsidRDefault="007F1017" w:rsidP="00B41614">
            <w:pPr>
              <w:pStyle w:val="Tabletext"/>
              <w:jc w:val="center"/>
              <w:rPr>
                <w:b/>
                <w:lang w:val="en-US"/>
              </w:rPr>
            </w:pPr>
            <w:r w:rsidRPr="00B45E7F">
              <w:rPr>
                <w:b/>
                <w:lang w:val="en-US"/>
              </w:rPr>
              <w:t>Risk of bias</w:t>
            </w:r>
          </w:p>
        </w:tc>
        <w:tc>
          <w:tcPr>
            <w:tcW w:w="838" w:type="pct"/>
            <w:shd w:val="clear" w:color="auto" w:fill="auto"/>
            <w:vAlign w:val="center"/>
          </w:tcPr>
          <w:p w:rsidR="007F1017" w:rsidRPr="00B45E7F" w:rsidRDefault="007F1017" w:rsidP="00B41614">
            <w:pPr>
              <w:pStyle w:val="Tabletext"/>
              <w:jc w:val="center"/>
              <w:rPr>
                <w:b/>
                <w:lang w:val="en-US"/>
              </w:rPr>
            </w:pPr>
            <w:r w:rsidRPr="00B45E7F">
              <w:rPr>
                <w:b/>
                <w:lang w:val="en-US"/>
              </w:rPr>
              <w:t>Patient population</w:t>
            </w:r>
          </w:p>
        </w:tc>
        <w:tc>
          <w:tcPr>
            <w:tcW w:w="957" w:type="pct"/>
            <w:shd w:val="clear" w:color="auto" w:fill="auto"/>
            <w:vAlign w:val="center"/>
          </w:tcPr>
          <w:p w:rsidR="007F1017" w:rsidRPr="00B45E7F" w:rsidRDefault="00161A03" w:rsidP="00B41614">
            <w:pPr>
              <w:pStyle w:val="Tabletext"/>
              <w:jc w:val="center"/>
              <w:rPr>
                <w:b/>
                <w:lang w:val="en-US"/>
              </w:rPr>
            </w:pPr>
            <w:r w:rsidRPr="00B45E7F">
              <w:rPr>
                <w:b/>
                <w:lang w:val="en-US"/>
              </w:rPr>
              <w:t>Outcomes</w:t>
            </w:r>
          </w:p>
        </w:tc>
        <w:tc>
          <w:tcPr>
            <w:tcW w:w="794" w:type="pct"/>
            <w:shd w:val="clear" w:color="auto" w:fill="auto"/>
            <w:vAlign w:val="center"/>
          </w:tcPr>
          <w:p w:rsidR="007F1017" w:rsidRPr="00B45E7F" w:rsidRDefault="007F1017" w:rsidP="00B41614">
            <w:pPr>
              <w:pStyle w:val="Tabletext"/>
              <w:jc w:val="center"/>
              <w:rPr>
                <w:b/>
                <w:lang w:val="en-US"/>
              </w:rPr>
            </w:pPr>
            <w:r w:rsidRPr="00B45E7F">
              <w:rPr>
                <w:b/>
                <w:lang w:val="en-US"/>
              </w:rPr>
              <w:t>Use in modelled evaluation</w:t>
            </w:r>
          </w:p>
        </w:tc>
      </w:tr>
      <w:tr w:rsidR="00B37FBB" w:rsidRPr="00B45E7F" w:rsidTr="00B97F9F">
        <w:tc>
          <w:tcPr>
            <w:tcW w:w="582" w:type="pct"/>
            <w:shd w:val="clear" w:color="auto" w:fill="auto"/>
            <w:vAlign w:val="center"/>
          </w:tcPr>
          <w:p w:rsidR="007F1017" w:rsidRPr="00B45E7F" w:rsidRDefault="00161A03" w:rsidP="00B41614">
            <w:pPr>
              <w:pStyle w:val="Tabletext"/>
              <w:rPr>
                <w:lang w:val="en-US"/>
              </w:rPr>
            </w:pPr>
            <w:r w:rsidRPr="00B45E7F">
              <w:rPr>
                <w:lang w:val="en-US"/>
              </w:rPr>
              <w:t>Trial P001</w:t>
            </w:r>
          </w:p>
        </w:tc>
        <w:tc>
          <w:tcPr>
            <w:tcW w:w="378" w:type="pct"/>
            <w:shd w:val="clear" w:color="auto" w:fill="auto"/>
            <w:vAlign w:val="center"/>
          </w:tcPr>
          <w:p w:rsidR="007F1017" w:rsidRPr="00B45E7F" w:rsidRDefault="00B411F6" w:rsidP="00B41614">
            <w:pPr>
              <w:pStyle w:val="Tabletext"/>
              <w:jc w:val="center"/>
              <w:rPr>
                <w:lang w:val="en-US"/>
              </w:rPr>
            </w:pPr>
            <w:r w:rsidRPr="00B45E7F">
              <w:rPr>
                <w:lang w:val="en-US"/>
              </w:rPr>
              <w:t>565</w:t>
            </w:r>
            <w:r w:rsidR="00DC1479" w:rsidRPr="00B45E7F">
              <w:rPr>
                <w:vertAlign w:val="superscript"/>
                <w:lang w:val="en-US"/>
              </w:rPr>
              <w:t>a</w:t>
            </w:r>
          </w:p>
        </w:tc>
        <w:tc>
          <w:tcPr>
            <w:tcW w:w="865" w:type="pct"/>
            <w:shd w:val="clear" w:color="auto" w:fill="auto"/>
            <w:vAlign w:val="center"/>
          </w:tcPr>
          <w:p w:rsidR="007F1017" w:rsidRPr="00B45E7F" w:rsidRDefault="007F1017" w:rsidP="003F0008">
            <w:pPr>
              <w:pStyle w:val="Tabletext"/>
              <w:rPr>
                <w:lang w:val="en-US"/>
              </w:rPr>
            </w:pPr>
            <w:r w:rsidRPr="00B45E7F">
              <w:rPr>
                <w:lang w:val="en-US"/>
              </w:rPr>
              <w:t>R, DB</w:t>
            </w:r>
            <w:r w:rsidR="00302144" w:rsidRPr="00B45E7F">
              <w:rPr>
                <w:lang w:val="en-US"/>
              </w:rPr>
              <w:t>, MC</w:t>
            </w:r>
          </w:p>
          <w:p w:rsidR="007F1017" w:rsidRPr="00B45E7F" w:rsidRDefault="00161A03" w:rsidP="003F0008">
            <w:pPr>
              <w:pStyle w:val="Tabletext"/>
              <w:rPr>
                <w:lang w:val="en-US"/>
              </w:rPr>
            </w:pPr>
            <w:r w:rsidRPr="00B45E7F">
              <w:rPr>
                <w:lang w:val="en-US"/>
              </w:rPr>
              <w:t>14 weeks</w:t>
            </w:r>
            <w:r w:rsidR="003F0008" w:rsidRPr="00B45E7F">
              <w:rPr>
                <w:lang w:val="en-US"/>
              </w:rPr>
              <w:t xml:space="preserve"> treatment and follow-up through 48 weeks</w:t>
            </w:r>
          </w:p>
        </w:tc>
        <w:tc>
          <w:tcPr>
            <w:tcW w:w="586" w:type="pct"/>
            <w:shd w:val="clear" w:color="auto" w:fill="auto"/>
            <w:vAlign w:val="center"/>
          </w:tcPr>
          <w:p w:rsidR="007F1017" w:rsidRPr="00B45E7F" w:rsidRDefault="007F1017" w:rsidP="00B41614">
            <w:pPr>
              <w:pStyle w:val="Tabletext"/>
              <w:jc w:val="center"/>
              <w:rPr>
                <w:lang w:val="en-US"/>
              </w:rPr>
            </w:pPr>
            <w:r w:rsidRPr="00B45E7F">
              <w:rPr>
                <w:lang w:val="en-US"/>
              </w:rPr>
              <w:t>Low</w:t>
            </w:r>
          </w:p>
        </w:tc>
        <w:tc>
          <w:tcPr>
            <w:tcW w:w="838" w:type="pct"/>
            <w:shd w:val="clear" w:color="auto" w:fill="auto"/>
            <w:vAlign w:val="center"/>
          </w:tcPr>
          <w:p w:rsidR="007F1017" w:rsidRPr="00B45E7F" w:rsidRDefault="00161A03" w:rsidP="003F0008">
            <w:pPr>
              <w:pStyle w:val="Tabletext"/>
              <w:rPr>
                <w:lang w:val="en-US"/>
              </w:rPr>
            </w:pPr>
            <w:r w:rsidRPr="00B45E7F">
              <w:rPr>
                <w:lang w:val="en-US"/>
              </w:rPr>
              <w:t>CMV sero-positive patients</w:t>
            </w:r>
            <w:r w:rsidR="003F0008" w:rsidRPr="00B45E7F">
              <w:rPr>
                <w:lang w:val="en-US"/>
              </w:rPr>
              <w:t xml:space="preserve"> who were recipients of an allogeneic HSCT</w:t>
            </w:r>
          </w:p>
        </w:tc>
        <w:tc>
          <w:tcPr>
            <w:tcW w:w="957" w:type="pct"/>
            <w:shd w:val="clear" w:color="auto" w:fill="auto"/>
            <w:vAlign w:val="center"/>
          </w:tcPr>
          <w:p w:rsidR="007F1017" w:rsidRPr="00B45E7F" w:rsidRDefault="003F0008" w:rsidP="003F0008">
            <w:pPr>
              <w:pStyle w:val="Tabletext"/>
              <w:rPr>
                <w:lang w:val="en-US"/>
              </w:rPr>
            </w:pPr>
            <w:r w:rsidRPr="00B45E7F">
              <w:rPr>
                <w:lang w:val="en-US"/>
              </w:rPr>
              <w:t xml:space="preserve">CMV infection, CMV disease, mortality, </w:t>
            </w:r>
            <w:r w:rsidR="004061D4" w:rsidRPr="00B45E7F">
              <w:rPr>
                <w:lang w:val="en-US"/>
              </w:rPr>
              <w:t>GVHD</w:t>
            </w:r>
            <w:r w:rsidR="00B37FBB" w:rsidRPr="00B45E7F">
              <w:rPr>
                <w:lang w:val="en-US"/>
              </w:rPr>
              <w:t>, QoL</w:t>
            </w:r>
          </w:p>
        </w:tc>
        <w:tc>
          <w:tcPr>
            <w:tcW w:w="794" w:type="pct"/>
            <w:shd w:val="clear" w:color="auto" w:fill="auto"/>
            <w:vAlign w:val="center"/>
          </w:tcPr>
          <w:p w:rsidR="007F1017" w:rsidRPr="00B45E7F" w:rsidRDefault="00161A03" w:rsidP="00161A03">
            <w:pPr>
              <w:pStyle w:val="Tabletext"/>
              <w:rPr>
                <w:lang w:val="en-US"/>
              </w:rPr>
            </w:pPr>
            <w:r w:rsidRPr="00B45E7F">
              <w:rPr>
                <w:lang w:val="en-US"/>
              </w:rPr>
              <w:t xml:space="preserve">CMV infection, CMV disease, mortality, </w:t>
            </w:r>
            <w:r w:rsidR="004061D4" w:rsidRPr="00B45E7F">
              <w:rPr>
                <w:lang w:val="en-US"/>
              </w:rPr>
              <w:t>GVHD</w:t>
            </w:r>
          </w:p>
        </w:tc>
      </w:tr>
    </w:tbl>
    <w:p w:rsidR="00DC1479" w:rsidRPr="00B45E7F" w:rsidRDefault="00DC1479" w:rsidP="00DC1479">
      <w:pPr>
        <w:pStyle w:val="TableFooter"/>
        <w:tabs>
          <w:tab w:val="left" w:pos="142"/>
        </w:tabs>
        <w:ind w:left="142" w:hanging="142"/>
      </w:pPr>
      <w:r w:rsidRPr="00B45E7F">
        <w:rPr>
          <w:vertAlign w:val="superscript"/>
          <w:lang w:val="en-US"/>
        </w:rPr>
        <w:t>a</w:t>
      </w:r>
      <w:r w:rsidRPr="00B45E7F">
        <w:rPr>
          <w:lang w:val="en-US"/>
        </w:rPr>
        <w:tab/>
        <w:t>While there were 565 patients randomised, the analysis population consisted of only 495 patients as 70 patients with detectable CMV DNA on Day 1 were excluded.</w:t>
      </w:r>
    </w:p>
    <w:p w:rsidR="007F1017" w:rsidRPr="00B45E7F" w:rsidRDefault="00DC1479" w:rsidP="00045017">
      <w:pPr>
        <w:pStyle w:val="TableFooter"/>
      </w:pPr>
      <w:r w:rsidRPr="00B45E7F">
        <w:t xml:space="preserve">CMV=cytomegalovirus; </w:t>
      </w:r>
      <w:r w:rsidR="007F1017" w:rsidRPr="00B45E7F">
        <w:t xml:space="preserve">DB=double blind; </w:t>
      </w:r>
      <w:r w:rsidR="004061D4" w:rsidRPr="00B45E7F">
        <w:t>GVHD</w:t>
      </w:r>
      <w:r w:rsidRPr="00B45E7F">
        <w:t xml:space="preserve">=graft versus host disease; HSCT=haematopoietic stem cell transplant; </w:t>
      </w:r>
      <w:r w:rsidR="00B37FBB" w:rsidRPr="00B45E7F">
        <w:t xml:space="preserve">MC=multi-centre; QoL=quality of life; </w:t>
      </w:r>
      <w:r w:rsidRPr="00B45E7F">
        <w:t>R=randomised</w:t>
      </w:r>
    </w:p>
    <w:p w:rsidR="007F1017" w:rsidRDefault="00045017" w:rsidP="00967337">
      <w:pPr>
        <w:pStyle w:val="TableFooter"/>
      </w:pPr>
      <w:r w:rsidRPr="00B45E7F">
        <w:t xml:space="preserve">Source: </w:t>
      </w:r>
      <w:r w:rsidR="00B411F6" w:rsidRPr="00B45E7F">
        <w:t>Sections 2.2</w:t>
      </w:r>
      <w:r w:rsidR="00DC1479" w:rsidRPr="00B45E7F">
        <w:t>.3</w:t>
      </w:r>
      <w:r w:rsidR="00B411F6" w:rsidRPr="00B45E7F">
        <w:t xml:space="preserve"> to 2.4</w:t>
      </w:r>
      <w:r w:rsidR="00DC1479" w:rsidRPr="00B45E7F">
        <w:t>, p32-46 of the submission.</w:t>
      </w:r>
    </w:p>
    <w:p w:rsidR="00967337" w:rsidRPr="00967337" w:rsidRDefault="00967337" w:rsidP="00967337">
      <w:pPr>
        <w:pStyle w:val="TableFooter"/>
        <w:rPr>
          <w:sz w:val="20"/>
        </w:rPr>
      </w:pPr>
    </w:p>
    <w:p w:rsidR="00B60939" w:rsidRPr="00B45E7F" w:rsidRDefault="00B37FBB" w:rsidP="007A12C6">
      <w:pPr>
        <w:pStyle w:val="ListParagraph"/>
        <w:numPr>
          <w:ilvl w:val="1"/>
          <w:numId w:val="2"/>
        </w:numPr>
      </w:pPr>
      <w:r w:rsidRPr="00B45E7F">
        <w:t xml:space="preserve">While there were 565 patients randomised to treatment in Trial P001, </w:t>
      </w:r>
      <w:r w:rsidR="00D97EA0">
        <w:rPr>
          <w:lang w:val="en-US"/>
        </w:rPr>
        <w:t>the analysis population consisted of only 495 patients as 70 patients with detectable CMV DNA on Day 1 were excluded</w:t>
      </w:r>
      <w:r w:rsidRPr="00B45E7F">
        <w:t xml:space="preserve">.  This </w:t>
      </w:r>
      <w:r w:rsidR="00C807EF">
        <w:t xml:space="preserve">patient group is consistent with </w:t>
      </w:r>
      <w:r w:rsidR="00E832C8">
        <w:t xml:space="preserve">population defined by </w:t>
      </w:r>
      <w:r w:rsidR="00C807EF">
        <w:t>the proposed</w:t>
      </w:r>
      <w:r w:rsidR="00BF3CD2" w:rsidRPr="00B45E7F">
        <w:t xml:space="preserve"> listing</w:t>
      </w:r>
      <w:r w:rsidRPr="00B45E7F">
        <w:t>.</w:t>
      </w:r>
    </w:p>
    <w:p w:rsidR="003D1C29" w:rsidRPr="00B45E7F" w:rsidRDefault="003D1C29" w:rsidP="007A12C6">
      <w:pPr>
        <w:pStyle w:val="ListParagraph"/>
        <w:numPr>
          <w:ilvl w:val="1"/>
          <w:numId w:val="2"/>
        </w:numPr>
      </w:pPr>
      <w:r w:rsidRPr="00B45E7F">
        <w:t>In Trial P001 51.9%</w:t>
      </w:r>
      <w:r w:rsidR="00E852E5" w:rsidRPr="00B45E7F">
        <w:t xml:space="preserve"> of patients</w:t>
      </w:r>
      <w:r w:rsidRPr="00B45E7F">
        <w:t xml:space="preserve"> received concomitant treatment with cyclosporin.  In the economic model and financial impact estimates, the submission applied data from the ABMTRR which indicated that </w:t>
      </w:r>
      <w:r w:rsidR="004569C1">
        <w:rPr>
          <w:noProof/>
          <w:color w:val="000000"/>
          <w:highlight w:val="black"/>
        </w:rPr>
        <w:t>'''''</w:t>
      </w:r>
      <w:r w:rsidRPr="00B45E7F">
        <w:t xml:space="preserve">% of Australian patients used cyclosporin.  When used with cyclosporin, letermovir is dosed at 240mg/day while when used alone, it is dosed at 480mg/day.  </w:t>
      </w:r>
    </w:p>
    <w:p w:rsidR="00B37FBB" w:rsidRPr="00B45E7F" w:rsidRDefault="00B37FBB" w:rsidP="007A12C6">
      <w:pPr>
        <w:pStyle w:val="ListParagraph"/>
        <w:numPr>
          <w:ilvl w:val="1"/>
          <w:numId w:val="2"/>
        </w:numPr>
      </w:pPr>
      <w:r w:rsidRPr="00B45E7F">
        <w:t xml:space="preserve">The primary outcome in Trial P001 was </w:t>
      </w:r>
      <w:r w:rsidR="00C21D90" w:rsidRPr="00B45E7F">
        <w:t>the proportion of patients with clinically significant CMV infection at Week 24</w:t>
      </w:r>
      <w:r w:rsidR="00C858FE" w:rsidRPr="00B45E7F">
        <w:t>, comprised of onset of CMV end-organ disease or initiation of pre-emptive therapy (PET) based on documented CMV viraemia and the clinical condition of the patient</w:t>
      </w:r>
      <w:r w:rsidRPr="00B45E7F">
        <w:t>.</w:t>
      </w:r>
      <w:r w:rsidR="00C858FE" w:rsidRPr="00B45E7F">
        <w:t xml:space="preserve">  The primary outcome was assessed on a non-completer </w:t>
      </w:r>
      <w:proofErr w:type="gramStart"/>
      <w:r w:rsidR="00C858FE" w:rsidRPr="00B45E7F">
        <w:t>equals</w:t>
      </w:r>
      <w:proofErr w:type="gramEnd"/>
      <w:r w:rsidR="00C858FE" w:rsidRPr="00B45E7F">
        <w:t xml:space="preserve"> failure basis, where </w:t>
      </w:r>
      <w:r w:rsidR="00C91ED3" w:rsidRPr="00B45E7F">
        <w:t>any patient who discontinued or had missing data was considered a failure.</w:t>
      </w:r>
      <w:r w:rsidRPr="00B45E7F">
        <w:t xml:space="preserve">  The submission also provided results for the exploratory outcomes of all-cause </w:t>
      </w:r>
      <w:r w:rsidR="00C21D90" w:rsidRPr="00B45E7F">
        <w:t xml:space="preserve">mortality, </w:t>
      </w:r>
      <w:r w:rsidR="004061D4" w:rsidRPr="00B45E7F">
        <w:t>GVHD</w:t>
      </w:r>
      <w:r w:rsidR="00C95E98" w:rsidRPr="00B45E7F">
        <w:t xml:space="preserve"> and quality of life outcomes (EQ-5D and FACT-BMT)</w:t>
      </w:r>
      <w:r w:rsidRPr="00B45E7F">
        <w:t>.</w:t>
      </w:r>
      <w:r w:rsidR="00185BEC" w:rsidRPr="00B45E7F">
        <w:t xml:space="preserve"> The ESC considered these were appropriate outcome measures for assessing the comparative effectiveness of letermovir.</w:t>
      </w:r>
    </w:p>
    <w:p w:rsidR="00B60939" w:rsidRPr="00CA3B62" w:rsidRDefault="00B60939" w:rsidP="001F0352">
      <w:pPr>
        <w:keepNext/>
        <w:keepLines/>
        <w:widowControl w:val="0"/>
        <w:spacing w:before="240" w:after="120" w:line="276" w:lineRule="auto"/>
        <w:outlineLvl w:val="1"/>
        <w:rPr>
          <w:rFonts w:asciiTheme="minorHAnsi" w:hAnsiTheme="minorHAnsi" w:cs="Arial"/>
          <w:b/>
          <w:bCs/>
          <w:i/>
          <w:snapToGrid w:val="0"/>
          <w:sz w:val="28"/>
          <w:szCs w:val="28"/>
        </w:rPr>
      </w:pPr>
      <w:bookmarkStart w:id="7" w:name="_Toc514242726"/>
      <w:r w:rsidRPr="00CA3B62">
        <w:rPr>
          <w:rFonts w:asciiTheme="minorHAnsi" w:hAnsiTheme="minorHAnsi" w:cs="Arial"/>
          <w:b/>
          <w:bCs/>
          <w:i/>
          <w:snapToGrid w:val="0"/>
          <w:sz w:val="28"/>
          <w:szCs w:val="28"/>
        </w:rPr>
        <w:lastRenderedPageBreak/>
        <w:t>Comparative effectiveness</w:t>
      </w:r>
      <w:bookmarkEnd w:id="7"/>
    </w:p>
    <w:p w:rsidR="00B10798" w:rsidRPr="00B45E7F" w:rsidRDefault="00C858FE" w:rsidP="001F0352">
      <w:pPr>
        <w:pStyle w:val="ListParagraph"/>
        <w:keepNext/>
        <w:keepLines/>
        <w:numPr>
          <w:ilvl w:val="1"/>
          <w:numId w:val="2"/>
        </w:numPr>
      </w:pPr>
      <w:r w:rsidRPr="00B45E7F">
        <w:t>The table below provides results for the primary outcome in Trial P001, the proportion of patients with clinically significant CMV infection.</w:t>
      </w:r>
    </w:p>
    <w:p w:rsidR="00C858FE" w:rsidRPr="00B45E7F" w:rsidRDefault="00C858FE" w:rsidP="00C858FE">
      <w:pPr>
        <w:rPr>
          <w:rFonts w:ascii="Arial Narrow" w:hAnsi="Arial Narrow"/>
          <w:b/>
          <w:sz w:val="20"/>
          <w:szCs w:val="20"/>
        </w:rPr>
      </w:pPr>
      <w:r w:rsidRPr="00B45E7F">
        <w:rPr>
          <w:rFonts w:ascii="Arial Narrow" w:hAnsi="Arial Narrow"/>
          <w:b/>
          <w:sz w:val="20"/>
          <w:szCs w:val="20"/>
        </w:rPr>
        <w:t>Table 4:  Results for the primary outcome in Trial P001 – proportion of patients with clinically significant CMV infection</w:t>
      </w:r>
      <w:r w:rsidR="002F7ECC" w:rsidRPr="00B45E7F">
        <w:rPr>
          <w:rFonts w:ascii="Arial Narrow" w:hAnsi="Arial Narrow"/>
          <w:b/>
          <w:sz w:val="20"/>
          <w:szCs w:val="20"/>
        </w:rPr>
        <w:t xml:space="preserve"> at Week 24</w:t>
      </w:r>
    </w:p>
    <w:tbl>
      <w:tblPr>
        <w:tblStyle w:val="TableGrid"/>
        <w:tblW w:w="4942" w:type="pct"/>
        <w:tblInd w:w="108" w:type="dxa"/>
        <w:tblLook w:val="04A0" w:firstRow="1" w:lastRow="0" w:firstColumn="1" w:lastColumn="0" w:noHBand="0" w:noVBand="1"/>
        <w:tblCaption w:val="Table 4:  Results for the primary outcome in Trial P001 – proportion of patients with clinically significant CMV infection at Week 24"/>
      </w:tblPr>
      <w:tblGrid>
        <w:gridCol w:w="4095"/>
        <w:gridCol w:w="2434"/>
        <w:gridCol w:w="2607"/>
      </w:tblGrid>
      <w:tr w:rsidR="00C858FE" w:rsidRPr="00B45E7F" w:rsidTr="00967337">
        <w:trPr>
          <w:tblHeader/>
        </w:trPr>
        <w:tc>
          <w:tcPr>
            <w:tcW w:w="2241" w:type="pct"/>
          </w:tcPr>
          <w:p w:rsidR="00C858FE" w:rsidRPr="00B45E7F" w:rsidRDefault="00C858FE" w:rsidP="00242638">
            <w:pPr>
              <w:tabs>
                <w:tab w:val="left" w:pos="167"/>
              </w:tabs>
              <w:jc w:val="left"/>
              <w:rPr>
                <w:rFonts w:ascii="Arial Narrow" w:hAnsi="Arial Narrow"/>
                <w:b/>
                <w:sz w:val="20"/>
                <w:szCs w:val="20"/>
              </w:rPr>
            </w:pPr>
          </w:p>
        </w:tc>
        <w:tc>
          <w:tcPr>
            <w:tcW w:w="1332" w:type="pct"/>
          </w:tcPr>
          <w:p w:rsidR="00C858FE" w:rsidRPr="00B45E7F" w:rsidRDefault="00C858FE" w:rsidP="00242638">
            <w:pPr>
              <w:jc w:val="center"/>
              <w:rPr>
                <w:rFonts w:ascii="Arial Narrow" w:hAnsi="Arial Narrow"/>
                <w:b/>
                <w:sz w:val="20"/>
                <w:szCs w:val="20"/>
              </w:rPr>
            </w:pPr>
            <w:r w:rsidRPr="00B45E7F">
              <w:rPr>
                <w:rFonts w:ascii="Arial Narrow" w:hAnsi="Arial Narrow"/>
                <w:b/>
                <w:sz w:val="20"/>
                <w:szCs w:val="20"/>
              </w:rPr>
              <w:t>Letermovir (N=325)</w:t>
            </w:r>
          </w:p>
          <w:p w:rsidR="00C858FE" w:rsidRPr="00B45E7F" w:rsidRDefault="00C858FE" w:rsidP="00242638">
            <w:pPr>
              <w:jc w:val="center"/>
              <w:rPr>
                <w:rFonts w:ascii="Arial Narrow" w:hAnsi="Arial Narrow"/>
                <w:b/>
                <w:sz w:val="20"/>
                <w:szCs w:val="20"/>
              </w:rPr>
            </w:pPr>
            <w:r w:rsidRPr="00B45E7F">
              <w:rPr>
                <w:rFonts w:ascii="Arial Narrow" w:hAnsi="Arial Narrow"/>
                <w:b/>
                <w:sz w:val="20"/>
                <w:szCs w:val="20"/>
              </w:rPr>
              <w:t>n %</w:t>
            </w:r>
          </w:p>
        </w:tc>
        <w:tc>
          <w:tcPr>
            <w:tcW w:w="1427" w:type="pct"/>
          </w:tcPr>
          <w:p w:rsidR="00C858FE" w:rsidRPr="00B45E7F" w:rsidRDefault="00C858FE" w:rsidP="00242638">
            <w:pPr>
              <w:jc w:val="center"/>
              <w:rPr>
                <w:rFonts w:ascii="Arial Narrow" w:hAnsi="Arial Narrow"/>
                <w:b/>
                <w:sz w:val="20"/>
                <w:szCs w:val="20"/>
              </w:rPr>
            </w:pPr>
            <w:r w:rsidRPr="00B45E7F">
              <w:rPr>
                <w:rFonts w:ascii="Arial Narrow" w:hAnsi="Arial Narrow"/>
                <w:b/>
                <w:sz w:val="20"/>
                <w:szCs w:val="20"/>
              </w:rPr>
              <w:t>Placebo (N=170)</w:t>
            </w:r>
          </w:p>
          <w:p w:rsidR="00C858FE" w:rsidRPr="00B45E7F" w:rsidRDefault="00C858FE" w:rsidP="00242638">
            <w:pPr>
              <w:jc w:val="center"/>
              <w:rPr>
                <w:rFonts w:ascii="Arial Narrow" w:hAnsi="Arial Narrow"/>
                <w:b/>
                <w:sz w:val="20"/>
                <w:szCs w:val="20"/>
              </w:rPr>
            </w:pPr>
            <w:r w:rsidRPr="00B45E7F">
              <w:rPr>
                <w:rFonts w:ascii="Arial Narrow" w:hAnsi="Arial Narrow"/>
                <w:b/>
                <w:sz w:val="20"/>
                <w:szCs w:val="20"/>
              </w:rPr>
              <w:t>n %</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Clinically significant CMV infection by Week 24</w:t>
            </w:r>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57 (17.5%)</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71 (41.8%)</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ab/>
              <w:t>Initiation of PET</w:t>
            </w:r>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52 (16.0%)</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68 (40.0%)</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ab/>
              <w:t>CMV end-organ disease</w:t>
            </w:r>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5 (1.5%)</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3 (1.8%)</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Discontinued before Week 24</w:t>
            </w:r>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56 (17.2%)</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27 (15.9%)</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Missing outcome in Week 24 visit window</w:t>
            </w:r>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9 (2.8%)</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5 (2.9%)</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sz w:val="20"/>
                <w:szCs w:val="20"/>
              </w:rPr>
            </w:pPr>
            <w:r w:rsidRPr="00B45E7F">
              <w:rPr>
                <w:rFonts w:ascii="Arial Narrow" w:hAnsi="Arial Narrow"/>
                <w:sz w:val="20"/>
                <w:szCs w:val="20"/>
              </w:rPr>
              <w:t xml:space="preserve">Total </w:t>
            </w:r>
            <w:proofErr w:type="spellStart"/>
            <w:r w:rsidRPr="00B45E7F">
              <w:rPr>
                <w:rFonts w:ascii="Arial Narrow" w:hAnsi="Arial Narrow"/>
                <w:sz w:val="20"/>
                <w:szCs w:val="20"/>
              </w:rPr>
              <w:t>failures</w:t>
            </w:r>
            <w:r w:rsidRPr="00B45E7F">
              <w:rPr>
                <w:rFonts w:ascii="Arial Narrow" w:hAnsi="Arial Narrow"/>
                <w:sz w:val="20"/>
                <w:szCs w:val="20"/>
                <w:vertAlign w:val="superscript"/>
              </w:rPr>
              <w:t>a</w:t>
            </w:r>
            <w:proofErr w:type="spellEnd"/>
          </w:p>
        </w:tc>
        <w:tc>
          <w:tcPr>
            <w:tcW w:w="1332"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122 (37.5%)</w:t>
            </w:r>
          </w:p>
        </w:tc>
        <w:tc>
          <w:tcPr>
            <w:tcW w:w="1427" w:type="pct"/>
          </w:tcPr>
          <w:p w:rsidR="00C858FE" w:rsidRPr="00B45E7F" w:rsidRDefault="00C858FE" w:rsidP="00242638">
            <w:pPr>
              <w:jc w:val="center"/>
              <w:rPr>
                <w:rFonts w:ascii="Arial Narrow" w:hAnsi="Arial Narrow"/>
                <w:sz w:val="20"/>
                <w:szCs w:val="20"/>
              </w:rPr>
            </w:pPr>
            <w:r w:rsidRPr="00B45E7F">
              <w:rPr>
                <w:rFonts w:ascii="Arial Narrow" w:hAnsi="Arial Narrow"/>
                <w:sz w:val="20"/>
                <w:szCs w:val="20"/>
              </w:rPr>
              <w:t>103 (60.6%)</w:t>
            </w:r>
          </w:p>
        </w:tc>
      </w:tr>
      <w:tr w:rsidR="00C858FE" w:rsidRPr="00B45E7F" w:rsidTr="0003348A">
        <w:tc>
          <w:tcPr>
            <w:tcW w:w="2241" w:type="pct"/>
          </w:tcPr>
          <w:p w:rsidR="00C858FE" w:rsidRPr="00B45E7F" w:rsidRDefault="00C858FE" w:rsidP="00242638">
            <w:pPr>
              <w:tabs>
                <w:tab w:val="left" w:pos="167"/>
              </w:tabs>
              <w:jc w:val="left"/>
              <w:rPr>
                <w:rFonts w:ascii="Arial Narrow" w:hAnsi="Arial Narrow"/>
                <w:b/>
                <w:sz w:val="20"/>
                <w:szCs w:val="20"/>
              </w:rPr>
            </w:pPr>
            <w:r w:rsidRPr="00B45E7F">
              <w:rPr>
                <w:rFonts w:ascii="Arial Narrow" w:hAnsi="Arial Narrow"/>
                <w:b/>
                <w:sz w:val="20"/>
                <w:szCs w:val="20"/>
              </w:rPr>
              <w:t>Stratum-adjusted treatment difference (95% CI)</w:t>
            </w:r>
          </w:p>
        </w:tc>
        <w:tc>
          <w:tcPr>
            <w:tcW w:w="2759" w:type="pct"/>
            <w:gridSpan w:val="2"/>
          </w:tcPr>
          <w:p w:rsidR="00C858FE" w:rsidRPr="00B45E7F" w:rsidRDefault="00C858FE" w:rsidP="00242638">
            <w:pPr>
              <w:jc w:val="center"/>
              <w:rPr>
                <w:rFonts w:ascii="Arial Narrow" w:hAnsi="Arial Narrow"/>
                <w:b/>
                <w:sz w:val="20"/>
                <w:szCs w:val="20"/>
              </w:rPr>
            </w:pPr>
            <w:r w:rsidRPr="00B45E7F">
              <w:rPr>
                <w:rFonts w:ascii="Arial Narrow" w:hAnsi="Arial Narrow"/>
                <w:b/>
                <w:sz w:val="20"/>
                <w:szCs w:val="20"/>
              </w:rPr>
              <w:t>-23.5</w:t>
            </w:r>
            <w:r w:rsidR="00E832C8">
              <w:rPr>
                <w:rFonts w:ascii="Arial Narrow" w:hAnsi="Arial Narrow"/>
                <w:b/>
                <w:sz w:val="20"/>
                <w:szCs w:val="20"/>
              </w:rPr>
              <w:t>%</w:t>
            </w:r>
            <w:r w:rsidRPr="00B45E7F">
              <w:rPr>
                <w:rFonts w:ascii="Arial Narrow" w:hAnsi="Arial Narrow"/>
                <w:b/>
                <w:sz w:val="20"/>
                <w:szCs w:val="20"/>
              </w:rPr>
              <w:t xml:space="preserve"> (-32.5, -14.6)</w:t>
            </w:r>
          </w:p>
        </w:tc>
      </w:tr>
    </w:tbl>
    <w:p w:rsidR="00C858FE" w:rsidRPr="00B45E7F" w:rsidRDefault="00C858FE" w:rsidP="00C858FE">
      <w:pPr>
        <w:pStyle w:val="TableFooter"/>
        <w:tabs>
          <w:tab w:val="left" w:pos="142"/>
        </w:tabs>
        <w:ind w:left="142" w:hanging="142"/>
      </w:pPr>
      <w:r w:rsidRPr="00B45E7F">
        <w:rPr>
          <w:vertAlign w:val="superscript"/>
        </w:rPr>
        <w:t>a</w:t>
      </w:r>
      <w:r w:rsidRPr="00B45E7F">
        <w:tab/>
        <w:t>As the analysis assumed non-completers equals failure, this total includes patients with CMV infection as well as those who discontinued or were missing outcome data at Week 24.</w:t>
      </w:r>
    </w:p>
    <w:p w:rsidR="00C858FE" w:rsidRPr="00B45E7F" w:rsidRDefault="00C858FE" w:rsidP="00C858FE">
      <w:pPr>
        <w:pStyle w:val="TableFooter"/>
      </w:pPr>
      <w:r w:rsidRPr="00B45E7F">
        <w:t xml:space="preserve">CI=confidence interval; CMV=cytomegalovirus; PET=pre-emptive therapy; </w:t>
      </w:r>
      <w:r w:rsidRPr="00B45E7F">
        <w:rPr>
          <w:b/>
        </w:rPr>
        <w:t>bold</w:t>
      </w:r>
      <w:r w:rsidRPr="00B45E7F">
        <w:t>=statistically significant</w:t>
      </w:r>
    </w:p>
    <w:p w:rsidR="00C858FE" w:rsidRPr="00B45E7F" w:rsidRDefault="00C858FE" w:rsidP="00C858FE">
      <w:pPr>
        <w:pStyle w:val="TableFooter"/>
      </w:pPr>
      <w:r w:rsidRPr="00B45E7F">
        <w:t>Source:  Table 2-9, p49 of the submission.</w:t>
      </w:r>
    </w:p>
    <w:p w:rsidR="00C858FE" w:rsidRPr="00B45E7F" w:rsidRDefault="00C858FE" w:rsidP="00C858FE"/>
    <w:p w:rsidR="00C858FE" w:rsidRPr="00B45E7F" w:rsidRDefault="00645503" w:rsidP="007A12C6">
      <w:pPr>
        <w:pStyle w:val="ListParagraph"/>
        <w:numPr>
          <w:ilvl w:val="1"/>
          <w:numId w:val="2"/>
        </w:numPr>
      </w:pPr>
      <w:r w:rsidRPr="00B45E7F">
        <w:t>With the analysis adjusted for low- and high-risk patients (risk of CMV reactivation), the analysis demonstrated a statistically significantly lower risk of CMV infection for patients treate</w:t>
      </w:r>
      <w:r w:rsidR="003D1C29" w:rsidRPr="00B45E7F">
        <w:t xml:space="preserve">d with letermovir.  </w:t>
      </w:r>
      <w:r w:rsidR="00E832C8">
        <w:t>With</w:t>
      </w:r>
      <w:r w:rsidR="00E832C8" w:rsidRPr="00B45E7F">
        <w:t xml:space="preserve"> </w:t>
      </w:r>
      <w:r w:rsidR="003D1C29" w:rsidRPr="00B45E7F">
        <w:t>those who discontinued considered failures in the analysis, the proportion with documented CMV infection was 17.5% in the letermovir group and 41.8% in the placebo group.</w:t>
      </w:r>
    </w:p>
    <w:p w:rsidR="00704F06" w:rsidRPr="00B45E7F" w:rsidRDefault="003D1C29" w:rsidP="007A12C6">
      <w:pPr>
        <w:pStyle w:val="ListParagraph"/>
        <w:numPr>
          <w:ilvl w:val="1"/>
          <w:numId w:val="2"/>
        </w:numPr>
      </w:pPr>
      <w:r w:rsidRPr="00B45E7F">
        <w:t xml:space="preserve">The submission also presented results for the </w:t>
      </w:r>
      <w:r w:rsidR="00704F06" w:rsidRPr="00B45E7F">
        <w:t>proportion of patients with clinically significant CMV infection</w:t>
      </w:r>
      <w:r w:rsidRPr="00B45E7F">
        <w:t xml:space="preserve"> </w:t>
      </w:r>
      <w:r w:rsidR="00E832C8" w:rsidRPr="00B45E7F">
        <w:t>for</w:t>
      </w:r>
      <w:r w:rsidR="00E832C8">
        <w:t xml:space="preserve"> the subgroup of </w:t>
      </w:r>
      <w:r w:rsidR="00704F06" w:rsidRPr="00B45E7F">
        <w:t xml:space="preserve">patients using cyclosporin.  These results also demonstrated a statistically significant advantage for letermovir, with a stratum-adjusted treatment difference of </w:t>
      </w:r>
      <w:r w:rsidR="004569C1">
        <w:rPr>
          <w:noProof/>
          <w:color w:val="000000"/>
          <w:highlight w:val="black"/>
        </w:rPr>
        <w:t>'''''''''''</w:t>
      </w:r>
      <w:r w:rsidR="00E832C8">
        <w:t>%</w:t>
      </w:r>
      <w:r w:rsidR="00704F06" w:rsidRPr="00B45E7F">
        <w:t xml:space="preserve"> (95% CI: </w:t>
      </w:r>
      <w:r w:rsidR="004569C1">
        <w:rPr>
          <w:noProof/>
          <w:color w:val="000000"/>
          <w:highlight w:val="black"/>
        </w:rPr>
        <w:t>''''''''''</w:t>
      </w:r>
      <w:r w:rsidR="00704F06" w:rsidRPr="00B45E7F">
        <w:t xml:space="preserve">, </w:t>
      </w:r>
      <w:r w:rsidR="004569C1">
        <w:rPr>
          <w:noProof/>
          <w:color w:val="000000"/>
          <w:highlight w:val="black"/>
        </w:rPr>
        <w:t>''''''''''</w:t>
      </w:r>
      <w:r w:rsidR="00704F06" w:rsidRPr="00B45E7F">
        <w:t>).  While these results demonstrated significantly less CMV infection in letermovir-treated patients also taking cyclosporin compared to placebo-treated patients, the analysis presented by the submission was based on the ‘data as observed’ population, where patient</w:t>
      </w:r>
      <w:r w:rsidR="00E832C8">
        <w:t>s</w:t>
      </w:r>
      <w:r w:rsidR="00704F06" w:rsidRPr="00B45E7F">
        <w:t xml:space="preserve"> with missing data </w:t>
      </w:r>
      <w:r w:rsidR="00E832C8">
        <w:t>were</w:t>
      </w:r>
      <w:r w:rsidR="00E832C8" w:rsidRPr="00B45E7F">
        <w:t xml:space="preserve"> </w:t>
      </w:r>
      <w:r w:rsidR="00704F06" w:rsidRPr="00B45E7F">
        <w:t xml:space="preserve">excluded from the analysis.  This differed from the non-completer=failure approach used for the primary outcome measure.  </w:t>
      </w:r>
    </w:p>
    <w:p w:rsidR="003D1C29" w:rsidRPr="00B45E7F" w:rsidRDefault="00704F06" w:rsidP="007A12C6">
      <w:pPr>
        <w:pStyle w:val="ListParagraph"/>
        <w:numPr>
          <w:ilvl w:val="1"/>
          <w:numId w:val="2"/>
        </w:numPr>
      </w:pPr>
      <w:r w:rsidRPr="00B45E7F">
        <w:t>Not</w:t>
      </w:r>
      <w:r w:rsidR="00AE6178" w:rsidRPr="00B45E7F">
        <w:t xml:space="preserve"> discussed </w:t>
      </w:r>
      <w:r w:rsidR="00A92CAA" w:rsidRPr="00B45E7F">
        <w:t xml:space="preserve">in the main body of </w:t>
      </w:r>
      <w:r w:rsidRPr="00B45E7F">
        <w:t xml:space="preserve">the submission, but raised </w:t>
      </w:r>
      <w:r w:rsidR="00E832C8">
        <w:t>in</w:t>
      </w:r>
      <w:r w:rsidR="00E832C8" w:rsidRPr="00B45E7F">
        <w:t xml:space="preserve"> </w:t>
      </w:r>
      <w:r w:rsidRPr="00B45E7F">
        <w:t>the first round CER from the TGA</w:t>
      </w:r>
      <w:r w:rsidR="00E832C8">
        <w:t>,</w:t>
      </w:r>
      <w:r w:rsidRPr="00B45E7F">
        <w:t xml:space="preserve"> was that when treatment was stopped at Week 14</w:t>
      </w:r>
      <w:r w:rsidR="00E53688" w:rsidRPr="00B45E7F">
        <w:t xml:space="preserve"> (day 98)</w:t>
      </w:r>
      <w:r w:rsidRPr="00B45E7F">
        <w:t xml:space="preserve"> post-transplant there were few further cases of CMV infection in the placebo group while there was a significant increase in the letermovir group.  The CER requested that the sponsor comment on the disparity and the potential for rebound viraemia.  The Kaplan-Meier plot </w:t>
      </w:r>
      <w:r w:rsidR="00E832C8">
        <w:t>from</w:t>
      </w:r>
      <w:r w:rsidRPr="00B45E7F">
        <w:t xml:space="preserve"> the CER is reproduced below. </w:t>
      </w:r>
    </w:p>
    <w:p w:rsidR="001A42BD" w:rsidRPr="00B45E7F" w:rsidRDefault="001A42BD" w:rsidP="00002888">
      <w:pPr>
        <w:keepNext/>
        <w:rPr>
          <w:rFonts w:ascii="Arial Narrow" w:hAnsi="Arial Narrow"/>
          <w:b/>
          <w:sz w:val="20"/>
          <w:szCs w:val="20"/>
        </w:rPr>
      </w:pPr>
      <w:r w:rsidRPr="00B45E7F">
        <w:rPr>
          <w:rFonts w:ascii="Arial Narrow" w:hAnsi="Arial Narrow"/>
          <w:b/>
          <w:sz w:val="20"/>
          <w:szCs w:val="20"/>
        </w:rPr>
        <w:lastRenderedPageBreak/>
        <w:t>Figure 1:  Kaplan-Meier plot of rate of clinically significant CMV infection in Trial P001 sourced from the TGA’s first round CER</w:t>
      </w:r>
    </w:p>
    <w:p w:rsidR="001A42BD" w:rsidRPr="00B45E7F" w:rsidRDefault="001F14A2" w:rsidP="00002888">
      <w:pPr>
        <w:keepNext/>
      </w:pPr>
      <w:r w:rsidRPr="00B45E7F">
        <w:rPr>
          <w:noProof/>
          <w:lang w:eastAsia="en-AU"/>
        </w:rPr>
        <w:drawing>
          <wp:inline distT="0" distB="0" distL="0" distR="0" wp14:anchorId="37216F5B" wp14:editId="3CFF4575">
            <wp:extent cx="5732145" cy="4759325"/>
            <wp:effectExtent l="0" t="0" r="1905" b="3175"/>
            <wp:docPr id="13" name="Picture 13" title="Figure 1:  Kaplan-Meier plot of rate of clinically significant CMV infection in Trial P001 sourced from the TGA’s first round 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759325"/>
                    </a:xfrm>
                    <a:prstGeom prst="rect">
                      <a:avLst/>
                    </a:prstGeom>
                  </pic:spPr>
                </pic:pic>
              </a:graphicData>
            </a:graphic>
          </wp:inline>
        </w:drawing>
      </w:r>
    </w:p>
    <w:p w:rsidR="00704F06" w:rsidRPr="00B45E7F" w:rsidRDefault="001A42BD" w:rsidP="00002888">
      <w:pPr>
        <w:pStyle w:val="TableFooter"/>
        <w:keepNext/>
      </w:pPr>
      <w:r w:rsidRPr="00B45E7F">
        <w:t>Source:  Section 12.1.3, p65 of the CER</w:t>
      </w:r>
      <w:r w:rsidR="00940560" w:rsidRPr="00B45E7F">
        <w:t>.</w:t>
      </w:r>
    </w:p>
    <w:p w:rsidR="00704F06" w:rsidRPr="00B45E7F" w:rsidRDefault="00704F06" w:rsidP="00704F06"/>
    <w:p w:rsidR="007318AE" w:rsidRPr="00B45E7F" w:rsidRDefault="00940560" w:rsidP="007318AE">
      <w:pPr>
        <w:pStyle w:val="ListParagraph"/>
        <w:numPr>
          <w:ilvl w:val="1"/>
          <w:numId w:val="2"/>
        </w:numPr>
      </w:pPr>
      <w:r w:rsidRPr="00B45E7F">
        <w:t>The Kaplan-Meier plot showed an increase</w:t>
      </w:r>
      <w:r w:rsidR="00A74194">
        <w:t xml:space="preserve"> in </w:t>
      </w:r>
      <w:r w:rsidR="00A74194" w:rsidRPr="00B45E7F">
        <w:t>clinically significant CMV infection</w:t>
      </w:r>
      <w:r w:rsidRPr="00B45E7F">
        <w:t xml:space="preserve"> from 6.8% at Week 14 to 18.9% at Week 24 for letermovir-treated patients, compared to an increase from 41.3% to 44.3% for placebo-treated patients.  While the rate of infection is lower for letermovir-treated patients, the rate almost tripled between Week 14 and Week 24 post-transplant.  The CER also requested that the sponsor discuss arguments for and against continuing prophylaxis for 6 months.</w:t>
      </w:r>
      <w:r w:rsidR="007318AE" w:rsidRPr="00B45E7F">
        <w:t xml:space="preserve"> In response to the CER</w:t>
      </w:r>
      <w:bookmarkStart w:id="8" w:name="_GoBack"/>
      <w:bookmarkEnd w:id="8"/>
      <w:r w:rsidR="007318AE" w:rsidRPr="00B45E7F">
        <w:t xml:space="preserve">, the TGA delegate noted the post-hoc analyses </w:t>
      </w:r>
      <w:r w:rsidR="00551B35" w:rsidRPr="00B45E7F">
        <w:t xml:space="preserve">of the </w:t>
      </w:r>
      <w:r w:rsidR="00D97EA0">
        <w:t>Full Analysis Set (</w:t>
      </w:r>
      <w:r w:rsidR="00551B35" w:rsidRPr="00B45E7F">
        <w:t>FAS</w:t>
      </w:r>
      <w:r w:rsidR="00D97EA0">
        <w:t>)</w:t>
      </w:r>
      <w:r w:rsidR="00551B35" w:rsidRPr="00B45E7F">
        <w:t xml:space="preserve"> population </w:t>
      </w:r>
      <w:r w:rsidR="007318AE" w:rsidRPr="00B45E7F">
        <w:t>were performed to identify patients potentially at higher risk of CMV infection beyond week 14 post-transplant and who may benefit from prolonged prophylaxis with letermovir.</w:t>
      </w:r>
      <w:r w:rsidR="00A74194">
        <w:t xml:space="preserve"> </w:t>
      </w:r>
      <w:r w:rsidR="00551B35" w:rsidRPr="00B45E7F">
        <w:t xml:space="preserve">The following factors </w:t>
      </w:r>
      <w:r w:rsidR="00A74194">
        <w:t xml:space="preserve">were identified as being </w:t>
      </w:r>
      <w:r w:rsidR="00551B35" w:rsidRPr="00B45E7F">
        <w:t>associated with</w:t>
      </w:r>
      <w:r w:rsidR="00A74194">
        <w:t xml:space="preserve"> an</w:t>
      </w:r>
      <w:r w:rsidR="00551B35" w:rsidRPr="00B45E7F">
        <w:t xml:space="preserve"> increased risk of reactivation:</w:t>
      </w:r>
    </w:p>
    <w:p w:rsidR="00551B35" w:rsidRPr="00B45E7F" w:rsidRDefault="00551B35" w:rsidP="0003348A">
      <w:pPr>
        <w:pStyle w:val="ListParagraph"/>
        <w:numPr>
          <w:ilvl w:val="0"/>
          <w:numId w:val="12"/>
        </w:numPr>
        <w:ind w:left="1077" w:hanging="357"/>
      </w:pPr>
      <w:r w:rsidRPr="00B45E7F">
        <w:t>GVHD after randomisation and prior to clinically significant CMV infection</w:t>
      </w:r>
    </w:p>
    <w:p w:rsidR="00551B35" w:rsidRPr="00B45E7F" w:rsidRDefault="0043589C" w:rsidP="0003348A">
      <w:pPr>
        <w:pStyle w:val="ListParagraph"/>
        <w:numPr>
          <w:ilvl w:val="0"/>
          <w:numId w:val="12"/>
        </w:numPr>
        <w:ind w:left="1077" w:hanging="357"/>
      </w:pPr>
      <w:r w:rsidRPr="00B45E7F">
        <w:t>Concomitant steroid use after randomisation and prior to clinically significant CMV infection</w:t>
      </w:r>
    </w:p>
    <w:p w:rsidR="00551B35" w:rsidRPr="00B45E7F" w:rsidRDefault="00551B35" w:rsidP="0003348A">
      <w:pPr>
        <w:pStyle w:val="ListParagraph"/>
        <w:numPr>
          <w:ilvl w:val="0"/>
          <w:numId w:val="12"/>
        </w:numPr>
        <w:ind w:left="1077" w:hanging="357"/>
      </w:pPr>
      <w:r w:rsidRPr="00B45E7F">
        <w:lastRenderedPageBreak/>
        <w:t>Baseline risk for CMV reactivation</w:t>
      </w:r>
      <w:r w:rsidR="00BA50FB">
        <w:t>.</w:t>
      </w:r>
    </w:p>
    <w:p w:rsidR="00551B35" w:rsidRPr="00B45E7F" w:rsidRDefault="00551B35" w:rsidP="0003348A">
      <w:pPr>
        <w:pStyle w:val="ListParagraph"/>
        <w:numPr>
          <w:ilvl w:val="0"/>
          <w:numId w:val="12"/>
        </w:numPr>
        <w:ind w:left="1077" w:hanging="357"/>
      </w:pPr>
      <w:r w:rsidRPr="00B45E7F">
        <w:t xml:space="preserve">Negative donor CMV </w:t>
      </w:r>
      <w:r w:rsidR="0043589C" w:rsidRPr="00B45E7F">
        <w:t>sero-status</w:t>
      </w:r>
      <w:r w:rsidRPr="00B45E7F">
        <w:t xml:space="preserve">. </w:t>
      </w:r>
    </w:p>
    <w:p w:rsidR="009A254C" w:rsidRPr="00B45E7F" w:rsidRDefault="009A254C" w:rsidP="007318AE">
      <w:pPr>
        <w:pStyle w:val="ListParagraph"/>
        <w:numPr>
          <w:ilvl w:val="1"/>
          <w:numId w:val="2"/>
        </w:numPr>
      </w:pPr>
      <w:r w:rsidRPr="00B45E7F">
        <w:t xml:space="preserve">The ESC noted the argument </w:t>
      </w:r>
      <w:proofErr w:type="gramStart"/>
      <w:r w:rsidRPr="00B45E7F">
        <w:t>raised</w:t>
      </w:r>
      <w:proofErr w:type="gramEnd"/>
      <w:r w:rsidRPr="00B45E7F">
        <w:t xml:space="preserve"> in the PSCR and information provided the second round CER and TGA Delegate’s overview. Whilst there is an increase in CMV infection post cessation of letermovir, there is still a reduction in overall incidence (less than half the incidence of placebo which is still statistically significant). There are also benef</w:t>
      </w:r>
      <w:r w:rsidR="00857C06" w:rsidRPr="00B45E7F">
        <w:t>i</w:t>
      </w:r>
      <w:r w:rsidRPr="00B45E7F">
        <w:t xml:space="preserve">ts to delaying CMV infection with increased risk of death of CMV infection within the first 60 days </w:t>
      </w:r>
      <w:r w:rsidR="0043589C" w:rsidRPr="00B45E7F">
        <w:t>post-transplant</w:t>
      </w:r>
      <w:r w:rsidRPr="00B45E7F">
        <w:t xml:space="preserve"> (Green et al</w:t>
      </w:r>
      <w:r w:rsidRPr="00B45E7F">
        <w:rPr>
          <w:rStyle w:val="FootnoteReference"/>
        </w:rPr>
        <w:footnoteReference w:id="3"/>
      </w:r>
      <w:r w:rsidRPr="00B45E7F">
        <w:t>). The ESC considered this to be both clinically plausible and expected as withdrawal of immunosuppression prior to day 100 is associated with a high</w:t>
      </w:r>
      <w:r w:rsidR="00DE4F4D" w:rsidRPr="00B45E7F">
        <w:t>er</w:t>
      </w:r>
      <w:r w:rsidRPr="00B45E7F">
        <w:t xml:space="preserve"> risk for early onset </w:t>
      </w:r>
      <w:r w:rsidR="0043589C" w:rsidRPr="00B45E7F">
        <w:t xml:space="preserve">GVHD. </w:t>
      </w:r>
      <w:r w:rsidRPr="00B45E7F">
        <w:t xml:space="preserve">The ESC agreed with the PSCR that with a delayed onset of CMV, there is a higher likelihood of the </w:t>
      </w:r>
      <w:r w:rsidR="0043589C" w:rsidRPr="00B45E7F">
        <w:t>patients’</w:t>
      </w:r>
      <w:r w:rsidRPr="00B45E7F">
        <w:t xml:space="preserve"> immune system having recovered sufficiently to avoid the more severe outcomes of </w:t>
      </w:r>
      <w:r w:rsidR="004061D4" w:rsidRPr="00B45E7F">
        <w:t>GVHD</w:t>
      </w:r>
      <w:r w:rsidRPr="00B45E7F">
        <w:t>.</w:t>
      </w:r>
    </w:p>
    <w:p w:rsidR="00940560" w:rsidRPr="00B45E7F" w:rsidRDefault="009A254C" w:rsidP="009A254C">
      <w:pPr>
        <w:pStyle w:val="ListParagraph"/>
        <w:numPr>
          <w:ilvl w:val="1"/>
          <w:numId w:val="2"/>
        </w:numPr>
      </w:pPr>
      <w:r w:rsidRPr="00B45E7F">
        <w:t>The ESC noted that there is current</w:t>
      </w:r>
      <w:r w:rsidR="00A92CAA" w:rsidRPr="00B45E7F">
        <w:t>ly</w:t>
      </w:r>
      <w:r w:rsidRPr="00B45E7F">
        <w:t xml:space="preserve"> no data to support prophylaxis for 6 months</w:t>
      </w:r>
      <w:r w:rsidR="00A92CAA" w:rsidRPr="00B45E7F">
        <w:t>.</w:t>
      </w:r>
      <w:r w:rsidRPr="00B45E7F">
        <w:t xml:space="preserve"> </w:t>
      </w:r>
      <w:r w:rsidR="007318AE" w:rsidRPr="00B45E7F">
        <w:t>The ESC noted that the sponsor informed the TGA of a planned study by the sponsor, P040, comparing efficacy outcomes in subjects treated with 100 days vs. 200 days of letermovir. Though this study is not yet registered on clinicaltrials.gov (as of 5 June 2018), the ESC considered that treatment duration in practice would evolve quickly as evidence becomes available.</w:t>
      </w:r>
      <w:r w:rsidR="00A92CAA" w:rsidRPr="00B45E7F">
        <w:t xml:space="preserve"> </w:t>
      </w:r>
      <w:proofErr w:type="gramStart"/>
      <w:r w:rsidRPr="00B45E7F">
        <w:t>A longer</w:t>
      </w:r>
      <w:proofErr w:type="gramEnd"/>
      <w:r w:rsidRPr="00B45E7F">
        <w:t xml:space="preserve"> treatment duration may reduce CMV infection until a time when </w:t>
      </w:r>
      <w:r w:rsidR="001D5699" w:rsidRPr="00B45E7F">
        <w:t>most</w:t>
      </w:r>
      <w:r w:rsidRPr="00B45E7F">
        <w:t xml:space="preserve"> patients have robust immune reconstitution</w:t>
      </w:r>
      <w:r w:rsidR="001D5699" w:rsidRPr="00B45E7F">
        <w:t>, although there is no evidence to support use for 6 months</w:t>
      </w:r>
      <w:r w:rsidR="00A74194">
        <w:t>.</w:t>
      </w:r>
      <w:r w:rsidR="00BE3737" w:rsidRPr="00B45E7F">
        <w:t xml:space="preserve"> </w:t>
      </w:r>
    </w:p>
    <w:p w:rsidR="001A5145" w:rsidRPr="00B45E7F" w:rsidRDefault="001A5145" w:rsidP="001A5145">
      <w:pPr>
        <w:pStyle w:val="ListParagraph"/>
        <w:numPr>
          <w:ilvl w:val="1"/>
          <w:numId w:val="2"/>
        </w:numPr>
      </w:pPr>
      <w:r w:rsidRPr="00B45E7F">
        <w:t>The Kaplan-Meier plots for time to all-cause mortality at Week 24 and Week 48</w:t>
      </w:r>
      <w:r w:rsidR="00705C19" w:rsidRPr="00B45E7F">
        <w:t>, an exploratory outcome in Trial P001,</w:t>
      </w:r>
      <w:r w:rsidRPr="00B45E7F">
        <w:t xml:space="preserve"> are provided below.</w:t>
      </w:r>
    </w:p>
    <w:p w:rsidR="001A5145" w:rsidRPr="00B45E7F" w:rsidRDefault="001A5145" w:rsidP="001A5145">
      <w:pPr>
        <w:keepNext/>
        <w:rPr>
          <w:rFonts w:ascii="Arial Narrow" w:hAnsi="Arial Narrow"/>
          <w:b/>
          <w:sz w:val="20"/>
          <w:szCs w:val="20"/>
        </w:rPr>
      </w:pPr>
      <w:r w:rsidRPr="00B45E7F">
        <w:rPr>
          <w:rFonts w:ascii="Arial Narrow" w:hAnsi="Arial Narrow"/>
          <w:b/>
          <w:sz w:val="20"/>
          <w:szCs w:val="20"/>
        </w:rPr>
        <w:lastRenderedPageBreak/>
        <w:t>Figure 2:  Kaplan-Meier plot of time to all-cause mortality through Week 24 post-transplant in Trial P001</w:t>
      </w:r>
    </w:p>
    <w:p w:rsidR="001A5145" w:rsidRPr="00B45E7F" w:rsidRDefault="001A5145" w:rsidP="001A5145">
      <w:pPr>
        <w:keepNext/>
      </w:pPr>
      <w:r w:rsidRPr="00B45E7F">
        <w:rPr>
          <w:noProof/>
          <w:lang w:eastAsia="en-AU"/>
        </w:rPr>
        <w:drawing>
          <wp:inline distT="0" distB="0" distL="0" distR="0" wp14:anchorId="5DD0961F" wp14:editId="261C1082">
            <wp:extent cx="5429250" cy="4714875"/>
            <wp:effectExtent l="0" t="0" r="0" b="9525"/>
            <wp:docPr id="11" name="Picture 11" title="Figure 2:  Kaplan-Meier plot of time to all-cause mortality through Week 24 post-transplant in Trial 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4714875"/>
                    </a:xfrm>
                    <a:prstGeom prst="rect">
                      <a:avLst/>
                    </a:prstGeom>
                  </pic:spPr>
                </pic:pic>
              </a:graphicData>
            </a:graphic>
          </wp:inline>
        </w:drawing>
      </w:r>
    </w:p>
    <w:p w:rsidR="001A5145" w:rsidRPr="00B45E7F" w:rsidRDefault="001A5145" w:rsidP="00967337">
      <w:pPr>
        <w:pStyle w:val="TableFooter"/>
      </w:pPr>
      <w:r w:rsidRPr="00B45E7F">
        <w:t>Source:  Figure 2-4, p52 of the submission.</w:t>
      </w:r>
    </w:p>
    <w:p w:rsidR="00705C19" w:rsidRPr="00B45E7F" w:rsidRDefault="009B7193" w:rsidP="009B7193">
      <w:pPr>
        <w:keepNext/>
      </w:pPr>
      <w:r w:rsidRPr="00B45E7F">
        <w:rPr>
          <w:rFonts w:ascii="Arial Narrow" w:hAnsi="Arial Narrow"/>
          <w:b/>
          <w:sz w:val="20"/>
          <w:szCs w:val="20"/>
        </w:rPr>
        <w:lastRenderedPageBreak/>
        <w:t xml:space="preserve">Figure </w:t>
      </w:r>
      <w:r w:rsidR="00705C19" w:rsidRPr="00B45E7F">
        <w:rPr>
          <w:rFonts w:ascii="Arial Narrow" w:hAnsi="Arial Narrow"/>
          <w:b/>
          <w:sz w:val="20"/>
          <w:szCs w:val="20"/>
        </w:rPr>
        <w:t>3:  Kaplan-Meier plot of time to all-cause mortality through Week 48 post-transplant in Trial P001</w:t>
      </w:r>
    </w:p>
    <w:p w:rsidR="00705C19" w:rsidRPr="00B45E7F" w:rsidRDefault="00705C19" w:rsidP="009B7193">
      <w:pPr>
        <w:keepNext/>
      </w:pPr>
      <w:r w:rsidRPr="00B45E7F">
        <w:rPr>
          <w:noProof/>
          <w:lang w:eastAsia="en-AU"/>
        </w:rPr>
        <w:drawing>
          <wp:inline distT="0" distB="0" distL="0" distR="0" wp14:anchorId="6F506B1C" wp14:editId="7B29FE0A">
            <wp:extent cx="5324475" cy="4686300"/>
            <wp:effectExtent l="0" t="0" r="9525" b="0"/>
            <wp:docPr id="12" name="Picture 12" title="Figure 3:  Kaplan-Meier plot of time to all-cause mortality through Week 48 post-transplant in Trial 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24475" cy="4686300"/>
                    </a:xfrm>
                    <a:prstGeom prst="rect">
                      <a:avLst/>
                    </a:prstGeom>
                  </pic:spPr>
                </pic:pic>
              </a:graphicData>
            </a:graphic>
          </wp:inline>
        </w:drawing>
      </w:r>
    </w:p>
    <w:p w:rsidR="001A5145" w:rsidRPr="00B45E7F" w:rsidRDefault="00705C19" w:rsidP="009B7193">
      <w:pPr>
        <w:pStyle w:val="TableFooter"/>
        <w:keepNext/>
      </w:pPr>
      <w:r w:rsidRPr="00B45E7F">
        <w:t>Source:  Figure 2-5, p53 of the submission.</w:t>
      </w:r>
    </w:p>
    <w:p w:rsidR="001A5145" w:rsidRPr="00B45E7F" w:rsidRDefault="001A5145" w:rsidP="001A5145"/>
    <w:p w:rsidR="00966EED" w:rsidRPr="00B45E7F" w:rsidRDefault="00B10798" w:rsidP="007A12C6">
      <w:pPr>
        <w:pStyle w:val="ListParagraph"/>
        <w:numPr>
          <w:ilvl w:val="1"/>
          <w:numId w:val="2"/>
        </w:numPr>
      </w:pPr>
      <w:r w:rsidRPr="00B45E7F">
        <w:t>While there was a statistically significant advantage in all-cause mortality at Week 24 for letermovir, there was no statistically significant difference in all-cause mortality at Week 48.</w:t>
      </w:r>
      <w:r w:rsidR="006C73B8" w:rsidRPr="00B45E7F">
        <w:t xml:space="preserve">  </w:t>
      </w:r>
    </w:p>
    <w:p w:rsidR="001127C9" w:rsidRPr="00B45E7F" w:rsidRDefault="00450C0D" w:rsidP="007A12C6">
      <w:pPr>
        <w:pStyle w:val="ListParagraph"/>
        <w:numPr>
          <w:ilvl w:val="1"/>
          <w:numId w:val="2"/>
        </w:numPr>
      </w:pPr>
      <w:r w:rsidRPr="00B45E7F">
        <w:t xml:space="preserve">At Week 24 the </w:t>
      </w:r>
      <w:r w:rsidR="00116C68" w:rsidRPr="00B45E7F">
        <w:t xml:space="preserve">updated </w:t>
      </w:r>
      <w:r w:rsidR="00705C19" w:rsidRPr="00B45E7F">
        <w:t>CSR</w:t>
      </w:r>
      <w:r w:rsidRPr="00B45E7F">
        <w:t xml:space="preserve"> for Trial P001 reported there was a statistically significant difference </w:t>
      </w:r>
      <w:r w:rsidR="00E526B6" w:rsidRPr="00B45E7F">
        <w:t xml:space="preserve">for the distribution of time to CMV-related mortality </w:t>
      </w:r>
      <w:r w:rsidR="00A92CAA" w:rsidRPr="00B45E7F">
        <w:t xml:space="preserve">for </w:t>
      </w:r>
      <w:r w:rsidR="00E526B6" w:rsidRPr="00B45E7F">
        <w:t>letermovir (Kaplan-Meier event rate=</w:t>
      </w:r>
      <w:r w:rsidR="00E526B6" w:rsidRPr="00EB7E66">
        <w:t>0.7</w:t>
      </w:r>
      <w:r w:rsidR="00E526B6" w:rsidRPr="00B45E7F">
        <w:t xml:space="preserve">%) </w:t>
      </w:r>
      <w:r w:rsidR="00A92CAA" w:rsidRPr="00B45E7F">
        <w:t>versus</w:t>
      </w:r>
      <w:r w:rsidR="00E526B6" w:rsidRPr="00B45E7F">
        <w:t xml:space="preserve"> placebo (Kaplan-Meier event rate=</w:t>
      </w:r>
      <w:r w:rsidR="00E526B6" w:rsidRPr="00EB7E66">
        <w:t>9.1</w:t>
      </w:r>
      <w:r w:rsidR="00E526B6" w:rsidRPr="00B45E7F">
        <w:t xml:space="preserve">%) with a p value </w:t>
      </w:r>
      <w:r w:rsidR="00E526B6" w:rsidRPr="00EB7E66">
        <w:t>&lt;0.0001</w:t>
      </w:r>
      <w:r w:rsidR="00A92CAA" w:rsidRPr="00B45E7F">
        <w:t xml:space="preserve"> (the CSR provided with the submission </w:t>
      </w:r>
      <w:r w:rsidR="00247889" w:rsidRPr="00B45E7F">
        <w:t>stated the difference at 24 weeks was not statistically significant)</w:t>
      </w:r>
      <w:r w:rsidRPr="00B45E7F">
        <w:t xml:space="preserve">.  The Week 48 CSR indicated that CMV-related mortality was identified as all-cause mortality in patients who met the primary endpoint </w:t>
      </w:r>
      <w:r w:rsidR="0098030F" w:rsidRPr="00B45E7F">
        <w:t>of the trial (</w:t>
      </w:r>
      <w:r w:rsidR="00374D70" w:rsidRPr="00B45E7F">
        <w:t>i.e.</w:t>
      </w:r>
      <w:r w:rsidR="0098030F" w:rsidRPr="00B45E7F">
        <w:t xml:space="preserve"> </w:t>
      </w:r>
      <w:r w:rsidR="0098030F" w:rsidRPr="00EB7E66">
        <w:t>CMV infection), and this was statistically significantly different between letermovir (Kaplan-Meier event rate=3.6%) and placebo (Kaplan-Meier event rate=16.0%) with a p value &lt;0.0001.</w:t>
      </w:r>
      <w:r w:rsidR="00705C19" w:rsidRPr="00B45E7F">
        <w:t xml:space="preserve">  </w:t>
      </w:r>
    </w:p>
    <w:p w:rsidR="006C73B8" w:rsidRPr="00B45E7F" w:rsidRDefault="001127C9" w:rsidP="00E526B6">
      <w:pPr>
        <w:pStyle w:val="ListParagraph"/>
        <w:numPr>
          <w:ilvl w:val="1"/>
          <w:numId w:val="2"/>
        </w:numPr>
      </w:pPr>
      <w:r w:rsidRPr="00B45E7F">
        <w:t>In regard to results for all-cause mortality at Week</w:t>
      </w:r>
      <w:r w:rsidR="00B857DA">
        <w:t xml:space="preserve"> 48, the submission argued</w:t>
      </w:r>
      <w:r w:rsidRPr="00B45E7F">
        <w:t xml:space="preserve"> that the lack of a statistically significant difference was likely due to the trial not being statistically powered to detect a difference at 48 weeks.</w:t>
      </w:r>
      <w:r w:rsidR="001B08DC" w:rsidRPr="00B45E7F">
        <w:t xml:space="preserve">  </w:t>
      </w:r>
      <w:r w:rsidR="00247889" w:rsidRPr="00B45E7F">
        <w:t>T</w:t>
      </w:r>
      <w:r w:rsidR="001B08DC" w:rsidRPr="00B45E7F">
        <w:t xml:space="preserve">here was no discussion </w:t>
      </w:r>
      <w:r w:rsidR="00247889" w:rsidRPr="00B45E7F">
        <w:lastRenderedPageBreak/>
        <w:t xml:space="preserve">regarding </w:t>
      </w:r>
      <w:r w:rsidR="001B08DC" w:rsidRPr="00B45E7F">
        <w:t xml:space="preserve">of the strength of the results showing a statistically significant advantage for letermovir at Week 48 for </w:t>
      </w:r>
      <w:r w:rsidR="00247889" w:rsidRPr="00B45E7F">
        <w:t>CMV related mortality</w:t>
      </w:r>
      <w:r w:rsidR="001B08DC" w:rsidRPr="00B45E7F">
        <w:t xml:space="preserve">.  </w:t>
      </w:r>
      <w:r w:rsidR="00E526B6" w:rsidRPr="00B45E7F">
        <w:t xml:space="preserve">There is a discordance in mortality outcomes at Week 48, where all-cause mortality was not statistically significantly different between letermovir and placebo (p=0.1224) but CMV-related mortality showed a statistically significant difference between the two groups (p&lt;0.0001). The PSCR </w:t>
      </w:r>
      <w:r w:rsidR="00E526B6" w:rsidRPr="00B45E7F">
        <w:rPr>
          <w:rFonts w:asciiTheme="minorHAnsi" w:hAnsiTheme="minorHAnsi" w:cs="Arial"/>
        </w:rPr>
        <w:t>reiterated that all-cause mortality was an exploratory endpoint in the trial and the trial was not powered to detect a statistically significant difference</w:t>
      </w:r>
      <w:r w:rsidR="00247889" w:rsidRPr="00B45E7F">
        <w:rPr>
          <w:rFonts w:asciiTheme="minorHAnsi" w:hAnsiTheme="minorHAnsi" w:cs="Arial"/>
        </w:rPr>
        <w:t>.</w:t>
      </w:r>
      <w:r w:rsidR="00E526B6" w:rsidRPr="00B45E7F">
        <w:t xml:space="preserve"> </w:t>
      </w:r>
    </w:p>
    <w:p w:rsidR="009640BB" w:rsidRPr="00B45E7F" w:rsidRDefault="009640BB" w:rsidP="0094261D">
      <w:pPr>
        <w:pStyle w:val="ListParagraph"/>
        <w:numPr>
          <w:ilvl w:val="1"/>
          <w:numId w:val="2"/>
        </w:numPr>
      </w:pPr>
      <w:r w:rsidRPr="00B45E7F">
        <w:t>The submission provided a summary of change from baseline in EQ-5D index scores, EQ-5D VAS scores and FACT-BMT scores.  These scores are reproduced in the table below.</w:t>
      </w:r>
      <w:r w:rsidR="00247889" w:rsidRPr="00B45E7F">
        <w:t xml:space="preserve"> </w:t>
      </w:r>
    </w:p>
    <w:p w:rsidR="007324B8" w:rsidRPr="00B45E7F" w:rsidRDefault="007324B8" w:rsidP="007324B8">
      <w:pPr>
        <w:keepNext/>
        <w:rPr>
          <w:rFonts w:ascii="Arial Narrow" w:hAnsi="Arial Narrow"/>
          <w:b/>
          <w:sz w:val="20"/>
          <w:szCs w:val="20"/>
        </w:rPr>
      </w:pPr>
      <w:r w:rsidRPr="00B45E7F">
        <w:rPr>
          <w:rFonts w:ascii="Arial Narrow" w:hAnsi="Arial Narrow"/>
          <w:b/>
          <w:sz w:val="20"/>
          <w:szCs w:val="20"/>
        </w:rPr>
        <w:t>Table 5:  Change from baseline in patient-reported QoL outcomes in Trial P001</w:t>
      </w:r>
    </w:p>
    <w:tbl>
      <w:tblPr>
        <w:tblStyle w:val="TableGrid"/>
        <w:tblW w:w="5000" w:type="pct"/>
        <w:tblCellMar>
          <w:left w:w="28" w:type="dxa"/>
          <w:right w:w="28" w:type="dxa"/>
        </w:tblCellMar>
        <w:tblLook w:val="04A0" w:firstRow="1" w:lastRow="0" w:firstColumn="1" w:lastColumn="0" w:noHBand="0" w:noVBand="1"/>
        <w:tblCaption w:val="Table 5:  Change from baseline in patient-reported QoL outcomes in Trial P001"/>
      </w:tblPr>
      <w:tblGrid>
        <w:gridCol w:w="1368"/>
        <w:gridCol w:w="717"/>
        <w:gridCol w:w="748"/>
        <w:gridCol w:w="717"/>
        <w:gridCol w:w="717"/>
        <w:gridCol w:w="848"/>
        <w:gridCol w:w="772"/>
        <w:gridCol w:w="748"/>
        <w:gridCol w:w="905"/>
        <w:gridCol w:w="725"/>
        <w:gridCol w:w="818"/>
      </w:tblGrid>
      <w:tr w:rsidR="007324B8" w:rsidRPr="00B45E7F" w:rsidTr="00B97F9F">
        <w:trPr>
          <w:tblHeader/>
        </w:trPr>
        <w:tc>
          <w:tcPr>
            <w:tcW w:w="766" w:type="pct"/>
            <w:vMerge w:val="restart"/>
            <w:vAlign w:val="center"/>
          </w:tcPr>
          <w:p w:rsidR="007324B8" w:rsidRPr="00B45E7F" w:rsidRDefault="007324B8" w:rsidP="00242638">
            <w:pPr>
              <w:keepNext/>
              <w:rPr>
                <w:rFonts w:ascii="Arial Narrow" w:hAnsi="Arial Narrow"/>
                <w:b/>
                <w:sz w:val="20"/>
                <w:szCs w:val="20"/>
              </w:rPr>
            </w:pPr>
          </w:p>
        </w:tc>
        <w:tc>
          <w:tcPr>
            <w:tcW w:w="760" w:type="pct"/>
            <w:gridSpan w:val="2"/>
            <w:vAlign w:val="center"/>
          </w:tcPr>
          <w:p w:rsidR="007324B8" w:rsidRPr="00B45E7F" w:rsidRDefault="007324B8" w:rsidP="00242638">
            <w:pPr>
              <w:keepNext/>
              <w:jc w:val="center"/>
              <w:rPr>
                <w:rFonts w:ascii="Arial Narrow" w:hAnsi="Arial Narrow"/>
                <w:b/>
                <w:sz w:val="20"/>
                <w:szCs w:val="20"/>
              </w:rPr>
            </w:pPr>
            <w:r w:rsidRPr="00B45E7F">
              <w:rPr>
                <w:rFonts w:ascii="Arial Narrow" w:hAnsi="Arial Narrow"/>
                <w:b/>
                <w:sz w:val="20"/>
                <w:szCs w:val="20"/>
              </w:rPr>
              <w:t>Baseline</w:t>
            </w:r>
          </w:p>
        </w:tc>
        <w:tc>
          <w:tcPr>
            <w:tcW w:w="763" w:type="pct"/>
            <w:gridSpan w:val="2"/>
            <w:vAlign w:val="center"/>
          </w:tcPr>
          <w:p w:rsidR="007324B8" w:rsidRPr="00B45E7F" w:rsidRDefault="007324B8" w:rsidP="00242638">
            <w:pPr>
              <w:keepNext/>
              <w:jc w:val="center"/>
              <w:rPr>
                <w:rFonts w:ascii="Arial Narrow" w:hAnsi="Arial Narrow"/>
                <w:b/>
                <w:sz w:val="20"/>
                <w:szCs w:val="20"/>
              </w:rPr>
            </w:pPr>
            <w:r w:rsidRPr="00B45E7F">
              <w:rPr>
                <w:rFonts w:ascii="Arial Narrow" w:hAnsi="Arial Narrow"/>
                <w:b/>
                <w:sz w:val="20"/>
                <w:szCs w:val="20"/>
              </w:rPr>
              <w:t xml:space="preserve">Week 14 post-transplant </w:t>
            </w:r>
          </w:p>
        </w:tc>
        <w:tc>
          <w:tcPr>
            <w:tcW w:w="918" w:type="pct"/>
            <w:gridSpan w:val="2"/>
            <w:vAlign w:val="center"/>
          </w:tcPr>
          <w:p w:rsidR="007324B8" w:rsidRPr="00B45E7F" w:rsidRDefault="007324B8" w:rsidP="00242638">
            <w:pPr>
              <w:keepNext/>
              <w:jc w:val="center"/>
              <w:rPr>
                <w:rFonts w:ascii="Arial Narrow" w:hAnsi="Arial Narrow"/>
                <w:b/>
                <w:sz w:val="20"/>
                <w:szCs w:val="20"/>
              </w:rPr>
            </w:pPr>
            <w:r w:rsidRPr="00B45E7F">
              <w:rPr>
                <w:rFonts w:ascii="Arial Narrow" w:hAnsi="Arial Narrow"/>
                <w:b/>
                <w:sz w:val="20"/>
                <w:szCs w:val="20"/>
              </w:rPr>
              <w:t>Week 24 post-transplant</w:t>
            </w:r>
          </w:p>
        </w:tc>
        <w:tc>
          <w:tcPr>
            <w:tcW w:w="918" w:type="pct"/>
            <w:gridSpan w:val="2"/>
            <w:vAlign w:val="center"/>
          </w:tcPr>
          <w:p w:rsidR="007324B8" w:rsidRPr="00B45E7F" w:rsidRDefault="007324B8" w:rsidP="00242638">
            <w:pPr>
              <w:keepNext/>
              <w:jc w:val="center"/>
              <w:rPr>
                <w:rFonts w:ascii="Arial Narrow" w:hAnsi="Arial Narrow"/>
                <w:b/>
                <w:sz w:val="20"/>
                <w:szCs w:val="20"/>
              </w:rPr>
            </w:pPr>
            <w:r w:rsidRPr="00B45E7F">
              <w:rPr>
                <w:rFonts w:ascii="Arial Narrow" w:hAnsi="Arial Narrow"/>
                <w:b/>
                <w:sz w:val="20"/>
                <w:szCs w:val="20"/>
              </w:rPr>
              <w:t>Week 48 post-transplant</w:t>
            </w:r>
          </w:p>
        </w:tc>
        <w:tc>
          <w:tcPr>
            <w:tcW w:w="875" w:type="pct"/>
            <w:gridSpan w:val="2"/>
            <w:vAlign w:val="center"/>
          </w:tcPr>
          <w:p w:rsidR="007324B8" w:rsidRPr="00B45E7F" w:rsidRDefault="007324B8" w:rsidP="00242638">
            <w:pPr>
              <w:keepNext/>
              <w:jc w:val="center"/>
              <w:rPr>
                <w:rFonts w:ascii="Arial Narrow" w:hAnsi="Arial Narrow"/>
                <w:b/>
                <w:sz w:val="20"/>
                <w:szCs w:val="20"/>
              </w:rPr>
            </w:pPr>
            <w:r w:rsidRPr="00B45E7F">
              <w:rPr>
                <w:rFonts w:ascii="Arial Narrow" w:hAnsi="Arial Narrow"/>
                <w:b/>
                <w:sz w:val="20"/>
                <w:szCs w:val="20"/>
              </w:rPr>
              <w:t>All infection/ discontinuation visits</w:t>
            </w:r>
          </w:p>
        </w:tc>
      </w:tr>
      <w:tr w:rsidR="007324B8" w:rsidRPr="00B45E7F" w:rsidTr="00B97F9F">
        <w:trPr>
          <w:tblHeader/>
        </w:trPr>
        <w:tc>
          <w:tcPr>
            <w:tcW w:w="766" w:type="pct"/>
            <w:vMerge/>
            <w:vAlign w:val="center"/>
          </w:tcPr>
          <w:p w:rsidR="007324B8" w:rsidRPr="00B45E7F" w:rsidRDefault="007324B8" w:rsidP="00242638">
            <w:pPr>
              <w:rPr>
                <w:rFonts w:ascii="Arial Narrow" w:hAnsi="Arial Narrow"/>
                <w:b/>
                <w:sz w:val="20"/>
                <w:szCs w:val="20"/>
              </w:rPr>
            </w:pPr>
          </w:p>
        </w:tc>
        <w:tc>
          <w:tcPr>
            <w:tcW w:w="379"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Leter</w:t>
            </w:r>
          </w:p>
        </w:tc>
        <w:tc>
          <w:tcPr>
            <w:tcW w:w="381"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PBO</w:t>
            </w:r>
          </w:p>
        </w:tc>
        <w:tc>
          <w:tcPr>
            <w:tcW w:w="382"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Leter</w:t>
            </w:r>
          </w:p>
        </w:tc>
        <w:tc>
          <w:tcPr>
            <w:tcW w:w="381"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PBO</w:t>
            </w:r>
          </w:p>
        </w:tc>
        <w:tc>
          <w:tcPr>
            <w:tcW w:w="480"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Leter</w:t>
            </w:r>
          </w:p>
        </w:tc>
        <w:tc>
          <w:tcPr>
            <w:tcW w:w="438"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PBO</w:t>
            </w:r>
          </w:p>
        </w:tc>
        <w:tc>
          <w:tcPr>
            <w:tcW w:w="407"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Leter</w:t>
            </w:r>
          </w:p>
        </w:tc>
        <w:tc>
          <w:tcPr>
            <w:tcW w:w="511"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PBO</w:t>
            </w:r>
          </w:p>
        </w:tc>
        <w:tc>
          <w:tcPr>
            <w:tcW w:w="412"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Leter</w:t>
            </w:r>
          </w:p>
        </w:tc>
        <w:tc>
          <w:tcPr>
            <w:tcW w:w="462" w:type="pct"/>
            <w:vAlign w:val="center"/>
          </w:tcPr>
          <w:p w:rsidR="007324B8" w:rsidRPr="00B45E7F" w:rsidRDefault="007324B8" w:rsidP="00242638">
            <w:pPr>
              <w:jc w:val="center"/>
              <w:rPr>
                <w:rFonts w:ascii="Arial Narrow" w:hAnsi="Arial Narrow"/>
                <w:b/>
                <w:sz w:val="20"/>
                <w:szCs w:val="20"/>
              </w:rPr>
            </w:pPr>
            <w:r w:rsidRPr="00B45E7F">
              <w:rPr>
                <w:rFonts w:ascii="Arial Narrow" w:hAnsi="Arial Narrow"/>
                <w:b/>
                <w:sz w:val="20"/>
                <w:szCs w:val="20"/>
              </w:rPr>
              <w:t>PBO</w:t>
            </w:r>
          </w:p>
        </w:tc>
      </w:tr>
      <w:tr w:rsidR="007324B8" w:rsidRPr="00B45E7F" w:rsidTr="00B97F9F">
        <w:tc>
          <w:tcPr>
            <w:tcW w:w="5000" w:type="pct"/>
            <w:gridSpan w:val="11"/>
            <w:vAlign w:val="center"/>
          </w:tcPr>
          <w:p w:rsidR="007324B8" w:rsidRPr="00B45E7F" w:rsidRDefault="007324B8" w:rsidP="00242638">
            <w:pPr>
              <w:jc w:val="left"/>
              <w:rPr>
                <w:rFonts w:ascii="Arial Narrow" w:hAnsi="Arial Narrow"/>
                <w:b/>
                <w:sz w:val="20"/>
                <w:szCs w:val="20"/>
              </w:rPr>
            </w:pPr>
            <w:r w:rsidRPr="00B45E7F">
              <w:rPr>
                <w:rFonts w:ascii="Arial Narrow" w:hAnsi="Arial Narrow"/>
                <w:b/>
                <w:sz w:val="20"/>
                <w:szCs w:val="20"/>
              </w:rPr>
              <w:t>EQ-5D Index scores</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N</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(SD)</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change from baseline (SD)</w:t>
            </w:r>
          </w:p>
        </w:tc>
        <w:tc>
          <w:tcPr>
            <w:tcW w:w="379" w:type="pct"/>
            <w:vAlign w:val="center"/>
          </w:tcPr>
          <w:p w:rsidR="007324B8" w:rsidRPr="004011AA" w:rsidRDefault="007324B8" w:rsidP="00242638">
            <w:pPr>
              <w:jc w:val="center"/>
              <w:rPr>
                <w:rFonts w:ascii="Arial Narrow" w:hAnsi="Arial Narrow"/>
                <w:sz w:val="20"/>
                <w:szCs w:val="20"/>
              </w:rPr>
            </w:pPr>
            <w:r w:rsidRPr="004011AA">
              <w:rPr>
                <w:rFonts w:ascii="Arial Narrow" w:hAnsi="Arial Narrow"/>
                <w:sz w:val="20"/>
                <w:szCs w:val="20"/>
              </w:rPr>
              <w:t>-</w:t>
            </w:r>
          </w:p>
        </w:tc>
        <w:tc>
          <w:tcPr>
            <w:tcW w:w="381" w:type="pct"/>
            <w:vAlign w:val="center"/>
          </w:tcPr>
          <w:p w:rsidR="007324B8" w:rsidRPr="004011AA" w:rsidRDefault="007324B8" w:rsidP="00242638">
            <w:pPr>
              <w:jc w:val="center"/>
              <w:rPr>
                <w:rFonts w:ascii="Arial Narrow" w:hAnsi="Arial Narrow"/>
                <w:sz w:val="20"/>
                <w:szCs w:val="20"/>
              </w:rPr>
            </w:pPr>
            <w:r w:rsidRPr="004011AA">
              <w:rPr>
                <w:rFonts w:ascii="Arial Narrow" w:hAnsi="Arial Narrow"/>
                <w:sz w:val="20"/>
                <w:szCs w:val="20"/>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r w:rsidR="007324B8" w:rsidRPr="00B45E7F" w:rsidTr="00B97F9F">
        <w:tc>
          <w:tcPr>
            <w:tcW w:w="5000" w:type="pct"/>
            <w:gridSpan w:val="11"/>
            <w:vAlign w:val="center"/>
          </w:tcPr>
          <w:p w:rsidR="007324B8" w:rsidRPr="00B45E7F" w:rsidRDefault="007324B8" w:rsidP="00242638">
            <w:pPr>
              <w:jc w:val="left"/>
              <w:rPr>
                <w:rFonts w:ascii="Arial Narrow" w:hAnsi="Arial Narrow"/>
                <w:b/>
                <w:sz w:val="20"/>
                <w:szCs w:val="20"/>
              </w:rPr>
            </w:pPr>
            <w:r w:rsidRPr="00B45E7F">
              <w:rPr>
                <w:rFonts w:ascii="Arial Narrow" w:hAnsi="Arial Narrow"/>
                <w:b/>
                <w:sz w:val="20"/>
                <w:szCs w:val="20"/>
              </w:rPr>
              <w:t>EQ-5D VAS scores</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N</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(SD)</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change from baseline (SD)</w:t>
            </w:r>
          </w:p>
        </w:tc>
        <w:tc>
          <w:tcPr>
            <w:tcW w:w="379" w:type="pct"/>
            <w:vAlign w:val="center"/>
          </w:tcPr>
          <w:p w:rsidR="007324B8" w:rsidRPr="00B45E7F" w:rsidRDefault="007324B8" w:rsidP="00242638">
            <w:pPr>
              <w:jc w:val="center"/>
              <w:rPr>
                <w:rFonts w:ascii="Arial Narrow" w:hAnsi="Arial Narrow"/>
                <w:sz w:val="20"/>
                <w:szCs w:val="20"/>
              </w:rPr>
            </w:pPr>
            <w:r w:rsidRPr="00B45E7F">
              <w:rPr>
                <w:rFonts w:ascii="Arial Narrow" w:hAnsi="Arial Narrow"/>
                <w:sz w:val="20"/>
                <w:szCs w:val="20"/>
              </w:rPr>
              <w:t>-</w:t>
            </w:r>
          </w:p>
        </w:tc>
        <w:tc>
          <w:tcPr>
            <w:tcW w:w="381" w:type="pct"/>
            <w:vAlign w:val="center"/>
          </w:tcPr>
          <w:p w:rsidR="007324B8" w:rsidRPr="00B45E7F" w:rsidRDefault="007324B8" w:rsidP="00242638">
            <w:pPr>
              <w:jc w:val="center"/>
              <w:rPr>
                <w:rFonts w:ascii="Arial Narrow" w:hAnsi="Arial Narrow"/>
                <w:sz w:val="20"/>
                <w:szCs w:val="20"/>
              </w:rPr>
            </w:pPr>
            <w:r w:rsidRPr="00B45E7F">
              <w:rPr>
                <w:rFonts w:ascii="Arial Narrow" w:hAnsi="Arial Narrow"/>
                <w:sz w:val="20"/>
                <w:szCs w:val="20"/>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r w:rsidR="007324B8" w:rsidRPr="00B45E7F" w:rsidTr="00B97F9F">
        <w:tc>
          <w:tcPr>
            <w:tcW w:w="5000" w:type="pct"/>
            <w:gridSpan w:val="11"/>
            <w:vAlign w:val="center"/>
          </w:tcPr>
          <w:p w:rsidR="007324B8" w:rsidRPr="00B45E7F" w:rsidRDefault="007324B8" w:rsidP="00242638">
            <w:pPr>
              <w:jc w:val="left"/>
              <w:rPr>
                <w:rFonts w:ascii="Arial Narrow" w:hAnsi="Arial Narrow"/>
                <w:b/>
                <w:sz w:val="20"/>
                <w:szCs w:val="20"/>
              </w:rPr>
            </w:pPr>
            <w:r w:rsidRPr="00B45E7F">
              <w:rPr>
                <w:rFonts w:ascii="Arial Narrow" w:hAnsi="Arial Narrow"/>
                <w:b/>
                <w:sz w:val="20"/>
                <w:szCs w:val="20"/>
              </w:rPr>
              <w:t>FACT-BMT total scores</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N</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(SD)</w:t>
            </w:r>
          </w:p>
        </w:tc>
        <w:tc>
          <w:tcPr>
            <w:tcW w:w="379"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r w:rsidR="007324B8" w:rsidRPr="00B45E7F" w:rsidTr="00B97F9F">
        <w:tc>
          <w:tcPr>
            <w:tcW w:w="766" w:type="pct"/>
            <w:vAlign w:val="center"/>
          </w:tcPr>
          <w:p w:rsidR="007324B8" w:rsidRPr="00B45E7F" w:rsidRDefault="007324B8" w:rsidP="00242638">
            <w:pPr>
              <w:rPr>
                <w:rFonts w:ascii="Arial Narrow" w:hAnsi="Arial Narrow"/>
                <w:sz w:val="20"/>
                <w:szCs w:val="20"/>
              </w:rPr>
            </w:pPr>
            <w:r w:rsidRPr="00B45E7F">
              <w:rPr>
                <w:rFonts w:ascii="Arial Narrow" w:hAnsi="Arial Narrow"/>
                <w:sz w:val="20"/>
                <w:szCs w:val="20"/>
              </w:rPr>
              <w:t>Mean change from baseline (SD)</w:t>
            </w:r>
          </w:p>
        </w:tc>
        <w:tc>
          <w:tcPr>
            <w:tcW w:w="379" w:type="pct"/>
            <w:vAlign w:val="center"/>
          </w:tcPr>
          <w:p w:rsidR="007324B8" w:rsidRPr="00B45E7F" w:rsidRDefault="007324B8" w:rsidP="00242638">
            <w:pPr>
              <w:jc w:val="center"/>
              <w:rPr>
                <w:rFonts w:ascii="Arial Narrow" w:hAnsi="Arial Narrow"/>
                <w:sz w:val="20"/>
                <w:szCs w:val="20"/>
              </w:rPr>
            </w:pPr>
            <w:r w:rsidRPr="00B45E7F">
              <w:rPr>
                <w:rFonts w:ascii="Arial Narrow" w:hAnsi="Arial Narrow"/>
                <w:sz w:val="20"/>
                <w:szCs w:val="20"/>
              </w:rPr>
              <w:t>-</w:t>
            </w:r>
          </w:p>
        </w:tc>
        <w:tc>
          <w:tcPr>
            <w:tcW w:w="381" w:type="pct"/>
            <w:vAlign w:val="center"/>
          </w:tcPr>
          <w:p w:rsidR="007324B8" w:rsidRPr="00B45E7F" w:rsidRDefault="007324B8" w:rsidP="00242638">
            <w:pPr>
              <w:jc w:val="center"/>
              <w:rPr>
                <w:rFonts w:ascii="Arial Narrow" w:hAnsi="Arial Narrow"/>
                <w:sz w:val="20"/>
                <w:szCs w:val="20"/>
              </w:rPr>
            </w:pPr>
            <w:r w:rsidRPr="00B45E7F">
              <w:rPr>
                <w:rFonts w:ascii="Arial Narrow" w:hAnsi="Arial Narrow"/>
                <w:sz w:val="20"/>
                <w:szCs w:val="20"/>
              </w:rPr>
              <w:t>-</w:t>
            </w:r>
          </w:p>
        </w:tc>
        <w:tc>
          <w:tcPr>
            <w:tcW w:w="38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381"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80" w:type="pct"/>
            <w:vAlign w:val="center"/>
          </w:tcPr>
          <w:p w:rsidR="007324B8" w:rsidRPr="004569C1" w:rsidRDefault="004569C1" w:rsidP="00242638">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w:t>
            </w:r>
          </w:p>
        </w:tc>
        <w:tc>
          <w:tcPr>
            <w:tcW w:w="438"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07"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511" w:type="pct"/>
            <w:vAlign w:val="center"/>
          </w:tcPr>
          <w:p w:rsidR="007324B8" w:rsidRPr="004569C1" w:rsidRDefault="004569C1" w:rsidP="00242638">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w:t>
            </w:r>
          </w:p>
        </w:tc>
        <w:tc>
          <w:tcPr>
            <w:tcW w:w="41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c>
          <w:tcPr>
            <w:tcW w:w="462" w:type="pct"/>
            <w:vAlign w:val="center"/>
          </w:tcPr>
          <w:p w:rsidR="007324B8" w:rsidRPr="004569C1" w:rsidRDefault="004569C1" w:rsidP="00242638">
            <w:pPr>
              <w:jc w:val="center"/>
              <w:rPr>
                <w:rFonts w:ascii="Arial Narrow" w:hAnsi="Arial Narrow"/>
                <w:sz w:val="20"/>
                <w:szCs w:val="20"/>
                <w:highlight w:val="black"/>
              </w:rPr>
            </w:pPr>
            <w:r>
              <w:rPr>
                <w:rFonts w:ascii="Arial Narrow" w:hAnsi="Arial Narrow" w:cstheme="majorHAnsi"/>
                <w:noProof/>
                <w:color w:val="000000"/>
                <w:sz w:val="20"/>
                <w:szCs w:val="20"/>
                <w:highlight w:val="black"/>
              </w:rPr>
              <w:t>''''''''' ''''''''''''''''</w:t>
            </w:r>
          </w:p>
        </w:tc>
      </w:tr>
    </w:tbl>
    <w:p w:rsidR="007324B8" w:rsidRPr="00B45E7F" w:rsidRDefault="007324B8" w:rsidP="007324B8">
      <w:pPr>
        <w:pStyle w:val="TableFooter"/>
      </w:pPr>
      <w:r w:rsidRPr="00B45E7F">
        <w:t xml:space="preserve">EQ-5D=EuroQoL 5 Dimensions; FACT-BMT=Functional Assessment of Cancer Therapy – Bone Marrow Transplant; SD=standard deviation; VAS=visual </w:t>
      </w:r>
      <w:r w:rsidR="00D13813" w:rsidRPr="00B45E7F">
        <w:t>analogue</w:t>
      </w:r>
      <w:r w:rsidRPr="00B45E7F">
        <w:t xml:space="preserve"> scale.</w:t>
      </w:r>
    </w:p>
    <w:p w:rsidR="009640BB" w:rsidRPr="00B45E7F" w:rsidRDefault="007324B8" w:rsidP="007324B8">
      <w:pPr>
        <w:pStyle w:val="TableFooter"/>
      </w:pPr>
      <w:r w:rsidRPr="00B45E7F">
        <w:t>Source: Table 2-11, p55-56 of the submission.</w:t>
      </w:r>
    </w:p>
    <w:p w:rsidR="006C3EDC" w:rsidRPr="00B45E7F" w:rsidRDefault="006C3EDC" w:rsidP="009640BB"/>
    <w:p w:rsidR="000B465F" w:rsidRPr="00B45E7F" w:rsidRDefault="009640BB" w:rsidP="007A12C6">
      <w:pPr>
        <w:pStyle w:val="ListParagraph"/>
        <w:numPr>
          <w:ilvl w:val="1"/>
          <w:numId w:val="2"/>
        </w:numPr>
      </w:pPr>
      <w:r w:rsidRPr="00B45E7F">
        <w:t>No statistical comparisons of the</w:t>
      </w:r>
      <w:r w:rsidR="00FD1ECE">
        <w:t xml:space="preserve"> QOL</w:t>
      </w:r>
      <w:r w:rsidRPr="00B45E7F">
        <w:t xml:space="preserve"> scores were provided in the Trial P001 CSR.  The submission</w:t>
      </w:r>
      <w:r w:rsidR="0065790B" w:rsidRPr="00B45E7F">
        <w:t xml:space="preserve"> provided discussion of minimally important differences (MIDs) and stated that while MIDs have not been defined for the instruments used in the trial and in this specific population, studies in similar populations have suggested a MID of 0.06 to 0.08 for the EQ-5D Index, 0.07 for the EQ-5D VAS and 5 points for the FACT-BM</w:t>
      </w:r>
      <w:r w:rsidR="00967337">
        <w:t xml:space="preserve">T.  The submission stated </w:t>
      </w:r>
      <w:r w:rsidR="0065790B" w:rsidRPr="00B45E7F">
        <w:t xml:space="preserve">that the difference in mean change score from baseline between letermovir and placebo approached the published MID range for the EQ-5D Index, was under or around the lower end of the range for the FACT-BMT </w:t>
      </w:r>
      <w:r w:rsidR="0065790B" w:rsidRPr="00B45E7F">
        <w:lastRenderedPageBreak/>
        <w:t>and showed only small difference for the EQ-5D VAS.  These conclusions should be interpreted with caution as the T</w:t>
      </w:r>
      <w:r w:rsidR="00967337">
        <w:t xml:space="preserve">rial P001 CSR </w:t>
      </w:r>
      <w:r w:rsidR="0065790B" w:rsidRPr="00B45E7F">
        <w:t xml:space="preserve">had stated that the trial was not powered to detect minimal clinically important differences in health-related QoL scores between treatment groups and the QoL analyses were primarily descriptive and exploratory in nature. </w:t>
      </w:r>
    </w:p>
    <w:p w:rsidR="00055980" w:rsidRPr="00B45E7F" w:rsidRDefault="00055980" w:rsidP="007A12C6">
      <w:pPr>
        <w:pStyle w:val="ListParagraph"/>
        <w:numPr>
          <w:ilvl w:val="1"/>
          <w:numId w:val="2"/>
        </w:numPr>
      </w:pPr>
      <w:r w:rsidRPr="00B45E7F">
        <w:t>The PSCR provided post-hoc statistical analyses of the Q</w:t>
      </w:r>
      <w:r w:rsidR="00D5054A" w:rsidRPr="00B45E7F">
        <w:t>o</w:t>
      </w:r>
      <w:r w:rsidRPr="00B45E7F">
        <w:t xml:space="preserve">L scores (the post baseline sample sizes have increased for these analyses versus those presented in the submission, and consequently the mean scores and mean change from baseline scores differ). The differences between the treatment groups were not </w:t>
      </w:r>
      <w:r w:rsidR="0043589C" w:rsidRPr="00B45E7F">
        <w:t>statistically</w:t>
      </w:r>
      <w:r w:rsidRPr="00B45E7F">
        <w:t xml:space="preserve"> significant. The PSCR stated, the proportion of subjects who had a minimal important difference from baseline were generally high</w:t>
      </w:r>
      <w:r w:rsidR="00FD1ECE">
        <w:t>er</w:t>
      </w:r>
      <w:r w:rsidRPr="00B45E7F">
        <w:t xml:space="preserve"> in the letermovir group than in the placebo group, but there were no material differences between groups.</w:t>
      </w:r>
    </w:p>
    <w:p w:rsidR="00B10798" w:rsidRPr="00B45E7F" w:rsidRDefault="00F1686E" w:rsidP="007A12C6">
      <w:pPr>
        <w:pStyle w:val="ListParagraph"/>
        <w:numPr>
          <w:ilvl w:val="1"/>
          <w:numId w:val="2"/>
        </w:numPr>
      </w:pPr>
      <w:r w:rsidRPr="00B45E7F">
        <w:t>The submission provided, in an attachment to the submission, results of a number of sub-group analyses assessing the primary outcome by patient characteristics (e</w:t>
      </w:r>
      <w:r w:rsidR="00691F7D" w:rsidRPr="00B45E7F">
        <w:t>.</w:t>
      </w:r>
      <w:r w:rsidRPr="00B45E7F">
        <w:t>g</w:t>
      </w:r>
      <w:r w:rsidR="00691F7D" w:rsidRPr="00B45E7F">
        <w:t>.</w:t>
      </w:r>
      <w:r w:rsidRPr="00B45E7F">
        <w:t xml:space="preserve"> age, gender), risk categories</w:t>
      </w:r>
      <w:r w:rsidR="00691F7D" w:rsidRPr="00B45E7F">
        <w:t>,</w:t>
      </w:r>
      <w:r w:rsidRPr="00B45E7F">
        <w:t xml:space="preserve"> and conditioning regimen and immunosuppressive regimens used (results are available in Attachment 2 of the commentary).  The submission stated there was no evidence of treatment modification across all sub-groups.  The sub-group analyses were based on the data as observed approach (any patient with missing data was excluded from analysis) instead of the non-completer=failure approach used for the whole trial population analyses.  </w:t>
      </w:r>
      <w:r w:rsidR="00691F7D" w:rsidRPr="00B45E7F">
        <w:t>T</w:t>
      </w:r>
      <w:r w:rsidR="004D26A0" w:rsidRPr="00B45E7F">
        <w:t xml:space="preserve">here was </w:t>
      </w:r>
      <w:r w:rsidR="00691F7D" w:rsidRPr="00B45E7F">
        <w:t xml:space="preserve">also an </w:t>
      </w:r>
      <w:r w:rsidR="004D26A0" w:rsidRPr="00B45E7F">
        <w:t xml:space="preserve">indication of treatment modification in the sub-groups </w:t>
      </w:r>
      <w:r w:rsidR="00055980" w:rsidRPr="00B45E7F">
        <w:t>based on</w:t>
      </w:r>
      <w:r w:rsidR="00967337">
        <w:t xml:space="preserve"> mismatched unrelated donors.</w:t>
      </w:r>
    </w:p>
    <w:p w:rsidR="00FE309F" w:rsidRPr="00B45E7F" w:rsidRDefault="00FA5EB9" w:rsidP="00FA5EB9">
      <w:pPr>
        <w:pStyle w:val="ListParagraph"/>
        <w:numPr>
          <w:ilvl w:val="1"/>
          <w:numId w:val="2"/>
        </w:numPr>
      </w:pPr>
      <w:r w:rsidRPr="00B45E7F">
        <w:t xml:space="preserve">The incidence of re-hospitalisation was presented in Table </w:t>
      </w:r>
      <w:r w:rsidR="009D766D" w:rsidRPr="00B45E7F">
        <w:t xml:space="preserve">6 </w:t>
      </w:r>
      <w:r w:rsidRPr="00B45E7F">
        <w:t>(from p8 of Attachment 8 of the submission). The PSCR reiterated that treatment with letermovir was associated with reduced re-hospitalisations for CMV infection or disease; therefore the assumption that patients with CMV would be hospitalised is not unreasonable</w:t>
      </w:r>
      <w:r w:rsidR="00055980" w:rsidRPr="00B45E7F">
        <w:t>.</w:t>
      </w:r>
      <w:r w:rsidR="00FE309F" w:rsidRPr="00B45E7F">
        <w:t xml:space="preserve"> </w:t>
      </w:r>
      <w:r w:rsidR="0043589C" w:rsidRPr="00B45E7F">
        <w:t xml:space="preserve">The ESC considered this assumption to be uncertain given that there were overlapping confidence intervals for a number of data sets. </w:t>
      </w:r>
      <w:r w:rsidR="00D338D8" w:rsidRPr="00B45E7F">
        <w:t xml:space="preserve">In </w:t>
      </w:r>
      <w:r w:rsidR="00FE309F" w:rsidRPr="00B45E7F">
        <w:t xml:space="preserve">the economic model it was assumed that patients with CMV disease would be hospitalised and some patients with acute and chronic </w:t>
      </w:r>
      <w:r w:rsidR="004061D4" w:rsidRPr="00B45E7F">
        <w:t>GVHD</w:t>
      </w:r>
      <w:r w:rsidR="00FE309F" w:rsidRPr="00B45E7F">
        <w:t xml:space="preserve"> would be hospitalised.</w:t>
      </w:r>
      <w:r w:rsidR="000E0CE5" w:rsidRPr="00B45E7F">
        <w:t xml:space="preserve">  Results for </w:t>
      </w:r>
      <w:r w:rsidR="004061D4" w:rsidRPr="00B45E7F">
        <w:t>GVHD</w:t>
      </w:r>
      <w:r w:rsidR="000E0CE5" w:rsidRPr="00B45E7F">
        <w:t xml:space="preserve"> are discussed as part of the ‘Economic </w:t>
      </w:r>
      <w:proofErr w:type="gramStart"/>
      <w:r w:rsidR="000E0CE5" w:rsidRPr="00B45E7F">
        <w:t>analysis’</w:t>
      </w:r>
      <w:proofErr w:type="gramEnd"/>
      <w:r w:rsidR="000E0CE5" w:rsidRPr="00B45E7F">
        <w:t xml:space="preserve"> below.</w:t>
      </w:r>
    </w:p>
    <w:p w:rsidR="005E6F6D" w:rsidRPr="00B45E7F" w:rsidRDefault="005E6F6D">
      <w:pPr>
        <w:jc w:val="left"/>
        <w:rPr>
          <w:rStyle w:val="CommentReference"/>
        </w:rPr>
      </w:pPr>
      <w:r w:rsidRPr="00B45E7F">
        <w:rPr>
          <w:rStyle w:val="CommentReference"/>
        </w:rPr>
        <w:br w:type="page"/>
      </w:r>
    </w:p>
    <w:p w:rsidR="00FA5EB9" w:rsidRPr="00B45E7F" w:rsidRDefault="00FA5EB9" w:rsidP="00FA5EB9">
      <w:pPr>
        <w:rPr>
          <w:rStyle w:val="CommentReference"/>
        </w:rPr>
      </w:pPr>
      <w:r w:rsidRPr="00B45E7F">
        <w:rPr>
          <w:rStyle w:val="CommentReference"/>
        </w:rPr>
        <w:lastRenderedPageBreak/>
        <w:t xml:space="preserve">Table </w:t>
      </w:r>
      <w:r w:rsidR="009D766D" w:rsidRPr="00B45E7F">
        <w:rPr>
          <w:rStyle w:val="CommentReference"/>
        </w:rPr>
        <w:t>6</w:t>
      </w:r>
      <w:r w:rsidR="00165634" w:rsidRPr="00B45E7F">
        <w:rPr>
          <w:rStyle w:val="CommentReference"/>
        </w:rPr>
        <w:t>:</w:t>
      </w:r>
      <w:r w:rsidRPr="00B45E7F">
        <w:rPr>
          <w:rStyle w:val="CommentReference"/>
        </w:rPr>
        <w:t xml:space="preserve"> Proportion of subjects with re-hospitalisations after transplant through weeks 14, 24 and 48 post-transplant (FAS population)</w:t>
      </w:r>
    </w:p>
    <w:tbl>
      <w:tblPr>
        <w:tblStyle w:val="TableGrid"/>
        <w:tblW w:w="4942" w:type="pct"/>
        <w:tblInd w:w="108" w:type="dxa"/>
        <w:tblLook w:val="04A0" w:firstRow="1" w:lastRow="0" w:firstColumn="1" w:lastColumn="0" w:noHBand="0" w:noVBand="1"/>
        <w:tblCaption w:val="Table 6: Proportion of subjects with re-hospitalisations after transplant through weeks 14, 24 and 48 post-transplant (FAS population)"/>
      </w:tblPr>
      <w:tblGrid>
        <w:gridCol w:w="3803"/>
        <w:gridCol w:w="544"/>
        <w:gridCol w:w="545"/>
        <w:gridCol w:w="1581"/>
        <w:gridCol w:w="545"/>
        <w:gridCol w:w="545"/>
        <w:gridCol w:w="1573"/>
      </w:tblGrid>
      <w:tr w:rsidR="00FA5EB9" w:rsidRPr="00B45E7F" w:rsidTr="00967337">
        <w:trPr>
          <w:tblHeader/>
        </w:trPr>
        <w:tc>
          <w:tcPr>
            <w:tcW w:w="2082" w:type="pct"/>
            <w:shd w:val="clear" w:color="auto" w:fill="auto"/>
          </w:tcPr>
          <w:p w:rsidR="00FA5EB9" w:rsidRPr="00B45E7F" w:rsidRDefault="00FA5EB9" w:rsidP="001C42B8">
            <w:pPr>
              <w:pStyle w:val="NoSpacing"/>
              <w:rPr>
                <w:rFonts w:ascii="Arial Narrow" w:hAnsi="Arial Narrow"/>
                <w:b/>
                <w:sz w:val="20"/>
              </w:rPr>
            </w:pPr>
          </w:p>
        </w:tc>
        <w:tc>
          <w:tcPr>
            <w:tcW w:w="1461" w:type="pct"/>
            <w:gridSpan w:val="3"/>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Letermovir</w:t>
            </w:r>
          </w:p>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(N = 325)</w:t>
            </w:r>
          </w:p>
        </w:tc>
        <w:tc>
          <w:tcPr>
            <w:tcW w:w="1458" w:type="pct"/>
            <w:gridSpan w:val="3"/>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Placebo</w:t>
            </w:r>
          </w:p>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(N = 170)</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b/>
                <w:sz w:val="20"/>
              </w:rPr>
            </w:pPr>
            <w:r w:rsidRPr="00B45E7F">
              <w:rPr>
                <w:rFonts w:ascii="Arial Narrow" w:hAnsi="Arial Narrow"/>
                <w:b/>
                <w:sz w:val="20"/>
              </w:rPr>
              <w:t>Response Variable</w:t>
            </w:r>
          </w:p>
        </w:tc>
        <w:tc>
          <w:tcPr>
            <w:tcW w:w="298" w:type="pct"/>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n</w:t>
            </w:r>
          </w:p>
        </w:tc>
        <w:tc>
          <w:tcPr>
            <w:tcW w:w="298" w:type="pct"/>
            <w:shd w:val="clear" w:color="auto" w:fill="auto"/>
            <w:vAlign w:val="center"/>
          </w:tcPr>
          <w:p w:rsidR="00FA5EB9" w:rsidRPr="00B45E7F" w:rsidRDefault="00002724" w:rsidP="001C42B8">
            <w:pPr>
              <w:pStyle w:val="NoSpacing"/>
              <w:jc w:val="center"/>
              <w:rPr>
                <w:rFonts w:ascii="Arial Narrow" w:hAnsi="Arial Narrow"/>
                <w:b/>
                <w:sz w:val="20"/>
              </w:rPr>
            </w:pPr>
            <w:r w:rsidRPr="00B45E7F">
              <w:rPr>
                <w:rFonts w:ascii="Arial Narrow" w:hAnsi="Arial Narrow"/>
                <w:b/>
                <w:sz w:val="20"/>
              </w:rPr>
              <w:t>M</w:t>
            </w:r>
          </w:p>
        </w:tc>
        <w:tc>
          <w:tcPr>
            <w:tcW w:w="864" w:type="pct"/>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 (95% CI)</w:t>
            </w:r>
          </w:p>
        </w:tc>
        <w:tc>
          <w:tcPr>
            <w:tcW w:w="298" w:type="pct"/>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n</w:t>
            </w:r>
          </w:p>
        </w:tc>
        <w:tc>
          <w:tcPr>
            <w:tcW w:w="298" w:type="pct"/>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m</w:t>
            </w:r>
          </w:p>
        </w:tc>
        <w:tc>
          <w:tcPr>
            <w:tcW w:w="861" w:type="pct"/>
            <w:shd w:val="clear" w:color="auto" w:fill="auto"/>
            <w:vAlign w:val="center"/>
          </w:tcPr>
          <w:p w:rsidR="00FA5EB9" w:rsidRPr="00B45E7F" w:rsidRDefault="00FA5EB9" w:rsidP="001C42B8">
            <w:pPr>
              <w:pStyle w:val="NoSpacing"/>
              <w:jc w:val="center"/>
              <w:rPr>
                <w:rFonts w:ascii="Arial Narrow" w:hAnsi="Arial Narrow"/>
                <w:b/>
                <w:sz w:val="20"/>
              </w:rPr>
            </w:pPr>
            <w:r w:rsidRPr="00B45E7F">
              <w:rPr>
                <w:rFonts w:ascii="Arial Narrow" w:hAnsi="Arial Narrow"/>
                <w:b/>
                <w:sz w:val="20"/>
              </w:rPr>
              <w:t>% (95% CI)</w:t>
            </w:r>
          </w:p>
        </w:tc>
      </w:tr>
      <w:tr w:rsidR="00FA5EB9" w:rsidRPr="00B45E7F" w:rsidTr="0003348A">
        <w:tc>
          <w:tcPr>
            <w:tcW w:w="5000" w:type="pct"/>
            <w:gridSpan w:val="7"/>
            <w:shd w:val="clear" w:color="auto" w:fill="auto"/>
          </w:tcPr>
          <w:p w:rsidR="00FA5EB9" w:rsidRPr="00B45E7F" w:rsidRDefault="00FA5EB9" w:rsidP="001C42B8">
            <w:pPr>
              <w:pStyle w:val="NoSpacing"/>
              <w:rPr>
                <w:rFonts w:ascii="Arial Narrow" w:hAnsi="Arial Narrow"/>
                <w:b/>
                <w:sz w:val="20"/>
              </w:rPr>
            </w:pPr>
            <w:r w:rsidRPr="00B45E7F">
              <w:rPr>
                <w:rFonts w:ascii="Arial Narrow" w:hAnsi="Arial Narrow"/>
                <w:b/>
                <w:sz w:val="20"/>
              </w:rPr>
              <w:t>Through week 14 post-transplant</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All re-hospitalisations</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118</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168</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36.3 (31.1, 41.8)</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81</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107</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47.6 (39.9, 55.4)</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Re-hospitalizations for CMV infection/disease</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2</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2</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0.6 (0.1, 2.2)</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12</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12</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7.1 (3.7, 12.0)</w:t>
            </w:r>
          </w:p>
        </w:tc>
      </w:tr>
      <w:tr w:rsidR="00FA5EB9" w:rsidRPr="00B45E7F" w:rsidTr="0003348A">
        <w:tc>
          <w:tcPr>
            <w:tcW w:w="5000" w:type="pct"/>
            <w:gridSpan w:val="7"/>
            <w:shd w:val="clear" w:color="auto" w:fill="auto"/>
          </w:tcPr>
          <w:p w:rsidR="00FA5EB9" w:rsidRPr="00B45E7F" w:rsidRDefault="00FA5EB9" w:rsidP="001C42B8">
            <w:pPr>
              <w:pStyle w:val="NoSpacing"/>
              <w:rPr>
                <w:rFonts w:ascii="Arial Narrow" w:hAnsi="Arial Narrow"/>
                <w:b/>
                <w:sz w:val="20"/>
              </w:rPr>
            </w:pPr>
            <w:r w:rsidRPr="00B45E7F">
              <w:rPr>
                <w:rFonts w:ascii="Arial Narrow" w:hAnsi="Arial Narrow"/>
                <w:b/>
                <w:sz w:val="20"/>
              </w:rPr>
              <w:t>Through week 24 post-transplant</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All re-hospitalisations</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158</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278</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48.6 (43.1, 54.2)</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94</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146</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55.3 (47.5, 62.9)</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Re-hospitalizations for CMV infection/disease</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10</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11</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3.1 (1.5, 5.6)</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13</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13</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7.6 (4.1, 12.7)</w:t>
            </w:r>
          </w:p>
        </w:tc>
      </w:tr>
      <w:tr w:rsidR="00FA5EB9" w:rsidRPr="00B45E7F" w:rsidTr="0003348A">
        <w:tc>
          <w:tcPr>
            <w:tcW w:w="5000" w:type="pct"/>
            <w:gridSpan w:val="7"/>
            <w:shd w:val="clear" w:color="auto" w:fill="auto"/>
          </w:tcPr>
          <w:p w:rsidR="00FA5EB9" w:rsidRPr="00B45E7F" w:rsidRDefault="00FA5EB9" w:rsidP="001C42B8">
            <w:pPr>
              <w:pStyle w:val="NoSpacing"/>
              <w:rPr>
                <w:rFonts w:ascii="Arial Narrow" w:hAnsi="Arial Narrow"/>
                <w:b/>
                <w:sz w:val="20"/>
              </w:rPr>
            </w:pPr>
            <w:r w:rsidRPr="00B45E7F">
              <w:rPr>
                <w:rFonts w:ascii="Arial Narrow" w:hAnsi="Arial Narrow"/>
                <w:b/>
                <w:sz w:val="20"/>
              </w:rPr>
              <w:t>Through week 48 post-transplant</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All re-hospitalisations</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181</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354</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55.7 (50.1, 61.2)</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103</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183</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50.6 (52.8, 68.0)</w:t>
            </w:r>
          </w:p>
        </w:tc>
      </w:tr>
      <w:tr w:rsidR="00FA5EB9" w:rsidRPr="00B45E7F" w:rsidTr="0003348A">
        <w:tc>
          <w:tcPr>
            <w:tcW w:w="2082" w:type="pct"/>
            <w:shd w:val="clear" w:color="auto" w:fill="auto"/>
          </w:tcPr>
          <w:p w:rsidR="00FA5EB9" w:rsidRPr="00B45E7F" w:rsidRDefault="00FA5EB9" w:rsidP="001C42B8">
            <w:pPr>
              <w:pStyle w:val="NoSpacing"/>
              <w:rPr>
                <w:rFonts w:ascii="Arial Narrow" w:hAnsi="Arial Narrow"/>
                <w:sz w:val="20"/>
              </w:rPr>
            </w:pPr>
            <w:r w:rsidRPr="00B45E7F">
              <w:rPr>
                <w:rFonts w:ascii="Arial Narrow" w:hAnsi="Arial Narrow"/>
                <w:sz w:val="20"/>
              </w:rPr>
              <w:t>Re-hospitalizations for CMV infection/disease</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10</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11</w:t>
            </w:r>
          </w:p>
        </w:tc>
        <w:tc>
          <w:tcPr>
            <w:tcW w:w="864"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3.1 (1.5, 5.6)</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15</w:t>
            </w:r>
          </w:p>
        </w:tc>
        <w:tc>
          <w:tcPr>
            <w:tcW w:w="298"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16</w:t>
            </w:r>
          </w:p>
        </w:tc>
        <w:tc>
          <w:tcPr>
            <w:tcW w:w="861" w:type="pct"/>
            <w:shd w:val="clear" w:color="auto" w:fill="auto"/>
            <w:vAlign w:val="center"/>
          </w:tcPr>
          <w:p w:rsidR="00FA5EB9" w:rsidRPr="00B45E7F" w:rsidRDefault="00FA5EB9" w:rsidP="001C42B8">
            <w:pPr>
              <w:pStyle w:val="NoSpacing"/>
              <w:jc w:val="center"/>
              <w:rPr>
                <w:rFonts w:ascii="Arial Narrow" w:hAnsi="Arial Narrow"/>
                <w:sz w:val="20"/>
              </w:rPr>
            </w:pPr>
            <w:r w:rsidRPr="00B45E7F">
              <w:rPr>
                <w:rFonts w:ascii="Arial Narrow" w:hAnsi="Arial Narrow"/>
                <w:sz w:val="20"/>
              </w:rPr>
              <w:t>8.8 (5.0, 14.1)</w:t>
            </w:r>
          </w:p>
        </w:tc>
      </w:tr>
    </w:tbl>
    <w:p w:rsidR="00FA5EB9" w:rsidRPr="00B45E7F" w:rsidRDefault="00FA5EB9" w:rsidP="00FA5EB9">
      <w:pPr>
        <w:pStyle w:val="NoSpacing"/>
        <w:rPr>
          <w:rFonts w:ascii="Arial Narrow" w:hAnsi="Arial Narrow"/>
          <w:sz w:val="18"/>
        </w:rPr>
      </w:pPr>
      <w:r w:rsidRPr="00B45E7F">
        <w:rPr>
          <w:rFonts w:ascii="Arial Narrow" w:hAnsi="Arial Narrow"/>
          <w:sz w:val="18"/>
        </w:rPr>
        <w:t>N = number of evaluable subjects in in each treatment group.</w:t>
      </w:r>
    </w:p>
    <w:p w:rsidR="00FA5EB9" w:rsidRPr="00B45E7F" w:rsidRDefault="00FA5EB9" w:rsidP="00FA5EB9">
      <w:pPr>
        <w:pStyle w:val="NoSpacing"/>
        <w:rPr>
          <w:rFonts w:ascii="Arial Narrow" w:hAnsi="Arial Narrow"/>
          <w:sz w:val="18"/>
        </w:rPr>
      </w:pPr>
      <w:r w:rsidRPr="00B45E7F">
        <w:rPr>
          <w:rFonts w:ascii="Arial Narrow" w:hAnsi="Arial Narrow"/>
          <w:sz w:val="18"/>
        </w:rPr>
        <w:t>n = Number of subjects in each sub-category.</w:t>
      </w:r>
    </w:p>
    <w:p w:rsidR="00FA5EB9" w:rsidRPr="00B45E7F" w:rsidRDefault="00FA5EB9" w:rsidP="00FA5EB9">
      <w:pPr>
        <w:pStyle w:val="NoSpacing"/>
        <w:rPr>
          <w:rFonts w:ascii="Arial Narrow" w:hAnsi="Arial Narrow"/>
          <w:sz w:val="18"/>
        </w:rPr>
      </w:pPr>
      <w:r w:rsidRPr="00B45E7F">
        <w:rPr>
          <w:rFonts w:ascii="Arial Narrow" w:hAnsi="Arial Narrow"/>
          <w:sz w:val="18"/>
        </w:rPr>
        <w:t>m = Number of unique episodes in each sub-category.</w:t>
      </w:r>
    </w:p>
    <w:p w:rsidR="00FA5EB9" w:rsidRPr="00B45E7F" w:rsidRDefault="00FA5EB9" w:rsidP="00FA5EB9">
      <w:pPr>
        <w:pStyle w:val="NoSpacing"/>
        <w:rPr>
          <w:rFonts w:ascii="Arial Narrow" w:hAnsi="Arial Narrow"/>
          <w:sz w:val="18"/>
        </w:rPr>
      </w:pPr>
      <w:r w:rsidRPr="00B45E7F">
        <w:rPr>
          <w:rFonts w:ascii="Arial Narrow" w:hAnsi="Arial Narrow"/>
          <w:sz w:val="18"/>
        </w:rPr>
        <w:t>% = Percent of subjects in each sub-category.</w:t>
      </w:r>
    </w:p>
    <w:p w:rsidR="00FA5EB9" w:rsidRDefault="00FA5EB9" w:rsidP="00967337">
      <w:pPr>
        <w:rPr>
          <w:rFonts w:ascii="Arial Narrow" w:hAnsi="Arial Narrow"/>
          <w:sz w:val="18"/>
          <w:szCs w:val="20"/>
        </w:rPr>
      </w:pPr>
      <w:r w:rsidRPr="00B45E7F">
        <w:rPr>
          <w:rFonts w:ascii="Arial Narrow" w:hAnsi="Arial Narrow"/>
          <w:sz w:val="18"/>
          <w:szCs w:val="20"/>
        </w:rPr>
        <w:t>Source: Table 8 of Attachment 8 of the submission.</w:t>
      </w:r>
    </w:p>
    <w:p w:rsidR="00967337" w:rsidRPr="00967337" w:rsidRDefault="00967337" w:rsidP="00967337">
      <w:pPr>
        <w:rPr>
          <w:sz w:val="22"/>
        </w:rPr>
      </w:pPr>
    </w:p>
    <w:p w:rsidR="00EB3148" w:rsidRPr="00B45E7F" w:rsidRDefault="00E03B14" w:rsidP="007A12C6">
      <w:pPr>
        <w:pStyle w:val="ListParagraph"/>
        <w:numPr>
          <w:ilvl w:val="1"/>
          <w:numId w:val="2"/>
        </w:numPr>
      </w:pPr>
      <w:r w:rsidRPr="00B45E7F">
        <w:t>A phase II trial comparing letermovir and placebo for prophylaxis of CMV infection following allogeneic HSCT was published by Chemaly (2014).  This was a randomised, double-blind trial comparing three doses of letermovir, 60mg/day, 120mg/day and 240mg/day.  Following 12 weeks of treatment the results indicated that the 240mg/day dose had the highest anti-CMV activity.  While the 240mg/day dose corresponds to the dose used in Trial P001 in combination with cyclosporin, there was no indication that cyclosporin was used concomitantly with letermovir in the Phase II trial.</w:t>
      </w:r>
      <w:r w:rsidR="007B1E45" w:rsidRPr="00B45E7F">
        <w:t xml:space="preserve"> This phase II trial did not include </w:t>
      </w:r>
      <w:r w:rsidR="00FD1ECE">
        <w:t xml:space="preserve">a </w:t>
      </w:r>
      <w:r w:rsidR="007B1E45" w:rsidRPr="00B45E7F">
        <w:t xml:space="preserve">dose </w:t>
      </w:r>
      <w:r w:rsidR="00FD1ECE">
        <w:t xml:space="preserve">of </w:t>
      </w:r>
      <w:r w:rsidR="007B1E45" w:rsidRPr="00B45E7F">
        <w:t xml:space="preserve">480mg/day, which </w:t>
      </w:r>
      <w:r w:rsidR="00FD1ECE">
        <w:t>was</w:t>
      </w:r>
      <w:r w:rsidR="00FD1ECE" w:rsidRPr="00B45E7F">
        <w:t xml:space="preserve"> </w:t>
      </w:r>
      <w:r w:rsidR="007B1E45" w:rsidRPr="00B45E7F">
        <w:t xml:space="preserve">given in Trial P001. </w:t>
      </w:r>
    </w:p>
    <w:p w:rsidR="00B60939" w:rsidRPr="00CA3B62" w:rsidRDefault="00B60939" w:rsidP="001F0352">
      <w:pPr>
        <w:widowControl w:val="0"/>
        <w:spacing w:before="240" w:after="120" w:line="276" w:lineRule="auto"/>
        <w:outlineLvl w:val="1"/>
        <w:rPr>
          <w:rFonts w:asciiTheme="minorHAnsi" w:hAnsiTheme="minorHAnsi" w:cs="Arial"/>
          <w:b/>
          <w:bCs/>
          <w:i/>
          <w:snapToGrid w:val="0"/>
          <w:sz w:val="28"/>
          <w:szCs w:val="28"/>
        </w:rPr>
      </w:pPr>
      <w:bookmarkStart w:id="9" w:name="_Toc514242727"/>
      <w:r w:rsidRPr="00CA3B62">
        <w:rPr>
          <w:rFonts w:asciiTheme="minorHAnsi" w:hAnsiTheme="minorHAnsi" w:cs="Arial"/>
          <w:b/>
          <w:bCs/>
          <w:i/>
          <w:snapToGrid w:val="0"/>
          <w:sz w:val="28"/>
          <w:szCs w:val="28"/>
        </w:rPr>
        <w:t>Comparative harms</w:t>
      </w:r>
      <w:bookmarkEnd w:id="9"/>
    </w:p>
    <w:p w:rsidR="0029721E" w:rsidRPr="00B45E7F" w:rsidRDefault="00EA18EC" w:rsidP="007A12C6">
      <w:pPr>
        <w:pStyle w:val="ListParagraph"/>
        <w:numPr>
          <w:ilvl w:val="1"/>
          <w:numId w:val="2"/>
        </w:numPr>
      </w:pPr>
      <w:r w:rsidRPr="00B45E7F">
        <w:t>A summary of safety results from Trial P001 is provided in the table below.</w:t>
      </w:r>
      <w:r w:rsidR="0029721E" w:rsidRPr="00B45E7F">
        <w:t xml:space="preserve">  These results were provided for the overall </w:t>
      </w:r>
      <w:r w:rsidR="00C25FDB" w:rsidRPr="00B45E7F">
        <w:t xml:space="preserve">ITT </w:t>
      </w:r>
      <w:r w:rsidR="0029721E" w:rsidRPr="00B45E7F">
        <w:t xml:space="preserve">trial population, </w:t>
      </w:r>
      <w:r w:rsidR="00374D70" w:rsidRPr="00B45E7F">
        <w:t>i.e.</w:t>
      </w:r>
      <w:r w:rsidR="0029721E" w:rsidRPr="00B45E7F">
        <w:t xml:space="preserve"> including patients with CMV DNA on Day 1 who were excluded from effectiveness analyses.  As such, this population differed from the population upon which analysis of the primary outcome was based, as it excluded patients for whom CMV DNA was detected on Day 1 of treatment.</w:t>
      </w:r>
    </w:p>
    <w:p w:rsidR="005E6F6D" w:rsidRPr="00B45E7F" w:rsidRDefault="005E6F6D">
      <w:pPr>
        <w:jc w:val="left"/>
        <w:rPr>
          <w:rFonts w:ascii="Arial Narrow" w:hAnsi="Arial Narrow"/>
          <w:b/>
          <w:sz w:val="20"/>
          <w:szCs w:val="20"/>
        </w:rPr>
      </w:pPr>
      <w:r w:rsidRPr="00B45E7F">
        <w:rPr>
          <w:rFonts w:ascii="Arial Narrow" w:hAnsi="Arial Narrow"/>
          <w:b/>
          <w:sz w:val="20"/>
          <w:szCs w:val="20"/>
        </w:rPr>
        <w:br w:type="page"/>
      </w:r>
    </w:p>
    <w:p w:rsidR="0029721E" w:rsidRPr="00B45E7F" w:rsidRDefault="0029721E" w:rsidP="0029721E">
      <w:pPr>
        <w:rPr>
          <w:rFonts w:ascii="Arial Narrow" w:hAnsi="Arial Narrow"/>
          <w:b/>
          <w:sz w:val="20"/>
          <w:szCs w:val="20"/>
        </w:rPr>
      </w:pPr>
      <w:r w:rsidRPr="00B45E7F">
        <w:rPr>
          <w:rFonts w:ascii="Arial Narrow" w:hAnsi="Arial Narrow"/>
          <w:b/>
          <w:sz w:val="20"/>
          <w:szCs w:val="20"/>
        </w:rPr>
        <w:lastRenderedPageBreak/>
        <w:t xml:space="preserve">Table </w:t>
      </w:r>
      <w:r w:rsidR="009D766D" w:rsidRPr="00B45E7F">
        <w:rPr>
          <w:rFonts w:ascii="Arial Narrow" w:hAnsi="Arial Narrow"/>
          <w:b/>
          <w:sz w:val="20"/>
          <w:szCs w:val="20"/>
        </w:rPr>
        <w:t>7</w:t>
      </w:r>
      <w:r w:rsidRPr="00B45E7F">
        <w:rPr>
          <w:rFonts w:ascii="Arial Narrow" w:hAnsi="Arial Narrow"/>
          <w:b/>
          <w:sz w:val="20"/>
          <w:szCs w:val="20"/>
        </w:rPr>
        <w:t>:  Summary of safety results in the Week 48 population post-transplant in Trial P001</w:t>
      </w:r>
    </w:p>
    <w:tbl>
      <w:tblPr>
        <w:tblStyle w:val="TableGrid"/>
        <w:tblW w:w="4907" w:type="pct"/>
        <w:tblInd w:w="108" w:type="dxa"/>
        <w:tblLook w:val="04A0" w:firstRow="1" w:lastRow="0" w:firstColumn="1" w:lastColumn="0" w:noHBand="0" w:noVBand="1"/>
        <w:tblCaption w:val="Table 7:  Summary of safety results in the Week 48 population post-transplant in Trial P001"/>
      </w:tblPr>
      <w:tblGrid>
        <w:gridCol w:w="3118"/>
        <w:gridCol w:w="1459"/>
        <w:gridCol w:w="1459"/>
        <w:gridCol w:w="1464"/>
        <w:gridCol w:w="1571"/>
      </w:tblGrid>
      <w:tr w:rsidR="007D5867" w:rsidRPr="00B45E7F" w:rsidTr="00967337">
        <w:trPr>
          <w:tblHeader/>
        </w:trPr>
        <w:tc>
          <w:tcPr>
            <w:tcW w:w="1719" w:type="pct"/>
            <w:vAlign w:val="center"/>
          </w:tcPr>
          <w:p w:rsidR="007D5867" w:rsidRPr="00B45E7F" w:rsidRDefault="007D5867" w:rsidP="00242638">
            <w:pPr>
              <w:jc w:val="left"/>
              <w:rPr>
                <w:rFonts w:ascii="Arial Narrow" w:hAnsi="Arial Narrow"/>
                <w:b/>
                <w:sz w:val="20"/>
                <w:szCs w:val="20"/>
              </w:rPr>
            </w:pPr>
            <w:r w:rsidRPr="00B45E7F">
              <w:rPr>
                <w:rFonts w:ascii="Arial Narrow" w:hAnsi="Arial Narrow"/>
                <w:b/>
                <w:sz w:val="20"/>
                <w:szCs w:val="20"/>
              </w:rPr>
              <w:t>Adverse event</w:t>
            </w:r>
          </w:p>
        </w:tc>
        <w:tc>
          <w:tcPr>
            <w:tcW w:w="804" w:type="pct"/>
            <w:vAlign w:val="center"/>
          </w:tcPr>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Letermovir N=373 n (%)</w:t>
            </w:r>
          </w:p>
        </w:tc>
        <w:tc>
          <w:tcPr>
            <w:tcW w:w="804" w:type="pct"/>
            <w:vAlign w:val="center"/>
          </w:tcPr>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 xml:space="preserve">Placebo N=192 </w:t>
            </w:r>
          </w:p>
          <w:p w:rsidR="007D5867" w:rsidRPr="00B45E7F" w:rsidRDefault="007D5867" w:rsidP="00242638">
            <w:pPr>
              <w:jc w:val="center"/>
              <w:rPr>
                <w:rFonts w:ascii="Arial Narrow" w:hAnsi="Arial Narrow"/>
                <w:b/>
                <w:sz w:val="20"/>
                <w:szCs w:val="20"/>
              </w:rPr>
            </w:pPr>
            <w:proofErr w:type="gramStart"/>
            <w:r w:rsidRPr="00B45E7F">
              <w:rPr>
                <w:rFonts w:ascii="Arial Narrow" w:hAnsi="Arial Narrow"/>
                <w:b/>
                <w:sz w:val="20"/>
                <w:szCs w:val="20"/>
              </w:rPr>
              <w:t>n</w:t>
            </w:r>
            <w:proofErr w:type="gramEnd"/>
            <w:r w:rsidRPr="00B45E7F">
              <w:rPr>
                <w:rFonts w:ascii="Arial Narrow" w:hAnsi="Arial Narrow"/>
                <w:b/>
                <w:sz w:val="20"/>
                <w:szCs w:val="20"/>
              </w:rPr>
              <w:t xml:space="preserve"> (%)</w:t>
            </w:r>
          </w:p>
        </w:tc>
        <w:tc>
          <w:tcPr>
            <w:tcW w:w="807" w:type="pct"/>
            <w:vAlign w:val="center"/>
          </w:tcPr>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 xml:space="preserve">Difference </w:t>
            </w:r>
          </w:p>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(95% CI)</w:t>
            </w:r>
          </w:p>
        </w:tc>
        <w:tc>
          <w:tcPr>
            <w:tcW w:w="866" w:type="pct"/>
          </w:tcPr>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RR/</w:t>
            </w:r>
            <w:proofErr w:type="spellStart"/>
            <w:r w:rsidRPr="00B45E7F">
              <w:rPr>
                <w:rFonts w:ascii="Arial Narrow" w:hAnsi="Arial Narrow"/>
                <w:b/>
                <w:sz w:val="20"/>
                <w:szCs w:val="20"/>
              </w:rPr>
              <w:t>OR</w:t>
            </w:r>
            <w:r w:rsidRPr="00B45E7F">
              <w:rPr>
                <w:rFonts w:ascii="Arial Narrow" w:hAnsi="Arial Narrow"/>
                <w:b/>
                <w:sz w:val="20"/>
                <w:szCs w:val="20"/>
                <w:vertAlign w:val="superscript"/>
              </w:rPr>
              <w:t>a</w:t>
            </w:r>
            <w:proofErr w:type="spellEnd"/>
          </w:p>
          <w:p w:rsidR="007D5867" w:rsidRPr="00B45E7F" w:rsidRDefault="007D5867" w:rsidP="00242638">
            <w:pPr>
              <w:jc w:val="center"/>
              <w:rPr>
                <w:rFonts w:ascii="Arial Narrow" w:hAnsi="Arial Narrow"/>
                <w:b/>
                <w:sz w:val="20"/>
                <w:szCs w:val="20"/>
              </w:rPr>
            </w:pPr>
            <w:r w:rsidRPr="00B45E7F">
              <w:rPr>
                <w:rFonts w:ascii="Arial Narrow" w:hAnsi="Arial Narrow"/>
                <w:b/>
                <w:sz w:val="20"/>
                <w:szCs w:val="20"/>
              </w:rPr>
              <w:t>(95%CI)</w:t>
            </w:r>
          </w:p>
        </w:tc>
      </w:tr>
      <w:tr w:rsidR="007D5867" w:rsidRPr="00B45E7F" w:rsidTr="00374D70">
        <w:tc>
          <w:tcPr>
            <w:tcW w:w="4134" w:type="pct"/>
            <w:gridSpan w:val="4"/>
            <w:vAlign w:val="center"/>
          </w:tcPr>
          <w:p w:rsidR="007D5867" w:rsidRPr="00B45E7F" w:rsidRDefault="007D5867" w:rsidP="00242638">
            <w:pPr>
              <w:jc w:val="left"/>
              <w:rPr>
                <w:rFonts w:ascii="Arial Narrow" w:hAnsi="Arial Narrow"/>
                <w:b/>
                <w:sz w:val="20"/>
                <w:szCs w:val="20"/>
              </w:rPr>
            </w:pPr>
            <w:r w:rsidRPr="00B45E7F">
              <w:rPr>
                <w:rFonts w:ascii="Arial Narrow" w:hAnsi="Arial Narrow"/>
                <w:b/>
                <w:sz w:val="20"/>
                <w:szCs w:val="20"/>
              </w:rPr>
              <w:t>Overall AEs</w:t>
            </w:r>
          </w:p>
        </w:tc>
        <w:tc>
          <w:tcPr>
            <w:tcW w:w="866" w:type="pct"/>
          </w:tcPr>
          <w:p w:rsidR="007D5867" w:rsidRPr="00B45E7F" w:rsidRDefault="007D5867" w:rsidP="00242638">
            <w:pPr>
              <w:jc w:val="left"/>
              <w:rPr>
                <w:rFonts w:ascii="Arial Narrow" w:hAnsi="Arial Narrow"/>
                <w:b/>
                <w:sz w:val="20"/>
                <w:szCs w:val="20"/>
              </w:rPr>
            </w:pP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With one or more AE</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367 (98.4%)</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192 (100%)</w:t>
            </w:r>
          </w:p>
        </w:tc>
        <w:tc>
          <w:tcPr>
            <w:tcW w:w="807"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-1.6 (-3.5, 0.4)</w:t>
            </w:r>
          </w:p>
        </w:tc>
        <w:tc>
          <w:tcPr>
            <w:tcW w:w="866" w:type="pct"/>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0.22 (0.05, 0.94)</w:t>
            </w:r>
            <w:r w:rsidRPr="00B45E7F">
              <w:rPr>
                <w:rFonts w:ascii="Arial Narrow" w:hAnsi="Arial Narrow"/>
                <w:sz w:val="20"/>
                <w:szCs w:val="20"/>
                <w:vertAlign w:val="superscript"/>
              </w:rPr>
              <w:t>b</w:t>
            </w: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With drug-related AEs</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63 (16.9%)</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25 (13.0%)</w:t>
            </w:r>
          </w:p>
        </w:tc>
        <w:tc>
          <w:tcPr>
            <w:tcW w:w="807"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3.9 (-2.6, 9.7)</w:t>
            </w:r>
          </w:p>
        </w:tc>
        <w:tc>
          <w:tcPr>
            <w:tcW w:w="866" w:type="pct"/>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1.30 (0.84, 1.99)</w:t>
            </w: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With serious drug-related AEs</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 (0.8%)</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 (1.6%)</w:t>
            </w:r>
          </w:p>
        </w:tc>
        <w:tc>
          <w:tcPr>
            <w:tcW w:w="807"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NA</w:t>
            </w:r>
          </w:p>
        </w:tc>
        <w:tc>
          <w:tcPr>
            <w:tcW w:w="866" w:type="pct"/>
          </w:tcPr>
          <w:p w:rsidR="007D5867" w:rsidRPr="00B45E7F" w:rsidRDefault="007D5867" w:rsidP="007D5867">
            <w:pPr>
              <w:jc w:val="center"/>
              <w:rPr>
                <w:rFonts w:ascii="Arial Narrow" w:hAnsi="Arial Narrow"/>
                <w:sz w:val="20"/>
                <w:szCs w:val="20"/>
              </w:rPr>
            </w:pPr>
            <w:r w:rsidRPr="00B45E7F">
              <w:rPr>
                <w:rFonts w:ascii="Arial Narrow" w:hAnsi="Arial Narrow"/>
                <w:sz w:val="20"/>
                <w:szCs w:val="20"/>
              </w:rPr>
              <w:t>0.49 (0.09, 2.66)</w:t>
            </w: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Discontinued due to drug-related AE</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18 (4.8%)</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7 (3.6%)</w:t>
            </w:r>
          </w:p>
        </w:tc>
        <w:tc>
          <w:tcPr>
            <w:tcW w:w="807"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1.2 (-2.9, 4.5)</w:t>
            </w:r>
          </w:p>
        </w:tc>
        <w:tc>
          <w:tcPr>
            <w:tcW w:w="866" w:type="pct"/>
          </w:tcPr>
          <w:p w:rsidR="007D5867" w:rsidRPr="00B45E7F" w:rsidRDefault="007D5867" w:rsidP="00242638">
            <w:pPr>
              <w:jc w:val="center"/>
              <w:rPr>
                <w:rFonts w:ascii="Arial Narrow" w:hAnsi="Arial Narrow"/>
                <w:sz w:val="20"/>
                <w:szCs w:val="20"/>
              </w:rPr>
            </w:pP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Discontinued due to serious drug-related AE</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 (0.8%)</w:t>
            </w:r>
          </w:p>
        </w:tc>
        <w:tc>
          <w:tcPr>
            <w:tcW w:w="804"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3 (1.6%)</w:t>
            </w:r>
          </w:p>
        </w:tc>
        <w:tc>
          <w:tcPr>
            <w:tcW w:w="807" w:type="pct"/>
            <w:vAlign w:val="center"/>
          </w:tcPr>
          <w:p w:rsidR="007D5867" w:rsidRPr="00B45E7F" w:rsidRDefault="007D5867" w:rsidP="00242638">
            <w:pPr>
              <w:jc w:val="center"/>
              <w:rPr>
                <w:rFonts w:ascii="Arial Narrow" w:hAnsi="Arial Narrow"/>
                <w:sz w:val="20"/>
                <w:szCs w:val="20"/>
              </w:rPr>
            </w:pPr>
            <w:r w:rsidRPr="00B45E7F">
              <w:rPr>
                <w:rFonts w:ascii="Arial Narrow" w:hAnsi="Arial Narrow"/>
                <w:sz w:val="20"/>
                <w:szCs w:val="20"/>
              </w:rPr>
              <w:t>NA</w:t>
            </w:r>
          </w:p>
        </w:tc>
        <w:tc>
          <w:tcPr>
            <w:tcW w:w="866" w:type="pct"/>
          </w:tcPr>
          <w:p w:rsidR="007D5867" w:rsidRPr="00B45E7F" w:rsidRDefault="007D5867" w:rsidP="00242638">
            <w:pPr>
              <w:jc w:val="center"/>
              <w:rPr>
                <w:rFonts w:ascii="Arial Narrow" w:hAnsi="Arial Narrow"/>
                <w:sz w:val="20"/>
                <w:szCs w:val="20"/>
              </w:rPr>
            </w:pPr>
          </w:p>
        </w:tc>
      </w:tr>
      <w:tr w:rsidR="007D5867" w:rsidRPr="00B45E7F" w:rsidTr="00374D70">
        <w:tc>
          <w:tcPr>
            <w:tcW w:w="4134" w:type="pct"/>
            <w:gridSpan w:val="4"/>
            <w:vAlign w:val="center"/>
          </w:tcPr>
          <w:p w:rsidR="007D5867" w:rsidRPr="00B45E7F" w:rsidRDefault="007D5867" w:rsidP="00242638">
            <w:pPr>
              <w:jc w:val="left"/>
              <w:rPr>
                <w:rFonts w:ascii="Arial Narrow" w:hAnsi="Arial Narrow"/>
                <w:b/>
                <w:sz w:val="20"/>
                <w:szCs w:val="20"/>
              </w:rPr>
            </w:pPr>
            <w:r w:rsidRPr="00B45E7F">
              <w:rPr>
                <w:rFonts w:ascii="Arial Narrow" w:hAnsi="Arial Narrow"/>
                <w:b/>
                <w:sz w:val="20"/>
                <w:szCs w:val="20"/>
              </w:rPr>
              <w:t>Drug-related AEs</w:t>
            </w:r>
          </w:p>
        </w:tc>
        <w:tc>
          <w:tcPr>
            <w:tcW w:w="866" w:type="pct"/>
          </w:tcPr>
          <w:p w:rsidR="007D5867" w:rsidRPr="00B45E7F" w:rsidRDefault="007D5867" w:rsidP="00242638">
            <w:pPr>
              <w:jc w:val="left"/>
              <w:rPr>
                <w:rFonts w:ascii="Arial Narrow" w:hAnsi="Arial Narrow"/>
                <w:b/>
                <w:sz w:val="20"/>
                <w:szCs w:val="20"/>
              </w:rPr>
            </w:pP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Diarrhoea</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7"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66" w:type="pct"/>
          </w:tcPr>
          <w:p w:rsidR="007D5867" w:rsidRPr="00B45E7F" w:rsidRDefault="007D5867" w:rsidP="00242638">
            <w:pPr>
              <w:jc w:val="center"/>
              <w:rPr>
                <w:rFonts w:ascii="Arial Narrow" w:hAnsi="Arial Narrow"/>
                <w:sz w:val="20"/>
                <w:szCs w:val="20"/>
              </w:rPr>
            </w:pP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Nausea</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7"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66" w:type="pct"/>
          </w:tcPr>
          <w:p w:rsidR="007D5867" w:rsidRPr="00B45E7F" w:rsidRDefault="007D5867" w:rsidP="00242638">
            <w:pPr>
              <w:jc w:val="center"/>
              <w:rPr>
                <w:rFonts w:ascii="Arial Narrow" w:hAnsi="Arial Narrow"/>
                <w:sz w:val="20"/>
                <w:szCs w:val="20"/>
              </w:rPr>
            </w:pPr>
          </w:p>
        </w:tc>
      </w:tr>
      <w:tr w:rsidR="007D5867" w:rsidRPr="00B45E7F" w:rsidTr="00374D70">
        <w:tc>
          <w:tcPr>
            <w:tcW w:w="1719" w:type="pct"/>
            <w:vAlign w:val="center"/>
          </w:tcPr>
          <w:p w:rsidR="007D5867" w:rsidRPr="00B45E7F" w:rsidRDefault="007D5867" w:rsidP="00242638">
            <w:pPr>
              <w:jc w:val="left"/>
              <w:rPr>
                <w:rFonts w:ascii="Arial Narrow" w:hAnsi="Arial Narrow"/>
                <w:sz w:val="20"/>
                <w:szCs w:val="20"/>
              </w:rPr>
            </w:pPr>
            <w:r w:rsidRPr="00B45E7F">
              <w:rPr>
                <w:rFonts w:ascii="Arial Narrow" w:hAnsi="Arial Narrow"/>
                <w:sz w:val="20"/>
                <w:szCs w:val="20"/>
              </w:rPr>
              <w:t>Vomiting</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4"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807" w:type="pct"/>
            <w:vAlign w:val="center"/>
          </w:tcPr>
          <w:p w:rsidR="007D5867" w:rsidRPr="004569C1" w:rsidRDefault="004569C1" w:rsidP="00242638">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66" w:type="pct"/>
          </w:tcPr>
          <w:p w:rsidR="007D5867" w:rsidRPr="00B45E7F" w:rsidRDefault="007D5867" w:rsidP="00242638">
            <w:pPr>
              <w:jc w:val="center"/>
              <w:rPr>
                <w:rFonts w:ascii="Arial Narrow" w:hAnsi="Arial Narrow"/>
                <w:sz w:val="20"/>
                <w:szCs w:val="20"/>
              </w:rPr>
            </w:pPr>
          </w:p>
        </w:tc>
      </w:tr>
    </w:tbl>
    <w:p w:rsidR="007D5867" w:rsidRPr="00B45E7F" w:rsidRDefault="007D5867" w:rsidP="0029721E">
      <w:pPr>
        <w:pStyle w:val="TableFooter"/>
      </w:pPr>
      <w:proofErr w:type="spellStart"/>
      <w:proofErr w:type="gramStart"/>
      <w:r w:rsidRPr="00B45E7F">
        <w:t>a</w:t>
      </w:r>
      <w:proofErr w:type="spellEnd"/>
      <w:proofErr w:type="gramEnd"/>
      <w:r w:rsidRPr="00B45E7F">
        <w:t xml:space="preserve"> odds ratio was used instead of relative risk if incidence was ≤1% or ≥99% in at least one cell.</w:t>
      </w:r>
    </w:p>
    <w:p w:rsidR="007D5867" w:rsidRPr="00B45E7F" w:rsidRDefault="007D5867" w:rsidP="0029721E">
      <w:pPr>
        <w:pStyle w:val="TableFooter"/>
      </w:pPr>
      <w:proofErr w:type="gramStart"/>
      <w:r w:rsidRPr="00B45E7F">
        <w:t>b</w:t>
      </w:r>
      <w:proofErr w:type="gramEnd"/>
      <w:r w:rsidRPr="00B45E7F">
        <w:t xml:space="preserve"> Based on 365 events for letermovir arm. Difference in number of events not explained in PSCR.</w:t>
      </w:r>
    </w:p>
    <w:p w:rsidR="0029721E" w:rsidRPr="00B45E7F" w:rsidRDefault="0029721E" w:rsidP="0029721E">
      <w:pPr>
        <w:pStyle w:val="TableFooter"/>
      </w:pPr>
      <w:r w:rsidRPr="00B45E7F">
        <w:t>AE=adverse event; CI=confidence interval; NA=not applicable</w:t>
      </w:r>
      <w:r w:rsidR="007D5867" w:rsidRPr="00B45E7F">
        <w:t>; OR=odds ra</w:t>
      </w:r>
      <w:r w:rsidR="0043589C" w:rsidRPr="00B45E7F">
        <w:t>t</w:t>
      </w:r>
      <w:r w:rsidR="007D5867" w:rsidRPr="00B45E7F">
        <w:t>io; RR=relative risk</w:t>
      </w:r>
    </w:p>
    <w:p w:rsidR="0029721E" w:rsidRPr="00B45E7F" w:rsidRDefault="0029721E" w:rsidP="0029721E">
      <w:pPr>
        <w:pStyle w:val="TableFooter"/>
      </w:pPr>
      <w:r w:rsidRPr="00B45E7F">
        <w:t>Source:  Table 2-13, p57 and Table 2-15, p59 of the submission.</w:t>
      </w:r>
    </w:p>
    <w:p w:rsidR="0051701A" w:rsidRPr="00B45E7F" w:rsidRDefault="0051701A" w:rsidP="0051701A"/>
    <w:p w:rsidR="00D7590C" w:rsidRPr="00B45E7F" w:rsidRDefault="0042181B" w:rsidP="007A12C6">
      <w:pPr>
        <w:pStyle w:val="ListParagraph"/>
        <w:numPr>
          <w:ilvl w:val="1"/>
          <w:numId w:val="2"/>
        </w:numPr>
      </w:pPr>
      <w:r w:rsidRPr="00B45E7F">
        <w:t>The</w:t>
      </w:r>
      <w:r w:rsidR="00D207AB" w:rsidRPr="00B45E7F">
        <w:t xml:space="preserve"> submission presented the differences</w:t>
      </w:r>
      <w:r w:rsidRPr="00B45E7F">
        <w:t xml:space="preserve"> in adverse event (AE)</w:t>
      </w:r>
      <w:r w:rsidR="00D207AB" w:rsidRPr="00B45E7F">
        <w:t xml:space="preserve"> and 95% CIs</w:t>
      </w:r>
      <w:r w:rsidRPr="00B45E7F">
        <w:t xml:space="preserve"> as provided in the Week 48 CSR.</w:t>
      </w:r>
      <w:r w:rsidR="00D207AB" w:rsidRPr="00B45E7F">
        <w:t xml:space="preserve"> </w:t>
      </w:r>
      <w:r w:rsidRPr="00B45E7F">
        <w:t xml:space="preserve"> T</w:t>
      </w:r>
      <w:r w:rsidR="00D207AB" w:rsidRPr="00B45E7F">
        <w:t xml:space="preserve">he submission concluded the incidence of drug-related AEs </w:t>
      </w:r>
      <w:r w:rsidR="00824427">
        <w:t xml:space="preserve">with letermovir </w:t>
      </w:r>
      <w:r w:rsidR="00D207AB" w:rsidRPr="00B45E7F">
        <w:t xml:space="preserve">was comparable to that in the placebo group.  </w:t>
      </w:r>
      <w:r w:rsidRPr="00B45E7F">
        <w:t>T</w:t>
      </w:r>
      <w:r w:rsidR="00D207AB" w:rsidRPr="00B45E7F">
        <w:t>his was reasonable for overall events</w:t>
      </w:r>
      <w:r w:rsidR="006D0EAA" w:rsidRPr="00B45E7F">
        <w:t>.</w:t>
      </w:r>
      <w:r w:rsidRPr="00B45E7F">
        <w:t xml:space="preserve"> G</w:t>
      </w:r>
      <w:r w:rsidR="00D207AB" w:rsidRPr="00B45E7F">
        <w:t>astrointestinal</w:t>
      </w:r>
      <w:r w:rsidR="003C381F" w:rsidRPr="00B45E7F">
        <w:t xml:space="preserve"> (GI)</w:t>
      </w:r>
      <w:r w:rsidR="00D207AB" w:rsidRPr="00B45E7F">
        <w:t xml:space="preserve">-related events such as nausea, diarrhoea and vomiting occurred at a rate in the letermovir group that, while relatively low, was </w:t>
      </w:r>
      <w:r w:rsidRPr="00B45E7F">
        <w:t xml:space="preserve">numerically </w:t>
      </w:r>
      <w:r w:rsidR="00374D70">
        <w:t>double</w:t>
      </w:r>
      <w:r w:rsidR="00374D70" w:rsidRPr="00B45E7F">
        <w:t xml:space="preserve"> that</w:t>
      </w:r>
      <w:r w:rsidR="00D207AB" w:rsidRPr="00B45E7F">
        <w:t xml:space="preserve"> in the placebo group (see table above). </w:t>
      </w:r>
      <w:r w:rsidR="003C381F" w:rsidRPr="00B45E7F">
        <w:t xml:space="preserve">Given the </w:t>
      </w:r>
      <w:r w:rsidR="003B5547" w:rsidRPr="00B45E7F">
        <w:t xml:space="preserve">GI-related events are common in this patient </w:t>
      </w:r>
      <w:proofErr w:type="gramStart"/>
      <w:r w:rsidR="003B5547" w:rsidRPr="00B45E7F">
        <w:t>group,</w:t>
      </w:r>
      <w:proofErr w:type="gramEnd"/>
      <w:r w:rsidR="003B5547" w:rsidRPr="00B45E7F">
        <w:t xml:space="preserve"> the </w:t>
      </w:r>
      <w:r w:rsidR="003C381F" w:rsidRPr="00B45E7F">
        <w:t xml:space="preserve">ESC </w:t>
      </w:r>
      <w:r w:rsidR="003B5547" w:rsidRPr="00B45E7F">
        <w:t xml:space="preserve">considered it was difficult to draw </w:t>
      </w:r>
      <w:r w:rsidR="0043589C" w:rsidRPr="00B45E7F">
        <w:t>conclusions</w:t>
      </w:r>
      <w:r w:rsidR="003B5547" w:rsidRPr="00B45E7F">
        <w:t xml:space="preserve"> on the outcomes of the trial.</w:t>
      </w:r>
    </w:p>
    <w:p w:rsidR="00C97220" w:rsidRPr="00B45E7F" w:rsidRDefault="00C97220" w:rsidP="007A12C6">
      <w:pPr>
        <w:pStyle w:val="ListParagraph"/>
        <w:numPr>
          <w:ilvl w:val="1"/>
          <w:numId w:val="2"/>
        </w:numPr>
      </w:pPr>
      <w:r w:rsidRPr="00B45E7F">
        <w:t>Overall, there appeared to have been similar occurrence of AEs between letermovir and placebo.  The TGA’s first round</w:t>
      </w:r>
      <w:r w:rsidR="00967337">
        <w:t xml:space="preserve"> CER concluded </w:t>
      </w:r>
      <w:r w:rsidRPr="00B45E7F">
        <w:t>that while there was an increased risk of nausea, vomiting and diarrhoea with letermovir, these AEs were generally mild to moderate in severity and only had a modest increase in incidence compared to placebo.</w:t>
      </w:r>
      <w:r w:rsidR="00E6280D" w:rsidRPr="00B45E7F">
        <w:t xml:space="preserve"> The ESC noted the statistical information provided in </w:t>
      </w:r>
      <w:proofErr w:type="gramStart"/>
      <w:r w:rsidR="00E6280D" w:rsidRPr="00B45E7F">
        <w:t>PSCR ,</w:t>
      </w:r>
      <w:proofErr w:type="gramEnd"/>
      <w:r w:rsidR="00E6280D" w:rsidRPr="00B45E7F">
        <w:t xml:space="preserve"> and was of the view that it was reasonable to consider that adverse events reported in the submission are comparable </w:t>
      </w:r>
      <w:r w:rsidR="00967337">
        <w:t>between the arms of the trial.</w:t>
      </w:r>
    </w:p>
    <w:p w:rsidR="00597B47" w:rsidRDefault="00C97220" w:rsidP="00597B47">
      <w:pPr>
        <w:pStyle w:val="ListParagraph"/>
        <w:numPr>
          <w:ilvl w:val="1"/>
          <w:numId w:val="2"/>
        </w:numPr>
      </w:pPr>
      <w:r w:rsidRPr="00B45E7F">
        <w:t>There were also AEs that occurred in more letermovir-treated patients than placebo-treated patients that while not discussed in the submission were raised in the publication of Trial P001 (Marty 2017), specifically atrial fibrillation (3.5% of letermovir-treated patients</w:t>
      </w:r>
      <w:r w:rsidR="00C25FDB" w:rsidRPr="00B45E7F">
        <w:t xml:space="preserve"> vs 1.0% of placebo-treated patients</w:t>
      </w:r>
      <w:r w:rsidRPr="00B45E7F">
        <w:t>) and atrial flutter (1.1%</w:t>
      </w:r>
      <w:r w:rsidR="00C25FDB" w:rsidRPr="00B45E7F">
        <w:t xml:space="preserve"> vs 0.0% in placebo</w:t>
      </w:r>
      <w:r w:rsidRPr="00B45E7F">
        <w:t>).  The Marty (2017) paper concluded (p2443) that while these events were rarely serious, they would require further evaluation in future studies.</w:t>
      </w:r>
      <w:r w:rsidR="006A7B69" w:rsidRPr="00B45E7F">
        <w:t xml:space="preserve"> The ESC considered that these cardi</w:t>
      </w:r>
      <w:r w:rsidR="001D5699" w:rsidRPr="00B45E7F">
        <w:t>a</w:t>
      </w:r>
      <w:r w:rsidR="006A7B69" w:rsidRPr="00B45E7F">
        <w:t>c-related events should be part of the assessment of comparative safety</w:t>
      </w:r>
      <w:r w:rsidR="00DC5B2C" w:rsidRPr="00B45E7F">
        <w:t xml:space="preserve">. </w:t>
      </w:r>
      <w:r w:rsidR="00201E1C" w:rsidRPr="00B45E7F">
        <w:t xml:space="preserve"> </w:t>
      </w:r>
      <w:r w:rsidR="00DC5B2C" w:rsidRPr="00B45E7F">
        <w:t>T</w:t>
      </w:r>
      <w:r w:rsidR="00201E1C" w:rsidRPr="00B45E7F">
        <w:t>hese events could potentially be serious</w:t>
      </w:r>
      <w:r w:rsidR="00DC5B2C" w:rsidRPr="00B45E7F">
        <w:t xml:space="preserve">, particularly in high risk patients with metabolic </w:t>
      </w:r>
      <w:r w:rsidR="0043589C" w:rsidRPr="00B45E7F">
        <w:t>disturbances</w:t>
      </w:r>
      <w:r w:rsidR="00DC5B2C" w:rsidRPr="00B45E7F">
        <w:t xml:space="preserve"> and with magnesium and potassium issues. </w:t>
      </w:r>
      <w:r w:rsidR="00597B47">
        <w:t xml:space="preserve"> The Pre-PBAC response argued that:</w:t>
      </w:r>
    </w:p>
    <w:p w:rsidR="00597B47" w:rsidRDefault="00597B47" w:rsidP="00374D70">
      <w:pPr>
        <w:pStyle w:val="ListParagraph"/>
        <w:numPr>
          <w:ilvl w:val="1"/>
          <w:numId w:val="17"/>
        </w:numPr>
        <w:ind w:left="1077" w:hanging="357"/>
      </w:pPr>
      <w:r w:rsidRPr="00597B47">
        <w:t xml:space="preserve">No subject in the letermovir group experienced a drug-related cardiac-related adverse event. </w:t>
      </w:r>
    </w:p>
    <w:p w:rsidR="00597B47" w:rsidRDefault="00597B47" w:rsidP="00374D70">
      <w:pPr>
        <w:pStyle w:val="ListParagraph"/>
        <w:numPr>
          <w:ilvl w:val="1"/>
          <w:numId w:val="17"/>
        </w:numPr>
        <w:ind w:left="1077" w:hanging="357"/>
      </w:pPr>
      <w:r w:rsidRPr="00597B47">
        <w:lastRenderedPageBreak/>
        <w:t xml:space="preserve">The TGA Delegate’s Overview concluded that “the majority of these events were non-serious, of mild to moderate severity and confounded by concomitant use of known </w:t>
      </w:r>
      <w:proofErr w:type="spellStart"/>
      <w:r w:rsidRPr="00597B47">
        <w:t>cardiotoxic</w:t>
      </w:r>
      <w:proofErr w:type="spellEnd"/>
      <w:r w:rsidRPr="00597B47">
        <w:t xml:space="preserve"> medications, cardiac history and acute infections and possible imbalance in the proportion of subjects with baseline cardiac conditions between the letermovir and placebo arm”. </w:t>
      </w:r>
    </w:p>
    <w:p w:rsidR="00C97220" w:rsidRPr="00B45E7F" w:rsidRDefault="00597B47" w:rsidP="00374D70">
      <w:pPr>
        <w:pStyle w:val="ListParagraph"/>
        <w:numPr>
          <w:ilvl w:val="1"/>
          <w:numId w:val="17"/>
        </w:numPr>
        <w:ind w:left="1077" w:hanging="357"/>
      </w:pPr>
      <w:r w:rsidRPr="00597B47">
        <w:t xml:space="preserve">The first </w:t>
      </w:r>
      <w:r w:rsidR="00824427">
        <w:t xml:space="preserve">round </w:t>
      </w:r>
      <w:r w:rsidRPr="00597B47">
        <w:t xml:space="preserve">Clinical Evaluator’s Report also discussed the incidence of the cardiac adverse events, concluding that overall no specific safety concerns </w:t>
      </w:r>
      <w:proofErr w:type="gramStart"/>
      <w:r w:rsidRPr="00597B47">
        <w:t>have</w:t>
      </w:r>
      <w:proofErr w:type="gramEnd"/>
      <w:r w:rsidRPr="00597B47">
        <w:t xml:space="preserve"> been identified</w:t>
      </w:r>
      <w:r w:rsidR="00824427">
        <w:t>.</w:t>
      </w:r>
    </w:p>
    <w:p w:rsidR="007F1017" w:rsidRPr="00CA3B62" w:rsidRDefault="007F1017" w:rsidP="001F0352">
      <w:pPr>
        <w:widowControl w:val="0"/>
        <w:spacing w:before="240" w:after="120" w:line="276" w:lineRule="auto"/>
        <w:outlineLvl w:val="1"/>
        <w:rPr>
          <w:rFonts w:asciiTheme="minorHAnsi" w:hAnsiTheme="minorHAnsi" w:cs="Arial"/>
          <w:b/>
          <w:bCs/>
          <w:i/>
          <w:snapToGrid w:val="0"/>
          <w:sz w:val="28"/>
          <w:szCs w:val="28"/>
        </w:rPr>
      </w:pPr>
      <w:bookmarkStart w:id="10" w:name="_Toc514242728"/>
      <w:r w:rsidRPr="00CA3B62">
        <w:rPr>
          <w:rFonts w:asciiTheme="minorHAnsi" w:hAnsiTheme="minorHAnsi" w:cs="Arial"/>
          <w:b/>
          <w:bCs/>
          <w:i/>
          <w:snapToGrid w:val="0"/>
          <w:sz w:val="28"/>
          <w:szCs w:val="28"/>
        </w:rPr>
        <w:t>Benefits/harms</w:t>
      </w:r>
      <w:bookmarkEnd w:id="10"/>
    </w:p>
    <w:p w:rsidR="00162913" w:rsidRPr="00B45E7F" w:rsidRDefault="000E27E6" w:rsidP="007A12C6">
      <w:pPr>
        <w:pStyle w:val="ListParagraph"/>
        <w:numPr>
          <w:ilvl w:val="1"/>
          <w:numId w:val="2"/>
        </w:numPr>
      </w:pPr>
      <w:r w:rsidRPr="00B45E7F">
        <w:t>A summary of the comparative benefits for letermovir versus placebo is presented in the table below.</w:t>
      </w:r>
      <w:r w:rsidR="003E448A" w:rsidRPr="00B45E7F">
        <w:t xml:space="preserve">  </w:t>
      </w:r>
    </w:p>
    <w:p w:rsidR="00B62715" w:rsidRPr="00B45E7F" w:rsidRDefault="00B62715" w:rsidP="007F4A61">
      <w:pPr>
        <w:rPr>
          <w:rStyle w:val="CommentReference"/>
        </w:rPr>
      </w:pPr>
      <w:r w:rsidRPr="00B45E7F">
        <w:rPr>
          <w:rStyle w:val="CommentReference"/>
        </w:rPr>
        <w:t xml:space="preserve">Table </w:t>
      </w:r>
      <w:r w:rsidR="009D766D" w:rsidRPr="00B45E7F">
        <w:rPr>
          <w:rStyle w:val="CommentReference"/>
        </w:rPr>
        <w:t>8</w:t>
      </w:r>
      <w:r w:rsidRPr="00B45E7F">
        <w:rPr>
          <w:rStyle w:val="CommentReference"/>
        </w:rPr>
        <w:t xml:space="preserve">: Summary of comparative benefits for </w:t>
      </w:r>
      <w:r w:rsidR="00D13813" w:rsidRPr="00B45E7F">
        <w:rPr>
          <w:rStyle w:val="CommentReference"/>
        </w:rPr>
        <w:t>le</w:t>
      </w:r>
      <w:r w:rsidR="004B7D90" w:rsidRPr="00B45E7F">
        <w:rPr>
          <w:rStyle w:val="CommentReference"/>
        </w:rPr>
        <w:t>termovir</w:t>
      </w:r>
      <w:r w:rsidRPr="00B45E7F">
        <w:rPr>
          <w:rStyle w:val="CommentReference"/>
        </w:rPr>
        <w:t xml:space="preserve"> and </w:t>
      </w:r>
      <w:r w:rsidR="004B7D90" w:rsidRPr="00B45E7F">
        <w:rPr>
          <w:rStyle w:val="CommentReference"/>
        </w:rPr>
        <w:t>placebo</w:t>
      </w:r>
      <w:r w:rsidR="003E448A" w:rsidRPr="00B45E7F">
        <w:rPr>
          <w:rStyle w:val="CommentReference"/>
        </w:rPr>
        <w:t>-treated patients based on Tria</w:t>
      </w:r>
      <w:r w:rsidR="004B7D90" w:rsidRPr="00B45E7F">
        <w:rPr>
          <w:rStyle w:val="CommentReference"/>
        </w:rPr>
        <w:t>l P001</w:t>
      </w:r>
    </w:p>
    <w:tbl>
      <w:tblPr>
        <w:tblW w:w="5000" w:type="pct"/>
        <w:tblCellMar>
          <w:left w:w="28" w:type="dxa"/>
          <w:right w:w="28" w:type="dxa"/>
        </w:tblCellMar>
        <w:tblLook w:val="04A0" w:firstRow="1" w:lastRow="0" w:firstColumn="1" w:lastColumn="0" w:noHBand="0" w:noVBand="1"/>
      </w:tblPr>
      <w:tblGrid>
        <w:gridCol w:w="1023"/>
        <w:gridCol w:w="1030"/>
        <w:gridCol w:w="1161"/>
        <w:gridCol w:w="3175"/>
        <w:gridCol w:w="1462"/>
        <w:gridCol w:w="1232"/>
      </w:tblGrid>
      <w:tr w:rsidR="003E448A" w:rsidRPr="00B45E7F" w:rsidTr="00B97F9F">
        <w:trPr>
          <w:trHeight w:val="340"/>
        </w:trPr>
        <w:tc>
          <w:tcPr>
            <w:tcW w:w="563" w:type="pct"/>
            <w:vMerge w:val="restart"/>
            <w:tcBorders>
              <w:top w:val="single" w:sz="4" w:space="0" w:color="auto"/>
              <w:left w:val="single" w:sz="4" w:space="0" w:color="auto"/>
              <w:right w:val="single" w:sz="4" w:space="0" w:color="auto"/>
            </w:tcBorders>
            <w:shd w:val="clear" w:color="auto" w:fill="auto"/>
            <w:vAlign w:val="center"/>
          </w:tcPr>
          <w:p w:rsidR="004B7D90" w:rsidRPr="00B45E7F" w:rsidRDefault="004B7D90" w:rsidP="00EC00C9">
            <w:pPr>
              <w:rPr>
                <w:rFonts w:ascii="Arial Narrow" w:hAnsi="Arial Narrow"/>
                <w:b/>
                <w:color w:val="000000"/>
                <w:sz w:val="20"/>
                <w:szCs w:val="18"/>
              </w:rPr>
            </w:pPr>
            <w:r w:rsidRPr="00B45E7F">
              <w:rPr>
                <w:rFonts w:ascii="Arial Narrow" w:hAnsi="Arial Narrow"/>
                <w:b/>
                <w:color w:val="000000"/>
                <w:sz w:val="20"/>
                <w:szCs w:val="18"/>
              </w:rPr>
              <w:t>Trial</w:t>
            </w:r>
          </w:p>
        </w:tc>
        <w:tc>
          <w:tcPr>
            <w:tcW w:w="567" w:type="pct"/>
            <w:vMerge w:val="restart"/>
            <w:tcBorders>
              <w:top w:val="single" w:sz="4" w:space="0" w:color="auto"/>
              <w:left w:val="single" w:sz="4" w:space="0" w:color="auto"/>
              <w:right w:val="single" w:sz="4" w:space="0" w:color="auto"/>
            </w:tcBorders>
            <w:vAlign w:val="center"/>
          </w:tcPr>
          <w:p w:rsidR="004B7D90" w:rsidRPr="00B45E7F" w:rsidRDefault="004B7D90" w:rsidP="00EC00C9">
            <w:pPr>
              <w:jc w:val="center"/>
              <w:rPr>
                <w:rFonts w:ascii="Arial Narrow" w:hAnsi="Arial Narrow"/>
                <w:b/>
                <w:color w:val="000000"/>
                <w:sz w:val="20"/>
                <w:szCs w:val="18"/>
              </w:rPr>
            </w:pPr>
            <w:r w:rsidRPr="00B45E7F">
              <w:rPr>
                <w:rFonts w:ascii="Arial Narrow" w:hAnsi="Arial Narrow"/>
                <w:b/>
                <w:color w:val="000000"/>
                <w:sz w:val="20"/>
                <w:szCs w:val="18"/>
              </w:rPr>
              <w:t>Letermovir</w:t>
            </w:r>
          </w:p>
          <w:p w:rsidR="004B7D90" w:rsidRPr="00B45E7F" w:rsidRDefault="004B7D90" w:rsidP="00EC00C9">
            <w:pPr>
              <w:jc w:val="center"/>
              <w:rPr>
                <w:rFonts w:ascii="Arial Narrow" w:hAnsi="Arial Narrow"/>
                <w:b/>
                <w:color w:val="000000"/>
                <w:sz w:val="20"/>
                <w:szCs w:val="18"/>
              </w:rPr>
            </w:pPr>
            <w:proofErr w:type="gramStart"/>
            <w:r w:rsidRPr="00B45E7F">
              <w:rPr>
                <w:rFonts w:ascii="Arial Narrow" w:hAnsi="Arial Narrow"/>
                <w:b/>
                <w:color w:val="000000"/>
                <w:sz w:val="20"/>
                <w:szCs w:val="18"/>
              </w:rPr>
              <w:t>n/N</w:t>
            </w:r>
            <w:proofErr w:type="gramEnd"/>
            <w:r w:rsidR="00EC3177" w:rsidRPr="00B45E7F">
              <w:rPr>
                <w:rFonts w:ascii="Arial Narrow" w:hAnsi="Arial Narrow"/>
                <w:b/>
                <w:color w:val="000000"/>
                <w:sz w:val="20"/>
                <w:szCs w:val="18"/>
              </w:rPr>
              <w:t xml:space="preserve"> (%)</w:t>
            </w:r>
          </w:p>
        </w:tc>
        <w:tc>
          <w:tcPr>
            <w:tcW w:w="639" w:type="pct"/>
            <w:vMerge w:val="restart"/>
            <w:tcBorders>
              <w:top w:val="single" w:sz="4" w:space="0" w:color="auto"/>
              <w:left w:val="single" w:sz="4" w:space="0" w:color="auto"/>
              <w:right w:val="single" w:sz="4" w:space="0" w:color="auto"/>
            </w:tcBorders>
            <w:vAlign w:val="center"/>
          </w:tcPr>
          <w:p w:rsidR="004B7D90" w:rsidRPr="00B45E7F" w:rsidRDefault="004B7D90" w:rsidP="00EC00C9">
            <w:pPr>
              <w:jc w:val="center"/>
              <w:rPr>
                <w:rFonts w:ascii="Arial Narrow" w:hAnsi="Arial Narrow"/>
                <w:b/>
                <w:color w:val="000000"/>
                <w:sz w:val="20"/>
                <w:szCs w:val="18"/>
              </w:rPr>
            </w:pPr>
            <w:r w:rsidRPr="00B45E7F">
              <w:rPr>
                <w:rFonts w:ascii="Arial Narrow" w:hAnsi="Arial Narrow"/>
                <w:b/>
                <w:color w:val="000000"/>
                <w:sz w:val="20"/>
                <w:szCs w:val="18"/>
              </w:rPr>
              <w:t>Placebo</w:t>
            </w:r>
          </w:p>
          <w:p w:rsidR="004B7D90" w:rsidRPr="00B45E7F" w:rsidRDefault="004B7D90" w:rsidP="00EC00C9">
            <w:pPr>
              <w:jc w:val="center"/>
              <w:rPr>
                <w:rFonts w:ascii="Arial Narrow" w:hAnsi="Arial Narrow"/>
                <w:b/>
                <w:color w:val="000000"/>
                <w:sz w:val="20"/>
                <w:szCs w:val="18"/>
              </w:rPr>
            </w:pPr>
            <w:proofErr w:type="gramStart"/>
            <w:r w:rsidRPr="00B45E7F">
              <w:rPr>
                <w:rFonts w:ascii="Arial Narrow" w:hAnsi="Arial Narrow"/>
                <w:b/>
                <w:color w:val="000000"/>
                <w:sz w:val="20"/>
                <w:szCs w:val="18"/>
              </w:rPr>
              <w:t>n/N</w:t>
            </w:r>
            <w:proofErr w:type="gramEnd"/>
            <w:r w:rsidR="00EC3177" w:rsidRPr="00B45E7F">
              <w:rPr>
                <w:rFonts w:ascii="Arial Narrow" w:hAnsi="Arial Narrow"/>
                <w:b/>
                <w:color w:val="000000"/>
                <w:sz w:val="20"/>
                <w:szCs w:val="18"/>
              </w:rPr>
              <w:t xml:space="preserve"> (%)</w:t>
            </w:r>
          </w:p>
        </w:tc>
        <w:tc>
          <w:tcPr>
            <w:tcW w:w="1748" w:type="pct"/>
            <w:vMerge w:val="restart"/>
            <w:tcBorders>
              <w:top w:val="single" w:sz="4" w:space="0" w:color="auto"/>
              <w:left w:val="single" w:sz="4" w:space="0" w:color="auto"/>
              <w:right w:val="single" w:sz="4" w:space="0" w:color="auto"/>
            </w:tcBorders>
            <w:vAlign w:val="center"/>
          </w:tcPr>
          <w:p w:rsidR="004B7D90" w:rsidRPr="00B45E7F" w:rsidRDefault="004B7D90" w:rsidP="00EC00C9">
            <w:pPr>
              <w:jc w:val="center"/>
              <w:rPr>
                <w:rFonts w:ascii="Arial Narrow" w:hAnsi="Arial Narrow"/>
                <w:b/>
                <w:color w:val="000000"/>
                <w:sz w:val="20"/>
                <w:szCs w:val="18"/>
              </w:rPr>
            </w:pPr>
            <w:r w:rsidRPr="00B45E7F">
              <w:rPr>
                <w:rFonts w:ascii="Arial Narrow" w:hAnsi="Arial Narrow"/>
                <w:b/>
                <w:sz w:val="20"/>
                <w:szCs w:val="20"/>
              </w:rPr>
              <w:t>Stratum-adjusted treatment difference (95% CI)</w:t>
            </w:r>
          </w:p>
        </w:tc>
        <w:tc>
          <w:tcPr>
            <w:tcW w:w="1484" w:type="pct"/>
            <w:gridSpan w:val="2"/>
            <w:tcBorders>
              <w:top w:val="single" w:sz="4" w:space="0" w:color="auto"/>
              <w:left w:val="single" w:sz="4" w:space="0" w:color="auto"/>
              <w:bottom w:val="single" w:sz="4" w:space="0" w:color="auto"/>
              <w:right w:val="single" w:sz="4" w:space="0" w:color="auto"/>
            </w:tcBorders>
            <w:vAlign w:val="center"/>
          </w:tcPr>
          <w:p w:rsidR="004B7D90" w:rsidRPr="00B45E7F" w:rsidRDefault="004B7D90" w:rsidP="00EC00C9">
            <w:pPr>
              <w:jc w:val="center"/>
              <w:rPr>
                <w:rFonts w:ascii="Arial Narrow" w:hAnsi="Arial Narrow"/>
                <w:b/>
                <w:color w:val="000000"/>
                <w:sz w:val="20"/>
                <w:szCs w:val="18"/>
              </w:rPr>
            </w:pPr>
            <w:r w:rsidRPr="00B45E7F">
              <w:rPr>
                <w:rFonts w:ascii="Arial Narrow" w:hAnsi="Arial Narrow"/>
                <w:b/>
                <w:color w:val="000000"/>
                <w:sz w:val="20"/>
                <w:szCs w:val="18"/>
              </w:rPr>
              <w:t xml:space="preserve">Event rate/100 patients* </w:t>
            </w:r>
          </w:p>
        </w:tc>
      </w:tr>
      <w:tr w:rsidR="003E448A" w:rsidRPr="00B45E7F" w:rsidTr="00B97F9F">
        <w:trPr>
          <w:trHeight w:val="340"/>
        </w:trPr>
        <w:tc>
          <w:tcPr>
            <w:tcW w:w="563" w:type="pct"/>
            <w:vMerge/>
            <w:tcBorders>
              <w:left w:val="single" w:sz="4" w:space="0" w:color="auto"/>
              <w:bottom w:val="single" w:sz="4" w:space="0" w:color="auto"/>
              <w:right w:val="single" w:sz="4" w:space="0" w:color="auto"/>
            </w:tcBorders>
            <w:shd w:val="clear" w:color="auto" w:fill="auto"/>
            <w:vAlign w:val="center"/>
          </w:tcPr>
          <w:p w:rsidR="004B7D90" w:rsidRPr="00B45E7F" w:rsidRDefault="004B7D90" w:rsidP="004B7D90">
            <w:pPr>
              <w:rPr>
                <w:rFonts w:ascii="Arial Narrow" w:hAnsi="Arial Narrow"/>
                <w:b/>
                <w:color w:val="000000"/>
                <w:sz w:val="20"/>
                <w:szCs w:val="18"/>
              </w:rPr>
            </w:pPr>
          </w:p>
        </w:tc>
        <w:tc>
          <w:tcPr>
            <w:tcW w:w="567" w:type="pct"/>
            <w:vMerge/>
            <w:tcBorders>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color w:val="000000"/>
                <w:sz w:val="20"/>
                <w:szCs w:val="18"/>
              </w:rPr>
            </w:pPr>
          </w:p>
        </w:tc>
        <w:tc>
          <w:tcPr>
            <w:tcW w:w="639" w:type="pct"/>
            <w:vMerge/>
            <w:tcBorders>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color w:val="000000"/>
                <w:sz w:val="20"/>
                <w:szCs w:val="18"/>
              </w:rPr>
            </w:pPr>
          </w:p>
        </w:tc>
        <w:tc>
          <w:tcPr>
            <w:tcW w:w="1748" w:type="pct"/>
            <w:vMerge/>
            <w:tcBorders>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color w:val="000000"/>
                <w:sz w:val="20"/>
                <w:szCs w:val="18"/>
              </w:rPr>
            </w:pPr>
            <w:r w:rsidRPr="00B45E7F">
              <w:rPr>
                <w:rFonts w:ascii="Arial Narrow" w:hAnsi="Arial Narrow"/>
                <w:b/>
                <w:color w:val="000000"/>
                <w:sz w:val="20"/>
                <w:szCs w:val="18"/>
              </w:rPr>
              <w:t>Letermovir</w:t>
            </w:r>
          </w:p>
        </w:tc>
        <w:tc>
          <w:tcPr>
            <w:tcW w:w="679" w:type="pct"/>
            <w:tcBorders>
              <w:top w:val="single" w:sz="4" w:space="0" w:color="auto"/>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color w:val="000000"/>
                <w:sz w:val="20"/>
                <w:szCs w:val="18"/>
              </w:rPr>
            </w:pPr>
            <w:r w:rsidRPr="00B45E7F">
              <w:rPr>
                <w:rFonts w:ascii="Arial Narrow" w:hAnsi="Arial Narrow"/>
                <w:b/>
                <w:color w:val="000000"/>
                <w:sz w:val="20"/>
                <w:szCs w:val="18"/>
              </w:rPr>
              <w:t>Placebo</w:t>
            </w:r>
          </w:p>
        </w:tc>
      </w:tr>
      <w:tr w:rsidR="003E448A" w:rsidRPr="00B45E7F" w:rsidTr="00B97F9F">
        <w:tc>
          <w:tcPr>
            <w:tcW w:w="5000"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4B7D90" w:rsidRPr="00B45E7F" w:rsidRDefault="004B7D90" w:rsidP="004B7D90">
            <w:pPr>
              <w:rPr>
                <w:rFonts w:ascii="Arial Narrow" w:hAnsi="Arial Narrow"/>
                <w:b/>
                <w:color w:val="000000"/>
                <w:sz w:val="20"/>
                <w:szCs w:val="18"/>
              </w:rPr>
            </w:pPr>
            <w:r w:rsidRPr="00B45E7F">
              <w:rPr>
                <w:rFonts w:ascii="Arial Narrow" w:hAnsi="Arial Narrow"/>
                <w:b/>
                <w:color w:val="000000"/>
                <w:sz w:val="20"/>
                <w:szCs w:val="18"/>
              </w:rPr>
              <w:t>Benefits</w:t>
            </w:r>
            <w:r w:rsidR="003E448A" w:rsidRPr="00B45E7F">
              <w:rPr>
                <w:rFonts w:ascii="Arial Narrow" w:hAnsi="Arial Narrow"/>
                <w:b/>
                <w:color w:val="000000"/>
                <w:sz w:val="20"/>
                <w:szCs w:val="18"/>
              </w:rPr>
              <w:t xml:space="preserve"> - </w:t>
            </w:r>
            <w:r w:rsidR="003E448A" w:rsidRPr="00B45E7F">
              <w:rPr>
                <w:rFonts w:ascii="Arial Narrow" w:hAnsi="Arial Narrow"/>
                <w:b/>
                <w:sz w:val="20"/>
                <w:szCs w:val="20"/>
              </w:rPr>
              <w:t>clinically significant CMV infection by Week 24</w:t>
            </w:r>
          </w:p>
        </w:tc>
      </w:tr>
      <w:tr w:rsidR="003E448A" w:rsidRPr="00B45E7F" w:rsidTr="00B97F9F">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4B7D90" w:rsidRPr="00B45E7F" w:rsidRDefault="004B7D90" w:rsidP="004B7D90">
            <w:pPr>
              <w:rPr>
                <w:rFonts w:ascii="Arial Narrow" w:hAnsi="Arial Narrow"/>
                <w:color w:val="000000"/>
                <w:sz w:val="20"/>
                <w:szCs w:val="18"/>
              </w:rPr>
            </w:pPr>
            <w:r w:rsidRPr="00B45E7F">
              <w:rPr>
                <w:rFonts w:ascii="Arial Narrow" w:hAnsi="Arial Narrow"/>
                <w:color w:val="000000"/>
                <w:sz w:val="20"/>
                <w:szCs w:val="18"/>
              </w:rPr>
              <w:t>Trial P001</w:t>
            </w:r>
          </w:p>
        </w:tc>
        <w:tc>
          <w:tcPr>
            <w:tcW w:w="567" w:type="pct"/>
            <w:tcBorders>
              <w:top w:val="single" w:sz="4" w:space="0" w:color="auto"/>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color w:val="000000"/>
                <w:sz w:val="20"/>
                <w:szCs w:val="18"/>
              </w:rPr>
            </w:pPr>
            <w:r w:rsidRPr="00B45E7F">
              <w:rPr>
                <w:rFonts w:ascii="Arial Narrow" w:hAnsi="Arial Narrow"/>
                <w:color w:val="000000"/>
                <w:sz w:val="20"/>
                <w:szCs w:val="18"/>
              </w:rPr>
              <w:t>122/325 (37.5%)</w:t>
            </w:r>
          </w:p>
        </w:tc>
        <w:tc>
          <w:tcPr>
            <w:tcW w:w="639" w:type="pct"/>
            <w:tcBorders>
              <w:top w:val="single" w:sz="4" w:space="0" w:color="auto"/>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color w:val="000000"/>
                <w:sz w:val="20"/>
                <w:szCs w:val="18"/>
              </w:rPr>
            </w:pPr>
            <w:r w:rsidRPr="00B45E7F">
              <w:rPr>
                <w:rFonts w:ascii="Arial Narrow" w:hAnsi="Arial Narrow"/>
                <w:color w:val="000000"/>
                <w:sz w:val="20"/>
                <w:szCs w:val="18"/>
              </w:rPr>
              <w:t xml:space="preserve">103/170 </w:t>
            </w:r>
          </w:p>
          <w:p w:rsidR="004B7D90" w:rsidRPr="00B45E7F" w:rsidRDefault="004B7D90" w:rsidP="004B7D90">
            <w:pPr>
              <w:jc w:val="center"/>
              <w:rPr>
                <w:rFonts w:ascii="Arial Narrow" w:hAnsi="Arial Narrow"/>
                <w:color w:val="000000"/>
                <w:sz w:val="20"/>
                <w:szCs w:val="18"/>
              </w:rPr>
            </w:pPr>
            <w:r w:rsidRPr="00B45E7F">
              <w:rPr>
                <w:rFonts w:ascii="Arial Narrow" w:hAnsi="Arial Narrow"/>
                <w:color w:val="000000"/>
                <w:sz w:val="20"/>
                <w:szCs w:val="18"/>
              </w:rPr>
              <w:t>(60.6%)</w:t>
            </w:r>
          </w:p>
        </w:tc>
        <w:tc>
          <w:tcPr>
            <w:tcW w:w="1748" w:type="pct"/>
            <w:tcBorders>
              <w:top w:val="single" w:sz="4" w:space="0" w:color="auto"/>
              <w:left w:val="single" w:sz="4" w:space="0" w:color="auto"/>
              <w:bottom w:val="single" w:sz="4" w:space="0" w:color="auto"/>
              <w:right w:val="single" w:sz="4" w:space="0" w:color="auto"/>
            </w:tcBorders>
            <w:vAlign w:val="center"/>
          </w:tcPr>
          <w:p w:rsidR="004B7D90" w:rsidRPr="00B45E7F" w:rsidRDefault="004B7D90" w:rsidP="004B7D90">
            <w:pPr>
              <w:jc w:val="center"/>
              <w:rPr>
                <w:rFonts w:ascii="Arial Narrow" w:hAnsi="Arial Narrow"/>
                <w:b/>
                <w:sz w:val="20"/>
                <w:szCs w:val="20"/>
              </w:rPr>
            </w:pPr>
            <w:r w:rsidRPr="00B45E7F">
              <w:rPr>
                <w:rFonts w:ascii="Arial Narrow" w:hAnsi="Arial Narrow"/>
                <w:b/>
                <w:sz w:val="20"/>
                <w:szCs w:val="20"/>
              </w:rPr>
              <w:t xml:space="preserve">-23.5 </w:t>
            </w:r>
          </w:p>
          <w:p w:rsidR="004B7D90" w:rsidRPr="00B45E7F" w:rsidRDefault="004B7D90" w:rsidP="004B7D90">
            <w:pPr>
              <w:jc w:val="center"/>
              <w:rPr>
                <w:rFonts w:ascii="Arial Narrow" w:hAnsi="Arial Narrow"/>
                <w:color w:val="000000"/>
                <w:sz w:val="20"/>
                <w:szCs w:val="18"/>
              </w:rPr>
            </w:pPr>
            <w:r w:rsidRPr="00B45E7F">
              <w:rPr>
                <w:rFonts w:ascii="Arial Narrow" w:hAnsi="Arial Narrow"/>
                <w:b/>
                <w:sz w:val="20"/>
                <w:szCs w:val="20"/>
              </w:rPr>
              <w:t>(-32.5, -14.6)</w:t>
            </w:r>
          </w:p>
        </w:tc>
        <w:tc>
          <w:tcPr>
            <w:tcW w:w="805" w:type="pct"/>
            <w:tcBorders>
              <w:top w:val="single" w:sz="4" w:space="0" w:color="auto"/>
              <w:left w:val="single" w:sz="4" w:space="0" w:color="auto"/>
              <w:bottom w:val="single" w:sz="4" w:space="0" w:color="auto"/>
              <w:right w:val="single" w:sz="4" w:space="0" w:color="auto"/>
            </w:tcBorders>
            <w:vAlign w:val="center"/>
          </w:tcPr>
          <w:p w:rsidR="004B7D90" w:rsidRPr="00B45E7F" w:rsidRDefault="00EC3177" w:rsidP="004B7D90">
            <w:pPr>
              <w:jc w:val="center"/>
              <w:rPr>
                <w:rFonts w:ascii="Arial Narrow" w:hAnsi="Arial Narrow"/>
                <w:color w:val="000000"/>
                <w:sz w:val="20"/>
                <w:szCs w:val="18"/>
              </w:rPr>
            </w:pPr>
            <w:r w:rsidRPr="00B45E7F">
              <w:rPr>
                <w:rFonts w:ascii="Arial Narrow" w:hAnsi="Arial Narrow"/>
                <w:color w:val="000000"/>
                <w:sz w:val="20"/>
                <w:szCs w:val="18"/>
              </w:rPr>
              <w:t>37.5</w:t>
            </w:r>
          </w:p>
        </w:tc>
        <w:tc>
          <w:tcPr>
            <w:tcW w:w="679" w:type="pct"/>
            <w:tcBorders>
              <w:top w:val="single" w:sz="4" w:space="0" w:color="auto"/>
              <w:left w:val="single" w:sz="4" w:space="0" w:color="auto"/>
              <w:bottom w:val="single" w:sz="4" w:space="0" w:color="auto"/>
              <w:right w:val="single" w:sz="4" w:space="0" w:color="auto"/>
            </w:tcBorders>
            <w:vAlign w:val="center"/>
          </w:tcPr>
          <w:p w:rsidR="004B7D90" w:rsidRPr="00B45E7F" w:rsidRDefault="00EC3177" w:rsidP="004B7D90">
            <w:pPr>
              <w:jc w:val="center"/>
              <w:rPr>
                <w:rFonts w:ascii="Arial Narrow" w:hAnsi="Arial Narrow"/>
                <w:color w:val="000000"/>
                <w:sz w:val="20"/>
                <w:szCs w:val="18"/>
              </w:rPr>
            </w:pPr>
            <w:r w:rsidRPr="00B45E7F">
              <w:rPr>
                <w:rFonts w:ascii="Arial Narrow" w:hAnsi="Arial Narrow"/>
                <w:color w:val="000000"/>
                <w:sz w:val="20"/>
                <w:szCs w:val="18"/>
              </w:rPr>
              <w:t>60.6</w:t>
            </w:r>
          </w:p>
        </w:tc>
      </w:tr>
    </w:tbl>
    <w:p w:rsidR="00B62715" w:rsidRPr="00B45E7F" w:rsidRDefault="00B62715" w:rsidP="007F4A61">
      <w:pPr>
        <w:pStyle w:val="TableFooter"/>
      </w:pPr>
      <w:r w:rsidRPr="00B45E7F">
        <w:t xml:space="preserve">* </w:t>
      </w:r>
      <w:r w:rsidR="00C84571" w:rsidRPr="00B45E7F">
        <w:t>D</w:t>
      </w:r>
      <w:r w:rsidRPr="00B45E7F">
        <w:t xml:space="preserve">uration of follow-up: Trial </w:t>
      </w:r>
      <w:r w:rsidR="00C84571" w:rsidRPr="00B45E7F">
        <w:t>P100=</w:t>
      </w:r>
      <w:r w:rsidR="000A6C65" w:rsidRPr="00B45E7F">
        <w:t>24</w:t>
      </w:r>
      <w:r w:rsidR="00C84571" w:rsidRPr="00B45E7F">
        <w:t xml:space="preserve"> weeks</w:t>
      </w:r>
      <w:r w:rsidR="000A6C65" w:rsidRPr="00B45E7F">
        <w:t xml:space="preserve"> for assessment of primary outcome.</w:t>
      </w:r>
    </w:p>
    <w:p w:rsidR="00B62715" w:rsidRPr="00B45E7F" w:rsidRDefault="00C84571" w:rsidP="007F4A61">
      <w:pPr>
        <w:pStyle w:val="TableFooter"/>
      </w:pPr>
      <w:r w:rsidRPr="00B45E7F">
        <w:t>CI=confidence interval</w:t>
      </w:r>
    </w:p>
    <w:p w:rsidR="007F4A61" w:rsidRPr="00B45E7F" w:rsidRDefault="007F4A61" w:rsidP="007F4A61">
      <w:pPr>
        <w:pStyle w:val="TableFooter"/>
        <w:rPr>
          <w:sz w:val="20"/>
        </w:rPr>
      </w:pPr>
      <w:r w:rsidRPr="00B45E7F">
        <w:t xml:space="preserve">Source: </w:t>
      </w:r>
      <w:r w:rsidR="00C84571" w:rsidRPr="00B45E7F">
        <w:t>Table 2-9, p49 of the submission</w:t>
      </w:r>
      <w:r w:rsidRPr="00B45E7F">
        <w:t>.</w:t>
      </w:r>
    </w:p>
    <w:p w:rsidR="003D4A30" w:rsidRPr="00B45E7F" w:rsidRDefault="003D4A30" w:rsidP="000A6C65"/>
    <w:p w:rsidR="00FC1884" w:rsidRPr="00B45E7F" w:rsidRDefault="000A6C65" w:rsidP="007A12C6">
      <w:pPr>
        <w:pStyle w:val="ListParagraph"/>
        <w:numPr>
          <w:ilvl w:val="1"/>
          <w:numId w:val="2"/>
        </w:numPr>
        <w:spacing w:after="0"/>
      </w:pPr>
      <w:r w:rsidRPr="00B45E7F">
        <w:t xml:space="preserve">On the basis of </w:t>
      </w:r>
      <w:r w:rsidR="00EC00C9" w:rsidRPr="00B45E7F">
        <w:t>direct</w:t>
      </w:r>
      <w:r w:rsidRPr="00B45E7F">
        <w:t xml:space="preserve"> </w:t>
      </w:r>
      <w:r w:rsidR="00EC00C9" w:rsidRPr="00B45E7F">
        <w:t>evidence presented by the submission</w:t>
      </w:r>
      <w:r w:rsidR="007576DA" w:rsidRPr="00B45E7F">
        <w:t xml:space="preserve"> and related publications</w:t>
      </w:r>
      <w:r w:rsidR="00EC00C9" w:rsidRPr="00B45E7F">
        <w:t xml:space="preserve">, for every 100 patients treated with </w:t>
      </w:r>
      <w:r w:rsidRPr="00B45E7F">
        <w:t>letermovir</w:t>
      </w:r>
      <w:r w:rsidR="00EC00C9" w:rsidRPr="00B45E7F">
        <w:t xml:space="preserve"> in comparison to </w:t>
      </w:r>
      <w:r w:rsidRPr="00B45E7F">
        <w:t>placebo</w:t>
      </w:r>
      <w:r w:rsidR="00422260" w:rsidRPr="00B45E7F">
        <w:t xml:space="preserve"> and over a duration of </w:t>
      </w:r>
      <w:r w:rsidR="001C2A9B" w:rsidRPr="00B45E7F">
        <w:t xml:space="preserve">follow-up of </w:t>
      </w:r>
      <w:r w:rsidRPr="00B45E7F">
        <w:t>24 weeks</w:t>
      </w:r>
      <w:r w:rsidR="001C2A9B" w:rsidRPr="00B45E7F">
        <w:t>:</w:t>
      </w:r>
    </w:p>
    <w:p w:rsidR="003A2905" w:rsidRDefault="00FC1884" w:rsidP="00374D70">
      <w:pPr>
        <w:pStyle w:val="ListParagraph"/>
        <w:numPr>
          <w:ilvl w:val="0"/>
          <w:numId w:val="1"/>
        </w:numPr>
        <w:spacing w:after="0"/>
        <w:ind w:left="1077" w:hanging="357"/>
      </w:pPr>
      <w:r w:rsidRPr="00B45E7F">
        <w:t xml:space="preserve">Approximately </w:t>
      </w:r>
      <w:r w:rsidR="00385619" w:rsidRPr="00B45E7F">
        <w:t>23</w:t>
      </w:r>
      <w:r w:rsidR="00407AB5" w:rsidRPr="00B45E7F">
        <w:t xml:space="preserve"> </w:t>
      </w:r>
      <w:r w:rsidRPr="00B45E7F">
        <w:t>fewer patients woul</w:t>
      </w:r>
      <w:r w:rsidR="001C2A9B" w:rsidRPr="00B45E7F">
        <w:t xml:space="preserve">d have </w:t>
      </w:r>
      <w:r w:rsidR="00407AB5" w:rsidRPr="00B45E7F">
        <w:t>clinically significant CMV infection</w:t>
      </w:r>
      <w:r w:rsidR="002879A0">
        <w:t xml:space="preserve"> (a composite outcome including (</w:t>
      </w:r>
      <w:proofErr w:type="spellStart"/>
      <w:r w:rsidR="002879A0">
        <w:t>i</w:t>
      </w:r>
      <w:proofErr w:type="spellEnd"/>
      <w:r w:rsidR="002879A0">
        <w:t xml:space="preserve">) </w:t>
      </w:r>
      <w:r w:rsidR="002879A0" w:rsidRPr="00B45E7F">
        <w:t xml:space="preserve">onset of CMV end-organ disease </w:t>
      </w:r>
      <w:r w:rsidR="002879A0">
        <w:t>and</w:t>
      </w:r>
      <w:r w:rsidR="002879A0" w:rsidRPr="00B45E7F">
        <w:t xml:space="preserve"> </w:t>
      </w:r>
      <w:r w:rsidR="002879A0">
        <w:t xml:space="preserve">(ii) </w:t>
      </w:r>
      <w:r w:rsidR="002879A0" w:rsidRPr="00B45E7F">
        <w:t>initiat</w:t>
      </w:r>
      <w:r w:rsidR="002879A0">
        <w:t>ion of pre-emptive therapy)</w:t>
      </w:r>
      <w:r w:rsidR="001C2A9B" w:rsidRPr="00B45E7F">
        <w:t>.</w:t>
      </w:r>
    </w:p>
    <w:p w:rsidR="003A2905" w:rsidRDefault="003A2905" w:rsidP="003A2905">
      <w:pPr>
        <w:pStyle w:val="ListParagraph"/>
        <w:spacing w:after="0"/>
        <w:ind w:left="993"/>
      </w:pPr>
    </w:p>
    <w:p w:rsidR="002059A5" w:rsidRPr="00B45E7F" w:rsidRDefault="002879A0" w:rsidP="00407AB5">
      <w:pPr>
        <w:pStyle w:val="ListParagraph"/>
        <w:numPr>
          <w:ilvl w:val="1"/>
          <w:numId w:val="2"/>
        </w:numPr>
        <w:spacing w:after="0"/>
      </w:pPr>
      <w:r>
        <w:t xml:space="preserve">As the comparison for safety outcomes did not indicate any statistically significant differences between letermovir and placebo, comparative harms are not presented. </w:t>
      </w:r>
      <w:r w:rsidR="001D5699" w:rsidRPr="00B45E7F">
        <w:t>T</w:t>
      </w:r>
      <w:r w:rsidR="00201E1C" w:rsidRPr="00B45E7F">
        <w:t xml:space="preserve">he ESC considered in the context of the timing post </w:t>
      </w:r>
      <w:r w:rsidR="00374D70" w:rsidRPr="00B45E7F">
        <w:t>transplantation,</w:t>
      </w:r>
      <w:r w:rsidR="00201E1C" w:rsidRPr="00B45E7F">
        <w:t xml:space="preserve"> the adverse events are </w:t>
      </w:r>
      <w:r w:rsidR="001D5699" w:rsidRPr="00B45E7F">
        <w:t xml:space="preserve">relatively minor </w:t>
      </w:r>
      <w:r w:rsidR="00201E1C" w:rsidRPr="00B45E7F">
        <w:t xml:space="preserve">except for </w:t>
      </w:r>
      <w:r w:rsidR="001D3431" w:rsidRPr="00B45E7F">
        <w:t xml:space="preserve">the </w:t>
      </w:r>
      <w:r w:rsidR="00201E1C" w:rsidRPr="00B45E7F">
        <w:t>potentially serious cardiac effects</w:t>
      </w:r>
      <w:r w:rsidR="003A2905">
        <w:t xml:space="preserve"> </w:t>
      </w:r>
      <w:r w:rsidR="00A026FC">
        <w:t>(discussed above).</w:t>
      </w:r>
    </w:p>
    <w:p w:rsidR="00B60939" w:rsidRPr="00CA3B62" w:rsidRDefault="00B60939" w:rsidP="001F0352">
      <w:pPr>
        <w:widowControl w:val="0"/>
        <w:spacing w:before="240" w:after="120" w:line="276" w:lineRule="auto"/>
        <w:outlineLvl w:val="1"/>
        <w:rPr>
          <w:rFonts w:asciiTheme="minorHAnsi" w:hAnsiTheme="minorHAnsi" w:cs="Arial"/>
          <w:b/>
          <w:bCs/>
          <w:i/>
          <w:snapToGrid w:val="0"/>
          <w:sz w:val="28"/>
          <w:szCs w:val="28"/>
        </w:rPr>
      </w:pPr>
      <w:bookmarkStart w:id="11" w:name="_Toc514242729"/>
      <w:r w:rsidRPr="00CA3B62">
        <w:rPr>
          <w:rFonts w:asciiTheme="minorHAnsi" w:hAnsiTheme="minorHAnsi" w:cs="Arial"/>
          <w:b/>
          <w:bCs/>
          <w:i/>
          <w:snapToGrid w:val="0"/>
          <w:sz w:val="28"/>
          <w:szCs w:val="28"/>
        </w:rPr>
        <w:t>Clinical claim</w:t>
      </w:r>
      <w:bookmarkEnd w:id="11"/>
    </w:p>
    <w:p w:rsidR="00B60939" w:rsidRPr="00B45E7F" w:rsidRDefault="00375DFB" w:rsidP="007A12C6">
      <w:pPr>
        <w:pStyle w:val="ListParagraph"/>
        <w:numPr>
          <w:ilvl w:val="1"/>
          <w:numId w:val="2"/>
        </w:numPr>
      </w:pPr>
      <w:r w:rsidRPr="00B45E7F">
        <w:t>The submission described letermovir as superior in terms of effectiveness and non-inferior in terms of safety compared to placebo.  While the therapeutic conclusion presented in the submission was supported by the statistically significant advantage of letermovir in prevention of CMV infection in CMV sero-positive patients who were recipients of an HSCT, there are a number of concerns with the evidence presented by the submission.</w:t>
      </w:r>
      <w:r w:rsidR="00D8552C" w:rsidRPr="00B45E7F">
        <w:t xml:space="preserve">  </w:t>
      </w:r>
      <w:r w:rsidR="00A046E6" w:rsidRPr="00B45E7F">
        <w:t>T</w:t>
      </w:r>
      <w:r w:rsidR="00D8552C" w:rsidRPr="00B45E7F">
        <w:t xml:space="preserve">he submission presented a list of what was demonstrated by </w:t>
      </w:r>
      <w:r w:rsidR="00D8552C" w:rsidRPr="00B45E7F">
        <w:lastRenderedPageBreak/>
        <w:t>Trial P001</w:t>
      </w:r>
      <w:r w:rsidR="00A046E6" w:rsidRPr="00B45E7F">
        <w:t xml:space="preserve">; </w:t>
      </w:r>
      <w:r w:rsidR="00D8552C" w:rsidRPr="00B45E7F">
        <w:t xml:space="preserve">the concerns </w:t>
      </w:r>
      <w:r w:rsidR="00A046E6" w:rsidRPr="00B45E7F">
        <w:t xml:space="preserve">noted </w:t>
      </w:r>
      <w:r w:rsidR="00503735" w:rsidRPr="00B45E7F">
        <w:t xml:space="preserve">during the evaluation </w:t>
      </w:r>
      <w:r w:rsidR="00D8552C" w:rsidRPr="00B45E7F">
        <w:t xml:space="preserve">with the evidence </w:t>
      </w:r>
      <w:r w:rsidR="001D5699" w:rsidRPr="00B45E7F">
        <w:t xml:space="preserve">are </w:t>
      </w:r>
      <w:r w:rsidR="00D8552C" w:rsidRPr="00B45E7F">
        <w:t>described</w:t>
      </w:r>
      <w:r w:rsidR="00A046E6" w:rsidRPr="00B45E7F">
        <w:t xml:space="preserve"> below</w:t>
      </w:r>
      <w:r w:rsidR="00D8552C" w:rsidRPr="00B45E7F">
        <w:t>.</w:t>
      </w:r>
    </w:p>
    <w:p w:rsidR="00D8552C" w:rsidRPr="00B45E7F" w:rsidRDefault="00D8552C" w:rsidP="007A12C6">
      <w:pPr>
        <w:pStyle w:val="ListParagraph"/>
        <w:numPr>
          <w:ilvl w:val="1"/>
          <w:numId w:val="2"/>
        </w:numPr>
        <w:spacing w:after="0"/>
      </w:pPr>
      <w:r w:rsidRPr="00B45E7F">
        <w:t>The submission stated that prophylaxis with letermovir has demonstrated:</w:t>
      </w:r>
    </w:p>
    <w:p w:rsidR="00D8552C" w:rsidRPr="00B45E7F" w:rsidRDefault="00D8552C" w:rsidP="00374D70">
      <w:pPr>
        <w:pStyle w:val="Bulletpoints"/>
        <w:ind w:left="1077" w:hanging="357"/>
      </w:pPr>
      <w:r w:rsidRPr="00B45E7F">
        <w:t>Significantly reduced incidence of CMV infection and as such, significantly reduced utilisation of other antivirals for PET.  While the results of Trial P001 showed a statistically significant advantage for letermovir compared to placebo for incidence of CMV infection, there was no direct evidence of a decrease in use of other antivirals for PET.  Instead, this was an assumption on the part of the submission.</w:t>
      </w:r>
      <w:r w:rsidR="00DC5B2C" w:rsidRPr="00B45E7F">
        <w:t xml:space="preserve"> PET is used when an increase in viral load is detected </w:t>
      </w:r>
      <w:r w:rsidR="001D3431" w:rsidRPr="00B45E7F">
        <w:t>in the absence of</w:t>
      </w:r>
      <w:r w:rsidR="00DC5B2C" w:rsidRPr="00B45E7F">
        <w:t xml:space="preserve"> evidence of clinical disease.</w:t>
      </w:r>
      <w:r w:rsidR="005C3F43" w:rsidRPr="00B45E7F">
        <w:t xml:space="preserve"> The ESC noted a reduction in CMV infection would be expected to result in a reduction in the use of PET.</w:t>
      </w:r>
      <w:r w:rsidR="00DC5B2C" w:rsidRPr="00B45E7F">
        <w:t xml:space="preserve"> </w:t>
      </w:r>
    </w:p>
    <w:p w:rsidR="00D8552C" w:rsidRPr="00B45E7F" w:rsidRDefault="00D8552C" w:rsidP="00374D70">
      <w:pPr>
        <w:pStyle w:val="Bulletpoints"/>
        <w:ind w:left="1077" w:hanging="357"/>
      </w:pPr>
      <w:r w:rsidRPr="00B45E7F">
        <w:t xml:space="preserve">Improved overall survival, with lower all-cause mortality in the letermovir group compared to the placebo group through weeks 24 and 48 post-transplant.  The </w:t>
      </w:r>
      <w:r w:rsidR="005C3F43" w:rsidRPr="00B45E7F">
        <w:t xml:space="preserve">main body of the </w:t>
      </w:r>
      <w:r w:rsidRPr="00B45E7F">
        <w:t xml:space="preserve">submission only reported all-cause mortality and while the analyses showed a significant advantage for letermovir at Week 24, the advantage at Week 48 was not statistically significant.  CMV-related mortality, was statistically significant </w:t>
      </w:r>
      <w:r w:rsidR="008041F2" w:rsidRPr="00B45E7F">
        <w:t xml:space="preserve">different </w:t>
      </w:r>
      <w:r w:rsidRPr="00B45E7F">
        <w:t xml:space="preserve">between letermovir and placebo-treated patients at Week 24 </w:t>
      </w:r>
      <w:r w:rsidR="000A63CB" w:rsidRPr="00B45E7F">
        <w:t xml:space="preserve">and </w:t>
      </w:r>
      <w:r w:rsidRPr="00B45E7F">
        <w:t>at Week 48 (P&lt;0.0001)</w:t>
      </w:r>
      <w:r w:rsidR="005C3F43" w:rsidRPr="00B45E7F">
        <w:t xml:space="preserve"> (corrected week 24 results provided in PSCR)</w:t>
      </w:r>
      <w:r w:rsidRPr="00B45E7F">
        <w:t xml:space="preserve">.  In regard </w:t>
      </w:r>
      <w:r w:rsidR="0043589C" w:rsidRPr="00B45E7F">
        <w:t>to all</w:t>
      </w:r>
      <w:r w:rsidRPr="00B45E7F">
        <w:t xml:space="preserve">-cause mortality at Week 48, the </w:t>
      </w:r>
      <w:proofErr w:type="gramStart"/>
      <w:r w:rsidRPr="00B45E7F">
        <w:t xml:space="preserve">submission </w:t>
      </w:r>
      <w:r w:rsidR="005C3F43" w:rsidRPr="00B45E7F">
        <w:t xml:space="preserve"> and</w:t>
      </w:r>
      <w:proofErr w:type="gramEnd"/>
      <w:r w:rsidR="005C3F43" w:rsidRPr="00B45E7F">
        <w:t xml:space="preserve"> PSCR  argued</w:t>
      </w:r>
      <w:r w:rsidRPr="00B45E7F">
        <w:t xml:space="preserve"> that the lack of a statistically significant difference in all-cause mortality at Week 48 was likely due to the trial not being powered to detect a difference at 48 weeks.  </w:t>
      </w:r>
      <w:r w:rsidR="001D3431" w:rsidRPr="00B45E7F">
        <w:t>The ESC noted that the claim of super</w:t>
      </w:r>
      <w:r w:rsidR="00755CAC" w:rsidRPr="00B45E7F">
        <w:t>i</w:t>
      </w:r>
      <w:r w:rsidR="001D3431" w:rsidRPr="00B45E7F">
        <w:t xml:space="preserve">or </w:t>
      </w:r>
      <w:r w:rsidR="0043589C" w:rsidRPr="00B45E7F">
        <w:t>all-cause</w:t>
      </w:r>
      <w:r w:rsidR="001D3431" w:rsidRPr="00B45E7F">
        <w:t xml:space="preserve"> mortality at 48 weeks was not supported</w:t>
      </w:r>
      <w:r w:rsidR="00755CAC" w:rsidRPr="00B45E7F">
        <w:t xml:space="preserve"> by the data</w:t>
      </w:r>
      <w:r w:rsidR="007B3A86">
        <w:t>.</w:t>
      </w:r>
    </w:p>
    <w:p w:rsidR="00D8552C" w:rsidRPr="00B45E7F" w:rsidRDefault="00D8552C" w:rsidP="00374D70">
      <w:pPr>
        <w:pStyle w:val="Bulletpoints"/>
        <w:ind w:left="1077" w:hanging="357"/>
      </w:pPr>
      <w:r w:rsidRPr="00B45E7F">
        <w:t xml:space="preserve">Improved quality of life for patients treated with letermovir compared to placebo.  There were no statistical analyses provided which compared QoL results and the Trial P001 CER stated that the trial was not powered to detect differences in QoL outcomes.  </w:t>
      </w:r>
      <w:r w:rsidR="00C578EA" w:rsidRPr="00B45E7F">
        <w:t xml:space="preserve">The PSCR provided post-hoc statistical analyses of the QoL scores, discussed above in Clinical </w:t>
      </w:r>
      <w:r w:rsidR="001D3431" w:rsidRPr="00B45E7F">
        <w:t>effectiveness</w:t>
      </w:r>
      <w:r w:rsidR="00C578EA" w:rsidRPr="00B45E7F">
        <w:t xml:space="preserve">. </w:t>
      </w:r>
      <w:r w:rsidR="007B3A86">
        <w:t>T</w:t>
      </w:r>
      <w:r w:rsidRPr="00B45E7F">
        <w:t>he changes from baseline in QoL scores were similar across groups, and in at least one instance were greater for placebo-treated patients.  As such, the magnitude of change in quality of life outcomes for letermovir-treated patients could not be quantified.</w:t>
      </w:r>
      <w:r w:rsidR="008433FD" w:rsidRPr="00B45E7F">
        <w:t xml:space="preserve"> The ESC </w:t>
      </w:r>
      <w:r w:rsidR="001D3431" w:rsidRPr="00B45E7F">
        <w:t xml:space="preserve">noted that there was no difference in quality of life in the trial, although it </w:t>
      </w:r>
      <w:r w:rsidR="008433FD" w:rsidRPr="00B45E7F">
        <w:t xml:space="preserve">considered that it </w:t>
      </w:r>
      <w:r w:rsidR="001D3431" w:rsidRPr="00B45E7F">
        <w:t xml:space="preserve">may </w:t>
      </w:r>
      <w:r w:rsidR="00755CAC" w:rsidRPr="00B45E7F">
        <w:t xml:space="preserve">have been </w:t>
      </w:r>
      <w:r w:rsidR="008433FD" w:rsidRPr="00B45E7F">
        <w:t xml:space="preserve">difficult to </w:t>
      </w:r>
      <w:r w:rsidR="005C3F43" w:rsidRPr="00B45E7F">
        <w:t>detect</w:t>
      </w:r>
      <w:r w:rsidR="008433FD" w:rsidRPr="00B45E7F">
        <w:t xml:space="preserve"> a difference, as the trial covered the period of time when patients are in poor health recovering from the transplant. </w:t>
      </w:r>
      <w:r w:rsidR="00755CAC" w:rsidRPr="00B45E7F">
        <w:t xml:space="preserve">The ESC </w:t>
      </w:r>
      <w:r w:rsidR="007E2E7D" w:rsidRPr="00B45E7F">
        <w:t xml:space="preserve">noted this was somewhat at odds with </w:t>
      </w:r>
      <w:r w:rsidR="00755CAC" w:rsidRPr="00B45E7F">
        <w:t xml:space="preserve">the trial-based utility values </w:t>
      </w:r>
      <w:r w:rsidR="007E2E7D" w:rsidRPr="00B45E7F">
        <w:t xml:space="preserve">which </w:t>
      </w:r>
      <w:r w:rsidR="00755CAC" w:rsidRPr="00B45E7F">
        <w:t xml:space="preserve">appear to be implausibly high, given how </w:t>
      </w:r>
      <w:proofErr w:type="gramStart"/>
      <w:r w:rsidR="00755CAC" w:rsidRPr="00B45E7F">
        <w:t>unwell</w:t>
      </w:r>
      <w:proofErr w:type="gramEnd"/>
      <w:r w:rsidR="00755CAC" w:rsidRPr="00B45E7F">
        <w:t xml:space="preserve"> </w:t>
      </w:r>
      <w:r w:rsidR="00374D70">
        <w:t>post-transplant</w:t>
      </w:r>
      <w:r w:rsidR="007B3A86">
        <w:t xml:space="preserve"> patients are likely to</w:t>
      </w:r>
      <w:r w:rsidR="00755CAC" w:rsidRPr="00B45E7F">
        <w:t xml:space="preserve"> be.</w:t>
      </w:r>
    </w:p>
    <w:p w:rsidR="00D8552C" w:rsidRPr="00B45E7F" w:rsidRDefault="00D8552C" w:rsidP="00374D70">
      <w:pPr>
        <w:pStyle w:val="Bulletpoints"/>
        <w:ind w:left="1077" w:hanging="357"/>
      </w:pPr>
      <w:r w:rsidRPr="00B45E7F">
        <w:t xml:space="preserve">Fewer hospitalisations related to CMV infection and/or disease compared to the placebo group through Week 48 post-transplant.  In the economic model (see ‘Economic </w:t>
      </w:r>
      <w:proofErr w:type="gramStart"/>
      <w:r w:rsidRPr="00B45E7F">
        <w:t>analysis’</w:t>
      </w:r>
      <w:proofErr w:type="gramEnd"/>
      <w:r w:rsidRPr="00B45E7F">
        <w:t xml:space="preserve"> below for further discussion) the submission assumed that patients with CMV disease and acute and chronic </w:t>
      </w:r>
      <w:r w:rsidR="004061D4" w:rsidRPr="00B45E7F">
        <w:t>GVHD</w:t>
      </w:r>
      <w:r w:rsidRPr="00B45E7F">
        <w:t xml:space="preserve"> would be hospitalised.  Patients were not hospitalised for CMV infection in the model and there was only a small proportion of patients experiencing CMV disease.  Most hospitalisation</w:t>
      </w:r>
      <w:r w:rsidR="00934BAB" w:rsidRPr="00B45E7F">
        <w:t xml:space="preserve"> in </w:t>
      </w:r>
      <w:r w:rsidR="00934BAB" w:rsidRPr="00B45E7F">
        <w:lastRenderedPageBreak/>
        <w:t>the economic model</w:t>
      </w:r>
      <w:r w:rsidRPr="00B45E7F">
        <w:t xml:space="preserve"> was based on the occurrence of </w:t>
      </w:r>
      <w:r w:rsidR="004061D4" w:rsidRPr="00B45E7F">
        <w:t>GVHD</w:t>
      </w:r>
      <w:r w:rsidRPr="00B45E7F">
        <w:t>.</w:t>
      </w:r>
      <w:r w:rsidR="008433FD" w:rsidRPr="00B45E7F">
        <w:t xml:space="preserve"> As discussed above, the ESC </w:t>
      </w:r>
      <w:r w:rsidR="00687F0B" w:rsidRPr="00B45E7F">
        <w:t xml:space="preserve">noted the extent of reduction in hospitalisations </w:t>
      </w:r>
      <w:r w:rsidR="001D3431" w:rsidRPr="00B45E7F">
        <w:t>was</w:t>
      </w:r>
      <w:r w:rsidR="00687F0B" w:rsidRPr="00B45E7F">
        <w:t xml:space="preserve"> uncertain</w:t>
      </w:r>
      <w:r w:rsidR="008433FD" w:rsidRPr="00B45E7F">
        <w:t xml:space="preserve">. </w:t>
      </w:r>
    </w:p>
    <w:p w:rsidR="00D8552C" w:rsidRPr="00B45E7F" w:rsidRDefault="00D8552C" w:rsidP="00374D70">
      <w:pPr>
        <w:pStyle w:val="Bulletpoints"/>
        <w:spacing w:after="160"/>
        <w:ind w:left="1077" w:hanging="357"/>
      </w:pPr>
      <w:r w:rsidRPr="00B45E7F">
        <w:t>Favourable safety profile, with letermovir demonstrating a safety profile which was similar to and arguably more favourable than placebo, due to reduced utilisation of antivirals for PET in the letermovir group.  While the occurrence of AEs was comparable across the letermovir and placebo groups, the submission did not link the occurrence of AEs, or lack thereof, with antiviral use.  As such, the claim made by the submission that the favourable safety profile of letermovir is due to reduced use of antivirals cannot be supported.</w:t>
      </w:r>
      <w:r w:rsidR="008433FD" w:rsidRPr="00B45E7F">
        <w:t xml:space="preserve"> The ESC </w:t>
      </w:r>
      <w:r w:rsidR="00687F0B" w:rsidRPr="00B45E7F">
        <w:t>noted the impact of reduced antiviral use on safety outcomes was not clear</w:t>
      </w:r>
      <w:r w:rsidR="008433FD" w:rsidRPr="00B45E7F">
        <w:t xml:space="preserve">. </w:t>
      </w:r>
    </w:p>
    <w:p w:rsidR="00BF3CD2" w:rsidRPr="00B45E7F" w:rsidRDefault="00687F0B" w:rsidP="007A12C6">
      <w:pPr>
        <w:pStyle w:val="ListParagraph"/>
        <w:numPr>
          <w:ilvl w:val="1"/>
          <w:numId w:val="2"/>
        </w:numPr>
      </w:pPr>
      <w:r w:rsidRPr="00B45E7F">
        <w:t>T</w:t>
      </w:r>
      <w:r w:rsidR="00BF3CD2" w:rsidRPr="00B45E7F">
        <w:t xml:space="preserve">he outcomes from Trial P001 that were used in the economic model were: CMV infection, CMV disease, occurrence of </w:t>
      </w:r>
      <w:r w:rsidR="004061D4" w:rsidRPr="00B45E7F">
        <w:t>GVHD</w:t>
      </w:r>
      <w:r w:rsidR="00BF3CD2" w:rsidRPr="00B45E7F">
        <w:t xml:space="preserve"> (Grade II and Grade III-IV) and all-cause mortality</w:t>
      </w:r>
      <w:r w:rsidR="000D6A46" w:rsidRPr="00B45E7F">
        <w:t xml:space="preserve">. </w:t>
      </w:r>
      <w:r w:rsidR="00BF3CD2" w:rsidRPr="00B45E7F">
        <w:t xml:space="preserve"> </w:t>
      </w:r>
      <w:r w:rsidR="000D6A46" w:rsidRPr="00B45E7F">
        <w:t>Quality of life</w:t>
      </w:r>
      <w:r w:rsidR="00BF3CD2" w:rsidRPr="00B45E7F">
        <w:t xml:space="preserve"> outcomes</w:t>
      </w:r>
      <w:r w:rsidR="00A56BF2" w:rsidRPr="00B45E7F">
        <w:t xml:space="preserve"> (EQ-5D)</w:t>
      </w:r>
      <w:r w:rsidR="00BF3CD2" w:rsidRPr="00B45E7F">
        <w:t xml:space="preserve"> were not applied as literature-based utility values were used</w:t>
      </w:r>
      <w:r w:rsidR="00A56BF2" w:rsidRPr="00B45E7F">
        <w:t>.</w:t>
      </w:r>
      <w:r w:rsidR="00755CAC" w:rsidRPr="00B45E7F">
        <w:t xml:space="preserve"> The ESC noted that the submission and the PSCR did not pr</w:t>
      </w:r>
      <w:r w:rsidR="00172EAC" w:rsidRPr="00B45E7F">
        <w:t>o</w:t>
      </w:r>
      <w:r w:rsidR="00755CAC" w:rsidRPr="00B45E7F">
        <w:t xml:space="preserve">vide an explanation for why trial-based utilities were not </w:t>
      </w:r>
      <w:r w:rsidR="00172EAC" w:rsidRPr="00B45E7F">
        <w:t>used.</w:t>
      </w:r>
    </w:p>
    <w:p w:rsidR="00764890" w:rsidRPr="00764890" w:rsidRDefault="00764890" w:rsidP="00967337">
      <w:pPr>
        <w:ind w:firstLine="720"/>
        <w:rPr>
          <w:i/>
        </w:rPr>
      </w:pPr>
      <w:r w:rsidRPr="00764890">
        <w:rPr>
          <w:i/>
        </w:rPr>
        <w:t>For more detail on PBAC’s view, see section 7 PBAC outcome.</w:t>
      </w:r>
    </w:p>
    <w:p w:rsidR="00B60939" w:rsidRPr="00CA3B62" w:rsidRDefault="00B60939" w:rsidP="001F0352">
      <w:pPr>
        <w:widowControl w:val="0"/>
        <w:spacing w:before="240" w:after="120" w:line="276" w:lineRule="auto"/>
        <w:outlineLvl w:val="1"/>
        <w:rPr>
          <w:rFonts w:asciiTheme="minorHAnsi" w:hAnsiTheme="minorHAnsi" w:cs="Arial"/>
          <w:b/>
          <w:bCs/>
          <w:i/>
          <w:snapToGrid w:val="0"/>
          <w:sz w:val="28"/>
          <w:szCs w:val="28"/>
        </w:rPr>
      </w:pPr>
      <w:bookmarkStart w:id="12" w:name="_Toc514242730"/>
      <w:r w:rsidRPr="00CA3B62">
        <w:rPr>
          <w:rFonts w:asciiTheme="minorHAnsi" w:hAnsiTheme="minorHAnsi" w:cs="Arial"/>
          <w:b/>
          <w:bCs/>
          <w:i/>
          <w:snapToGrid w:val="0"/>
          <w:sz w:val="28"/>
          <w:szCs w:val="28"/>
        </w:rPr>
        <w:t>Economic analysis</w:t>
      </w:r>
      <w:bookmarkEnd w:id="12"/>
      <w:r w:rsidR="00491B3A" w:rsidRPr="00CA3B62">
        <w:rPr>
          <w:rFonts w:asciiTheme="minorHAnsi" w:hAnsiTheme="minorHAnsi" w:cs="Arial"/>
          <w:b/>
          <w:bCs/>
          <w:i/>
          <w:snapToGrid w:val="0"/>
          <w:sz w:val="28"/>
          <w:szCs w:val="28"/>
        </w:rPr>
        <w:t xml:space="preserve"> </w:t>
      </w:r>
    </w:p>
    <w:p w:rsidR="00275C5A" w:rsidRPr="00B45E7F" w:rsidRDefault="003A63CD" w:rsidP="007A12C6">
      <w:pPr>
        <w:pStyle w:val="ListParagraph"/>
        <w:numPr>
          <w:ilvl w:val="1"/>
          <w:numId w:val="2"/>
        </w:numPr>
      </w:pPr>
      <w:r w:rsidRPr="00B45E7F">
        <w:t>The submission presented a stepped economic evaluation, based on Trial P001 with extrapolation of mortality data.  A seven health state Markov model was used, and the type of economic evaluation presented was a cost-utility analysis.  The key components of the economic evaluation are summarised in the table below</w:t>
      </w:r>
      <w:r w:rsidRPr="00B45E7F">
        <w:rPr>
          <w:rFonts w:cs="Calibri"/>
          <w:lang w:val="en-US" w:eastAsia="en-AU"/>
        </w:rPr>
        <w:t>.</w:t>
      </w:r>
    </w:p>
    <w:p w:rsidR="00275C5A" w:rsidRPr="00B45E7F" w:rsidRDefault="00275C5A" w:rsidP="003270E4">
      <w:pPr>
        <w:rPr>
          <w:rStyle w:val="CommentReference"/>
        </w:rPr>
      </w:pPr>
      <w:r w:rsidRPr="00B45E7F">
        <w:rPr>
          <w:rStyle w:val="CommentReference"/>
        </w:rPr>
        <w:t xml:space="preserve">Table </w:t>
      </w:r>
      <w:r w:rsidR="009D766D" w:rsidRPr="00B45E7F">
        <w:rPr>
          <w:rStyle w:val="CommentReference"/>
        </w:rPr>
        <w:t>9</w:t>
      </w:r>
      <w:r w:rsidRPr="00B45E7F">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275C5A" w:rsidRPr="00B45E7F" w:rsidTr="00B97F9F">
        <w:trPr>
          <w:tblHeader/>
        </w:trPr>
        <w:tc>
          <w:tcPr>
            <w:tcW w:w="1396" w:type="pct"/>
            <w:shd w:val="clear" w:color="auto" w:fill="auto"/>
            <w:vAlign w:val="center"/>
          </w:tcPr>
          <w:p w:rsidR="00275C5A" w:rsidRPr="00B45E7F" w:rsidRDefault="00275C5A" w:rsidP="003D1DE4">
            <w:pPr>
              <w:pStyle w:val="Tabletext"/>
              <w:rPr>
                <w:b/>
              </w:rPr>
            </w:pPr>
            <w:r w:rsidRPr="00B45E7F">
              <w:rPr>
                <w:b/>
              </w:rPr>
              <w:t>Component</w:t>
            </w:r>
          </w:p>
        </w:tc>
        <w:tc>
          <w:tcPr>
            <w:tcW w:w="3604" w:type="pct"/>
            <w:shd w:val="clear" w:color="auto" w:fill="auto"/>
            <w:vAlign w:val="center"/>
          </w:tcPr>
          <w:p w:rsidR="00275C5A" w:rsidRPr="00B45E7F" w:rsidRDefault="00275C5A" w:rsidP="003D1DE4">
            <w:pPr>
              <w:pStyle w:val="Tabletext"/>
              <w:jc w:val="center"/>
              <w:rPr>
                <w:b/>
              </w:rPr>
            </w:pPr>
            <w:r w:rsidRPr="00B45E7F">
              <w:rPr>
                <w:b/>
              </w:rPr>
              <w:t>Summary</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Time horizon</w:t>
            </w:r>
          </w:p>
        </w:tc>
        <w:tc>
          <w:tcPr>
            <w:tcW w:w="3604" w:type="pct"/>
            <w:shd w:val="clear" w:color="auto" w:fill="auto"/>
            <w:vAlign w:val="center"/>
          </w:tcPr>
          <w:p w:rsidR="00275C5A" w:rsidRPr="00B45E7F" w:rsidRDefault="002C2209" w:rsidP="003D1DE4">
            <w:pPr>
              <w:pStyle w:val="Tabletext"/>
            </w:pPr>
            <w:r w:rsidRPr="00B45E7F">
              <w:t>10</w:t>
            </w:r>
            <w:r w:rsidR="00275C5A" w:rsidRPr="00B45E7F">
              <w:t xml:space="preserve"> years in the model base case versus </w:t>
            </w:r>
            <w:r w:rsidRPr="00B45E7F">
              <w:t xml:space="preserve">48 </w:t>
            </w:r>
            <w:r w:rsidR="00275C5A" w:rsidRPr="00B45E7F">
              <w:t xml:space="preserve">weeks in </w:t>
            </w:r>
            <w:r w:rsidRPr="00B45E7F">
              <w:t>Trial P001.</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Outcomes</w:t>
            </w:r>
          </w:p>
        </w:tc>
        <w:tc>
          <w:tcPr>
            <w:tcW w:w="3604" w:type="pct"/>
            <w:shd w:val="clear" w:color="auto" w:fill="auto"/>
            <w:vAlign w:val="center"/>
          </w:tcPr>
          <w:p w:rsidR="00275C5A" w:rsidRPr="00B45E7F" w:rsidRDefault="00330563" w:rsidP="003D1DE4">
            <w:pPr>
              <w:pStyle w:val="Tabletext"/>
            </w:pPr>
            <w:r w:rsidRPr="00B45E7F">
              <w:t xml:space="preserve">Life </w:t>
            </w:r>
            <w:r w:rsidR="00B07B33" w:rsidRPr="00B45E7F">
              <w:t>y</w:t>
            </w:r>
            <w:r w:rsidRPr="00B45E7F">
              <w:t xml:space="preserve">ears </w:t>
            </w:r>
            <w:r w:rsidR="00B07B33" w:rsidRPr="00B45E7F">
              <w:t>g</w:t>
            </w:r>
            <w:r w:rsidRPr="00B45E7F">
              <w:t xml:space="preserve">ained (LYG) and </w:t>
            </w:r>
            <w:r w:rsidR="00B07B33" w:rsidRPr="00B45E7F">
              <w:t>quality</w:t>
            </w:r>
            <w:r w:rsidR="002C2209" w:rsidRPr="00B45E7F">
              <w:t>-adjusted life years (QALYs)</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Methods used to generate results</w:t>
            </w:r>
          </w:p>
        </w:tc>
        <w:tc>
          <w:tcPr>
            <w:tcW w:w="3604" w:type="pct"/>
            <w:shd w:val="clear" w:color="auto" w:fill="auto"/>
            <w:vAlign w:val="center"/>
          </w:tcPr>
          <w:p w:rsidR="00275C5A" w:rsidRPr="00B45E7F" w:rsidRDefault="002C2209" w:rsidP="003D1DE4">
            <w:pPr>
              <w:pStyle w:val="Tabletext"/>
            </w:pPr>
            <w:r w:rsidRPr="00B45E7F">
              <w:t>Markov model</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Health states</w:t>
            </w:r>
          </w:p>
        </w:tc>
        <w:tc>
          <w:tcPr>
            <w:tcW w:w="3604" w:type="pct"/>
            <w:shd w:val="clear" w:color="auto" w:fill="auto"/>
            <w:vAlign w:val="center"/>
          </w:tcPr>
          <w:p w:rsidR="00275C5A" w:rsidRPr="00B45E7F" w:rsidRDefault="002C2209" w:rsidP="003D1DE4">
            <w:pPr>
              <w:pStyle w:val="Tabletext"/>
            </w:pPr>
            <w:r w:rsidRPr="00B45E7F">
              <w:t xml:space="preserve">7 health states: post-transplant; CMV infection; CMV disease; acute </w:t>
            </w:r>
            <w:r w:rsidR="004061D4" w:rsidRPr="00B45E7F">
              <w:t>GVHD</w:t>
            </w:r>
            <w:r w:rsidRPr="00B45E7F">
              <w:t xml:space="preserve"> Grade II, acute </w:t>
            </w:r>
            <w:r w:rsidR="004061D4" w:rsidRPr="00B45E7F">
              <w:t>GVHD</w:t>
            </w:r>
            <w:r w:rsidRPr="00B45E7F">
              <w:t xml:space="preserve"> Grade III-IV, chronic </w:t>
            </w:r>
            <w:r w:rsidR="004061D4" w:rsidRPr="00B45E7F">
              <w:t>GVHD</w:t>
            </w:r>
            <w:r w:rsidRPr="00B45E7F">
              <w:t>, death</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Cycle length</w:t>
            </w:r>
          </w:p>
        </w:tc>
        <w:tc>
          <w:tcPr>
            <w:tcW w:w="3604" w:type="pct"/>
            <w:shd w:val="clear" w:color="auto" w:fill="auto"/>
            <w:vAlign w:val="center"/>
          </w:tcPr>
          <w:p w:rsidR="00275C5A" w:rsidRPr="00B45E7F" w:rsidRDefault="002C2209" w:rsidP="003D1DE4">
            <w:pPr>
              <w:pStyle w:val="Tabletext"/>
            </w:pPr>
            <w:r w:rsidRPr="00B45E7F">
              <w:t>1 week</w:t>
            </w:r>
          </w:p>
        </w:tc>
      </w:tr>
      <w:tr w:rsidR="00275C5A" w:rsidRPr="00B45E7F" w:rsidTr="00B97F9F">
        <w:tc>
          <w:tcPr>
            <w:tcW w:w="1396" w:type="pct"/>
            <w:shd w:val="clear" w:color="auto" w:fill="auto"/>
            <w:vAlign w:val="center"/>
          </w:tcPr>
          <w:p w:rsidR="00275C5A" w:rsidRPr="00B45E7F" w:rsidRDefault="00275C5A" w:rsidP="003D1DE4">
            <w:pPr>
              <w:pStyle w:val="Tabletext"/>
            </w:pPr>
            <w:r w:rsidRPr="00B45E7F">
              <w:t>Transition probabilities</w:t>
            </w:r>
          </w:p>
        </w:tc>
        <w:tc>
          <w:tcPr>
            <w:tcW w:w="3604" w:type="pct"/>
            <w:shd w:val="clear" w:color="auto" w:fill="auto"/>
            <w:vAlign w:val="center"/>
          </w:tcPr>
          <w:p w:rsidR="00275C5A" w:rsidRPr="00B45E7F" w:rsidRDefault="002C2209" w:rsidP="003D1DE4">
            <w:pPr>
              <w:pStyle w:val="Tabletext"/>
            </w:pPr>
            <w:r w:rsidRPr="00B45E7F">
              <w:t>Trial P001</w:t>
            </w:r>
          </w:p>
        </w:tc>
      </w:tr>
      <w:tr w:rsidR="002C2209" w:rsidRPr="00B45E7F" w:rsidTr="00B97F9F">
        <w:tc>
          <w:tcPr>
            <w:tcW w:w="1396" w:type="pct"/>
            <w:shd w:val="clear" w:color="auto" w:fill="auto"/>
            <w:vAlign w:val="center"/>
          </w:tcPr>
          <w:p w:rsidR="002C2209" w:rsidRPr="00B45E7F" w:rsidRDefault="002C2209" w:rsidP="002C2209">
            <w:pPr>
              <w:pStyle w:val="Tabletext"/>
            </w:pPr>
            <w:r w:rsidRPr="00B45E7F">
              <w:t>Utility values</w:t>
            </w:r>
          </w:p>
        </w:tc>
        <w:tc>
          <w:tcPr>
            <w:tcW w:w="3604" w:type="pct"/>
            <w:shd w:val="clear" w:color="auto" w:fill="auto"/>
            <w:vAlign w:val="center"/>
          </w:tcPr>
          <w:p w:rsidR="002C2209" w:rsidRPr="00B45E7F" w:rsidRDefault="002C2209" w:rsidP="002C2209">
            <w:pPr>
              <w:pStyle w:val="Tabletext"/>
            </w:pPr>
            <w:r w:rsidRPr="00B45E7F">
              <w:t>Literature based</w:t>
            </w:r>
          </w:p>
        </w:tc>
      </w:tr>
    </w:tbl>
    <w:p w:rsidR="003270E4" w:rsidRPr="00B45E7F" w:rsidRDefault="003270E4" w:rsidP="003270E4">
      <w:pPr>
        <w:pStyle w:val="TableFooter"/>
      </w:pPr>
      <w:r w:rsidRPr="00B45E7F">
        <w:t xml:space="preserve">Source: </w:t>
      </w:r>
      <w:r w:rsidR="00501F14" w:rsidRPr="00B45E7F">
        <w:t>Table 3.1, p67 of the submission</w:t>
      </w:r>
      <w:r w:rsidRPr="00B45E7F">
        <w:t>.</w:t>
      </w:r>
    </w:p>
    <w:p w:rsidR="00275C5A" w:rsidRPr="00B45E7F" w:rsidRDefault="00275C5A" w:rsidP="0023209F"/>
    <w:p w:rsidR="00275C5A" w:rsidRPr="00B45E7F" w:rsidRDefault="00501F14" w:rsidP="007A12C6">
      <w:pPr>
        <w:pStyle w:val="ListParagraph"/>
        <w:numPr>
          <w:ilvl w:val="1"/>
          <w:numId w:val="2"/>
        </w:numPr>
      </w:pPr>
      <w:r w:rsidRPr="00B45E7F">
        <w:t>A summary of the key drivers of the economic model is provided in the table below.</w:t>
      </w:r>
    </w:p>
    <w:p w:rsidR="00D110BD" w:rsidRPr="00B45E7F" w:rsidRDefault="00D110BD" w:rsidP="00374D70">
      <w:pPr>
        <w:keepNext/>
        <w:rPr>
          <w:rStyle w:val="CommentReference"/>
        </w:rPr>
      </w:pPr>
      <w:r w:rsidRPr="00B45E7F">
        <w:rPr>
          <w:rStyle w:val="CommentReference"/>
        </w:rPr>
        <w:lastRenderedPageBreak/>
        <w:t xml:space="preserve">Table </w:t>
      </w:r>
      <w:r w:rsidR="009D766D" w:rsidRPr="00B45E7F">
        <w:rPr>
          <w:rStyle w:val="CommentReference"/>
        </w:rPr>
        <w:t>10</w:t>
      </w:r>
      <w:r w:rsidRPr="00B45E7F">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2"/>
        <w:gridCol w:w="5519"/>
        <w:gridCol w:w="1842"/>
      </w:tblGrid>
      <w:tr w:rsidR="00E866CA" w:rsidRPr="00B45E7F" w:rsidTr="00B97F9F">
        <w:trPr>
          <w:tblHeader/>
        </w:trPr>
        <w:tc>
          <w:tcPr>
            <w:tcW w:w="948" w:type="pct"/>
            <w:shd w:val="clear" w:color="auto" w:fill="auto"/>
            <w:vAlign w:val="center"/>
          </w:tcPr>
          <w:p w:rsidR="00D110BD" w:rsidRPr="00B45E7F" w:rsidRDefault="00D110BD" w:rsidP="00374D70">
            <w:pPr>
              <w:pStyle w:val="Tabletext"/>
              <w:keepNext/>
              <w:rPr>
                <w:b/>
                <w:lang w:val="en-US"/>
              </w:rPr>
            </w:pPr>
            <w:r w:rsidRPr="00B45E7F">
              <w:rPr>
                <w:b/>
                <w:lang w:val="en-US"/>
              </w:rPr>
              <w:t>Description</w:t>
            </w:r>
          </w:p>
        </w:tc>
        <w:tc>
          <w:tcPr>
            <w:tcW w:w="3038" w:type="pct"/>
            <w:shd w:val="clear" w:color="auto" w:fill="auto"/>
            <w:vAlign w:val="center"/>
          </w:tcPr>
          <w:p w:rsidR="00D110BD" w:rsidRPr="00B45E7F" w:rsidRDefault="00D110BD" w:rsidP="00374D70">
            <w:pPr>
              <w:pStyle w:val="Tabletext"/>
              <w:keepNext/>
              <w:jc w:val="center"/>
              <w:rPr>
                <w:b/>
                <w:lang w:val="en-US"/>
              </w:rPr>
            </w:pPr>
            <w:r w:rsidRPr="00B45E7F">
              <w:rPr>
                <w:b/>
                <w:lang w:val="en-US"/>
              </w:rPr>
              <w:t>Method/Value</w:t>
            </w:r>
          </w:p>
        </w:tc>
        <w:tc>
          <w:tcPr>
            <w:tcW w:w="1014" w:type="pct"/>
            <w:shd w:val="clear" w:color="auto" w:fill="auto"/>
            <w:vAlign w:val="center"/>
          </w:tcPr>
          <w:p w:rsidR="00D110BD" w:rsidRPr="00B45E7F" w:rsidRDefault="00D110BD" w:rsidP="00374D70">
            <w:pPr>
              <w:pStyle w:val="Tabletext"/>
              <w:keepNext/>
              <w:jc w:val="center"/>
              <w:rPr>
                <w:b/>
                <w:lang w:val="en-US"/>
              </w:rPr>
            </w:pPr>
            <w:r w:rsidRPr="00B45E7F">
              <w:rPr>
                <w:b/>
                <w:lang w:val="en-US"/>
              </w:rPr>
              <w:t>Impact</w:t>
            </w:r>
          </w:p>
        </w:tc>
      </w:tr>
      <w:tr w:rsidR="00E866CA" w:rsidRPr="00B45E7F" w:rsidTr="00B97F9F">
        <w:tc>
          <w:tcPr>
            <w:tcW w:w="948" w:type="pct"/>
            <w:shd w:val="clear" w:color="auto" w:fill="auto"/>
            <w:vAlign w:val="center"/>
          </w:tcPr>
          <w:p w:rsidR="00D110BD" w:rsidRPr="00B45E7F" w:rsidRDefault="00E179D5" w:rsidP="00374D70">
            <w:pPr>
              <w:pStyle w:val="Tabletext"/>
              <w:keepNext/>
              <w:rPr>
                <w:lang w:val="en-US"/>
              </w:rPr>
            </w:pPr>
            <w:r w:rsidRPr="00B45E7F">
              <w:rPr>
                <w:lang w:val="en-US"/>
              </w:rPr>
              <w:t>Extrapolation</w:t>
            </w:r>
          </w:p>
        </w:tc>
        <w:tc>
          <w:tcPr>
            <w:tcW w:w="3038" w:type="pct"/>
            <w:shd w:val="clear" w:color="auto" w:fill="auto"/>
            <w:vAlign w:val="center"/>
          </w:tcPr>
          <w:p w:rsidR="00106B80" w:rsidRPr="00B45E7F" w:rsidRDefault="00E179D5" w:rsidP="00374D70">
            <w:pPr>
              <w:pStyle w:val="Tabletext"/>
              <w:keepNext/>
            </w:pPr>
            <w:r w:rsidRPr="00B45E7F">
              <w:t xml:space="preserve">The submission applied extrapolation of mortality data from Week 1 to 10 years.  Model results showed that over 80% of placebo-treated patients were dead at 5 years, and approximately 50% were dead at 3 years.  Given most deaths following HSCT occur within 2 years and for patients alive at 2 years, survival at 10 years is approximately 85% (Wingard 2011), such extrapolation </w:t>
            </w:r>
            <w:r w:rsidR="000C6301" w:rsidRPr="00B45E7F">
              <w:t xml:space="preserve">does </w:t>
            </w:r>
            <w:r w:rsidRPr="00B45E7F">
              <w:t>not accurately represent the propos</w:t>
            </w:r>
            <w:r w:rsidR="000C6301" w:rsidRPr="00B45E7F">
              <w:t>e</w:t>
            </w:r>
            <w:r w:rsidRPr="00B45E7F">
              <w:t xml:space="preserve">d PBS population.  </w:t>
            </w:r>
          </w:p>
        </w:tc>
        <w:tc>
          <w:tcPr>
            <w:tcW w:w="1014" w:type="pct"/>
            <w:shd w:val="clear" w:color="auto" w:fill="auto"/>
            <w:vAlign w:val="center"/>
          </w:tcPr>
          <w:p w:rsidR="00D110BD" w:rsidRPr="00B45E7F" w:rsidRDefault="00D110BD" w:rsidP="00374D70">
            <w:pPr>
              <w:pStyle w:val="Tabletext"/>
              <w:keepNext/>
              <w:rPr>
                <w:lang w:val="en-US"/>
              </w:rPr>
            </w:pPr>
            <w:r w:rsidRPr="00B45E7F">
              <w:rPr>
                <w:lang w:val="en-US"/>
              </w:rPr>
              <w:t xml:space="preserve">High, favours </w:t>
            </w:r>
            <w:r w:rsidR="00E866CA" w:rsidRPr="00B45E7F">
              <w:rPr>
                <w:lang w:val="en-US"/>
              </w:rPr>
              <w:t>letermovir</w:t>
            </w:r>
          </w:p>
        </w:tc>
      </w:tr>
      <w:tr w:rsidR="00E866CA" w:rsidRPr="00B45E7F" w:rsidTr="00B97F9F">
        <w:tc>
          <w:tcPr>
            <w:tcW w:w="948" w:type="pct"/>
            <w:shd w:val="clear" w:color="auto" w:fill="auto"/>
            <w:vAlign w:val="center"/>
          </w:tcPr>
          <w:p w:rsidR="00D110BD" w:rsidRPr="00B45E7F" w:rsidRDefault="00106B80" w:rsidP="00374D70">
            <w:pPr>
              <w:pStyle w:val="Tabletext"/>
              <w:keepNext/>
              <w:rPr>
                <w:lang w:val="en-US"/>
              </w:rPr>
            </w:pPr>
            <w:r w:rsidRPr="00B45E7F">
              <w:rPr>
                <w:lang w:val="en-US"/>
              </w:rPr>
              <w:t>Utilities</w:t>
            </w:r>
          </w:p>
        </w:tc>
        <w:tc>
          <w:tcPr>
            <w:tcW w:w="3038" w:type="pct"/>
            <w:shd w:val="clear" w:color="auto" w:fill="auto"/>
            <w:vAlign w:val="center"/>
          </w:tcPr>
          <w:p w:rsidR="00D110BD" w:rsidRPr="00B45E7F" w:rsidRDefault="00E73909" w:rsidP="00374D70">
            <w:pPr>
              <w:pStyle w:val="Tabletext"/>
              <w:keepNext/>
              <w:rPr>
                <w:lang w:val="en-US"/>
              </w:rPr>
            </w:pPr>
            <w:r w:rsidRPr="00B45E7F">
              <w:rPr>
                <w:lang w:val="en-US"/>
              </w:rPr>
              <w:t xml:space="preserve">Literature-based values sourced from populations not representative of the proposed PBS population were used when there </w:t>
            </w:r>
            <w:r w:rsidR="00501F14" w:rsidRPr="00B45E7F">
              <w:rPr>
                <w:lang w:val="en-US"/>
              </w:rPr>
              <w:t>were</w:t>
            </w:r>
            <w:r w:rsidRPr="00B45E7F">
              <w:rPr>
                <w:lang w:val="en-US"/>
              </w:rPr>
              <w:t xml:space="preserve"> trial-based EQ-5D values available.  </w:t>
            </w:r>
            <w:r w:rsidR="00687752" w:rsidRPr="00B45E7F">
              <w:rPr>
                <w:lang w:val="en-US"/>
              </w:rPr>
              <w:t>(The submission d</w:t>
            </w:r>
            <w:r w:rsidR="00A56BF2" w:rsidRPr="00B45E7F">
              <w:rPr>
                <w:lang w:val="en-US"/>
              </w:rPr>
              <w:t>id</w:t>
            </w:r>
            <w:r w:rsidR="00687752" w:rsidRPr="00B45E7F">
              <w:rPr>
                <w:lang w:val="en-US"/>
              </w:rPr>
              <w:t xml:space="preserve"> not provide an explanation to why trial-based values were not considered </w:t>
            </w:r>
            <w:r w:rsidR="00A56BF2" w:rsidRPr="00B45E7F">
              <w:rPr>
                <w:lang w:val="en-US"/>
              </w:rPr>
              <w:t>for use in the economic model</w:t>
            </w:r>
            <w:r w:rsidR="00687752" w:rsidRPr="00B45E7F">
              <w:rPr>
                <w:lang w:val="en-US"/>
              </w:rPr>
              <w:t xml:space="preserve">). </w:t>
            </w:r>
            <w:r w:rsidRPr="00B45E7F">
              <w:rPr>
                <w:lang w:val="en-US"/>
              </w:rPr>
              <w:t>The values for post-transplant and CMV infection (both 0.9) seemed high for patients that are considerably unwell.</w:t>
            </w:r>
          </w:p>
        </w:tc>
        <w:tc>
          <w:tcPr>
            <w:tcW w:w="1014" w:type="pct"/>
            <w:shd w:val="clear" w:color="auto" w:fill="auto"/>
            <w:vAlign w:val="center"/>
          </w:tcPr>
          <w:p w:rsidR="00D110BD" w:rsidRPr="00B45E7F" w:rsidRDefault="00537182" w:rsidP="00374D70">
            <w:pPr>
              <w:pStyle w:val="Tabletext"/>
              <w:keepNext/>
              <w:rPr>
                <w:lang w:val="en-US"/>
              </w:rPr>
            </w:pPr>
            <w:r w:rsidRPr="00B45E7F">
              <w:rPr>
                <w:lang w:val="en-US"/>
              </w:rPr>
              <w:t xml:space="preserve">High, favours </w:t>
            </w:r>
            <w:r w:rsidR="00E866CA" w:rsidRPr="00B45E7F">
              <w:rPr>
                <w:lang w:val="en-US"/>
              </w:rPr>
              <w:t>letermovir</w:t>
            </w:r>
          </w:p>
        </w:tc>
      </w:tr>
      <w:tr w:rsidR="00E866CA" w:rsidRPr="00B45E7F" w:rsidTr="00B97F9F">
        <w:tc>
          <w:tcPr>
            <w:tcW w:w="948" w:type="pct"/>
            <w:shd w:val="clear" w:color="auto" w:fill="auto"/>
            <w:vAlign w:val="center"/>
          </w:tcPr>
          <w:p w:rsidR="00D110BD" w:rsidRPr="00B45E7F" w:rsidRDefault="004061D4" w:rsidP="003D1DE4">
            <w:pPr>
              <w:pStyle w:val="Tabletext"/>
              <w:rPr>
                <w:lang w:val="en-US"/>
              </w:rPr>
            </w:pPr>
            <w:r w:rsidRPr="00B45E7F">
              <w:rPr>
                <w:lang w:val="en-US"/>
              </w:rPr>
              <w:t>GVHD</w:t>
            </w:r>
          </w:p>
        </w:tc>
        <w:tc>
          <w:tcPr>
            <w:tcW w:w="3038" w:type="pct"/>
            <w:shd w:val="clear" w:color="auto" w:fill="auto"/>
            <w:vAlign w:val="center"/>
          </w:tcPr>
          <w:p w:rsidR="00D110BD" w:rsidRPr="00B45E7F" w:rsidRDefault="00E73909" w:rsidP="000E39B1">
            <w:pPr>
              <w:pStyle w:val="Tabletext"/>
              <w:rPr>
                <w:lang w:val="en-US"/>
              </w:rPr>
            </w:pPr>
            <w:r w:rsidRPr="00B45E7F">
              <w:rPr>
                <w:lang w:val="en-US"/>
              </w:rPr>
              <w:t xml:space="preserve">There were no statistically significant differences in the occurrence of </w:t>
            </w:r>
            <w:r w:rsidR="004061D4" w:rsidRPr="00B45E7F">
              <w:rPr>
                <w:lang w:val="en-US"/>
              </w:rPr>
              <w:t>GVHD</w:t>
            </w:r>
            <w:r w:rsidRPr="00B45E7F">
              <w:rPr>
                <w:lang w:val="en-US"/>
              </w:rPr>
              <w:t xml:space="preserve"> for lete</w:t>
            </w:r>
            <w:r w:rsidR="00501F14" w:rsidRPr="00B45E7F">
              <w:rPr>
                <w:lang w:val="en-US"/>
              </w:rPr>
              <w:t>r</w:t>
            </w:r>
            <w:r w:rsidRPr="00B45E7F">
              <w:rPr>
                <w:lang w:val="en-US"/>
              </w:rPr>
              <w:t>movir and placebo-treated patients in Trial P001</w:t>
            </w:r>
            <w:r w:rsidR="00501F14" w:rsidRPr="00B45E7F">
              <w:rPr>
                <w:lang w:val="en-US"/>
              </w:rPr>
              <w:t xml:space="preserve"> and between-group differences are very small, </w:t>
            </w:r>
            <w:r w:rsidR="00374D70" w:rsidRPr="00B45E7F">
              <w:rPr>
                <w:lang w:val="en-US"/>
              </w:rPr>
              <w:t>e.g.</w:t>
            </w:r>
            <w:r w:rsidR="00501F14" w:rsidRPr="00B45E7F">
              <w:rPr>
                <w:lang w:val="en-US"/>
              </w:rPr>
              <w:t xml:space="preserve"> 17.5% of letermovir-treated patients and </w:t>
            </w:r>
            <w:r w:rsidR="004569C1">
              <w:rPr>
                <w:noProof/>
                <w:color w:val="000000"/>
                <w:highlight w:val="black"/>
                <w:lang w:val="en-US"/>
              </w:rPr>
              <w:t>''''''''''</w:t>
            </w:r>
            <w:r w:rsidR="00501F14" w:rsidRPr="00B45E7F">
              <w:rPr>
                <w:lang w:val="en-US"/>
              </w:rPr>
              <w:t xml:space="preserve">% of placebo-treated patients reported Grade II </w:t>
            </w:r>
            <w:r w:rsidR="004061D4" w:rsidRPr="00B45E7F">
              <w:rPr>
                <w:lang w:val="en-US"/>
              </w:rPr>
              <w:t>GVHD</w:t>
            </w:r>
            <w:r w:rsidRPr="00B45E7F">
              <w:rPr>
                <w:lang w:val="en-US"/>
              </w:rPr>
              <w:t>.</w:t>
            </w:r>
            <w:r w:rsidR="00501F14" w:rsidRPr="00B45E7F">
              <w:rPr>
                <w:lang w:val="en-US"/>
              </w:rPr>
              <w:t xml:space="preserve">  </w:t>
            </w:r>
            <w:r w:rsidR="00A56BF2" w:rsidRPr="00B45E7F">
              <w:rPr>
                <w:lang w:val="en-US"/>
              </w:rPr>
              <w:t xml:space="preserve">The </w:t>
            </w:r>
            <w:r w:rsidR="00501F14" w:rsidRPr="00B45E7F">
              <w:rPr>
                <w:lang w:val="en-US"/>
              </w:rPr>
              <w:t>ICER almost double</w:t>
            </w:r>
            <w:r w:rsidR="00A56BF2" w:rsidRPr="00B45E7F">
              <w:rPr>
                <w:lang w:val="en-US"/>
              </w:rPr>
              <w:t>d</w:t>
            </w:r>
            <w:r w:rsidR="00501F14" w:rsidRPr="00B45E7F">
              <w:rPr>
                <w:lang w:val="en-US"/>
              </w:rPr>
              <w:t>, to over $</w:t>
            </w:r>
            <w:r w:rsidR="000E39B1">
              <w:rPr>
                <w:lang w:val="en-US"/>
              </w:rPr>
              <w:t>45,000/QALY</w:t>
            </w:r>
            <w:r w:rsidR="00501F14" w:rsidRPr="00B45E7F">
              <w:rPr>
                <w:lang w:val="en-US"/>
              </w:rPr>
              <w:t xml:space="preserve"> when the same probabilities for </w:t>
            </w:r>
            <w:r w:rsidR="004061D4" w:rsidRPr="00B45E7F">
              <w:rPr>
                <w:lang w:val="en-US"/>
              </w:rPr>
              <w:t>GVHD</w:t>
            </w:r>
            <w:r w:rsidR="00501F14" w:rsidRPr="00B45E7F">
              <w:rPr>
                <w:lang w:val="en-US"/>
              </w:rPr>
              <w:t xml:space="preserve"> are used for letermovir and placebo.</w:t>
            </w:r>
          </w:p>
        </w:tc>
        <w:tc>
          <w:tcPr>
            <w:tcW w:w="1014" w:type="pct"/>
            <w:shd w:val="clear" w:color="auto" w:fill="auto"/>
            <w:vAlign w:val="center"/>
          </w:tcPr>
          <w:p w:rsidR="00D110BD" w:rsidRPr="00B45E7F" w:rsidRDefault="00501F14" w:rsidP="003D1DE4">
            <w:pPr>
              <w:pStyle w:val="Tabletext"/>
              <w:rPr>
                <w:lang w:val="en-US"/>
              </w:rPr>
            </w:pPr>
            <w:r w:rsidRPr="00B45E7F">
              <w:rPr>
                <w:lang w:val="en-US"/>
              </w:rPr>
              <w:t>High, favours letermovir</w:t>
            </w:r>
          </w:p>
        </w:tc>
      </w:tr>
    </w:tbl>
    <w:p w:rsidR="00D110BD" w:rsidRPr="00B45E7F" w:rsidRDefault="009D792E" w:rsidP="009D792E">
      <w:pPr>
        <w:pStyle w:val="TableFooter"/>
      </w:pPr>
      <w:r w:rsidRPr="00B45E7F">
        <w:t xml:space="preserve">Source: </w:t>
      </w:r>
      <w:r w:rsidR="00501F14" w:rsidRPr="00B45E7F">
        <w:t>Compiled from Section 3 of the submission during the evaluation</w:t>
      </w:r>
      <w:r w:rsidRPr="00B45E7F">
        <w:t>.</w:t>
      </w:r>
    </w:p>
    <w:p w:rsidR="009D792E" w:rsidRPr="00B45E7F" w:rsidRDefault="009D792E" w:rsidP="00275C5A"/>
    <w:p w:rsidR="00275C5A" w:rsidRPr="00B45E7F" w:rsidRDefault="002C2209" w:rsidP="007A12C6">
      <w:pPr>
        <w:pStyle w:val="ListParagraph"/>
        <w:numPr>
          <w:ilvl w:val="1"/>
          <w:numId w:val="2"/>
        </w:numPr>
      </w:pPr>
      <w:r w:rsidRPr="00B45E7F">
        <w:t>The results of the economic evaluation are provided in the table below.</w:t>
      </w:r>
    </w:p>
    <w:p w:rsidR="00077699" w:rsidRPr="00B45E7F" w:rsidRDefault="00077699" w:rsidP="00B97F9F">
      <w:pPr>
        <w:keepNext/>
        <w:keepLines/>
        <w:rPr>
          <w:rStyle w:val="CommentReference"/>
          <w:szCs w:val="20"/>
        </w:rPr>
      </w:pPr>
      <w:r w:rsidRPr="00B45E7F">
        <w:rPr>
          <w:rStyle w:val="CommentReference"/>
          <w:szCs w:val="20"/>
        </w:rPr>
        <w:t xml:space="preserve">Table </w:t>
      </w:r>
      <w:r w:rsidR="000213A1" w:rsidRPr="00B45E7F">
        <w:rPr>
          <w:rStyle w:val="CommentReference"/>
          <w:szCs w:val="20"/>
        </w:rPr>
        <w:t>1</w:t>
      </w:r>
      <w:r w:rsidR="009D766D" w:rsidRPr="00B45E7F">
        <w:rPr>
          <w:rStyle w:val="CommentReference"/>
          <w:szCs w:val="20"/>
        </w:rPr>
        <w:t>1</w:t>
      </w:r>
      <w:r w:rsidRPr="00B45E7F">
        <w:rPr>
          <w:rStyle w:val="CommentReference"/>
          <w:szCs w:val="20"/>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077699" w:rsidRPr="00B45E7F" w:rsidTr="00FD0845">
        <w:trPr>
          <w:tblHeader/>
        </w:trPr>
        <w:tc>
          <w:tcPr>
            <w:tcW w:w="1529" w:type="pct"/>
            <w:vAlign w:val="center"/>
          </w:tcPr>
          <w:p w:rsidR="00077699" w:rsidRPr="00B45E7F" w:rsidRDefault="00077699" w:rsidP="00B97F9F">
            <w:pPr>
              <w:pStyle w:val="Tabletext"/>
              <w:keepNext/>
              <w:keepLines/>
              <w:rPr>
                <w:b/>
              </w:rPr>
            </w:pPr>
            <w:r w:rsidRPr="00B45E7F">
              <w:rPr>
                <w:b/>
              </w:rPr>
              <w:t>Step and component</w:t>
            </w:r>
          </w:p>
        </w:tc>
        <w:tc>
          <w:tcPr>
            <w:tcW w:w="1359" w:type="pct"/>
            <w:vAlign w:val="center"/>
          </w:tcPr>
          <w:p w:rsidR="00077699" w:rsidRPr="00B45E7F" w:rsidRDefault="00077699" w:rsidP="00B97F9F">
            <w:pPr>
              <w:pStyle w:val="Tabletext"/>
              <w:keepNext/>
              <w:keepLines/>
              <w:jc w:val="center"/>
              <w:rPr>
                <w:b/>
              </w:rPr>
            </w:pPr>
            <w:r w:rsidRPr="00B45E7F">
              <w:rPr>
                <w:b/>
              </w:rPr>
              <w:t>Letermovir</w:t>
            </w:r>
          </w:p>
        </w:tc>
        <w:tc>
          <w:tcPr>
            <w:tcW w:w="1274" w:type="pct"/>
            <w:vAlign w:val="center"/>
          </w:tcPr>
          <w:p w:rsidR="00077699" w:rsidRPr="00B45E7F" w:rsidRDefault="00077699" w:rsidP="00B97F9F">
            <w:pPr>
              <w:pStyle w:val="Tabletext"/>
              <w:keepNext/>
              <w:keepLines/>
              <w:jc w:val="center"/>
              <w:rPr>
                <w:b/>
              </w:rPr>
            </w:pPr>
            <w:r w:rsidRPr="00B45E7F">
              <w:rPr>
                <w:b/>
              </w:rPr>
              <w:t>Placebo</w:t>
            </w:r>
          </w:p>
        </w:tc>
        <w:tc>
          <w:tcPr>
            <w:tcW w:w="838" w:type="pct"/>
            <w:vAlign w:val="center"/>
          </w:tcPr>
          <w:p w:rsidR="00077699" w:rsidRPr="00B45E7F" w:rsidRDefault="00077699" w:rsidP="00B97F9F">
            <w:pPr>
              <w:pStyle w:val="Tabletext"/>
              <w:keepNext/>
              <w:keepLines/>
              <w:jc w:val="center"/>
              <w:rPr>
                <w:b/>
              </w:rPr>
            </w:pPr>
            <w:r w:rsidRPr="00B45E7F">
              <w:rPr>
                <w:b/>
              </w:rPr>
              <w:t>Increment</w:t>
            </w:r>
          </w:p>
        </w:tc>
      </w:tr>
      <w:tr w:rsidR="00077699" w:rsidRPr="00B45E7F" w:rsidTr="00FD0845">
        <w:tc>
          <w:tcPr>
            <w:tcW w:w="5000" w:type="pct"/>
            <w:gridSpan w:val="4"/>
            <w:vAlign w:val="center"/>
          </w:tcPr>
          <w:p w:rsidR="00077699" w:rsidRPr="00B45E7F" w:rsidRDefault="00077699" w:rsidP="00B97F9F">
            <w:pPr>
              <w:pStyle w:val="Tabletext"/>
              <w:keepNext/>
              <w:keepLines/>
              <w:rPr>
                <w:b/>
              </w:rPr>
            </w:pPr>
            <w:r w:rsidRPr="00B45E7F">
              <w:rPr>
                <w:b/>
              </w:rPr>
              <w:t>Step 1: trial-based costs and outcomes</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Costs</w:t>
            </w:r>
          </w:p>
        </w:tc>
        <w:tc>
          <w:tcPr>
            <w:tcW w:w="1359"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c>
          <w:tcPr>
            <w:tcW w:w="1274" w:type="pct"/>
            <w:vAlign w:val="center"/>
          </w:tcPr>
          <w:p w:rsidR="00077699" w:rsidRPr="00B45E7F" w:rsidRDefault="00077699" w:rsidP="00B97F9F">
            <w:pPr>
              <w:pStyle w:val="Tabletext"/>
              <w:keepNext/>
              <w:keepLines/>
              <w:jc w:val="center"/>
              <w:rPr>
                <w:rFonts w:ascii="Times" w:hAnsi="Times"/>
              </w:rPr>
            </w:pPr>
            <w:r w:rsidRPr="00B45E7F">
              <w:t>$0</w:t>
            </w:r>
          </w:p>
        </w:tc>
        <w:tc>
          <w:tcPr>
            <w:tcW w:w="838" w:type="pct"/>
            <w:vAlign w:val="center"/>
          </w:tcPr>
          <w:p w:rsidR="00077699" w:rsidRPr="004569C1" w:rsidRDefault="004569C1" w:rsidP="00B97F9F">
            <w:pPr>
              <w:pStyle w:val="Tabletext"/>
              <w:keepNext/>
              <w:keepLines/>
              <w:jc w:val="center"/>
              <w:rPr>
                <w:rFonts w:ascii="Times" w:hAnsi="Times"/>
                <w:highlight w:val="black"/>
              </w:rPr>
            </w:pPr>
            <w:r>
              <w:rPr>
                <w:noProof/>
                <w:color w:val="000000"/>
                <w:highlight w:val="black"/>
              </w:rPr>
              <w:t>'''''''''''''''''''</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Proportion with clinically significant CMV infection</w:t>
            </w:r>
          </w:p>
        </w:tc>
        <w:tc>
          <w:tcPr>
            <w:tcW w:w="1359" w:type="pct"/>
            <w:vAlign w:val="center"/>
          </w:tcPr>
          <w:p w:rsidR="00077699" w:rsidRPr="00B45E7F" w:rsidRDefault="00077699" w:rsidP="00B97F9F">
            <w:pPr>
              <w:pStyle w:val="Tabletext"/>
              <w:keepNext/>
              <w:keepLines/>
              <w:jc w:val="center"/>
              <w:rPr>
                <w:rFonts w:ascii="Times" w:hAnsi="Times"/>
              </w:rPr>
            </w:pPr>
            <w:r w:rsidRPr="00B45E7F">
              <w:t>37.5%</w:t>
            </w:r>
          </w:p>
        </w:tc>
        <w:tc>
          <w:tcPr>
            <w:tcW w:w="1274" w:type="pct"/>
            <w:vAlign w:val="center"/>
          </w:tcPr>
          <w:p w:rsidR="00077699" w:rsidRPr="00B45E7F" w:rsidRDefault="00077699" w:rsidP="00B97F9F">
            <w:pPr>
              <w:pStyle w:val="Tabletext"/>
              <w:keepNext/>
              <w:keepLines/>
              <w:jc w:val="center"/>
              <w:rPr>
                <w:rFonts w:ascii="Times" w:hAnsi="Times"/>
              </w:rPr>
            </w:pPr>
            <w:r w:rsidRPr="00B45E7F">
              <w:t>60.</w:t>
            </w:r>
            <w:r w:rsidR="00637AEC" w:rsidRPr="00B45E7F">
              <w:t>6</w:t>
            </w:r>
            <w:r w:rsidRPr="00B45E7F">
              <w:t>%</w:t>
            </w:r>
          </w:p>
        </w:tc>
        <w:tc>
          <w:tcPr>
            <w:tcW w:w="838" w:type="pct"/>
            <w:vAlign w:val="center"/>
          </w:tcPr>
          <w:p w:rsidR="00077699" w:rsidRPr="00B45E7F" w:rsidRDefault="00077699" w:rsidP="00B97F9F">
            <w:pPr>
              <w:pStyle w:val="Tabletext"/>
              <w:keepNext/>
              <w:keepLines/>
              <w:jc w:val="center"/>
            </w:pPr>
            <w:r w:rsidRPr="00B45E7F">
              <w:t>23.1%</w:t>
            </w:r>
          </w:p>
        </w:tc>
      </w:tr>
      <w:tr w:rsidR="00077699" w:rsidRPr="00B45E7F" w:rsidTr="00FD0845">
        <w:tc>
          <w:tcPr>
            <w:tcW w:w="4162" w:type="pct"/>
            <w:gridSpan w:val="3"/>
            <w:vAlign w:val="center"/>
          </w:tcPr>
          <w:p w:rsidR="00077699" w:rsidRPr="00B45E7F" w:rsidRDefault="00077699" w:rsidP="00B97F9F">
            <w:pPr>
              <w:pStyle w:val="Tabletext"/>
              <w:keepNext/>
              <w:keepLines/>
              <w:rPr>
                <w:rFonts w:ascii="Times" w:hAnsi="Times"/>
              </w:rPr>
            </w:pPr>
            <w:r w:rsidRPr="00B45E7F">
              <w:t>Incremental cost/clinically significant CMV infection avoided</w:t>
            </w:r>
          </w:p>
        </w:tc>
        <w:tc>
          <w:tcPr>
            <w:tcW w:w="838"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r>
      <w:tr w:rsidR="00077699" w:rsidRPr="00B45E7F" w:rsidTr="00FD0845">
        <w:tc>
          <w:tcPr>
            <w:tcW w:w="5000" w:type="pct"/>
            <w:gridSpan w:val="4"/>
            <w:vAlign w:val="center"/>
          </w:tcPr>
          <w:p w:rsidR="00077699" w:rsidRPr="00B45E7F" w:rsidRDefault="00077699" w:rsidP="00B97F9F">
            <w:pPr>
              <w:pStyle w:val="Tabletext"/>
              <w:keepNext/>
              <w:keepLines/>
              <w:rPr>
                <w:b/>
              </w:rPr>
            </w:pPr>
            <w:r w:rsidRPr="00B45E7F">
              <w:rPr>
                <w:b/>
              </w:rPr>
              <w:t>Step 2: Model duration to 10 years with all event costs included and life years applied</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Costs</w:t>
            </w:r>
          </w:p>
        </w:tc>
        <w:tc>
          <w:tcPr>
            <w:tcW w:w="1359"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c>
          <w:tcPr>
            <w:tcW w:w="1274"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c>
          <w:tcPr>
            <w:tcW w:w="838"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LYG</w:t>
            </w:r>
          </w:p>
        </w:tc>
        <w:tc>
          <w:tcPr>
            <w:tcW w:w="1359" w:type="pct"/>
            <w:vAlign w:val="center"/>
          </w:tcPr>
          <w:p w:rsidR="00077699" w:rsidRPr="00B45E7F" w:rsidRDefault="00077699" w:rsidP="00B97F9F">
            <w:pPr>
              <w:pStyle w:val="Tabletext"/>
              <w:keepNext/>
              <w:keepLines/>
              <w:jc w:val="center"/>
              <w:rPr>
                <w:rFonts w:ascii="Times" w:hAnsi="Times"/>
              </w:rPr>
            </w:pPr>
            <w:r w:rsidRPr="00B45E7F">
              <w:t>3.29</w:t>
            </w:r>
          </w:p>
        </w:tc>
        <w:tc>
          <w:tcPr>
            <w:tcW w:w="1274" w:type="pct"/>
            <w:vAlign w:val="center"/>
          </w:tcPr>
          <w:p w:rsidR="00077699" w:rsidRPr="00B45E7F" w:rsidRDefault="00077699" w:rsidP="00B97F9F">
            <w:pPr>
              <w:pStyle w:val="Tabletext"/>
              <w:keepNext/>
              <w:keepLines/>
              <w:jc w:val="center"/>
              <w:rPr>
                <w:rFonts w:ascii="Times" w:hAnsi="Times"/>
              </w:rPr>
            </w:pPr>
            <w:r w:rsidRPr="00B45E7F">
              <w:t>2.72</w:t>
            </w:r>
          </w:p>
        </w:tc>
        <w:tc>
          <w:tcPr>
            <w:tcW w:w="838" w:type="pct"/>
            <w:vAlign w:val="center"/>
          </w:tcPr>
          <w:p w:rsidR="00077699" w:rsidRPr="00B45E7F" w:rsidRDefault="00077699" w:rsidP="00B97F9F">
            <w:pPr>
              <w:pStyle w:val="Tabletext"/>
              <w:keepNext/>
              <w:keepLines/>
              <w:jc w:val="center"/>
            </w:pPr>
            <w:r w:rsidRPr="00B45E7F">
              <w:t>0.58</w:t>
            </w:r>
          </w:p>
        </w:tc>
      </w:tr>
      <w:tr w:rsidR="00077699" w:rsidRPr="00B45E7F" w:rsidTr="00FD0845">
        <w:tc>
          <w:tcPr>
            <w:tcW w:w="4162" w:type="pct"/>
            <w:gridSpan w:val="3"/>
            <w:vAlign w:val="center"/>
          </w:tcPr>
          <w:p w:rsidR="00077699" w:rsidRPr="00B45E7F" w:rsidRDefault="00077699" w:rsidP="00B97F9F">
            <w:pPr>
              <w:pStyle w:val="Tabletext"/>
              <w:keepNext/>
              <w:keepLines/>
              <w:rPr>
                <w:rFonts w:ascii="Times" w:hAnsi="Times"/>
              </w:rPr>
            </w:pPr>
            <w:r w:rsidRPr="00B45E7F">
              <w:t>Incremental cost/extra LYG gained</w:t>
            </w:r>
          </w:p>
        </w:tc>
        <w:tc>
          <w:tcPr>
            <w:tcW w:w="838"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r>
      <w:tr w:rsidR="00077699" w:rsidRPr="00B45E7F" w:rsidTr="00FD0845">
        <w:tc>
          <w:tcPr>
            <w:tcW w:w="5000" w:type="pct"/>
            <w:gridSpan w:val="4"/>
            <w:vAlign w:val="center"/>
          </w:tcPr>
          <w:p w:rsidR="00077699" w:rsidRPr="00B45E7F" w:rsidRDefault="00077699" w:rsidP="00B97F9F">
            <w:pPr>
              <w:pStyle w:val="Tabletext"/>
              <w:keepNext/>
              <w:keepLines/>
              <w:rPr>
                <w:b/>
              </w:rPr>
            </w:pPr>
            <w:r w:rsidRPr="00B45E7F">
              <w:rPr>
                <w:b/>
              </w:rPr>
              <w:t>Step 3: Utility weights included</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Costs</w:t>
            </w:r>
          </w:p>
        </w:tc>
        <w:tc>
          <w:tcPr>
            <w:tcW w:w="1359"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c>
          <w:tcPr>
            <w:tcW w:w="1274"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c>
          <w:tcPr>
            <w:tcW w:w="838" w:type="pct"/>
            <w:vAlign w:val="center"/>
          </w:tcPr>
          <w:p w:rsidR="00077699" w:rsidRPr="00B45E7F" w:rsidRDefault="00077699" w:rsidP="00B97F9F">
            <w:pPr>
              <w:pStyle w:val="Tabletext"/>
              <w:keepNext/>
              <w:keepLines/>
              <w:jc w:val="center"/>
              <w:rPr>
                <w:rFonts w:ascii="Times" w:hAnsi="Times"/>
              </w:rPr>
            </w:pPr>
            <w:r w:rsidRPr="00B45E7F">
              <w:t>$</w:t>
            </w:r>
            <w:r w:rsidR="004569C1">
              <w:rPr>
                <w:noProof/>
                <w:color w:val="000000"/>
                <w:highlight w:val="black"/>
              </w:rPr>
              <w:t>''''''''''''''''</w:t>
            </w:r>
          </w:p>
        </w:tc>
      </w:tr>
      <w:tr w:rsidR="00077699" w:rsidRPr="00B45E7F" w:rsidTr="00FD0845">
        <w:tc>
          <w:tcPr>
            <w:tcW w:w="1529" w:type="pct"/>
            <w:vAlign w:val="center"/>
          </w:tcPr>
          <w:p w:rsidR="00077699" w:rsidRPr="00B45E7F" w:rsidRDefault="00077699" w:rsidP="00B97F9F">
            <w:pPr>
              <w:pStyle w:val="Tabletext"/>
              <w:keepNext/>
              <w:keepLines/>
              <w:rPr>
                <w:rFonts w:ascii="Times" w:hAnsi="Times"/>
              </w:rPr>
            </w:pPr>
            <w:r w:rsidRPr="00B45E7F">
              <w:t>QALY</w:t>
            </w:r>
          </w:p>
        </w:tc>
        <w:tc>
          <w:tcPr>
            <w:tcW w:w="1359" w:type="pct"/>
            <w:vAlign w:val="center"/>
          </w:tcPr>
          <w:p w:rsidR="00077699" w:rsidRPr="00B45E7F" w:rsidRDefault="00077699" w:rsidP="00B97F9F">
            <w:pPr>
              <w:pStyle w:val="Tabletext"/>
              <w:keepNext/>
              <w:keepLines/>
              <w:jc w:val="center"/>
              <w:rPr>
                <w:rFonts w:ascii="Times" w:hAnsi="Times"/>
              </w:rPr>
            </w:pPr>
            <w:r w:rsidRPr="00B45E7F">
              <w:t>2.84</w:t>
            </w:r>
          </w:p>
        </w:tc>
        <w:tc>
          <w:tcPr>
            <w:tcW w:w="1274" w:type="pct"/>
            <w:vAlign w:val="center"/>
          </w:tcPr>
          <w:p w:rsidR="00077699" w:rsidRPr="00B45E7F" w:rsidRDefault="00077699" w:rsidP="00B97F9F">
            <w:pPr>
              <w:pStyle w:val="Tabletext"/>
              <w:keepNext/>
              <w:keepLines/>
              <w:jc w:val="center"/>
              <w:rPr>
                <w:rFonts w:ascii="Times" w:hAnsi="Times"/>
              </w:rPr>
            </w:pPr>
            <w:r w:rsidRPr="00B45E7F">
              <w:t>2.31</w:t>
            </w:r>
          </w:p>
        </w:tc>
        <w:tc>
          <w:tcPr>
            <w:tcW w:w="838" w:type="pct"/>
            <w:vAlign w:val="center"/>
          </w:tcPr>
          <w:p w:rsidR="00077699" w:rsidRPr="00B45E7F" w:rsidRDefault="00077699" w:rsidP="00B97F9F">
            <w:pPr>
              <w:pStyle w:val="Tabletext"/>
              <w:keepNext/>
              <w:keepLines/>
              <w:jc w:val="center"/>
            </w:pPr>
            <w:r w:rsidRPr="00B45E7F">
              <w:t>0.53</w:t>
            </w:r>
          </w:p>
        </w:tc>
      </w:tr>
      <w:tr w:rsidR="00077699" w:rsidRPr="00B45E7F" w:rsidTr="00FD0845">
        <w:tc>
          <w:tcPr>
            <w:tcW w:w="4162" w:type="pct"/>
            <w:gridSpan w:val="3"/>
            <w:vAlign w:val="center"/>
          </w:tcPr>
          <w:p w:rsidR="00077699" w:rsidRPr="00B45E7F" w:rsidRDefault="00077699" w:rsidP="00B97F9F">
            <w:pPr>
              <w:pStyle w:val="Tabletext"/>
              <w:keepNext/>
              <w:keepLines/>
              <w:rPr>
                <w:rFonts w:ascii="Times" w:hAnsi="Times"/>
                <w:b/>
              </w:rPr>
            </w:pPr>
            <w:r w:rsidRPr="00B45E7F">
              <w:rPr>
                <w:b/>
              </w:rPr>
              <w:t>Incremental cost/extra QALY gained (base case)</w:t>
            </w:r>
          </w:p>
        </w:tc>
        <w:tc>
          <w:tcPr>
            <w:tcW w:w="838" w:type="pct"/>
            <w:vAlign w:val="center"/>
          </w:tcPr>
          <w:p w:rsidR="00077699" w:rsidRPr="00B45E7F" w:rsidRDefault="00077699" w:rsidP="00B97F9F">
            <w:pPr>
              <w:pStyle w:val="Tabletext"/>
              <w:keepNext/>
              <w:keepLines/>
              <w:jc w:val="center"/>
              <w:rPr>
                <w:rFonts w:ascii="Times" w:hAnsi="Times"/>
                <w:b/>
              </w:rPr>
            </w:pPr>
            <w:r w:rsidRPr="00B45E7F">
              <w:rPr>
                <w:b/>
              </w:rPr>
              <w:t>$</w:t>
            </w:r>
            <w:r w:rsidR="004569C1">
              <w:rPr>
                <w:b/>
                <w:noProof/>
                <w:color w:val="000000"/>
                <w:highlight w:val="black"/>
              </w:rPr>
              <w:t>''''''''''''</w:t>
            </w:r>
          </w:p>
        </w:tc>
      </w:tr>
    </w:tbl>
    <w:p w:rsidR="005A373D" w:rsidRPr="00B45E7F" w:rsidRDefault="00077699" w:rsidP="00B97F9F">
      <w:pPr>
        <w:pStyle w:val="TableFooter"/>
        <w:keepNext/>
        <w:keepLines/>
        <w:rPr>
          <w:rStyle w:val="CommentReference"/>
        </w:rPr>
      </w:pPr>
      <w:r w:rsidRPr="00B45E7F">
        <w:t>Source: Table 3-13, p95 of the submission.</w:t>
      </w:r>
    </w:p>
    <w:p w:rsidR="00D110BD" w:rsidRPr="00B45E7F" w:rsidRDefault="00D110BD" w:rsidP="00E723BA"/>
    <w:p w:rsidR="005A373D" w:rsidRPr="00B45E7F" w:rsidRDefault="00077699" w:rsidP="00DF38DB">
      <w:pPr>
        <w:pStyle w:val="ListParagraph"/>
        <w:numPr>
          <w:ilvl w:val="1"/>
          <w:numId w:val="2"/>
        </w:numPr>
      </w:pPr>
      <w:r w:rsidRPr="00B45E7F">
        <w:t>The cost per clinically significant CMV infection avoided in Step 1 of the model was $</w:t>
      </w:r>
      <w:r w:rsidR="00FD5FB1">
        <w:t>75,000 - $105,000</w:t>
      </w:r>
      <w:r w:rsidRPr="00B45E7F">
        <w:t xml:space="preserve">.  </w:t>
      </w:r>
      <w:r w:rsidR="00FB3C65" w:rsidRPr="00B45E7F">
        <w:t>The cost/QALY gained (step 3) was marginally higher than the cost/LY gained (step 2).</w:t>
      </w:r>
      <w:r w:rsidR="00DF38DB" w:rsidRPr="00DF38DB">
        <w:t xml:space="preserve"> While the PSCR discussed the rate of CMV infect</w:t>
      </w:r>
      <w:r w:rsidR="00DF38DB">
        <w:t xml:space="preserve">ion between Week 14 and Week 24, </w:t>
      </w:r>
      <w:r w:rsidR="00DF38DB" w:rsidRPr="00DF38DB">
        <w:t>the ESC was uncertain if these changes in rate of CMV were appropriately included in the modelling.</w:t>
      </w:r>
    </w:p>
    <w:p w:rsidR="00926E3F" w:rsidRPr="00B45E7F" w:rsidRDefault="00077699" w:rsidP="00C34415">
      <w:pPr>
        <w:pStyle w:val="ListParagraph"/>
        <w:numPr>
          <w:ilvl w:val="1"/>
          <w:numId w:val="2"/>
        </w:numPr>
      </w:pPr>
      <w:r w:rsidRPr="00B45E7F">
        <w:t>The base case ICER of $</w:t>
      </w:r>
      <w:r w:rsidR="00FD5FB1">
        <w:t>15,000/QALY - $45,000/QALY</w:t>
      </w:r>
      <w:r w:rsidRPr="00B45E7F">
        <w:t xml:space="preserve"> </w:t>
      </w:r>
      <w:r w:rsidR="00926E3F" w:rsidRPr="00B45E7F">
        <w:t xml:space="preserve">was </w:t>
      </w:r>
      <w:r w:rsidRPr="00B45E7F">
        <w:t xml:space="preserve">not likely to accurately represent the cost-effectiveness of letermovir.  </w:t>
      </w:r>
      <w:r w:rsidR="00300D99" w:rsidRPr="00B45E7F">
        <w:t>W</w:t>
      </w:r>
      <w:r w:rsidRPr="00B45E7F">
        <w:t>ith over 70% of letermovir patients and over 80% of placebo patients dead at around 5 years</w:t>
      </w:r>
      <w:r w:rsidR="00C50316">
        <w:t>,</w:t>
      </w:r>
      <w:r w:rsidR="00BD4639" w:rsidRPr="00B45E7F">
        <w:t xml:space="preserve"> </w:t>
      </w:r>
      <w:r w:rsidR="00926E3F" w:rsidRPr="00B45E7F">
        <w:t>the mortality ex</w:t>
      </w:r>
      <w:r w:rsidR="00E94D06" w:rsidRPr="00B45E7F">
        <w:t xml:space="preserve">trapolation applied </w:t>
      </w:r>
      <w:r w:rsidR="00926E3F" w:rsidRPr="00B45E7F">
        <w:t>in</w:t>
      </w:r>
      <w:r w:rsidR="00E94D06" w:rsidRPr="00B45E7F">
        <w:t xml:space="preserve"> the model </w:t>
      </w:r>
      <w:r w:rsidR="000C6301" w:rsidRPr="00B45E7F">
        <w:t>does not</w:t>
      </w:r>
      <w:r w:rsidR="00E94D06" w:rsidRPr="00B45E7F">
        <w:t xml:space="preserve"> reflect the </w:t>
      </w:r>
      <w:r w:rsidR="00FB3C65" w:rsidRPr="00B45E7F">
        <w:t xml:space="preserve">survival expected for the </w:t>
      </w:r>
      <w:r w:rsidR="00E94D06" w:rsidRPr="00B45E7F">
        <w:lastRenderedPageBreak/>
        <w:t xml:space="preserve">proposed PBS population, where the literature indicates </w:t>
      </w:r>
      <w:r w:rsidR="00926E3F" w:rsidRPr="00B45E7F">
        <w:t xml:space="preserve">that </w:t>
      </w:r>
      <w:r w:rsidR="00E94D06" w:rsidRPr="00B45E7F">
        <w:t>for patients who survive to t</w:t>
      </w:r>
      <w:r w:rsidR="00926E3F" w:rsidRPr="00B45E7F">
        <w:t>w</w:t>
      </w:r>
      <w:r w:rsidR="00E94D06" w:rsidRPr="00B45E7F">
        <w:t xml:space="preserve">o years, approximately 85% </w:t>
      </w:r>
      <w:r w:rsidR="00926E3F" w:rsidRPr="00B45E7F">
        <w:t>are alive at 10 years (Wingard 2011)</w:t>
      </w:r>
      <w:r w:rsidRPr="00B45E7F">
        <w:t>.</w:t>
      </w:r>
      <w:r w:rsidR="00926E3F" w:rsidRPr="00B45E7F">
        <w:t xml:space="preserve">  It may have been appropriate for the submission to apply available two year survival data</w:t>
      </w:r>
      <w:r w:rsidR="00B07B33" w:rsidRPr="00B45E7F">
        <w:t xml:space="preserve"> (Week 48 data from Trial P001 and ABMTRR data to 2 years)</w:t>
      </w:r>
      <w:r w:rsidR="00926E3F" w:rsidRPr="00B45E7F">
        <w:t xml:space="preserve"> followed by extrapolation to 10 years, instead of extrapolation from Week 1</w:t>
      </w:r>
      <w:r w:rsidR="00BB5B25" w:rsidRPr="00B45E7F">
        <w:t>.</w:t>
      </w:r>
      <w:r w:rsidRPr="00B45E7F">
        <w:t xml:space="preserve">  </w:t>
      </w:r>
      <w:r w:rsidR="00C34415" w:rsidRPr="00C34415">
        <w:t xml:space="preserve">The ESC agreed with the evaluation, noting </w:t>
      </w:r>
      <w:r w:rsidR="005C0D06">
        <w:t xml:space="preserve">the argument </w:t>
      </w:r>
      <w:proofErr w:type="gramStart"/>
      <w:r w:rsidR="005C0D06">
        <w:t>raised</w:t>
      </w:r>
      <w:proofErr w:type="gramEnd"/>
      <w:r w:rsidR="005C0D06">
        <w:t xml:space="preserve"> in the PSCR</w:t>
      </w:r>
      <w:r w:rsidR="00C34415" w:rsidRPr="00C34415">
        <w:t>. The ESC noted that the 10 year survival data in the ABMTRR annual report 2016 broadly supported the conclusions of Wingard 2011. The ESC considered that it is likely that if a patient is alive at 2 years post HSCT, they have a high likelihood of long term survival.</w:t>
      </w:r>
    </w:p>
    <w:p w:rsidR="00C34415" w:rsidRDefault="00926E3F" w:rsidP="00C34415">
      <w:pPr>
        <w:pStyle w:val="ListParagraph"/>
        <w:numPr>
          <w:ilvl w:val="1"/>
          <w:numId w:val="2"/>
        </w:numPr>
      </w:pPr>
      <w:r w:rsidRPr="00B45E7F">
        <w:t xml:space="preserve">In addition, a </w:t>
      </w:r>
      <w:r w:rsidR="00077699" w:rsidRPr="00B45E7F">
        <w:t xml:space="preserve">number of inputs to the model are not likely to be representative of those seen in clinical practice, in particular the utility values used, along with the costs applied for </w:t>
      </w:r>
      <w:r w:rsidR="004061D4" w:rsidRPr="00B45E7F">
        <w:t>GVHD</w:t>
      </w:r>
      <w:r w:rsidR="00077699" w:rsidRPr="00B45E7F">
        <w:t>.</w:t>
      </w:r>
      <w:r w:rsidRPr="00B45E7F">
        <w:t xml:space="preserve">  </w:t>
      </w:r>
      <w:r w:rsidR="00BD4639" w:rsidRPr="00B45E7F">
        <w:t xml:space="preserve">Decreasing the post-HSCT transplant utility value of 0.9 by 20% to 0.72 </w:t>
      </w:r>
      <w:r w:rsidR="00687752" w:rsidRPr="00B45E7F">
        <w:t>(</w:t>
      </w:r>
      <w:r w:rsidR="00687752" w:rsidRPr="00B45E7F">
        <w:rPr>
          <w:iCs/>
        </w:rPr>
        <w:t xml:space="preserve">corresponding to the change in utility value applied by the submission for </w:t>
      </w:r>
      <w:r w:rsidR="004061D4" w:rsidRPr="00B45E7F">
        <w:rPr>
          <w:iCs/>
        </w:rPr>
        <w:t>GVHD</w:t>
      </w:r>
      <w:r w:rsidR="00687752" w:rsidRPr="00B45E7F">
        <w:rPr>
          <w:iCs/>
        </w:rPr>
        <w:t xml:space="preserve"> utility values</w:t>
      </w:r>
      <w:r w:rsidR="00687752" w:rsidRPr="00B45E7F">
        <w:t xml:space="preserve">) </w:t>
      </w:r>
      <w:r w:rsidR="00BD4639" w:rsidRPr="00B45E7F">
        <w:t>increased the ICER to $</w:t>
      </w:r>
      <w:r w:rsidR="005172C1">
        <w:t>15,000</w:t>
      </w:r>
      <w:r w:rsidR="0049136D" w:rsidRPr="00B45E7F">
        <w:t>/QALY</w:t>
      </w:r>
      <w:r w:rsidR="005172C1">
        <w:t xml:space="preserve"> - $45,000/QALY</w:t>
      </w:r>
      <w:r w:rsidR="00BD4639" w:rsidRPr="00B45E7F">
        <w:t xml:space="preserve">.  </w:t>
      </w:r>
      <w:r w:rsidR="00C34415" w:rsidRPr="00C34415">
        <w:t xml:space="preserve">The </w:t>
      </w:r>
      <w:proofErr w:type="gramStart"/>
      <w:r w:rsidR="00C34415" w:rsidRPr="00C34415">
        <w:t>PSCR  reiterated</w:t>
      </w:r>
      <w:proofErr w:type="gramEnd"/>
      <w:r w:rsidR="00C34415" w:rsidRPr="00C34415">
        <w:t xml:space="preserve"> utility values used for the HSCT post-transplant state (0.9) represent patient without chronic GVHD. The ESC noted this, but reiterated its concern about the seemingly implausibly high values for some health states, that modelled </w:t>
      </w:r>
      <w:proofErr w:type="gramStart"/>
      <w:r w:rsidR="00C34415" w:rsidRPr="00C34415">
        <w:t>unwell</w:t>
      </w:r>
      <w:proofErr w:type="gramEnd"/>
      <w:r w:rsidR="00C34415" w:rsidRPr="00C34415">
        <w:t xml:space="preserve"> patients. It was further noted that </w:t>
      </w:r>
      <w:r w:rsidR="00374D70" w:rsidRPr="00C34415">
        <w:t>neither the submission nor</w:t>
      </w:r>
      <w:r w:rsidR="00C34415" w:rsidRPr="00C34415">
        <w:t xml:space="preserve"> PSCR provide</w:t>
      </w:r>
      <w:r w:rsidR="008413EE">
        <w:t>d</w:t>
      </w:r>
      <w:r w:rsidR="00C34415" w:rsidRPr="00C34415">
        <w:t xml:space="preserve"> an explanation to why trial-based values were not considered for use in the economic model, although, as noted in the clinical issues above, the values sourced from the trial also appeared high.</w:t>
      </w:r>
    </w:p>
    <w:p w:rsidR="00DF38DB" w:rsidRPr="00B45E7F" w:rsidRDefault="00DF38DB" w:rsidP="00DF38DB">
      <w:pPr>
        <w:pStyle w:val="ListParagraph"/>
        <w:numPr>
          <w:ilvl w:val="1"/>
          <w:numId w:val="2"/>
        </w:numPr>
      </w:pPr>
      <w:r w:rsidRPr="00FE7CCD">
        <w:t xml:space="preserve">Inclusion of three health states for </w:t>
      </w:r>
      <w:r>
        <w:t>GVHD</w:t>
      </w:r>
      <w:r w:rsidRPr="00FE7CCD">
        <w:t xml:space="preserve"> (acute </w:t>
      </w:r>
      <w:r>
        <w:t>GVHD</w:t>
      </w:r>
      <w:r w:rsidRPr="00941995">
        <w:t xml:space="preserve"> Grade II, acute </w:t>
      </w:r>
      <w:r>
        <w:t>GVHD</w:t>
      </w:r>
      <w:r w:rsidRPr="00941995">
        <w:t xml:space="preserve"> Grade III-IV and chronic </w:t>
      </w:r>
      <w:r>
        <w:t>GVHD</w:t>
      </w:r>
      <w:r w:rsidRPr="00941995">
        <w:t xml:space="preserve">) seemed unnecessary given </w:t>
      </w:r>
      <w:r>
        <w:t>t</w:t>
      </w:r>
      <w:r w:rsidR="00BD4639" w:rsidRPr="00B45E7F">
        <w:t xml:space="preserve">here was no statistically significant difference in the occurrence of </w:t>
      </w:r>
      <w:r w:rsidR="004061D4" w:rsidRPr="00B45E7F">
        <w:t>GVHD</w:t>
      </w:r>
      <w:r w:rsidR="00BD4639" w:rsidRPr="00B45E7F">
        <w:t xml:space="preserve"> in Trial P001</w:t>
      </w:r>
      <w:r w:rsidR="00FB3C65" w:rsidRPr="00B45E7F">
        <w:t>.</w:t>
      </w:r>
      <w:r w:rsidR="007E2E7D" w:rsidRPr="00B45E7F">
        <w:t xml:space="preserve"> </w:t>
      </w:r>
      <w:r w:rsidR="00FB3C65" w:rsidRPr="00B45E7F">
        <w:t>A</w:t>
      </w:r>
      <w:r w:rsidR="00BD4639" w:rsidRPr="00B45E7F">
        <w:t xml:space="preserve"> sensitivity analysis making the occurrence of </w:t>
      </w:r>
      <w:r w:rsidR="004061D4" w:rsidRPr="00B45E7F">
        <w:t>GVHD</w:t>
      </w:r>
      <w:r w:rsidR="00BD4639" w:rsidRPr="00B45E7F">
        <w:t xml:space="preserve"> the same between letermovir and placebo increased the ICER to over $</w:t>
      </w:r>
      <w:r w:rsidR="005172C1">
        <w:t>45,000</w:t>
      </w:r>
      <w:r w:rsidR="0049136D" w:rsidRPr="00B45E7F">
        <w:t>/QALY</w:t>
      </w:r>
      <w:r w:rsidR="005172C1">
        <w:t xml:space="preserve"> - $75,000/QALY</w:t>
      </w:r>
      <w:r w:rsidR="00BD4639" w:rsidRPr="00B45E7F">
        <w:t>.</w:t>
      </w:r>
      <w:r>
        <w:t xml:space="preserve"> </w:t>
      </w:r>
      <w:r w:rsidRPr="00DF38DB">
        <w:t>The PSCR argued as GVHD is associated with a significant impact on both health outcomes and health care resources utilisation, it is important to capture these long-term impacts in the model.  The ESC acknowledged that avoidance of GVHD is a patient-relative outcome. However, the ESC considered that need for splitting GVHD into multiple health state</w:t>
      </w:r>
      <w:r>
        <w:t>s has still not been addressed.</w:t>
      </w:r>
    </w:p>
    <w:p w:rsidR="00DF38DB" w:rsidRDefault="001F68AA" w:rsidP="00F238DC">
      <w:pPr>
        <w:pStyle w:val="ListParagraph"/>
        <w:numPr>
          <w:ilvl w:val="1"/>
          <w:numId w:val="2"/>
        </w:numPr>
      </w:pPr>
      <w:r w:rsidRPr="00B45E7F">
        <w:t xml:space="preserve">The economic model assumed that </w:t>
      </w:r>
      <w:r w:rsidR="004569C1">
        <w:rPr>
          <w:noProof/>
          <w:color w:val="000000"/>
          <w:highlight w:val="black"/>
        </w:rPr>
        <w:t>''''''</w:t>
      </w:r>
      <w:r w:rsidRPr="00B45E7F">
        <w:t xml:space="preserve">% of patients would use concomitant cyclosporin and therefore the 240mg/day dose of letermovir.  </w:t>
      </w:r>
      <w:r w:rsidR="00F238DC" w:rsidRPr="00F238DC">
        <w:t>The ESC noted that cyclosporin is generally used as standard practice in clinics and considered that the assumption was reasonable. The ESC noted that the submission considered that uncertainty around the rate of cyclosporin use, as well as treatment duration, could be addressed through a risk sharing arrangement</w:t>
      </w:r>
      <w:r w:rsidR="00F238DC">
        <w:t xml:space="preserve">.  </w:t>
      </w:r>
      <w:r w:rsidR="007E2E7D" w:rsidRPr="00B45E7F">
        <w:t xml:space="preserve">The ESC noted that if the duration of cyclosporin treatment does not match letermovir treatment, then a patient may be require to increase the dose of letermovir to 480 mg/day.  </w:t>
      </w:r>
      <w:r w:rsidRPr="00B45E7F">
        <w:t xml:space="preserve">In its financial estimates, the submission applied a sensitivity analysis assuming use </w:t>
      </w:r>
      <w:r w:rsidR="00244622" w:rsidRPr="00B45E7F">
        <w:t>of cyclospor</w:t>
      </w:r>
      <w:r w:rsidRPr="00B45E7F">
        <w:t>in in 80% of patients.  When the same value was applied to the costing of letermovir in the economic model, the ICER increased to $</w:t>
      </w:r>
      <w:r w:rsidR="00A00AE3">
        <w:t>15,000</w:t>
      </w:r>
      <w:r w:rsidRPr="00B45E7F">
        <w:t>/QALY</w:t>
      </w:r>
      <w:r w:rsidR="00A00AE3">
        <w:t xml:space="preserve"> - $45,000/QALY</w:t>
      </w:r>
      <w:r w:rsidRPr="00B45E7F">
        <w:t>.</w:t>
      </w:r>
      <w:r w:rsidR="00244622" w:rsidRPr="00B45E7F">
        <w:t xml:space="preserve">  </w:t>
      </w:r>
    </w:p>
    <w:p w:rsidR="001F68AA" w:rsidRPr="00B45E7F" w:rsidRDefault="00244622" w:rsidP="00DF38DB">
      <w:pPr>
        <w:pStyle w:val="ListParagraph"/>
        <w:numPr>
          <w:ilvl w:val="1"/>
          <w:numId w:val="2"/>
        </w:numPr>
      </w:pPr>
      <w:r w:rsidRPr="00B45E7F">
        <w:lastRenderedPageBreak/>
        <w:t xml:space="preserve">The economic model also assumed that patients would only be treated for 78 days, as in Trial P001, however the requested restriction provides 112 days of treatment (greater than the 100 days of recommended treatment).  </w:t>
      </w:r>
      <w:r w:rsidR="00DF38DB" w:rsidRPr="00DF38DB">
        <w:t xml:space="preserve">The mean treatment duration for oral letermovir was </w:t>
      </w:r>
      <w:r w:rsidR="004569C1">
        <w:rPr>
          <w:noProof/>
          <w:color w:val="000000"/>
          <w:highlight w:val="black"/>
        </w:rPr>
        <w:t>''''''''</w:t>
      </w:r>
      <w:r w:rsidR="00DF38DB" w:rsidRPr="00DF38DB">
        <w:t xml:space="preserve"> days (Updated Week 24 CSR, provided with PSCR). The ESC considered that in practice nearly all patients will be treated for a period longer than 78 days. </w:t>
      </w:r>
      <w:r w:rsidR="00DF38DB">
        <w:t>As discussed above</w:t>
      </w:r>
      <w:r w:rsidR="00F238DC">
        <w:t xml:space="preserve"> in the Comparative effectiveness Section</w:t>
      </w:r>
      <w:r w:rsidR="00DF38DB">
        <w:t>, the</w:t>
      </w:r>
      <w:r w:rsidR="00DF38DB" w:rsidRPr="00DF38DB">
        <w:t xml:space="preserve"> treatment duration in practice would evolve quickly; therefore </w:t>
      </w:r>
      <w:r w:rsidR="00DF38DB">
        <w:t xml:space="preserve">the ESC considered that </w:t>
      </w:r>
      <w:r w:rsidR="00DF38DB" w:rsidRPr="00DF38DB">
        <w:t xml:space="preserve">the likely duration of therapy in clinical practice (and cost) remains unclear. </w:t>
      </w:r>
      <w:r w:rsidRPr="00B45E7F">
        <w:t>When cost for 112 days of letermovir treatment was included in the model, the ICER increased to $</w:t>
      </w:r>
      <w:r w:rsidR="00A00AE3">
        <w:t>15,000</w:t>
      </w:r>
      <w:r w:rsidR="0007471E" w:rsidRPr="00B45E7F">
        <w:t>/QALY</w:t>
      </w:r>
      <w:r w:rsidR="00A00AE3">
        <w:t xml:space="preserve"> - $45,000/QALY</w:t>
      </w:r>
      <w:r w:rsidRPr="00B45E7F">
        <w:t xml:space="preserve">.  With both the longer treatment duration (112 days) and </w:t>
      </w:r>
      <w:r w:rsidR="00713762" w:rsidRPr="00B45E7F">
        <w:t xml:space="preserve">use of </w:t>
      </w:r>
      <w:r w:rsidRPr="00B45E7F">
        <w:t xml:space="preserve">cyclosporin </w:t>
      </w:r>
      <w:r w:rsidR="00713762" w:rsidRPr="00B45E7F">
        <w:t>in 80% of patients</w:t>
      </w:r>
      <w:r w:rsidRPr="00B45E7F">
        <w:t>, the ICER increased to $</w:t>
      </w:r>
      <w:r w:rsidR="00A00AE3">
        <w:t>45,000</w:t>
      </w:r>
      <w:r w:rsidRPr="00B45E7F">
        <w:t>/QALY</w:t>
      </w:r>
      <w:r w:rsidR="00A00AE3">
        <w:t xml:space="preserve"> - $75,000/QALY</w:t>
      </w:r>
      <w:r w:rsidRPr="00B45E7F">
        <w:t>.</w:t>
      </w:r>
    </w:p>
    <w:p w:rsidR="00C25D9C" w:rsidRPr="00B45E7F" w:rsidRDefault="00926E3F" w:rsidP="00C34415">
      <w:pPr>
        <w:pStyle w:val="ListParagraph"/>
        <w:numPr>
          <w:ilvl w:val="1"/>
          <w:numId w:val="2"/>
        </w:numPr>
      </w:pPr>
      <w:r w:rsidRPr="00B45E7F">
        <w:t xml:space="preserve">The model demonstrated considerable sensitivity to duration, </w:t>
      </w:r>
      <w:r w:rsidR="007E5D23" w:rsidRPr="00B45E7F">
        <w:t>with a time horizon of 2 years resulting in an ICER of $</w:t>
      </w:r>
      <w:r w:rsidR="000E39B1">
        <w:t>105,000</w:t>
      </w:r>
      <w:r w:rsidR="007E5D23" w:rsidRPr="00B45E7F">
        <w:t>/QALY</w:t>
      </w:r>
      <w:r w:rsidR="000E39B1">
        <w:t xml:space="preserve"> - $200,000/QALY</w:t>
      </w:r>
      <w:r w:rsidR="007E5D23" w:rsidRPr="00B45E7F">
        <w:t xml:space="preserve"> compared to $</w:t>
      </w:r>
      <w:r w:rsidR="000E39B1">
        <w:t>15,000</w:t>
      </w:r>
      <w:r w:rsidR="007E5D23" w:rsidRPr="00B45E7F">
        <w:t>/QALY</w:t>
      </w:r>
      <w:r w:rsidR="000E39B1">
        <w:t xml:space="preserve"> - $45,000/QALY</w:t>
      </w:r>
      <w:r w:rsidR="007E5D23" w:rsidRPr="00B45E7F">
        <w:t xml:space="preserve"> at 10 years in the base case</w:t>
      </w:r>
      <w:r w:rsidRPr="00B45E7F">
        <w:t xml:space="preserve">.  When coupled with the fact that virtually all events (CMV infection, CMV disease, </w:t>
      </w:r>
      <w:r w:rsidR="004061D4" w:rsidRPr="00B45E7F">
        <w:t>GVHD</w:t>
      </w:r>
      <w:r w:rsidRPr="00B45E7F">
        <w:t>) occurred within the first year of the model, the impact of the extrapolation applied suggested that the model was not likely to have accurately estimated the cost-effectiveness of letermovir</w:t>
      </w:r>
      <w:r w:rsidR="00BD4639" w:rsidRPr="00B45E7F">
        <w:t>.</w:t>
      </w:r>
      <w:r w:rsidR="00C34415">
        <w:t xml:space="preserve">  </w:t>
      </w:r>
      <w:r w:rsidR="00C34415" w:rsidRPr="00C34415">
        <w:t>The PSCR argued that the 10-year time horizon is justified due to the long-term implications of CMV infections and GVHD after HSCT, in terms of increased mortality and reduced quality of life. The ESC noted that a 10 year time horizon may be reasonable to capture the life years gained (LYG) from deaths avoided due to CMV infections but that the results using this time horizon were not reliable because the extrapolations applied in the submission were implausible.</w:t>
      </w:r>
    </w:p>
    <w:p w:rsidR="003350C2" w:rsidRPr="00B45E7F" w:rsidRDefault="00D12083" w:rsidP="00F238DC">
      <w:pPr>
        <w:pStyle w:val="ListParagraph"/>
        <w:numPr>
          <w:ilvl w:val="1"/>
          <w:numId w:val="2"/>
        </w:numPr>
      </w:pPr>
      <w:r w:rsidRPr="00B45E7F">
        <w:t xml:space="preserve">The PSCR stated the sponsor acknowledges uncertainty regarding long-term mortality and analyses </w:t>
      </w:r>
      <w:r w:rsidR="005C40FC">
        <w:t>were</w:t>
      </w:r>
      <w:r w:rsidRPr="00B45E7F">
        <w:t xml:space="preserve"> presented using trial data up to 42 weeks followed by lognormal extrapolation as well as trial data followed by natural mortality using Australian life expectancy tables.  The results of these analyses for both 5 and 10 year model durations are provided in the table below.</w:t>
      </w:r>
      <w:r w:rsidR="003350C2" w:rsidRPr="00B45E7F">
        <w:t xml:space="preserve"> The ESC noted that it was not possible to verify the ICERs using different approaches and dat</w:t>
      </w:r>
      <w:r w:rsidR="007E2E7D" w:rsidRPr="00B45E7F">
        <w:t>a</w:t>
      </w:r>
      <w:r w:rsidR="003350C2" w:rsidRPr="00B45E7F">
        <w:t>sets for extrapolations</w:t>
      </w:r>
      <w:r w:rsidR="007E2E7D" w:rsidRPr="00B45E7F">
        <w:t xml:space="preserve"> </w:t>
      </w:r>
      <w:r w:rsidR="003350C2" w:rsidRPr="00B45E7F">
        <w:t xml:space="preserve">as part of the response </w:t>
      </w:r>
      <w:r w:rsidR="0043589C" w:rsidRPr="00B45E7F">
        <w:t>process;</w:t>
      </w:r>
      <w:r w:rsidR="003350C2" w:rsidRPr="00B45E7F">
        <w:t xml:space="preserve"> however the additional analyses confirmed the sensitivity of the model to the time horizon and the extrapolation approach. </w:t>
      </w:r>
    </w:p>
    <w:p w:rsidR="00D12083" w:rsidRPr="00B45E7F" w:rsidRDefault="00D12083" w:rsidP="00374D70">
      <w:pPr>
        <w:keepNext/>
        <w:rPr>
          <w:rStyle w:val="CommentReference"/>
          <w:szCs w:val="20"/>
        </w:rPr>
      </w:pPr>
      <w:r w:rsidRPr="00B45E7F">
        <w:rPr>
          <w:rStyle w:val="CommentReference"/>
          <w:szCs w:val="20"/>
        </w:rPr>
        <w:lastRenderedPageBreak/>
        <w:t xml:space="preserve">Table </w:t>
      </w:r>
      <w:r w:rsidR="009D766D" w:rsidRPr="00B45E7F">
        <w:rPr>
          <w:rStyle w:val="CommentReference"/>
          <w:szCs w:val="20"/>
        </w:rPr>
        <w:t>12</w:t>
      </w:r>
      <w:r w:rsidRPr="00B45E7F">
        <w:rPr>
          <w:rStyle w:val="CommentReference"/>
          <w:szCs w:val="20"/>
        </w:rPr>
        <w:t>: Analyses with mortality extrapolation altered from the submission’s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D12083" w:rsidRPr="00B45E7F" w:rsidTr="001C42B8">
        <w:trPr>
          <w:tblHeader/>
        </w:trPr>
        <w:tc>
          <w:tcPr>
            <w:tcW w:w="1529" w:type="pct"/>
            <w:vAlign w:val="center"/>
          </w:tcPr>
          <w:p w:rsidR="00D12083" w:rsidRPr="00B45E7F" w:rsidRDefault="00D12083" w:rsidP="00374D70">
            <w:pPr>
              <w:pStyle w:val="Tabletext"/>
              <w:keepNext/>
              <w:widowControl w:val="0"/>
              <w:rPr>
                <w:b/>
              </w:rPr>
            </w:pPr>
            <w:r w:rsidRPr="00B45E7F">
              <w:rPr>
                <w:b/>
              </w:rPr>
              <w:t>Step and component</w:t>
            </w:r>
          </w:p>
        </w:tc>
        <w:tc>
          <w:tcPr>
            <w:tcW w:w="1359" w:type="pct"/>
            <w:vAlign w:val="center"/>
          </w:tcPr>
          <w:p w:rsidR="00D12083" w:rsidRPr="00B45E7F" w:rsidRDefault="00D12083" w:rsidP="00374D70">
            <w:pPr>
              <w:pStyle w:val="Tabletext"/>
              <w:keepNext/>
              <w:widowControl w:val="0"/>
              <w:jc w:val="center"/>
              <w:rPr>
                <w:b/>
              </w:rPr>
            </w:pPr>
            <w:r w:rsidRPr="00B45E7F">
              <w:rPr>
                <w:b/>
              </w:rPr>
              <w:t>Letermovir</w:t>
            </w:r>
          </w:p>
        </w:tc>
        <w:tc>
          <w:tcPr>
            <w:tcW w:w="1274" w:type="pct"/>
            <w:vAlign w:val="center"/>
          </w:tcPr>
          <w:p w:rsidR="00D12083" w:rsidRPr="00B45E7F" w:rsidRDefault="00D12083" w:rsidP="00374D70">
            <w:pPr>
              <w:pStyle w:val="Tabletext"/>
              <w:keepNext/>
              <w:widowControl w:val="0"/>
              <w:jc w:val="center"/>
              <w:rPr>
                <w:b/>
              </w:rPr>
            </w:pPr>
            <w:r w:rsidRPr="00B45E7F">
              <w:rPr>
                <w:b/>
              </w:rPr>
              <w:t>Placebo</w:t>
            </w:r>
          </w:p>
        </w:tc>
        <w:tc>
          <w:tcPr>
            <w:tcW w:w="838" w:type="pct"/>
            <w:vAlign w:val="center"/>
          </w:tcPr>
          <w:p w:rsidR="00D12083" w:rsidRPr="00B45E7F" w:rsidRDefault="00D12083" w:rsidP="00374D70">
            <w:pPr>
              <w:pStyle w:val="Tabletext"/>
              <w:keepNext/>
              <w:widowControl w:val="0"/>
              <w:jc w:val="center"/>
              <w:rPr>
                <w:b/>
              </w:rPr>
            </w:pPr>
            <w:r w:rsidRPr="00B45E7F">
              <w:rPr>
                <w:b/>
              </w:rPr>
              <w:t>Increment</w:t>
            </w:r>
          </w:p>
        </w:tc>
      </w:tr>
      <w:tr w:rsidR="00D12083" w:rsidRPr="00B45E7F" w:rsidTr="001C42B8">
        <w:tc>
          <w:tcPr>
            <w:tcW w:w="5000" w:type="pct"/>
            <w:gridSpan w:val="4"/>
            <w:vAlign w:val="center"/>
          </w:tcPr>
          <w:p w:rsidR="00D12083" w:rsidRPr="00B45E7F" w:rsidRDefault="00D12083" w:rsidP="00374D70">
            <w:pPr>
              <w:pStyle w:val="Tabletext"/>
              <w:keepNext/>
              <w:widowControl w:val="0"/>
              <w:rPr>
                <w:b/>
              </w:rPr>
            </w:pPr>
            <w:r w:rsidRPr="00B45E7F">
              <w:rPr>
                <w:b/>
              </w:rPr>
              <w:t>Submission base case – 10 year time horizon</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Costs</w:t>
            </w:r>
          </w:p>
        </w:tc>
        <w:tc>
          <w:tcPr>
            <w:tcW w:w="1359" w:type="pct"/>
            <w:vAlign w:val="center"/>
          </w:tcPr>
          <w:p w:rsidR="00D12083" w:rsidRPr="00B45E7F" w:rsidRDefault="00D12083" w:rsidP="00374D70">
            <w:pPr>
              <w:pStyle w:val="Tabletext"/>
              <w:keepNext/>
              <w:widowControl w:val="0"/>
              <w:jc w:val="center"/>
              <w:rPr>
                <w:rFonts w:ascii="Times" w:hAnsi="Times"/>
              </w:rPr>
            </w:pPr>
            <w:r w:rsidRPr="00B45E7F">
              <w:t>$</w:t>
            </w:r>
            <w:r w:rsidR="004569C1">
              <w:rPr>
                <w:noProof/>
                <w:color w:val="000000"/>
                <w:highlight w:val="black"/>
              </w:rPr>
              <w:t>''''''''''''''''''''</w:t>
            </w:r>
          </w:p>
        </w:tc>
        <w:tc>
          <w:tcPr>
            <w:tcW w:w="1274" w:type="pct"/>
            <w:vAlign w:val="center"/>
          </w:tcPr>
          <w:p w:rsidR="00D12083" w:rsidRPr="00B45E7F" w:rsidRDefault="00D12083" w:rsidP="00374D70">
            <w:pPr>
              <w:pStyle w:val="Tabletext"/>
              <w:keepNext/>
              <w:widowControl w:val="0"/>
              <w:jc w:val="center"/>
              <w:rPr>
                <w:rFonts w:ascii="Times" w:hAnsi="Times"/>
              </w:rPr>
            </w:pPr>
            <w:r w:rsidRPr="00B45E7F">
              <w:t>$</w:t>
            </w:r>
            <w:r w:rsidR="004569C1">
              <w:rPr>
                <w:noProof/>
                <w:color w:val="000000"/>
                <w:highlight w:val="black"/>
              </w:rPr>
              <w:t>''''''''''''''''''</w:t>
            </w:r>
          </w:p>
        </w:tc>
        <w:tc>
          <w:tcPr>
            <w:tcW w:w="838" w:type="pct"/>
            <w:vAlign w:val="center"/>
          </w:tcPr>
          <w:p w:rsidR="00D12083" w:rsidRPr="00B45E7F" w:rsidRDefault="00D12083" w:rsidP="00374D70">
            <w:pPr>
              <w:pStyle w:val="Tabletext"/>
              <w:keepNext/>
              <w:widowControl w:val="0"/>
              <w:jc w:val="center"/>
              <w:rPr>
                <w:rFonts w:ascii="Times" w:hAnsi="Times"/>
              </w:rPr>
            </w:pPr>
            <w:r w:rsidRPr="00B45E7F">
              <w:t>$</w:t>
            </w:r>
            <w:r w:rsidR="004569C1">
              <w:rPr>
                <w:noProof/>
                <w:color w:val="000000"/>
                <w:highlight w:val="black"/>
              </w:rPr>
              <w:t>'''''''''''''''</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QALY</w:t>
            </w:r>
          </w:p>
        </w:tc>
        <w:tc>
          <w:tcPr>
            <w:tcW w:w="1359" w:type="pct"/>
            <w:vAlign w:val="center"/>
          </w:tcPr>
          <w:p w:rsidR="00D12083" w:rsidRPr="00B45E7F" w:rsidRDefault="00D12083" w:rsidP="00374D70">
            <w:pPr>
              <w:pStyle w:val="Tabletext"/>
              <w:keepNext/>
              <w:widowControl w:val="0"/>
              <w:jc w:val="center"/>
              <w:rPr>
                <w:rFonts w:ascii="Times" w:hAnsi="Times"/>
              </w:rPr>
            </w:pPr>
            <w:r w:rsidRPr="00B45E7F">
              <w:t>2.84</w:t>
            </w:r>
          </w:p>
        </w:tc>
        <w:tc>
          <w:tcPr>
            <w:tcW w:w="1274" w:type="pct"/>
            <w:vAlign w:val="center"/>
          </w:tcPr>
          <w:p w:rsidR="00D12083" w:rsidRPr="00B45E7F" w:rsidRDefault="00D12083" w:rsidP="00374D70">
            <w:pPr>
              <w:pStyle w:val="Tabletext"/>
              <w:keepNext/>
              <w:widowControl w:val="0"/>
              <w:jc w:val="center"/>
              <w:rPr>
                <w:rFonts w:ascii="Times" w:hAnsi="Times"/>
              </w:rPr>
            </w:pPr>
            <w:r w:rsidRPr="00B45E7F">
              <w:t>2.31</w:t>
            </w:r>
          </w:p>
        </w:tc>
        <w:tc>
          <w:tcPr>
            <w:tcW w:w="838" w:type="pct"/>
            <w:vAlign w:val="center"/>
          </w:tcPr>
          <w:p w:rsidR="00D12083" w:rsidRPr="00B45E7F" w:rsidRDefault="00D12083" w:rsidP="00374D70">
            <w:pPr>
              <w:pStyle w:val="Tabletext"/>
              <w:keepNext/>
              <w:widowControl w:val="0"/>
              <w:jc w:val="center"/>
            </w:pPr>
            <w:r w:rsidRPr="00B45E7F">
              <w:t>0.53</w:t>
            </w:r>
          </w:p>
        </w:tc>
      </w:tr>
      <w:tr w:rsidR="00D12083" w:rsidRPr="00B45E7F" w:rsidTr="001C42B8">
        <w:tc>
          <w:tcPr>
            <w:tcW w:w="4162" w:type="pct"/>
            <w:gridSpan w:val="3"/>
            <w:vAlign w:val="center"/>
          </w:tcPr>
          <w:p w:rsidR="00D12083" w:rsidRPr="00B45E7F" w:rsidRDefault="00D12083" w:rsidP="00374D70">
            <w:pPr>
              <w:pStyle w:val="Tabletext"/>
              <w:keepNext/>
              <w:widowControl w:val="0"/>
              <w:rPr>
                <w:rFonts w:ascii="Times" w:hAnsi="Times"/>
                <w:b/>
              </w:rPr>
            </w:pPr>
            <w:r w:rsidRPr="00B45E7F">
              <w:rPr>
                <w:b/>
              </w:rPr>
              <w:t>Incremental cost/extra QALY gained</w:t>
            </w:r>
          </w:p>
        </w:tc>
        <w:tc>
          <w:tcPr>
            <w:tcW w:w="838" w:type="pct"/>
            <w:vAlign w:val="center"/>
          </w:tcPr>
          <w:p w:rsidR="00D12083" w:rsidRPr="00B45E7F" w:rsidRDefault="00D12083" w:rsidP="00374D70">
            <w:pPr>
              <w:pStyle w:val="Tabletext"/>
              <w:keepNext/>
              <w:widowControl w:val="0"/>
              <w:jc w:val="center"/>
              <w:rPr>
                <w:rFonts w:ascii="Times" w:hAnsi="Times"/>
                <w:b/>
              </w:rPr>
            </w:pPr>
            <w:r w:rsidRPr="00B45E7F">
              <w:rPr>
                <w:b/>
              </w:rPr>
              <w:t>$</w:t>
            </w:r>
            <w:r w:rsidR="004569C1">
              <w:rPr>
                <w:b/>
                <w:noProof/>
                <w:color w:val="000000"/>
                <w:highlight w:val="black"/>
              </w:rPr>
              <w:t>''''''''''''''</w:t>
            </w:r>
          </w:p>
        </w:tc>
      </w:tr>
      <w:tr w:rsidR="00D12083" w:rsidRPr="00B45E7F" w:rsidTr="001C42B8">
        <w:tc>
          <w:tcPr>
            <w:tcW w:w="5000" w:type="pct"/>
            <w:gridSpan w:val="4"/>
            <w:vAlign w:val="center"/>
          </w:tcPr>
          <w:p w:rsidR="00D12083" w:rsidRPr="00B45E7F" w:rsidRDefault="00D12083" w:rsidP="00374D70">
            <w:pPr>
              <w:pStyle w:val="Tabletext"/>
              <w:keepNext/>
              <w:widowControl w:val="0"/>
              <w:rPr>
                <w:b/>
              </w:rPr>
            </w:pPr>
            <w:r w:rsidRPr="00B45E7F">
              <w:rPr>
                <w:b/>
              </w:rPr>
              <w:t>Scenario 1: trial data at 48 weeks and log-normal extrapolation with a 10 year time horizon</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Costs</w:t>
            </w:r>
          </w:p>
        </w:tc>
        <w:tc>
          <w:tcPr>
            <w:tcW w:w="1359" w:type="pct"/>
            <w:vAlign w:val="center"/>
          </w:tcPr>
          <w:p w:rsidR="00D12083" w:rsidRPr="00B45E7F" w:rsidRDefault="00D12083" w:rsidP="00374D70">
            <w:pPr>
              <w:pStyle w:val="Tabletext"/>
              <w:keepNext/>
              <w:widowControl w:val="0"/>
              <w:jc w:val="center"/>
              <w:rPr>
                <w:szCs w:val="20"/>
              </w:rPr>
            </w:pPr>
            <w:r w:rsidRPr="00B45E7F">
              <w:rPr>
                <w:szCs w:val="20"/>
              </w:rPr>
              <w:t>$</w:t>
            </w:r>
            <w:r w:rsidR="004569C1">
              <w:rPr>
                <w:noProof/>
                <w:color w:val="000000"/>
                <w:szCs w:val="20"/>
                <w:highlight w:val="black"/>
              </w:rPr>
              <w:t>''''''''''''''''''''</w:t>
            </w:r>
          </w:p>
        </w:tc>
        <w:tc>
          <w:tcPr>
            <w:tcW w:w="1274" w:type="pct"/>
            <w:vAlign w:val="center"/>
          </w:tcPr>
          <w:p w:rsidR="00D12083" w:rsidRPr="00B45E7F" w:rsidRDefault="00D12083" w:rsidP="00374D70">
            <w:pPr>
              <w:pStyle w:val="Tabletext"/>
              <w:keepNext/>
              <w:widowControl w:val="0"/>
              <w:jc w:val="center"/>
              <w:rPr>
                <w:szCs w:val="20"/>
              </w:rPr>
            </w:pPr>
            <w:r w:rsidRPr="00B45E7F">
              <w:rPr>
                <w:szCs w:val="20"/>
              </w:rPr>
              <w:t>$</w:t>
            </w:r>
            <w:r w:rsidR="004569C1">
              <w:rPr>
                <w:noProof/>
                <w:color w:val="000000"/>
                <w:szCs w:val="20"/>
                <w:highlight w:val="black"/>
              </w:rPr>
              <w:t>''''''''''''''''''</w:t>
            </w:r>
          </w:p>
        </w:tc>
        <w:tc>
          <w:tcPr>
            <w:tcW w:w="838" w:type="pct"/>
            <w:vAlign w:val="center"/>
          </w:tcPr>
          <w:p w:rsidR="00D12083" w:rsidRPr="00B45E7F" w:rsidRDefault="00D12083" w:rsidP="00374D70">
            <w:pPr>
              <w:pStyle w:val="Tabletext"/>
              <w:keepNext/>
              <w:widowControl w:val="0"/>
              <w:jc w:val="center"/>
              <w:rPr>
                <w:szCs w:val="20"/>
              </w:rPr>
            </w:pPr>
            <w:r w:rsidRPr="00B45E7F">
              <w:rPr>
                <w:szCs w:val="20"/>
              </w:rPr>
              <w:t>$</w:t>
            </w:r>
            <w:r w:rsidR="004569C1">
              <w:rPr>
                <w:noProof/>
                <w:color w:val="000000"/>
                <w:szCs w:val="20"/>
                <w:highlight w:val="black"/>
              </w:rPr>
              <w:t>''''''''''''</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QALY</w:t>
            </w:r>
          </w:p>
        </w:tc>
        <w:tc>
          <w:tcPr>
            <w:tcW w:w="1359" w:type="pct"/>
            <w:vAlign w:val="center"/>
          </w:tcPr>
          <w:p w:rsidR="00D12083" w:rsidRPr="00B45E7F" w:rsidRDefault="00D12083" w:rsidP="00374D70">
            <w:pPr>
              <w:pStyle w:val="Tabletext"/>
              <w:keepNext/>
              <w:widowControl w:val="0"/>
              <w:jc w:val="center"/>
              <w:rPr>
                <w:szCs w:val="20"/>
              </w:rPr>
            </w:pPr>
            <w:r w:rsidRPr="00B45E7F">
              <w:rPr>
                <w:szCs w:val="20"/>
              </w:rPr>
              <w:t>4.31</w:t>
            </w:r>
          </w:p>
        </w:tc>
        <w:tc>
          <w:tcPr>
            <w:tcW w:w="1274" w:type="pct"/>
            <w:vAlign w:val="center"/>
          </w:tcPr>
          <w:p w:rsidR="00D12083" w:rsidRPr="00B45E7F" w:rsidRDefault="00D12083" w:rsidP="00374D70">
            <w:pPr>
              <w:pStyle w:val="Tabletext"/>
              <w:keepNext/>
              <w:widowControl w:val="0"/>
              <w:jc w:val="center"/>
              <w:rPr>
                <w:szCs w:val="20"/>
              </w:rPr>
            </w:pPr>
            <w:r w:rsidRPr="00B45E7F">
              <w:rPr>
                <w:szCs w:val="20"/>
              </w:rPr>
              <w:t>4.01</w:t>
            </w:r>
          </w:p>
        </w:tc>
        <w:tc>
          <w:tcPr>
            <w:tcW w:w="838" w:type="pct"/>
            <w:vAlign w:val="center"/>
          </w:tcPr>
          <w:p w:rsidR="00D12083" w:rsidRPr="00B45E7F" w:rsidRDefault="00D12083" w:rsidP="00374D70">
            <w:pPr>
              <w:pStyle w:val="Tabletext"/>
              <w:keepNext/>
              <w:widowControl w:val="0"/>
              <w:jc w:val="center"/>
              <w:rPr>
                <w:szCs w:val="20"/>
              </w:rPr>
            </w:pPr>
            <w:r w:rsidRPr="00B45E7F">
              <w:rPr>
                <w:szCs w:val="20"/>
              </w:rPr>
              <w:t>0.30</w:t>
            </w:r>
          </w:p>
        </w:tc>
      </w:tr>
      <w:tr w:rsidR="00D12083" w:rsidRPr="00B45E7F" w:rsidTr="001C42B8">
        <w:tc>
          <w:tcPr>
            <w:tcW w:w="4162" w:type="pct"/>
            <w:gridSpan w:val="3"/>
            <w:vAlign w:val="center"/>
          </w:tcPr>
          <w:p w:rsidR="00D12083" w:rsidRPr="00B45E7F" w:rsidRDefault="00D12083" w:rsidP="00374D70">
            <w:pPr>
              <w:pStyle w:val="Tabletext"/>
              <w:keepNext/>
              <w:widowControl w:val="0"/>
              <w:rPr>
                <w:szCs w:val="20"/>
              </w:rPr>
            </w:pPr>
            <w:r w:rsidRPr="00B45E7F">
              <w:rPr>
                <w:szCs w:val="20"/>
              </w:rPr>
              <w:t>Incremental cost/extra QALY gained</w:t>
            </w:r>
          </w:p>
        </w:tc>
        <w:tc>
          <w:tcPr>
            <w:tcW w:w="838" w:type="pct"/>
            <w:vAlign w:val="center"/>
          </w:tcPr>
          <w:p w:rsidR="00D12083" w:rsidRPr="00B45E7F" w:rsidRDefault="00D12083" w:rsidP="00374D70">
            <w:pPr>
              <w:pStyle w:val="Tabletext"/>
              <w:keepNext/>
              <w:widowControl w:val="0"/>
              <w:jc w:val="center"/>
              <w:rPr>
                <w:szCs w:val="20"/>
              </w:rPr>
            </w:pPr>
            <w:r w:rsidRPr="00B45E7F">
              <w:rPr>
                <w:szCs w:val="20"/>
              </w:rPr>
              <w:t>$</w:t>
            </w:r>
            <w:r w:rsidR="004569C1">
              <w:rPr>
                <w:noProof/>
                <w:color w:val="000000"/>
                <w:szCs w:val="20"/>
                <w:highlight w:val="black"/>
              </w:rPr>
              <w:t>'''''''''''''''''</w:t>
            </w:r>
          </w:p>
        </w:tc>
      </w:tr>
      <w:tr w:rsidR="00D12083" w:rsidRPr="00B45E7F" w:rsidTr="001C42B8">
        <w:tc>
          <w:tcPr>
            <w:tcW w:w="5000" w:type="pct"/>
            <w:gridSpan w:val="4"/>
            <w:vAlign w:val="center"/>
          </w:tcPr>
          <w:p w:rsidR="00D12083" w:rsidRPr="00B45E7F" w:rsidRDefault="00D12083" w:rsidP="00374D70">
            <w:pPr>
              <w:pStyle w:val="Tabletext"/>
              <w:keepNext/>
              <w:widowControl w:val="0"/>
              <w:rPr>
                <w:b/>
              </w:rPr>
            </w:pPr>
            <w:r w:rsidRPr="00B45E7F">
              <w:rPr>
                <w:b/>
              </w:rPr>
              <w:t>Scenario 2: trial data at 48 weeks and natural mortality with a 10 year time horizon</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Costs</w:t>
            </w:r>
          </w:p>
        </w:tc>
        <w:tc>
          <w:tcPr>
            <w:tcW w:w="1359" w:type="pct"/>
            <w:vAlign w:val="center"/>
          </w:tcPr>
          <w:p w:rsidR="00D12083" w:rsidRPr="00B45E7F" w:rsidRDefault="00D12083" w:rsidP="00374D70">
            <w:pPr>
              <w:pStyle w:val="Tabletext"/>
              <w:keepNext/>
              <w:widowControl w:val="0"/>
              <w:jc w:val="center"/>
            </w:pPr>
            <w:r w:rsidRPr="00B45E7F">
              <w:t>$</w:t>
            </w:r>
            <w:r w:rsidR="004569C1">
              <w:rPr>
                <w:noProof/>
                <w:color w:val="000000"/>
                <w:highlight w:val="black"/>
              </w:rPr>
              <w:t>''''''''''''''''''</w:t>
            </w:r>
          </w:p>
        </w:tc>
        <w:tc>
          <w:tcPr>
            <w:tcW w:w="1274" w:type="pct"/>
            <w:vAlign w:val="center"/>
          </w:tcPr>
          <w:p w:rsidR="00D12083" w:rsidRPr="00B45E7F" w:rsidRDefault="00D12083" w:rsidP="00374D70">
            <w:pPr>
              <w:pStyle w:val="Tabletext"/>
              <w:keepNext/>
              <w:widowControl w:val="0"/>
              <w:jc w:val="center"/>
            </w:pPr>
            <w:r w:rsidRPr="00B45E7F">
              <w:t>$</w:t>
            </w:r>
            <w:r w:rsidR="004569C1">
              <w:rPr>
                <w:noProof/>
                <w:color w:val="000000"/>
                <w:highlight w:val="black"/>
              </w:rPr>
              <w:t>'''''''''''''''''''</w:t>
            </w:r>
          </w:p>
        </w:tc>
        <w:tc>
          <w:tcPr>
            <w:tcW w:w="838" w:type="pct"/>
            <w:vAlign w:val="center"/>
          </w:tcPr>
          <w:p w:rsidR="00D12083" w:rsidRPr="00B45E7F" w:rsidRDefault="00D12083" w:rsidP="00374D70">
            <w:pPr>
              <w:pStyle w:val="Tabletext"/>
              <w:keepNext/>
              <w:widowControl w:val="0"/>
              <w:jc w:val="center"/>
            </w:pPr>
            <w:r w:rsidRPr="00B45E7F">
              <w:t>$</w:t>
            </w:r>
            <w:r w:rsidR="004569C1">
              <w:rPr>
                <w:noProof/>
                <w:color w:val="000000"/>
                <w:highlight w:val="black"/>
              </w:rPr>
              <w:t>''''''''''''</w:t>
            </w:r>
          </w:p>
        </w:tc>
      </w:tr>
      <w:tr w:rsidR="00D12083" w:rsidRPr="00B45E7F" w:rsidTr="001C42B8">
        <w:tc>
          <w:tcPr>
            <w:tcW w:w="1529" w:type="pct"/>
            <w:vAlign w:val="center"/>
          </w:tcPr>
          <w:p w:rsidR="00D12083" w:rsidRPr="00B45E7F" w:rsidRDefault="00D12083" w:rsidP="00374D70">
            <w:pPr>
              <w:pStyle w:val="Tabletext"/>
              <w:keepNext/>
              <w:widowControl w:val="0"/>
              <w:rPr>
                <w:rFonts w:ascii="Times" w:hAnsi="Times"/>
              </w:rPr>
            </w:pPr>
            <w:r w:rsidRPr="00B45E7F">
              <w:t>QALY</w:t>
            </w:r>
          </w:p>
        </w:tc>
        <w:tc>
          <w:tcPr>
            <w:tcW w:w="1359" w:type="pct"/>
            <w:vAlign w:val="center"/>
          </w:tcPr>
          <w:p w:rsidR="00D12083" w:rsidRPr="00B45E7F" w:rsidRDefault="00D12083" w:rsidP="00374D70">
            <w:pPr>
              <w:pStyle w:val="Tabletext"/>
              <w:keepNext/>
              <w:widowControl w:val="0"/>
              <w:jc w:val="center"/>
            </w:pPr>
            <w:r w:rsidRPr="00B45E7F">
              <w:t>4.78</w:t>
            </w:r>
          </w:p>
        </w:tc>
        <w:tc>
          <w:tcPr>
            <w:tcW w:w="1274" w:type="pct"/>
            <w:vAlign w:val="center"/>
          </w:tcPr>
          <w:p w:rsidR="00D12083" w:rsidRPr="00B45E7F" w:rsidRDefault="00D12083" w:rsidP="00374D70">
            <w:pPr>
              <w:pStyle w:val="Tabletext"/>
              <w:keepNext/>
              <w:widowControl w:val="0"/>
              <w:jc w:val="center"/>
            </w:pPr>
            <w:r w:rsidRPr="00B45E7F">
              <w:t>4.47</w:t>
            </w:r>
          </w:p>
        </w:tc>
        <w:tc>
          <w:tcPr>
            <w:tcW w:w="838" w:type="pct"/>
            <w:vAlign w:val="center"/>
          </w:tcPr>
          <w:p w:rsidR="00D12083" w:rsidRPr="00B45E7F" w:rsidRDefault="00D12083" w:rsidP="00374D70">
            <w:pPr>
              <w:pStyle w:val="Tabletext"/>
              <w:keepNext/>
              <w:widowControl w:val="0"/>
              <w:jc w:val="center"/>
            </w:pPr>
            <w:r w:rsidRPr="00B45E7F">
              <w:t>0.31</w:t>
            </w:r>
          </w:p>
        </w:tc>
      </w:tr>
      <w:tr w:rsidR="00D12083" w:rsidRPr="00B45E7F" w:rsidTr="001C42B8">
        <w:tc>
          <w:tcPr>
            <w:tcW w:w="4162" w:type="pct"/>
            <w:gridSpan w:val="3"/>
            <w:vAlign w:val="center"/>
          </w:tcPr>
          <w:p w:rsidR="00D12083" w:rsidRPr="00B45E7F" w:rsidRDefault="00D12083" w:rsidP="00374D70">
            <w:pPr>
              <w:pStyle w:val="Tabletext"/>
              <w:keepNext/>
              <w:widowControl w:val="0"/>
            </w:pPr>
            <w:r w:rsidRPr="00B45E7F">
              <w:t>Incremental cost/extra QALY gained</w:t>
            </w:r>
          </w:p>
        </w:tc>
        <w:tc>
          <w:tcPr>
            <w:tcW w:w="838" w:type="pct"/>
            <w:vAlign w:val="center"/>
          </w:tcPr>
          <w:p w:rsidR="00D12083" w:rsidRPr="00B45E7F" w:rsidRDefault="00D12083" w:rsidP="00374D70">
            <w:pPr>
              <w:pStyle w:val="Tabletext"/>
              <w:keepNext/>
              <w:widowControl w:val="0"/>
              <w:jc w:val="center"/>
            </w:pPr>
            <w:r w:rsidRPr="00B45E7F">
              <w:t>$</w:t>
            </w:r>
            <w:r w:rsidR="004569C1">
              <w:rPr>
                <w:noProof/>
                <w:color w:val="000000"/>
                <w:highlight w:val="black"/>
              </w:rPr>
              <w:t>''''''''''''''''</w:t>
            </w:r>
          </w:p>
        </w:tc>
      </w:tr>
      <w:tr w:rsidR="00D12083" w:rsidRPr="00B45E7F" w:rsidTr="001C42B8">
        <w:tc>
          <w:tcPr>
            <w:tcW w:w="5000" w:type="pct"/>
            <w:gridSpan w:val="4"/>
            <w:vAlign w:val="center"/>
          </w:tcPr>
          <w:p w:rsidR="00D12083" w:rsidRPr="00B45E7F" w:rsidRDefault="00D12083" w:rsidP="001C42B8">
            <w:pPr>
              <w:pStyle w:val="Tabletext"/>
              <w:widowControl w:val="0"/>
              <w:rPr>
                <w:b/>
              </w:rPr>
            </w:pPr>
            <w:r w:rsidRPr="00B45E7F">
              <w:rPr>
                <w:b/>
              </w:rPr>
              <w:t>Submission sensitivity analysis – 5 year time horizon</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Costs</w:t>
            </w:r>
          </w:p>
        </w:tc>
        <w:tc>
          <w:tcPr>
            <w:tcW w:w="1359"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1274"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QALY</w:t>
            </w:r>
          </w:p>
        </w:tc>
        <w:tc>
          <w:tcPr>
            <w:tcW w:w="1359" w:type="pct"/>
            <w:vAlign w:val="center"/>
          </w:tcPr>
          <w:p w:rsidR="00D12083" w:rsidRPr="00B45E7F" w:rsidRDefault="00D12083" w:rsidP="001C42B8">
            <w:pPr>
              <w:pStyle w:val="Tabletext"/>
              <w:widowControl w:val="0"/>
              <w:jc w:val="center"/>
            </w:pPr>
            <w:r w:rsidRPr="00B45E7F">
              <w:t>2.30</w:t>
            </w:r>
          </w:p>
        </w:tc>
        <w:tc>
          <w:tcPr>
            <w:tcW w:w="1274" w:type="pct"/>
            <w:vAlign w:val="center"/>
          </w:tcPr>
          <w:p w:rsidR="00D12083" w:rsidRPr="00B45E7F" w:rsidRDefault="00D12083" w:rsidP="001C42B8">
            <w:pPr>
              <w:pStyle w:val="Tabletext"/>
              <w:widowControl w:val="0"/>
              <w:jc w:val="center"/>
            </w:pPr>
            <w:r w:rsidRPr="00B45E7F">
              <w:t>1.99</w:t>
            </w:r>
          </w:p>
        </w:tc>
        <w:tc>
          <w:tcPr>
            <w:tcW w:w="838" w:type="pct"/>
            <w:vAlign w:val="center"/>
          </w:tcPr>
          <w:p w:rsidR="00D12083" w:rsidRPr="00B45E7F" w:rsidRDefault="00D12083" w:rsidP="001C42B8">
            <w:pPr>
              <w:pStyle w:val="Tabletext"/>
              <w:widowControl w:val="0"/>
              <w:jc w:val="center"/>
            </w:pPr>
            <w:r w:rsidRPr="00B45E7F">
              <w:t>0.31</w:t>
            </w:r>
          </w:p>
        </w:tc>
      </w:tr>
      <w:tr w:rsidR="00D12083" w:rsidRPr="00B45E7F" w:rsidTr="001C42B8">
        <w:tc>
          <w:tcPr>
            <w:tcW w:w="4162" w:type="pct"/>
            <w:gridSpan w:val="3"/>
            <w:vAlign w:val="center"/>
          </w:tcPr>
          <w:p w:rsidR="00D12083" w:rsidRPr="00B45E7F" w:rsidRDefault="00D12083" w:rsidP="001C42B8">
            <w:pPr>
              <w:pStyle w:val="Tabletext"/>
              <w:widowControl w:val="0"/>
            </w:pPr>
            <w:r w:rsidRPr="00B45E7F">
              <w:t>Incremental cost/extra QALY gained</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r w:rsidR="00D12083" w:rsidRPr="00B45E7F" w:rsidTr="001C42B8">
        <w:tc>
          <w:tcPr>
            <w:tcW w:w="5000" w:type="pct"/>
            <w:gridSpan w:val="4"/>
            <w:vAlign w:val="center"/>
          </w:tcPr>
          <w:p w:rsidR="00D12083" w:rsidRPr="00B45E7F" w:rsidRDefault="00D12083" w:rsidP="001C42B8">
            <w:pPr>
              <w:pStyle w:val="Tabletext"/>
              <w:widowControl w:val="0"/>
              <w:rPr>
                <w:b/>
              </w:rPr>
            </w:pPr>
            <w:r w:rsidRPr="00B45E7F">
              <w:rPr>
                <w:b/>
              </w:rPr>
              <w:t>Scenario 3: trial data at 48 weeks and log-normal extrapolation with a 5 year time horizon</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Costs</w:t>
            </w:r>
          </w:p>
        </w:tc>
        <w:tc>
          <w:tcPr>
            <w:tcW w:w="1359"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1274"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QALY</w:t>
            </w:r>
          </w:p>
        </w:tc>
        <w:tc>
          <w:tcPr>
            <w:tcW w:w="1359" w:type="pct"/>
            <w:vAlign w:val="center"/>
          </w:tcPr>
          <w:p w:rsidR="00D12083" w:rsidRPr="00B45E7F" w:rsidRDefault="00D12083" w:rsidP="001C42B8">
            <w:pPr>
              <w:pStyle w:val="Tabletext"/>
              <w:widowControl w:val="0"/>
              <w:jc w:val="center"/>
            </w:pPr>
            <w:r w:rsidRPr="00B45E7F">
              <w:t>2.73</w:t>
            </w:r>
          </w:p>
        </w:tc>
        <w:tc>
          <w:tcPr>
            <w:tcW w:w="1274" w:type="pct"/>
            <w:vAlign w:val="center"/>
          </w:tcPr>
          <w:p w:rsidR="00D12083" w:rsidRPr="00B45E7F" w:rsidRDefault="00D12083" w:rsidP="001C42B8">
            <w:pPr>
              <w:pStyle w:val="Tabletext"/>
              <w:widowControl w:val="0"/>
              <w:jc w:val="center"/>
            </w:pPr>
            <w:r w:rsidRPr="00B45E7F">
              <w:t>2.54</w:t>
            </w:r>
          </w:p>
        </w:tc>
        <w:tc>
          <w:tcPr>
            <w:tcW w:w="838" w:type="pct"/>
            <w:vAlign w:val="center"/>
          </w:tcPr>
          <w:p w:rsidR="00D12083" w:rsidRPr="00B45E7F" w:rsidRDefault="00D12083" w:rsidP="001C42B8">
            <w:pPr>
              <w:pStyle w:val="Tabletext"/>
              <w:widowControl w:val="0"/>
              <w:jc w:val="center"/>
            </w:pPr>
            <w:r w:rsidRPr="00B45E7F">
              <w:t>0.19</w:t>
            </w:r>
          </w:p>
        </w:tc>
      </w:tr>
      <w:tr w:rsidR="00D12083" w:rsidRPr="00B45E7F" w:rsidTr="001C42B8">
        <w:tc>
          <w:tcPr>
            <w:tcW w:w="4162" w:type="pct"/>
            <w:gridSpan w:val="3"/>
            <w:vAlign w:val="center"/>
          </w:tcPr>
          <w:p w:rsidR="00D12083" w:rsidRPr="00B45E7F" w:rsidRDefault="00D12083" w:rsidP="001C42B8">
            <w:pPr>
              <w:pStyle w:val="Tabletext"/>
              <w:widowControl w:val="0"/>
            </w:pPr>
            <w:r w:rsidRPr="00B45E7F">
              <w:t>Incremental cost/extra QALY gained</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r w:rsidR="00D12083" w:rsidRPr="00B45E7F" w:rsidTr="001C42B8">
        <w:tc>
          <w:tcPr>
            <w:tcW w:w="5000" w:type="pct"/>
            <w:gridSpan w:val="4"/>
            <w:vAlign w:val="center"/>
          </w:tcPr>
          <w:p w:rsidR="00D12083" w:rsidRPr="00B45E7F" w:rsidRDefault="00D12083" w:rsidP="001C42B8">
            <w:pPr>
              <w:pStyle w:val="Tabletext"/>
              <w:widowControl w:val="0"/>
              <w:rPr>
                <w:b/>
              </w:rPr>
            </w:pPr>
            <w:r w:rsidRPr="00B45E7F">
              <w:rPr>
                <w:b/>
              </w:rPr>
              <w:t>Scenario 4: trial data at 48 weeks and natural mortality with a 5 year time horizon</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Costs</w:t>
            </w:r>
          </w:p>
        </w:tc>
        <w:tc>
          <w:tcPr>
            <w:tcW w:w="1359"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1274"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r w:rsidR="00D12083" w:rsidRPr="00B45E7F" w:rsidTr="001C42B8">
        <w:tc>
          <w:tcPr>
            <w:tcW w:w="1529" w:type="pct"/>
            <w:vAlign w:val="center"/>
          </w:tcPr>
          <w:p w:rsidR="00D12083" w:rsidRPr="00B45E7F" w:rsidRDefault="00D12083" w:rsidP="001C42B8">
            <w:pPr>
              <w:pStyle w:val="Tabletext"/>
              <w:widowControl w:val="0"/>
              <w:rPr>
                <w:rFonts w:ascii="Times" w:hAnsi="Times"/>
              </w:rPr>
            </w:pPr>
            <w:r w:rsidRPr="00B45E7F">
              <w:t>QALY</w:t>
            </w:r>
          </w:p>
        </w:tc>
        <w:tc>
          <w:tcPr>
            <w:tcW w:w="1359" w:type="pct"/>
            <w:vAlign w:val="center"/>
          </w:tcPr>
          <w:p w:rsidR="00D12083" w:rsidRPr="00B45E7F" w:rsidRDefault="00D12083" w:rsidP="001C42B8">
            <w:pPr>
              <w:pStyle w:val="Tabletext"/>
              <w:widowControl w:val="0"/>
              <w:jc w:val="center"/>
            </w:pPr>
            <w:r w:rsidRPr="00B45E7F">
              <w:t>3.00</w:t>
            </w:r>
          </w:p>
        </w:tc>
        <w:tc>
          <w:tcPr>
            <w:tcW w:w="1274" w:type="pct"/>
            <w:vAlign w:val="center"/>
          </w:tcPr>
          <w:p w:rsidR="00D12083" w:rsidRPr="00B45E7F" w:rsidRDefault="00D12083" w:rsidP="001C42B8">
            <w:pPr>
              <w:pStyle w:val="Tabletext"/>
              <w:widowControl w:val="0"/>
              <w:jc w:val="center"/>
            </w:pPr>
            <w:r w:rsidRPr="00B45E7F">
              <w:t>2.81</w:t>
            </w:r>
          </w:p>
        </w:tc>
        <w:tc>
          <w:tcPr>
            <w:tcW w:w="838" w:type="pct"/>
            <w:vAlign w:val="center"/>
          </w:tcPr>
          <w:p w:rsidR="00D12083" w:rsidRPr="00B45E7F" w:rsidRDefault="00D12083" w:rsidP="001C42B8">
            <w:pPr>
              <w:pStyle w:val="Tabletext"/>
              <w:widowControl w:val="0"/>
              <w:jc w:val="center"/>
            </w:pPr>
            <w:r w:rsidRPr="00B45E7F">
              <w:t>0.19</w:t>
            </w:r>
          </w:p>
        </w:tc>
      </w:tr>
      <w:tr w:rsidR="00D12083" w:rsidRPr="00B45E7F" w:rsidTr="001C42B8">
        <w:tc>
          <w:tcPr>
            <w:tcW w:w="4162" w:type="pct"/>
            <w:gridSpan w:val="3"/>
            <w:vAlign w:val="center"/>
          </w:tcPr>
          <w:p w:rsidR="00D12083" w:rsidRPr="00B45E7F" w:rsidRDefault="00D12083" w:rsidP="001C42B8">
            <w:pPr>
              <w:pStyle w:val="Tabletext"/>
              <w:widowControl w:val="0"/>
            </w:pPr>
            <w:r w:rsidRPr="00B45E7F">
              <w:t>Incremental cost/extra QALY gained</w:t>
            </w:r>
          </w:p>
        </w:tc>
        <w:tc>
          <w:tcPr>
            <w:tcW w:w="838" w:type="pct"/>
            <w:vAlign w:val="center"/>
          </w:tcPr>
          <w:p w:rsidR="00D12083" w:rsidRPr="00B45E7F" w:rsidRDefault="00D12083" w:rsidP="001C42B8">
            <w:pPr>
              <w:pStyle w:val="Tabletext"/>
              <w:widowControl w:val="0"/>
              <w:jc w:val="center"/>
            </w:pPr>
            <w:r w:rsidRPr="00B45E7F">
              <w:t>$</w:t>
            </w:r>
            <w:r w:rsidR="004569C1">
              <w:rPr>
                <w:noProof/>
                <w:color w:val="000000"/>
                <w:highlight w:val="black"/>
              </w:rPr>
              <w:t>'''''''''''''''''</w:t>
            </w:r>
          </w:p>
        </w:tc>
      </w:tr>
    </w:tbl>
    <w:p w:rsidR="00D12083" w:rsidRPr="00B45E7F" w:rsidRDefault="00D12083" w:rsidP="00D12083">
      <w:pPr>
        <w:pStyle w:val="TableFooter"/>
        <w:keepNext/>
        <w:keepLines/>
        <w:rPr>
          <w:sz w:val="20"/>
        </w:rPr>
      </w:pPr>
      <w:r w:rsidRPr="00B45E7F">
        <w:t>Source: Table 3, p8 of the PSCR; Table 3-16, p97 and Table 3-17, p99 of the submission.</w:t>
      </w:r>
    </w:p>
    <w:p w:rsidR="002059A5" w:rsidRDefault="002059A5" w:rsidP="002059A5"/>
    <w:p w:rsidR="00334222" w:rsidRDefault="00334222" w:rsidP="00334222">
      <w:r>
        <w:t xml:space="preserve">The redacted table shows ICERs in the range of $15,000/QALY - $75,000/QALY. </w:t>
      </w:r>
    </w:p>
    <w:p w:rsidR="00334222" w:rsidRDefault="00334222" w:rsidP="00334222"/>
    <w:p w:rsidR="00764890" w:rsidRPr="00F238DC" w:rsidRDefault="00F238DC" w:rsidP="00F238DC">
      <w:pPr>
        <w:pStyle w:val="ListParagraph"/>
        <w:numPr>
          <w:ilvl w:val="1"/>
          <w:numId w:val="2"/>
        </w:numPr>
      </w:pPr>
      <w:r w:rsidRPr="00F238DC">
        <w:t>Overall, the ESC ha</w:t>
      </w:r>
      <w:r w:rsidR="005C40FC">
        <w:t>d</w:t>
      </w:r>
      <w:r w:rsidRPr="00F238DC">
        <w:t xml:space="preserve"> considerable concerns about the validity of the model and considered that it was unlikely to provide an accurate estimation of the cost-effectiveness of letermovir</w:t>
      </w:r>
      <w:r>
        <w:t>.</w:t>
      </w:r>
    </w:p>
    <w:p w:rsidR="00764890" w:rsidRPr="00967337" w:rsidRDefault="00764890" w:rsidP="00967337">
      <w:pPr>
        <w:ind w:firstLine="720"/>
        <w:rPr>
          <w:i/>
        </w:rPr>
      </w:pPr>
      <w:r w:rsidRPr="00764890">
        <w:rPr>
          <w:i/>
        </w:rPr>
        <w:t>For more detail on PBAC’s view, see section 7 PBAC outcome.</w:t>
      </w:r>
    </w:p>
    <w:p w:rsidR="00C25D9C" w:rsidRPr="00B45E7F" w:rsidRDefault="00515960" w:rsidP="001F0352">
      <w:pPr>
        <w:pStyle w:val="Heading2"/>
        <w:spacing w:before="240" w:after="120"/>
        <w:rPr>
          <w:i w:val="0"/>
        </w:rPr>
      </w:pPr>
      <w:bookmarkStart w:id="13" w:name="_Toc514242731"/>
      <w:r w:rsidRPr="00B45E7F">
        <w:rPr>
          <w:i w:val="0"/>
        </w:rPr>
        <w:t>Drug cost/patient/</w:t>
      </w:r>
      <w:r w:rsidR="00C25D9C" w:rsidRPr="00B45E7F">
        <w:rPr>
          <w:i w:val="0"/>
        </w:rPr>
        <w:t>course</w:t>
      </w:r>
      <w:bookmarkEnd w:id="13"/>
    </w:p>
    <w:p w:rsidR="00515960" w:rsidRPr="00B45E7F" w:rsidRDefault="00515960" w:rsidP="00DE3FAC">
      <w:pPr>
        <w:pStyle w:val="ListParagraph"/>
        <w:numPr>
          <w:ilvl w:val="1"/>
          <w:numId w:val="2"/>
        </w:numPr>
      </w:pPr>
      <w:r w:rsidRPr="00B45E7F">
        <w:t>The submission provided the drug cost for letermovir over the 78 day duration of treatment in the economic model ($</w:t>
      </w:r>
      <w:r w:rsidR="004569C1">
        <w:rPr>
          <w:noProof/>
          <w:color w:val="000000"/>
          <w:highlight w:val="black"/>
        </w:rPr>
        <w:t>'''''''''''''</w:t>
      </w:r>
      <w:r w:rsidRPr="00B45E7F">
        <w:t xml:space="preserve"> per patient).  Given that the duration of treatment in the economic model was based on Trial P001, and the drug cost assumed </w:t>
      </w:r>
      <w:r w:rsidR="004569C1">
        <w:rPr>
          <w:noProof/>
          <w:color w:val="000000"/>
          <w:highlight w:val="black"/>
        </w:rPr>
        <w:t>'''''</w:t>
      </w:r>
      <w:r w:rsidRPr="00B45E7F">
        <w:t xml:space="preserve">% of patients would use the 240mg/day dose, this cost is not likely to reflect the cost of letermovir in clinical practice.  The recommended treatment duration is 100 days, and the requested restriction provides for 112 days of treatment.  Given these factors, letermovir treatment costs have been calculated for both 100 and 112 days of treatment for both the 240mg/day and 480mg/day doses.  The cost assuming </w:t>
      </w:r>
      <w:r w:rsidR="004569C1">
        <w:rPr>
          <w:noProof/>
          <w:color w:val="000000"/>
          <w:highlight w:val="black"/>
        </w:rPr>
        <w:t>'''''</w:t>
      </w:r>
      <w:r w:rsidRPr="00B45E7F">
        <w:t xml:space="preserve">% using 240mg/day and </w:t>
      </w:r>
      <w:r w:rsidR="004569C1">
        <w:rPr>
          <w:noProof/>
          <w:color w:val="000000"/>
          <w:highlight w:val="black"/>
        </w:rPr>
        <w:t>'''</w:t>
      </w:r>
      <w:r w:rsidRPr="00B45E7F">
        <w:t>% using 480mg/day has also been calculated for the 100 and 112 day durations.  These costs are provided in the table below.</w:t>
      </w:r>
    </w:p>
    <w:p w:rsidR="005E6F6D" w:rsidRPr="00B45E7F" w:rsidRDefault="005E6F6D">
      <w:pPr>
        <w:jc w:val="left"/>
        <w:rPr>
          <w:rFonts w:ascii="Arial Narrow" w:hAnsi="Arial Narrow"/>
          <w:b/>
          <w:sz w:val="20"/>
          <w:szCs w:val="20"/>
        </w:rPr>
      </w:pPr>
    </w:p>
    <w:p w:rsidR="00242638" w:rsidRPr="00B45E7F" w:rsidRDefault="00242638" w:rsidP="00FF2320">
      <w:pPr>
        <w:keepNext/>
        <w:rPr>
          <w:rFonts w:ascii="Arial Narrow" w:hAnsi="Arial Narrow"/>
          <w:b/>
          <w:sz w:val="20"/>
          <w:szCs w:val="20"/>
        </w:rPr>
      </w:pPr>
      <w:r w:rsidRPr="00B45E7F">
        <w:rPr>
          <w:rFonts w:ascii="Arial Narrow" w:hAnsi="Arial Narrow"/>
          <w:b/>
          <w:sz w:val="20"/>
          <w:szCs w:val="20"/>
        </w:rPr>
        <w:t xml:space="preserve">Table </w:t>
      </w:r>
      <w:r w:rsidR="000213A1" w:rsidRPr="00B45E7F">
        <w:rPr>
          <w:rFonts w:ascii="Arial Narrow" w:hAnsi="Arial Narrow"/>
          <w:b/>
          <w:sz w:val="20"/>
          <w:szCs w:val="20"/>
        </w:rPr>
        <w:t>1</w:t>
      </w:r>
      <w:r w:rsidR="009D766D" w:rsidRPr="00B45E7F">
        <w:rPr>
          <w:rFonts w:ascii="Arial Narrow" w:hAnsi="Arial Narrow"/>
          <w:b/>
          <w:sz w:val="20"/>
          <w:szCs w:val="20"/>
        </w:rPr>
        <w:t>3</w:t>
      </w:r>
      <w:r w:rsidRPr="00B45E7F">
        <w:rPr>
          <w:rFonts w:ascii="Arial Narrow" w:hAnsi="Arial Narrow"/>
          <w:b/>
          <w:sz w:val="20"/>
          <w:szCs w:val="20"/>
        </w:rPr>
        <w:t>:  Letermovir treatment cost</w:t>
      </w:r>
    </w:p>
    <w:tbl>
      <w:tblPr>
        <w:tblStyle w:val="TableGrid"/>
        <w:tblW w:w="4942" w:type="pct"/>
        <w:tblInd w:w="108" w:type="dxa"/>
        <w:tblLook w:val="04A0" w:firstRow="1" w:lastRow="0" w:firstColumn="1" w:lastColumn="0" w:noHBand="0" w:noVBand="1"/>
        <w:tblCaption w:val="Table 13:  Letermovir treatment cost"/>
      </w:tblPr>
      <w:tblGrid>
        <w:gridCol w:w="2169"/>
        <w:gridCol w:w="1507"/>
        <w:gridCol w:w="4294"/>
        <w:gridCol w:w="1166"/>
      </w:tblGrid>
      <w:tr w:rsidR="00242638" w:rsidRPr="00B45E7F" w:rsidTr="00374D70">
        <w:trPr>
          <w:tblHeader/>
        </w:trPr>
        <w:tc>
          <w:tcPr>
            <w:tcW w:w="1187" w:type="pct"/>
            <w:vAlign w:val="center"/>
          </w:tcPr>
          <w:p w:rsidR="00242638" w:rsidRPr="00B45E7F" w:rsidRDefault="00242638" w:rsidP="00FF2320">
            <w:pPr>
              <w:keepNext/>
              <w:jc w:val="left"/>
              <w:rPr>
                <w:rFonts w:ascii="Arial Narrow" w:hAnsi="Arial Narrow"/>
                <w:b/>
                <w:sz w:val="20"/>
                <w:szCs w:val="20"/>
              </w:rPr>
            </w:pPr>
            <w:r w:rsidRPr="00B45E7F">
              <w:rPr>
                <w:rFonts w:ascii="Arial Narrow" w:hAnsi="Arial Narrow"/>
                <w:b/>
                <w:sz w:val="20"/>
                <w:szCs w:val="20"/>
              </w:rPr>
              <w:t>Dose</w:t>
            </w:r>
          </w:p>
        </w:tc>
        <w:tc>
          <w:tcPr>
            <w:tcW w:w="825" w:type="pct"/>
            <w:vAlign w:val="center"/>
          </w:tcPr>
          <w:p w:rsidR="00242638" w:rsidRPr="00B45E7F" w:rsidRDefault="00242638" w:rsidP="00FF2320">
            <w:pPr>
              <w:keepNext/>
              <w:jc w:val="center"/>
              <w:rPr>
                <w:rFonts w:ascii="Arial Narrow" w:hAnsi="Arial Narrow"/>
                <w:b/>
                <w:sz w:val="20"/>
                <w:szCs w:val="20"/>
              </w:rPr>
            </w:pPr>
            <w:r w:rsidRPr="00B45E7F">
              <w:rPr>
                <w:rFonts w:ascii="Arial Narrow" w:hAnsi="Arial Narrow"/>
                <w:b/>
                <w:sz w:val="20"/>
                <w:szCs w:val="20"/>
              </w:rPr>
              <w:t>Cost/day ($</w:t>
            </w:r>
            <w:r w:rsidR="004569C1">
              <w:rPr>
                <w:rFonts w:ascii="Arial Narrow" w:hAnsi="Arial Narrow"/>
                <w:b/>
                <w:noProof/>
                <w:color w:val="000000"/>
                <w:sz w:val="20"/>
                <w:szCs w:val="20"/>
                <w:highlight w:val="black"/>
              </w:rPr>
              <w:t>''''''''''''''''</w:t>
            </w:r>
            <w:r w:rsidRPr="00B45E7F">
              <w:rPr>
                <w:rFonts w:ascii="Arial Narrow" w:hAnsi="Arial Narrow"/>
                <w:b/>
                <w:sz w:val="20"/>
                <w:szCs w:val="20"/>
              </w:rPr>
              <w:t>/pack)</w:t>
            </w:r>
          </w:p>
        </w:tc>
        <w:tc>
          <w:tcPr>
            <w:tcW w:w="2350" w:type="pct"/>
            <w:vAlign w:val="center"/>
          </w:tcPr>
          <w:p w:rsidR="00242638" w:rsidRPr="00B45E7F" w:rsidRDefault="00242638" w:rsidP="00FF2320">
            <w:pPr>
              <w:keepNext/>
              <w:jc w:val="center"/>
              <w:rPr>
                <w:rFonts w:ascii="Arial Narrow" w:hAnsi="Arial Narrow"/>
                <w:b/>
                <w:sz w:val="20"/>
                <w:szCs w:val="20"/>
              </w:rPr>
            </w:pPr>
            <w:r w:rsidRPr="00B45E7F">
              <w:rPr>
                <w:rFonts w:ascii="Arial Narrow" w:hAnsi="Arial Narrow"/>
                <w:b/>
                <w:sz w:val="20"/>
                <w:szCs w:val="20"/>
              </w:rPr>
              <w:t>Treatment duration</w:t>
            </w:r>
          </w:p>
        </w:tc>
        <w:tc>
          <w:tcPr>
            <w:tcW w:w="638" w:type="pct"/>
            <w:vAlign w:val="center"/>
          </w:tcPr>
          <w:p w:rsidR="00242638" w:rsidRPr="00B45E7F" w:rsidRDefault="00242638" w:rsidP="00FF2320">
            <w:pPr>
              <w:keepNext/>
              <w:jc w:val="center"/>
              <w:rPr>
                <w:rFonts w:ascii="Arial Narrow" w:hAnsi="Arial Narrow"/>
                <w:b/>
                <w:sz w:val="20"/>
                <w:szCs w:val="20"/>
              </w:rPr>
            </w:pPr>
            <w:r w:rsidRPr="00B45E7F">
              <w:rPr>
                <w:rFonts w:ascii="Arial Narrow" w:hAnsi="Arial Narrow"/>
                <w:b/>
                <w:sz w:val="20"/>
                <w:szCs w:val="20"/>
              </w:rPr>
              <w:t>Total cost</w:t>
            </w:r>
          </w:p>
        </w:tc>
      </w:tr>
      <w:tr w:rsidR="00242638" w:rsidRPr="00B45E7F" w:rsidTr="00374D70">
        <w:tc>
          <w:tcPr>
            <w:tcW w:w="1187" w:type="pct"/>
            <w:vMerge w:val="restart"/>
            <w:vAlign w:val="center"/>
          </w:tcPr>
          <w:p w:rsidR="00242638" w:rsidRPr="00B45E7F" w:rsidRDefault="00242638" w:rsidP="00242638">
            <w:pPr>
              <w:jc w:val="left"/>
              <w:rPr>
                <w:rFonts w:ascii="Arial Narrow" w:hAnsi="Arial Narrow"/>
                <w:sz w:val="20"/>
                <w:szCs w:val="20"/>
              </w:rPr>
            </w:pPr>
            <w:r w:rsidRPr="00B45E7F">
              <w:rPr>
                <w:rFonts w:ascii="Arial Narrow" w:hAnsi="Arial Narrow"/>
                <w:sz w:val="20"/>
                <w:szCs w:val="20"/>
              </w:rPr>
              <w:t>240mg/day</w:t>
            </w:r>
          </w:p>
        </w:tc>
        <w:tc>
          <w:tcPr>
            <w:tcW w:w="825" w:type="pct"/>
            <w:vMerge w:val="restar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c>
          <w:tcPr>
            <w:tcW w:w="2350"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100 days – recommended treatment</w:t>
            </w:r>
          </w:p>
        </w:tc>
        <w:tc>
          <w:tcPr>
            <w:tcW w:w="638"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1187" w:type="pct"/>
            <w:vMerge/>
            <w:vAlign w:val="center"/>
          </w:tcPr>
          <w:p w:rsidR="00242638" w:rsidRPr="00B45E7F" w:rsidRDefault="00242638" w:rsidP="00242638">
            <w:pPr>
              <w:jc w:val="left"/>
              <w:rPr>
                <w:rFonts w:ascii="Arial Narrow" w:hAnsi="Arial Narrow"/>
                <w:sz w:val="20"/>
                <w:szCs w:val="20"/>
              </w:rPr>
            </w:pPr>
          </w:p>
        </w:tc>
        <w:tc>
          <w:tcPr>
            <w:tcW w:w="825" w:type="pct"/>
            <w:vMerge/>
            <w:vAlign w:val="center"/>
          </w:tcPr>
          <w:p w:rsidR="00242638" w:rsidRPr="00B45E7F" w:rsidRDefault="00242638" w:rsidP="00242638">
            <w:pPr>
              <w:jc w:val="center"/>
              <w:rPr>
                <w:rFonts w:ascii="Arial Narrow" w:hAnsi="Arial Narrow"/>
                <w:sz w:val="20"/>
                <w:szCs w:val="20"/>
              </w:rPr>
            </w:pPr>
          </w:p>
        </w:tc>
        <w:tc>
          <w:tcPr>
            <w:tcW w:w="2350"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112 days – as provided under the requested restriction</w:t>
            </w:r>
          </w:p>
        </w:tc>
        <w:tc>
          <w:tcPr>
            <w:tcW w:w="638"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1187" w:type="pct"/>
            <w:vMerge w:val="restart"/>
            <w:vAlign w:val="center"/>
          </w:tcPr>
          <w:p w:rsidR="00242638" w:rsidRPr="00B45E7F" w:rsidRDefault="00242638" w:rsidP="00242638">
            <w:pPr>
              <w:jc w:val="left"/>
              <w:rPr>
                <w:rFonts w:ascii="Arial Narrow" w:hAnsi="Arial Narrow"/>
                <w:sz w:val="20"/>
                <w:szCs w:val="20"/>
              </w:rPr>
            </w:pPr>
            <w:r w:rsidRPr="00B45E7F">
              <w:rPr>
                <w:rFonts w:ascii="Arial Narrow" w:hAnsi="Arial Narrow"/>
                <w:sz w:val="20"/>
                <w:szCs w:val="20"/>
              </w:rPr>
              <w:t>480mg/day</w:t>
            </w:r>
          </w:p>
        </w:tc>
        <w:tc>
          <w:tcPr>
            <w:tcW w:w="825" w:type="pct"/>
            <w:vMerge w:val="restar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c>
          <w:tcPr>
            <w:tcW w:w="2350"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100 days – recommended treatment</w:t>
            </w:r>
          </w:p>
        </w:tc>
        <w:tc>
          <w:tcPr>
            <w:tcW w:w="638"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1187" w:type="pct"/>
            <w:vMerge/>
            <w:vAlign w:val="center"/>
          </w:tcPr>
          <w:p w:rsidR="00242638" w:rsidRPr="00B45E7F" w:rsidRDefault="00242638" w:rsidP="00242638">
            <w:pPr>
              <w:jc w:val="left"/>
              <w:rPr>
                <w:rFonts w:ascii="Arial Narrow" w:hAnsi="Arial Narrow"/>
                <w:sz w:val="20"/>
                <w:szCs w:val="20"/>
              </w:rPr>
            </w:pPr>
          </w:p>
        </w:tc>
        <w:tc>
          <w:tcPr>
            <w:tcW w:w="825" w:type="pct"/>
            <w:vMerge/>
            <w:vAlign w:val="center"/>
          </w:tcPr>
          <w:p w:rsidR="00242638" w:rsidRPr="00B45E7F" w:rsidRDefault="00242638" w:rsidP="00242638">
            <w:pPr>
              <w:jc w:val="center"/>
              <w:rPr>
                <w:rFonts w:ascii="Arial Narrow" w:hAnsi="Arial Narrow"/>
                <w:sz w:val="20"/>
                <w:szCs w:val="20"/>
              </w:rPr>
            </w:pPr>
          </w:p>
        </w:tc>
        <w:tc>
          <w:tcPr>
            <w:tcW w:w="2350"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112 days – as provided under the requested restriction</w:t>
            </w:r>
          </w:p>
        </w:tc>
        <w:tc>
          <w:tcPr>
            <w:tcW w:w="638"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1187" w:type="pct"/>
            <w:vMerge w:val="restart"/>
            <w:vAlign w:val="center"/>
          </w:tcPr>
          <w:p w:rsidR="00242638" w:rsidRPr="00B45E7F" w:rsidRDefault="004569C1" w:rsidP="00242638">
            <w:pPr>
              <w:jc w:val="left"/>
              <w:rPr>
                <w:rFonts w:ascii="Arial Narrow" w:hAnsi="Arial Narrow"/>
                <w:sz w:val="20"/>
                <w:szCs w:val="20"/>
              </w:rPr>
            </w:pPr>
            <w:r>
              <w:rPr>
                <w:rFonts w:ascii="Arial Narrow" w:hAnsi="Arial Narrow"/>
                <w:noProof/>
                <w:color w:val="000000"/>
                <w:sz w:val="20"/>
                <w:szCs w:val="20"/>
                <w:highlight w:val="black"/>
              </w:rPr>
              <w:t>''''''</w:t>
            </w:r>
            <w:r w:rsidR="00242638" w:rsidRPr="00B45E7F">
              <w:rPr>
                <w:rFonts w:ascii="Arial Narrow" w:hAnsi="Arial Narrow"/>
                <w:sz w:val="20"/>
                <w:szCs w:val="20"/>
              </w:rPr>
              <w:t xml:space="preserve">% using 240mg/day and </w:t>
            </w:r>
            <w:r>
              <w:rPr>
                <w:rFonts w:ascii="Arial Narrow" w:hAnsi="Arial Narrow"/>
                <w:noProof/>
                <w:color w:val="000000"/>
                <w:sz w:val="20"/>
                <w:szCs w:val="20"/>
                <w:highlight w:val="black"/>
              </w:rPr>
              <w:t>'''</w:t>
            </w:r>
            <w:r w:rsidR="00242638" w:rsidRPr="00B45E7F">
              <w:rPr>
                <w:rFonts w:ascii="Arial Narrow" w:hAnsi="Arial Narrow"/>
                <w:sz w:val="20"/>
                <w:szCs w:val="20"/>
              </w:rPr>
              <w:t>% using 480mg/day</w:t>
            </w:r>
          </w:p>
        </w:tc>
        <w:tc>
          <w:tcPr>
            <w:tcW w:w="825" w:type="pct"/>
            <w:vMerge w:val="restar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c>
          <w:tcPr>
            <w:tcW w:w="2350"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100 days – recommended treatment</w:t>
            </w:r>
          </w:p>
        </w:tc>
        <w:tc>
          <w:tcPr>
            <w:tcW w:w="638" w:type="pct"/>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1187" w:type="pct"/>
            <w:vMerge/>
            <w:tcBorders>
              <w:bottom w:val="double" w:sz="4" w:space="0" w:color="auto"/>
            </w:tcBorders>
            <w:vAlign w:val="center"/>
          </w:tcPr>
          <w:p w:rsidR="00242638" w:rsidRPr="00B45E7F" w:rsidRDefault="00242638" w:rsidP="00242638">
            <w:pPr>
              <w:jc w:val="left"/>
              <w:rPr>
                <w:rFonts w:ascii="Arial Narrow" w:hAnsi="Arial Narrow"/>
                <w:sz w:val="20"/>
                <w:szCs w:val="20"/>
              </w:rPr>
            </w:pPr>
          </w:p>
        </w:tc>
        <w:tc>
          <w:tcPr>
            <w:tcW w:w="825" w:type="pct"/>
            <w:vMerge/>
            <w:tcBorders>
              <w:bottom w:val="double" w:sz="4" w:space="0" w:color="auto"/>
            </w:tcBorders>
            <w:vAlign w:val="center"/>
          </w:tcPr>
          <w:p w:rsidR="00242638" w:rsidRPr="00B45E7F" w:rsidRDefault="00242638" w:rsidP="00242638">
            <w:pPr>
              <w:jc w:val="center"/>
              <w:rPr>
                <w:rFonts w:ascii="Arial Narrow" w:hAnsi="Arial Narrow"/>
                <w:sz w:val="20"/>
                <w:szCs w:val="20"/>
              </w:rPr>
            </w:pPr>
          </w:p>
        </w:tc>
        <w:tc>
          <w:tcPr>
            <w:tcW w:w="2350" w:type="pct"/>
            <w:tcBorders>
              <w:bottom w:val="double" w:sz="4" w:space="0" w:color="auto"/>
            </w:tcBorders>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112 days – as provided under the requested restriction</w:t>
            </w:r>
          </w:p>
        </w:tc>
        <w:tc>
          <w:tcPr>
            <w:tcW w:w="638" w:type="pct"/>
            <w:tcBorders>
              <w:bottom w:val="double" w:sz="4" w:space="0" w:color="auto"/>
            </w:tcBorders>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E84649" w:rsidRPr="00B45E7F" w:rsidTr="00374D70">
        <w:tc>
          <w:tcPr>
            <w:tcW w:w="1187" w:type="pct"/>
            <w:vMerge w:val="restart"/>
            <w:vAlign w:val="center"/>
          </w:tcPr>
          <w:p w:rsidR="00E84649" w:rsidRPr="00B45E7F" w:rsidRDefault="00E84649" w:rsidP="00E84649">
            <w:pPr>
              <w:jc w:val="left"/>
              <w:rPr>
                <w:rFonts w:ascii="Arial Narrow" w:hAnsi="Arial Narrow"/>
                <w:sz w:val="20"/>
                <w:szCs w:val="20"/>
              </w:rPr>
            </w:pPr>
            <w:r w:rsidRPr="00B45E7F">
              <w:rPr>
                <w:rFonts w:ascii="Arial Narrow" w:hAnsi="Arial Narrow"/>
                <w:sz w:val="20"/>
                <w:szCs w:val="20"/>
              </w:rPr>
              <w:t>Sensitivity Analysis: 80% using 240mg/day and 20% using 480mg/day</w:t>
            </w:r>
          </w:p>
        </w:tc>
        <w:tc>
          <w:tcPr>
            <w:tcW w:w="825" w:type="pct"/>
            <w:vMerge w:val="restart"/>
            <w:vAlign w:val="center"/>
          </w:tcPr>
          <w:p w:rsidR="00E84649" w:rsidRPr="00B45E7F" w:rsidRDefault="00E84649"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r w:rsidRPr="00B45E7F">
              <w:rPr>
                <w:rFonts w:ascii="Arial Narrow" w:hAnsi="Arial Narrow"/>
                <w:sz w:val="20"/>
                <w:szCs w:val="20"/>
                <w:vertAlign w:val="superscript"/>
              </w:rPr>
              <w:t>a</w:t>
            </w:r>
          </w:p>
        </w:tc>
        <w:tc>
          <w:tcPr>
            <w:tcW w:w="2350" w:type="pct"/>
            <w:tcBorders>
              <w:bottom w:val="double" w:sz="4" w:space="0" w:color="auto"/>
            </w:tcBorders>
            <w:vAlign w:val="center"/>
          </w:tcPr>
          <w:p w:rsidR="00E84649" w:rsidRPr="00B45E7F" w:rsidRDefault="00E84649" w:rsidP="00242638">
            <w:pPr>
              <w:jc w:val="center"/>
              <w:rPr>
                <w:rFonts w:ascii="Arial Narrow" w:hAnsi="Arial Narrow"/>
                <w:sz w:val="20"/>
                <w:szCs w:val="20"/>
              </w:rPr>
            </w:pPr>
            <w:r w:rsidRPr="00B45E7F">
              <w:rPr>
                <w:rFonts w:ascii="Arial Narrow" w:hAnsi="Arial Narrow"/>
                <w:sz w:val="20"/>
                <w:szCs w:val="20"/>
              </w:rPr>
              <w:t>100 days – recommended treatment</w:t>
            </w:r>
          </w:p>
        </w:tc>
        <w:tc>
          <w:tcPr>
            <w:tcW w:w="638" w:type="pct"/>
            <w:tcBorders>
              <w:bottom w:val="double" w:sz="4" w:space="0" w:color="auto"/>
            </w:tcBorders>
            <w:vAlign w:val="center"/>
          </w:tcPr>
          <w:p w:rsidR="00E84649" w:rsidRPr="00B45E7F" w:rsidRDefault="00E84649"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E84649" w:rsidRPr="00B45E7F" w:rsidTr="00374D70">
        <w:tc>
          <w:tcPr>
            <w:tcW w:w="1187" w:type="pct"/>
            <w:vMerge/>
            <w:tcBorders>
              <w:bottom w:val="double" w:sz="4" w:space="0" w:color="auto"/>
            </w:tcBorders>
            <w:vAlign w:val="center"/>
          </w:tcPr>
          <w:p w:rsidR="00E84649" w:rsidRPr="00B45E7F" w:rsidRDefault="00E84649" w:rsidP="00242638">
            <w:pPr>
              <w:jc w:val="left"/>
              <w:rPr>
                <w:rFonts w:ascii="Arial Narrow" w:hAnsi="Arial Narrow"/>
                <w:sz w:val="20"/>
                <w:szCs w:val="20"/>
              </w:rPr>
            </w:pPr>
          </w:p>
        </w:tc>
        <w:tc>
          <w:tcPr>
            <w:tcW w:w="825" w:type="pct"/>
            <w:vMerge/>
            <w:tcBorders>
              <w:bottom w:val="double" w:sz="4" w:space="0" w:color="auto"/>
            </w:tcBorders>
            <w:vAlign w:val="center"/>
          </w:tcPr>
          <w:p w:rsidR="00E84649" w:rsidRPr="00B45E7F" w:rsidRDefault="00E84649" w:rsidP="00242638">
            <w:pPr>
              <w:jc w:val="center"/>
              <w:rPr>
                <w:rFonts w:ascii="Arial Narrow" w:hAnsi="Arial Narrow"/>
                <w:sz w:val="20"/>
                <w:szCs w:val="20"/>
              </w:rPr>
            </w:pPr>
          </w:p>
        </w:tc>
        <w:tc>
          <w:tcPr>
            <w:tcW w:w="2350" w:type="pct"/>
            <w:tcBorders>
              <w:bottom w:val="double" w:sz="4" w:space="0" w:color="auto"/>
            </w:tcBorders>
            <w:vAlign w:val="center"/>
          </w:tcPr>
          <w:p w:rsidR="00E84649" w:rsidRPr="00B45E7F" w:rsidRDefault="00E84649" w:rsidP="00242638">
            <w:pPr>
              <w:jc w:val="center"/>
              <w:rPr>
                <w:rFonts w:ascii="Arial Narrow" w:hAnsi="Arial Narrow"/>
                <w:sz w:val="20"/>
                <w:szCs w:val="20"/>
              </w:rPr>
            </w:pPr>
            <w:r w:rsidRPr="00B45E7F">
              <w:rPr>
                <w:rFonts w:ascii="Arial Narrow" w:hAnsi="Arial Narrow"/>
                <w:sz w:val="20"/>
                <w:szCs w:val="20"/>
              </w:rPr>
              <w:t>112 days – as provided under the requested restriction</w:t>
            </w:r>
          </w:p>
        </w:tc>
        <w:tc>
          <w:tcPr>
            <w:tcW w:w="638" w:type="pct"/>
            <w:tcBorders>
              <w:bottom w:val="double" w:sz="4" w:space="0" w:color="auto"/>
            </w:tcBorders>
            <w:vAlign w:val="center"/>
          </w:tcPr>
          <w:p w:rsidR="00E84649" w:rsidRPr="00B45E7F" w:rsidRDefault="00E84649"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r w:rsidR="00242638" w:rsidRPr="00B45E7F" w:rsidTr="00374D70">
        <w:tc>
          <w:tcPr>
            <w:tcW w:w="5000" w:type="pct"/>
            <w:gridSpan w:val="4"/>
            <w:tcBorders>
              <w:top w:val="double" w:sz="4" w:space="0" w:color="auto"/>
              <w:bottom w:val="single" w:sz="4" w:space="0" w:color="auto"/>
            </w:tcBorders>
            <w:vAlign w:val="center"/>
          </w:tcPr>
          <w:p w:rsidR="00242638" w:rsidRPr="00B45E7F" w:rsidRDefault="00242638" w:rsidP="00242638">
            <w:pPr>
              <w:jc w:val="left"/>
              <w:rPr>
                <w:rFonts w:ascii="Arial Narrow" w:hAnsi="Arial Narrow"/>
                <w:b/>
                <w:sz w:val="20"/>
                <w:szCs w:val="20"/>
              </w:rPr>
            </w:pPr>
            <w:r w:rsidRPr="00B45E7F">
              <w:rPr>
                <w:rFonts w:ascii="Arial Narrow" w:hAnsi="Arial Narrow"/>
                <w:b/>
                <w:sz w:val="20"/>
                <w:szCs w:val="20"/>
              </w:rPr>
              <w:t>As presented by the submission</w:t>
            </w:r>
          </w:p>
        </w:tc>
      </w:tr>
      <w:tr w:rsidR="00242638" w:rsidRPr="00B45E7F" w:rsidTr="00374D70">
        <w:tc>
          <w:tcPr>
            <w:tcW w:w="1187" w:type="pct"/>
            <w:tcBorders>
              <w:top w:val="single" w:sz="4" w:space="0" w:color="auto"/>
              <w:bottom w:val="single" w:sz="4" w:space="0" w:color="auto"/>
            </w:tcBorders>
            <w:vAlign w:val="center"/>
          </w:tcPr>
          <w:p w:rsidR="00242638" w:rsidRPr="00B45E7F" w:rsidRDefault="004569C1" w:rsidP="00242638">
            <w:pPr>
              <w:jc w:val="left"/>
              <w:rPr>
                <w:rFonts w:ascii="Arial Narrow" w:hAnsi="Arial Narrow"/>
                <w:sz w:val="20"/>
                <w:szCs w:val="20"/>
              </w:rPr>
            </w:pPr>
            <w:r>
              <w:rPr>
                <w:rFonts w:ascii="Arial Narrow" w:hAnsi="Arial Narrow"/>
                <w:noProof/>
                <w:color w:val="000000"/>
                <w:sz w:val="20"/>
                <w:szCs w:val="20"/>
                <w:highlight w:val="black"/>
              </w:rPr>
              <w:t>'''''''</w:t>
            </w:r>
            <w:r w:rsidR="00242638" w:rsidRPr="00B45E7F">
              <w:rPr>
                <w:rFonts w:ascii="Arial Narrow" w:hAnsi="Arial Narrow"/>
                <w:sz w:val="20"/>
                <w:szCs w:val="20"/>
              </w:rPr>
              <w:t xml:space="preserve">% using 240mg/day and </w:t>
            </w:r>
            <w:r>
              <w:rPr>
                <w:rFonts w:ascii="Arial Narrow" w:hAnsi="Arial Narrow"/>
                <w:noProof/>
                <w:color w:val="000000"/>
                <w:sz w:val="20"/>
                <w:szCs w:val="20"/>
                <w:highlight w:val="black"/>
              </w:rPr>
              <w:t>'''</w:t>
            </w:r>
            <w:r w:rsidR="00242638" w:rsidRPr="00B45E7F">
              <w:rPr>
                <w:rFonts w:ascii="Arial Narrow" w:hAnsi="Arial Narrow"/>
                <w:sz w:val="20"/>
                <w:szCs w:val="20"/>
              </w:rPr>
              <w:t>% using 480mg/day</w:t>
            </w:r>
          </w:p>
        </w:tc>
        <w:tc>
          <w:tcPr>
            <w:tcW w:w="825" w:type="pct"/>
            <w:tcBorders>
              <w:top w:val="single" w:sz="4" w:space="0" w:color="auto"/>
              <w:bottom w:val="single" w:sz="4" w:space="0" w:color="auto"/>
            </w:tcBorders>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c>
          <w:tcPr>
            <w:tcW w:w="2350" w:type="pct"/>
            <w:tcBorders>
              <w:top w:val="single" w:sz="4" w:space="0" w:color="auto"/>
              <w:bottom w:val="single" w:sz="4" w:space="0" w:color="auto"/>
            </w:tcBorders>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78 days – as used in the model</w:t>
            </w:r>
          </w:p>
        </w:tc>
        <w:tc>
          <w:tcPr>
            <w:tcW w:w="638" w:type="pct"/>
            <w:tcBorders>
              <w:top w:val="single" w:sz="4" w:space="0" w:color="auto"/>
              <w:bottom w:val="single" w:sz="4" w:space="0" w:color="auto"/>
            </w:tcBorders>
            <w:vAlign w:val="center"/>
          </w:tcPr>
          <w:p w:rsidR="00242638" w:rsidRPr="00B45E7F" w:rsidRDefault="00242638" w:rsidP="00242638">
            <w:pPr>
              <w:jc w:val="center"/>
              <w:rPr>
                <w:rFonts w:ascii="Arial Narrow" w:hAnsi="Arial Narrow"/>
                <w:sz w:val="20"/>
                <w:szCs w:val="20"/>
              </w:rPr>
            </w:pPr>
            <w:r w:rsidRPr="00B45E7F">
              <w:rPr>
                <w:rFonts w:ascii="Arial Narrow" w:hAnsi="Arial Narrow"/>
                <w:sz w:val="20"/>
                <w:szCs w:val="20"/>
              </w:rPr>
              <w:t>$</w:t>
            </w:r>
            <w:r w:rsidR="004569C1">
              <w:rPr>
                <w:rFonts w:ascii="Arial Narrow" w:hAnsi="Arial Narrow"/>
                <w:noProof/>
                <w:color w:val="000000"/>
                <w:sz w:val="20"/>
                <w:szCs w:val="20"/>
                <w:highlight w:val="black"/>
              </w:rPr>
              <w:t>''''''''''''''''''</w:t>
            </w:r>
          </w:p>
        </w:tc>
      </w:tr>
    </w:tbl>
    <w:p w:rsidR="00E84649" w:rsidRPr="00B45E7F" w:rsidRDefault="00242638" w:rsidP="00242638">
      <w:pPr>
        <w:pStyle w:val="TableFooter"/>
      </w:pPr>
      <w:r w:rsidRPr="00B45E7F">
        <w:t xml:space="preserve">Source:  Section 3.8.1 of the submission and requested price of </w:t>
      </w:r>
      <w:r w:rsidR="0043589C" w:rsidRPr="00B45E7F">
        <w:t>letermovir. The</w:t>
      </w:r>
      <w:r w:rsidR="00E84649" w:rsidRPr="00B45E7F">
        <w:t xml:space="preserve"> price of $</w:t>
      </w:r>
      <w:r w:rsidR="004569C1">
        <w:rPr>
          <w:noProof/>
          <w:color w:val="000000"/>
          <w:highlight w:val="black"/>
        </w:rPr>
        <w:t>'''''''''</w:t>
      </w:r>
      <w:r w:rsidR="00E84649" w:rsidRPr="00B45E7F">
        <w:t xml:space="preserve"> daily was calculated using the following formula (</w:t>
      </w:r>
      <w:r w:rsidR="004569C1">
        <w:rPr>
          <w:noProof/>
          <w:color w:val="000000"/>
          <w:highlight w:val="black"/>
        </w:rPr>
        <w:t>''''''''''</w:t>
      </w:r>
      <w:r w:rsidR="00E84649" w:rsidRPr="00B45E7F">
        <w:t>x</w:t>
      </w:r>
      <w:r w:rsidR="004569C1">
        <w:rPr>
          <w:noProof/>
          <w:color w:val="000000"/>
          <w:highlight w:val="black"/>
        </w:rPr>
        <w:t>'''''''''</w:t>
      </w:r>
      <w:r w:rsidR="00E84649" w:rsidRPr="00B45E7F">
        <w:t>) + (</w:t>
      </w:r>
      <w:r w:rsidR="004569C1">
        <w:rPr>
          <w:noProof/>
          <w:color w:val="000000"/>
          <w:highlight w:val="black"/>
        </w:rPr>
        <w:t>''''''''''''</w:t>
      </w:r>
      <w:r w:rsidR="0043589C" w:rsidRPr="00B45E7F">
        <w:t>x (</w:t>
      </w:r>
      <w:r w:rsidR="004569C1">
        <w:rPr>
          <w:noProof/>
          <w:color w:val="000000"/>
          <w:highlight w:val="black"/>
        </w:rPr>
        <w:t>''''''''</w:t>
      </w:r>
      <w:r w:rsidR="00E84649" w:rsidRPr="00B45E7F">
        <w:t xml:space="preserve">x2)). On page 88 of the submission, the </w:t>
      </w:r>
      <w:r w:rsidR="0043589C" w:rsidRPr="00B45E7F">
        <w:t>formula</w:t>
      </w:r>
      <w:r w:rsidR="00E84649" w:rsidRPr="00B45E7F">
        <w:t xml:space="preserve"> incorrectly was written </w:t>
      </w:r>
      <w:r w:rsidR="0043589C" w:rsidRPr="00B45E7F">
        <w:t>as (</w:t>
      </w:r>
      <w:r w:rsidR="004569C1">
        <w:rPr>
          <w:noProof/>
          <w:color w:val="000000"/>
          <w:highlight w:val="black"/>
        </w:rPr>
        <w:t>'''''''''''</w:t>
      </w:r>
      <w:r w:rsidR="0043589C" w:rsidRPr="00B45E7F">
        <w:t>x (</w:t>
      </w:r>
      <w:r w:rsidR="004569C1">
        <w:rPr>
          <w:noProof/>
          <w:color w:val="000000"/>
          <w:highlight w:val="black"/>
        </w:rPr>
        <w:t>'''''''''</w:t>
      </w:r>
      <w:r w:rsidR="00E84649" w:rsidRPr="00B45E7F">
        <w:t>x2)).</w:t>
      </w:r>
    </w:p>
    <w:p w:rsidR="00515960" w:rsidRPr="00B45E7F" w:rsidRDefault="00E84649" w:rsidP="00242638">
      <w:pPr>
        <w:pStyle w:val="TableFooter"/>
      </w:pPr>
      <w:proofErr w:type="gramStart"/>
      <w:r w:rsidRPr="00B45E7F">
        <w:rPr>
          <w:vertAlign w:val="superscript"/>
        </w:rPr>
        <w:t>a</w:t>
      </w:r>
      <w:proofErr w:type="gramEnd"/>
      <w:r w:rsidRPr="00B45E7F">
        <w:t xml:space="preserve"> </w:t>
      </w:r>
      <w:r w:rsidR="0043589C" w:rsidRPr="00B45E7F">
        <w:t>Formula</w:t>
      </w:r>
      <w:r w:rsidRPr="00B45E7F">
        <w:t xml:space="preserve"> used was </w:t>
      </w:r>
      <w:r w:rsidR="00351EBA" w:rsidRPr="00B45E7F">
        <w:t>(0.8x</w:t>
      </w:r>
      <w:r w:rsidR="004569C1">
        <w:rPr>
          <w:noProof/>
          <w:color w:val="000000"/>
          <w:highlight w:val="black"/>
        </w:rPr>
        <w:t>'''''''''</w:t>
      </w:r>
      <w:r w:rsidR="00351EBA" w:rsidRPr="00B45E7F">
        <w:t>) + (</w:t>
      </w:r>
      <w:r w:rsidR="0043589C" w:rsidRPr="00B45E7F">
        <w:t>0.2x (</w:t>
      </w:r>
      <w:r w:rsidR="004569C1">
        <w:rPr>
          <w:noProof/>
          <w:color w:val="000000"/>
          <w:highlight w:val="black"/>
        </w:rPr>
        <w:t>''''''''</w:t>
      </w:r>
      <w:r w:rsidRPr="00B45E7F">
        <w:t>x2</w:t>
      </w:r>
      <w:r w:rsidR="00351EBA" w:rsidRPr="00B45E7F">
        <w:t>)</w:t>
      </w:r>
      <w:r w:rsidRPr="00B45E7F">
        <w:t xml:space="preserve">) </w:t>
      </w:r>
    </w:p>
    <w:p w:rsidR="00515960" w:rsidRPr="00B45E7F" w:rsidRDefault="00515960" w:rsidP="00515960">
      <w:pPr>
        <w:keepNext/>
      </w:pPr>
    </w:p>
    <w:p w:rsidR="00505C09" w:rsidRPr="00B45E7F" w:rsidRDefault="00505C09" w:rsidP="007A12C6">
      <w:pPr>
        <w:pStyle w:val="ListParagraph"/>
        <w:keepNext/>
        <w:numPr>
          <w:ilvl w:val="1"/>
          <w:numId w:val="2"/>
        </w:numPr>
      </w:pPr>
      <w:r w:rsidRPr="00B45E7F">
        <w:t>Using the two available doses,</w:t>
      </w:r>
      <w:r w:rsidR="00FD0845" w:rsidRPr="00B45E7F">
        <w:t xml:space="preserve"> </w:t>
      </w:r>
      <w:r w:rsidRPr="00B45E7F">
        <w:t>either alone or in the proportion based on ABMTRR data, the cost for treatment as provided under the requested restriction (112 days) will range from just over $</w:t>
      </w:r>
      <w:r w:rsidR="004569C1">
        <w:rPr>
          <w:noProof/>
          <w:color w:val="000000"/>
          <w:highlight w:val="black"/>
        </w:rPr>
        <w:t>'''''''''''''</w:t>
      </w:r>
      <w:r w:rsidRPr="00B45E7F">
        <w:t xml:space="preserve"> to just over $</w:t>
      </w:r>
      <w:r w:rsidR="004569C1">
        <w:rPr>
          <w:noProof/>
          <w:color w:val="000000"/>
          <w:highlight w:val="black"/>
        </w:rPr>
        <w:t>''''''''''''</w:t>
      </w:r>
      <w:r w:rsidRPr="00B45E7F">
        <w:t>.</w:t>
      </w:r>
    </w:p>
    <w:p w:rsidR="00B60939" w:rsidRPr="00CA3B62" w:rsidRDefault="00B60939" w:rsidP="001F0352">
      <w:pPr>
        <w:widowControl w:val="0"/>
        <w:spacing w:before="240" w:after="120" w:line="276" w:lineRule="auto"/>
        <w:outlineLvl w:val="1"/>
        <w:rPr>
          <w:rFonts w:asciiTheme="minorHAnsi" w:hAnsiTheme="minorHAnsi" w:cs="Arial"/>
          <w:b/>
          <w:bCs/>
          <w:i/>
          <w:snapToGrid w:val="0"/>
          <w:sz w:val="28"/>
          <w:szCs w:val="28"/>
        </w:rPr>
      </w:pPr>
      <w:bookmarkStart w:id="14" w:name="_Toc514242732"/>
      <w:r w:rsidRPr="00CA3B62">
        <w:rPr>
          <w:rFonts w:asciiTheme="minorHAnsi" w:hAnsiTheme="minorHAnsi" w:cs="Arial"/>
          <w:b/>
          <w:bCs/>
          <w:i/>
          <w:snapToGrid w:val="0"/>
          <w:sz w:val="28"/>
          <w:szCs w:val="28"/>
        </w:rPr>
        <w:t>Estimated PBS usage &amp; financial implications</w:t>
      </w:r>
      <w:bookmarkEnd w:id="14"/>
    </w:p>
    <w:p w:rsidR="003E708F" w:rsidRPr="00B201A4" w:rsidRDefault="003E708F" w:rsidP="003E708F">
      <w:pPr>
        <w:pStyle w:val="ListParagraph"/>
        <w:numPr>
          <w:ilvl w:val="1"/>
          <w:numId w:val="2"/>
        </w:numPr>
      </w:pPr>
      <w:r>
        <w:t>This submission was considered by DUSC</w:t>
      </w:r>
      <w:r w:rsidRPr="00B50DB8">
        <w:rPr>
          <w:color w:val="0070C0"/>
        </w:rPr>
        <w:t xml:space="preserve">.  </w:t>
      </w:r>
      <w:r w:rsidRPr="003E708F">
        <w:t>The submission used an epidemiological approach to estimate the utilisation and financial implications associated with PBS listing of letermovir for the prophylaxis of CMV infection in patients who have received or are receiving an allogeneic HSCT. The submission used Australian Institute of Health and Welfare (AIHW) data to estimate the number of allogeneic bone marrow or stem cell transplants, along with use of Australasian Bone Marrow Transplant Recipient Registry (ABMTRR) data to identify adult patients; seropositive patients; and patients using cyclosporin to estimate use of letermovir.</w:t>
      </w:r>
    </w:p>
    <w:p w:rsidR="003E708F" w:rsidRPr="00B50DB8" w:rsidRDefault="003E708F" w:rsidP="00CB56EE">
      <w:pPr>
        <w:pStyle w:val="ListParagraph"/>
        <w:numPr>
          <w:ilvl w:val="1"/>
          <w:numId w:val="2"/>
        </w:numPr>
      </w:pPr>
      <w:r w:rsidRPr="003E708F">
        <w:t>The submission provided estimates for only 5 years, instead of the 6 years recommended in the PBAC Guidelines (v5.0, Section 4.2</w:t>
      </w:r>
      <w:r w:rsidRPr="004F7435">
        <w:rPr>
          <w:i/>
        </w:rPr>
        <w:t>).</w:t>
      </w:r>
      <w:r>
        <w:t xml:space="preserve"> The estimated number of patients, scripts and estimated net cost to the PBS/RPBS are provided in the table below. The PSCR updated the expected cost to include Year 6 of listing. The </w:t>
      </w:r>
      <w:r w:rsidR="00CB56EE">
        <w:t>n</w:t>
      </w:r>
      <w:r w:rsidRPr="003E708F">
        <w:t>et cost to PBS/RPBS</w:t>
      </w:r>
      <w:r>
        <w:t xml:space="preserve"> in Year 6 was </w:t>
      </w:r>
      <w:r w:rsidR="00CB56EE">
        <w:t>estimated to be</w:t>
      </w:r>
      <w:r w:rsidR="00F72FF1">
        <w:t xml:space="preserve"> less than</w:t>
      </w:r>
      <w:r w:rsidR="00CB56EE">
        <w:t xml:space="preserve"> </w:t>
      </w:r>
      <w:r w:rsidR="00CB56EE" w:rsidRPr="00CB56EE">
        <w:t>$</w:t>
      </w:r>
      <w:r w:rsidR="00F72FF1">
        <w:t>10 million</w:t>
      </w:r>
      <w:r w:rsidR="00CB56EE">
        <w:t>.</w:t>
      </w:r>
    </w:p>
    <w:p w:rsidR="003E708F" w:rsidRPr="006B7D1D" w:rsidRDefault="003E708F" w:rsidP="00967337">
      <w:pPr>
        <w:keepNext/>
        <w:keepLines/>
        <w:rPr>
          <w:rFonts w:ascii="Arial Narrow" w:hAnsi="Arial Narrow"/>
          <w:b/>
          <w:sz w:val="20"/>
          <w:szCs w:val="20"/>
        </w:rPr>
      </w:pPr>
      <w:r w:rsidRPr="006B7D1D">
        <w:rPr>
          <w:rFonts w:ascii="Arial Narrow" w:hAnsi="Arial Narrow"/>
          <w:b/>
          <w:sz w:val="20"/>
          <w:szCs w:val="20"/>
        </w:rPr>
        <w:lastRenderedPageBreak/>
        <w:t xml:space="preserve">Table </w:t>
      </w:r>
      <w:r w:rsidR="00374D70">
        <w:rPr>
          <w:rFonts w:ascii="Arial Narrow" w:hAnsi="Arial Narrow"/>
          <w:b/>
          <w:sz w:val="20"/>
          <w:szCs w:val="20"/>
        </w:rPr>
        <w:t>14</w:t>
      </w:r>
      <w:r w:rsidRPr="006B7D1D">
        <w:rPr>
          <w:rFonts w:ascii="Arial Narrow" w:hAnsi="Arial Narrow"/>
          <w:b/>
          <w:sz w:val="20"/>
          <w:szCs w:val="20"/>
        </w:rPr>
        <w:t xml:space="preserve">:  </w:t>
      </w:r>
      <w:r>
        <w:rPr>
          <w:rFonts w:ascii="Arial Narrow" w:hAnsi="Arial Narrow"/>
          <w:b/>
          <w:sz w:val="20"/>
          <w:szCs w:val="20"/>
        </w:rPr>
        <w:t>Estimated number of letermovir scripts in the first 5 years of listing</w:t>
      </w:r>
    </w:p>
    <w:tbl>
      <w:tblPr>
        <w:tblW w:w="4942"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213"/>
        <w:gridCol w:w="1155"/>
        <w:gridCol w:w="1155"/>
        <w:gridCol w:w="1301"/>
        <w:gridCol w:w="1155"/>
        <w:gridCol w:w="1157"/>
      </w:tblGrid>
      <w:tr w:rsidR="003E708F" w:rsidRPr="00F978E2" w:rsidTr="00374D70">
        <w:trPr>
          <w:tblHeader/>
        </w:trPr>
        <w:tc>
          <w:tcPr>
            <w:tcW w:w="1759" w:type="pct"/>
            <w:tcBorders>
              <w:left w:val="single" w:sz="4" w:space="0" w:color="auto"/>
              <w:right w:val="single" w:sz="4" w:space="0" w:color="auto"/>
            </w:tcBorders>
          </w:tcPr>
          <w:p w:rsidR="003E708F" w:rsidRPr="00F978E2" w:rsidRDefault="003E708F" w:rsidP="00967337">
            <w:pPr>
              <w:pStyle w:val="PbacTableHeading"/>
              <w:keepNext/>
              <w:keepLines/>
              <w:spacing w:after="0"/>
              <w:rPr>
                <w:b w:val="0"/>
              </w:rPr>
            </w:pPr>
          </w:p>
        </w:tc>
        <w:tc>
          <w:tcPr>
            <w:tcW w:w="632" w:type="pct"/>
            <w:tcBorders>
              <w:top w:val="single" w:sz="4" w:space="0" w:color="auto"/>
              <w:left w:val="single" w:sz="4" w:space="0" w:color="auto"/>
              <w:right w:val="single" w:sz="4" w:space="0" w:color="auto"/>
            </w:tcBorders>
          </w:tcPr>
          <w:p w:rsidR="003E708F" w:rsidRPr="00EA37B2" w:rsidRDefault="003E708F" w:rsidP="00967337">
            <w:pPr>
              <w:pStyle w:val="PbacTableHeading"/>
              <w:keepNext/>
              <w:keepLines/>
              <w:spacing w:after="0"/>
              <w:jc w:val="center"/>
            </w:pPr>
            <w:r w:rsidRPr="00EA37B2">
              <w:t>Year 1</w:t>
            </w:r>
          </w:p>
        </w:tc>
        <w:tc>
          <w:tcPr>
            <w:tcW w:w="632" w:type="pct"/>
            <w:tcBorders>
              <w:top w:val="single" w:sz="4" w:space="0" w:color="auto"/>
              <w:left w:val="single" w:sz="4" w:space="0" w:color="auto"/>
              <w:right w:val="single" w:sz="4" w:space="0" w:color="auto"/>
            </w:tcBorders>
          </w:tcPr>
          <w:p w:rsidR="003E708F" w:rsidRPr="00EA37B2" w:rsidRDefault="003E708F" w:rsidP="00967337">
            <w:pPr>
              <w:pStyle w:val="PbacTableHeading"/>
              <w:keepNext/>
              <w:keepLines/>
              <w:spacing w:after="0"/>
              <w:jc w:val="center"/>
            </w:pPr>
            <w:r w:rsidRPr="00EA37B2">
              <w:t>Year 2</w:t>
            </w:r>
          </w:p>
        </w:tc>
        <w:tc>
          <w:tcPr>
            <w:tcW w:w="712" w:type="pct"/>
            <w:tcBorders>
              <w:top w:val="single" w:sz="4" w:space="0" w:color="auto"/>
              <w:left w:val="single" w:sz="4" w:space="0" w:color="auto"/>
              <w:right w:val="single" w:sz="4" w:space="0" w:color="auto"/>
            </w:tcBorders>
          </w:tcPr>
          <w:p w:rsidR="003E708F" w:rsidRPr="00EA37B2" w:rsidRDefault="003E708F" w:rsidP="00967337">
            <w:pPr>
              <w:pStyle w:val="PbacTableHeading"/>
              <w:keepNext/>
              <w:keepLines/>
              <w:spacing w:after="0"/>
              <w:jc w:val="center"/>
            </w:pPr>
            <w:r w:rsidRPr="00EA37B2">
              <w:t>Year 3</w:t>
            </w:r>
          </w:p>
        </w:tc>
        <w:tc>
          <w:tcPr>
            <w:tcW w:w="632" w:type="pct"/>
            <w:tcBorders>
              <w:top w:val="single" w:sz="4" w:space="0" w:color="auto"/>
              <w:left w:val="single" w:sz="4" w:space="0" w:color="auto"/>
              <w:right w:val="single" w:sz="4" w:space="0" w:color="auto"/>
            </w:tcBorders>
          </w:tcPr>
          <w:p w:rsidR="003E708F" w:rsidRPr="00EA37B2" w:rsidRDefault="003E708F" w:rsidP="00967337">
            <w:pPr>
              <w:pStyle w:val="PbacTableHeading"/>
              <w:keepNext/>
              <w:keepLines/>
              <w:spacing w:after="0"/>
              <w:jc w:val="center"/>
            </w:pPr>
            <w:r w:rsidRPr="00EA37B2">
              <w:t>Year 4</w:t>
            </w:r>
          </w:p>
        </w:tc>
        <w:tc>
          <w:tcPr>
            <w:tcW w:w="633" w:type="pct"/>
            <w:tcBorders>
              <w:top w:val="single" w:sz="4" w:space="0" w:color="auto"/>
              <w:left w:val="single" w:sz="4" w:space="0" w:color="auto"/>
              <w:right w:val="single" w:sz="4" w:space="0" w:color="auto"/>
            </w:tcBorders>
          </w:tcPr>
          <w:p w:rsidR="003E708F" w:rsidRPr="00EA37B2" w:rsidRDefault="003E708F" w:rsidP="00967337">
            <w:pPr>
              <w:pStyle w:val="PbacTableHeading"/>
              <w:keepNext/>
              <w:keepLines/>
              <w:spacing w:after="0"/>
              <w:jc w:val="center"/>
            </w:pPr>
            <w:r w:rsidRPr="00EA37B2">
              <w:t>Year 5</w:t>
            </w:r>
          </w:p>
        </w:tc>
      </w:tr>
      <w:tr w:rsidR="003E708F" w:rsidRPr="00F978E2" w:rsidTr="00374D70">
        <w:tc>
          <w:tcPr>
            <w:tcW w:w="5000" w:type="pct"/>
            <w:gridSpan w:val="6"/>
            <w:tcBorders>
              <w:left w:val="single" w:sz="4" w:space="0" w:color="auto"/>
              <w:right w:val="single" w:sz="4" w:space="0" w:color="auto"/>
            </w:tcBorders>
          </w:tcPr>
          <w:p w:rsidR="003E708F" w:rsidRPr="00ED48A5" w:rsidRDefault="003E708F" w:rsidP="00967337">
            <w:pPr>
              <w:pStyle w:val="PBACTableText"/>
              <w:keepNext/>
              <w:keepLines/>
              <w:spacing w:before="0" w:after="0"/>
              <w:rPr>
                <w:b/>
              </w:rPr>
            </w:pPr>
            <w:r w:rsidRPr="00D1078F">
              <w:rPr>
                <w:b/>
                <w:bCs/>
                <w:color w:val="000000"/>
              </w:rPr>
              <w:t>Estimated extent of use</w:t>
            </w:r>
          </w:p>
        </w:tc>
      </w:tr>
      <w:tr w:rsidR="003E708F" w:rsidRPr="00F978E2" w:rsidTr="00374D70">
        <w:tc>
          <w:tcPr>
            <w:tcW w:w="1759" w:type="pct"/>
            <w:tcBorders>
              <w:left w:val="single" w:sz="4" w:space="0" w:color="auto"/>
              <w:right w:val="single" w:sz="4" w:space="0" w:color="auto"/>
            </w:tcBorders>
            <w:vAlign w:val="center"/>
          </w:tcPr>
          <w:p w:rsidR="003E708F" w:rsidRDefault="003E708F" w:rsidP="00967337">
            <w:pPr>
              <w:pStyle w:val="PBACTableText"/>
              <w:keepNext/>
              <w:keepLines/>
              <w:spacing w:before="0" w:after="0"/>
            </w:pPr>
            <w:r w:rsidRPr="003639A6">
              <w:t>Number of patients treated</w:t>
            </w:r>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71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3"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r>
      <w:tr w:rsidR="003E708F" w:rsidRPr="00F978E2" w:rsidTr="00374D70">
        <w:tc>
          <w:tcPr>
            <w:tcW w:w="1759" w:type="pct"/>
            <w:tcBorders>
              <w:left w:val="single" w:sz="4" w:space="0" w:color="auto"/>
              <w:right w:val="single" w:sz="4" w:space="0" w:color="auto"/>
            </w:tcBorders>
            <w:vAlign w:val="center"/>
          </w:tcPr>
          <w:p w:rsidR="003E708F" w:rsidRDefault="003E708F" w:rsidP="00967337">
            <w:pPr>
              <w:pStyle w:val="PBACTableText"/>
              <w:keepNext/>
              <w:keepLines/>
              <w:spacing w:before="0" w:after="0"/>
            </w:pPr>
            <w:r w:rsidRPr="003639A6">
              <w:t xml:space="preserve">Number of </w:t>
            </w:r>
            <w:r>
              <w:t>scripts</w:t>
            </w:r>
            <w:r w:rsidRPr="003639A6">
              <w:t xml:space="preserve"> </w:t>
            </w:r>
            <w:proofErr w:type="spellStart"/>
            <w:r w:rsidRPr="003639A6">
              <w:t>dispensed</w:t>
            </w:r>
            <w:r w:rsidRPr="00B762ED">
              <w:rPr>
                <w:vertAlign w:val="superscript"/>
              </w:rPr>
              <w:t>a</w:t>
            </w:r>
            <w:proofErr w:type="spellEnd"/>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71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2"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c>
          <w:tcPr>
            <w:tcW w:w="633" w:type="pct"/>
            <w:tcBorders>
              <w:left w:val="single" w:sz="4" w:space="0" w:color="auto"/>
              <w:right w:val="single" w:sz="4" w:space="0" w:color="auto"/>
            </w:tcBorders>
            <w:vAlign w:val="center"/>
          </w:tcPr>
          <w:p w:rsidR="003E708F" w:rsidRPr="004569C1" w:rsidRDefault="004569C1" w:rsidP="00967337">
            <w:pPr>
              <w:pStyle w:val="PBACTableText"/>
              <w:keepNext/>
              <w:keepLines/>
              <w:spacing w:before="0" w:after="0"/>
              <w:jc w:val="center"/>
              <w:rPr>
                <w:highlight w:val="black"/>
              </w:rPr>
            </w:pPr>
            <w:r>
              <w:rPr>
                <w:noProof/>
                <w:color w:val="000000"/>
                <w:highlight w:val="black"/>
              </w:rPr>
              <w:t>'''''''''''''</w:t>
            </w:r>
          </w:p>
        </w:tc>
      </w:tr>
      <w:tr w:rsidR="003E708F" w:rsidRPr="00F978E2" w:rsidTr="00374D70">
        <w:tc>
          <w:tcPr>
            <w:tcW w:w="5000" w:type="pct"/>
            <w:gridSpan w:val="6"/>
            <w:tcBorders>
              <w:left w:val="single" w:sz="4" w:space="0" w:color="auto"/>
              <w:right w:val="single" w:sz="4" w:space="0" w:color="auto"/>
            </w:tcBorders>
          </w:tcPr>
          <w:p w:rsidR="003E708F" w:rsidRDefault="003E708F" w:rsidP="00967337">
            <w:pPr>
              <w:pStyle w:val="PBACTableText"/>
              <w:keepNext/>
              <w:keepLines/>
              <w:spacing w:before="0" w:after="0"/>
            </w:pPr>
            <w:r w:rsidRPr="00D1078F">
              <w:rPr>
                <w:b/>
                <w:bCs/>
                <w:color w:val="000000"/>
              </w:rPr>
              <w:t xml:space="preserve">Estimated </w:t>
            </w:r>
            <w:r>
              <w:rPr>
                <w:b/>
                <w:bCs/>
                <w:color w:val="000000"/>
              </w:rPr>
              <w:t>financial implications of letermovir</w:t>
            </w:r>
          </w:p>
        </w:tc>
      </w:tr>
      <w:tr w:rsidR="003E708F" w:rsidRPr="00F978E2" w:rsidTr="00374D70">
        <w:tc>
          <w:tcPr>
            <w:tcW w:w="1759" w:type="pct"/>
            <w:tcBorders>
              <w:left w:val="single" w:sz="4" w:space="0" w:color="auto"/>
              <w:right w:val="single" w:sz="4" w:space="0" w:color="auto"/>
            </w:tcBorders>
            <w:vAlign w:val="center"/>
          </w:tcPr>
          <w:p w:rsidR="003E708F" w:rsidRDefault="003E708F" w:rsidP="00967337">
            <w:pPr>
              <w:pStyle w:val="PBACTableText"/>
              <w:keepNext/>
              <w:keepLines/>
              <w:spacing w:before="0" w:after="0"/>
            </w:pPr>
            <w:r>
              <w:rPr>
                <w:sz w:val="19"/>
                <w:szCs w:val="19"/>
              </w:rPr>
              <w:t>C</w:t>
            </w:r>
            <w:r w:rsidRPr="003639A6">
              <w:rPr>
                <w:sz w:val="19"/>
                <w:szCs w:val="19"/>
              </w:rPr>
              <w:t>ost to PBS/RPBS</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color w:val="000000"/>
              </w:rPr>
              <w:t>$</w:t>
            </w:r>
            <w:r w:rsidR="004569C1">
              <w:rPr>
                <w:rFonts w:cs="Arial"/>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color w:val="000000"/>
              </w:rPr>
              <w:t>$</w:t>
            </w:r>
            <w:r w:rsidR="004569C1">
              <w:rPr>
                <w:rFonts w:cs="Arial"/>
                <w:noProof/>
                <w:color w:val="000000"/>
                <w:highlight w:val="black"/>
              </w:rPr>
              <w:t>'''''''''''''''''''''''''</w:t>
            </w:r>
          </w:p>
        </w:tc>
        <w:tc>
          <w:tcPr>
            <w:tcW w:w="71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color w:val="000000"/>
              </w:rPr>
              <w:t>$</w:t>
            </w:r>
            <w:r w:rsidR="004569C1">
              <w:rPr>
                <w:rFonts w:cs="Arial"/>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color w:val="000000"/>
              </w:rPr>
              <w:t>$</w:t>
            </w:r>
            <w:r w:rsidR="004569C1">
              <w:rPr>
                <w:rFonts w:cs="Arial"/>
                <w:noProof/>
                <w:color w:val="000000"/>
                <w:highlight w:val="black"/>
              </w:rPr>
              <w:t>''''''''''''''''''''''</w:t>
            </w:r>
          </w:p>
        </w:tc>
        <w:tc>
          <w:tcPr>
            <w:tcW w:w="633"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color w:val="000000"/>
              </w:rPr>
              <w:t>$</w:t>
            </w:r>
            <w:r w:rsidR="004569C1">
              <w:rPr>
                <w:rFonts w:cs="Arial"/>
                <w:noProof/>
                <w:color w:val="000000"/>
                <w:highlight w:val="black"/>
              </w:rPr>
              <w:t>'''''''''''''''''''''''</w:t>
            </w:r>
          </w:p>
        </w:tc>
      </w:tr>
      <w:tr w:rsidR="003E708F" w:rsidRPr="00F978E2" w:rsidTr="00374D70">
        <w:tc>
          <w:tcPr>
            <w:tcW w:w="1759" w:type="pct"/>
            <w:tcBorders>
              <w:left w:val="single" w:sz="4" w:space="0" w:color="auto"/>
              <w:right w:val="single" w:sz="4" w:space="0" w:color="auto"/>
            </w:tcBorders>
            <w:vAlign w:val="center"/>
          </w:tcPr>
          <w:p w:rsidR="003E708F" w:rsidRDefault="003E708F" w:rsidP="00967337">
            <w:pPr>
              <w:pStyle w:val="PBACTableText"/>
              <w:keepNext/>
              <w:keepLines/>
              <w:spacing w:before="0" w:after="0"/>
            </w:pPr>
            <w:r>
              <w:rPr>
                <w:sz w:val="19"/>
                <w:szCs w:val="19"/>
              </w:rPr>
              <w:t>Co-payments</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rPr>
              <w:t>-$</w:t>
            </w:r>
            <w:r w:rsidR="004569C1">
              <w:rPr>
                <w:rFonts w:cs="Arial"/>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rPr>
              <w:t>-$</w:t>
            </w:r>
            <w:r w:rsidR="004569C1">
              <w:rPr>
                <w:rFonts w:cs="Arial"/>
                <w:noProof/>
                <w:color w:val="000000"/>
                <w:highlight w:val="black"/>
              </w:rPr>
              <w:t>'''''''''''''''''</w:t>
            </w:r>
          </w:p>
        </w:tc>
        <w:tc>
          <w:tcPr>
            <w:tcW w:w="71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rPr>
              <w:t>-$</w:t>
            </w:r>
            <w:r w:rsidR="004569C1">
              <w:rPr>
                <w:rFonts w:cs="Arial"/>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rPr>
              <w:t>-$</w:t>
            </w:r>
            <w:r w:rsidR="004569C1">
              <w:rPr>
                <w:rFonts w:cs="Arial"/>
                <w:noProof/>
                <w:color w:val="000000"/>
                <w:highlight w:val="black"/>
              </w:rPr>
              <w:t>''''''''''''''''''</w:t>
            </w:r>
          </w:p>
        </w:tc>
        <w:tc>
          <w:tcPr>
            <w:tcW w:w="633"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607875">
              <w:rPr>
                <w:rFonts w:cs="Arial"/>
              </w:rPr>
              <w:t>-$</w:t>
            </w:r>
            <w:r w:rsidR="004569C1">
              <w:rPr>
                <w:rFonts w:cs="Arial"/>
                <w:noProof/>
                <w:color w:val="000000"/>
                <w:highlight w:val="black"/>
              </w:rPr>
              <w:t>'''''''''''''''''</w:t>
            </w:r>
          </w:p>
        </w:tc>
      </w:tr>
      <w:tr w:rsidR="003E708F" w:rsidRPr="00F978E2" w:rsidTr="00374D70">
        <w:tc>
          <w:tcPr>
            <w:tcW w:w="1759" w:type="pct"/>
            <w:tcBorders>
              <w:left w:val="single" w:sz="4" w:space="0" w:color="auto"/>
              <w:right w:val="single" w:sz="4" w:space="0" w:color="auto"/>
            </w:tcBorders>
            <w:vAlign w:val="center"/>
          </w:tcPr>
          <w:p w:rsidR="003E708F" w:rsidRPr="00ED48A5" w:rsidRDefault="003E708F" w:rsidP="00967337">
            <w:pPr>
              <w:pStyle w:val="PBACTableText"/>
              <w:keepNext/>
              <w:keepLines/>
              <w:spacing w:before="0" w:after="0"/>
              <w:rPr>
                <w:b/>
              </w:rPr>
            </w:pPr>
            <w:r w:rsidRPr="00ED48A5">
              <w:rPr>
                <w:b/>
                <w:sz w:val="19"/>
                <w:szCs w:val="19"/>
              </w:rPr>
              <w:t>Net cost to PBS/RPBS</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9F660B">
              <w:rPr>
                <w:rFonts w:cs="Arial"/>
                <w:b/>
                <w:bCs/>
                <w:color w:val="000000"/>
              </w:rPr>
              <w:t>$</w:t>
            </w:r>
            <w:r w:rsidR="004569C1">
              <w:rPr>
                <w:rFonts w:cs="Arial"/>
                <w:b/>
                <w:bCs/>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9F660B">
              <w:rPr>
                <w:rFonts w:cs="Arial"/>
                <w:b/>
                <w:bCs/>
                <w:color w:val="000000"/>
              </w:rPr>
              <w:t>$</w:t>
            </w:r>
            <w:r w:rsidR="004569C1">
              <w:rPr>
                <w:rFonts w:cs="Arial"/>
                <w:b/>
                <w:bCs/>
                <w:noProof/>
                <w:color w:val="000000"/>
                <w:highlight w:val="black"/>
              </w:rPr>
              <w:t>'''''''''''''''''''</w:t>
            </w:r>
          </w:p>
        </w:tc>
        <w:tc>
          <w:tcPr>
            <w:tcW w:w="71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9F660B">
              <w:rPr>
                <w:rFonts w:cs="Arial"/>
                <w:b/>
                <w:bCs/>
                <w:color w:val="000000"/>
              </w:rPr>
              <w:t>$</w:t>
            </w:r>
            <w:r w:rsidR="004569C1">
              <w:rPr>
                <w:rFonts w:cs="Arial"/>
                <w:b/>
                <w:bCs/>
                <w:noProof/>
                <w:color w:val="000000"/>
                <w:highlight w:val="black"/>
              </w:rPr>
              <w:t>''''''''''''''''''</w:t>
            </w:r>
          </w:p>
        </w:tc>
        <w:tc>
          <w:tcPr>
            <w:tcW w:w="632"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9F660B">
              <w:rPr>
                <w:rFonts w:cs="Arial"/>
                <w:b/>
                <w:bCs/>
                <w:color w:val="000000"/>
              </w:rPr>
              <w:t>$</w:t>
            </w:r>
            <w:r w:rsidR="004569C1">
              <w:rPr>
                <w:rFonts w:cs="Arial"/>
                <w:b/>
                <w:bCs/>
                <w:noProof/>
                <w:color w:val="000000"/>
                <w:highlight w:val="black"/>
              </w:rPr>
              <w:t>'''''''''''''''''''</w:t>
            </w:r>
          </w:p>
        </w:tc>
        <w:tc>
          <w:tcPr>
            <w:tcW w:w="633" w:type="pct"/>
            <w:tcBorders>
              <w:left w:val="single" w:sz="4" w:space="0" w:color="auto"/>
              <w:right w:val="single" w:sz="4" w:space="0" w:color="auto"/>
            </w:tcBorders>
            <w:vAlign w:val="center"/>
          </w:tcPr>
          <w:p w:rsidR="003E708F" w:rsidRDefault="003E708F" w:rsidP="00967337">
            <w:pPr>
              <w:pStyle w:val="PBACTableText"/>
              <w:keepNext/>
              <w:keepLines/>
              <w:spacing w:before="0" w:after="0"/>
              <w:jc w:val="center"/>
            </w:pPr>
            <w:r w:rsidRPr="009F660B">
              <w:rPr>
                <w:rFonts w:cs="Arial"/>
                <w:b/>
                <w:bCs/>
                <w:color w:val="000000"/>
              </w:rPr>
              <w:t>$</w:t>
            </w:r>
            <w:r w:rsidR="004569C1">
              <w:rPr>
                <w:rFonts w:cs="Arial"/>
                <w:b/>
                <w:bCs/>
                <w:noProof/>
                <w:color w:val="000000"/>
                <w:highlight w:val="black"/>
              </w:rPr>
              <w:t>''''''''''''''''''''</w:t>
            </w:r>
          </w:p>
        </w:tc>
      </w:tr>
    </w:tbl>
    <w:p w:rsidR="003E708F" w:rsidRPr="00B762ED" w:rsidRDefault="003E708F" w:rsidP="00967337">
      <w:pPr>
        <w:pStyle w:val="TableFooter"/>
        <w:keepNext/>
        <w:keepLines/>
        <w:tabs>
          <w:tab w:val="left" w:pos="142"/>
        </w:tabs>
        <w:ind w:left="142" w:hanging="142"/>
      </w:pPr>
      <w:proofErr w:type="spellStart"/>
      <w:proofErr w:type="gramStart"/>
      <w:r w:rsidRPr="003639A6">
        <w:rPr>
          <w:vertAlign w:val="superscript"/>
        </w:rPr>
        <w:t>a</w:t>
      </w:r>
      <w:proofErr w:type="spellEnd"/>
      <w:proofErr w:type="gramEnd"/>
      <w:r>
        <w:tab/>
        <w:t>Assuming a weighted average of 3.21 packs per year (</w:t>
      </w:r>
      <w:r w:rsidR="004569C1">
        <w:rPr>
          <w:noProof/>
          <w:color w:val="000000"/>
          <w:highlight w:val="black"/>
        </w:rPr>
        <w:t>''''''</w:t>
      </w:r>
      <w:r>
        <w:t xml:space="preserve">% using concomitant cyclosporin and 240mg/day and </w:t>
      </w:r>
      <w:r w:rsidR="004569C1">
        <w:rPr>
          <w:noProof/>
          <w:color w:val="000000"/>
          <w:highlight w:val="black"/>
        </w:rPr>
        <w:t>'''</w:t>
      </w:r>
      <w:r>
        <w:t>% using letermovir alone and 480mg/day).</w:t>
      </w:r>
    </w:p>
    <w:p w:rsidR="003E708F" w:rsidRDefault="003E708F" w:rsidP="00967337">
      <w:pPr>
        <w:pStyle w:val="TableFooter"/>
        <w:keepNext/>
        <w:keepLines/>
        <w:rPr>
          <w:rStyle w:val="CommentReference"/>
        </w:rPr>
      </w:pPr>
      <w:r>
        <w:t>Source:  Table 4-5, p109-110; Table 4-8, p111; Table 4-9, p112 of the submission.</w:t>
      </w:r>
    </w:p>
    <w:p w:rsidR="003E708F" w:rsidRPr="00C25D9C" w:rsidRDefault="003E708F" w:rsidP="00967337">
      <w:pPr>
        <w:keepNext/>
        <w:keepLines/>
      </w:pPr>
    </w:p>
    <w:p w:rsidR="003E708F" w:rsidRPr="00CB56EE" w:rsidRDefault="00CB56EE" w:rsidP="003E708F">
      <w:pPr>
        <w:pStyle w:val="ListParagraph"/>
        <w:numPr>
          <w:ilvl w:val="1"/>
          <w:numId w:val="2"/>
        </w:numPr>
      </w:pPr>
      <w:r w:rsidRPr="00CB56EE">
        <w:t xml:space="preserve">The </w:t>
      </w:r>
      <w:r w:rsidR="00FF6C22">
        <w:t xml:space="preserve">submission estimated </w:t>
      </w:r>
      <w:r w:rsidR="003E708F" w:rsidRPr="00CB56EE">
        <w:t xml:space="preserve">patient numbers </w:t>
      </w:r>
      <w:r w:rsidR="00FF6C22">
        <w:t xml:space="preserve">of </w:t>
      </w:r>
      <w:r w:rsidR="00F72FF1">
        <w:t>less than 10,000</w:t>
      </w:r>
      <w:r w:rsidR="003E708F" w:rsidRPr="00CB56EE">
        <w:t xml:space="preserve"> per year, </w:t>
      </w:r>
      <w:r w:rsidRPr="00CB56EE">
        <w:t xml:space="preserve">and </w:t>
      </w:r>
      <w:r w:rsidR="003E708F" w:rsidRPr="00CB56EE">
        <w:t xml:space="preserve">estimated net costs </w:t>
      </w:r>
      <w:r w:rsidRPr="00CB56EE">
        <w:t>totalled</w:t>
      </w:r>
      <w:r w:rsidR="003E708F" w:rsidRPr="00CB56EE">
        <w:t xml:space="preserve"> $</w:t>
      </w:r>
      <w:r w:rsidR="00F72FF1">
        <w:t>30 - $60 million</w:t>
      </w:r>
      <w:r w:rsidR="003E708F" w:rsidRPr="00CB56EE">
        <w:t xml:space="preserve"> over the first </w:t>
      </w:r>
      <w:r w:rsidRPr="00CB56EE">
        <w:t>6</w:t>
      </w:r>
      <w:r w:rsidR="003E708F" w:rsidRPr="00CB56EE">
        <w:t xml:space="preserve"> years of listing</w:t>
      </w:r>
      <w:r w:rsidRPr="00CB56EE">
        <w:t>.</w:t>
      </w:r>
    </w:p>
    <w:p w:rsidR="00043B35" w:rsidRDefault="00043B35" w:rsidP="00043B35">
      <w:pPr>
        <w:pStyle w:val="ListParagraph"/>
        <w:numPr>
          <w:ilvl w:val="1"/>
          <w:numId w:val="2"/>
        </w:numPr>
      </w:pPr>
      <w:r w:rsidRPr="00043B35">
        <w:t xml:space="preserve">Overall, DUSC considered the estimates presented in the </w:t>
      </w:r>
      <w:r>
        <w:t>submission to be underestimated</w:t>
      </w:r>
      <w:r w:rsidR="003D67CA">
        <w:t>,</w:t>
      </w:r>
      <w:r w:rsidRPr="00043B35">
        <w:t xml:space="preserve"> </w:t>
      </w:r>
      <w:r>
        <w:t>because</w:t>
      </w:r>
      <w:r w:rsidRPr="00043B35">
        <w:t>:</w:t>
      </w:r>
    </w:p>
    <w:p w:rsidR="00043B35" w:rsidRPr="00043B35" w:rsidRDefault="00043B35" w:rsidP="00374D70">
      <w:pPr>
        <w:pStyle w:val="ListParagraph"/>
        <w:numPr>
          <w:ilvl w:val="1"/>
          <w:numId w:val="16"/>
        </w:numPr>
        <w:ind w:left="1077" w:hanging="357"/>
      </w:pPr>
      <w:r w:rsidRPr="00043B35">
        <w:rPr>
          <w:rFonts w:asciiTheme="minorHAnsi" w:hAnsiTheme="minorHAnsi" w:cs="Arial"/>
        </w:rPr>
        <w:t xml:space="preserve">The proposed PBS restriction permits use in a broader population than the eligible population determined in the financial estimates. In particular, age, timing of CMV serostatus testing and maximum duration of therapy were not specified in the requested restriction (as discussed in Section 2 Requested Listing). </w:t>
      </w:r>
    </w:p>
    <w:p w:rsidR="006007AE" w:rsidRDefault="004A66F1" w:rsidP="00374D70">
      <w:pPr>
        <w:pStyle w:val="ListParagraph"/>
        <w:numPr>
          <w:ilvl w:val="1"/>
          <w:numId w:val="16"/>
        </w:numPr>
        <w:ind w:left="1077" w:hanging="357"/>
      </w:pPr>
      <w:r w:rsidRPr="004A66F1">
        <w:t>There is uncertainty regarding the duration of treatment. The median treatment duration in the clinical trial (78 days), which was used in the financial estimates, is considerably less than the 100 days of recommended duration, and the 112 days of treatment that would be available to patients based on the requested restriction.</w:t>
      </w:r>
      <w:r w:rsidR="00043B35" w:rsidRPr="00043B35">
        <w:t xml:space="preserve">.  </w:t>
      </w:r>
      <w:r w:rsidR="006007AE" w:rsidRPr="00043B35">
        <w:t>The PSCR</w:t>
      </w:r>
      <w:r w:rsidR="006007AE" w:rsidRPr="006007AE">
        <w:t xml:space="preserve"> stated that it would be unreasonable to expect that all patients will receive the full amount of 112 tablets on the PBS. However, DUSC considered that the duration of treatment is still uncertain. DUSC also noted the potential for letermovir to be used for a longer period of time in some patients due to the potential for rebound viraemia.</w:t>
      </w:r>
    </w:p>
    <w:p w:rsidR="003E708F" w:rsidRPr="006007AE" w:rsidRDefault="004A66F1" w:rsidP="00374D70">
      <w:pPr>
        <w:pStyle w:val="ListParagraph"/>
        <w:numPr>
          <w:ilvl w:val="1"/>
          <w:numId w:val="16"/>
        </w:numPr>
        <w:ind w:left="1077" w:hanging="357"/>
      </w:pPr>
      <w:r w:rsidRPr="004A66F1">
        <w:t xml:space="preserve">The submission’s financial estimates were based on the assumption that </w:t>
      </w:r>
      <w:r w:rsidR="004569C1">
        <w:rPr>
          <w:noProof/>
          <w:color w:val="000000"/>
          <w:highlight w:val="black"/>
        </w:rPr>
        <w:t>''''''</w:t>
      </w:r>
      <w:r w:rsidRPr="004A66F1">
        <w:t xml:space="preserve">% of patients would be on cyclosporin (from current Australian practice rather than the 52% from the clinical trial) and therefore only require the lower dose of letermovir. </w:t>
      </w:r>
      <w:r w:rsidR="006007AE" w:rsidRPr="004A66F1">
        <w:rPr>
          <w:rFonts w:asciiTheme="minorHAnsi" w:hAnsiTheme="minorHAnsi" w:cs="Arial"/>
        </w:rPr>
        <w:t xml:space="preserve">In the PSCR, the sponsor maintained that the ABMTRR data represents ideal real-world utilisation data to estimate utilisation of cyclosporin in this patient population and there are no known reasons to anticipate a change in clinical practice as cyclosporin has been available for many years. </w:t>
      </w:r>
      <w:r w:rsidR="006007AE" w:rsidRPr="004A66F1">
        <w:rPr>
          <w:rFonts w:asciiTheme="minorHAnsi" w:hAnsiTheme="minorHAnsi"/>
        </w:rPr>
        <w:t>The submission acknowledged that uncertainty around this rate of cyclosporin use, as well as treatment duration, could be addressed through a risk sharing arrangement.</w:t>
      </w:r>
      <w:r w:rsidR="006007AE" w:rsidRPr="004A66F1">
        <w:rPr>
          <w:rFonts w:asciiTheme="minorHAnsi" w:hAnsiTheme="minorHAnsi" w:cs="Arial"/>
        </w:rPr>
        <w:t xml:space="preserve"> DUSC agreed with the commentary regarding the uncertainty </w:t>
      </w:r>
      <w:r w:rsidRPr="004A66F1">
        <w:t>of whether the rate of cyclosporin use has been stable and will continue to remain the same in the future.</w:t>
      </w:r>
    </w:p>
    <w:p w:rsidR="003E708F" w:rsidRDefault="003E708F" w:rsidP="003E708F">
      <w:pPr>
        <w:pStyle w:val="ListParagraph"/>
        <w:numPr>
          <w:ilvl w:val="1"/>
          <w:numId w:val="2"/>
        </w:numPr>
      </w:pPr>
      <w:r w:rsidRPr="00CB56EE">
        <w:lastRenderedPageBreak/>
        <w:t>Given that a treatment duration based on the number of packs available with the requested restriction is more likely to apply in practice (112 days, therefore including wastage), this change has been combined with a change in proportion of patients using cyclosporin (</w:t>
      </w:r>
      <w:r w:rsidR="00374D70" w:rsidRPr="00CB56EE">
        <w:t>i.e.</w:t>
      </w:r>
      <w:r w:rsidRPr="00CB56EE">
        <w:t xml:space="preserve"> the 240mg/day dose; decrease to 80% from </w:t>
      </w:r>
      <w:r w:rsidR="004569C1">
        <w:rPr>
          <w:noProof/>
          <w:color w:val="000000"/>
          <w:highlight w:val="black"/>
        </w:rPr>
        <w:t>'''''</w:t>
      </w:r>
      <w:r w:rsidRPr="00CB56EE">
        <w:t>% in the base case).  This sensitivity analysis increased estimated net cost over the first 5 years of listing to a total of $</w:t>
      </w:r>
      <w:r w:rsidR="002126C6">
        <w:t>60 - $100 million</w:t>
      </w:r>
      <w:r w:rsidRPr="00CB56EE">
        <w:t xml:space="preserve"> compared with the $</w:t>
      </w:r>
      <w:r w:rsidR="002126C6">
        <w:t>30 - $60 million</w:t>
      </w:r>
      <w:r w:rsidRPr="00CB56EE">
        <w:t xml:space="preserve"> estimated in the submission’s base case.</w:t>
      </w:r>
    </w:p>
    <w:p w:rsidR="00494604" w:rsidRDefault="00494604" w:rsidP="00494604">
      <w:pPr>
        <w:pStyle w:val="ListParagraph"/>
        <w:numPr>
          <w:ilvl w:val="1"/>
          <w:numId w:val="2"/>
        </w:numPr>
      </w:pPr>
      <w:r>
        <w:t>The Pre-PBAC response stated a</w:t>
      </w:r>
      <w:r w:rsidRPr="00494604">
        <w:t xml:space="preserve">ny uncertainty in the real world utilisation of letermovir will be addressed with a risk sharing arrangement between </w:t>
      </w:r>
      <w:r>
        <w:t>the sponsor</w:t>
      </w:r>
      <w:r w:rsidRPr="00494604">
        <w:t xml:space="preserve"> and the government, such that the impact of extended duration outside of the proposed estimates does not have a significant impact to the health budget. However, the sponsor reiterates that the use of the median trial duration is reasonable to estimate real-world utilisation of letermovir. There are a number of clinical reasons to delay starting letermovir or cease letermovir before day 100 post-transplant. It is for these reasons that the median duration of treatment in the trial was observed as 78 days. It is therefore not reasonable to expect that all patients will receive the maximum amount of letermovir.</w:t>
      </w:r>
    </w:p>
    <w:p w:rsidR="00374D70" w:rsidRPr="00967337" w:rsidRDefault="00764890" w:rsidP="00967337">
      <w:pPr>
        <w:ind w:firstLine="720"/>
        <w:rPr>
          <w:i/>
        </w:rPr>
      </w:pPr>
      <w:r w:rsidRPr="00764890">
        <w:rPr>
          <w:i/>
        </w:rPr>
        <w:t>For more detail on PBAC’s view, see section 7 PBAC outcome.</w:t>
      </w:r>
      <w:bookmarkStart w:id="15" w:name="_Toc514242733"/>
    </w:p>
    <w:p w:rsidR="00576972" w:rsidRPr="00CA3B62" w:rsidRDefault="00576972" w:rsidP="001F0352">
      <w:pPr>
        <w:widowControl w:val="0"/>
        <w:spacing w:before="240" w:after="120" w:line="276" w:lineRule="auto"/>
        <w:outlineLvl w:val="1"/>
        <w:rPr>
          <w:rFonts w:asciiTheme="minorHAnsi" w:hAnsiTheme="minorHAnsi" w:cs="Arial"/>
          <w:b/>
          <w:bCs/>
          <w:i/>
          <w:snapToGrid w:val="0"/>
          <w:sz w:val="28"/>
          <w:szCs w:val="28"/>
        </w:rPr>
      </w:pPr>
      <w:r w:rsidRPr="00CA3B62">
        <w:rPr>
          <w:rFonts w:asciiTheme="minorHAnsi" w:hAnsiTheme="minorHAnsi" w:cs="Arial"/>
          <w:b/>
          <w:bCs/>
          <w:i/>
          <w:snapToGrid w:val="0"/>
          <w:sz w:val="28"/>
          <w:szCs w:val="28"/>
        </w:rPr>
        <w:t>Quality Use of Medicines</w:t>
      </w:r>
      <w:bookmarkEnd w:id="15"/>
    </w:p>
    <w:p w:rsidR="00571AE0" w:rsidRPr="00B45E7F" w:rsidRDefault="00571AE0" w:rsidP="007A12C6">
      <w:pPr>
        <w:pStyle w:val="ListParagraph"/>
        <w:numPr>
          <w:ilvl w:val="1"/>
          <w:numId w:val="2"/>
        </w:numPr>
      </w:pPr>
      <w:r w:rsidRPr="00B45E7F">
        <w:t xml:space="preserve">The submission provided a list of proposed activities to support the quality use of medicines, including development of materials to be provided to physicians, nurses, pharmacists and patients; educational activities; and development of materials to support responses to requests for information on the sponsor’s 1800 </w:t>
      </w:r>
      <w:r w:rsidR="00CC6974" w:rsidRPr="00B45E7F">
        <w:t xml:space="preserve">medical information service </w:t>
      </w:r>
      <w:r w:rsidRPr="00B45E7F">
        <w:t>number.</w:t>
      </w:r>
    </w:p>
    <w:p w:rsidR="00576972" w:rsidRDefault="00571AE0" w:rsidP="007A12C6">
      <w:pPr>
        <w:pStyle w:val="ListParagraph"/>
        <w:numPr>
          <w:ilvl w:val="1"/>
          <w:numId w:val="2"/>
        </w:numPr>
      </w:pPr>
      <w:r w:rsidRPr="00B45E7F">
        <w:t>The submission added that no additional post-market surveillance studies or risk minimisation activities are currently proposed for letermovir.</w:t>
      </w:r>
    </w:p>
    <w:p w:rsidR="0041666A" w:rsidRPr="0041666A" w:rsidRDefault="0041666A" w:rsidP="0041666A">
      <w:pPr>
        <w:pStyle w:val="ListParagraph"/>
        <w:numPr>
          <w:ilvl w:val="1"/>
          <w:numId w:val="2"/>
        </w:numPr>
        <w:rPr>
          <w:rFonts w:asciiTheme="minorHAnsi" w:hAnsiTheme="minorHAnsi"/>
        </w:rPr>
      </w:pPr>
      <w:r w:rsidRPr="0041666A">
        <w:rPr>
          <w:rFonts w:asciiTheme="minorHAnsi" w:hAnsiTheme="minorHAnsi"/>
        </w:rPr>
        <w:t>DUSC highlighted that educational materials and activities on drug interactions would be crucial to support appropriate use of letermovir. There are significant drug interactions associated with co-administration of letermovir (as it is a CYP3A inhibitor and an OATP1B1/3 substrate) and the magnitude of the interactions may have been understated by the submission, as lower doses of letermovir were used in the drug-drug interaction studies compared with the requested listing.</w:t>
      </w:r>
    </w:p>
    <w:p w:rsidR="0041666A" w:rsidRPr="0041666A" w:rsidRDefault="0041666A" w:rsidP="0041666A">
      <w:pPr>
        <w:pStyle w:val="ListParagraph"/>
        <w:numPr>
          <w:ilvl w:val="1"/>
          <w:numId w:val="2"/>
        </w:numPr>
        <w:rPr>
          <w:rFonts w:asciiTheme="minorHAnsi" w:hAnsiTheme="minorHAnsi"/>
        </w:rPr>
      </w:pPr>
      <w:r w:rsidRPr="0041666A">
        <w:rPr>
          <w:rFonts w:asciiTheme="minorHAnsi" w:hAnsiTheme="minorHAnsi"/>
        </w:rPr>
        <w:t>DUSC reiterated that the draft PI did not mention cessation of therapy when patients develop CMV infection.</w:t>
      </w:r>
    </w:p>
    <w:p w:rsidR="00576972" w:rsidRPr="00CA3B62" w:rsidRDefault="00576972" w:rsidP="001F0352">
      <w:pPr>
        <w:widowControl w:val="0"/>
        <w:spacing w:before="240" w:after="120" w:line="276" w:lineRule="auto"/>
        <w:outlineLvl w:val="1"/>
        <w:rPr>
          <w:rFonts w:asciiTheme="minorHAnsi" w:hAnsiTheme="minorHAnsi" w:cs="Arial"/>
          <w:b/>
          <w:bCs/>
          <w:i/>
          <w:snapToGrid w:val="0"/>
          <w:sz w:val="28"/>
          <w:szCs w:val="28"/>
        </w:rPr>
      </w:pPr>
      <w:bookmarkStart w:id="16" w:name="_Toc514242734"/>
      <w:r w:rsidRPr="00CA3B62">
        <w:rPr>
          <w:rFonts w:asciiTheme="minorHAnsi" w:hAnsiTheme="minorHAnsi" w:cs="Arial"/>
          <w:b/>
          <w:bCs/>
          <w:i/>
          <w:snapToGrid w:val="0"/>
          <w:sz w:val="28"/>
          <w:szCs w:val="28"/>
        </w:rPr>
        <w:t>Financial Management – Risk Sharing Arrangements</w:t>
      </w:r>
      <w:bookmarkEnd w:id="16"/>
    </w:p>
    <w:p w:rsidR="00576972" w:rsidRDefault="00A04625" w:rsidP="00CE5E13">
      <w:pPr>
        <w:pStyle w:val="ListParagraph"/>
        <w:numPr>
          <w:ilvl w:val="1"/>
          <w:numId w:val="2"/>
        </w:numPr>
      </w:pPr>
      <w:r w:rsidRPr="00B45E7F">
        <w:t xml:space="preserve">The submission stated that treatment duration and proportion of patients using cyclosporin may impact the net cost to the PBS and the sponsor is willing to enter a risk sharing arrangement with a cap/rebate structure that takes into account this </w:t>
      </w:r>
      <w:r w:rsidRPr="00B45E7F">
        <w:lastRenderedPageBreak/>
        <w:t>uncertainty.  The submission added that the sponsor believes the risks should be shared with the Commonwealth and that any rebate payable should not exceed 50%, as elements of the uncertainty being addressed are outside the control of the sponsor and are not able to be forecasted.  The submission indicated that final details of the risk sharing arrangement would be negotiated with the Department of Health following a positive PBAC recommendation.</w:t>
      </w:r>
    </w:p>
    <w:p w:rsidR="00CE5E13" w:rsidRPr="00CA3B62" w:rsidRDefault="00CE5E13" w:rsidP="001F0352">
      <w:pPr>
        <w:pStyle w:val="PBACHeading1"/>
        <w:spacing w:before="240" w:after="120"/>
        <w:outlineLvl w:val="0"/>
      </w:pPr>
      <w:r w:rsidRPr="00CA3B62">
        <w:t>PBAC Outcome</w:t>
      </w:r>
    </w:p>
    <w:p w:rsidR="00CE5E13" w:rsidRDefault="00CE5E13" w:rsidP="00BA50FB">
      <w:pPr>
        <w:widowControl w:val="0"/>
        <w:numPr>
          <w:ilvl w:val="1"/>
          <w:numId w:val="2"/>
        </w:numPr>
        <w:spacing w:after="120"/>
      </w:pPr>
      <w:r w:rsidRPr="00525B39">
        <w:rPr>
          <w:rFonts w:asciiTheme="minorHAnsi" w:hAnsiTheme="minorHAnsi" w:cs="Arial"/>
          <w:bCs/>
          <w:snapToGrid w:val="0"/>
          <w:lang w:val="en-GB"/>
        </w:rPr>
        <w:t xml:space="preserve">The PBAC </w:t>
      </w:r>
      <w:r w:rsidR="004B6BC5">
        <w:rPr>
          <w:rFonts w:asciiTheme="minorHAnsi" w:hAnsiTheme="minorHAnsi" w:cs="Arial"/>
          <w:bCs/>
          <w:snapToGrid w:val="0"/>
          <w:lang w:val="en-GB"/>
        </w:rPr>
        <w:t xml:space="preserve">did not </w:t>
      </w:r>
      <w:r w:rsidRPr="00525B39">
        <w:rPr>
          <w:rFonts w:asciiTheme="minorHAnsi" w:hAnsiTheme="minorHAnsi" w:cs="Arial"/>
          <w:bCs/>
          <w:snapToGrid w:val="0"/>
          <w:lang w:val="en-GB"/>
        </w:rPr>
        <w:t>recommend</w:t>
      </w:r>
      <w:r w:rsidR="004B6BC5">
        <w:rPr>
          <w:rFonts w:asciiTheme="minorHAnsi" w:hAnsiTheme="minorHAnsi" w:cs="Arial"/>
          <w:bCs/>
          <w:snapToGrid w:val="0"/>
          <w:lang w:val="en-GB"/>
        </w:rPr>
        <w:t xml:space="preserve"> </w:t>
      </w:r>
      <w:r w:rsidR="004B6BC5">
        <w:t>the</w:t>
      </w:r>
      <w:r w:rsidR="004B6BC5" w:rsidRPr="00B45E7F">
        <w:t xml:space="preserve"> Section 100</w:t>
      </w:r>
      <w:r w:rsidR="004B6BC5">
        <w:t xml:space="preserve"> (</w:t>
      </w:r>
      <w:r w:rsidR="004B6BC5" w:rsidRPr="004B6BC5">
        <w:t>Highly Specialised Drugs Program</w:t>
      </w:r>
      <w:r w:rsidR="004B6BC5">
        <w:t>)</w:t>
      </w:r>
      <w:r w:rsidR="004B6BC5" w:rsidRPr="00B45E7F">
        <w:t xml:space="preserve"> Authority </w:t>
      </w:r>
      <w:proofErr w:type="gramStart"/>
      <w:r w:rsidR="004B6BC5" w:rsidRPr="00B45E7F">
        <w:t>Required</w:t>
      </w:r>
      <w:proofErr w:type="gramEnd"/>
      <w:r w:rsidR="004B6BC5" w:rsidRPr="00B45E7F">
        <w:t xml:space="preserve"> listing for letermovir for prophylaxis of cytomegalovirus (CMV) infection or disease in CMV sero-positive patients who have received a</w:t>
      </w:r>
      <w:r w:rsidR="00BA50FB">
        <w:t>n</w:t>
      </w:r>
      <w:r w:rsidR="004B6BC5" w:rsidRPr="00B45E7F">
        <w:t xml:space="preserve"> </w:t>
      </w:r>
      <w:r w:rsidR="00BA50FB" w:rsidRPr="00BA50FB">
        <w:t xml:space="preserve">allogeneic </w:t>
      </w:r>
      <w:r w:rsidR="004B6BC5" w:rsidRPr="00B45E7F">
        <w:t>haematopoietic stem cell transplant (HSCT)</w:t>
      </w:r>
      <w:r w:rsidR="004B6BC5">
        <w:t xml:space="preserve">.  This decision was on the basis </w:t>
      </w:r>
      <w:r w:rsidR="00B678FF">
        <w:t>that the Committee was unable to assess the</w:t>
      </w:r>
      <w:r w:rsidR="004B6BC5">
        <w:t xml:space="preserve"> cost-effectiveness</w:t>
      </w:r>
      <w:r w:rsidR="00B678FF">
        <w:t xml:space="preserve"> of </w:t>
      </w:r>
      <w:r w:rsidR="007202B7">
        <w:t xml:space="preserve">letermovir </w:t>
      </w:r>
      <w:r w:rsidR="00B678FF">
        <w:t xml:space="preserve">treatment because the economic analysis did not </w:t>
      </w:r>
      <w:r w:rsidR="00970A55">
        <w:t>appropriately</w:t>
      </w:r>
      <w:r w:rsidR="00B678FF">
        <w:t xml:space="preserve"> model the </w:t>
      </w:r>
      <w:r w:rsidR="007202B7">
        <w:t>health</w:t>
      </w:r>
      <w:r w:rsidR="00B678FF">
        <w:t xml:space="preserve"> benefit</w:t>
      </w:r>
      <w:r w:rsidR="00186AF2">
        <w:t>s</w:t>
      </w:r>
      <w:r w:rsidR="00B678FF">
        <w:t xml:space="preserve"> </w:t>
      </w:r>
      <w:r w:rsidR="007202B7">
        <w:t xml:space="preserve">of treatment </w:t>
      </w:r>
      <w:r w:rsidR="00186AF2">
        <w:t xml:space="preserve">as </w:t>
      </w:r>
      <w:r w:rsidR="00B678FF">
        <w:t xml:space="preserve">demonstrated in the clinical trial. </w:t>
      </w:r>
    </w:p>
    <w:p w:rsidR="004B6BC5" w:rsidRPr="004B6BC5" w:rsidRDefault="004B6BC5" w:rsidP="004B6BC5">
      <w:pPr>
        <w:widowControl w:val="0"/>
        <w:numPr>
          <w:ilvl w:val="1"/>
          <w:numId w:val="2"/>
        </w:numPr>
        <w:spacing w:after="120"/>
      </w:pPr>
      <w:r>
        <w:t xml:space="preserve">The PBAC noted the consumer comments and acknowledged the </w:t>
      </w:r>
      <w:r w:rsidRPr="004B6BC5">
        <w:t xml:space="preserve">clinical utility of an orally active agent to prevent CMV </w:t>
      </w:r>
      <w:r w:rsidR="00956928">
        <w:t>infection</w:t>
      </w:r>
      <w:r w:rsidR="00B678FF">
        <w:t xml:space="preserve"> and that letermovir was</w:t>
      </w:r>
      <w:r w:rsidRPr="004B6BC5">
        <w:t xml:space="preserve"> les</w:t>
      </w:r>
      <w:r w:rsidR="00D514B0">
        <w:t>s toxic</w:t>
      </w:r>
      <w:r w:rsidR="00B678FF">
        <w:t xml:space="preserve"> than existing </w:t>
      </w:r>
      <w:r w:rsidR="003B7E8F">
        <w:t xml:space="preserve">antiviral </w:t>
      </w:r>
      <w:r w:rsidR="00B678FF">
        <w:t xml:space="preserve">agents. </w:t>
      </w:r>
    </w:p>
    <w:p w:rsidR="009149A1" w:rsidRDefault="00443B01" w:rsidP="008728D8">
      <w:pPr>
        <w:widowControl w:val="0"/>
        <w:numPr>
          <w:ilvl w:val="1"/>
          <w:numId w:val="2"/>
        </w:numPr>
        <w:spacing w:after="120"/>
      </w:pPr>
      <w:r>
        <w:t xml:space="preserve">The PBAC noted the Secretariat and Sub-Committee feedback on the restriction </w:t>
      </w:r>
      <w:r w:rsidR="00970A55">
        <w:t>proposed</w:t>
      </w:r>
      <w:r>
        <w:t xml:space="preserve"> in the submission, which was agreed by the sponsor in the Pre-PBAC response. </w:t>
      </w:r>
      <w:r w:rsidR="00CE4553">
        <w:t>While noting other PBS-listed antiviral treatments include a PBS indication of ‘</w:t>
      </w:r>
      <w:r w:rsidR="00CE4553" w:rsidRPr="000225E5">
        <w:t>Cytomegalovirus infection and disease</w:t>
      </w:r>
      <w:r w:rsidR="00CE4553">
        <w:t>’ and ‘</w:t>
      </w:r>
      <w:r w:rsidR="00CE4553" w:rsidRPr="000225E5">
        <w:t>Treatment Phase: Prophylaxis</w:t>
      </w:r>
      <w:r w:rsidR="00CE4553">
        <w:t>’, the PBAC considered that for letermovir it would be clearer for the PBS indication to be ‘</w:t>
      </w:r>
      <w:r w:rsidR="00CE4553" w:rsidRPr="000225E5">
        <w:t xml:space="preserve">Prophylaxis </w:t>
      </w:r>
      <w:r w:rsidR="00CE4553">
        <w:t>of c</w:t>
      </w:r>
      <w:r w:rsidR="00CE4553" w:rsidRPr="000225E5">
        <w:t>ytomegalovirus infection and disease</w:t>
      </w:r>
      <w:r w:rsidR="00CE4553">
        <w:t xml:space="preserve">’.  </w:t>
      </w:r>
      <w:r>
        <w:t xml:space="preserve">The PBAC </w:t>
      </w:r>
      <w:r w:rsidR="00BA50FB">
        <w:t xml:space="preserve">noted that the proposed pack size, maximum quantity and number of repeats (112 tablets) would result in wastage compared to the </w:t>
      </w:r>
      <w:r>
        <w:t xml:space="preserve">treatment </w:t>
      </w:r>
      <w:r w:rsidR="00BA50FB">
        <w:t>of</w:t>
      </w:r>
      <w:r>
        <w:t xml:space="preserve"> 100 days as per the current product information. </w:t>
      </w:r>
      <w:r w:rsidR="005F36C6">
        <w:t xml:space="preserve"> </w:t>
      </w:r>
      <w:r w:rsidR="003B7E8F">
        <w:t>A</w:t>
      </w:r>
      <w:r w:rsidR="005F36C6">
        <w:t xml:space="preserve">s highlighted by the </w:t>
      </w:r>
      <w:r w:rsidR="00970A55">
        <w:t>clinician</w:t>
      </w:r>
      <w:r w:rsidR="005F36C6">
        <w:t xml:space="preserve"> at the Sponsor hearing, </w:t>
      </w:r>
      <w:r w:rsidR="0018330A">
        <w:t xml:space="preserve">patients undergoing a HSCT are regularly monitored by experienced clinical teams, and </w:t>
      </w:r>
      <w:r w:rsidR="009E3B70">
        <w:t xml:space="preserve">thus </w:t>
      </w:r>
      <w:r w:rsidR="0018330A">
        <w:t xml:space="preserve">the PBAC considered that it was not </w:t>
      </w:r>
      <w:r w:rsidR="00970A55">
        <w:t>necessary</w:t>
      </w:r>
      <w:r w:rsidR="0018330A">
        <w:t xml:space="preserve"> to include </w:t>
      </w:r>
      <w:r w:rsidR="009E3B70">
        <w:t xml:space="preserve">criteria for </w:t>
      </w:r>
      <w:r w:rsidR="0018330A">
        <w:t xml:space="preserve">when </w:t>
      </w:r>
      <w:r w:rsidR="009E3B70">
        <w:t xml:space="preserve">to measure </w:t>
      </w:r>
      <w:r w:rsidR="0018330A">
        <w:t xml:space="preserve">antibodies, or </w:t>
      </w:r>
      <w:r w:rsidR="009E3B70">
        <w:t xml:space="preserve">related to not </w:t>
      </w:r>
      <w:r w:rsidR="00A95932">
        <w:t xml:space="preserve">starting or not </w:t>
      </w:r>
      <w:r w:rsidR="003B7E8F">
        <w:t>using letermovir</w:t>
      </w:r>
      <w:r w:rsidR="009E3B70">
        <w:t xml:space="preserve"> in </w:t>
      </w:r>
      <w:r w:rsidR="003B7E8F">
        <w:t xml:space="preserve">the </w:t>
      </w:r>
      <w:r w:rsidR="00374D70">
        <w:t>presence</w:t>
      </w:r>
      <w:r w:rsidR="009E3B70">
        <w:t xml:space="preserve"> of </w:t>
      </w:r>
      <w:r w:rsidR="0018330A" w:rsidRPr="0018330A">
        <w:rPr>
          <w:lang w:val="en-US"/>
        </w:rPr>
        <w:t xml:space="preserve">CMV </w:t>
      </w:r>
      <w:r w:rsidR="00A95932">
        <w:rPr>
          <w:lang w:val="en-US"/>
        </w:rPr>
        <w:t>infection.</w:t>
      </w:r>
      <w:r w:rsidR="0018330A">
        <w:rPr>
          <w:lang w:val="en-US"/>
        </w:rPr>
        <w:t xml:space="preserve"> </w:t>
      </w:r>
      <w:r w:rsidR="008728D8">
        <w:rPr>
          <w:lang w:val="en-US"/>
        </w:rPr>
        <w:t xml:space="preserve"> The PBAC agreed with DUSC that the restriction should include reference to the time period when treatment commences, for example ‘Treatment must commence within 28 days of </w:t>
      </w:r>
      <w:r w:rsidR="008728D8" w:rsidRPr="002C212F">
        <w:rPr>
          <w:lang w:val="en-US"/>
        </w:rPr>
        <w:t>an allogeneic haematopoietic stem cell transplant</w:t>
      </w:r>
      <w:r w:rsidR="008728D8">
        <w:rPr>
          <w:lang w:val="en-US"/>
        </w:rPr>
        <w:t>’.</w:t>
      </w:r>
    </w:p>
    <w:p w:rsidR="007E54A1" w:rsidRPr="0047122D" w:rsidRDefault="0047122D" w:rsidP="009149A1">
      <w:pPr>
        <w:widowControl w:val="0"/>
        <w:numPr>
          <w:ilvl w:val="1"/>
          <w:numId w:val="2"/>
        </w:numPr>
        <w:spacing w:after="120"/>
      </w:pPr>
      <w:r w:rsidRPr="009149A1">
        <w:rPr>
          <w:rFonts w:asciiTheme="minorHAnsi" w:hAnsiTheme="minorHAnsi" w:cs="Arial"/>
          <w:bCs/>
          <w:snapToGrid w:val="0"/>
          <w:lang w:val="en-GB"/>
        </w:rPr>
        <w:t xml:space="preserve">The PBAC noted the sponsor’s argument </w:t>
      </w:r>
      <w:r w:rsidR="009E3B70">
        <w:rPr>
          <w:rFonts w:asciiTheme="minorHAnsi" w:hAnsiTheme="minorHAnsi" w:cs="Arial"/>
          <w:bCs/>
          <w:snapToGrid w:val="0"/>
          <w:lang w:val="en-GB"/>
        </w:rPr>
        <w:t>that</w:t>
      </w:r>
      <w:r w:rsidR="009E3B70" w:rsidRPr="009149A1">
        <w:rPr>
          <w:rFonts w:asciiTheme="minorHAnsi" w:hAnsiTheme="minorHAnsi" w:cs="Arial"/>
          <w:bCs/>
          <w:snapToGrid w:val="0"/>
          <w:lang w:val="en-GB"/>
        </w:rPr>
        <w:t xml:space="preserve"> </w:t>
      </w:r>
      <w:r w:rsidRPr="00B45E7F">
        <w:t xml:space="preserve">placebo </w:t>
      </w:r>
      <w:r w:rsidR="009E3B70">
        <w:t>should be</w:t>
      </w:r>
      <w:r w:rsidR="009E3B70" w:rsidRPr="00B45E7F">
        <w:t xml:space="preserve"> </w:t>
      </w:r>
      <w:r w:rsidRPr="00B45E7F">
        <w:t>the main comparator as the majority of patients in Australia do not receive prophylaxis for CMV infection following</w:t>
      </w:r>
      <w:r w:rsidR="00F26F96">
        <w:t xml:space="preserve"> HSCT. The submission argued that patients who receive letermovir and develop CMV infection would still receive PET to treat an active infection</w:t>
      </w:r>
      <w:r>
        <w:t xml:space="preserve">. </w:t>
      </w:r>
      <w:r w:rsidR="00A95932">
        <w:t xml:space="preserve"> </w:t>
      </w:r>
      <w:r w:rsidR="009E3B70">
        <w:t>T</w:t>
      </w:r>
      <w:r>
        <w:t xml:space="preserve">he PBAC </w:t>
      </w:r>
      <w:r w:rsidR="009E3B70">
        <w:t>noted</w:t>
      </w:r>
      <w:r>
        <w:t xml:space="preserve"> the evidence, such as the ABMTRR report, show</w:t>
      </w:r>
      <w:r w:rsidR="009E3B70">
        <w:t>ed</w:t>
      </w:r>
      <w:r>
        <w:t xml:space="preserve"> that antiviral treatment</w:t>
      </w:r>
      <w:r w:rsidR="003C3528">
        <w:t>s</w:t>
      </w:r>
      <w:r>
        <w:t xml:space="preserve"> are used in Australian practice</w:t>
      </w:r>
      <w:r w:rsidR="00D07DE4">
        <w:t xml:space="preserve">, either prophylactically or </w:t>
      </w:r>
      <w:r w:rsidR="003B7E8F">
        <w:t xml:space="preserve">as </w:t>
      </w:r>
      <w:r w:rsidR="00F26F96">
        <w:t>PET</w:t>
      </w:r>
      <w:r w:rsidR="009E3B70">
        <w:t>, and their</w:t>
      </w:r>
      <w:r>
        <w:t xml:space="preserve"> </w:t>
      </w:r>
      <w:r w:rsidR="009E3B70">
        <w:t>u</w:t>
      </w:r>
      <w:r w:rsidR="00F26F96">
        <w:t xml:space="preserve">se would likely reduced </w:t>
      </w:r>
      <w:r w:rsidR="009E3B70">
        <w:t>with the availability of letermovir</w:t>
      </w:r>
      <w:r w:rsidR="00F26F96">
        <w:t xml:space="preserve">. </w:t>
      </w:r>
      <w:r>
        <w:t>The PBAC considered that</w:t>
      </w:r>
      <w:r w:rsidR="009E3B70">
        <w:t xml:space="preserve"> both</w:t>
      </w:r>
      <w:r>
        <w:t xml:space="preserve"> </w:t>
      </w:r>
      <w:r w:rsidRPr="009149A1">
        <w:rPr>
          <w:lang w:val="en-US"/>
        </w:rPr>
        <w:t xml:space="preserve">placebo </w:t>
      </w:r>
      <w:r w:rsidR="003A5469">
        <w:rPr>
          <w:lang w:val="en-US"/>
        </w:rPr>
        <w:t>and</w:t>
      </w:r>
      <w:r w:rsidRPr="009149A1">
        <w:rPr>
          <w:lang w:val="en-US"/>
        </w:rPr>
        <w:t xml:space="preserve"> antiviral treatments </w:t>
      </w:r>
      <w:r w:rsidR="00956928" w:rsidRPr="009149A1">
        <w:rPr>
          <w:lang w:val="en-US"/>
        </w:rPr>
        <w:t xml:space="preserve">would be informative </w:t>
      </w:r>
      <w:r w:rsidR="00956928" w:rsidRPr="009149A1">
        <w:rPr>
          <w:lang w:val="en-US"/>
        </w:rPr>
        <w:lastRenderedPageBreak/>
        <w:t>comparator</w:t>
      </w:r>
      <w:r w:rsidR="00D514B0">
        <w:rPr>
          <w:lang w:val="en-US"/>
        </w:rPr>
        <w:t>s</w:t>
      </w:r>
      <w:r w:rsidRPr="009149A1">
        <w:rPr>
          <w:lang w:val="en-US"/>
        </w:rPr>
        <w:t>.</w:t>
      </w:r>
    </w:p>
    <w:p w:rsidR="007E54A1" w:rsidRPr="00A24DCF" w:rsidRDefault="00F501FB" w:rsidP="00A24DCF">
      <w:pPr>
        <w:widowControl w:val="0"/>
        <w:numPr>
          <w:ilvl w:val="1"/>
          <w:numId w:val="2"/>
        </w:numPr>
        <w:spacing w:after="120"/>
      </w:pPr>
      <w:r>
        <w:rPr>
          <w:rFonts w:asciiTheme="minorHAnsi" w:hAnsiTheme="minorHAnsi" w:cs="Arial"/>
          <w:bCs/>
          <w:snapToGrid w:val="0"/>
          <w:lang w:val="en-GB"/>
        </w:rPr>
        <w:t xml:space="preserve">The PBAC noted that </w:t>
      </w:r>
      <w:r w:rsidR="00D27ED5">
        <w:rPr>
          <w:rFonts w:asciiTheme="minorHAnsi" w:hAnsiTheme="minorHAnsi" w:cs="Arial"/>
          <w:bCs/>
          <w:snapToGrid w:val="0"/>
          <w:lang w:val="en-GB"/>
        </w:rPr>
        <w:t xml:space="preserve">the </w:t>
      </w:r>
      <w:r>
        <w:rPr>
          <w:rFonts w:asciiTheme="minorHAnsi" w:hAnsiTheme="minorHAnsi" w:cs="Arial"/>
          <w:bCs/>
          <w:snapToGrid w:val="0"/>
          <w:lang w:val="en-GB"/>
        </w:rPr>
        <w:t>clinical evidence</w:t>
      </w:r>
      <w:r w:rsidR="00D514B0">
        <w:rPr>
          <w:rFonts w:asciiTheme="minorHAnsi" w:hAnsiTheme="minorHAnsi" w:cs="Arial"/>
          <w:bCs/>
          <w:snapToGrid w:val="0"/>
          <w:lang w:val="en-GB"/>
        </w:rPr>
        <w:t xml:space="preserve"> </w:t>
      </w:r>
      <w:r w:rsidR="00D27ED5">
        <w:rPr>
          <w:rFonts w:asciiTheme="minorHAnsi" w:hAnsiTheme="minorHAnsi" w:cs="Arial"/>
          <w:bCs/>
          <w:snapToGrid w:val="0"/>
          <w:lang w:val="en-GB"/>
        </w:rPr>
        <w:t xml:space="preserve">presented </w:t>
      </w:r>
      <w:r w:rsidR="00D514B0">
        <w:rPr>
          <w:rFonts w:asciiTheme="minorHAnsi" w:hAnsiTheme="minorHAnsi" w:cs="Arial"/>
          <w:bCs/>
          <w:snapToGrid w:val="0"/>
          <w:lang w:val="en-GB"/>
        </w:rPr>
        <w:t>in the submission</w:t>
      </w:r>
      <w:r>
        <w:rPr>
          <w:rFonts w:asciiTheme="minorHAnsi" w:hAnsiTheme="minorHAnsi" w:cs="Arial"/>
          <w:bCs/>
          <w:snapToGrid w:val="0"/>
          <w:lang w:val="en-GB"/>
        </w:rPr>
        <w:t xml:space="preserve"> was based on Trial P001.</w:t>
      </w:r>
      <w:r w:rsidR="00D27ED5">
        <w:rPr>
          <w:rFonts w:asciiTheme="minorHAnsi" w:hAnsiTheme="minorHAnsi" w:cs="Arial"/>
          <w:bCs/>
          <w:snapToGrid w:val="0"/>
          <w:lang w:val="en-GB"/>
        </w:rPr>
        <w:t xml:space="preserve"> </w:t>
      </w:r>
      <w:r w:rsidR="00900992" w:rsidRPr="00B45E7F">
        <w:t xml:space="preserve">The </w:t>
      </w:r>
      <w:r w:rsidR="00900992">
        <w:t xml:space="preserve">PBAC noted the primary outcome in Trial P001, </w:t>
      </w:r>
      <w:r w:rsidR="00900992" w:rsidRPr="00B45E7F">
        <w:t xml:space="preserve">the proportion of patients with clinically significant CMV infection at Week 24, </w:t>
      </w:r>
      <w:r w:rsidR="00900992">
        <w:t>was a composite outcome including (</w:t>
      </w:r>
      <w:proofErr w:type="spellStart"/>
      <w:r w:rsidR="00900992">
        <w:t>i</w:t>
      </w:r>
      <w:proofErr w:type="spellEnd"/>
      <w:r w:rsidR="00900992">
        <w:t xml:space="preserve">) </w:t>
      </w:r>
      <w:r w:rsidR="00900992" w:rsidRPr="00B45E7F">
        <w:t xml:space="preserve">onset of CMV end-organ disease </w:t>
      </w:r>
      <w:r w:rsidR="00420EDC">
        <w:t>and</w:t>
      </w:r>
      <w:r w:rsidR="00900992" w:rsidRPr="00B45E7F">
        <w:t xml:space="preserve"> </w:t>
      </w:r>
      <w:r w:rsidR="00900992">
        <w:t xml:space="preserve">(ii) </w:t>
      </w:r>
      <w:r w:rsidR="00900992" w:rsidRPr="00B45E7F">
        <w:t>initiation of pre-emptive therapy (PET) based on documented CMV viraemia and the clinical condition of the patient.</w:t>
      </w:r>
      <w:r>
        <w:rPr>
          <w:rFonts w:asciiTheme="minorHAnsi" w:hAnsiTheme="minorHAnsi" w:cs="Arial"/>
          <w:bCs/>
          <w:snapToGrid w:val="0"/>
          <w:lang w:val="en-GB"/>
        </w:rPr>
        <w:t xml:space="preserve"> The PBAC </w:t>
      </w:r>
      <w:r w:rsidR="009706CC">
        <w:rPr>
          <w:rFonts w:asciiTheme="minorHAnsi" w:hAnsiTheme="minorHAnsi" w:cs="Arial"/>
          <w:bCs/>
          <w:snapToGrid w:val="0"/>
          <w:lang w:val="en-GB"/>
        </w:rPr>
        <w:t xml:space="preserve">noted </w:t>
      </w:r>
      <w:r w:rsidR="00900992">
        <w:rPr>
          <w:rFonts w:asciiTheme="minorHAnsi" w:hAnsiTheme="minorHAnsi" w:cs="Arial"/>
          <w:bCs/>
          <w:snapToGrid w:val="0"/>
          <w:lang w:val="en-GB"/>
        </w:rPr>
        <w:t>compared with</w:t>
      </w:r>
      <w:r w:rsidR="009706CC">
        <w:rPr>
          <w:rFonts w:asciiTheme="minorHAnsi" w:hAnsiTheme="minorHAnsi" w:cs="Arial"/>
          <w:bCs/>
          <w:snapToGrid w:val="0"/>
          <w:lang w:val="en-GB"/>
        </w:rPr>
        <w:t xml:space="preserve"> placebo, letermovir </w:t>
      </w:r>
      <w:r w:rsidR="00B857DA">
        <w:rPr>
          <w:rFonts w:asciiTheme="minorHAnsi" w:hAnsiTheme="minorHAnsi" w:cs="Arial"/>
          <w:bCs/>
          <w:snapToGrid w:val="0"/>
          <w:lang w:val="en-GB"/>
        </w:rPr>
        <w:t xml:space="preserve">treatment </w:t>
      </w:r>
      <w:r w:rsidR="009706CC">
        <w:rPr>
          <w:rFonts w:asciiTheme="minorHAnsi" w:hAnsiTheme="minorHAnsi" w:cs="Arial"/>
          <w:bCs/>
          <w:snapToGrid w:val="0"/>
          <w:lang w:val="en-GB"/>
        </w:rPr>
        <w:t>decrease</w:t>
      </w:r>
      <w:r w:rsidR="00B857DA">
        <w:rPr>
          <w:rFonts w:asciiTheme="minorHAnsi" w:hAnsiTheme="minorHAnsi" w:cs="Arial"/>
          <w:bCs/>
          <w:snapToGrid w:val="0"/>
          <w:lang w:val="en-GB"/>
        </w:rPr>
        <w:t>d</w:t>
      </w:r>
      <w:r w:rsidR="009706CC">
        <w:rPr>
          <w:rFonts w:asciiTheme="minorHAnsi" w:hAnsiTheme="minorHAnsi" w:cs="Arial"/>
          <w:bCs/>
          <w:snapToGrid w:val="0"/>
          <w:lang w:val="en-GB"/>
        </w:rPr>
        <w:t xml:space="preserve"> </w:t>
      </w:r>
      <w:r w:rsidR="00900992">
        <w:rPr>
          <w:rFonts w:asciiTheme="minorHAnsi" w:hAnsiTheme="minorHAnsi" w:cs="Arial"/>
          <w:bCs/>
          <w:snapToGrid w:val="0"/>
          <w:lang w:val="en-GB"/>
        </w:rPr>
        <w:t xml:space="preserve">the incidence of </w:t>
      </w:r>
      <w:r w:rsidR="009706CC">
        <w:rPr>
          <w:rFonts w:asciiTheme="minorHAnsi" w:hAnsiTheme="minorHAnsi" w:cs="Arial"/>
          <w:bCs/>
          <w:snapToGrid w:val="0"/>
          <w:lang w:val="en-GB"/>
        </w:rPr>
        <w:t>CMV infection and</w:t>
      </w:r>
      <w:r w:rsidR="00900992">
        <w:rPr>
          <w:rFonts w:asciiTheme="minorHAnsi" w:hAnsiTheme="minorHAnsi" w:cs="Arial"/>
          <w:bCs/>
          <w:snapToGrid w:val="0"/>
          <w:lang w:val="en-GB"/>
        </w:rPr>
        <w:t xml:space="preserve"> that this was due to a difference in</w:t>
      </w:r>
      <w:r w:rsidR="009706CC">
        <w:rPr>
          <w:rFonts w:asciiTheme="minorHAnsi" w:hAnsiTheme="minorHAnsi" w:cs="Arial"/>
          <w:bCs/>
          <w:snapToGrid w:val="0"/>
          <w:lang w:val="en-GB"/>
        </w:rPr>
        <w:t xml:space="preserve"> </w:t>
      </w:r>
      <w:r w:rsidR="009706CC" w:rsidRPr="009706CC">
        <w:rPr>
          <w:rFonts w:asciiTheme="minorHAnsi" w:hAnsiTheme="minorHAnsi" w:cs="Arial"/>
          <w:bCs/>
          <w:snapToGrid w:val="0"/>
          <w:lang w:val="en-US"/>
        </w:rPr>
        <w:t>the proportion</w:t>
      </w:r>
      <w:r w:rsidR="009706CC">
        <w:rPr>
          <w:rFonts w:asciiTheme="minorHAnsi" w:hAnsiTheme="minorHAnsi" w:cs="Arial"/>
          <w:bCs/>
          <w:snapToGrid w:val="0"/>
          <w:lang w:val="en-US"/>
        </w:rPr>
        <w:t xml:space="preserve"> of patients</w:t>
      </w:r>
      <w:r w:rsidR="009706CC" w:rsidRPr="009706CC">
        <w:rPr>
          <w:rFonts w:asciiTheme="minorHAnsi" w:hAnsiTheme="minorHAnsi" w:cs="Arial"/>
          <w:bCs/>
          <w:snapToGrid w:val="0"/>
          <w:lang w:val="en-US"/>
        </w:rPr>
        <w:t xml:space="preserve"> requiring </w:t>
      </w:r>
      <w:r w:rsidR="00D514B0">
        <w:rPr>
          <w:rFonts w:asciiTheme="minorHAnsi" w:hAnsiTheme="minorHAnsi" w:cs="Arial"/>
          <w:bCs/>
          <w:snapToGrid w:val="0"/>
          <w:lang w:val="en-US"/>
        </w:rPr>
        <w:t>PET</w:t>
      </w:r>
      <w:r w:rsidR="00900992">
        <w:rPr>
          <w:rFonts w:asciiTheme="minorHAnsi" w:hAnsiTheme="minorHAnsi" w:cs="Arial"/>
          <w:bCs/>
          <w:snapToGrid w:val="0"/>
          <w:lang w:val="en-US"/>
        </w:rPr>
        <w:t xml:space="preserve"> (40.0% versus 16.0%) </w:t>
      </w:r>
      <w:r w:rsidR="00D27ED5">
        <w:rPr>
          <w:rFonts w:asciiTheme="minorHAnsi" w:hAnsiTheme="minorHAnsi" w:cs="Arial"/>
          <w:bCs/>
          <w:snapToGrid w:val="0"/>
          <w:lang w:val="en-US"/>
        </w:rPr>
        <w:t>but</w:t>
      </w:r>
      <w:r w:rsidR="00900992">
        <w:rPr>
          <w:rFonts w:asciiTheme="minorHAnsi" w:hAnsiTheme="minorHAnsi" w:cs="Arial"/>
          <w:bCs/>
          <w:snapToGrid w:val="0"/>
          <w:lang w:val="en-US"/>
        </w:rPr>
        <w:t xml:space="preserve"> not the proportion with CMV end-organ disease (1.8% versus 1.5%)</w:t>
      </w:r>
      <w:r w:rsidR="009706CC">
        <w:rPr>
          <w:rFonts w:asciiTheme="minorHAnsi" w:hAnsiTheme="minorHAnsi" w:cs="Arial"/>
          <w:bCs/>
          <w:snapToGrid w:val="0"/>
          <w:lang w:val="en-US"/>
        </w:rPr>
        <w:t xml:space="preserve">. </w:t>
      </w:r>
      <w:r w:rsidR="007F050F">
        <w:t xml:space="preserve">The PBAC noted </w:t>
      </w:r>
      <w:r w:rsidR="00D27ED5">
        <w:t xml:space="preserve">letermovir treatment had not been demonstrated to </w:t>
      </w:r>
      <w:r w:rsidR="007F050F">
        <w:t>reduc</w:t>
      </w:r>
      <w:r w:rsidR="00D27ED5">
        <w:t>e</w:t>
      </w:r>
      <w:r w:rsidR="007F050F">
        <w:t xml:space="preserve"> the incidence of GVHD </w:t>
      </w:r>
      <w:r w:rsidR="00D27ED5">
        <w:t xml:space="preserve">(39.1% of patient in the letermovir treatment group versus 38.5% in the placebo group; p=0.96) </w:t>
      </w:r>
      <w:r w:rsidR="007F050F">
        <w:rPr>
          <w:rFonts w:asciiTheme="minorHAnsi" w:hAnsiTheme="minorHAnsi" w:cs="Arial"/>
          <w:bCs/>
          <w:snapToGrid w:val="0"/>
          <w:lang w:val="en-US"/>
        </w:rPr>
        <w:t>or</w:t>
      </w:r>
      <w:r w:rsidR="00A24DCF">
        <w:t xml:space="preserve"> </w:t>
      </w:r>
      <w:r w:rsidR="00A24DCF" w:rsidRPr="00B45E7F">
        <w:t>all-cause mortality</w:t>
      </w:r>
      <w:r w:rsidR="007F050F">
        <w:t xml:space="preserve"> (p=0.12)</w:t>
      </w:r>
      <w:r w:rsidR="00A24DCF">
        <w:t xml:space="preserve">. </w:t>
      </w:r>
      <w:r w:rsidR="007F050F">
        <w:t>Overall, the PBA</w:t>
      </w:r>
      <w:r w:rsidR="00F44A97">
        <w:t>C</w:t>
      </w:r>
      <w:r w:rsidR="007F050F">
        <w:t xml:space="preserve"> considered </w:t>
      </w:r>
      <w:r w:rsidR="00F44A97">
        <w:t xml:space="preserve">that it had been demonstrated that letermovir reduces the use of PET but there </w:t>
      </w:r>
      <w:r w:rsidR="00A24DCF">
        <w:t xml:space="preserve">was </w:t>
      </w:r>
      <w:r w:rsidR="00A24DCF">
        <w:rPr>
          <w:lang w:val="en-US"/>
        </w:rPr>
        <w:t>l</w:t>
      </w:r>
      <w:r w:rsidR="00956928" w:rsidRPr="00A24DCF">
        <w:rPr>
          <w:lang w:val="en-US"/>
        </w:rPr>
        <w:t xml:space="preserve">ittle or no difference in CMV disease </w:t>
      </w:r>
      <w:r w:rsidR="00F44A97">
        <w:rPr>
          <w:lang w:val="en-US"/>
        </w:rPr>
        <w:t xml:space="preserve">and associated </w:t>
      </w:r>
      <w:proofErr w:type="spellStart"/>
      <w:r w:rsidR="00F44A97">
        <w:rPr>
          <w:lang w:val="en-US"/>
        </w:rPr>
        <w:t>sequalae</w:t>
      </w:r>
      <w:proofErr w:type="spellEnd"/>
      <w:r w:rsidR="00F44A97">
        <w:rPr>
          <w:lang w:val="en-US"/>
        </w:rPr>
        <w:t>.</w:t>
      </w:r>
      <w:r w:rsidR="00956928" w:rsidRPr="00A24DCF">
        <w:rPr>
          <w:lang w:val="en-US"/>
        </w:rPr>
        <w:t xml:space="preserve"> </w:t>
      </w:r>
    </w:p>
    <w:p w:rsidR="007E54A1" w:rsidRPr="004E5808" w:rsidRDefault="00A24DCF" w:rsidP="004E5808">
      <w:pPr>
        <w:widowControl w:val="0"/>
        <w:numPr>
          <w:ilvl w:val="1"/>
          <w:numId w:val="2"/>
        </w:numPr>
        <w:spacing w:after="120"/>
        <w:rPr>
          <w:rFonts w:asciiTheme="minorHAnsi" w:hAnsiTheme="minorHAnsi" w:cs="Arial"/>
          <w:bCs/>
          <w:snapToGrid w:val="0"/>
        </w:rPr>
      </w:pPr>
      <w:r>
        <w:rPr>
          <w:rFonts w:asciiTheme="minorHAnsi" w:hAnsiTheme="minorHAnsi" w:cs="Arial"/>
          <w:bCs/>
          <w:snapToGrid w:val="0"/>
          <w:lang w:val="en-GB"/>
        </w:rPr>
        <w:t>Further, the PBAC noted the recent meta-analysis of c</w:t>
      </w:r>
      <w:r w:rsidRPr="00A24DCF">
        <w:rPr>
          <w:rFonts w:asciiTheme="minorHAnsi" w:hAnsiTheme="minorHAnsi" w:cs="Arial"/>
          <w:bCs/>
          <w:snapToGrid w:val="0"/>
          <w:lang w:val="en-GB"/>
        </w:rPr>
        <w:t xml:space="preserve">omparative </w:t>
      </w:r>
      <w:r>
        <w:rPr>
          <w:rFonts w:asciiTheme="minorHAnsi" w:hAnsiTheme="minorHAnsi" w:cs="Arial"/>
          <w:bCs/>
          <w:snapToGrid w:val="0"/>
          <w:lang w:val="en-GB"/>
        </w:rPr>
        <w:t>e</w:t>
      </w:r>
      <w:r w:rsidRPr="00A24DCF">
        <w:rPr>
          <w:rFonts w:asciiTheme="minorHAnsi" w:hAnsiTheme="minorHAnsi" w:cs="Arial"/>
          <w:bCs/>
          <w:snapToGrid w:val="0"/>
          <w:lang w:val="en-GB"/>
        </w:rPr>
        <w:t xml:space="preserve">fficacy and </w:t>
      </w:r>
      <w:r>
        <w:rPr>
          <w:rFonts w:asciiTheme="minorHAnsi" w:hAnsiTheme="minorHAnsi" w:cs="Arial"/>
          <w:bCs/>
          <w:snapToGrid w:val="0"/>
          <w:lang w:val="en-GB"/>
        </w:rPr>
        <w:t>s</w:t>
      </w:r>
      <w:r w:rsidRPr="00A24DCF">
        <w:rPr>
          <w:rFonts w:asciiTheme="minorHAnsi" w:hAnsiTheme="minorHAnsi" w:cs="Arial"/>
          <w:bCs/>
          <w:snapToGrid w:val="0"/>
          <w:lang w:val="en-GB"/>
        </w:rPr>
        <w:t xml:space="preserve">afety of </w:t>
      </w:r>
      <w:r>
        <w:rPr>
          <w:rFonts w:asciiTheme="minorHAnsi" w:hAnsiTheme="minorHAnsi" w:cs="Arial"/>
          <w:bCs/>
          <w:snapToGrid w:val="0"/>
          <w:lang w:val="en-GB"/>
        </w:rPr>
        <w:t>d</w:t>
      </w:r>
      <w:r w:rsidRPr="00A24DCF">
        <w:rPr>
          <w:rFonts w:asciiTheme="minorHAnsi" w:hAnsiTheme="minorHAnsi" w:cs="Arial"/>
          <w:bCs/>
          <w:snapToGrid w:val="0"/>
          <w:lang w:val="en-GB"/>
        </w:rPr>
        <w:t xml:space="preserve">ifferent </w:t>
      </w:r>
      <w:r>
        <w:rPr>
          <w:rFonts w:asciiTheme="minorHAnsi" w:hAnsiTheme="minorHAnsi" w:cs="Arial"/>
          <w:bCs/>
          <w:snapToGrid w:val="0"/>
          <w:lang w:val="en-GB"/>
        </w:rPr>
        <w:t>a</w:t>
      </w:r>
      <w:r w:rsidRPr="00A24DCF">
        <w:rPr>
          <w:rFonts w:asciiTheme="minorHAnsi" w:hAnsiTheme="minorHAnsi" w:cs="Arial"/>
          <w:bCs/>
          <w:snapToGrid w:val="0"/>
          <w:lang w:val="en-GB"/>
        </w:rPr>
        <w:t xml:space="preserve">ntiviral </w:t>
      </w:r>
      <w:r>
        <w:rPr>
          <w:rFonts w:asciiTheme="minorHAnsi" w:hAnsiTheme="minorHAnsi" w:cs="Arial"/>
          <w:bCs/>
          <w:snapToGrid w:val="0"/>
          <w:lang w:val="en-GB"/>
        </w:rPr>
        <w:t xml:space="preserve">agents for </w:t>
      </w:r>
      <w:r w:rsidR="003B7E8F">
        <w:rPr>
          <w:rFonts w:asciiTheme="minorHAnsi" w:hAnsiTheme="minorHAnsi" w:cs="Arial"/>
          <w:bCs/>
          <w:snapToGrid w:val="0"/>
          <w:lang w:val="en-GB"/>
        </w:rPr>
        <w:t>CMV</w:t>
      </w:r>
      <w:r w:rsidR="003B7E8F" w:rsidRPr="00A24DCF">
        <w:rPr>
          <w:rFonts w:asciiTheme="minorHAnsi" w:hAnsiTheme="minorHAnsi" w:cs="Arial"/>
          <w:bCs/>
          <w:snapToGrid w:val="0"/>
          <w:lang w:val="en-GB"/>
        </w:rPr>
        <w:t xml:space="preserve"> </w:t>
      </w:r>
      <w:r>
        <w:rPr>
          <w:rFonts w:asciiTheme="minorHAnsi" w:hAnsiTheme="minorHAnsi" w:cs="Arial"/>
          <w:bCs/>
          <w:snapToGrid w:val="0"/>
          <w:lang w:val="en-GB"/>
        </w:rPr>
        <w:t>p</w:t>
      </w:r>
      <w:r w:rsidRPr="00A24DCF">
        <w:rPr>
          <w:rFonts w:asciiTheme="minorHAnsi" w:hAnsiTheme="minorHAnsi" w:cs="Arial"/>
          <w:bCs/>
          <w:snapToGrid w:val="0"/>
          <w:lang w:val="en-GB"/>
        </w:rPr>
        <w:t xml:space="preserve">rophylaxis in </w:t>
      </w:r>
      <w:r>
        <w:rPr>
          <w:rFonts w:asciiTheme="minorHAnsi" w:hAnsiTheme="minorHAnsi" w:cs="Arial"/>
          <w:bCs/>
          <w:snapToGrid w:val="0"/>
          <w:lang w:val="en-GB"/>
        </w:rPr>
        <w:t>a</w:t>
      </w:r>
      <w:r w:rsidRPr="00A24DCF">
        <w:rPr>
          <w:rFonts w:asciiTheme="minorHAnsi" w:hAnsiTheme="minorHAnsi" w:cs="Arial"/>
          <w:bCs/>
          <w:snapToGrid w:val="0"/>
          <w:lang w:val="en-GB"/>
        </w:rPr>
        <w:t xml:space="preserve">llogeneic </w:t>
      </w:r>
      <w:r>
        <w:rPr>
          <w:rFonts w:asciiTheme="minorHAnsi" w:hAnsiTheme="minorHAnsi" w:cs="Arial"/>
          <w:bCs/>
          <w:snapToGrid w:val="0"/>
          <w:lang w:val="en-GB"/>
        </w:rPr>
        <w:t>HSCT, which included letermovir</w:t>
      </w:r>
      <w:r>
        <w:rPr>
          <w:rStyle w:val="FootnoteReference"/>
          <w:rFonts w:asciiTheme="minorHAnsi" w:hAnsiTheme="minorHAnsi" w:cs="Arial"/>
          <w:bCs/>
          <w:snapToGrid w:val="0"/>
          <w:lang w:val="en-GB"/>
        </w:rPr>
        <w:footnoteReference w:id="4"/>
      </w:r>
      <w:r>
        <w:rPr>
          <w:rFonts w:asciiTheme="minorHAnsi" w:hAnsiTheme="minorHAnsi" w:cs="Arial"/>
          <w:bCs/>
          <w:snapToGrid w:val="0"/>
          <w:lang w:val="en-GB"/>
        </w:rPr>
        <w:t xml:space="preserve">. </w:t>
      </w:r>
      <w:r w:rsidR="004E5808">
        <w:rPr>
          <w:rFonts w:asciiTheme="minorHAnsi" w:hAnsiTheme="minorHAnsi" w:cs="Arial"/>
          <w:bCs/>
          <w:snapToGrid w:val="0"/>
          <w:lang w:val="en-GB"/>
        </w:rPr>
        <w:t>While the publication concluded a</w:t>
      </w:r>
      <w:r w:rsidR="004E5808" w:rsidRPr="004E5808">
        <w:rPr>
          <w:rFonts w:asciiTheme="minorHAnsi" w:hAnsiTheme="minorHAnsi" w:cs="Arial"/>
          <w:bCs/>
          <w:snapToGrid w:val="0"/>
          <w:lang w:val="en-GB"/>
        </w:rPr>
        <w:t xml:space="preserve">cross the network, ganciclovir showed the best relative efficacy for CMV disease while letermovir </w:t>
      </w:r>
      <w:r w:rsidR="00F44366">
        <w:rPr>
          <w:rFonts w:asciiTheme="minorHAnsi" w:hAnsiTheme="minorHAnsi" w:cs="Arial"/>
          <w:bCs/>
          <w:snapToGrid w:val="0"/>
          <w:lang w:val="en-GB"/>
        </w:rPr>
        <w:t>was ranked at</w:t>
      </w:r>
      <w:r w:rsidR="004E5808" w:rsidRPr="004E5808">
        <w:rPr>
          <w:rFonts w:asciiTheme="minorHAnsi" w:hAnsiTheme="minorHAnsi" w:cs="Arial"/>
          <w:bCs/>
          <w:snapToGrid w:val="0"/>
          <w:lang w:val="en-GB"/>
        </w:rPr>
        <w:t xml:space="preserve"> being the best option for CMV infection</w:t>
      </w:r>
      <w:r w:rsidR="004E5808">
        <w:rPr>
          <w:rFonts w:asciiTheme="minorHAnsi" w:hAnsiTheme="minorHAnsi" w:cs="Arial"/>
          <w:bCs/>
          <w:snapToGrid w:val="0"/>
          <w:lang w:val="en-GB"/>
        </w:rPr>
        <w:t xml:space="preserve">, the PBAC noted that overall the analysis suggested that there was </w:t>
      </w:r>
      <w:r w:rsidR="004E5808">
        <w:rPr>
          <w:rFonts w:asciiTheme="minorHAnsi" w:hAnsiTheme="minorHAnsi" w:cs="Arial"/>
          <w:bCs/>
          <w:snapToGrid w:val="0"/>
          <w:lang w:val="en-US"/>
        </w:rPr>
        <w:t>p</w:t>
      </w:r>
      <w:r w:rsidR="00956928" w:rsidRPr="004E5808">
        <w:rPr>
          <w:rFonts w:asciiTheme="minorHAnsi" w:hAnsiTheme="minorHAnsi" w:cs="Arial"/>
          <w:bCs/>
          <w:snapToGrid w:val="0"/>
          <w:lang w:val="en-US"/>
        </w:rPr>
        <w:t xml:space="preserve">robably </w:t>
      </w:r>
      <w:r w:rsidR="005B07A4">
        <w:rPr>
          <w:rFonts w:asciiTheme="minorHAnsi" w:hAnsiTheme="minorHAnsi" w:cs="Arial"/>
          <w:bCs/>
          <w:snapToGrid w:val="0"/>
          <w:lang w:val="en-US"/>
        </w:rPr>
        <w:t xml:space="preserve">little or </w:t>
      </w:r>
      <w:r w:rsidR="00956928" w:rsidRPr="004E5808">
        <w:rPr>
          <w:rFonts w:asciiTheme="minorHAnsi" w:hAnsiTheme="minorHAnsi" w:cs="Arial"/>
          <w:bCs/>
          <w:snapToGrid w:val="0"/>
          <w:lang w:val="en-US"/>
        </w:rPr>
        <w:t xml:space="preserve">no difference in </w:t>
      </w:r>
      <w:r w:rsidR="00DB7F82">
        <w:rPr>
          <w:rFonts w:asciiTheme="minorHAnsi" w:hAnsiTheme="minorHAnsi" w:cs="Arial"/>
          <w:bCs/>
          <w:snapToGrid w:val="0"/>
          <w:lang w:val="en-US"/>
        </w:rPr>
        <w:t xml:space="preserve">the effect of letermovir in </w:t>
      </w:r>
      <w:r w:rsidR="00956928" w:rsidRPr="004E5808">
        <w:rPr>
          <w:rFonts w:asciiTheme="minorHAnsi" w:hAnsiTheme="minorHAnsi" w:cs="Arial"/>
          <w:bCs/>
          <w:snapToGrid w:val="0"/>
          <w:lang w:val="en-US"/>
        </w:rPr>
        <w:t xml:space="preserve">preventing CMV disease </w:t>
      </w:r>
      <w:r w:rsidR="00DB7F82">
        <w:rPr>
          <w:rFonts w:asciiTheme="minorHAnsi" w:hAnsiTheme="minorHAnsi" w:cs="Arial"/>
          <w:bCs/>
          <w:snapToGrid w:val="0"/>
          <w:lang w:val="en-US"/>
        </w:rPr>
        <w:t>compared with other</w:t>
      </w:r>
      <w:r w:rsidR="00956928" w:rsidRPr="004E5808">
        <w:rPr>
          <w:rFonts w:asciiTheme="minorHAnsi" w:hAnsiTheme="minorHAnsi" w:cs="Arial"/>
          <w:bCs/>
          <w:snapToGrid w:val="0"/>
          <w:lang w:val="en-US"/>
        </w:rPr>
        <w:t xml:space="preserve"> antivirals</w:t>
      </w:r>
      <w:r w:rsidR="00453CF5">
        <w:rPr>
          <w:rFonts w:asciiTheme="minorHAnsi" w:hAnsiTheme="minorHAnsi" w:cs="Arial"/>
          <w:bCs/>
          <w:snapToGrid w:val="0"/>
          <w:lang w:val="en-US"/>
        </w:rPr>
        <w:t xml:space="preserve">. </w:t>
      </w:r>
    </w:p>
    <w:p w:rsidR="00CE5E13" w:rsidRPr="00525B39" w:rsidRDefault="00453CF5" w:rsidP="004E5808">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considered that a claim of </w:t>
      </w:r>
      <w:r w:rsidRPr="00B45E7F">
        <w:t>non-inferior safety compared to placebo</w:t>
      </w:r>
      <w:r w:rsidR="006E5604">
        <w:t xml:space="preserve"> (the submission’s nominated </w:t>
      </w:r>
      <w:r w:rsidR="00970A55">
        <w:t>comparator</w:t>
      </w:r>
      <w:r w:rsidR="006E5604">
        <w:t>)</w:t>
      </w:r>
      <w:r>
        <w:t xml:space="preserve"> was </w:t>
      </w:r>
      <w:r w:rsidR="00A257C6">
        <w:t>appropriate</w:t>
      </w:r>
      <w:r>
        <w:t xml:space="preserve">, </w:t>
      </w:r>
      <w:r w:rsidR="00A257C6">
        <w:t>agreeing with ESC that it was</w:t>
      </w:r>
      <w:r w:rsidR="00A257C6" w:rsidRPr="00B45E7F">
        <w:t xml:space="preserve"> reasonable to </w:t>
      </w:r>
      <w:r w:rsidR="008151C1">
        <w:t>conclude</w:t>
      </w:r>
      <w:r w:rsidR="008151C1" w:rsidRPr="00B45E7F">
        <w:t xml:space="preserve"> </w:t>
      </w:r>
      <w:r w:rsidR="00A257C6" w:rsidRPr="00B45E7F">
        <w:t xml:space="preserve">that adverse events reported in the submission </w:t>
      </w:r>
      <w:r w:rsidR="00DB7F82">
        <w:t>were</w:t>
      </w:r>
      <w:r w:rsidR="00DB7F82" w:rsidRPr="00B45E7F">
        <w:t xml:space="preserve"> </w:t>
      </w:r>
      <w:r w:rsidR="00A257C6" w:rsidRPr="00B45E7F">
        <w:t xml:space="preserve">comparable between the arms </w:t>
      </w:r>
      <w:r w:rsidR="00A257C6">
        <w:t xml:space="preserve">of the trial. </w:t>
      </w:r>
      <w:r w:rsidR="008151C1">
        <w:t>In regards to atrial fibrillation and atrial flutter, the PBAC noted that t</w:t>
      </w:r>
      <w:r w:rsidR="008151C1" w:rsidRPr="00B45E7F">
        <w:t>he Marty (2017) paper concluded that while these events were rarely serious</w:t>
      </w:r>
      <w:r w:rsidR="008151C1">
        <w:t xml:space="preserve"> (which was also the current view of the TGA when registering the agent)</w:t>
      </w:r>
      <w:r w:rsidR="008151C1" w:rsidRPr="00B45E7F">
        <w:t>, they would require further evaluation in future studies</w:t>
      </w:r>
      <w:r w:rsidR="008151C1">
        <w:t xml:space="preserve">. </w:t>
      </w:r>
      <w:r w:rsidR="00DB7F82">
        <w:t>The PBAC also noted the submission</w:t>
      </w:r>
      <w:r w:rsidR="008151C1">
        <w:t>’</w:t>
      </w:r>
      <w:r w:rsidR="00DB7F82">
        <w:t>s claim of more f</w:t>
      </w:r>
      <w:r w:rsidR="00DB7F82" w:rsidRPr="00B45E7F">
        <w:t xml:space="preserve">avourable safety </w:t>
      </w:r>
      <w:r w:rsidR="00DB7F82">
        <w:t>compared with</w:t>
      </w:r>
      <w:r w:rsidR="00DB7F82" w:rsidRPr="00B45E7F">
        <w:t xml:space="preserve"> placebo due to reduced utilisation of antivirals for PET. </w:t>
      </w:r>
      <w:r w:rsidR="006415D9">
        <w:t xml:space="preserve"> The</w:t>
      </w:r>
      <w:r w:rsidR="00A257C6">
        <w:t xml:space="preserve"> PBAC acknowledge</w:t>
      </w:r>
      <w:r w:rsidR="00F26F96">
        <w:t>d</w:t>
      </w:r>
      <w:r w:rsidR="00A257C6">
        <w:t xml:space="preserve"> that </w:t>
      </w:r>
      <w:r w:rsidR="006E5604">
        <w:t>there are well known toxicities</w:t>
      </w:r>
      <w:r w:rsidR="00420EDC">
        <w:t xml:space="preserve"> (</w:t>
      </w:r>
      <w:r w:rsidR="00374D70">
        <w:t>e.g.</w:t>
      </w:r>
      <w:r w:rsidR="00420EDC">
        <w:t xml:space="preserve"> bone marrow suppression)</w:t>
      </w:r>
      <w:r w:rsidR="006E5604">
        <w:t xml:space="preserve"> asso</w:t>
      </w:r>
      <w:r w:rsidR="00A95932">
        <w:t>ciated with currently used anti</w:t>
      </w:r>
      <w:r w:rsidR="006415D9">
        <w:t>viral treatments.</w:t>
      </w:r>
    </w:p>
    <w:p w:rsidR="00C50316" w:rsidRPr="00B45E7F" w:rsidRDefault="00C50316" w:rsidP="00C50316">
      <w:pPr>
        <w:pStyle w:val="ListParagraph"/>
        <w:numPr>
          <w:ilvl w:val="1"/>
          <w:numId w:val="2"/>
        </w:numPr>
      </w:pPr>
      <w:r>
        <w:t xml:space="preserve">The PBAC shared the concerns of ESC </w:t>
      </w:r>
      <w:r w:rsidR="00420EDC">
        <w:t xml:space="preserve">and considered </w:t>
      </w:r>
      <w:r>
        <w:t xml:space="preserve">that the economic analysis </w:t>
      </w:r>
      <w:r w:rsidR="00420EDC">
        <w:t>did not</w:t>
      </w:r>
      <w:r w:rsidRPr="00F238DC">
        <w:t xml:space="preserve"> provide an accurate estimation of the cost-effectiveness of letermovir</w:t>
      </w:r>
      <w:r>
        <w:t xml:space="preserve">. </w:t>
      </w:r>
      <w:r w:rsidRPr="00B45E7F">
        <w:t xml:space="preserve">The </w:t>
      </w:r>
      <w:r>
        <w:t xml:space="preserve">PBAC noted </w:t>
      </w:r>
      <w:r w:rsidR="00846C68">
        <w:t xml:space="preserve">the issues raised by the ESC, </w:t>
      </w:r>
      <w:r w:rsidR="008151C1">
        <w:t xml:space="preserve">including that </w:t>
      </w:r>
      <w:r>
        <w:t xml:space="preserve">the </w:t>
      </w:r>
      <w:r w:rsidRPr="00B45E7F">
        <w:t xml:space="preserve">outcomes </w:t>
      </w:r>
      <w:r w:rsidR="00970A55">
        <w:t>driv</w:t>
      </w:r>
      <w:r w:rsidR="008151C1">
        <w:t>ing</w:t>
      </w:r>
      <w:r w:rsidR="00970A55" w:rsidRPr="00B45E7F">
        <w:t xml:space="preserve"> the economic model </w:t>
      </w:r>
      <w:r w:rsidR="008151C1">
        <w:t>(the</w:t>
      </w:r>
      <w:r w:rsidR="008151C1" w:rsidRPr="00B45E7F">
        <w:t xml:space="preserve"> occurrence of GVHD and all-cause mortality</w:t>
      </w:r>
      <w:r w:rsidR="008151C1">
        <w:t>)</w:t>
      </w:r>
      <w:r w:rsidR="008151C1" w:rsidRPr="00B45E7F">
        <w:t xml:space="preserve"> </w:t>
      </w:r>
      <w:r w:rsidR="00970A55" w:rsidRPr="00B45E7F">
        <w:t>were</w:t>
      </w:r>
      <w:r>
        <w:t xml:space="preserve"> no</w:t>
      </w:r>
      <w:r w:rsidR="008151C1">
        <w:t>t</w:t>
      </w:r>
      <w:r>
        <w:t xml:space="preserve"> significantly </w:t>
      </w:r>
      <w:r>
        <w:lastRenderedPageBreak/>
        <w:t>different</w:t>
      </w:r>
      <w:r w:rsidR="008151C1">
        <w:t xml:space="preserve"> in the trial</w:t>
      </w:r>
      <w:r w:rsidRPr="00B45E7F">
        <w:t xml:space="preserve">. </w:t>
      </w:r>
      <w:r w:rsidR="00846C68">
        <w:t xml:space="preserve"> </w:t>
      </w:r>
      <w:r>
        <w:t>The PBAC considered that the model</w:t>
      </w:r>
      <w:r w:rsidR="008151C1">
        <w:t xml:space="preserve"> should be based on the health benefits demonstrated in the trial, i.e. a reduction in the use of PET</w:t>
      </w:r>
      <w:r w:rsidR="004C0D64">
        <w:t xml:space="preserve">. </w:t>
      </w:r>
    </w:p>
    <w:p w:rsidR="009C09F7" w:rsidRPr="00277DDB" w:rsidRDefault="009C09F7" w:rsidP="00277DDB">
      <w:pPr>
        <w:widowControl w:val="0"/>
        <w:numPr>
          <w:ilvl w:val="1"/>
          <w:numId w:val="2"/>
        </w:numPr>
        <w:spacing w:after="120"/>
        <w:rPr>
          <w:rFonts w:asciiTheme="minorHAnsi" w:hAnsiTheme="minorHAnsi" w:cs="Arial"/>
          <w:bCs/>
          <w:snapToGrid w:val="0"/>
          <w:lang w:val="en-GB"/>
        </w:rPr>
      </w:pPr>
      <w:r w:rsidRPr="003E7841">
        <w:rPr>
          <w:rFonts w:asciiTheme="minorHAnsi" w:hAnsiTheme="minorHAnsi" w:cs="Arial"/>
          <w:bCs/>
          <w:snapToGrid w:val="0"/>
          <w:lang w:val="en-GB"/>
        </w:rPr>
        <w:t xml:space="preserve">The PBAC noted the view of </w:t>
      </w:r>
      <w:r w:rsidRPr="00043B35">
        <w:t xml:space="preserve">DUSC </w:t>
      </w:r>
      <w:r>
        <w:t xml:space="preserve">that </w:t>
      </w:r>
      <w:r w:rsidRPr="00043B35">
        <w:t xml:space="preserve">the estimates </w:t>
      </w:r>
      <w:r>
        <w:t xml:space="preserve">of utilisation </w:t>
      </w:r>
      <w:r w:rsidRPr="00043B35">
        <w:t xml:space="preserve">presented in the </w:t>
      </w:r>
      <w:r>
        <w:t>submission are underestimated</w:t>
      </w:r>
      <w:r w:rsidR="00CE5E13" w:rsidRPr="003E7841">
        <w:rPr>
          <w:rFonts w:asciiTheme="minorHAnsi" w:hAnsiTheme="minorHAnsi" w:cs="Arial"/>
          <w:bCs/>
          <w:snapToGrid w:val="0"/>
          <w:lang w:val="en-GB"/>
        </w:rPr>
        <w:t>.</w:t>
      </w:r>
      <w:r w:rsidRPr="003E7841">
        <w:rPr>
          <w:rFonts w:asciiTheme="minorHAnsi" w:hAnsiTheme="minorHAnsi" w:cs="Arial"/>
          <w:bCs/>
          <w:snapToGrid w:val="0"/>
          <w:lang w:val="en-GB"/>
        </w:rPr>
        <w:t xml:space="preserve">  As with the economic analysis, the driver of the assumed cost of treatment was the duration of treatment and the </w:t>
      </w:r>
      <w:r w:rsidRPr="00CB56EE">
        <w:t xml:space="preserve">rate of patients using </w:t>
      </w:r>
      <w:r>
        <w:t xml:space="preserve">the lower amount of letermovir with </w:t>
      </w:r>
      <w:r w:rsidRPr="00CB56EE">
        <w:t xml:space="preserve">concomitant </w:t>
      </w:r>
      <w:r w:rsidR="0022186A">
        <w:t>cyclosporin</w:t>
      </w:r>
      <w:r w:rsidR="005807AA">
        <w:t>.</w:t>
      </w:r>
      <w:r>
        <w:t xml:space="preserve"> </w:t>
      </w:r>
      <w:r w:rsidR="006415D9">
        <w:t xml:space="preserve"> </w:t>
      </w:r>
      <w:r>
        <w:t>The PBAC considered that</w:t>
      </w:r>
      <w:r w:rsidR="0016772C">
        <w:t xml:space="preserve">, as raised by the ESC, </w:t>
      </w:r>
      <w:r w:rsidR="0016772C" w:rsidRPr="00F238DC">
        <w:t>cyclosporin is generally used</w:t>
      </w:r>
      <w:r w:rsidR="0016772C">
        <w:t xml:space="preserve"> as standard clinical practice</w:t>
      </w:r>
      <w:r w:rsidR="0022186A">
        <w:t>, howe</w:t>
      </w:r>
      <w:r w:rsidR="003E7841">
        <w:t xml:space="preserve">ver considered further evidence to show historical long term trends in cyclosporin use in HSCT </w:t>
      </w:r>
      <w:r w:rsidR="00D514B0">
        <w:t xml:space="preserve">to </w:t>
      </w:r>
      <w:r w:rsidR="003E7841">
        <w:t xml:space="preserve">address </w:t>
      </w:r>
      <w:r w:rsidR="00970A55">
        <w:t>uncertainty</w:t>
      </w:r>
      <w:r w:rsidR="003E7841">
        <w:t xml:space="preserve"> of the assumption of </w:t>
      </w:r>
      <w:r w:rsidR="004569C1">
        <w:rPr>
          <w:noProof/>
          <w:color w:val="000000"/>
          <w:highlight w:val="black"/>
        </w:rPr>
        <w:t>''''''</w:t>
      </w:r>
      <w:r w:rsidR="003E7841">
        <w:t>% of usage in Australian patients.</w:t>
      </w:r>
    </w:p>
    <w:p w:rsidR="00CE5E13" w:rsidRDefault="00277DDB" w:rsidP="00CE5E13">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The PBAC considered that a resubmission</w:t>
      </w:r>
      <w:r w:rsidR="00420EDC">
        <w:rPr>
          <w:rFonts w:asciiTheme="minorHAnsi" w:hAnsiTheme="minorHAnsi" w:cs="Arial"/>
          <w:bCs/>
          <w:snapToGrid w:val="0"/>
          <w:lang w:val="en-GB"/>
        </w:rPr>
        <w:t xml:space="preserve"> would need to be in the form of a major submission and</w:t>
      </w:r>
      <w:r>
        <w:rPr>
          <w:rFonts w:asciiTheme="minorHAnsi" w:hAnsiTheme="minorHAnsi" w:cs="Arial"/>
          <w:bCs/>
          <w:snapToGrid w:val="0"/>
          <w:lang w:val="en-GB"/>
        </w:rPr>
        <w:t xml:space="preserve"> should</w:t>
      </w:r>
      <w:r w:rsidR="00420EDC">
        <w:rPr>
          <w:rFonts w:asciiTheme="minorHAnsi" w:hAnsiTheme="minorHAnsi" w:cs="Arial"/>
          <w:bCs/>
          <w:snapToGrid w:val="0"/>
          <w:lang w:val="en-GB"/>
        </w:rPr>
        <w:t xml:space="preserve"> </w:t>
      </w:r>
      <w:r w:rsidR="00F70AED">
        <w:rPr>
          <w:rFonts w:asciiTheme="minorHAnsi" w:hAnsiTheme="minorHAnsi" w:cs="Arial"/>
          <w:bCs/>
          <w:snapToGrid w:val="0"/>
          <w:lang w:val="en-GB"/>
        </w:rPr>
        <w:t xml:space="preserve">be based on </w:t>
      </w:r>
      <w:r w:rsidR="00420EDC">
        <w:rPr>
          <w:rFonts w:asciiTheme="minorHAnsi" w:hAnsiTheme="minorHAnsi" w:cs="Arial"/>
          <w:bCs/>
          <w:snapToGrid w:val="0"/>
          <w:lang w:val="en-GB"/>
        </w:rPr>
        <w:t xml:space="preserve">the </w:t>
      </w:r>
      <w:r w:rsidR="00F70AED">
        <w:rPr>
          <w:rFonts w:asciiTheme="minorHAnsi" w:hAnsiTheme="minorHAnsi" w:cs="Arial"/>
          <w:bCs/>
          <w:snapToGrid w:val="0"/>
          <w:lang w:val="en-GB"/>
        </w:rPr>
        <w:t>effects</w:t>
      </w:r>
      <w:r w:rsidR="00420EDC">
        <w:rPr>
          <w:rFonts w:asciiTheme="minorHAnsi" w:hAnsiTheme="minorHAnsi" w:cs="Arial"/>
          <w:bCs/>
          <w:snapToGrid w:val="0"/>
          <w:lang w:val="en-GB"/>
        </w:rPr>
        <w:t xml:space="preserve"> of letermovir treatment</w:t>
      </w:r>
      <w:r>
        <w:rPr>
          <w:rFonts w:asciiTheme="minorHAnsi" w:hAnsiTheme="minorHAnsi" w:cs="Arial"/>
          <w:bCs/>
          <w:snapToGrid w:val="0"/>
          <w:lang w:val="en-GB"/>
        </w:rPr>
        <w:t xml:space="preserve"> </w:t>
      </w:r>
      <w:r w:rsidR="00420EDC">
        <w:rPr>
          <w:rFonts w:asciiTheme="minorHAnsi" w:hAnsiTheme="minorHAnsi" w:cs="Arial"/>
          <w:bCs/>
          <w:snapToGrid w:val="0"/>
          <w:lang w:val="en-GB"/>
        </w:rPr>
        <w:t>as demonstrated by the clinical evidence</w:t>
      </w:r>
      <w:r w:rsidR="00875CFA">
        <w:rPr>
          <w:rFonts w:asciiTheme="minorHAnsi" w:hAnsiTheme="minorHAnsi" w:cs="Arial"/>
          <w:bCs/>
          <w:snapToGrid w:val="0"/>
          <w:lang w:val="en-GB"/>
        </w:rPr>
        <w:t>, that is a reduction in the use of</w:t>
      </w:r>
      <w:r w:rsidR="00526A89" w:rsidRPr="00526A89">
        <w:rPr>
          <w:rFonts w:asciiTheme="minorHAnsi" w:hAnsiTheme="minorHAnsi" w:cs="Arial"/>
          <w:bCs/>
          <w:snapToGrid w:val="0"/>
          <w:lang w:val="en-US"/>
        </w:rPr>
        <w:t xml:space="preserve"> </w:t>
      </w:r>
      <w:r w:rsidR="00526A89">
        <w:rPr>
          <w:rFonts w:asciiTheme="minorHAnsi" w:hAnsiTheme="minorHAnsi" w:cs="Arial"/>
          <w:bCs/>
          <w:snapToGrid w:val="0"/>
          <w:lang w:val="en-US"/>
        </w:rPr>
        <w:t>PET</w:t>
      </w:r>
      <w:r w:rsidR="00526A89" w:rsidRPr="00526A89">
        <w:rPr>
          <w:rFonts w:asciiTheme="minorHAnsi" w:hAnsiTheme="minorHAnsi" w:cs="Arial"/>
          <w:bCs/>
          <w:snapToGrid w:val="0"/>
          <w:lang w:val="en-US"/>
        </w:rPr>
        <w:t xml:space="preserve"> and </w:t>
      </w:r>
      <w:r w:rsidR="00875CFA">
        <w:rPr>
          <w:rFonts w:asciiTheme="minorHAnsi" w:hAnsiTheme="minorHAnsi" w:cs="Arial"/>
          <w:bCs/>
          <w:snapToGrid w:val="0"/>
          <w:lang w:val="en-US"/>
        </w:rPr>
        <w:t xml:space="preserve">associated </w:t>
      </w:r>
      <w:r w:rsidR="00526A89" w:rsidRPr="00526A89">
        <w:rPr>
          <w:rFonts w:asciiTheme="minorHAnsi" w:hAnsiTheme="minorHAnsi" w:cs="Arial"/>
          <w:bCs/>
          <w:snapToGrid w:val="0"/>
          <w:lang w:val="en-US"/>
        </w:rPr>
        <w:t xml:space="preserve">health gains </w:t>
      </w:r>
      <w:r w:rsidR="00875CFA">
        <w:rPr>
          <w:rFonts w:asciiTheme="minorHAnsi" w:hAnsiTheme="minorHAnsi" w:cs="Arial"/>
          <w:bCs/>
          <w:snapToGrid w:val="0"/>
          <w:lang w:val="en-US"/>
        </w:rPr>
        <w:t>due to</w:t>
      </w:r>
      <w:r w:rsidR="00875CFA" w:rsidRPr="00526A89">
        <w:rPr>
          <w:rFonts w:asciiTheme="minorHAnsi" w:hAnsiTheme="minorHAnsi" w:cs="Arial"/>
          <w:bCs/>
          <w:snapToGrid w:val="0"/>
          <w:lang w:val="en-US"/>
        </w:rPr>
        <w:t xml:space="preserve"> </w:t>
      </w:r>
      <w:r w:rsidR="00526A89" w:rsidRPr="00526A89">
        <w:rPr>
          <w:rFonts w:asciiTheme="minorHAnsi" w:hAnsiTheme="minorHAnsi" w:cs="Arial"/>
          <w:bCs/>
          <w:snapToGrid w:val="0"/>
          <w:lang w:val="en-US"/>
        </w:rPr>
        <w:t xml:space="preserve">avoidance of side effects associated with </w:t>
      </w:r>
      <w:r w:rsidR="00526A89">
        <w:rPr>
          <w:rFonts w:asciiTheme="minorHAnsi" w:hAnsiTheme="minorHAnsi" w:cs="Arial"/>
          <w:bCs/>
          <w:snapToGrid w:val="0"/>
          <w:lang w:val="en-US"/>
        </w:rPr>
        <w:t>PET</w:t>
      </w:r>
      <w:r w:rsidR="00D514B0">
        <w:rPr>
          <w:rFonts w:asciiTheme="minorHAnsi" w:hAnsiTheme="minorHAnsi" w:cs="Arial"/>
          <w:bCs/>
          <w:snapToGrid w:val="0"/>
          <w:lang w:val="en-US"/>
        </w:rPr>
        <w:t xml:space="preserve">.  </w:t>
      </w:r>
    </w:p>
    <w:p w:rsidR="004B6BC5" w:rsidRDefault="00CE5E13" w:rsidP="004B6BC5">
      <w:pPr>
        <w:widowControl w:val="0"/>
        <w:numPr>
          <w:ilvl w:val="1"/>
          <w:numId w:val="2"/>
        </w:numPr>
        <w:spacing w:after="120"/>
        <w:rPr>
          <w:rFonts w:asciiTheme="minorHAnsi" w:hAnsiTheme="minorHAnsi" w:cs="Arial"/>
          <w:b/>
          <w:bCs/>
          <w:snapToGrid w:val="0"/>
          <w:lang w:val="en-GB"/>
        </w:rPr>
      </w:pPr>
      <w:r w:rsidRPr="00525B39">
        <w:rPr>
          <w:rFonts w:asciiTheme="minorHAnsi" w:hAnsiTheme="minorHAnsi" w:cs="Arial"/>
          <w:bCs/>
          <w:snapToGrid w:val="0"/>
          <w:lang w:val="en-GB"/>
        </w:rPr>
        <w:t>The PBAC noted</w:t>
      </w:r>
      <w:r w:rsidR="004B6BC5">
        <w:rPr>
          <w:rFonts w:asciiTheme="minorHAnsi" w:hAnsiTheme="minorHAnsi" w:cs="Arial"/>
          <w:bCs/>
          <w:snapToGrid w:val="0"/>
          <w:lang w:val="en-GB"/>
        </w:rPr>
        <w:t xml:space="preserve"> that this submission is </w:t>
      </w:r>
      <w:r w:rsidRPr="00525B39">
        <w:rPr>
          <w:rFonts w:asciiTheme="minorHAnsi" w:hAnsiTheme="minorHAnsi" w:cs="Arial"/>
          <w:bCs/>
          <w:snapToGrid w:val="0"/>
          <w:lang w:val="en-GB"/>
        </w:rPr>
        <w:t>eligible for an Independent Review.</w:t>
      </w:r>
    </w:p>
    <w:p w:rsidR="00CA3B62" w:rsidRDefault="00CE5E13" w:rsidP="00CA3B62">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r>
        <w:rPr>
          <w:rFonts w:asciiTheme="minorHAnsi" w:hAnsiTheme="minorHAnsi" w:cs="Arial"/>
          <w:b/>
          <w:bCs/>
          <w:snapToGrid w:val="0"/>
          <w:lang w:val="en-GB"/>
        </w:rPr>
        <w:t xml:space="preserve"> </w:t>
      </w:r>
    </w:p>
    <w:p w:rsidR="00CE5E13" w:rsidRPr="00967337" w:rsidRDefault="00CE5E13" w:rsidP="00967337">
      <w:pPr>
        <w:spacing w:before="240"/>
        <w:rPr>
          <w:rFonts w:asciiTheme="minorHAnsi" w:hAnsiTheme="minorHAnsi" w:cs="Arial"/>
          <w:b/>
          <w:bCs/>
          <w:snapToGrid w:val="0"/>
          <w:lang w:val="en-GB"/>
        </w:rPr>
      </w:pPr>
      <w:r w:rsidRPr="00525B39">
        <w:rPr>
          <w:rFonts w:asciiTheme="minorHAnsi" w:hAnsiTheme="minorHAnsi" w:cs="Arial"/>
          <w:bCs/>
          <w:snapToGrid w:val="0"/>
          <w:lang w:val="en-GB"/>
        </w:rPr>
        <w:t xml:space="preserve">Rejected </w:t>
      </w:r>
    </w:p>
    <w:p w:rsidR="009F23E9" w:rsidRDefault="009F23E9" w:rsidP="001F0352">
      <w:pPr>
        <w:pStyle w:val="PBACHeading1"/>
        <w:spacing w:before="240" w:after="120"/>
        <w:outlineLvl w:val="0"/>
      </w:pPr>
      <w:r>
        <w:t xml:space="preserve">Context for Decision </w:t>
      </w:r>
    </w:p>
    <w:p w:rsidR="00CA3B62" w:rsidRPr="00967337" w:rsidRDefault="009F23E9" w:rsidP="00967337">
      <w:pPr>
        <w:ind w:left="709"/>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F23E9" w:rsidRDefault="009F23E9" w:rsidP="001F0352">
      <w:pPr>
        <w:pStyle w:val="PBACHeading1"/>
        <w:spacing w:before="240" w:after="120"/>
        <w:outlineLvl w:val="0"/>
      </w:pPr>
      <w:r>
        <w:t xml:space="preserve">Sponsor’s Comment </w:t>
      </w:r>
    </w:p>
    <w:p w:rsidR="00055E40" w:rsidRPr="00956928" w:rsidRDefault="00C61289" w:rsidP="001B4A0F">
      <w:pPr>
        <w:pStyle w:val="ListParagraph"/>
        <w:spacing w:after="0"/>
        <w:ind w:left="709"/>
      </w:pPr>
      <w:r w:rsidRPr="00C61289">
        <w:rPr>
          <w:rFonts w:asciiTheme="minorHAnsi" w:eastAsiaTheme="minorHAnsi" w:hAnsiTheme="minorHAnsi" w:cs="Arial"/>
          <w:bCs/>
          <w:szCs w:val="22"/>
          <w:lang w:val="en-GB"/>
        </w:rPr>
        <w:t>The sponsor is disappointed with the PBAC outcome and is committed to working with the government to ensure PREVYMIS is made available as soon as possible to all patients undergoing allogeneic bone marrow transplants who are at risk of CMV reactivation and its associated poor outcomes.</w:t>
      </w:r>
    </w:p>
    <w:sectPr w:rsidR="00055E40" w:rsidRPr="00956928" w:rsidSect="00A812F3">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10581D" w15:done="0"/>
  <w15:commentEx w15:paraId="26C0D67E" w15:done="0"/>
  <w15:commentEx w15:paraId="7A90B87C" w15:done="0"/>
  <w15:commentEx w15:paraId="78663C12" w15:done="0"/>
  <w15:commentEx w15:paraId="1899F21D" w15:done="0"/>
  <w15:commentEx w15:paraId="4AD61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0581D" w16cid:durableId="1F15E65F"/>
  <w16cid:commentId w16cid:paraId="26C0D67E" w16cid:durableId="1F15E73D"/>
  <w16cid:commentId w16cid:paraId="7A90B87C" w16cid:durableId="1F15E7C9"/>
  <w16cid:commentId w16cid:paraId="78663C12" w16cid:durableId="1F15E906"/>
  <w16cid:commentId w16cid:paraId="1899F21D" w16cid:durableId="1F15E5EB"/>
  <w16cid:commentId w16cid:paraId="4AD6186A" w16cid:durableId="1F15EA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C1" w:rsidRDefault="004569C1" w:rsidP="00124A51">
      <w:r>
        <w:separator/>
      </w:r>
    </w:p>
    <w:p w:rsidR="004569C1" w:rsidRDefault="004569C1"/>
  </w:endnote>
  <w:endnote w:type="continuationSeparator" w:id="0">
    <w:p w:rsidR="004569C1" w:rsidRDefault="004569C1" w:rsidP="00124A51">
      <w:r>
        <w:continuationSeparator/>
      </w:r>
    </w:p>
    <w:p w:rsidR="004569C1" w:rsidRDefault="00456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Theme="minorHAnsi" w:hAnsiTheme="minorHAnsi" w:cs="Arial"/>
        <w:noProof/>
      </w:rPr>
    </w:sdtEndPr>
    <w:sdtContent>
      <w:p w:rsidR="004D01CC" w:rsidRPr="00F90A91" w:rsidRDefault="004D01CC" w:rsidP="00B45E7F">
        <w:pPr>
          <w:pStyle w:val="Footer"/>
          <w:ind w:left="360"/>
          <w:jc w:val="center"/>
          <w:rPr>
            <w:rFonts w:ascii="Arial" w:hAnsi="Arial" w:cs="Arial"/>
            <w:sz w:val="20"/>
          </w:rPr>
        </w:pPr>
      </w:p>
      <w:p w:rsidR="004D01CC" w:rsidRPr="00B45E7F" w:rsidRDefault="004D01CC" w:rsidP="00B45E7F">
        <w:pPr>
          <w:pStyle w:val="Footer"/>
          <w:ind w:left="360"/>
          <w:jc w:val="center"/>
          <w:rPr>
            <w:rFonts w:asciiTheme="minorHAnsi" w:hAnsiTheme="minorHAnsi" w:cs="Arial"/>
          </w:rPr>
        </w:pPr>
        <w:r w:rsidRPr="00F90A91">
          <w:rPr>
            <w:rFonts w:cs="Arial"/>
            <w:b/>
            <w:sz w:val="20"/>
          </w:rPr>
          <w:fldChar w:fldCharType="begin"/>
        </w:r>
        <w:r w:rsidRPr="00F90A91">
          <w:rPr>
            <w:rFonts w:cs="Arial"/>
            <w:b/>
            <w:sz w:val="20"/>
          </w:rPr>
          <w:instrText xml:space="preserve"> PAGE   \* MERGEFORMAT </w:instrText>
        </w:r>
        <w:r w:rsidRPr="00F90A91">
          <w:rPr>
            <w:rFonts w:cs="Arial"/>
            <w:b/>
            <w:sz w:val="20"/>
          </w:rPr>
          <w:fldChar w:fldCharType="separate"/>
        </w:r>
        <w:r w:rsidR="00A632EF">
          <w:rPr>
            <w:rFonts w:cs="Arial"/>
            <w:b/>
            <w:noProof/>
            <w:sz w:val="20"/>
          </w:rPr>
          <w:t>11</w:t>
        </w:r>
        <w:r w:rsidRPr="00F90A91">
          <w:rPr>
            <w:rFonts w:cs="Arial"/>
            <w:b/>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C1" w:rsidRDefault="004569C1" w:rsidP="00124A51">
      <w:r>
        <w:separator/>
      </w:r>
    </w:p>
    <w:p w:rsidR="004569C1" w:rsidRDefault="004569C1"/>
  </w:footnote>
  <w:footnote w:type="continuationSeparator" w:id="0">
    <w:p w:rsidR="004569C1" w:rsidRDefault="004569C1" w:rsidP="00124A51">
      <w:r>
        <w:continuationSeparator/>
      </w:r>
    </w:p>
    <w:p w:rsidR="004569C1" w:rsidRDefault="004569C1"/>
  </w:footnote>
  <w:footnote w:id="1">
    <w:p w:rsidR="004D01CC" w:rsidRDefault="004D01CC">
      <w:pPr>
        <w:pStyle w:val="FootnoteText"/>
      </w:pPr>
      <w:r>
        <w:rPr>
          <w:rStyle w:val="FootnoteReference"/>
        </w:rPr>
        <w:footnoteRef/>
      </w:r>
      <w:r>
        <w:t xml:space="preserve"> The ABMTRR</w:t>
      </w:r>
      <w:r w:rsidRPr="00941995">
        <w:t xml:space="preserve"> </w:t>
      </w:r>
      <w:r w:rsidRPr="00941995">
        <w:rPr>
          <w:lang w:val="en-US"/>
        </w:rPr>
        <w:t>records details of bone marrow, peripheral blood and cord blood stem cell transplants throughout Australia and New Zealand. The data in Attachment 1 of the submission was based on adult allogeneic hematopoietic cell transplants performed in Australia in 2014 to 2016</w:t>
      </w:r>
      <w:r>
        <w:rPr>
          <w:lang w:val="en-US"/>
        </w:rPr>
        <w:t>.</w:t>
      </w:r>
    </w:p>
  </w:footnote>
  <w:footnote w:id="2">
    <w:p w:rsidR="004D01CC" w:rsidRDefault="004D01CC" w:rsidP="001933BF">
      <w:pPr>
        <w:pStyle w:val="FootnoteText"/>
      </w:pPr>
      <w:r>
        <w:rPr>
          <w:rStyle w:val="FootnoteReference"/>
        </w:rPr>
        <w:footnoteRef/>
      </w:r>
      <w:r>
        <w:t xml:space="preserve"> Final scope available at: </w:t>
      </w:r>
      <w:hyperlink r:id="rId1" w:history="1">
        <w:r w:rsidRPr="000728D4">
          <w:rPr>
            <w:rStyle w:val="Hyperlink"/>
          </w:rPr>
          <w:t>https://www.nice.org.uk/guidance/gid-ta10195/documents/final-scope</w:t>
        </w:r>
      </w:hyperlink>
      <w:r>
        <w:t xml:space="preserve"> </w:t>
      </w:r>
    </w:p>
  </w:footnote>
  <w:footnote w:id="3">
    <w:p w:rsidR="004D01CC" w:rsidRPr="0003348A" w:rsidRDefault="004D01CC">
      <w:pPr>
        <w:pStyle w:val="FootnoteText"/>
      </w:pPr>
      <w:r w:rsidRPr="0003348A">
        <w:rPr>
          <w:rStyle w:val="FootnoteReference"/>
        </w:rPr>
        <w:footnoteRef/>
      </w:r>
      <w:r w:rsidRPr="0003348A">
        <w:t xml:space="preserve"> Green, M.L., et al., CMV Viral Load and Mortality after Hematopoietic Cell Transplantation: A Cohort Study in the Era of </w:t>
      </w:r>
      <w:proofErr w:type="spellStart"/>
      <w:r w:rsidRPr="0003348A">
        <w:t>Preemptive</w:t>
      </w:r>
      <w:proofErr w:type="spellEnd"/>
      <w:r w:rsidRPr="0003348A">
        <w:t xml:space="preserve"> Therapy. </w:t>
      </w:r>
      <w:proofErr w:type="gramStart"/>
      <w:r w:rsidRPr="0003348A">
        <w:t>Lancet Haematology, 2016.</w:t>
      </w:r>
      <w:proofErr w:type="gramEnd"/>
      <w:r w:rsidRPr="0003348A">
        <w:t xml:space="preserve"> </w:t>
      </w:r>
      <w:r w:rsidRPr="0003348A">
        <w:rPr>
          <w:b/>
        </w:rPr>
        <w:t>3</w:t>
      </w:r>
      <w:r w:rsidRPr="0003348A">
        <w:t>(3): p. e119-e127.</w:t>
      </w:r>
    </w:p>
  </w:footnote>
  <w:footnote w:id="4">
    <w:p w:rsidR="004D01CC" w:rsidRDefault="004D01CC">
      <w:pPr>
        <w:pStyle w:val="FootnoteText"/>
      </w:pPr>
      <w:r>
        <w:rPr>
          <w:rStyle w:val="FootnoteReference"/>
        </w:rPr>
        <w:footnoteRef/>
      </w:r>
      <w:r>
        <w:t xml:space="preserve"> </w:t>
      </w:r>
      <w:proofErr w:type="spellStart"/>
      <w:r w:rsidRPr="00A24DCF">
        <w:t>Gagelmann</w:t>
      </w:r>
      <w:proofErr w:type="spellEnd"/>
      <w:r w:rsidRPr="00A24DCF">
        <w:t xml:space="preserve"> N</w:t>
      </w:r>
      <w:r>
        <w:t xml:space="preserve"> et al, </w:t>
      </w:r>
      <w:r w:rsidRPr="00A24DCF">
        <w:t xml:space="preserve">Comparative Efficacy and Safety of Different Antiviral Agents for Cytomegalovirus Prophylaxis in Allogeneic Hematopoietic Cell Transplantation: A Systematic Review and Meta-Analysis. </w:t>
      </w:r>
      <w:proofErr w:type="spellStart"/>
      <w:proofErr w:type="gramStart"/>
      <w:r w:rsidRPr="00A24DCF">
        <w:t>Biol</w:t>
      </w:r>
      <w:proofErr w:type="spellEnd"/>
      <w:r w:rsidRPr="00A24DCF">
        <w:t xml:space="preserve"> Blood Marrow Transplant.</w:t>
      </w:r>
      <w:proofErr w:type="gramEnd"/>
      <w:r w:rsidRPr="00A24DCF">
        <w:t xml:space="preserve"> 2018 May 16. </w:t>
      </w:r>
      <w:proofErr w:type="spellStart"/>
      <w:proofErr w:type="gramStart"/>
      <w:r w:rsidRPr="00A24DCF">
        <w:t>pii</w:t>
      </w:r>
      <w:proofErr w:type="spellEnd"/>
      <w:proofErr w:type="gramEnd"/>
      <w:r w:rsidRPr="00A24DCF">
        <w:t>: S1083-8791(18)30269-6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CC" w:rsidRPr="009F23E9" w:rsidRDefault="004D01CC" w:rsidP="009F23E9">
    <w:pPr>
      <w:tabs>
        <w:tab w:val="center" w:pos="4513"/>
        <w:tab w:val="right" w:pos="9026"/>
      </w:tabs>
      <w:jc w:val="center"/>
      <w:rPr>
        <w:rFonts w:asciiTheme="minorHAnsi" w:eastAsiaTheme="minorHAnsi" w:hAnsiTheme="minorHAnsi" w:cstheme="minorHAnsi"/>
        <w:i/>
        <w:color w:val="808080"/>
        <w:sz w:val="22"/>
        <w:szCs w:val="22"/>
      </w:rPr>
    </w:pPr>
    <w:r w:rsidRPr="009F23E9">
      <w:rPr>
        <w:rFonts w:asciiTheme="minorHAnsi" w:eastAsiaTheme="minorHAnsi" w:hAnsiTheme="minorHAnsi" w:cstheme="minorHAnsi"/>
        <w:i/>
        <w:color w:val="808080"/>
        <w:sz w:val="22"/>
        <w:szCs w:val="22"/>
      </w:rPr>
      <w:t xml:space="preserve">Public Summary Document – </w:t>
    </w:r>
    <w:r>
      <w:rPr>
        <w:rFonts w:asciiTheme="minorHAnsi" w:eastAsiaTheme="minorHAnsi" w:hAnsiTheme="minorHAnsi" w:cstheme="minorHAnsi"/>
        <w:i/>
        <w:color w:val="808080"/>
        <w:sz w:val="22"/>
        <w:szCs w:val="22"/>
      </w:rPr>
      <w:t>July 2018</w:t>
    </w:r>
    <w:r w:rsidRPr="009F23E9">
      <w:rPr>
        <w:rFonts w:asciiTheme="minorHAnsi" w:eastAsiaTheme="minorHAnsi" w:hAnsiTheme="minorHAnsi" w:cstheme="minorHAnsi"/>
        <w:i/>
        <w:color w:val="808080"/>
        <w:sz w:val="22"/>
        <w:szCs w:val="22"/>
      </w:rPr>
      <w:t xml:space="preserve"> PBAC Meeting</w:t>
    </w:r>
  </w:p>
  <w:p w:rsidR="004D01CC" w:rsidRDefault="004D01CC" w:rsidP="00ED0209">
    <w:pPr>
      <w:tabs>
        <w:tab w:val="left" w:pos="142"/>
        <w:tab w:val="right" w:pos="9027"/>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F03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C0BE6"/>
    <w:multiLevelType w:val="hybridMultilevel"/>
    <w:tmpl w:val="5656AE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E16933"/>
    <w:multiLevelType w:val="multilevel"/>
    <w:tmpl w:val="438A55B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F077AD"/>
    <w:multiLevelType w:val="hybridMultilevel"/>
    <w:tmpl w:val="D47E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E154E9"/>
    <w:multiLevelType w:val="hybridMultilevel"/>
    <w:tmpl w:val="61AC7870"/>
    <w:lvl w:ilvl="0" w:tplc="F4D4EB10">
      <w:start w:val="1"/>
      <w:numFmt w:val="bullet"/>
      <w:lvlText w:val="•"/>
      <w:lvlJc w:val="left"/>
      <w:pPr>
        <w:tabs>
          <w:tab w:val="num" w:pos="720"/>
        </w:tabs>
        <w:ind w:left="720" w:hanging="360"/>
      </w:pPr>
      <w:rPr>
        <w:rFonts w:ascii="Arial" w:hAnsi="Arial" w:hint="default"/>
      </w:rPr>
    </w:lvl>
    <w:lvl w:ilvl="1" w:tplc="6262B9FC">
      <w:start w:val="2875"/>
      <w:numFmt w:val="bullet"/>
      <w:lvlText w:val="•"/>
      <w:lvlJc w:val="left"/>
      <w:pPr>
        <w:tabs>
          <w:tab w:val="num" w:pos="1440"/>
        </w:tabs>
        <w:ind w:left="1440" w:hanging="360"/>
      </w:pPr>
      <w:rPr>
        <w:rFonts w:ascii="Arial" w:hAnsi="Arial" w:hint="default"/>
      </w:rPr>
    </w:lvl>
    <w:lvl w:ilvl="2" w:tplc="8C3EAFA6" w:tentative="1">
      <w:start w:val="1"/>
      <w:numFmt w:val="bullet"/>
      <w:lvlText w:val="•"/>
      <w:lvlJc w:val="left"/>
      <w:pPr>
        <w:tabs>
          <w:tab w:val="num" w:pos="2160"/>
        </w:tabs>
        <w:ind w:left="2160" w:hanging="360"/>
      </w:pPr>
      <w:rPr>
        <w:rFonts w:ascii="Arial" w:hAnsi="Arial" w:hint="default"/>
      </w:rPr>
    </w:lvl>
    <w:lvl w:ilvl="3" w:tplc="185CC7FC" w:tentative="1">
      <w:start w:val="1"/>
      <w:numFmt w:val="bullet"/>
      <w:lvlText w:val="•"/>
      <w:lvlJc w:val="left"/>
      <w:pPr>
        <w:tabs>
          <w:tab w:val="num" w:pos="2880"/>
        </w:tabs>
        <w:ind w:left="2880" w:hanging="360"/>
      </w:pPr>
      <w:rPr>
        <w:rFonts w:ascii="Arial" w:hAnsi="Arial" w:hint="default"/>
      </w:rPr>
    </w:lvl>
    <w:lvl w:ilvl="4" w:tplc="BA2CC394" w:tentative="1">
      <w:start w:val="1"/>
      <w:numFmt w:val="bullet"/>
      <w:lvlText w:val="•"/>
      <w:lvlJc w:val="left"/>
      <w:pPr>
        <w:tabs>
          <w:tab w:val="num" w:pos="3600"/>
        </w:tabs>
        <w:ind w:left="3600" w:hanging="360"/>
      </w:pPr>
      <w:rPr>
        <w:rFonts w:ascii="Arial" w:hAnsi="Arial" w:hint="default"/>
      </w:rPr>
    </w:lvl>
    <w:lvl w:ilvl="5" w:tplc="7C3CA6D8" w:tentative="1">
      <w:start w:val="1"/>
      <w:numFmt w:val="bullet"/>
      <w:lvlText w:val="•"/>
      <w:lvlJc w:val="left"/>
      <w:pPr>
        <w:tabs>
          <w:tab w:val="num" w:pos="4320"/>
        </w:tabs>
        <w:ind w:left="4320" w:hanging="360"/>
      </w:pPr>
      <w:rPr>
        <w:rFonts w:ascii="Arial" w:hAnsi="Arial" w:hint="default"/>
      </w:rPr>
    </w:lvl>
    <w:lvl w:ilvl="6" w:tplc="43F0A948" w:tentative="1">
      <w:start w:val="1"/>
      <w:numFmt w:val="bullet"/>
      <w:lvlText w:val="•"/>
      <w:lvlJc w:val="left"/>
      <w:pPr>
        <w:tabs>
          <w:tab w:val="num" w:pos="5040"/>
        </w:tabs>
        <w:ind w:left="5040" w:hanging="360"/>
      </w:pPr>
      <w:rPr>
        <w:rFonts w:ascii="Arial" w:hAnsi="Arial" w:hint="default"/>
      </w:rPr>
    </w:lvl>
    <w:lvl w:ilvl="7" w:tplc="A4A00566" w:tentative="1">
      <w:start w:val="1"/>
      <w:numFmt w:val="bullet"/>
      <w:lvlText w:val="•"/>
      <w:lvlJc w:val="left"/>
      <w:pPr>
        <w:tabs>
          <w:tab w:val="num" w:pos="5760"/>
        </w:tabs>
        <w:ind w:left="5760" w:hanging="360"/>
      </w:pPr>
      <w:rPr>
        <w:rFonts w:ascii="Arial" w:hAnsi="Arial" w:hint="default"/>
      </w:rPr>
    </w:lvl>
    <w:lvl w:ilvl="8" w:tplc="7480B234" w:tentative="1">
      <w:start w:val="1"/>
      <w:numFmt w:val="bullet"/>
      <w:lvlText w:val="•"/>
      <w:lvlJc w:val="left"/>
      <w:pPr>
        <w:tabs>
          <w:tab w:val="num" w:pos="6480"/>
        </w:tabs>
        <w:ind w:left="6480" w:hanging="360"/>
      </w:pPr>
      <w:rPr>
        <w:rFonts w:ascii="Arial" w:hAnsi="Arial" w:hint="default"/>
      </w:rPr>
    </w:lvl>
  </w:abstractNum>
  <w:abstractNum w:abstractNumId="8">
    <w:nsid w:val="3B381581"/>
    <w:multiLevelType w:val="hybridMultilevel"/>
    <w:tmpl w:val="57DAC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811D9"/>
    <w:multiLevelType w:val="multilevel"/>
    <w:tmpl w:val="B39AB4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A0445F4"/>
    <w:multiLevelType w:val="multilevel"/>
    <w:tmpl w:val="F4A04A7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514616"/>
    <w:multiLevelType w:val="multilevel"/>
    <w:tmpl w:val="9BFA5C1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C610B3"/>
    <w:multiLevelType w:val="hybridMultilevel"/>
    <w:tmpl w:val="89F04C8E"/>
    <w:lvl w:ilvl="0" w:tplc="3A681F3C">
      <w:start w:val="1"/>
      <w:numFmt w:val="bullet"/>
      <w:lvlText w:val="•"/>
      <w:lvlJc w:val="left"/>
      <w:pPr>
        <w:tabs>
          <w:tab w:val="num" w:pos="720"/>
        </w:tabs>
        <w:ind w:left="720" w:hanging="360"/>
      </w:pPr>
      <w:rPr>
        <w:rFonts w:ascii="Arial" w:hAnsi="Arial" w:hint="default"/>
      </w:rPr>
    </w:lvl>
    <w:lvl w:ilvl="1" w:tplc="BDCE0632">
      <w:start w:val="1"/>
      <w:numFmt w:val="bullet"/>
      <w:lvlText w:val="•"/>
      <w:lvlJc w:val="left"/>
      <w:pPr>
        <w:tabs>
          <w:tab w:val="num" w:pos="1440"/>
        </w:tabs>
        <w:ind w:left="1440" w:hanging="360"/>
      </w:pPr>
      <w:rPr>
        <w:rFonts w:ascii="Arial" w:hAnsi="Arial" w:hint="default"/>
      </w:rPr>
    </w:lvl>
    <w:lvl w:ilvl="2" w:tplc="23C49B9A" w:tentative="1">
      <w:start w:val="1"/>
      <w:numFmt w:val="bullet"/>
      <w:lvlText w:val="•"/>
      <w:lvlJc w:val="left"/>
      <w:pPr>
        <w:tabs>
          <w:tab w:val="num" w:pos="2160"/>
        </w:tabs>
        <w:ind w:left="2160" w:hanging="360"/>
      </w:pPr>
      <w:rPr>
        <w:rFonts w:ascii="Arial" w:hAnsi="Arial" w:hint="default"/>
      </w:rPr>
    </w:lvl>
    <w:lvl w:ilvl="3" w:tplc="D90A13B8" w:tentative="1">
      <w:start w:val="1"/>
      <w:numFmt w:val="bullet"/>
      <w:lvlText w:val="•"/>
      <w:lvlJc w:val="left"/>
      <w:pPr>
        <w:tabs>
          <w:tab w:val="num" w:pos="2880"/>
        </w:tabs>
        <w:ind w:left="2880" w:hanging="360"/>
      </w:pPr>
      <w:rPr>
        <w:rFonts w:ascii="Arial" w:hAnsi="Arial" w:hint="default"/>
      </w:rPr>
    </w:lvl>
    <w:lvl w:ilvl="4" w:tplc="FEDA994E" w:tentative="1">
      <w:start w:val="1"/>
      <w:numFmt w:val="bullet"/>
      <w:lvlText w:val="•"/>
      <w:lvlJc w:val="left"/>
      <w:pPr>
        <w:tabs>
          <w:tab w:val="num" w:pos="3600"/>
        </w:tabs>
        <w:ind w:left="3600" w:hanging="360"/>
      </w:pPr>
      <w:rPr>
        <w:rFonts w:ascii="Arial" w:hAnsi="Arial" w:hint="default"/>
      </w:rPr>
    </w:lvl>
    <w:lvl w:ilvl="5" w:tplc="DAFA497A" w:tentative="1">
      <w:start w:val="1"/>
      <w:numFmt w:val="bullet"/>
      <w:lvlText w:val="•"/>
      <w:lvlJc w:val="left"/>
      <w:pPr>
        <w:tabs>
          <w:tab w:val="num" w:pos="4320"/>
        </w:tabs>
        <w:ind w:left="4320" w:hanging="360"/>
      </w:pPr>
      <w:rPr>
        <w:rFonts w:ascii="Arial" w:hAnsi="Arial" w:hint="default"/>
      </w:rPr>
    </w:lvl>
    <w:lvl w:ilvl="6" w:tplc="2B3E6BB8" w:tentative="1">
      <w:start w:val="1"/>
      <w:numFmt w:val="bullet"/>
      <w:lvlText w:val="•"/>
      <w:lvlJc w:val="left"/>
      <w:pPr>
        <w:tabs>
          <w:tab w:val="num" w:pos="5040"/>
        </w:tabs>
        <w:ind w:left="5040" w:hanging="360"/>
      </w:pPr>
      <w:rPr>
        <w:rFonts w:ascii="Arial" w:hAnsi="Arial" w:hint="default"/>
      </w:rPr>
    </w:lvl>
    <w:lvl w:ilvl="7" w:tplc="E1B438C2" w:tentative="1">
      <w:start w:val="1"/>
      <w:numFmt w:val="bullet"/>
      <w:lvlText w:val="•"/>
      <w:lvlJc w:val="left"/>
      <w:pPr>
        <w:tabs>
          <w:tab w:val="num" w:pos="5760"/>
        </w:tabs>
        <w:ind w:left="5760" w:hanging="360"/>
      </w:pPr>
      <w:rPr>
        <w:rFonts w:ascii="Arial" w:hAnsi="Arial" w:hint="default"/>
      </w:rPr>
    </w:lvl>
    <w:lvl w:ilvl="8" w:tplc="CFAA3084" w:tentative="1">
      <w:start w:val="1"/>
      <w:numFmt w:val="bullet"/>
      <w:lvlText w:val="•"/>
      <w:lvlJc w:val="left"/>
      <w:pPr>
        <w:tabs>
          <w:tab w:val="num" w:pos="6480"/>
        </w:tabs>
        <w:ind w:left="6480" w:hanging="360"/>
      </w:pPr>
      <w:rPr>
        <w:rFonts w:ascii="Arial" w:hAnsi="Arial" w:hint="default"/>
      </w:rPr>
    </w:lvl>
  </w:abstractNum>
  <w:abstractNum w:abstractNumId="16">
    <w:nsid w:val="5F5643C5"/>
    <w:multiLevelType w:val="hybridMultilevel"/>
    <w:tmpl w:val="1C703CA4"/>
    <w:lvl w:ilvl="0" w:tplc="B0B49112">
      <w:start w:val="1"/>
      <w:numFmt w:val="bullet"/>
      <w:lvlText w:val="•"/>
      <w:lvlJc w:val="left"/>
      <w:pPr>
        <w:tabs>
          <w:tab w:val="num" w:pos="720"/>
        </w:tabs>
        <w:ind w:left="720" w:hanging="360"/>
      </w:pPr>
      <w:rPr>
        <w:rFonts w:ascii="Arial" w:hAnsi="Arial" w:hint="default"/>
      </w:rPr>
    </w:lvl>
    <w:lvl w:ilvl="1" w:tplc="FC6ED03E" w:tentative="1">
      <w:start w:val="1"/>
      <w:numFmt w:val="bullet"/>
      <w:lvlText w:val="•"/>
      <w:lvlJc w:val="left"/>
      <w:pPr>
        <w:tabs>
          <w:tab w:val="num" w:pos="1440"/>
        </w:tabs>
        <w:ind w:left="1440" w:hanging="360"/>
      </w:pPr>
      <w:rPr>
        <w:rFonts w:ascii="Arial" w:hAnsi="Arial" w:hint="default"/>
      </w:rPr>
    </w:lvl>
    <w:lvl w:ilvl="2" w:tplc="8F821A18" w:tentative="1">
      <w:start w:val="1"/>
      <w:numFmt w:val="bullet"/>
      <w:lvlText w:val="•"/>
      <w:lvlJc w:val="left"/>
      <w:pPr>
        <w:tabs>
          <w:tab w:val="num" w:pos="2160"/>
        </w:tabs>
        <w:ind w:left="2160" w:hanging="360"/>
      </w:pPr>
      <w:rPr>
        <w:rFonts w:ascii="Arial" w:hAnsi="Arial" w:hint="default"/>
      </w:rPr>
    </w:lvl>
    <w:lvl w:ilvl="3" w:tplc="933006A8" w:tentative="1">
      <w:start w:val="1"/>
      <w:numFmt w:val="bullet"/>
      <w:lvlText w:val="•"/>
      <w:lvlJc w:val="left"/>
      <w:pPr>
        <w:tabs>
          <w:tab w:val="num" w:pos="2880"/>
        </w:tabs>
        <w:ind w:left="2880" w:hanging="360"/>
      </w:pPr>
      <w:rPr>
        <w:rFonts w:ascii="Arial" w:hAnsi="Arial" w:hint="default"/>
      </w:rPr>
    </w:lvl>
    <w:lvl w:ilvl="4" w:tplc="D89C861A" w:tentative="1">
      <w:start w:val="1"/>
      <w:numFmt w:val="bullet"/>
      <w:lvlText w:val="•"/>
      <w:lvlJc w:val="left"/>
      <w:pPr>
        <w:tabs>
          <w:tab w:val="num" w:pos="3600"/>
        </w:tabs>
        <w:ind w:left="3600" w:hanging="360"/>
      </w:pPr>
      <w:rPr>
        <w:rFonts w:ascii="Arial" w:hAnsi="Arial" w:hint="default"/>
      </w:rPr>
    </w:lvl>
    <w:lvl w:ilvl="5" w:tplc="2D127A1C" w:tentative="1">
      <w:start w:val="1"/>
      <w:numFmt w:val="bullet"/>
      <w:lvlText w:val="•"/>
      <w:lvlJc w:val="left"/>
      <w:pPr>
        <w:tabs>
          <w:tab w:val="num" w:pos="4320"/>
        </w:tabs>
        <w:ind w:left="4320" w:hanging="360"/>
      </w:pPr>
      <w:rPr>
        <w:rFonts w:ascii="Arial" w:hAnsi="Arial" w:hint="default"/>
      </w:rPr>
    </w:lvl>
    <w:lvl w:ilvl="6" w:tplc="FE686EC8" w:tentative="1">
      <w:start w:val="1"/>
      <w:numFmt w:val="bullet"/>
      <w:lvlText w:val="•"/>
      <w:lvlJc w:val="left"/>
      <w:pPr>
        <w:tabs>
          <w:tab w:val="num" w:pos="5040"/>
        </w:tabs>
        <w:ind w:left="5040" w:hanging="360"/>
      </w:pPr>
      <w:rPr>
        <w:rFonts w:ascii="Arial" w:hAnsi="Arial" w:hint="default"/>
      </w:rPr>
    </w:lvl>
    <w:lvl w:ilvl="7" w:tplc="6756B87E" w:tentative="1">
      <w:start w:val="1"/>
      <w:numFmt w:val="bullet"/>
      <w:lvlText w:val="•"/>
      <w:lvlJc w:val="left"/>
      <w:pPr>
        <w:tabs>
          <w:tab w:val="num" w:pos="5760"/>
        </w:tabs>
        <w:ind w:left="5760" w:hanging="360"/>
      </w:pPr>
      <w:rPr>
        <w:rFonts w:ascii="Arial" w:hAnsi="Arial" w:hint="default"/>
      </w:rPr>
    </w:lvl>
    <w:lvl w:ilvl="8" w:tplc="3D2C4248" w:tentative="1">
      <w:start w:val="1"/>
      <w:numFmt w:val="bullet"/>
      <w:lvlText w:val="•"/>
      <w:lvlJc w:val="left"/>
      <w:pPr>
        <w:tabs>
          <w:tab w:val="num" w:pos="6480"/>
        </w:tabs>
        <w:ind w:left="6480" w:hanging="360"/>
      </w:pPr>
      <w:rPr>
        <w:rFonts w:ascii="Arial" w:hAnsi="Arial" w:hint="default"/>
      </w:rPr>
    </w:lvl>
  </w:abstractNum>
  <w:abstractNum w:abstractNumId="17">
    <w:nsid w:val="65AF3F52"/>
    <w:multiLevelType w:val="hybridMultilevel"/>
    <w:tmpl w:val="CDE41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ED2CBB"/>
    <w:multiLevelType w:val="multilevel"/>
    <w:tmpl w:val="9BFA5C1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84D033C"/>
    <w:multiLevelType w:val="multilevel"/>
    <w:tmpl w:val="532E891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BE4167"/>
    <w:multiLevelType w:val="hybridMultilevel"/>
    <w:tmpl w:val="B3CC20B0"/>
    <w:lvl w:ilvl="0" w:tplc="43E29330">
      <w:start w:val="1"/>
      <w:numFmt w:val="bullet"/>
      <w:lvlText w:val="•"/>
      <w:lvlJc w:val="left"/>
      <w:pPr>
        <w:tabs>
          <w:tab w:val="num" w:pos="720"/>
        </w:tabs>
        <w:ind w:left="720" w:hanging="360"/>
      </w:pPr>
      <w:rPr>
        <w:rFonts w:ascii="Arial" w:hAnsi="Arial" w:hint="default"/>
      </w:rPr>
    </w:lvl>
    <w:lvl w:ilvl="1" w:tplc="1B3AE5A0" w:tentative="1">
      <w:start w:val="1"/>
      <w:numFmt w:val="bullet"/>
      <w:lvlText w:val="•"/>
      <w:lvlJc w:val="left"/>
      <w:pPr>
        <w:tabs>
          <w:tab w:val="num" w:pos="1440"/>
        </w:tabs>
        <w:ind w:left="1440" w:hanging="360"/>
      </w:pPr>
      <w:rPr>
        <w:rFonts w:ascii="Arial" w:hAnsi="Arial" w:hint="default"/>
      </w:rPr>
    </w:lvl>
    <w:lvl w:ilvl="2" w:tplc="E1BEC470" w:tentative="1">
      <w:start w:val="1"/>
      <w:numFmt w:val="bullet"/>
      <w:lvlText w:val="•"/>
      <w:lvlJc w:val="left"/>
      <w:pPr>
        <w:tabs>
          <w:tab w:val="num" w:pos="2160"/>
        </w:tabs>
        <w:ind w:left="2160" w:hanging="360"/>
      </w:pPr>
      <w:rPr>
        <w:rFonts w:ascii="Arial" w:hAnsi="Arial" w:hint="default"/>
      </w:rPr>
    </w:lvl>
    <w:lvl w:ilvl="3" w:tplc="92F2FAD6" w:tentative="1">
      <w:start w:val="1"/>
      <w:numFmt w:val="bullet"/>
      <w:lvlText w:val="•"/>
      <w:lvlJc w:val="left"/>
      <w:pPr>
        <w:tabs>
          <w:tab w:val="num" w:pos="2880"/>
        </w:tabs>
        <w:ind w:left="2880" w:hanging="360"/>
      </w:pPr>
      <w:rPr>
        <w:rFonts w:ascii="Arial" w:hAnsi="Arial" w:hint="default"/>
      </w:rPr>
    </w:lvl>
    <w:lvl w:ilvl="4" w:tplc="979E0AE4" w:tentative="1">
      <w:start w:val="1"/>
      <w:numFmt w:val="bullet"/>
      <w:lvlText w:val="•"/>
      <w:lvlJc w:val="left"/>
      <w:pPr>
        <w:tabs>
          <w:tab w:val="num" w:pos="3600"/>
        </w:tabs>
        <w:ind w:left="3600" w:hanging="360"/>
      </w:pPr>
      <w:rPr>
        <w:rFonts w:ascii="Arial" w:hAnsi="Arial" w:hint="default"/>
      </w:rPr>
    </w:lvl>
    <w:lvl w:ilvl="5" w:tplc="0A4E9512" w:tentative="1">
      <w:start w:val="1"/>
      <w:numFmt w:val="bullet"/>
      <w:lvlText w:val="•"/>
      <w:lvlJc w:val="left"/>
      <w:pPr>
        <w:tabs>
          <w:tab w:val="num" w:pos="4320"/>
        </w:tabs>
        <w:ind w:left="4320" w:hanging="360"/>
      </w:pPr>
      <w:rPr>
        <w:rFonts w:ascii="Arial" w:hAnsi="Arial" w:hint="default"/>
      </w:rPr>
    </w:lvl>
    <w:lvl w:ilvl="6" w:tplc="5F1AEBB6" w:tentative="1">
      <w:start w:val="1"/>
      <w:numFmt w:val="bullet"/>
      <w:lvlText w:val="•"/>
      <w:lvlJc w:val="left"/>
      <w:pPr>
        <w:tabs>
          <w:tab w:val="num" w:pos="5040"/>
        </w:tabs>
        <w:ind w:left="5040" w:hanging="360"/>
      </w:pPr>
      <w:rPr>
        <w:rFonts w:ascii="Arial" w:hAnsi="Arial" w:hint="default"/>
      </w:rPr>
    </w:lvl>
    <w:lvl w:ilvl="7" w:tplc="2EC6EAAE" w:tentative="1">
      <w:start w:val="1"/>
      <w:numFmt w:val="bullet"/>
      <w:lvlText w:val="•"/>
      <w:lvlJc w:val="left"/>
      <w:pPr>
        <w:tabs>
          <w:tab w:val="num" w:pos="5760"/>
        </w:tabs>
        <w:ind w:left="5760" w:hanging="360"/>
      </w:pPr>
      <w:rPr>
        <w:rFonts w:ascii="Arial" w:hAnsi="Arial" w:hint="default"/>
      </w:rPr>
    </w:lvl>
    <w:lvl w:ilvl="8" w:tplc="D9E4C3EC" w:tentative="1">
      <w:start w:val="1"/>
      <w:numFmt w:val="bullet"/>
      <w:lvlText w:val="•"/>
      <w:lvlJc w:val="left"/>
      <w:pPr>
        <w:tabs>
          <w:tab w:val="num" w:pos="6480"/>
        </w:tabs>
        <w:ind w:left="6480" w:hanging="360"/>
      </w:pPr>
      <w:rPr>
        <w:rFonts w:ascii="Arial" w:hAnsi="Arial" w:hint="default"/>
      </w:rPr>
    </w:lvl>
  </w:abstractNum>
  <w:abstractNum w:abstractNumId="21">
    <w:nsid w:val="7F622075"/>
    <w:multiLevelType w:val="hybridMultilevel"/>
    <w:tmpl w:val="C1DCAAA4"/>
    <w:lvl w:ilvl="0" w:tplc="C374D12A">
      <w:start w:val="1"/>
      <w:numFmt w:val="bullet"/>
      <w:lvlText w:val="•"/>
      <w:lvlJc w:val="left"/>
      <w:pPr>
        <w:tabs>
          <w:tab w:val="num" w:pos="720"/>
        </w:tabs>
        <w:ind w:left="720" w:hanging="360"/>
      </w:pPr>
      <w:rPr>
        <w:rFonts w:ascii="Arial" w:hAnsi="Arial" w:hint="default"/>
      </w:rPr>
    </w:lvl>
    <w:lvl w:ilvl="1" w:tplc="BD54DC1C" w:tentative="1">
      <w:start w:val="1"/>
      <w:numFmt w:val="bullet"/>
      <w:lvlText w:val="•"/>
      <w:lvlJc w:val="left"/>
      <w:pPr>
        <w:tabs>
          <w:tab w:val="num" w:pos="1440"/>
        </w:tabs>
        <w:ind w:left="1440" w:hanging="360"/>
      </w:pPr>
      <w:rPr>
        <w:rFonts w:ascii="Arial" w:hAnsi="Arial" w:hint="default"/>
      </w:rPr>
    </w:lvl>
    <w:lvl w:ilvl="2" w:tplc="B010DF90" w:tentative="1">
      <w:start w:val="1"/>
      <w:numFmt w:val="bullet"/>
      <w:lvlText w:val="•"/>
      <w:lvlJc w:val="left"/>
      <w:pPr>
        <w:tabs>
          <w:tab w:val="num" w:pos="2160"/>
        </w:tabs>
        <w:ind w:left="2160" w:hanging="360"/>
      </w:pPr>
      <w:rPr>
        <w:rFonts w:ascii="Arial" w:hAnsi="Arial" w:hint="default"/>
      </w:rPr>
    </w:lvl>
    <w:lvl w:ilvl="3" w:tplc="1B165B5A" w:tentative="1">
      <w:start w:val="1"/>
      <w:numFmt w:val="bullet"/>
      <w:lvlText w:val="•"/>
      <w:lvlJc w:val="left"/>
      <w:pPr>
        <w:tabs>
          <w:tab w:val="num" w:pos="2880"/>
        </w:tabs>
        <w:ind w:left="2880" w:hanging="360"/>
      </w:pPr>
      <w:rPr>
        <w:rFonts w:ascii="Arial" w:hAnsi="Arial" w:hint="default"/>
      </w:rPr>
    </w:lvl>
    <w:lvl w:ilvl="4" w:tplc="F48C4736" w:tentative="1">
      <w:start w:val="1"/>
      <w:numFmt w:val="bullet"/>
      <w:lvlText w:val="•"/>
      <w:lvlJc w:val="left"/>
      <w:pPr>
        <w:tabs>
          <w:tab w:val="num" w:pos="3600"/>
        </w:tabs>
        <w:ind w:left="3600" w:hanging="360"/>
      </w:pPr>
      <w:rPr>
        <w:rFonts w:ascii="Arial" w:hAnsi="Arial" w:hint="default"/>
      </w:rPr>
    </w:lvl>
    <w:lvl w:ilvl="5" w:tplc="5A168F2A" w:tentative="1">
      <w:start w:val="1"/>
      <w:numFmt w:val="bullet"/>
      <w:lvlText w:val="•"/>
      <w:lvlJc w:val="left"/>
      <w:pPr>
        <w:tabs>
          <w:tab w:val="num" w:pos="4320"/>
        </w:tabs>
        <w:ind w:left="4320" w:hanging="360"/>
      </w:pPr>
      <w:rPr>
        <w:rFonts w:ascii="Arial" w:hAnsi="Arial" w:hint="default"/>
      </w:rPr>
    </w:lvl>
    <w:lvl w:ilvl="6" w:tplc="A718AD26" w:tentative="1">
      <w:start w:val="1"/>
      <w:numFmt w:val="bullet"/>
      <w:lvlText w:val="•"/>
      <w:lvlJc w:val="left"/>
      <w:pPr>
        <w:tabs>
          <w:tab w:val="num" w:pos="5040"/>
        </w:tabs>
        <w:ind w:left="5040" w:hanging="360"/>
      </w:pPr>
      <w:rPr>
        <w:rFonts w:ascii="Arial" w:hAnsi="Arial" w:hint="default"/>
      </w:rPr>
    </w:lvl>
    <w:lvl w:ilvl="7" w:tplc="14E04996" w:tentative="1">
      <w:start w:val="1"/>
      <w:numFmt w:val="bullet"/>
      <w:lvlText w:val="•"/>
      <w:lvlJc w:val="left"/>
      <w:pPr>
        <w:tabs>
          <w:tab w:val="num" w:pos="5760"/>
        </w:tabs>
        <w:ind w:left="5760" w:hanging="360"/>
      </w:pPr>
      <w:rPr>
        <w:rFonts w:ascii="Arial" w:hAnsi="Arial" w:hint="default"/>
      </w:rPr>
    </w:lvl>
    <w:lvl w:ilvl="8" w:tplc="9306F44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9"/>
  </w:num>
  <w:num w:numId="3">
    <w:abstractNumId w:val="10"/>
  </w:num>
  <w:num w:numId="4">
    <w:abstractNumId w:val="12"/>
  </w:num>
  <w:num w:numId="5">
    <w:abstractNumId w:val="9"/>
  </w:num>
  <w:num w:numId="6">
    <w:abstractNumId w:val="4"/>
  </w:num>
  <w:num w:numId="7">
    <w:abstractNumId w:val="10"/>
  </w:num>
  <w:num w:numId="8">
    <w:abstractNumId w:val="10"/>
  </w:num>
  <w:num w:numId="9">
    <w:abstractNumId w:val="8"/>
  </w:num>
  <w:num w:numId="10">
    <w:abstractNumId w:val="10"/>
  </w:num>
  <w:num w:numId="11">
    <w:abstractNumId w:val="11"/>
  </w:num>
  <w:num w:numId="12">
    <w:abstractNumId w:val="2"/>
  </w:num>
  <w:num w:numId="13">
    <w:abstractNumId w:val="10"/>
  </w:num>
  <w:num w:numId="14">
    <w:abstractNumId w:val="5"/>
  </w:num>
  <w:num w:numId="15">
    <w:abstractNumId w:val="17"/>
  </w:num>
  <w:num w:numId="16">
    <w:abstractNumId w:val="18"/>
  </w:num>
  <w:num w:numId="17">
    <w:abstractNumId w:val="14"/>
  </w:num>
  <w:num w:numId="18">
    <w:abstractNumId w:val="3"/>
  </w:num>
  <w:num w:numId="19">
    <w:abstractNumId w:val="0"/>
  </w:num>
  <w:num w:numId="20">
    <w:abstractNumId w:val="6"/>
  </w:num>
  <w:num w:numId="21">
    <w:abstractNumId w:val="19"/>
  </w:num>
  <w:num w:numId="22">
    <w:abstractNumId w:val="13"/>
  </w:num>
  <w:num w:numId="23">
    <w:abstractNumId w:val="7"/>
  </w:num>
  <w:num w:numId="24">
    <w:abstractNumId w:val="20"/>
  </w:num>
  <w:num w:numId="25">
    <w:abstractNumId w:val="15"/>
  </w:num>
  <w:num w:numId="26">
    <w:abstractNumId w:val="21"/>
  </w:num>
  <w:num w:numId="27">
    <w:abstractNumId w:val="16"/>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A28"/>
    <w:rsid w:val="0000110B"/>
    <w:rsid w:val="000011B9"/>
    <w:rsid w:val="00002724"/>
    <w:rsid w:val="00002888"/>
    <w:rsid w:val="000031C7"/>
    <w:rsid w:val="00003499"/>
    <w:rsid w:val="000038D3"/>
    <w:rsid w:val="000039B7"/>
    <w:rsid w:val="00004772"/>
    <w:rsid w:val="00006308"/>
    <w:rsid w:val="00011508"/>
    <w:rsid w:val="00011740"/>
    <w:rsid w:val="00013247"/>
    <w:rsid w:val="000139EF"/>
    <w:rsid w:val="00013A8A"/>
    <w:rsid w:val="00015886"/>
    <w:rsid w:val="000162EF"/>
    <w:rsid w:val="0001686F"/>
    <w:rsid w:val="000178E3"/>
    <w:rsid w:val="00017B53"/>
    <w:rsid w:val="0002022A"/>
    <w:rsid w:val="000213A1"/>
    <w:rsid w:val="0002225F"/>
    <w:rsid w:val="000223E1"/>
    <w:rsid w:val="00023763"/>
    <w:rsid w:val="00025E48"/>
    <w:rsid w:val="00026553"/>
    <w:rsid w:val="00031F14"/>
    <w:rsid w:val="000327F9"/>
    <w:rsid w:val="0003316F"/>
    <w:rsid w:val="0003348A"/>
    <w:rsid w:val="00033652"/>
    <w:rsid w:val="00033863"/>
    <w:rsid w:val="00034B2E"/>
    <w:rsid w:val="00034D06"/>
    <w:rsid w:val="00035531"/>
    <w:rsid w:val="00035DC0"/>
    <w:rsid w:val="00036829"/>
    <w:rsid w:val="00040895"/>
    <w:rsid w:val="000414BC"/>
    <w:rsid w:val="0004342B"/>
    <w:rsid w:val="00043B35"/>
    <w:rsid w:val="00043C37"/>
    <w:rsid w:val="00044DE4"/>
    <w:rsid w:val="00045017"/>
    <w:rsid w:val="0004572E"/>
    <w:rsid w:val="00045A2B"/>
    <w:rsid w:val="00045EAD"/>
    <w:rsid w:val="0004698F"/>
    <w:rsid w:val="00046E58"/>
    <w:rsid w:val="00046FAE"/>
    <w:rsid w:val="0005303A"/>
    <w:rsid w:val="00053942"/>
    <w:rsid w:val="000539D0"/>
    <w:rsid w:val="00054621"/>
    <w:rsid w:val="000546D7"/>
    <w:rsid w:val="00055980"/>
    <w:rsid w:val="00055E40"/>
    <w:rsid w:val="00057DA8"/>
    <w:rsid w:val="00060511"/>
    <w:rsid w:val="00062A3B"/>
    <w:rsid w:val="0006534C"/>
    <w:rsid w:val="00065907"/>
    <w:rsid w:val="00066360"/>
    <w:rsid w:val="000664C3"/>
    <w:rsid w:val="000676D3"/>
    <w:rsid w:val="00067868"/>
    <w:rsid w:val="00067D33"/>
    <w:rsid w:val="0007030F"/>
    <w:rsid w:val="00071248"/>
    <w:rsid w:val="00071A9E"/>
    <w:rsid w:val="000720B9"/>
    <w:rsid w:val="000737F7"/>
    <w:rsid w:val="0007471E"/>
    <w:rsid w:val="0007672F"/>
    <w:rsid w:val="000774F0"/>
    <w:rsid w:val="00077699"/>
    <w:rsid w:val="00080225"/>
    <w:rsid w:val="00080909"/>
    <w:rsid w:val="00080F9E"/>
    <w:rsid w:val="000812CA"/>
    <w:rsid w:val="0008258D"/>
    <w:rsid w:val="00083E99"/>
    <w:rsid w:val="000856C5"/>
    <w:rsid w:val="00086867"/>
    <w:rsid w:val="00090C7E"/>
    <w:rsid w:val="00091C4C"/>
    <w:rsid w:val="00091E23"/>
    <w:rsid w:val="00092600"/>
    <w:rsid w:val="0009262B"/>
    <w:rsid w:val="00092BA5"/>
    <w:rsid w:val="00093310"/>
    <w:rsid w:val="0009445C"/>
    <w:rsid w:val="00094950"/>
    <w:rsid w:val="00095179"/>
    <w:rsid w:val="00095F40"/>
    <w:rsid w:val="00095FE5"/>
    <w:rsid w:val="0009602C"/>
    <w:rsid w:val="00096284"/>
    <w:rsid w:val="000A364E"/>
    <w:rsid w:val="000A4A69"/>
    <w:rsid w:val="000A5987"/>
    <w:rsid w:val="000A6266"/>
    <w:rsid w:val="000A63CB"/>
    <w:rsid w:val="000A6C65"/>
    <w:rsid w:val="000A7D08"/>
    <w:rsid w:val="000B0670"/>
    <w:rsid w:val="000B0E75"/>
    <w:rsid w:val="000B1CC4"/>
    <w:rsid w:val="000B334B"/>
    <w:rsid w:val="000B3E1E"/>
    <w:rsid w:val="000B4295"/>
    <w:rsid w:val="000B465F"/>
    <w:rsid w:val="000B48BD"/>
    <w:rsid w:val="000B6026"/>
    <w:rsid w:val="000B6CAC"/>
    <w:rsid w:val="000B7125"/>
    <w:rsid w:val="000B7612"/>
    <w:rsid w:val="000B7B52"/>
    <w:rsid w:val="000B7D4A"/>
    <w:rsid w:val="000C0ADA"/>
    <w:rsid w:val="000C3882"/>
    <w:rsid w:val="000C3DF9"/>
    <w:rsid w:val="000C4414"/>
    <w:rsid w:val="000C4DA2"/>
    <w:rsid w:val="000C4ECC"/>
    <w:rsid w:val="000C6301"/>
    <w:rsid w:val="000C6713"/>
    <w:rsid w:val="000C7645"/>
    <w:rsid w:val="000D1974"/>
    <w:rsid w:val="000D1BFC"/>
    <w:rsid w:val="000D264B"/>
    <w:rsid w:val="000D281A"/>
    <w:rsid w:val="000D30CE"/>
    <w:rsid w:val="000D326A"/>
    <w:rsid w:val="000D3BCD"/>
    <w:rsid w:val="000D3E59"/>
    <w:rsid w:val="000D4536"/>
    <w:rsid w:val="000D51FB"/>
    <w:rsid w:val="000D577C"/>
    <w:rsid w:val="000D6246"/>
    <w:rsid w:val="000D6A46"/>
    <w:rsid w:val="000D730C"/>
    <w:rsid w:val="000D75F8"/>
    <w:rsid w:val="000D7F61"/>
    <w:rsid w:val="000E0CE5"/>
    <w:rsid w:val="000E135D"/>
    <w:rsid w:val="000E22AF"/>
    <w:rsid w:val="000E27E6"/>
    <w:rsid w:val="000E2FA3"/>
    <w:rsid w:val="000E39B1"/>
    <w:rsid w:val="000E4D20"/>
    <w:rsid w:val="000E4EC1"/>
    <w:rsid w:val="000E598B"/>
    <w:rsid w:val="000E5FB2"/>
    <w:rsid w:val="000F00BA"/>
    <w:rsid w:val="000F316A"/>
    <w:rsid w:val="000F3C74"/>
    <w:rsid w:val="000F4BB8"/>
    <w:rsid w:val="000F7127"/>
    <w:rsid w:val="000F7272"/>
    <w:rsid w:val="000F7ACC"/>
    <w:rsid w:val="0010082B"/>
    <w:rsid w:val="00100F8A"/>
    <w:rsid w:val="001015E0"/>
    <w:rsid w:val="00102222"/>
    <w:rsid w:val="00105AE2"/>
    <w:rsid w:val="00105D7E"/>
    <w:rsid w:val="00106B80"/>
    <w:rsid w:val="00106EB4"/>
    <w:rsid w:val="00107714"/>
    <w:rsid w:val="0011032E"/>
    <w:rsid w:val="001127C9"/>
    <w:rsid w:val="0011348B"/>
    <w:rsid w:val="00113E2E"/>
    <w:rsid w:val="00115982"/>
    <w:rsid w:val="00116476"/>
    <w:rsid w:val="0011656B"/>
    <w:rsid w:val="00116C53"/>
    <w:rsid w:val="00116C68"/>
    <w:rsid w:val="00121799"/>
    <w:rsid w:val="0012186F"/>
    <w:rsid w:val="00122175"/>
    <w:rsid w:val="001222FC"/>
    <w:rsid w:val="00123E22"/>
    <w:rsid w:val="001248AE"/>
    <w:rsid w:val="00124A51"/>
    <w:rsid w:val="00126621"/>
    <w:rsid w:val="001268BA"/>
    <w:rsid w:val="00127B2D"/>
    <w:rsid w:val="001301E9"/>
    <w:rsid w:val="00130706"/>
    <w:rsid w:val="001307DA"/>
    <w:rsid w:val="00130DFF"/>
    <w:rsid w:val="00131D82"/>
    <w:rsid w:val="00131E55"/>
    <w:rsid w:val="00133050"/>
    <w:rsid w:val="00133407"/>
    <w:rsid w:val="001337F6"/>
    <w:rsid w:val="00133BBD"/>
    <w:rsid w:val="00133D36"/>
    <w:rsid w:val="001348D7"/>
    <w:rsid w:val="00135107"/>
    <w:rsid w:val="00135B59"/>
    <w:rsid w:val="00137645"/>
    <w:rsid w:val="0014015A"/>
    <w:rsid w:val="00140E99"/>
    <w:rsid w:val="00144980"/>
    <w:rsid w:val="00145540"/>
    <w:rsid w:val="001456B0"/>
    <w:rsid w:val="00151CA2"/>
    <w:rsid w:val="00152CF4"/>
    <w:rsid w:val="00153636"/>
    <w:rsid w:val="00153D4C"/>
    <w:rsid w:val="00154628"/>
    <w:rsid w:val="00155BE9"/>
    <w:rsid w:val="00157130"/>
    <w:rsid w:val="00157633"/>
    <w:rsid w:val="001576B1"/>
    <w:rsid w:val="0016013A"/>
    <w:rsid w:val="00160A4C"/>
    <w:rsid w:val="00160BA5"/>
    <w:rsid w:val="00160C48"/>
    <w:rsid w:val="00161A03"/>
    <w:rsid w:val="00162913"/>
    <w:rsid w:val="00163EFF"/>
    <w:rsid w:val="001649DE"/>
    <w:rsid w:val="00165634"/>
    <w:rsid w:val="00165A79"/>
    <w:rsid w:val="001661FB"/>
    <w:rsid w:val="001663B5"/>
    <w:rsid w:val="00166AA1"/>
    <w:rsid w:val="0016772C"/>
    <w:rsid w:val="001702F9"/>
    <w:rsid w:val="00171932"/>
    <w:rsid w:val="00171FCD"/>
    <w:rsid w:val="00172988"/>
    <w:rsid w:val="00172EAC"/>
    <w:rsid w:val="00173565"/>
    <w:rsid w:val="00173B07"/>
    <w:rsid w:val="00173BE8"/>
    <w:rsid w:val="00175973"/>
    <w:rsid w:val="001769DD"/>
    <w:rsid w:val="001770BE"/>
    <w:rsid w:val="00181D9C"/>
    <w:rsid w:val="001828FB"/>
    <w:rsid w:val="0018290A"/>
    <w:rsid w:val="00182C72"/>
    <w:rsid w:val="0018330A"/>
    <w:rsid w:val="001854E7"/>
    <w:rsid w:val="00185BEC"/>
    <w:rsid w:val="00186AF2"/>
    <w:rsid w:val="0018752F"/>
    <w:rsid w:val="00187B13"/>
    <w:rsid w:val="00187C49"/>
    <w:rsid w:val="001910AF"/>
    <w:rsid w:val="00192EA4"/>
    <w:rsid w:val="001933BF"/>
    <w:rsid w:val="00195222"/>
    <w:rsid w:val="00195A6D"/>
    <w:rsid w:val="00196BFE"/>
    <w:rsid w:val="001975D8"/>
    <w:rsid w:val="00197662"/>
    <w:rsid w:val="001A0B2C"/>
    <w:rsid w:val="001A260C"/>
    <w:rsid w:val="001A42BD"/>
    <w:rsid w:val="001A43FA"/>
    <w:rsid w:val="001A4607"/>
    <w:rsid w:val="001A462F"/>
    <w:rsid w:val="001A475D"/>
    <w:rsid w:val="001A5145"/>
    <w:rsid w:val="001A59FB"/>
    <w:rsid w:val="001A5C73"/>
    <w:rsid w:val="001A6354"/>
    <w:rsid w:val="001A676C"/>
    <w:rsid w:val="001A70FD"/>
    <w:rsid w:val="001A7AE8"/>
    <w:rsid w:val="001B08DC"/>
    <w:rsid w:val="001B1B24"/>
    <w:rsid w:val="001B204E"/>
    <w:rsid w:val="001B2D4F"/>
    <w:rsid w:val="001B3443"/>
    <w:rsid w:val="001B4894"/>
    <w:rsid w:val="001B4A0F"/>
    <w:rsid w:val="001B4D20"/>
    <w:rsid w:val="001B4F51"/>
    <w:rsid w:val="001B6E7D"/>
    <w:rsid w:val="001C0415"/>
    <w:rsid w:val="001C288A"/>
    <w:rsid w:val="001C2A9B"/>
    <w:rsid w:val="001C369B"/>
    <w:rsid w:val="001C3982"/>
    <w:rsid w:val="001C4299"/>
    <w:rsid w:val="001C42B8"/>
    <w:rsid w:val="001C5F94"/>
    <w:rsid w:val="001C6E66"/>
    <w:rsid w:val="001D2071"/>
    <w:rsid w:val="001D3431"/>
    <w:rsid w:val="001D5699"/>
    <w:rsid w:val="001D598F"/>
    <w:rsid w:val="001E0190"/>
    <w:rsid w:val="001E15C5"/>
    <w:rsid w:val="001E1BFC"/>
    <w:rsid w:val="001E238E"/>
    <w:rsid w:val="001E2483"/>
    <w:rsid w:val="001E2B1E"/>
    <w:rsid w:val="001E30D4"/>
    <w:rsid w:val="001E3125"/>
    <w:rsid w:val="001E325B"/>
    <w:rsid w:val="001E52EB"/>
    <w:rsid w:val="001E61D2"/>
    <w:rsid w:val="001E740C"/>
    <w:rsid w:val="001F0352"/>
    <w:rsid w:val="001F1235"/>
    <w:rsid w:val="001F14A2"/>
    <w:rsid w:val="001F1CB3"/>
    <w:rsid w:val="001F212C"/>
    <w:rsid w:val="001F38B5"/>
    <w:rsid w:val="001F4658"/>
    <w:rsid w:val="001F6053"/>
    <w:rsid w:val="001F68AA"/>
    <w:rsid w:val="001F7361"/>
    <w:rsid w:val="0020105B"/>
    <w:rsid w:val="002011A9"/>
    <w:rsid w:val="002011B0"/>
    <w:rsid w:val="00201E1C"/>
    <w:rsid w:val="002021B5"/>
    <w:rsid w:val="00203181"/>
    <w:rsid w:val="00203783"/>
    <w:rsid w:val="0020385F"/>
    <w:rsid w:val="00203D2C"/>
    <w:rsid w:val="0020549A"/>
    <w:rsid w:val="002059A5"/>
    <w:rsid w:val="00205DE3"/>
    <w:rsid w:val="00207021"/>
    <w:rsid w:val="0020732F"/>
    <w:rsid w:val="00207D00"/>
    <w:rsid w:val="002105C1"/>
    <w:rsid w:val="0021225D"/>
    <w:rsid w:val="002126C6"/>
    <w:rsid w:val="002129AD"/>
    <w:rsid w:val="00212E81"/>
    <w:rsid w:val="0021331F"/>
    <w:rsid w:val="00216F90"/>
    <w:rsid w:val="00217ECD"/>
    <w:rsid w:val="0022176C"/>
    <w:rsid w:val="0022186A"/>
    <w:rsid w:val="0022286A"/>
    <w:rsid w:val="00223B49"/>
    <w:rsid w:val="00224DD4"/>
    <w:rsid w:val="0022612E"/>
    <w:rsid w:val="002275EB"/>
    <w:rsid w:val="0023046B"/>
    <w:rsid w:val="002309CC"/>
    <w:rsid w:val="00230E43"/>
    <w:rsid w:val="0023209F"/>
    <w:rsid w:val="002349CF"/>
    <w:rsid w:val="00234F54"/>
    <w:rsid w:val="00235865"/>
    <w:rsid w:val="0023629D"/>
    <w:rsid w:val="0023678F"/>
    <w:rsid w:val="00236F79"/>
    <w:rsid w:val="00237255"/>
    <w:rsid w:val="002417E6"/>
    <w:rsid w:val="002424AF"/>
    <w:rsid w:val="00242638"/>
    <w:rsid w:val="00242D27"/>
    <w:rsid w:val="002439DC"/>
    <w:rsid w:val="00244622"/>
    <w:rsid w:val="00244DC8"/>
    <w:rsid w:val="00245290"/>
    <w:rsid w:val="00245668"/>
    <w:rsid w:val="00245682"/>
    <w:rsid w:val="002458BA"/>
    <w:rsid w:val="0024636C"/>
    <w:rsid w:val="00247110"/>
    <w:rsid w:val="002475D3"/>
    <w:rsid w:val="00247889"/>
    <w:rsid w:val="00247925"/>
    <w:rsid w:val="002510B7"/>
    <w:rsid w:val="00251E28"/>
    <w:rsid w:val="002522C7"/>
    <w:rsid w:val="002524ED"/>
    <w:rsid w:val="0025372B"/>
    <w:rsid w:val="00254DCF"/>
    <w:rsid w:val="0025534B"/>
    <w:rsid w:val="0025598B"/>
    <w:rsid w:val="00255BB7"/>
    <w:rsid w:val="00257541"/>
    <w:rsid w:val="002578B3"/>
    <w:rsid w:val="002618CB"/>
    <w:rsid w:val="00262A1A"/>
    <w:rsid w:val="00262A87"/>
    <w:rsid w:val="0026392A"/>
    <w:rsid w:val="0026496E"/>
    <w:rsid w:val="00264A89"/>
    <w:rsid w:val="00264B66"/>
    <w:rsid w:val="00264B71"/>
    <w:rsid w:val="00264D26"/>
    <w:rsid w:val="00267642"/>
    <w:rsid w:val="00267AEA"/>
    <w:rsid w:val="002700E6"/>
    <w:rsid w:val="002715BF"/>
    <w:rsid w:val="0027294B"/>
    <w:rsid w:val="0027318C"/>
    <w:rsid w:val="002741BB"/>
    <w:rsid w:val="00275615"/>
    <w:rsid w:val="00275AF9"/>
    <w:rsid w:val="00275C5A"/>
    <w:rsid w:val="00275F3F"/>
    <w:rsid w:val="00277A82"/>
    <w:rsid w:val="00277DDB"/>
    <w:rsid w:val="00280AD8"/>
    <w:rsid w:val="00281014"/>
    <w:rsid w:val="002824A3"/>
    <w:rsid w:val="00284D70"/>
    <w:rsid w:val="002879A0"/>
    <w:rsid w:val="00287A1C"/>
    <w:rsid w:val="002901CD"/>
    <w:rsid w:val="002914F1"/>
    <w:rsid w:val="00291546"/>
    <w:rsid w:val="00293EBE"/>
    <w:rsid w:val="00294F2A"/>
    <w:rsid w:val="0029721E"/>
    <w:rsid w:val="0029783D"/>
    <w:rsid w:val="00297F8C"/>
    <w:rsid w:val="002A14AB"/>
    <w:rsid w:val="002A1738"/>
    <w:rsid w:val="002A1B16"/>
    <w:rsid w:val="002A1C53"/>
    <w:rsid w:val="002A2F50"/>
    <w:rsid w:val="002A3E2A"/>
    <w:rsid w:val="002A52E4"/>
    <w:rsid w:val="002A60C6"/>
    <w:rsid w:val="002A6F2C"/>
    <w:rsid w:val="002B09A4"/>
    <w:rsid w:val="002B0B76"/>
    <w:rsid w:val="002B1633"/>
    <w:rsid w:val="002B1B17"/>
    <w:rsid w:val="002B1C1F"/>
    <w:rsid w:val="002B432F"/>
    <w:rsid w:val="002B5B72"/>
    <w:rsid w:val="002B62B3"/>
    <w:rsid w:val="002B6423"/>
    <w:rsid w:val="002B6754"/>
    <w:rsid w:val="002B6CCE"/>
    <w:rsid w:val="002C0705"/>
    <w:rsid w:val="002C0E7E"/>
    <w:rsid w:val="002C2209"/>
    <w:rsid w:val="002C2510"/>
    <w:rsid w:val="002C2775"/>
    <w:rsid w:val="002C27C1"/>
    <w:rsid w:val="002C437F"/>
    <w:rsid w:val="002C5099"/>
    <w:rsid w:val="002C523F"/>
    <w:rsid w:val="002C5889"/>
    <w:rsid w:val="002C71CE"/>
    <w:rsid w:val="002C7274"/>
    <w:rsid w:val="002C7664"/>
    <w:rsid w:val="002D1035"/>
    <w:rsid w:val="002D243D"/>
    <w:rsid w:val="002D24ED"/>
    <w:rsid w:val="002D48C0"/>
    <w:rsid w:val="002D4EAC"/>
    <w:rsid w:val="002D577C"/>
    <w:rsid w:val="002D6683"/>
    <w:rsid w:val="002E15B9"/>
    <w:rsid w:val="002E181C"/>
    <w:rsid w:val="002E2158"/>
    <w:rsid w:val="002E6BDC"/>
    <w:rsid w:val="002E7722"/>
    <w:rsid w:val="002F07BA"/>
    <w:rsid w:val="002F0DA9"/>
    <w:rsid w:val="002F2C7D"/>
    <w:rsid w:val="002F611E"/>
    <w:rsid w:val="002F643C"/>
    <w:rsid w:val="002F71C0"/>
    <w:rsid w:val="002F7B56"/>
    <w:rsid w:val="002F7ECC"/>
    <w:rsid w:val="00300D99"/>
    <w:rsid w:val="00301017"/>
    <w:rsid w:val="0030135B"/>
    <w:rsid w:val="0030155F"/>
    <w:rsid w:val="00302144"/>
    <w:rsid w:val="00304386"/>
    <w:rsid w:val="003044BB"/>
    <w:rsid w:val="0030587B"/>
    <w:rsid w:val="00306843"/>
    <w:rsid w:val="00306D98"/>
    <w:rsid w:val="003076FA"/>
    <w:rsid w:val="0030786C"/>
    <w:rsid w:val="0031031A"/>
    <w:rsid w:val="00310981"/>
    <w:rsid w:val="00311C2C"/>
    <w:rsid w:val="00314848"/>
    <w:rsid w:val="00314BD8"/>
    <w:rsid w:val="00315498"/>
    <w:rsid w:val="00315829"/>
    <w:rsid w:val="00316A05"/>
    <w:rsid w:val="00322107"/>
    <w:rsid w:val="003222B1"/>
    <w:rsid w:val="00322846"/>
    <w:rsid w:val="0032355E"/>
    <w:rsid w:val="003251D4"/>
    <w:rsid w:val="0032532E"/>
    <w:rsid w:val="00326DA7"/>
    <w:rsid w:val="003270E4"/>
    <w:rsid w:val="003278D3"/>
    <w:rsid w:val="00330563"/>
    <w:rsid w:val="00330F5C"/>
    <w:rsid w:val="003337A8"/>
    <w:rsid w:val="00334222"/>
    <w:rsid w:val="00334716"/>
    <w:rsid w:val="003350C2"/>
    <w:rsid w:val="003366C9"/>
    <w:rsid w:val="003369BC"/>
    <w:rsid w:val="00336DEF"/>
    <w:rsid w:val="003371B0"/>
    <w:rsid w:val="00340DF1"/>
    <w:rsid w:val="00341141"/>
    <w:rsid w:val="00342BFE"/>
    <w:rsid w:val="00347C8B"/>
    <w:rsid w:val="00347D7B"/>
    <w:rsid w:val="003516CE"/>
    <w:rsid w:val="003517F9"/>
    <w:rsid w:val="00351C36"/>
    <w:rsid w:val="00351EBA"/>
    <w:rsid w:val="0035522F"/>
    <w:rsid w:val="00355DE3"/>
    <w:rsid w:val="0035620E"/>
    <w:rsid w:val="00361B7F"/>
    <w:rsid w:val="00361EA5"/>
    <w:rsid w:val="003624C4"/>
    <w:rsid w:val="00365243"/>
    <w:rsid w:val="003654AC"/>
    <w:rsid w:val="00370D15"/>
    <w:rsid w:val="003710CF"/>
    <w:rsid w:val="00371E23"/>
    <w:rsid w:val="00371E72"/>
    <w:rsid w:val="0037358A"/>
    <w:rsid w:val="00374AA7"/>
    <w:rsid w:val="00374BAD"/>
    <w:rsid w:val="00374C38"/>
    <w:rsid w:val="00374D70"/>
    <w:rsid w:val="003750F6"/>
    <w:rsid w:val="00375DFB"/>
    <w:rsid w:val="003760FC"/>
    <w:rsid w:val="0037679B"/>
    <w:rsid w:val="0037681B"/>
    <w:rsid w:val="00377D12"/>
    <w:rsid w:val="003825D5"/>
    <w:rsid w:val="00382A93"/>
    <w:rsid w:val="00383185"/>
    <w:rsid w:val="0038365C"/>
    <w:rsid w:val="0038369B"/>
    <w:rsid w:val="00383B78"/>
    <w:rsid w:val="00383E41"/>
    <w:rsid w:val="00385619"/>
    <w:rsid w:val="00385A9D"/>
    <w:rsid w:val="00386ED0"/>
    <w:rsid w:val="003902B1"/>
    <w:rsid w:val="00391362"/>
    <w:rsid w:val="00396896"/>
    <w:rsid w:val="00396FD0"/>
    <w:rsid w:val="00397EB0"/>
    <w:rsid w:val="003A0B0A"/>
    <w:rsid w:val="003A1A7A"/>
    <w:rsid w:val="003A2392"/>
    <w:rsid w:val="003A2831"/>
    <w:rsid w:val="003A2905"/>
    <w:rsid w:val="003A2FF7"/>
    <w:rsid w:val="003A3ED1"/>
    <w:rsid w:val="003A4304"/>
    <w:rsid w:val="003A46CB"/>
    <w:rsid w:val="003A5469"/>
    <w:rsid w:val="003A63CD"/>
    <w:rsid w:val="003A6CEE"/>
    <w:rsid w:val="003A6CEF"/>
    <w:rsid w:val="003A7D13"/>
    <w:rsid w:val="003B0A72"/>
    <w:rsid w:val="003B1140"/>
    <w:rsid w:val="003B501B"/>
    <w:rsid w:val="003B5547"/>
    <w:rsid w:val="003B5B61"/>
    <w:rsid w:val="003B7E8F"/>
    <w:rsid w:val="003C07D0"/>
    <w:rsid w:val="003C1654"/>
    <w:rsid w:val="003C1CDC"/>
    <w:rsid w:val="003C2458"/>
    <w:rsid w:val="003C30F4"/>
    <w:rsid w:val="003C3528"/>
    <w:rsid w:val="003C381F"/>
    <w:rsid w:val="003C5DA3"/>
    <w:rsid w:val="003C6F59"/>
    <w:rsid w:val="003C735F"/>
    <w:rsid w:val="003C7D19"/>
    <w:rsid w:val="003D111A"/>
    <w:rsid w:val="003D1828"/>
    <w:rsid w:val="003D1C29"/>
    <w:rsid w:val="003D1D89"/>
    <w:rsid w:val="003D1DE4"/>
    <w:rsid w:val="003D22DF"/>
    <w:rsid w:val="003D2422"/>
    <w:rsid w:val="003D2461"/>
    <w:rsid w:val="003D2856"/>
    <w:rsid w:val="003D39A1"/>
    <w:rsid w:val="003D3FBF"/>
    <w:rsid w:val="003D4A30"/>
    <w:rsid w:val="003D67CA"/>
    <w:rsid w:val="003D71E4"/>
    <w:rsid w:val="003D79BB"/>
    <w:rsid w:val="003D7AF6"/>
    <w:rsid w:val="003D7C98"/>
    <w:rsid w:val="003E0543"/>
    <w:rsid w:val="003E0B05"/>
    <w:rsid w:val="003E0B78"/>
    <w:rsid w:val="003E107B"/>
    <w:rsid w:val="003E1D16"/>
    <w:rsid w:val="003E31A8"/>
    <w:rsid w:val="003E32EF"/>
    <w:rsid w:val="003E448A"/>
    <w:rsid w:val="003E4D09"/>
    <w:rsid w:val="003E64A6"/>
    <w:rsid w:val="003E708F"/>
    <w:rsid w:val="003E7295"/>
    <w:rsid w:val="003E7841"/>
    <w:rsid w:val="003E79D1"/>
    <w:rsid w:val="003F0008"/>
    <w:rsid w:val="003F02CE"/>
    <w:rsid w:val="003F4156"/>
    <w:rsid w:val="003F431A"/>
    <w:rsid w:val="003F585C"/>
    <w:rsid w:val="003F5A1F"/>
    <w:rsid w:val="003F6421"/>
    <w:rsid w:val="003F7D3D"/>
    <w:rsid w:val="00400B29"/>
    <w:rsid w:val="004011AA"/>
    <w:rsid w:val="00401BAE"/>
    <w:rsid w:val="00402838"/>
    <w:rsid w:val="00402DF9"/>
    <w:rsid w:val="00404AA8"/>
    <w:rsid w:val="0040504B"/>
    <w:rsid w:val="004061D4"/>
    <w:rsid w:val="00407AB5"/>
    <w:rsid w:val="00410708"/>
    <w:rsid w:val="00410DEC"/>
    <w:rsid w:val="00410EC7"/>
    <w:rsid w:val="00411B39"/>
    <w:rsid w:val="004134FE"/>
    <w:rsid w:val="004137BC"/>
    <w:rsid w:val="00413A1E"/>
    <w:rsid w:val="00414476"/>
    <w:rsid w:val="00414C2E"/>
    <w:rsid w:val="004151CF"/>
    <w:rsid w:val="00416364"/>
    <w:rsid w:val="0041666A"/>
    <w:rsid w:val="00416B5A"/>
    <w:rsid w:val="004206FA"/>
    <w:rsid w:val="00420AA6"/>
    <w:rsid w:val="00420B9F"/>
    <w:rsid w:val="00420CF9"/>
    <w:rsid w:val="00420EDC"/>
    <w:rsid w:val="00420F5B"/>
    <w:rsid w:val="0042181B"/>
    <w:rsid w:val="00422260"/>
    <w:rsid w:val="0042413F"/>
    <w:rsid w:val="00425364"/>
    <w:rsid w:val="00427255"/>
    <w:rsid w:val="00427EBC"/>
    <w:rsid w:val="0043088E"/>
    <w:rsid w:val="004319F8"/>
    <w:rsid w:val="00431D5D"/>
    <w:rsid w:val="00431E55"/>
    <w:rsid w:val="004321F6"/>
    <w:rsid w:val="00432738"/>
    <w:rsid w:val="00432D42"/>
    <w:rsid w:val="00433044"/>
    <w:rsid w:val="0043589C"/>
    <w:rsid w:val="00436A23"/>
    <w:rsid w:val="004375B9"/>
    <w:rsid w:val="00440123"/>
    <w:rsid w:val="004414F4"/>
    <w:rsid w:val="004416C6"/>
    <w:rsid w:val="004428D0"/>
    <w:rsid w:val="00443B01"/>
    <w:rsid w:val="004443A7"/>
    <w:rsid w:val="0044442C"/>
    <w:rsid w:val="00444C6C"/>
    <w:rsid w:val="00445941"/>
    <w:rsid w:val="004464EB"/>
    <w:rsid w:val="00447D26"/>
    <w:rsid w:val="00450C0D"/>
    <w:rsid w:val="00452349"/>
    <w:rsid w:val="00453CF5"/>
    <w:rsid w:val="00455D45"/>
    <w:rsid w:val="00456526"/>
    <w:rsid w:val="0045655B"/>
    <w:rsid w:val="004566B7"/>
    <w:rsid w:val="004569C1"/>
    <w:rsid w:val="00460EDD"/>
    <w:rsid w:val="0046198E"/>
    <w:rsid w:val="004627A6"/>
    <w:rsid w:val="00464595"/>
    <w:rsid w:val="0046551B"/>
    <w:rsid w:val="00467208"/>
    <w:rsid w:val="00470BB5"/>
    <w:rsid w:val="0047122D"/>
    <w:rsid w:val="00471E65"/>
    <w:rsid w:val="0047212B"/>
    <w:rsid w:val="004722D7"/>
    <w:rsid w:val="00472A79"/>
    <w:rsid w:val="00473F19"/>
    <w:rsid w:val="00475E22"/>
    <w:rsid w:val="004773DD"/>
    <w:rsid w:val="0048088E"/>
    <w:rsid w:val="0048245A"/>
    <w:rsid w:val="00482720"/>
    <w:rsid w:val="00482766"/>
    <w:rsid w:val="004835E7"/>
    <w:rsid w:val="00484CAF"/>
    <w:rsid w:val="004851ED"/>
    <w:rsid w:val="004857C0"/>
    <w:rsid w:val="00486610"/>
    <w:rsid w:val="004867E2"/>
    <w:rsid w:val="0049136D"/>
    <w:rsid w:val="00491B3A"/>
    <w:rsid w:val="0049243F"/>
    <w:rsid w:val="00492CFD"/>
    <w:rsid w:val="00493CE0"/>
    <w:rsid w:val="00494604"/>
    <w:rsid w:val="00494DD5"/>
    <w:rsid w:val="004962D2"/>
    <w:rsid w:val="004A036D"/>
    <w:rsid w:val="004A09E3"/>
    <w:rsid w:val="004A0DA1"/>
    <w:rsid w:val="004A1A76"/>
    <w:rsid w:val="004A34E3"/>
    <w:rsid w:val="004A3837"/>
    <w:rsid w:val="004A52E9"/>
    <w:rsid w:val="004A6597"/>
    <w:rsid w:val="004A66F1"/>
    <w:rsid w:val="004A6714"/>
    <w:rsid w:val="004A7523"/>
    <w:rsid w:val="004A7848"/>
    <w:rsid w:val="004B03D0"/>
    <w:rsid w:val="004B133F"/>
    <w:rsid w:val="004B1CB4"/>
    <w:rsid w:val="004B25F4"/>
    <w:rsid w:val="004B29C7"/>
    <w:rsid w:val="004B2C31"/>
    <w:rsid w:val="004B2F18"/>
    <w:rsid w:val="004B30B1"/>
    <w:rsid w:val="004B3DDB"/>
    <w:rsid w:val="004B44FD"/>
    <w:rsid w:val="004B490C"/>
    <w:rsid w:val="004B5CFC"/>
    <w:rsid w:val="004B5D80"/>
    <w:rsid w:val="004B6BC5"/>
    <w:rsid w:val="004B7446"/>
    <w:rsid w:val="004B7571"/>
    <w:rsid w:val="004B774D"/>
    <w:rsid w:val="004B7D90"/>
    <w:rsid w:val="004C0D64"/>
    <w:rsid w:val="004C0FD3"/>
    <w:rsid w:val="004C1644"/>
    <w:rsid w:val="004C1F24"/>
    <w:rsid w:val="004C24AE"/>
    <w:rsid w:val="004C3151"/>
    <w:rsid w:val="004C4609"/>
    <w:rsid w:val="004C4AED"/>
    <w:rsid w:val="004C5F95"/>
    <w:rsid w:val="004D01CC"/>
    <w:rsid w:val="004D112B"/>
    <w:rsid w:val="004D11C9"/>
    <w:rsid w:val="004D2391"/>
    <w:rsid w:val="004D26A0"/>
    <w:rsid w:val="004D2C2D"/>
    <w:rsid w:val="004D3BC5"/>
    <w:rsid w:val="004D3F6E"/>
    <w:rsid w:val="004D68A8"/>
    <w:rsid w:val="004D7227"/>
    <w:rsid w:val="004E0788"/>
    <w:rsid w:val="004E0E7F"/>
    <w:rsid w:val="004E0EB8"/>
    <w:rsid w:val="004E11E1"/>
    <w:rsid w:val="004E2ADC"/>
    <w:rsid w:val="004E3F96"/>
    <w:rsid w:val="004E43B2"/>
    <w:rsid w:val="004E47CE"/>
    <w:rsid w:val="004E5808"/>
    <w:rsid w:val="004E6303"/>
    <w:rsid w:val="004E6459"/>
    <w:rsid w:val="004E6D77"/>
    <w:rsid w:val="004E6E10"/>
    <w:rsid w:val="004F1975"/>
    <w:rsid w:val="004F1CEE"/>
    <w:rsid w:val="004F1D02"/>
    <w:rsid w:val="004F2679"/>
    <w:rsid w:val="004F2EA4"/>
    <w:rsid w:val="004F2F21"/>
    <w:rsid w:val="004F6913"/>
    <w:rsid w:val="004F7435"/>
    <w:rsid w:val="004F7865"/>
    <w:rsid w:val="00501F14"/>
    <w:rsid w:val="0050219B"/>
    <w:rsid w:val="00503195"/>
    <w:rsid w:val="00503735"/>
    <w:rsid w:val="00503BD2"/>
    <w:rsid w:val="00503F17"/>
    <w:rsid w:val="00505C09"/>
    <w:rsid w:val="00506928"/>
    <w:rsid w:val="00514074"/>
    <w:rsid w:val="005152B5"/>
    <w:rsid w:val="005157D5"/>
    <w:rsid w:val="00515960"/>
    <w:rsid w:val="0051701A"/>
    <w:rsid w:val="005172C1"/>
    <w:rsid w:val="00521319"/>
    <w:rsid w:val="005215F0"/>
    <w:rsid w:val="00521FBE"/>
    <w:rsid w:val="00521FCE"/>
    <w:rsid w:val="00522103"/>
    <w:rsid w:val="00522BC8"/>
    <w:rsid w:val="00522C70"/>
    <w:rsid w:val="00523C28"/>
    <w:rsid w:val="00526A89"/>
    <w:rsid w:val="00532764"/>
    <w:rsid w:val="00533C9B"/>
    <w:rsid w:val="00533D78"/>
    <w:rsid w:val="00534C84"/>
    <w:rsid w:val="00536419"/>
    <w:rsid w:val="00536F42"/>
    <w:rsid w:val="00537182"/>
    <w:rsid w:val="00540086"/>
    <w:rsid w:val="00541FDB"/>
    <w:rsid w:val="00542743"/>
    <w:rsid w:val="00542C2D"/>
    <w:rsid w:val="00546A83"/>
    <w:rsid w:val="00546B6D"/>
    <w:rsid w:val="005474D7"/>
    <w:rsid w:val="00551985"/>
    <w:rsid w:val="00551B35"/>
    <w:rsid w:val="00552BD3"/>
    <w:rsid w:val="00554865"/>
    <w:rsid w:val="00554E97"/>
    <w:rsid w:val="00555109"/>
    <w:rsid w:val="00555678"/>
    <w:rsid w:val="00557F64"/>
    <w:rsid w:val="0056004F"/>
    <w:rsid w:val="0056015E"/>
    <w:rsid w:val="00560545"/>
    <w:rsid w:val="005607FC"/>
    <w:rsid w:val="005611EC"/>
    <w:rsid w:val="005628C9"/>
    <w:rsid w:val="00563C24"/>
    <w:rsid w:val="00563C32"/>
    <w:rsid w:val="0056432F"/>
    <w:rsid w:val="005654B6"/>
    <w:rsid w:val="005656EC"/>
    <w:rsid w:val="00566136"/>
    <w:rsid w:val="0056696F"/>
    <w:rsid w:val="005706E0"/>
    <w:rsid w:val="0057145E"/>
    <w:rsid w:val="00571AE0"/>
    <w:rsid w:val="00571EAE"/>
    <w:rsid w:val="00571FC5"/>
    <w:rsid w:val="00572269"/>
    <w:rsid w:val="0057244A"/>
    <w:rsid w:val="00573775"/>
    <w:rsid w:val="005759E8"/>
    <w:rsid w:val="00575D8D"/>
    <w:rsid w:val="00575D96"/>
    <w:rsid w:val="00576972"/>
    <w:rsid w:val="00577D8F"/>
    <w:rsid w:val="005807AA"/>
    <w:rsid w:val="0058105C"/>
    <w:rsid w:val="00581970"/>
    <w:rsid w:val="00581E20"/>
    <w:rsid w:val="0058301A"/>
    <w:rsid w:val="00583520"/>
    <w:rsid w:val="00583699"/>
    <w:rsid w:val="00584516"/>
    <w:rsid w:val="00585CDD"/>
    <w:rsid w:val="00586EC8"/>
    <w:rsid w:val="00587058"/>
    <w:rsid w:val="00587993"/>
    <w:rsid w:val="00590864"/>
    <w:rsid w:val="00591957"/>
    <w:rsid w:val="005926F6"/>
    <w:rsid w:val="00595C37"/>
    <w:rsid w:val="00597B47"/>
    <w:rsid w:val="00597BF9"/>
    <w:rsid w:val="005A3728"/>
    <w:rsid w:val="005A373D"/>
    <w:rsid w:val="005A3E6D"/>
    <w:rsid w:val="005A578E"/>
    <w:rsid w:val="005A63A6"/>
    <w:rsid w:val="005A652D"/>
    <w:rsid w:val="005B0372"/>
    <w:rsid w:val="005B07A4"/>
    <w:rsid w:val="005B108B"/>
    <w:rsid w:val="005B1374"/>
    <w:rsid w:val="005B4E1F"/>
    <w:rsid w:val="005B502E"/>
    <w:rsid w:val="005B55B1"/>
    <w:rsid w:val="005B5857"/>
    <w:rsid w:val="005B7AE9"/>
    <w:rsid w:val="005B7C0D"/>
    <w:rsid w:val="005C0D06"/>
    <w:rsid w:val="005C150E"/>
    <w:rsid w:val="005C1B83"/>
    <w:rsid w:val="005C2D55"/>
    <w:rsid w:val="005C346B"/>
    <w:rsid w:val="005C3F43"/>
    <w:rsid w:val="005C40FC"/>
    <w:rsid w:val="005C413D"/>
    <w:rsid w:val="005C63D7"/>
    <w:rsid w:val="005C6C36"/>
    <w:rsid w:val="005D044D"/>
    <w:rsid w:val="005D0ABD"/>
    <w:rsid w:val="005D18AD"/>
    <w:rsid w:val="005D197A"/>
    <w:rsid w:val="005D26B4"/>
    <w:rsid w:val="005D2A00"/>
    <w:rsid w:val="005D380B"/>
    <w:rsid w:val="005E3CDF"/>
    <w:rsid w:val="005E4CC5"/>
    <w:rsid w:val="005E62A1"/>
    <w:rsid w:val="005E6CBC"/>
    <w:rsid w:val="005E6F6D"/>
    <w:rsid w:val="005E7245"/>
    <w:rsid w:val="005E73C0"/>
    <w:rsid w:val="005F0C26"/>
    <w:rsid w:val="005F2706"/>
    <w:rsid w:val="005F308C"/>
    <w:rsid w:val="005F33D5"/>
    <w:rsid w:val="005F36C6"/>
    <w:rsid w:val="005F6A8F"/>
    <w:rsid w:val="006004BB"/>
    <w:rsid w:val="006007AE"/>
    <w:rsid w:val="006008AA"/>
    <w:rsid w:val="006018D1"/>
    <w:rsid w:val="00601C56"/>
    <w:rsid w:val="00603DB9"/>
    <w:rsid w:val="00605DFD"/>
    <w:rsid w:val="00606E32"/>
    <w:rsid w:val="006073B3"/>
    <w:rsid w:val="00607669"/>
    <w:rsid w:val="00607875"/>
    <w:rsid w:val="00607AFD"/>
    <w:rsid w:val="00612447"/>
    <w:rsid w:val="00612F97"/>
    <w:rsid w:val="0061345D"/>
    <w:rsid w:val="006136A0"/>
    <w:rsid w:val="00616802"/>
    <w:rsid w:val="00617E12"/>
    <w:rsid w:val="006209EE"/>
    <w:rsid w:val="00621477"/>
    <w:rsid w:val="00622006"/>
    <w:rsid w:val="00624164"/>
    <w:rsid w:val="00625C8C"/>
    <w:rsid w:val="006302E1"/>
    <w:rsid w:val="006304BE"/>
    <w:rsid w:val="0063158F"/>
    <w:rsid w:val="00631D6B"/>
    <w:rsid w:val="00632841"/>
    <w:rsid w:val="006330A1"/>
    <w:rsid w:val="0063479F"/>
    <w:rsid w:val="006353F0"/>
    <w:rsid w:val="006357A7"/>
    <w:rsid w:val="00635B6E"/>
    <w:rsid w:val="006364A1"/>
    <w:rsid w:val="00637AEC"/>
    <w:rsid w:val="00637B31"/>
    <w:rsid w:val="00637BFD"/>
    <w:rsid w:val="006404C1"/>
    <w:rsid w:val="00640946"/>
    <w:rsid w:val="006415D9"/>
    <w:rsid w:val="00641C4E"/>
    <w:rsid w:val="00645503"/>
    <w:rsid w:val="00645959"/>
    <w:rsid w:val="00645E48"/>
    <w:rsid w:val="00646064"/>
    <w:rsid w:val="006471CC"/>
    <w:rsid w:val="006478D0"/>
    <w:rsid w:val="00647DEC"/>
    <w:rsid w:val="0065079F"/>
    <w:rsid w:val="0065216D"/>
    <w:rsid w:val="0065379F"/>
    <w:rsid w:val="006553F7"/>
    <w:rsid w:val="0065595C"/>
    <w:rsid w:val="0065661A"/>
    <w:rsid w:val="0065790B"/>
    <w:rsid w:val="00661C6B"/>
    <w:rsid w:val="00662E2A"/>
    <w:rsid w:val="00664C7B"/>
    <w:rsid w:val="0067061C"/>
    <w:rsid w:val="00671AE1"/>
    <w:rsid w:val="006731AB"/>
    <w:rsid w:val="00674017"/>
    <w:rsid w:val="006740ED"/>
    <w:rsid w:val="00674E24"/>
    <w:rsid w:val="00674E42"/>
    <w:rsid w:val="00675251"/>
    <w:rsid w:val="00676D9C"/>
    <w:rsid w:val="00680DF9"/>
    <w:rsid w:val="00682112"/>
    <w:rsid w:val="00684EB8"/>
    <w:rsid w:val="00686957"/>
    <w:rsid w:val="006872BA"/>
    <w:rsid w:val="00687752"/>
    <w:rsid w:val="00687F0B"/>
    <w:rsid w:val="0069097B"/>
    <w:rsid w:val="00691648"/>
    <w:rsid w:val="006917D7"/>
    <w:rsid w:val="00691F7D"/>
    <w:rsid w:val="006920F9"/>
    <w:rsid w:val="006925F8"/>
    <w:rsid w:val="00694F44"/>
    <w:rsid w:val="00694FFC"/>
    <w:rsid w:val="006975D5"/>
    <w:rsid w:val="006A1582"/>
    <w:rsid w:val="006A1DC7"/>
    <w:rsid w:val="006A21A0"/>
    <w:rsid w:val="006A4AFE"/>
    <w:rsid w:val="006A7AE8"/>
    <w:rsid w:val="006A7B69"/>
    <w:rsid w:val="006A7E5F"/>
    <w:rsid w:val="006B261B"/>
    <w:rsid w:val="006B2C90"/>
    <w:rsid w:val="006B5D46"/>
    <w:rsid w:val="006B68D9"/>
    <w:rsid w:val="006B6DD0"/>
    <w:rsid w:val="006B74CE"/>
    <w:rsid w:val="006C0269"/>
    <w:rsid w:val="006C233C"/>
    <w:rsid w:val="006C298F"/>
    <w:rsid w:val="006C2A8E"/>
    <w:rsid w:val="006C2EBB"/>
    <w:rsid w:val="006C342A"/>
    <w:rsid w:val="006C349E"/>
    <w:rsid w:val="006C3EDC"/>
    <w:rsid w:val="006C4123"/>
    <w:rsid w:val="006C460C"/>
    <w:rsid w:val="006C73B8"/>
    <w:rsid w:val="006C7B85"/>
    <w:rsid w:val="006D02C7"/>
    <w:rsid w:val="006D0EAA"/>
    <w:rsid w:val="006D2F8C"/>
    <w:rsid w:val="006D3C7D"/>
    <w:rsid w:val="006D4B59"/>
    <w:rsid w:val="006D5D5F"/>
    <w:rsid w:val="006D7DD5"/>
    <w:rsid w:val="006E1B47"/>
    <w:rsid w:val="006E341D"/>
    <w:rsid w:val="006E4A4E"/>
    <w:rsid w:val="006E5604"/>
    <w:rsid w:val="006E5BE4"/>
    <w:rsid w:val="006E6D6F"/>
    <w:rsid w:val="006E74E2"/>
    <w:rsid w:val="006F0B18"/>
    <w:rsid w:val="006F0B19"/>
    <w:rsid w:val="006F1584"/>
    <w:rsid w:val="006F306C"/>
    <w:rsid w:val="006F4D4E"/>
    <w:rsid w:val="006F4E67"/>
    <w:rsid w:val="006F4ED8"/>
    <w:rsid w:val="006F5510"/>
    <w:rsid w:val="006F5580"/>
    <w:rsid w:val="006F63A5"/>
    <w:rsid w:val="006F7B04"/>
    <w:rsid w:val="0070142B"/>
    <w:rsid w:val="00701973"/>
    <w:rsid w:val="0070276E"/>
    <w:rsid w:val="00702775"/>
    <w:rsid w:val="00702F8F"/>
    <w:rsid w:val="00702FA6"/>
    <w:rsid w:val="00703BB0"/>
    <w:rsid w:val="00703F9C"/>
    <w:rsid w:val="00704F06"/>
    <w:rsid w:val="00705C19"/>
    <w:rsid w:val="007068BB"/>
    <w:rsid w:val="00706AF6"/>
    <w:rsid w:val="0070796F"/>
    <w:rsid w:val="00707D00"/>
    <w:rsid w:val="00710218"/>
    <w:rsid w:val="00710908"/>
    <w:rsid w:val="00711A36"/>
    <w:rsid w:val="007134AD"/>
    <w:rsid w:val="00713762"/>
    <w:rsid w:val="007139C4"/>
    <w:rsid w:val="0071529C"/>
    <w:rsid w:val="00715A28"/>
    <w:rsid w:val="007172AD"/>
    <w:rsid w:val="007174BF"/>
    <w:rsid w:val="007202B7"/>
    <w:rsid w:val="00722B1B"/>
    <w:rsid w:val="0072416F"/>
    <w:rsid w:val="00724E22"/>
    <w:rsid w:val="007255E8"/>
    <w:rsid w:val="00725915"/>
    <w:rsid w:val="00725C4F"/>
    <w:rsid w:val="00727C94"/>
    <w:rsid w:val="00727DF0"/>
    <w:rsid w:val="00730DA0"/>
    <w:rsid w:val="007318AE"/>
    <w:rsid w:val="00731EAE"/>
    <w:rsid w:val="007324B8"/>
    <w:rsid w:val="00733DB7"/>
    <w:rsid w:val="007343E5"/>
    <w:rsid w:val="00735033"/>
    <w:rsid w:val="00735328"/>
    <w:rsid w:val="0073685B"/>
    <w:rsid w:val="00736E88"/>
    <w:rsid w:val="007379CE"/>
    <w:rsid w:val="007477DF"/>
    <w:rsid w:val="00747ED8"/>
    <w:rsid w:val="00750E19"/>
    <w:rsid w:val="00751CB7"/>
    <w:rsid w:val="00752142"/>
    <w:rsid w:val="007523F9"/>
    <w:rsid w:val="00754BB2"/>
    <w:rsid w:val="0075507D"/>
    <w:rsid w:val="00755BF9"/>
    <w:rsid w:val="00755CAC"/>
    <w:rsid w:val="0075679D"/>
    <w:rsid w:val="007573E8"/>
    <w:rsid w:val="007576DA"/>
    <w:rsid w:val="00760C4E"/>
    <w:rsid w:val="007633D1"/>
    <w:rsid w:val="00764890"/>
    <w:rsid w:val="00765B1A"/>
    <w:rsid w:val="00767A6D"/>
    <w:rsid w:val="00773AF1"/>
    <w:rsid w:val="00776610"/>
    <w:rsid w:val="007773EA"/>
    <w:rsid w:val="0078128B"/>
    <w:rsid w:val="00781491"/>
    <w:rsid w:val="007843F2"/>
    <w:rsid w:val="00786798"/>
    <w:rsid w:val="00790C08"/>
    <w:rsid w:val="00793D8D"/>
    <w:rsid w:val="00797C0B"/>
    <w:rsid w:val="007A008F"/>
    <w:rsid w:val="007A0112"/>
    <w:rsid w:val="007A0386"/>
    <w:rsid w:val="007A0A12"/>
    <w:rsid w:val="007A12C6"/>
    <w:rsid w:val="007A132D"/>
    <w:rsid w:val="007A1947"/>
    <w:rsid w:val="007A5DF6"/>
    <w:rsid w:val="007A78A4"/>
    <w:rsid w:val="007A7F12"/>
    <w:rsid w:val="007B0D68"/>
    <w:rsid w:val="007B1134"/>
    <w:rsid w:val="007B1E45"/>
    <w:rsid w:val="007B251D"/>
    <w:rsid w:val="007B3A86"/>
    <w:rsid w:val="007B4F58"/>
    <w:rsid w:val="007B528D"/>
    <w:rsid w:val="007B5DA8"/>
    <w:rsid w:val="007B69BB"/>
    <w:rsid w:val="007B6D6D"/>
    <w:rsid w:val="007B711E"/>
    <w:rsid w:val="007B77D1"/>
    <w:rsid w:val="007C1CD9"/>
    <w:rsid w:val="007C29FB"/>
    <w:rsid w:val="007C2A37"/>
    <w:rsid w:val="007C361D"/>
    <w:rsid w:val="007C3B34"/>
    <w:rsid w:val="007C4949"/>
    <w:rsid w:val="007C4B84"/>
    <w:rsid w:val="007C4E9A"/>
    <w:rsid w:val="007C5DCE"/>
    <w:rsid w:val="007D004F"/>
    <w:rsid w:val="007D0B38"/>
    <w:rsid w:val="007D1F15"/>
    <w:rsid w:val="007D3000"/>
    <w:rsid w:val="007D5440"/>
    <w:rsid w:val="007D5867"/>
    <w:rsid w:val="007D592B"/>
    <w:rsid w:val="007D66B6"/>
    <w:rsid w:val="007D79E6"/>
    <w:rsid w:val="007D7EE3"/>
    <w:rsid w:val="007E04D9"/>
    <w:rsid w:val="007E2A83"/>
    <w:rsid w:val="007E2E7D"/>
    <w:rsid w:val="007E3989"/>
    <w:rsid w:val="007E4A8F"/>
    <w:rsid w:val="007E4AD0"/>
    <w:rsid w:val="007E4E90"/>
    <w:rsid w:val="007E511F"/>
    <w:rsid w:val="007E54A1"/>
    <w:rsid w:val="007E5D23"/>
    <w:rsid w:val="007E6DA7"/>
    <w:rsid w:val="007E74BF"/>
    <w:rsid w:val="007E7E21"/>
    <w:rsid w:val="007E7E48"/>
    <w:rsid w:val="007F050F"/>
    <w:rsid w:val="007F1017"/>
    <w:rsid w:val="007F2234"/>
    <w:rsid w:val="007F3554"/>
    <w:rsid w:val="007F3EB0"/>
    <w:rsid w:val="007F4372"/>
    <w:rsid w:val="007F4A3F"/>
    <w:rsid w:val="007F4A61"/>
    <w:rsid w:val="007F5AC5"/>
    <w:rsid w:val="007F61C2"/>
    <w:rsid w:val="007F63FE"/>
    <w:rsid w:val="007F71B7"/>
    <w:rsid w:val="008016A6"/>
    <w:rsid w:val="00802E93"/>
    <w:rsid w:val="008030E9"/>
    <w:rsid w:val="00803359"/>
    <w:rsid w:val="00803B45"/>
    <w:rsid w:val="00803FAC"/>
    <w:rsid w:val="008041F2"/>
    <w:rsid w:val="00805142"/>
    <w:rsid w:val="008066F8"/>
    <w:rsid w:val="00806DED"/>
    <w:rsid w:val="00807386"/>
    <w:rsid w:val="00807A8B"/>
    <w:rsid w:val="0081008A"/>
    <w:rsid w:val="0081041F"/>
    <w:rsid w:val="00811383"/>
    <w:rsid w:val="008117B7"/>
    <w:rsid w:val="00812149"/>
    <w:rsid w:val="00812CAC"/>
    <w:rsid w:val="00813801"/>
    <w:rsid w:val="008151C1"/>
    <w:rsid w:val="00815C7F"/>
    <w:rsid w:val="008166EF"/>
    <w:rsid w:val="0082007C"/>
    <w:rsid w:val="00821389"/>
    <w:rsid w:val="00824427"/>
    <w:rsid w:val="00824DD5"/>
    <w:rsid w:val="00825751"/>
    <w:rsid w:val="008264EB"/>
    <w:rsid w:val="00827079"/>
    <w:rsid w:val="0082720C"/>
    <w:rsid w:val="00830940"/>
    <w:rsid w:val="00830FEB"/>
    <w:rsid w:val="0083218F"/>
    <w:rsid w:val="008337C5"/>
    <w:rsid w:val="00833B05"/>
    <w:rsid w:val="00835542"/>
    <w:rsid w:val="008362B4"/>
    <w:rsid w:val="00836C33"/>
    <w:rsid w:val="00836D9B"/>
    <w:rsid w:val="00837863"/>
    <w:rsid w:val="00840CA2"/>
    <w:rsid w:val="008413EE"/>
    <w:rsid w:val="008415D0"/>
    <w:rsid w:val="008433FD"/>
    <w:rsid w:val="00843490"/>
    <w:rsid w:val="0084374F"/>
    <w:rsid w:val="00846C68"/>
    <w:rsid w:val="00847DF5"/>
    <w:rsid w:val="00851BEB"/>
    <w:rsid w:val="00851E58"/>
    <w:rsid w:val="0085309D"/>
    <w:rsid w:val="00856897"/>
    <w:rsid w:val="00856E9A"/>
    <w:rsid w:val="00857130"/>
    <w:rsid w:val="00857C06"/>
    <w:rsid w:val="0086075D"/>
    <w:rsid w:val="008621EA"/>
    <w:rsid w:val="00862502"/>
    <w:rsid w:val="008660D4"/>
    <w:rsid w:val="008666A9"/>
    <w:rsid w:val="00871FA9"/>
    <w:rsid w:val="0087277E"/>
    <w:rsid w:val="008728D8"/>
    <w:rsid w:val="008728E9"/>
    <w:rsid w:val="0087498E"/>
    <w:rsid w:val="00875CFA"/>
    <w:rsid w:val="008814CF"/>
    <w:rsid w:val="00882874"/>
    <w:rsid w:val="0088371C"/>
    <w:rsid w:val="00883787"/>
    <w:rsid w:val="008853C7"/>
    <w:rsid w:val="008853ED"/>
    <w:rsid w:val="00886CD2"/>
    <w:rsid w:val="00891AA3"/>
    <w:rsid w:val="0089228C"/>
    <w:rsid w:val="00892A36"/>
    <w:rsid w:val="00892FAA"/>
    <w:rsid w:val="00893239"/>
    <w:rsid w:val="008933B8"/>
    <w:rsid w:val="0089374C"/>
    <w:rsid w:val="00894489"/>
    <w:rsid w:val="008951CB"/>
    <w:rsid w:val="0089615E"/>
    <w:rsid w:val="008963A5"/>
    <w:rsid w:val="00896762"/>
    <w:rsid w:val="00897741"/>
    <w:rsid w:val="008A0972"/>
    <w:rsid w:val="008A1542"/>
    <w:rsid w:val="008A3363"/>
    <w:rsid w:val="008A3371"/>
    <w:rsid w:val="008A3906"/>
    <w:rsid w:val="008A3C3E"/>
    <w:rsid w:val="008A418C"/>
    <w:rsid w:val="008A4A69"/>
    <w:rsid w:val="008A4BAA"/>
    <w:rsid w:val="008A5E75"/>
    <w:rsid w:val="008A79DE"/>
    <w:rsid w:val="008A7FD9"/>
    <w:rsid w:val="008B0467"/>
    <w:rsid w:val="008B1757"/>
    <w:rsid w:val="008B2A7F"/>
    <w:rsid w:val="008B4A52"/>
    <w:rsid w:val="008B7BFD"/>
    <w:rsid w:val="008B7D7E"/>
    <w:rsid w:val="008C098F"/>
    <w:rsid w:val="008C26D3"/>
    <w:rsid w:val="008C2E5F"/>
    <w:rsid w:val="008C3290"/>
    <w:rsid w:val="008C7ECB"/>
    <w:rsid w:val="008D08BF"/>
    <w:rsid w:val="008D0E39"/>
    <w:rsid w:val="008D2879"/>
    <w:rsid w:val="008D3796"/>
    <w:rsid w:val="008D4755"/>
    <w:rsid w:val="008D4C3D"/>
    <w:rsid w:val="008D7C26"/>
    <w:rsid w:val="008E0CE2"/>
    <w:rsid w:val="008E0D3C"/>
    <w:rsid w:val="008E1B9E"/>
    <w:rsid w:val="008E3333"/>
    <w:rsid w:val="008E377D"/>
    <w:rsid w:val="008E4634"/>
    <w:rsid w:val="008E5454"/>
    <w:rsid w:val="008E5592"/>
    <w:rsid w:val="008E55AB"/>
    <w:rsid w:val="008E6458"/>
    <w:rsid w:val="008E7E59"/>
    <w:rsid w:val="008F120A"/>
    <w:rsid w:val="008F20E4"/>
    <w:rsid w:val="008F20F4"/>
    <w:rsid w:val="008F27E0"/>
    <w:rsid w:val="008F38C8"/>
    <w:rsid w:val="008F38E3"/>
    <w:rsid w:val="008F48EB"/>
    <w:rsid w:val="008F4939"/>
    <w:rsid w:val="008F4F0B"/>
    <w:rsid w:val="008F4F3B"/>
    <w:rsid w:val="00900992"/>
    <w:rsid w:val="009029FC"/>
    <w:rsid w:val="00902CFD"/>
    <w:rsid w:val="00903021"/>
    <w:rsid w:val="009046C4"/>
    <w:rsid w:val="00905B22"/>
    <w:rsid w:val="009062A5"/>
    <w:rsid w:val="00906852"/>
    <w:rsid w:val="00907339"/>
    <w:rsid w:val="00910347"/>
    <w:rsid w:val="00910DB6"/>
    <w:rsid w:val="00911272"/>
    <w:rsid w:val="009135D6"/>
    <w:rsid w:val="00913BEC"/>
    <w:rsid w:val="009149A1"/>
    <w:rsid w:val="009149DC"/>
    <w:rsid w:val="00914C77"/>
    <w:rsid w:val="00920505"/>
    <w:rsid w:val="0092369B"/>
    <w:rsid w:val="00925AAD"/>
    <w:rsid w:val="00926E3F"/>
    <w:rsid w:val="0092705E"/>
    <w:rsid w:val="00931361"/>
    <w:rsid w:val="0093195B"/>
    <w:rsid w:val="00931CE7"/>
    <w:rsid w:val="00934185"/>
    <w:rsid w:val="00934BAB"/>
    <w:rsid w:val="00936378"/>
    <w:rsid w:val="00936946"/>
    <w:rsid w:val="00936AA5"/>
    <w:rsid w:val="00940560"/>
    <w:rsid w:val="00941995"/>
    <w:rsid w:val="00942180"/>
    <w:rsid w:val="0094261D"/>
    <w:rsid w:val="00947164"/>
    <w:rsid w:val="0094754A"/>
    <w:rsid w:val="0094766E"/>
    <w:rsid w:val="009510A2"/>
    <w:rsid w:val="00952B2E"/>
    <w:rsid w:val="00953257"/>
    <w:rsid w:val="00953CC5"/>
    <w:rsid w:val="00954F32"/>
    <w:rsid w:val="00956928"/>
    <w:rsid w:val="00956D71"/>
    <w:rsid w:val="00956F2A"/>
    <w:rsid w:val="00957FC8"/>
    <w:rsid w:val="009602B1"/>
    <w:rsid w:val="009605C4"/>
    <w:rsid w:val="0096142D"/>
    <w:rsid w:val="00961893"/>
    <w:rsid w:val="00962CB9"/>
    <w:rsid w:val="00962D1E"/>
    <w:rsid w:val="00962DEC"/>
    <w:rsid w:val="009640BB"/>
    <w:rsid w:val="00964312"/>
    <w:rsid w:val="00965B8A"/>
    <w:rsid w:val="00966EED"/>
    <w:rsid w:val="00967337"/>
    <w:rsid w:val="00967BFD"/>
    <w:rsid w:val="0097034F"/>
    <w:rsid w:val="009706CC"/>
    <w:rsid w:val="00970A55"/>
    <w:rsid w:val="009717AC"/>
    <w:rsid w:val="00972D3F"/>
    <w:rsid w:val="009743A2"/>
    <w:rsid w:val="00974F71"/>
    <w:rsid w:val="00975411"/>
    <w:rsid w:val="0098030F"/>
    <w:rsid w:val="00980361"/>
    <w:rsid w:val="00981C97"/>
    <w:rsid w:val="00983E57"/>
    <w:rsid w:val="0098675D"/>
    <w:rsid w:val="00990B1E"/>
    <w:rsid w:val="00995BA0"/>
    <w:rsid w:val="00996B1A"/>
    <w:rsid w:val="009A183A"/>
    <w:rsid w:val="009A254C"/>
    <w:rsid w:val="009A2F78"/>
    <w:rsid w:val="009A35AF"/>
    <w:rsid w:val="009A3B2A"/>
    <w:rsid w:val="009A50C6"/>
    <w:rsid w:val="009A659C"/>
    <w:rsid w:val="009A7F10"/>
    <w:rsid w:val="009B03C8"/>
    <w:rsid w:val="009B1C7B"/>
    <w:rsid w:val="009B30E7"/>
    <w:rsid w:val="009B3E26"/>
    <w:rsid w:val="009B4328"/>
    <w:rsid w:val="009B5F05"/>
    <w:rsid w:val="009B6463"/>
    <w:rsid w:val="009B7193"/>
    <w:rsid w:val="009C09F7"/>
    <w:rsid w:val="009C16D4"/>
    <w:rsid w:val="009C1DCB"/>
    <w:rsid w:val="009C2B02"/>
    <w:rsid w:val="009C2F1D"/>
    <w:rsid w:val="009C4818"/>
    <w:rsid w:val="009C5A64"/>
    <w:rsid w:val="009C5F03"/>
    <w:rsid w:val="009C6CEA"/>
    <w:rsid w:val="009C7B85"/>
    <w:rsid w:val="009D4262"/>
    <w:rsid w:val="009D5077"/>
    <w:rsid w:val="009D5B91"/>
    <w:rsid w:val="009D766D"/>
    <w:rsid w:val="009D792E"/>
    <w:rsid w:val="009E096F"/>
    <w:rsid w:val="009E0DFE"/>
    <w:rsid w:val="009E1646"/>
    <w:rsid w:val="009E1846"/>
    <w:rsid w:val="009E31ED"/>
    <w:rsid w:val="009E3B70"/>
    <w:rsid w:val="009E40A4"/>
    <w:rsid w:val="009E4C07"/>
    <w:rsid w:val="009E543D"/>
    <w:rsid w:val="009E5A60"/>
    <w:rsid w:val="009E629A"/>
    <w:rsid w:val="009E64C2"/>
    <w:rsid w:val="009E665E"/>
    <w:rsid w:val="009E6FD3"/>
    <w:rsid w:val="009E7F1A"/>
    <w:rsid w:val="009F1035"/>
    <w:rsid w:val="009F12CD"/>
    <w:rsid w:val="009F1BEB"/>
    <w:rsid w:val="009F23E9"/>
    <w:rsid w:val="009F3F22"/>
    <w:rsid w:val="009F3FCB"/>
    <w:rsid w:val="009F4C36"/>
    <w:rsid w:val="009F660B"/>
    <w:rsid w:val="009F68F9"/>
    <w:rsid w:val="009F6F62"/>
    <w:rsid w:val="00A004AA"/>
    <w:rsid w:val="00A00AE3"/>
    <w:rsid w:val="00A01184"/>
    <w:rsid w:val="00A026FC"/>
    <w:rsid w:val="00A03D43"/>
    <w:rsid w:val="00A04312"/>
    <w:rsid w:val="00A04380"/>
    <w:rsid w:val="00A04625"/>
    <w:rsid w:val="00A046E6"/>
    <w:rsid w:val="00A06453"/>
    <w:rsid w:val="00A06EBD"/>
    <w:rsid w:val="00A116F6"/>
    <w:rsid w:val="00A11CD0"/>
    <w:rsid w:val="00A12BFA"/>
    <w:rsid w:val="00A13948"/>
    <w:rsid w:val="00A14FBF"/>
    <w:rsid w:val="00A1555B"/>
    <w:rsid w:val="00A155C5"/>
    <w:rsid w:val="00A16AD8"/>
    <w:rsid w:val="00A16E76"/>
    <w:rsid w:val="00A176DB"/>
    <w:rsid w:val="00A209E4"/>
    <w:rsid w:val="00A21CF3"/>
    <w:rsid w:val="00A21E73"/>
    <w:rsid w:val="00A2299C"/>
    <w:rsid w:val="00A24DCF"/>
    <w:rsid w:val="00A257C6"/>
    <w:rsid w:val="00A27AEC"/>
    <w:rsid w:val="00A311E3"/>
    <w:rsid w:val="00A320DB"/>
    <w:rsid w:val="00A330BA"/>
    <w:rsid w:val="00A338B6"/>
    <w:rsid w:val="00A35D16"/>
    <w:rsid w:val="00A3649A"/>
    <w:rsid w:val="00A3758E"/>
    <w:rsid w:val="00A37BCD"/>
    <w:rsid w:val="00A37E5A"/>
    <w:rsid w:val="00A422F8"/>
    <w:rsid w:val="00A43C59"/>
    <w:rsid w:val="00A43CED"/>
    <w:rsid w:val="00A46BE2"/>
    <w:rsid w:val="00A47268"/>
    <w:rsid w:val="00A50BB8"/>
    <w:rsid w:val="00A50ECD"/>
    <w:rsid w:val="00A518F3"/>
    <w:rsid w:val="00A52729"/>
    <w:rsid w:val="00A52754"/>
    <w:rsid w:val="00A53675"/>
    <w:rsid w:val="00A53D4C"/>
    <w:rsid w:val="00A547D0"/>
    <w:rsid w:val="00A564D7"/>
    <w:rsid w:val="00A56679"/>
    <w:rsid w:val="00A56B6A"/>
    <w:rsid w:val="00A56BF2"/>
    <w:rsid w:val="00A578DC"/>
    <w:rsid w:val="00A614D1"/>
    <w:rsid w:val="00A632EF"/>
    <w:rsid w:val="00A64153"/>
    <w:rsid w:val="00A64FB3"/>
    <w:rsid w:val="00A65575"/>
    <w:rsid w:val="00A6725B"/>
    <w:rsid w:val="00A70605"/>
    <w:rsid w:val="00A70B5C"/>
    <w:rsid w:val="00A718E9"/>
    <w:rsid w:val="00A73061"/>
    <w:rsid w:val="00A73134"/>
    <w:rsid w:val="00A7399F"/>
    <w:rsid w:val="00A739BB"/>
    <w:rsid w:val="00A74194"/>
    <w:rsid w:val="00A751DC"/>
    <w:rsid w:val="00A772DD"/>
    <w:rsid w:val="00A777B2"/>
    <w:rsid w:val="00A77F7F"/>
    <w:rsid w:val="00A80024"/>
    <w:rsid w:val="00A80905"/>
    <w:rsid w:val="00A80B5A"/>
    <w:rsid w:val="00A812F3"/>
    <w:rsid w:val="00A83226"/>
    <w:rsid w:val="00A86E8B"/>
    <w:rsid w:val="00A87164"/>
    <w:rsid w:val="00A906CD"/>
    <w:rsid w:val="00A91DE9"/>
    <w:rsid w:val="00A92CAA"/>
    <w:rsid w:val="00A93072"/>
    <w:rsid w:val="00A932FC"/>
    <w:rsid w:val="00A93953"/>
    <w:rsid w:val="00A95932"/>
    <w:rsid w:val="00A959D8"/>
    <w:rsid w:val="00AA113D"/>
    <w:rsid w:val="00AA2264"/>
    <w:rsid w:val="00AA22F6"/>
    <w:rsid w:val="00AA4398"/>
    <w:rsid w:val="00AA6C7D"/>
    <w:rsid w:val="00AA7FD6"/>
    <w:rsid w:val="00AB042A"/>
    <w:rsid w:val="00AB0FEA"/>
    <w:rsid w:val="00AB1CA3"/>
    <w:rsid w:val="00AB1DC7"/>
    <w:rsid w:val="00AB20F4"/>
    <w:rsid w:val="00AB2D34"/>
    <w:rsid w:val="00AB3430"/>
    <w:rsid w:val="00AB4AD1"/>
    <w:rsid w:val="00AB5041"/>
    <w:rsid w:val="00AB7CFA"/>
    <w:rsid w:val="00AC5B48"/>
    <w:rsid w:val="00AC614A"/>
    <w:rsid w:val="00AC6DA5"/>
    <w:rsid w:val="00AC6E05"/>
    <w:rsid w:val="00AD04B6"/>
    <w:rsid w:val="00AD24D6"/>
    <w:rsid w:val="00AD45C7"/>
    <w:rsid w:val="00AD6502"/>
    <w:rsid w:val="00AD7C76"/>
    <w:rsid w:val="00AE26D1"/>
    <w:rsid w:val="00AE48D1"/>
    <w:rsid w:val="00AE48FF"/>
    <w:rsid w:val="00AE4F96"/>
    <w:rsid w:val="00AE6178"/>
    <w:rsid w:val="00AE76DA"/>
    <w:rsid w:val="00AE7BB0"/>
    <w:rsid w:val="00AF1315"/>
    <w:rsid w:val="00AF19BF"/>
    <w:rsid w:val="00AF1CBA"/>
    <w:rsid w:val="00AF2A87"/>
    <w:rsid w:val="00AF2DC3"/>
    <w:rsid w:val="00AF3333"/>
    <w:rsid w:val="00AF33ED"/>
    <w:rsid w:val="00AF3953"/>
    <w:rsid w:val="00AF4502"/>
    <w:rsid w:val="00AF6063"/>
    <w:rsid w:val="00AF68D3"/>
    <w:rsid w:val="00AF783C"/>
    <w:rsid w:val="00B033E5"/>
    <w:rsid w:val="00B03A63"/>
    <w:rsid w:val="00B04649"/>
    <w:rsid w:val="00B069F8"/>
    <w:rsid w:val="00B06F35"/>
    <w:rsid w:val="00B06F92"/>
    <w:rsid w:val="00B074A3"/>
    <w:rsid w:val="00B07B33"/>
    <w:rsid w:val="00B10752"/>
    <w:rsid w:val="00B10798"/>
    <w:rsid w:val="00B1264E"/>
    <w:rsid w:val="00B13AA1"/>
    <w:rsid w:val="00B13C51"/>
    <w:rsid w:val="00B14AC2"/>
    <w:rsid w:val="00B1524E"/>
    <w:rsid w:val="00B15645"/>
    <w:rsid w:val="00B201A4"/>
    <w:rsid w:val="00B21110"/>
    <w:rsid w:val="00B213A6"/>
    <w:rsid w:val="00B2263A"/>
    <w:rsid w:val="00B23ED2"/>
    <w:rsid w:val="00B24B27"/>
    <w:rsid w:val="00B24DF6"/>
    <w:rsid w:val="00B25019"/>
    <w:rsid w:val="00B25560"/>
    <w:rsid w:val="00B303CC"/>
    <w:rsid w:val="00B309C1"/>
    <w:rsid w:val="00B34FE2"/>
    <w:rsid w:val="00B352F1"/>
    <w:rsid w:val="00B357D8"/>
    <w:rsid w:val="00B372E0"/>
    <w:rsid w:val="00B37BFC"/>
    <w:rsid w:val="00B37FBB"/>
    <w:rsid w:val="00B40358"/>
    <w:rsid w:val="00B411F6"/>
    <w:rsid w:val="00B41464"/>
    <w:rsid w:val="00B41614"/>
    <w:rsid w:val="00B42851"/>
    <w:rsid w:val="00B42F80"/>
    <w:rsid w:val="00B435CB"/>
    <w:rsid w:val="00B45E7F"/>
    <w:rsid w:val="00B45E95"/>
    <w:rsid w:val="00B4699D"/>
    <w:rsid w:val="00B46D67"/>
    <w:rsid w:val="00B47B66"/>
    <w:rsid w:val="00B50233"/>
    <w:rsid w:val="00B50DB8"/>
    <w:rsid w:val="00B53654"/>
    <w:rsid w:val="00B53905"/>
    <w:rsid w:val="00B5484B"/>
    <w:rsid w:val="00B54B5B"/>
    <w:rsid w:val="00B5562E"/>
    <w:rsid w:val="00B5622C"/>
    <w:rsid w:val="00B5689C"/>
    <w:rsid w:val="00B56A9B"/>
    <w:rsid w:val="00B56C40"/>
    <w:rsid w:val="00B57000"/>
    <w:rsid w:val="00B577CC"/>
    <w:rsid w:val="00B60939"/>
    <w:rsid w:val="00B60AFD"/>
    <w:rsid w:val="00B61A3A"/>
    <w:rsid w:val="00B62715"/>
    <w:rsid w:val="00B62DCD"/>
    <w:rsid w:val="00B630A2"/>
    <w:rsid w:val="00B66E7E"/>
    <w:rsid w:val="00B678FF"/>
    <w:rsid w:val="00B67D25"/>
    <w:rsid w:val="00B70E60"/>
    <w:rsid w:val="00B72111"/>
    <w:rsid w:val="00B73391"/>
    <w:rsid w:val="00B750FA"/>
    <w:rsid w:val="00B7590D"/>
    <w:rsid w:val="00B762ED"/>
    <w:rsid w:val="00B81557"/>
    <w:rsid w:val="00B818A4"/>
    <w:rsid w:val="00B8347F"/>
    <w:rsid w:val="00B84075"/>
    <w:rsid w:val="00B84117"/>
    <w:rsid w:val="00B843AD"/>
    <w:rsid w:val="00B848C9"/>
    <w:rsid w:val="00B857DA"/>
    <w:rsid w:val="00B85AA2"/>
    <w:rsid w:val="00B8649C"/>
    <w:rsid w:val="00B86D58"/>
    <w:rsid w:val="00B87D5C"/>
    <w:rsid w:val="00B87F0A"/>
    <w:rsid w:val="00B908A4"/>
    <w:rsid w:val="00B92603"/>
    <w:rsid w:val="00B92B6A"/>
    <w:rsid w:val="00B92D0B"/>
    <w:rsid w:val="00B9430A"/>
    <w:rsid w:val="00B94945"/>
    <w:rsid w:val="00B949B1"/>
    <w:rsid w:val="00B97F9F"/>
    <w:rsid w:val="00BA2848"/>
    <w:rsid w:val="00BA2F26"/>
    <w:rsid w:val="00BA322D"/>
    <w:rsid w:val="00BA50FB"/>
    <w:rsid w:val="00BA795E"/>
    <w:rsid w:val="00BB05ED"/>
    <w:rsid w:val="00BB0B82"/>
    <w:rsid w:val="00BB0BDD"/>
    <w:rsid w:val="00BB2A73"/>
    <w:rsid w:val="00BB4ACC"/>
    <w:rsid w:val="00BB598F"/>
    <w:rsid w:val="00BB5B25"/>
    <w:rsid w:val="00BB703E"/>
    <w:rsid w:val="00BB7405"/>
    <w:rsid w:val="00BC05FD"/>
    <w:rsid w:val="00BC0891"/>
    <w:rsid w:val="00BC3631"/>
    <w:rsid w:val="00BC37CE"/>
    <w:rsid w:val="00BC4401"/>
    <w:rsid w:val="00BC5402"/>
    <w:rsid w:val="00BC584F"/>
    <w:rsid w:val="00BC59C1"/>
    <w:rsid w:val="00BD4490"/>
    <w:rsid w:val="00BD4639"/>
    <w:rsid w:val="00BD66B9"/>
    <w:rsid w:val="00BD68A3"/>
    <w:rsid w:val="00BD6938"/>
    <w:rsid w:val="00BD6CF3"/>
    <w:rsid w:val="00BE1BAF"/>
    <w:rsid w:val="00BE2180"/>
    <w:rsid w:val="00BE21F2"/>
    <w:rsid w:val="00BE3737"/>
    <w:rsid w:val="00BE4275"/>
    <w:rsid w:val="00BE6F8F"/>
    <w:rsid w:val="00BE7977"/>
    <w:rsid w:val="00BF0E88"/>
    <w:rsid w:val="00BF0F95"/>
    <w:rsid w:val="00BF2433"/>
    <w:rsid w:val="00BF3CD2"/>
    <w:rsid w:val="00BF5977"/>
    <w:rsid w:val="00BF61C9"/>
    <w:rsid w:val="00BF6A83"/>
    <w:rsid w:val="00BF6C94"/>
    <w:rsid w:val="00C00424"/>
    <w:rsid w:val="00C02699"/>
    <w:rsid w:val="00C02AED"/>
    <w:rsid w:val="00C04017"/>
    <w:rsid w:val="00C074EB"/>
    <w:rsid w:val="00C07559"/>
    <w:rsid w:val="00C07E4E"/>
    <w:rsid w:val="00C07EB4"/>
    <w:rsid w:val="00C122F3"/>
    <w:rsid w:val="00C1234A"/>
    <w:rsid w:val="00C1253E"/>
    <w:rsid w:val="00C12C14"/>
    <w:rsid w:val="00C13480"/>
    <w:rsid w:val="00C135A2"/>
    <w:rsid w:val="00C200AA"/>
    <w:rsid w:val="00C21D90"/>
    <w:rsid w:val="00C237ED"/>
    <w:rsid w:val="00C2393F"/>
    <w:rsid w:val="00C24632"/>
    <w:rsid w:val="00C24EA1"/>
    <w:rsid w:val="00C25418"/>
    <w:rsid w:val="00C25D9C"/>
    <w:rsid w:val="00C25FDB"/>
    <w:rsid w:val="00C2778B"/>
    <w:rsid w:val="00C31649"/>
    <w:rsid w:val="00C31ACA"/>
    <w:rsid w:val="00C32145"/>
    <w:rsid w:val="00C34415"/>
    <w:rsid w:val="00C34448"/>
    <w:rsid w:val="00C35F83"/>
    <w:rsid w:val="00C36586"/>
    <w:rsid w:val="00C37D09"/>
    <w:rsid w:val="00C40385"/>
    <w:rsid w:val="00C410F1"/>
    <w:rsid w:val="00C441DB"/>
    <w:rsid w:val="00C44669"/>
    <w:rsid w:val="00C475AA"/>
    <w:rsid w:val="00C50316"/>
    <w:rsid w:val="00C508A0"/>
    <w:rsid w:val="00C50904"/>
    <w:rsid w:val="00C527AB"/>
    <w:rsid w:val="00C52C76"/>
    <w:rsid w:val="00C54304"/>
    <w:rsid w:val="00C54C37"/>
    <w:rsid w:val="00C578EA"/>
    <w:rsid w:val="00C61289"/>
    <w:rsid w:val="00C62358"/>
    <w:rsid w:val="00C62512"/>
    <w:rsid w:val="00C63CE4"/>
    <w:rsid w:val="00C65576"/>
    <w:rsid w:val="00C65F2D"/>
    <w:rsid w:val="00C66165"/>
    <w:rsid w:val="00C667F1"/>
    <w:rsid w:val="00C7033E"/>
    <w:rsid w:val="00C7151A"/>
    <w:rsid w:val="00C71675"/>
    <w:rsid w:val="00C71F60"/>
    <w:rsid w:val="00C72241"/>
    <w:rsid w:val="00C723D4"/>
    <w:rsid w:val="00C750C8"/>
    <w:rsid w:val="00C7560F"/>
    <w:rsid w:val="00C759D2"/>
    <w:rsid w:val="00C76B82"/>
    <w:rsid w:val="00C803FA"/>
    <w:rsid w:val="00C805D0"/>
    <w:rsid w:val="00C807EF"/>
    <w:rsid w:val="00C80A0E"/>
    <w:rsid w:val="00C81483"/>
    <w:rsid w:val="00C816B8"/>
    <w:rsid w:val="00C8213F"/>
    <w:rsid w:val="00C8288A"/>
    <w:rsid w:val="00C84444"/>
    <w:rsid w:val="00C84571"/>
    <w:rsid w:val="00C858FE"/>
    <w:rsid w:val="00C85D20"/>
    <w:rsid w:val="00C8797A"/>
    <w:rsid w:val="00C900B8"/>
    <w:rsid w:val="00C90C71"/>
    <w:rsid w:val="00C9142B"/>
    <w:rsid w:val="00C91D68"/>
    <w:rsid w:val="00C91ED3"/>
    <w:rsid w:val="00C931CF"/>
    <w:rsid w:val="00C938CF"/>
    <w:rsid w:val="00C94C86"/>
    <w:rsid w:val="00C956B5"/>
    <w:rsid w:val="00C95E98"/>
    <w:rsid w:val="00C9624D"/>
    <w:rsid w:val="00C969DA"/>
    <w:rsid w:val="00C97220"/>
    <w:rsid w:val="00CA08BA"/>
    <w:rsid w:val="00CA1C21"/>
    <w:rsid w:val="00CA2952"/>
    <w:rsid w:val="00CA2C77"/>
    <w:rsid w:val="00CA3B62"/>
    <w:rsid w:val="00CA444F"/>
    <w:rsid w:val="00CA5245"/>
    <w:rsid w:val="00CA57B5"/>
    <w:rsid w:val="00CA6302"/>
    <w:rsid w:val="00CA6500"/>
    <w:rsid w:val="00CA6E83"/>
    <w:rsid w:val="00CA71F4"/>
    <w:rsid w:val="00CA7B09"/>
    <w:rsid w:val="00CA7D8A"/>
    <w:rsid w:val="00CB2F2A"/>
    <w:rsid w:val="00CB3F88"/>
    <w:rsid w:val="00CB4BCC"/>
    <w:rsid w:val="00CB56EE"/>
    <w:rsid w:val="00CB5B1A"/>
    <w:rsid w:val="00CB6B22"/>
    <w:rsid w:val="00CB6E58"/>
    <w:rsid w:val="00CB6EF4"/>
    <w:rsid w:val="00CB7F5F"/>
    <w:rsid w:val="00CC01A8"/>
    <w:rsid w:val="00CC1B39"/>
    <w:rsid w:val="00CC1E08"/>
    <w:rsid w:val="00CC1FA5"/>
    <w:rsid w:val="00CC2EE7"/>
    <w:rsid w:val="00CC39B8"/>
    <w:rsid w:val="00CC43F1"/>
    <w:rsid w:val="00CC58E9"/>
    <w:rsid w:val="00CC6202"/>
    <w:rsid w:val="00CC63FD"/>
    <w:rsid w:val="00CC6583"/>
    <w:rsid w:val="00CC6974"/>
    <w:rsid w:val="00CD5D74"/>
    <w:rsid w:val="00CD645E"/>
    <w:rsid w:val="00CD6ADC"/>
    <w:rsid w:val="00CE0FA8"/>
    <w:rsid w:val="00CE1F65"/>
    <w:rsid w:val="00CE36D7"/>
    <w:rsid w:val="00CE4553"/>
    <w:rsid w:val="00CE48CA"/>
    <w:rsid w:val="00CE5E13"/>
    <w:rsid w:val="00CE601B"/>
    <w:rsid w:val="00CE6274"/>
    <w:rsid w:val="00CE6369"/>
    <w:rsid w:val="00CE68F4"/>
    <w:rsid w:val="00CE793A"/>
    <w:rsid w:val="00CF0222"/>
    <w:rsid w:val="00CF0A85"/>
    <w:rsid w:val="00CF226D"/>
    <w:rsid w:val="00CF2B8D"/>
    <w:rsid w:val="00CF34BF"/>
    <w:rsid w:val="00CF3B7D"/>
    <w:rsid w:val="00CF456B"/>
    <w:rsid w:val="00CF5A22"/>
    <w:rsid w:val="00CF7B0E"/>
    <w:rsid w:val="00D0262E"/>
    <w:rsid w:val="00D026E3"/>
    <w:rsid w:val="00D04E79"/>
    <w:rsid w:val="00D0554C"/>
    <w:rsid w:val="00D07DE4"/>
    <w:rsid w:val="00D110BD"/>
    <w:rsid w:val="00D12083"/>
    <w:rsid w:val="00D13675"/>
    <w:rsid w:val="00D13813"/>
    <w:rsid w:val="00D141E1"/>
    <w:rsid w:val="00D157FF"/>
    <w:rsid w:val="00D15BEB"/>
    <w:rsid w:val="00D1631B"/>
    <w:rsid w:val="00D16644"/>
    <w:rsid w:val="00D17D6C"/>
    <w:rsid w:val="00D207AB"/>
    <w:rsid w:val="00D22183"/>
    <w:rsid w:val="00D23BDF"/>
    <w:rsid w:val="00D2754D"/>
    <w:rsid w:val="00D27B27"/>
    <w:rsid w:val="00D27ED5"/>
    <w:rsid w:val="00D307AF"/>
    <w:rsid w:val="00D314E0"/>
    <w:rsid w:val="00D338D8"/>
    <w:rsid w:val="00D33BE9"/>
    <w:rsid w:val="00D34FE4"/>
    <w:rsid w:val="00D357FF"/>
    <w:rsid w:val="00D37C0B"/>
    <w:rsid w:val="00D424C7"/>
    <w:rsid w:val="00D43B2A"/>
    <w:rsid w:val="00D44C7F"/>
    <w:rsid w:val="00D4585C"/>
    <w:rsid w:val="00D4741F"/>
    <w:rsid w:val="00D47575"/>
    <w:rsid w:val="00D500A3"/>
    <w:rsid w:val="00D5030E"/>
    <w:rsid w:val="00D5054A"/>
    <w:rsid w:val="00D5071B"/>
    <w:rsid w:val="00D514B0"/>
    <w:rsid w:val="00D51ECE"/>
    <w:rsid w:val="00D52A56"/>
    <w:rsid w:val="00D5542A"/>
    <w:rsid w:val="00D555B7"/>
    <w:rsid w:val="00D56458"/>
    <w:rsid w:val="00D56866"/>
    <w:rsid w:val="00D60333"/>
    <w:rsid w:val="00D60DBB"/>
    <w:rsid w:val="00D61559"/>
    <w:rsid w:val="00D64321"/>
    <w:rsid w:val="00D65D3D"/>
    <w:rsid w:val="00D66456"/>
    <w:rsid w:val="00D67600"/>
    <w:rsid w:val="00D7092E"/>
    <w:rsid w:val="00D70F16"/>
    <w:rsid w:val="00D727C5"/>
    <w:rsid w:val="00D733D0"/>
    <w:rsid w:val="00D751C8"/>
    <w:rsid w:val="00D7590C"/>
    <w:rsid w:val="00D76A44"/>
    <w:rsid w:val="00D77EA9"/>
    <w:rsid w:val="00D77F6B"/>
    <w:rsid w:val="00D815EF"/>
    <w:rsid w:val="00D8161B"/>
    <w:rsid w:val="00D82048"/>
    <w:rsid w:val="00D84540"/>
    <w:rsid w:val="00D84E0E"/>
    <w:rsid w:val="00D8552C"/>
    <w:rsid w:val="00D8611D"/>
    <w:rsid w:val="00D86457"/>
    <w:rsid w:val="00D86CC2"/>
    <w:rsid w:val="00D91923"/>
    <w:rsid w:val="00D91A6D"/>
    <w:rsid w:val="00D91B18"/>
    <w:rsid w:val="00D91E6D"/>
    <w:rsid w:val="00D936D8"/>
    <w:rsid w:val="00D93753"/>
    <w:rsid w:val="00D93CA6"/>
    <w:rsid w:val="00D94721"/>
    <w:rsid w:val="00D95E13"/>
    <w:rsid w:val="00D960DD"/>
    <w:rsid w:val="00D96219"/>
    <w:rsid w:val="00D9628B"/>
    <w:rsid w:val="00D977B5"/>
    <w:rsid w:val="00D97EA0"/>
    <w:rsid w:val="00DA01E0"/>
    <w:rsid w:val="00DA0F9D"/>
    <w:rsid w:val="00DA145E"/>
    <w:rsid w:val="00DA14B2"/>
    <w:rsid w:val="00DA1C9A"/>
    <w:rsid w:val="00DA3167"/>
    <w:rsid w:val="00DA34AE"/>
    <w:rsid w:val="00DA34C1"/>
    <w:rsid w:val="00DA4DC3"/>
    <w:rsid w:val="00DA5A0C"/>
    <w:rsid w:val="00DA628C"/>
    <w:rsid w:val="00DA77A5"/>
    <w:rsid w:val="00DB07D0"/>
    <w:rsid w:val="00DB0CEF"/>
    <w:rsid w:val="00DB10DA"/>
    <w:rsid w:val="00DB1447"/>
    <w:rsid w:val="00DB17E1"/>
    <w:rsid w:val="00DB484F"/>
    <w:rsid w:val="00DB5142"/>
    <w:rsid w:val="00DB7F82"/>
    <w:rsid w:val="00DC04F6"/>
    <w:rsid w:val="00DC1479"/>
    <w:rsid w:val="00DC1E4F"/>
    <w:rsid w:val="00DC25AD"/>
    <w:rsid w:val="00DC3C57"/>
    <w:rsid w:val="00DC5501"/>
    <w:rsid w:val="00DC5B2C"/>
    <w:rsid w:val="00DC601F"/>
    <w:rsid w:val="00DD09A5"/>
    <w:rsid w:val="00DD0ADC"/>
    <w:rsid w:val="00DD12A1"/>
    <w:rsid w:val="00DD2581"/>
    <w:rsid w:val="00DD273C"/>
    <w:rsid w:val="00DD2756"/>
    <w:rsid w:val="00DD32BB"/>
    <w:rsid w:val="00DD3F28"/>
    <w:rsid w:val="00DD4537"/>
    <w:rsid w:val="00DD4E15"/>
    <w:rsid w:val="00DD6025"/>
    <w:rsid w:val="00DD70BE"/>
    <w:rsid w:val="00DE1EC4"/>
    <w:rsid w:val="00DE3138"/>
    <w:rsid w:val="00DE37F8"/>
    <w:rsid w:val="00DE3FAC"/>
    <w:rsid w:val="00DE447E"/>
    <w:rsid w:val="00DE4F4D"/>
    <w:rsid w:val="00DE4FCB"/>
    <w:rsid w:val="00DE7832"/>
    <w:rsid w:val="00DF18FC"/>
    <w:rsid w:val="00DF33BF"/>
    <w:rsid w:val="00DF38DB"/>
    <w:rsid w:val="00DF5D2B"/>
    <w:rsid w:val="00DF5F92"/>
    <w:rsid w:val="00DF615B"/>
    <w:rsid w:val="00DF70F9"/>
    <w:rsid w:val="00DF7735"/>
    <w:rsid w:val="00E00E8E"/>
    <w:rsid w:val="00E02036"/>
    <w:rsid w:val="00E03B14"/>
    <w:rsid w:val="00E03C22"/>
    <w:rsid w:val="00E044AD"/>
    <w:rsid w:val="00E0459D"/>
    <w:rsid w:val="00E05630"/>
    <w:rsid w:val="00E067FB"/>
    <w:rsid w:val="00E068FA"/>
    <w:rsid w:val="00E06BBB"/>
    <w:rsid w:val="00E06DBB"/>
    <w:rsid w:val="00E10149"/>
    <w:rsid w:val="00E1301D"/>
    <w:rsid w:val="00E134F7"/>
    <w:rsid w:val="00E137AE"/>
    <w:rsid w:val="00E1438D"/>
    <w:rsid w:val="00E16372"/>
    <w:rsid w:val="00E16656"/>
    <w:rsid w:val="00E16872"/>
    <w:rsid w:val="00E179D5"/>
    <w:rsid w:val="00E20E4D"/>
    <w:rsid w:val="00E20ED6"/>
    <w:rsid w:val="00E21358"/>
    <w:rsid w:val="00E2249B"/>
    <w:rsid w:val="00E224E2"/>
    <w:rsid w:val="00E22A0D"/>
    <w:rsid w:val="00E24389"/>
    <w:rsid w:val="00E2469E"/>
    <w:rsid w:val="00E26AD0"/>
    <w:rsid w:val="00E2771E"/>
    <w:rsid w:val="00E32250"/>
    <w:rsid w:val="00E34948"/>
    <w:rsid w:val="00E358C0"/>
    <w:rsid w:val="00E37308"/>
    <w:rsid w:val="00E37569"/>
    <w:rsid w:val="00E3768D"/>
    <w:rsid w:val="00E40885"/>
    <w:rsid w:val="00E41E30"/>
    <w:rsid w:val="00E42A8A"/>
    <w:rsid w:val="00E43D70"/>
    <w:rsid w:val="00E462F8"/>
    <w:rsid w:val="00E466F3"/>
    <w:rsid w:val="00E46CB3"/>
    <w:rsid w:val="00E47B2C"/>
    <w:rsid w:val="00E47DFE"/>
    <w:rsid w:val="00E51560"/>
    <w:rsid w:val="00E526B6"/>
    <w:rsid w:val="00E53576"/>
    <w:rsid w:val="00E53688"/>
    <w:rsid w:val="00E53D88"/>
    <w:rsid w:val="00E53F3A"/>
    <w:rsid w:val="00E54347"/>
    <w:rsid w:val="00E547EA"/>
    <w:rsid w:val="00E55424"/>
    <w:rsid w:val="00E5596E"/>
    <w:rsid w:val="00E55BB5"/>
    <w:rsid w:val="00E575ED"/>
    <w:rsid w:val="00E61307"/>
    <w:rsid w:val="00E61441"/>
    <w:rsid w:val="00E6280D"/>
    <w:rsid w:val="00E62B39"/>
    <w:rsid w:val="00E62C8F"/>
    <w:rsid w:val="00E639D6"/>
    <w:rsid w:val="00E65703"/>
    <w:rsid w:val="00E65E79"/>
    <w:rsid w:val="00E65F3D"/>
    <w:rsid w:val="00E66BA2"/>
    <w:rsid w:val="00E66D8C"/>
    <w:rsid w:val="00E67416"/>
    <w:rsid w:val="00E70755"/>
    <w:rsid w:val="00E71792"/>
    <w:rsid w:val="00E718B6"/>
    <w:rsid w:val="00E723BA"/>
    <w:rsid w:val="00E73581"/>
    <w:rsid w:val="00E73909"/>
    <w:rsid w:val="00E73B2A"/>
    <w:rsid w:val="00E763A2"/>
    <w:rsid w:val="00E77146"/>
    <w:rsid w:val="00E77A3C"/>
    <w:rsid w:val="00E83268"/>
    <w:rsid w:val="00E832C8"/>
    <w:rsid w:val="00E833F7"/>
    <w:rsid w:val="00E83BDF"/>
    <w:rsid w:val="00E83EC4"/>
    <w:rsid w:val="00E8435C"/>
    <w:rsid w:val="00E84649"/>
    <w:rsid w:val="00E84E35"/>
    <w:rsid w:val="00E852E5"/>
    <w:rsid w:val="00E866CA"/>
    <w:rsid w:val="00E870E5"/>
    <w:rsid w:val="00E87A1D"/>
    <w:rsid w:val="00E9027F"/>
    <w:rsid w:val="00E924F0"/>
    <w:rsid w:val="00E926A5"/>
    <w:rsid w:val="00E92C8C"/>
    <w:rsid w:val="00E93066"/>
    <w:rsid w:val="00E942E4"/>
    <w:rsid w:val="00E94D06"/>
    <w:rsid w:val="00E959FB"/>
    <w:rsid w:val="00E96EC2"/>
    <w:rsid w:val="00EA17C3"/>
    <w:rsid w:val="00EA18EC"/>
    <w:rsid w:val="00EA2A04"/>
    <w:rsid w:val="00EA2CAA"/>
    <w:rsid w:val="00EA2FEB"/>
    <w:rsid w:val="00EA3864"/>
    <w:rsid w:val="00EA6C29"/>
    <w:rsid w:val="00EB1372"/>
    <w:rsid w:val="00EB15B6"/>
    <w:rsid w:val="00EB184C"/>
    <w:rsid w:val="00EB3148"/>
    <w:rsid w:val="00EB3A8A"/>
    <w:rsid w:val="00EB4916"/>
    <w:rsid w:val="00EB4FA7"/>
    <w:rsid w:val="00EB7E66"/>
    <w:rsid w:val="00EC00C9"/>
    <w:rsid w:val="00EC0BB2"/>
    <w:rsid w:val="00EC1D30"/>
    <w:rsid w:val="00EC1D45"/>
    <w:rsid w:val="00EC2649"/>
    <w:rsid w:val="00EC3177"/>
    <w:rsid w:val="00EC3F02"/>
    <w:rsid w:val="00EC6E24"/>
    <w:rsid w:val="00ED0209"/>
    <w:rsid w:val="00ED1921"/>
    <w:rsid w:val="00ED20E9"/>
    <w:rsid w:val="00ED3C00"/>
    <w:rsid w:val="00ED48A5"/>
    <w:rsid w:val="00ED57EA"/>
    <w:rsid w:val="00ED6E27"/>
    <w:rsid w:val="00ED7352"/>
    <w:rsid w:val="00EE0401"/>
    <w:rsid w:val="00EE07D3"/>
    <w:rsid w:val="00EE1944"/>
    <w:rsid w:val="00EE22AF"/>
    <w:rsid w:val="00EE3025"/>
    <w:rsid w:val="00EE3C66"/>
    <w:rsid w:val="00EE4329"/>
    <w:rsid w:val="00EE515A"/>
    <w:rsid w:val="00EE64C7"/>
    <w:rsid w:val="00EF0171"/>
    <w:rsid w:val="00EF1B25"/>
    <w:rsid w:val="00EF3ECA"/>
    <w:rsid w:val="00EF41FB"/>
    <w:rsid w:val="00EF4747"/>
    <w:rsid w:val="00EF4BF8"/>
    <w:rsid w:val="00F01124"/>
    <w:rsid w:val="00F01CE3"/>
    <w:rsid w:val="00F02253"/>
    <w:rsid w:val="00F03C2E"/>
    <w:rsid w:val="00F04A66"/>
    <w:rsid w:val="00F0516C"/>
    <w:rsid w:val="00F06567"/>
    <w:rsid w:val="00F067A2"/>
    <w:rsid w:val="00F07DC3"/>
    <w:rsid w:val="00F10753"/>
    <w:rsid w:val="00F11759"/>
    <w:rsid w:val="00F1263A"/>
    <w:rsid w:val="00F128C4"/>
    <w:rsid w:val="00F148F6"/>
    <w:rsid w:val="00F15745"/>
    <w:rsid w:val="00F15E5B"/>
    <w:rsid w:val="00F16185"/>
    <w:rsid w:val="00F1686E"/>
    <w:rsid w:val="00F1744A"/>
    <w:rsid w:val="00F177B2"/>
    <w:rsid w:val="00F2223D"/>
    <w:rsid w:val="00F238DC"/>
    <w:rsid w:val="00F23E58"/>
    <w:rsid w:val="00F24382"/>
    <w:rsid w:val="00F24837"/>
    <w:rsid w:val="00F2566D"/>
    <w:rsid w:val="00F2575F"/>
    <w:rsid w:val="00F26F96"/>
    <w:rsid w:val="00F27565"/>
    <w:rsid w:val="00F30073"/>
    <w:rsid w:val="00F310D4"/>
    <w:rsid w:val="00F31D5A"/>
    <w:rsid w:val="00F323C1"/>
    <w:rsid w:val="00F325C5"/>
    <w:rsid w:val="00F32EE1"/>
    <w:rsid w:val="00F32FDF"/>
    <w:rsid w:val="00F33DE9"/>
    <w:rsid w:val="00F356CF"/>
    <w:rsid w:val="00F35F68"/>
    <w:rsid w:val="00F3619A"/>
    <w:rsid w:val="00F40AAA"/>
    <w:rsid w:val="00F40BA7"/>
    <w:rsid w:val="00F40C0A"/>
    <w:rsid w:val="00F422C9"/>
    <w:rsid w:val="00F42BCA"/>
    <w:rsid w:val="00F43DBC"/>
    <w:rsid w:val="00F43FC3"/>
    <w:rsid w:val="00F44366"/>
    <w:rsid w:val="00F444D9"/>
    <w:rsid w:val="00F44A97"/>
    <w:rsid w:val="00F4521A"/>
    <w:rsid w:val="00F464F7"/>
    <w:rsid w:val="00F46B6A"/>
    <w:rsid w:val="00F46CB6"/>
    <w:rsid w:val="00F46ED2"/>
    <w:rsid w:val="00F476E8"/>
    <w:rsid w:val="00F47DE8"/>
    <w:rsid w:val="00F501FB"/>
    <w:rsid w:val="00F504A8"/>
    <w:rsid w:val="00F526A4"/>
    <w:rsid w:val="00F53917"/>
    <w:rsid w:val="00F542C1"/>
    <w:rsid w:val="00F54651"/>
    <w:rsid w:val="00F54859"/>
    <w:rsid w:val="00F5584E"/>
    <w:rsid w:val="00F55E73"/>
    <w:rsid w:val="00F55EDA"/>
    <w:rsid w:val="00F56A2B"/>
    <w:rsid w:val="00F56C14"/>
    <w:rsid w:val="00F57221"/>
    <w:rsid w:val="00F57EE5"/>
    <w:rsid w:val="00F60092"/>
    <w:rsid w:val="00F6017F"/>
    <w:rsid w:val="00F60B2B"/>
    <w:rsid w:val="00F615D5"/>
    <w:rsid w:val="00F62B07"/>
    <w:rsid w:val="00F640A6"/>
    <w:rsid w:val="00F646BD"/>
    <w:rsid w:val="00F65F4B"/>
    <w:rsid w:val="00F67ABF"/>
    <w:rsid w:val="00F70AED"/>
    <w:rsid w:val="00F70C9D"/>
    <w:rsid w:val="00F71268"/>
    <w:rsid w:val="00F72701"/>
    <w:rsid w:val="00F72FF1"/>
    <w:rsid w:val="00F73472"/>
    <w:rsid w:val="00F73B70"/>
    <w:rsid w:val="00F73E44"/>
    <w:rsid w:val="00F74A5F"/>
    <w:rsid w:val="00F74CD9"/>
    <w:rsid w:val="00F7599C"/>
    <w:rsid w:val="00F773D9"/>
    <w:rsid w:val="00F77F87"/>
    <w:rsid w:val="00F80A7B"/>
    <w:rsid w:val="00F80E5D"/>
    <w:rsid w:val="00F81422"/>
    <w:rsid w:val="00F8267C"/>
    <w:rsid w:val="00F851CE"/>
    <w:rsid w:val="00F852F0"/>
    <w:rsid w:val="00F8612B"/>
    <w:rsid w:val="00F8699E"/>
    <w:rsid w:val="00F91219"/>
    <w:rsid w:val="00F919A3"/>
    <w:rsid w:val="00F93737"/>
    <w:rsid w:val="00F95C09"/>
    <w:rsid w:val="00F97A78"/>
    <w:rsid w:val="00F97C14"/>
    <w:rsid w:val="00FA0016"/>
    <w:rsid w:val="00FA0B20"/>
    <w:rsid w:val="00FA1097"/>
    <w:rsid w:val="00FA141B"/>
    <w:rsid w:val="00FA24E7"/>
    <w:rsid w:val="00FA2933"/>
    <w:rsid w:val="00FA3002"/>
    <w:rsid w:val="00FA5EB9"/>
    <w:rsid w:val="00FA6916"/>
    <w:rsid w:val="00FA72B5"/>
    <w:rsid w:val="00FA7883"/>
    <w:rsid w:val="00FB003D"/>
    <w:rsid w:val="00FB06E3"/>
    <w:rsid w:val="00FB1467"/>
    <w:rsid w:val="00FB2FCB"/>
    <w:rsid w:val="00FB3893"/>
    <w:rsid w:val="00FB3C65"/>
    <w:rsid w:val="00FB59CE"/>
    <w:rsid w:val="00FB6956"/>
    <w:rsid w:val="00FB7E44"/>
    <w:rsid w:val="00FC1074"/>
    <w:rsid w:val="00FC1884"/>
    <w:rsid w:val="00FC1ADB"/>
    <w:rsid w:val="00FC371D"/>
    <w:rsid w:val="00FC487C"/>
    <w:rsid w:val="00FC49DF"/>
    <w:rsid w:val="00FC5D1D"/>
    <w:rsid w:val="00FC5F0B"/>
    <w:rsid w:val="00FD0845"/>
    <w:rsid w:val="00FD1356"/>
    <w:rsid w:val="00FD1ECE"/>
    <w:rsid w:val="00FD2100"/>
    <w:rsid w:val="00FD213A"/>
    <w:rsid w:val="00FD2610"/>
    <w:rsid w:val="00FD436C"/>
    <w:rsid w:val="00FD446D"/>
    <w:rsid w:val="00FD53BF"/>
    <w:rsid w:val="00FD5FB1"/>
    <w:rsid w:val="00FD6394"/>
    <w:rsid w:val="00FD6E69"/>
    <w:rsid w:val="00FD7AD0"/>
    <w:rsid w:val="00FE06FC"/>
    <w:rsid w:val="00FE0E6C"/>
    <w:rsid w:val="00FE309F"/>
    <w:rsid w:val="00FE3AC4"/>
    <w:rsid w:val="00FE5367"/>
    <w:rsid w:val="00FE633B"/>
    <w:rsid w:val="00FE70C3"/>
    <w:rsid w:val="00FE7B78"/>
    <w:rsid w:val="00FE7BB6"/>
    <w:rsid w:val="00FE7CCD"/>
    <w:rsid w:val="00FF0462"/>
    <w:rsid w:val="00FF1801"/>
    <w:rsid w:val="00FF2320"/>
    <w:rsid w:val="00FF3590"/>
    <w:rsid w:val="00FF3DCF"/>
    <w:rsid w:val="00FF492C"/>
    <w:rsid w:val="00FF4A21"/>
    <w:rsid w:val="00FF5AA3"/>
    <w:rsid w:val="00FF5AD8"/>
    <w:rsid w:val="00FF6C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Bullet" w:uiPriority="16"/>
    <w:lsdException w:name="List Number" w:semiHidden="0" w:unhideWhenUsed="0"/>
    <w:lsdException w:name="List 4" w:semiHidden="0" w:unhideWhenUsed="0"/>
    <w:lsdException w:name="List 5" w:semiHidden="0" w:unhideWhenUsed="0"/>
    <w:lsdException w:name="List Bullet 2" w:uiPriority="16"/>
    <w:lsdException w:name="List Bullet 3" w:uiPriority="16"/>
    <w:lsdException w:name="List Bullet 4" w:uiPriority="16"/>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99F"/>
    <w:pPr>
      <w:jc w:val="both"/>
    </w:pPr>
    <w:rPr>
      <w:rFonts w:ascii="Calibri" w:hAnsi="Calibri"/>
      <w:sz w:val="24"/>
      <w:szCs w:val="24"/>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har,Caption Char1, Char,figure,Caption-FUSA,! Q,Table"/>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934BAB"/>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qFormat/>
    <w:locked/>
    <w:rsid w:val="00934BAB"/>
    <w:rPr>
      <w:rFonts w:ascii="Calibri" w:hAnsi="Calibri"/>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numbering" w:customStyle="1" w:styleId="Lists">
    <w:name w:val="Lists"/>
    <w:uiPriority w:val="99"/>
    <w:rsid w:val="003D2856"/>
    <w:pPr>
      <w:numPr>
        <w:numId w:val="4"/>
      </w:numPr>
    </w:pPr>
  </w:style>
  <w:style w:type="character" w:customStyle="1" w:styleId="NoSpacingChar">
    <w:name w:val="No Spacing Char"/>
    <w:basedOn w:val="DefaultParagraphFont"/>
    <w:link w:val="NoSpacing"/>
    <w:uiPriority w:val="1"/>
    <w:rsid w:val="009C2B02"/>
    <w:rPr>
      <w:rFonts w:ascii="Arial" w:hAnsi="Arial" w:cs="Arial"/>
      <w:snapToGrid w:val="0"/>
      <w:sz w:val="22"/>
      <w:lang w:eastAsia="en-US"/>
    </w:rPr>
  </w:style>
  <w:style w:type="paragraph" w:styleId="ListBullet">
    <w:name w:val="List Bullet"/>
    <w:basedOn w:val="Normal"/>
    <w:link w:val="ListBulletChar"/>
    <w:uiPriority w:val="16"/>
    <w:rsid w:val="007B69BB"/>
    <w:pPr>
      <w:numPr>
        <w:numId w:val="5"/>
      </w:numPr>
      <w:spacing w:after="120"/>
      <w:jc w:val="left"/>
    </w:pPr>
    <w:rPr>
      <w:rFonts w:ascii="Arial" w:eastAsiaTheme="minorHAnsi" w:hAnsi="Arial" w:cstheme="minorBidi"/>
      <w:snapToGrid w:val="0"/>
      <w:sz w:val="20"/>
      <w:szCs w:val="20"/>
    </w:rPr>
  </w:style>
  <w:style w:type="paragraph" w:styleId="ListBullet2">
    <w:name w:val="List Bullet 2"/>
    <w:basedOn w:val="ListBullet"/>
    <w:uiPriority w:val="16"/>
    <w:rsid w:val="007B69BB"/>
    <w:pPr>
      <w:numPr>
        <w:ilvl w:val="1"/>
      </w:numPr>
      <w:ind w:left="1440" w:hanging="360"/>
    </w:pPr>
  </w:style>
  <w:style w:type="paragraph" w:styleId="ListBullet3">
    <w:name w:val="List Bullet 3"/>
    <w:basedOn w:val="Normal"/>
    <w:uiPriority w:val="16"/>
    <w:rsid w:val="007B69BB"/>
    <w:pPr>
      <w:numPr>
        <w:ilvl w:val="2"/>
        <w:numId w:val="5"/>
      </w:numPr>
      <w:spacing w:after="120"/>
      <w:contextualSpacing/>
      <w:jc w:val="left"/>
    </w:pPr>
    <w:rPr>
      <w:rFonts w:ascii="Arial" w:eastAsiaTheme="minorHAnsi" w:hAnsi="Arial" w:cstheme="minorBidi"/>
      <w:snapToGrid w:val="0"/>
      <w:sz w:val="20"/>
      <w:szCs w:val="20"/>
    </w:rPr>
  </w:style>
  <w:style w:type="paragraph" w:styleId="ListBullet4">
    <w:name w:val="List Bullet 4"/>
    <w:basedOn w:val="Normal"/>
    <w:uiPriority w:val="16"/>
    <w:rsid w:val="007B69BB"/>
    <w:pPr>
      <w:numPr>
        <w:ilvl w:val="3"/>
        <w:numId w:val="5"/>
      </w:numPr>
      <w:spacing w:after="120"/>
      <w:contextualSpacing/>
      <w:jc w:val="left"/>
    </w:pPr>
    <w:rPr>
      <w:rFonts w:ascii="Arial" w:eastAsiaTheme="minorHAnsi" w:hAnsi="Arial" w:cstheme="minorBidi"/>
      <w:snapToGrid w:val="0"/>
      <w:sz w:val="20"/>
      <w:szCs w:val="20"/>
    </w:rPr>
  </w:style>
  <w:style w:type="character" w:customStyle="1" w:styleId="ListBulletChar">
    <w:name w:val="List Bullet Char"/>
    <w:basedOn w:val="DefaultParagraphFont"/>
    <w:link w:val="ListBullet"/>
    <w:uiPriority w:val="16"/>
    <w:rsid w:val="007B69BB"/>
    <w:rPr>
      <w:rFonts w:ascii="Arial" w:eastAsiaTheme="minorHAnsi" w:hAnsi="Arial" w:cstheme="minorBidi"/>
      <w:snapToGrid w:val="0"/>
      <w:lang w:eastAsia="en-US"/>
    </w:rPr>
  </w:style>
  <w:style w:type="paragraph" w:styleId="FootnoteText">
    <w:name w:val="footnote text"/>
    <w:basedOn w:val="Normal"/>
    <w:link w:val="FootnoteTextChar"/>
    <w:unhideWhenUsed/>
    <w:rsid w:val="00CC01A8"/>
    <w:rPr>
      <w:sz w:val="20"/>
      <w:szCs w:val="20"/>
    </w:rPr>
  </w:style>
  <w:style w:type="character" w:customStyle="1" w:styleId="FootnoteTextChar">
    <w:name w:val="Footnote Text Char"/>
    <w:basedOn w:val="DefaultParagraphFont"/>
    <w:link w:val="FootnoteText"/>
    <w:rsid w:val="00CC01A8"/>
    <w:rPr>
      <w:rFonts w:ascii="Calibri" w:hAnsi="Calibri" w:cs="Arial"/>
      <w:snapToGrid w:val="0"/>
      <w:lang w:eastAsia="en-US"/>
    </w:rPr>
  </w:style>
  <w:style w:type="character" w:styleId="FootnoteReference">
    <w:name w:val="footnote reference"/>
    <w:basedOn w:val="DefaultParagraphFont"/>
    <w:unhideWhenUsed/>
    <w:rsid w:val="00CC01A8"/>
    <w:rPr>
      <w:vertAlign w:val="superscript"/>
    </w:rPr>
  </w:style>
  <w:style w:type="character" w:customStyle="1" w:styleId="UnresolvedMention1">
    <w:name w:val="Unresolved Mention1"/>
    <w:basedOn w:val="DefaultParagraphFont"/>
    <w:uiPriority w:val="99"/>
    <w:semiHidden/>
    <w:unhideWhenUsed/>
    <w:rsid w:val="00CC01A8"/>
    <w:rPr>
      <w:color w:val="808080"/>
      <w:shd w:val="clear" w:color="auto" w:fill="E6E6E6"/>
    </w:rPr>
  </w:style>
  <w:style w:type="table" w:customStyle="1" w:styleId="ExecSummTable">
    <w:name w:val="Exec Summ Table"/>
    <w:basedOn w:val="TableNormal"/>
    <w:uiPriority w:val="99"/>
    <w:rsid w:val="00F356CF"/>
    <w:pPr>
      <w:ind w:left="57" w:right="57"/>
    </w:pPr>
    <w:rPr>
      <w:rFonts w:ascii="Arial" w:eastAsiaTheme="minorHAnsi" w:hAnsi="Arial" w:cstheme="minorBidi"/>
      <w:sz w:val="18"/>
      <w:lang w:val="en-US"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character" w:customStyle="1" w:styleId="hitsyn">
    <w:name w:val="hit_syn"/>
    <w:basedOn w:val="DefaultParagraphFont"/>
    <w:rsid w:val="007E4A8F"/>
  </w:style>
  <w:style w:type="paragraph" w:customStyle="1" w:styleId="V50Instructions">
    <w:name w:val="V5.0 Instructions"/>
    <w:basedOn w:val="Normal"/>
    <w:link w:val="V50InstructionsChar"/>
    <w:qFormat/>
    <w:rsid w:val="0046551B"/>
    <w:pPr>
      <w:spacing w:before="120" w:after="160"/>
      <w:jc w:val="left"/>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46551B"/>
    <w:rPr>
      <w:rFonts w:asciiTheme="minorHAnsi" w:eastAsiaTheme="minorHAnsi" w:hAnsiTheme="minorHAnsi" w:cstheme="minorBidi"/>
      <w:color w:val="4BACC6" w:themeColor="accent5"/>
      <w:sz w:val="24"/>
      <w:szCs w:val="22"/>
      <w:lang w:eastAsia="en-US"/>
    </w:rPr>
  </w:style>
  <w:style w:type="paragraph" w:customStyle="1" w:styleId="TableText0">
    <w:name w:val="TableText"/>
    <w:basedOn w:val="Normal"/>
    <w:link w:val="TableTextChar0"/>
    <w:uiPriority w:val="3"/>
    <w:rsid w:val="0046551B"/>
    <w:pPr>
      <w:keepNext/>
      <w:spacing w:before="40" w:after="40"/>
      <w:jc w:val="left"/>
    </w:pPr>
    <w:rPr>
      <w:rFonts w:ascii="Arial Narrow" w:hAnsi="Arial Narrow" w:cs="Arial Narrow"/>
      <w:snapToGrid w:val="0"/>
      <w:sz w:val="20"/>
      <w:szCs w:val="20"/>
    </w:rPr>
  </w:style>
  <w:style w:type="character" w:customStyle="1" w:styleId="TableTextChar0">
    <w:name w:val="TableText Char"/>
    <w:basedOn w:val="DefaultParagraphFont"/>
    <w:link w:val="TableText0"/>
    <w:uiPriority w:val="3"/>
    <w:rsid w:val="0046551B"/>
    <w:rPr>
      <w:rFonts w:ascii="Arial Narrow" w:hAnsi="Arial Narrow" w:cs="Arial Narrow"/>
      <w:lang w:eastAsia="en-US"/>
    </w:rPr>
  </w:style>
  <w:style w:type="paragraph" w:customStyle="1" w:styleId="TableHeadingRow">
    <w:name w:val="TableHeadingRow"/>
    <w:basedOn w:val="Normal"/>
    <w:uiPriority w:val="3"/>
    <w:qFormat/>
    <w:rsid w:val="0046551B"/>
    <w:pPr>
      <w:keepNext/>
      <w:spacing w:before="20" w:after="20"/>
      <w:jc w:val="left"/>
    </w:pPr>
    <w:rPr>
      <w:rFonts w:cstheme="minorHAnsi"/>
      <w:b/>
      <w:snapToGrid w:val="0"/>
      <w:sz w:val="20"/>
      <w:szCs w:val="20"/>
    </w:rPr>
  </w:style>
  <w:style w:type="paragraph" w:customStyle="1" w:styleId="NormalStyle">
    <w:name w:val="Normal Style"/>
    <w:basedOn w:val="Normal"/>
    <w:link w:val="NormalStyleChar"/>
    <w:rsid w:val="00736E88"/>
    <w:pPr>
      <w:spacing w:after="120" w:line="360" w:lineRule="auto"/>
      <w:jc w:val="left"/>
    </w:pPr>
    <w:rPr>
      <w:rFonts w:ascii="Arial" w:hAnsi="Arial"/>
      <w:snapToGrid w:val="0"/>
      <w:sz w:val="20"/>
    </w:rPr>
  </w:style>
  <w:style w:type="character" w:customStyle="1" w:styleId="NormalStyleChar">
    <w:name w:val="Normal Style Char"/>
    <w:basedOn w:val="DefaultParagraphFont"/>
    <w:link w:val="NormalStyle"/>
    <w:rsid w:val="00736E88"/>
    <w:rPr>
      <w:rFonts w:ascii="Arial" w:hAnsi="Arial"/>
      <w:szCs w:val="24"/>
      <w:lang w:eastAsia="en-US"/>
    </w:rPr>
  </w:style>
  <w:style w:type="character" w:customStyle="1" w:styleId="highwire-citation-authors">
    <w:name w:val="highwire-citation-authors"/>
    <w:basedOn w:val="DefaultParagraphFont"/>
    <w:rsid w:val="00F73472"/>
  </w:style>
  <w:style w:type="character" w:customStyle="1" w:styleId="nlm-given-names">
    <w:name w:val="nlm-given-names"/>
    <w:basedOn w:val="DefaultParagraphFont"/>
    <w:rsid w:val="00F73472"/>
  </w:style>
  <w:style w:type="character" w:customStyle="1" w:styleId="apple-converted-space">
    <w:name w:val="apple-converted-space"/>
    <w:basedOn w:val="DefaultParagraphFont"/>
    <w:rsid w:val="00F73472"/>
  </w:style>
  <w:style w:type="character" w:customStyle="1" w:styleId="nlm-surname">
    <w:name w:val="nlm-surname"/>
    <w:basedOn w:val="DefaultParagraphFont"/>
    <w:rsid w:val="00F73472"/>
  </w:style>
  <w:style w:type="character" w:customStyle="1" w:styleId="highwire-cite-metadata-journal">
    <w:name w:val="highwire-cite-metadata-journal"/>
    <w:basedOn w:val="DefaultParagraphFont"/>
    <w:rsid w:val="00F73472"/>
  </w:style>
  <w:style w:type="character" w:customStyle="1" w:styleId="highwire-cite-metadata-date">
    <w:name w:val="highwire-cite-metadata-date"/>
    <w:basedOn w:val="DefaultParagraphFont"/>
    <w:rsid w:val="00F73472"/>
  </w:style>
  <w:style w:type="character" w:customStyle="1" w:styleId="highwire-cite-metadata-volume-pages">
    <w:name w:val="highwire-cite-metadata-volume-pages"/>
    <w:basedOn w:val="DefaultParagraphFont"/>
    <w:rsid w:val="00F73472"/>
  </w:style>
  <w:style w:type="character" w:styleId="Strong">
    <w:name w:val="Strong"/>
    <w:basedOn w:val="DefaultParagraphFont"/>
    <w:uiPriority w:val="22"/>
    <w:rsid w:val="00BB05ED"/>
    <w:rPr>
      <w:b/>
      <w:bCs/>
    </w:rPr>
  </w:style>
  <w:style w:type="character" w:customStyle="1" w:styleId="pubtitle">
    <w:name w:val="pubtitle"/>
    <w:basedOn w:val="DefaultParagraphFont"/>
    <w:rsid w:val="00BB05ED"/>
  </w:style>
  <w:style w:type="table" w:customStyle="1" w:styleId="Summarybox2">
    <w:name w:val="Summary box2"/>
    <w:basedOn w:val="TableNormal"/>
    <w:uiPriority w:val="59"/>
    <w:rsid w:val="00EE30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095F40"/>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sid w:val="00095F40"/>
    <w:rPr>
      <w:rFonts w:ascii="Arial Narrow" w:hAnsi="Arial Narrow"/>
      <w:lang w:eastAsia="en-US"/>
    </w:rPr>
  </w:style>
  <w:style w:type="paragraph" w:customStyle="1" w:styleId="PbacTableHeading">
    <w:name w:val="Pbac Table Heading"/>
    <w:basedOn w:val="PBACTableText"/>
    <w:qFormat/>
    <w:rsid w:val="00095F40"/>
    <w:pPr>
      <w:spacing w:before="0" w:after="80"/>
    </w:pPr>
    <w:rPr>
      <w:rFonts w:eastAsiaTheme="minorHAnsi" w:cs="Arial"/>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A1738"/>
    <w:pPr>
      <w:spacing w:after="160" w:line="240" w:lineRule="exact"/>
      <w:jc w:val="left"/>
    </w:pPr>
    <w:rPr>
      <w:rFonts w:ascii="Verdana" w:eastAsia="MS Mincho" w:hAnsi="Verdana" w:cs="Verdana"/>
      <w:sz w:val="20"/>
      <w:szCs w:val="20"/>
      <w:lang w:val="en-US"/>
    </w:rPr>
  </w:style>
  <w:style w:type="paragraph" w:customStyle="1" w:styleId="Default">
    <w:name w:val="Default"/>
    <w:rsid w:val="008A7FD9"/>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Bullet" w:uiPriority="16"/>
    <w:lsdException w:name="List Number" w:semiHidden="0" w:unhideWhenUsed="0"/>
    <w:lsdException w:name="List 4" w:semiHidden="0" w:unhideWhenUsed="0"/>
    <w:lsdException w:name="List 5" w:semiHidden="0" w:unhideWhenUsed="0"/>
    <w:lsdException w:name="List Bullet 2" w:uiPriority="16"/>
    <w:lsdException w:name="List Bullet 3" w:uiPriority="16"/>
    <w:lsdException w:name="List Bullet 4" w:uiPriority="16"/>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7399F"/>
    <w:pPr>
      <w:jc w:val="both"/>
    </w:pPr>
    <w:rPr>
      <w:rFonts w:ascii="Calibri" w:hAnsi="Calibri"/>
      <w:sz w:val="24"/>
      <w:szCs w:val="24"/>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har,Caption Char1, Char,figure,Caption-FUSA,! Q,Table"/>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934BAB"/>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qFormat/>
    <w:locked/>
    <w:rsid w:val="00934BAB"/>
    <w:rPr>
      <w:rFonts w:ascii="Calibri" w:hAnsi="Calibri"/>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numbering" w:customStyle="1" w:styleId="Lists">
    <w:name w:val="Lists"/>
    <w:uiPriority w:val="99"/>
    <w:rsid w:val="003D2856"/>
    <w:pPr>
      <w:numPr>
        <w:numId w:val="4"/>
      </w:numPr>
    </w:pPr>
  </w:style>
  <w:style w:type="character" w:customStyle="1" w:styleId="NoSpacingChar">
    <w:name w:val="No Spacing Char"/>
    <w:basedOn w:val="DefaultParagraphFont"/>
    <w:link w:val="NoSpacing"/>
    <w:uiPriority w:val="1"/>
    <w:rsid w:val="009C2B02"/>
    <w:rPr>
      <w:rFonts w:ascii="Arial" w:hAnsi="Arial" w:cs="Arial"/>
      <w:snapToGrid w:val="0"/>
      <w:sz w:val="22"/>
      <w:lang w:eastAsia="en-US"/>
    </w:rPr>
  </w:style>
  <w:style w:type="paragraph" w:styleId="ListBullet">
    <w:name w:val="List Bullet"/>
    <w:basedOn w:val="Normal"/>
    <w:link w:val="ListBulletChar"/>
    <w:uiPriority w:val="16"/>
    <w:rsid w:val="007B69BB"/>
    <w:pPr>
      <w:numPr>
        <w:numId w:val="5"/>
      </w:numPr>
      <w:spacing w:after="120"/>
      <w:jc w:val="left"/>
    </w:pPr>
    <w:rPr>
      <w:rFonts w:ascii="Arial" w:eastAsiaTheme="minorHAnsi" w:hAnsi="Arial" w:cstheme="minorBidi"/>
      <w:snapToGrid w:val="0"/>
      <w:sz w:val="20"/>
      <w:szCs w:val="20"/>
    </w:rPr>
  </w:style>
  <w:style w:type="paragraph" w:styleId="ListBullet2">
    <w:name w:val="List Bullet 2"/>
    <w:basedOn w:val="ListBullet"/>
    <w:uiPriority w:val="16"/>
    <w:rsid w:val="007B69BB"/>
    <w:pPr>
      <w:numPr>
        <w:ilvl w:val="1"/>
      </w:numPr>
      <w:ind w:left="1440" w:hanging="360"/>
    </w:pPr>
  </w:style>
  <w:style w:type="paragraph" w:styleId="ListBullet3">
    <w:name w:val="List Bullet 3"/>
    <w:basedOn w:val="Normal"/>
    <w:uiPriority w:val="16"/>
    <w:rsid w:val="007B69BB"/>
    <w:pPr>
      <w:numPr>
        <w:ilvl w:val="2"/>
        <w:numId w:val="5"/>
      </w:numPr>
      <w:spacing w:after="120"/>
      <w:contextualSpacing/>
      <w:jc w:val="left"/>
    </w:pPr>
    <w:rPr>
      <w:rFonts w:ascii="Arial" w:eastAsiaTheme="minorHAnsi" w:hAnsi="Arial" w:cstheme="minorBidi"/>
      <w:snapToGrid w:val="0"/>
      <w:sz w:val="20"/>
      <w:szCs w:val="20"/>
    </w:rPr>
  </w:style>
  <w:style w:type="paragraph" w:styleId="ListBullet4">
    <w:name w:val="List Bullet 4"/>
    <w:basedOn w:val="Normal"/>
    <w:uiPriority w:val="16"/>
    <w:rsid w:val="007B69BB"/>
    <w:pPr>
      <w:numPr>
        <w:ilvl w:val="3"/>
        <w:numId w:val="5"/>
      </w:numPr>
      <w:spacing w:after="120"/>
      <w:contextualSpacing/>
      <w:jc w:val="left"/>
    </w:pPr>
    <w:rPr>
      <w:rFonts w:ascii="Arial" w:eastAsiaTheme="minorHAnsi" w:hAnsi="Arial" w:cstheme="minorBidi"/>
      <w:snapToGrid w:val="0"/>
      <w:sz w:val="20"/>
      <w:szCs w:val="20"/>
    </w:rPr>
  </w:style>
  <w:style w:type="character" w:customStyle="1" w:styleId="ListBulletChar">
    <w:name w:val="List Bullet Char"/>
    <w:basedOn w:val="DefaultParagraphFont"/>
    <w:link w:val="ListBullet"/>
    <w:uiPriority w:val="16"/>
    <w:rsid w:val="007B69BB"/>
    <w:rPr>
      <w:rFonts w:ascii="Arial" w:eastAsiaTheme="minorHAnsi" w:hAnsi="Arial" w:cstheme="minorBidi"/>
      <w:snapToGrid w:val="0"/>
      <w:lang w:eastAsia="en-US"/>
    </w:rPr>
  </w:style>
  <w:style w:type="paragraph" w:styleId="FootnoteText">
    <w:name w:val="footnote text"/>
    <w:basedOn w:val="Normal"/>
    <w:link w:val="FootnoteTextChar"/>
    <w:unhideWhenUsed/>
    <w:rsid w:val="00CC01A8"/>
    <w:rPr>
      <w:sz w:val="20"/>
      <w:szCs w:val="20"/>
    </w:rPr>
  </w:style>
  <w:style w:type="character" w:customStyle="1" w:styleId="FootnoteTextChar">
    <w:name w:val="Footnote Text Char"/>
    <w:basedOn w:val="DefaultParagraphFont"/>
    <w:link w:val="FootnoteText"/>
    <w:rsid w:val="00CC01A8"/>
    <w:rPr>
      <w:rFonts w:ascii="Calibri" w:hAnsi="Calibri" w:cs="Arial"/>
      <w:snapToGrid w:val="0"/>
      <w:lang w:eastAsia="en-US"/>
    </w:rPr>
  </w:style>
  <w:style w:type="character" w:styleId="FootnoteReference">
    <w:name w:val="footnote reference"/>
    <w:basedOn w:val="DefaultParagraphFont"/>
    <w:unhideWhenUsed/>
    <w:rsid w:val="00CC01A8"/>
    <w:rPr>
      <w:vertAlign w:val="superscript"/>
    </w:rPr>
  </w:style>
  <w:style w:type="character" w:customStyle="1" w:styleId="UnresolvedMention1">
    <w:name w:val="Unresolved Mention1"/>
    <w:basedOn w:val="DefaultParagraphFont"/>
    <w:uiPriority w:val="99"/>
    <w:semiHidden/>
    <w:unhideWhenUsed/>
    <w:rsid w:val="00CC01A8"/>
    <w:rPr>
      <w:color w:val="808080"/>
      <w:shd w:val="clear" w:color="auto" w:fill="E6E6E6"/>
    </w:rPr>
  </w:style>
  <w:style w:type="table" w:customStyle="1" w:styleId="ExecSummTable">
    <w:name w:val="Exec Summ Table"/>
    <w:basedOn w:val="TableNormal"/>
    <w:uiPriority w:val="99"/>
    <w:rsid w:val="00F356CF"/>
    <w:pPr>
      <w:ind w:left="57" w:right="57"/>
    </w:pPr>
    <w:rPr>
      <w:rFonts w:ascii="Arial" w:eastAsiaTheme="minorHAnsi" w:hAnsi="Arial" w:cstheme="minorBidi"/>
      <w:sz w:val="18"/>
      <w:lang w:val="en-US"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character" w:customStyle="1" w:styleId="hitsyn">
    <w:name w:val="hit_syn"/>
    <w:basedOn w:val="DefaultParagraphFont"/>
    <w:rsid w:val="007E4A8F"/>
  </w:style>
  <w:style w:type="paragraph" w:customStyle="1" w:styleId="V50Instructions">
    <w:name w:val="V5.0 Instructions"/>
    <w:basedOn w:val="Normal"/>
    <w:link w:val="V50InstructionsChar"/>
    <w:qFormat/>
    <w:rsid w:val="0046551B"/>
    <w:pPr>
      <w:spacing w:before="120" w:after="160"/>
      <w:jc w:val="left"/>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46551B"/>
    <w:rPr>
      <w:rFonts w:asciiTheme="minorHAnsi" w:eastAsiaTheme="minorHAnsi" w:hAnsiTheme="minorHAnsi" w:cstheme="minorBidi"/>
      <w:color w:val="4BACC6" w:themeColor="accent5"/>
      <w:sz w:val="24"/>
      <w:szCs w:val="22"/>
      <w:lang w:eastAsia="en-US"/>
    </w:rPr>
  </w:style>
  <w:style w:type="paragraph" w:customStyle="1" w:styleId="TableText0">
    <w:name w:val="TableText"/>
    <w:basedOn w:val="Normal"/>
    <w:link w:val="TableTextChar0"/>
    <w:uiPriority w:val="3"/>
    <w:rsid w:val="0046551B"/>
    <w:pPr>
      <w:keepNext/>
      <w:spacing w:before="40" w:after="40"/>
      <w:jc w:val="left"/>
    </w:pPr>
    <w:rPr>
      <w:rFonts w:ascii="Arial Narrow" w:hAnsi="Arial Narrow" w:cs="Arial Narrow"/>
      <w:snapToGrid w:val="0"/>
      <w:sz w:val="20"/>
      <w:szCs w:val="20"/>
    </w:rPr>
  </w:style>
  <w:style w:type="character" w:customStyle="1" w:styleId="TableTextChar0">
    <w:name w:val="TableText Char"/>
    <w:basedOn w:val="DefaultParagraphFont"/>
    <w:link w:val="TableText0"/>
    <w:uiPriority w:val="3"/>
    <w:rsid w:val="0046551B"/>
    <w:rPr>
      <w:rFonts w:ascii="Arial Narrow" w:hAnsi="Arial Narrow" w:cs="Arial Narrow"/>
      <w:lang w:eastAsia="en-US"/>
    </w:rPr>
  </w:style>
  <w:style w:type="paragraph" w:customStyle="1" w:styleId="TableHeadingRow">
    <w:name w:val="TableHeadingRow"/>
    <w:basedOn w:val="Normal"/>
    <w:uiPriority w:val="3"/>
    <w:qFormat/>
    <w:rsid w:val="0046551B"/>
    <w:pPr>
      <w:keepNext/>
      <w:spacing w:before="20" w:after="20"/>
      <w:jc w:val="left"/>
    </w:pPr>
    <w:rPr>
      <w:rFonts w:cstheme="minorHAnsi"/>
      <w:b/>
      <w:snapToGrid w:val="0"/>
      <w:sz w:val="20"/>
      <w:szCs w:val="20"/>
    </w:rPr>
  </w:style>
  <w:style w:type="paragraph" w:customStyle="1" w:styleId="NormalStyle">
    <w:name w:val="Normal Style"/>
    <w:basedOn w:val="Normal"/>
    <w:link w:val="NormalStyleChar"/>
    <w:rsid w:val="00736E88"/>
    <w:pPr>
      <w:spacing w:after="120" w:line="360" w:lineRule="auto"/>
      <w:jc w:val="left"/>
    </w:pPr>
    <w:rPr>
      <w:rFonts w:ascii="Arial" w:hAnsi="Arial"/>
      <w:snapToGrid w:val="0"/>
      <w:sz w:val="20"/>
    </w:rPr>
  </w:style>
  <w:style w:type="character" w:customStyle="1" w:styleId="NormalStyleChar">
    <w:name w:val="Normal Style Char"/>
    <w:basedOn w:val="DefaultParagraphFont"/>
    <w:link w:val="NormalStyle"/>
    <w:rsid w:val="00736E88"/>
    <w:rPr>
      <w:rFonts w:ascii="Arial" w:hAnsi="Arial"/>
      <w:szCs w:val="24"/>
      <w:lang w:eastAsia="en-US"/>
    </w:rPr>
  </w:style>
  <w:style w:type="character" w:customStyle="1" w:styleId="highwire-citation-authors">
    <w:name w:val="highwire-citation-authors"/>
    <w:basedOn w:val="DefaultParagraphFont"/>
    <w:rsid w:val="00F73472"/>
  </w:style>
  <w:style w:type="character" w:customStyle="1" w:styleId="nlm-given-names">
    <w:name w:val="nlm-given-names"/>
    <w:basedOn w:val="DefaultParagraphFont"/>
    <w:rsid w:val="00F73472"/>
  </w:style>
  <w:style w:type="character" w:customStyle="1" w:styleId="apple-converted-space">
    <w:name w:val="apple-converted-space"/>
    <w:basedOn w:val="DefaultParagraphFont"/>
    <w:rsid w:val="00F73472"/>
  </w:style>
  <w:style w:type="character" w:customStyle="1" w:styleId="nlm-surname">
    <w:name w:val="nlm-surname"/>
    <w:basedOn w:val="DefaultParagraphFont"/>
    <w:rsid w:val="00F73472"/>
  </w:style>
  <w:style w:type="character" w:customStyle="1" w:styleId="highwire-cite-metadata-journal">
    <w:name w:val="highwire-cite-metadata-journal"/>
    <w:basedOn w:val="DefaultParagraphFont"/>
    <w:rsid w:val="00F73472"/>
  </w:style>
  <w:style w:type="character" w:customStyle="1" w:styleId="highwire-cite-metadata-date">
    <w:name w:val="highwire-cite-metadata-date"/>
    <w:basedOn w:val="DefaultParagraphFont"/>
    <w:rsid w:val="00F73472"/>
  </w:style>
  <w:style w:type="character" w:customStyle="1" w:styleId="highwire-cite-metadata-volume-pages">
    <w:name w:val="highwire-cite-metadata-volume-pages"/>
    <w:basedOn w:val="DefaultParagraphFont"/>
    <w:rsid w:val="00F73472"/>
  </w:style>
  <w:style w:type="character" w:styleId="Strong">
    <w:name w:val="Strong"/>
    <w:basedOn w:val="DefaultParagraphFont"/>
    <w:uiPriority w:val="22"/>
    <w:rsid w:val="00BB05ED"/>
    <w:rPr>
      <w:b/>
      <w:bCs/>
    </w:rPr>
  </w:style>
  <w:style w:type="character" w:customStyle="1" w:styleId="pubtitle">
    <w:name w:val="pubtitle"/>
    <w:basedOn w:val="DefaultParagraphFont"/>
    <w:rsid w:val="00BB05ED"/>
  </w:style>
  <w:style w:type="table" w:customStyle="1" w:styleId="Summarybox2">
    <w:name w:val="Summary box2"/>
    <w:basedOn w:val="TableNormal"/>
    <w:uiPriority w:val="59"/>
    <w:rsid w:val="00EE30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095F40"/>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sid w:val="00095F40"/>
    <w:rPr>
      <w:rFonts w:ascii="Arial Narrow" w:hAnsi="Arial Narrow"/>
      <w:lang w:eastAsia="en-US"/>
    </w:rPr>
  </w:style>
  <w:style w:type="paragraph" w:customStyle="1" w:styleId="PbacTableHeading">
    <w:name w:val="Pbac Table Heading"/>
    <w:basedOn w:val="PBACTableText"/>
    <w:qFormat/>
    <w:rsid w:val="00095F40"/>
    <w:pPr>
      <w:spacing w:before="0" w:after="80"/>
    </w:pPr>
    <w:rPr>
      <w:rFonts w:eastAsiaTheme="minorHAnsi" w:cs="Arial"/>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A1738"/>
    <w:pPr>
      <w:spacing w:after="160" w:line="240" w:lineRule="exact"/>
      <w:jc w:val="left"/>
    </w:pPr>
    <w:rPr>
      <w:rFonts w:ascii="Verdana" w:eastAsia="MS Mincho" w:hAnsi="Verdana" w:cs="Verdana"/>
      <w:sz w:val="20"/>
      <w:szCs w:val="20"/>
      <w:lang w:val="en-US"/>
    </w:rPr>
  </w:style>
  <w:style w:type="paragraph" w:customStyle="1" w:styleId="Default">
    <w:name w:val="Default"/>
    <w:rsid w:val="008A7FD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1422">
      <w:bodyDiv w:val="1"/>
      <w:marLeft w:val="0"/>
      <w:marRight w:val="0"/>
      <w:marTop w:val="0"/>
      <w:marBottom w:val="0"/>
      <w:divBdr>
        <w:top w:val="none" w:sz="0" w:space="0" w:color="auto"/>
        <w:left w:val="none" w:sz="0" w:space="0" w:color="auto"/>
        <w:bottom w:val="none" w:sz="0" w:space="0" w:color="auto"/>
        <w:right w:val="none" w:sz="0" w:space="0" w:color="auto"/>
      </w:divBdr>
      <w:divsChild>
        <w:div w:id="241568953">
          <w:marLeft w:val="360"/>
          <w:marRight w:val="0"/>
          <w:marTop w:val="200"/>
          <w:marBottom w:val="0"/>
          <w:divBdr>
            <w:top w:val="none" w:sz="0" w:space="0" w:color="auto"/>
            <w:left w:val="none" w:sz="0" w:space="0" w:color="auto"/>
            <w:bottom w:val="none" w:sz="0" w:space="0" w:color="auto"/>
            <w:right w:val="none" w:sz="0" w:space="0" w:color="auto"/>
          </w:divBdr>
        </w:div>
      </w:divsChild>
    </w:div>
    <w:div w:id="381949723">
      <w:bodyDiv w:val="1"/>
      <w:marLeft w:val="0"/>
      <w:marRight w:val="0"/>
      <w:marTop w:val="0"/>
      <w:marBottom w:val="0"/>
      <w:divBdr>
        <w:top w:val="none" w:sz="0" w:space="0" w:color="auto"/>
        <w:left w:val="none" w:sz="0" w:space="0" w:color="auto"/>
        <w:bottom w:val="none" w:sz="0" w:space="0" w:color="auto"/>
        <w:right w:val="none" w:sz="0" w:space="0" w:color="auto"/>
      </w:divBdr>
    </w:div>
    <w:div w:id="485972951">
      <w:bodyDiv w:val="1"/>
      <w:marLeft w:val="0"/>
      <w:marRight w:val="0"/>
      <w:marTop w:val="0"/>
      <w:marBottom w:val="0"/>
      <w:divBdr>
        <w:top w:val="none" w:sz="0" w:space="0" w:color="auto"/>
        <w:left w:val="none" w:sz="0" w:space="0" w:color="auto"/>
        <w:bottom w:val="none" w:sz="0" w:space="0" w:color="auto"/>
        <w:right w:val="none" w:sz="0" w:space="0" w:color="auto"/>
      </w:divBdr>
      <w:divsChild>
        <w:div w:id="464469425">
          <w:marLeft w:val="0"/>
          <w:marRight w:val="0"/>
          <w:marTop w:val="75"/>
          <w:marBottom w:val="0"/>
          <w:divBdr>
            <w:top w:val="none" w:sz="0" w:space="0" w:color="auto"/>
            <w:left w:val="none" w:sz="0" w:space="0" w:color="auto"/>
            <w:bottom w:val="none" w:sz="0" w:space="0" w:color="auto"/>
            <w:right w:val="none" w:sz="0" w:space="0" w:color="auto"/>
          </w:divBdr>
        </w:div>
        <w:div w:id="1324892185">
          <w:marLeft w:val="0"/>
          <w:marRight w:val="0"/>
          <w:marTop w:val="225"/>
          <w:marBottom w:val="300"/>
          <w:divBdr>
            <w:top w:val="none" w:sz="0" w:space="0" w:color="auto"/>
            <w:left w:val="none" w:sz="0" w:space="0" w:color="auto"/>
            <w:bottom w:val="none" w:sz="0" w:space="0" w:color="auto"/>
            <w:right w:val="none" w:sz="0" w:space="0" w:color="auto"/>
          </w:divBdr>
        </w:div>
      </w:divsChild>
    </w:div>
    <w:div w:id="682127448">
      <w:bodyDiv w:val="1"/>
      <w:marLeft w:val="0"/>
      <w:marRight w:val="0"/>
      <w:marTop w:val="0"/>
      <w:marBottom w:val="0"/>
      <w:divBdr>
        <w:top w:val="none" w:sz="0" w:space="0" w:color="auto"/>
        <w:left w:val="none" w:sz="0" w:space="0" w:color="auto"/>
        <w:bottom w:val="none" w:sz="0" w:space="0" w:color="auto"/>
        <w:right w:val="none" w:sz="0" w:space="0" w:color="auto"/>
      </w:divBdr>
    </w:div>
    <w:div w:id="686293138">
      <w:bodyDiv w:val="1"/>
      <w:marLeft w:val="0"/>
      <w:marRight w:val="0"/>
      <w:marTop w:val="0"/>
      <w:marBottom w:val="0"/>
      <w:divBdr>
        <w:top w:val="none" w:sz="0" w:space="0" w:color="auto"/>
        <w:left w:val="none" w:sz="0" w:space="0" w:color="auto"/>
        <w:bottom w:val="none" w:sz="0" w:space="0" w:color="auto"/>
        <w:right w:val="none" w:sz="0" w:space="0" w:color="auto"/>
      </w:divBdr>
      <w:divsChild>
        <w:div w:id="1627933548">
          <w:marLeft w:val="240"/>
          <w:marRight w:val="0"/>
          <w:marTop w:val="0"/>
          <w:marBottom w:val="0"/>
          <w:divBdr>
            <w:top w:val="none" w:sz="0" w:space="0" w:color="auto"/>
            <w:left w:val="none" w:sz="0" w:space="0" w:color="auto"/>
            <w:bottom w:val="none" w:sz="0" w:space="0" w:color="auto"/>
            <w:right w:val="none" w:sz="0" w:space="0" w:color="auto"/>
          </w:divBdr>
        </w:div>
      </w:divsChild>
    </w:div>
    <w:div w:id="776481768">
      <w:bodyDiv w:val="1"/>
      <w:marLeft w:val="0"/>
      <w:marRight w:val="0"/>
      <w:marTop w:val="0"/>
      <w:marBottom w:val="0"/>
      <w:divBdr>
        <w:top w:val="none" w:sz="0" w:space="0" w:color="auto"/>
        <w:left w:val="none" w:sz="0" w:space="0" w:color="auto"/>
        <w:bottom w:val="none" w:sz="0" w:space="0" w:color="auto"/>
        <w:right w:val="none" w:sz="0" w:space="0" w:color="auto"/>
      </w:divBdr>
      <w:divsChild>
        <w:div w:id="1685132888">
          <w:marLeft w:val="360"/>
          <w:marRight w:val="0"/>
          <w:marTop w:val="200"/>
          <w:marBottom w:val="0"/>
          <w:divBdr>
            <w:top w:val="none" w:sz="0" w:space="0" w:color="auto"/>
            <w:left w:val="none" w:sz="0" w:space="0" w:color="auto"/>
            <w:bottom w:val="none" w:sz="0" w:space="0" w:color="auto"/>
            <w:right w:val="none" w:sz="0" w:space="0" w:color="auto"/>
          </w:divBdr>
        </w:div>
      </w:divsChild>
    </w:div>
    <w:div w:id="1093550366">
      <w:bodyDiv w:val="1"/>
      <w:marLeft w:val="0"/>
      <w:marRight w:val="0"/>
      <w:marTop w:val="0"/>
      <w:marBottom w:val="0"/>
      <w:divBdr>
        <w:top w:val="none" w:sz="0" w:space="0" w:color="auto"/>
        <w:left w:val="none" w:sz="0" w:space="0" w:color="auto"/>
        <w:bottom w:val="none" w:sz="0" w:space="0" w:color="auto"/>
        <w:right w:val="none" w:sz="0" w:space="0" w:color="auto"/>
      </w:divBdr>
    </w:div>
    <w:div w:id="1399597542">
      <w:bodyDiv w:val="1"/>
      <w:marLeft w:val="0"/>
      <w:marRight w:val="0"/>
      <w:marTop w:val="0"/>
      <w:marBottom w:val="0"/>
      <w:divBdr>
        <w:top w:val="none" w:sz="0" w:space="0" w:color="auto"/>
        <w:left w:val="none" w:sz="0" w:space="0" w:color="auto"/>
        <w:bottom w:val="none" w:sz="0" w:space="0" w:color="auto"/>
        <w:right w:val="none" w:sz="0" w:space="0" w:color="auto"/>
      </w:divBdr>
      <w:divsChild>
        <w:div w:id="1543790020">
          <w:marLeft w:val="360"/>
          <w:marRight w:val="0"/>
          <w:marTop w:val="200"/>
          <w:marBottom w:val="0"/>
          <w:divBdr>
            <w:top w:val="none" w:sz="0" w:space="0" w:color="auto"/>
            <w:left w:val="none" w:sz="0" w:space="0" w:color="auto"/>
            <w:bottom w:val="none" w:sz="0" w:space="0" w:color="auto"/>
            <w:right w:val="none" w:sz="0" w:space="0" w:color="auto"/>
          </w:divBdr>
        </w:div>
      </w:divsChild>
    </w:div>
    <w:div w:id="1669405350">
      <w:bodyDiv w:val="1"/>
      <w:marLeft w:val="0"/>
      <w:marRight w:val="0"/>
      <w:marTop w:val="0"/>
      <w:marBottom w:val="0"/>
      <w:divBdr>
        <w:top w:val="none" w:sz="0" w:space="0" w:color="auto"/>
        <w:left w:val="none" w:sz="0" w:space="0" w:color="auto"/>
        <w:bottom w:val="none" w:sz="0" w:space="0" w:color="auto"/>
        <w:right w:val="none" w:sz="0" w:space="0" w:color="auto"/>
      </w:divBdr>
    </w:div>
    <w:div w:id="1828593935">
      <w:bodyDiv w:val="1"/>
      <w:marLeft w:val="0"/>
      <w:marRight w:val="0"/>
      <w:marTop w:val="0"/>
      <w:marBottom w:val="0"/>
      <w:divBdr>
        <w:top w:val="none" w:sz="0" w:space="0" w:color="auto"/>
        <w:left w:val="none" w:sz="0" w:space="0" w:color="auto"/>
        <w:bottom w:val="none" w:sz="0" w:space="0" w:color="auto"/>
        <w:right w:val="none" w:sz="0" w:space="0" w:color="auto"/>
      </w:divBdr>
      <w:divsChild>
        <w:div w:id="1234317021">
          <w:marLeft w:val="1080"/>
          <w:marRight w:val="0"/>
          <w:marTop w:val="100"/>
          <w:marBottom w:val="0"/>
          <w:divBdr>
            <w:top w:val="none" w:sz="0" w:space="0" w:color="auto"/>
            <w:left w:val="none" w:sz="0" w:space="0" w:color="auto"/>
            <w:bottom w:val="none" w:sz="0" w:space="0" w:color="auto"/>
            <w:right w:val="none" w:sz="0" w:space="0" w:color="auto"/>
          </w:divBdr>
        </w:div>
      </w:divsChild>
    </w:div>
    <w:div w:id="1859539181">
      <w:bodyDiv w:val="1"/>
      <w:marLeft w:val="0"/>
      <w:marRight w:val="0"/>
      <w:marTop w:val="0"/>
      <w:marBottom w:val="0"/>
      <w:divBdr>
        <w:top w:val="none" w:sz="0" w:space="0" w:color="auto"/>
        <w:left w:val="none" w:sz="0" w:space="0" w:color="auto"/>
        <w:bottom w:val="none" w:sz="0" w:space="0" w:color="auto"/>
        <w:right w:val="none" w:sz="0" w:space="0" w:color="auto"/>
      </w:divBdr>
      <w:divsChild>
        <w:div w:id="577248965">
          <w:marLeft w:val="1080"/>
          <w:marRight w:val="0"/>
          <w:marTop w:val="100"/>
          <w:marBottom w:val="0"/>
          <w:divBdr>
            <w:top w:val="none" w:sz="0" w:space="0" w:color="auto"/>
            <w:left w:val="none" w:sz="0" w:space="0" w:color="auto"/>
            <w:bottom w:val="none" w:sz="0" w:space="0" w:color="auto"/>
            <w:right w:val="none" w:sz="0" w:space="0" w:color="auto"/>
          </w:divBdr>
        </w:div>
      </w:divsChild>
    </w:div>
    <w:div w:id="1937982966">
      <w:bodyDiv w:val="1"/>
      <w:marLeft w:val="0"/>
      <w:marRight w:val="0"/>
      <w:marTop w:val="0"/>
      <w:marBottom w:val="0"/>
      <w:divBdr>
        <w:top w:val="none" w:sz="0" w:space="0" w:color="auto"/>
        <w:left w:val="none" w:sz="0" w:space="0" w:color="auto"/>
        <w:bottom w:val="none" w:sz="0" w:space="0" w:color="auto"/>
        <w:right w:val="none" w:sz="0" w:space="0" w:color="auto"/>
      </w:divBdr>
      <w:divsChild>
        <w:div w:id="2027560317">
          <w:marLeft w:val="360"/>
          <w:marRight w:val="0"/>
          <w:marTop w:val="200"/>
          <w:marBottom w:val="0"/>
          <w:divBdr>
            <w:top w:val="none" w:sz="0" w:space="0" w:color="auto"/>
            <w:left w:val="none" w:sz="0" w:space="0" w:color="auto"/>
            <w:bottom w:val="none" w:sz="0" w:space="0" w:color="auto"/>
            <w:right w:val="none" w:sz="0" w:space="0" w:color="auto"/>
          </w:divBdr>
        </w:div>
        <w:div w:id="2089688973">
          <w:marLeft w:val="1080"/>
          <w:marRight w:val="0"/>
          <w:marTop w:val="100"/>
          <w:marBottom w:val="0"/>
          <w:divBdr>
            <w:top w:val="none" w:sz="0" w:space="0" w:color="auto"/>
            <w:left w:val="none" w:sz="0" w:space="0" w:color="auto"/>
            <w:bottom w:val="none" w:sz="0" w:space="0" w:color="auto"/>
            <w:right w:val="none" w:sz="0" w:space="0" w:color="auto"/>
          </w:divBdr>
        </w:div>
      </w:divsChild>
    </w:div>
    <w:div w:id="19984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gid-ta10195/documents/final-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F000-D620-4900-A48B-3E747CB5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11417</Words>
  <Characters>64861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2018-10-10T04:04:00Z</dcterms:created>
  <dcterms:modified xsi:type="dcterms:W3CDTF">2018-10-18T02:32:00Z</dcterms:modified>
</cp:coreProperties>
</file>