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A8" w:rsidRPr="001515B5" w:rsidRDefault="007E2FA8" w:rsidP="001515B5">
      <w:pPr>
        <w:pStyle w:val="Title"/>
        <w:spacing w:after="0"/>
        <w:ind w:left="720" w:hanging="720"/>
        <w:rPr>
          <w:rFonts w:asciiTheme="minorHAnsi" w:hAnsiTheme="minorHAnsi" w:cstheme="minorHAnsi"/>
          <w:sz w:val="36"/>
          <w:szCs w:val="36"/>
        </w:rPr>
      </w:pPr>
      <w:r w:rsidRPr="00116E3E">
        <w:rPr>
          <w:rFonts w:asciiTheme="minorHAnsi" w:hAnsiTheme="minorHAnsi"/>
          <w:sz w:val="36"/>
          <w:szCs w:val="36"/>
        </w:rPr>
        <w:t>5.22</w:t>
      </w:r>
      <w:r w:rsidR="006D6493" w:rsidRPr="00116E3E">
        <w:rPr>
          <w:rFonts w:asciiTheme="minorHAnsi" w:hAnsiTheme="minorHAnsi"/>
          <w:sz w:val="36"/>
          <w:szCs w:val="36"/>
        </w:rPr>
        <w:tab/>
      </w:r>
      <w:r w:rsidRPr="001515B5">
        <w:rPr>
          <w:rFonts w:asciiTheme="minorHAnsi" w:hAnsiTheme="minorHAnsi" w:cstheme="minorHAnsi"/>
          <w:sz w:val="36"/>
          <w:szCs w:val="36"/>
        </w:rPr>
        <w:t>METHOTREXATE</w:t>
      </w:r>
      <w:r w:rsidR="006D6493" w:rsidRPr="001515B5">
        <w:rPr>
          <w:rFonts w:asciiTheme="minorHAnsi" w:hAnsiTheme="minorHAnsi" w:cstheme="minorHAnsi"/>
          <w:sz w:val="36"/>
          <w:szCs w:val="36"/>
        </w:rPr>
        <w:t xml:space="preserve"> </w:t>
      </w:r>
      <w:r w:rsidR="006D6493" w:rsidRPr="001515B5">
        <w:rPr>
          <w:rFonts w:asciiTheme="minorHAnsi" w:hAnsiTheme="minorHAnsi" w:cstheme="minorHAnsi"/>
          <w:sz w:val="36"/>
          <w:szCs w:val="36"/>
        </w:rPr>
        <w:br/>
      </w:r>
      <w:r w:rsidRPr="001515B5">
        <w:rPr>
          <w:rFonts w:asciiTheme="minorHAnsi" w:hAnsiTheme="minorHAnsi" w:cstheme="minorHAnsi"/>
          <w:sz w:val="36"/>
          <w:szCs w:val="36"/>
        </w:rPr>
        <w:t>I</w:t>
      </w:r>
      <w:r w:rsidRPr="001515B5">
        <w:rPr>
          <w:rStyle w:val="BodyText2Char"/>
          <w:rFonts w:asciiTheme="minorHAnsi" w:hAnsiTheme="minorHAnsi" w:cstheme="minorHAnsi"/>
          <w:sz w:val="36"/>
          <w:szCs w:val="36"/>
        </w:rPr>
        <w:t>njection 7.5 mg in 0.3 mL pre-filled syringe</w:t>
      </w:r>
    </w:p>
    <w:p w:rsidR="007E2FA8" w:rsidRPr="001515B5" w:rsidRDefault="007E2FA8" w:rsidP="001515B5">
      <w:pPr>
        <w:pStyle w:val="BodyText2"/>
        <w:ind w:firstLine="720"/>
        <w:rPr>
          <w:rFonts w:asciiTheme="minorHAnsi" w:hAnsiTheme="minorHAnsi" w:cstheme="minorHAnsi"/>
          <w:b/>
          <w:sz w:val="36"/>
          <w:szCs w:val="36"/>
        </w:rPr>
      </w:pPr>
      <w:r w:rsidRPr="001515B5">
        <w:rPr>
          <w:rFonts w:asciiTheme="minorHAnsi" w:hAnsiTheme="minorHAnsi" w:cstheme="minorHAnsi"/>
          <w:b/>
          <w:sz w:val="36"/>
          <w:szCs w:val="36"/>
        </w:rPr>
        <w:t>Injection 10 mg in 0.4 mL pre-filled syringe</w:t>
      </w:r>
    </w:p>
    <w:p w:rsidR="007E2FA8" w:rsidRPr="001515B5" w:rsidRDefault="007E2FA8" w:rsidP="001515B5">
      <w:pPr>
        <w:pStyle w:val="BodyText2"/>
        <w:ind w:firstLine="720"/>
        <w:rPr>
          <w:rFonts w:asciiTheme="minorHAnsi" w:hAnsiTheme="minorHAnsi" w:cstheme="minorHAnsi"/>
          <w:b/>
          <w:sz w:val="36"/>
          <w:szCs w:val="36"/>
        </w:rPr>
      </w:pPr>
      <w:r w:rsidRPr="001515B5">
        <w:rPr>
          <w:rFonts w:asciiTheme="minorHAnsi" w:hAnsiTheme="minorHAnsi" w:cstheme="minorHAnsi"/>
          <w:b/>
          <w:sz w:val="36"/>
          <w:szCs w:val="36"/>
        </w:rPr>
        <w:t>Injection 15 mg in 0.6 mL pre-filled syringe</w:t>
      </w:r>
    </w:p>
    <w:p w:rsidR="007E2FA8" w:rsidRPr="001515B5" w:rsidRDefault="007E2FA8" w:rsidP="001515B5">
      <w:pPr>
        <w:pStyle w:val="BodyText2"/>
        <w:ind w:firstLine="720"/>
        <w:rPr>
          <w:rFonts w:asciiTheme="minorHAnsi" w:hAnsiTheme="minorHAnsi" w:cstheme="minorHAnsi"/>
          <w:b/>
          <w:sz w:val="36"/>
          <w:szCs w:val="36"/>
        </w:rPr>
      </w:pPr>
      <w:r w:rsidRPr="001515B5">
        <w:rPr>
          <w:rFonts w:asciiTheme="minorHAnsi" w:hAnsiTheme="minorHAnsi" w:cstheme="minorHAnsi"/>
          <w:b/>
          <w:sz w:val="36"/>
          <w:szCs w:val="36"/>
        </w:rPr>
        <w:t>Injection 20 mg in 0.8 mL pre-filled syringe</w:t>
      </w:r>
    </w:p>
    <w:p w:rsidR="006D6493" w:rsidRPr="001515B5" w:rsidRDefault="007E2FA8" w:rsidP="001515B5">
      <w:pPr>
        <w:pStyle w:val="BodyText3"/>
        <w:spacing w:after="0"/>
        <w:ind w:left="709"/>
        <w:rPr>
          <w:rFonts w:asciiTheme="minorHAnsi" w:hAnsiTheme="minorHAnsi" w:cstheme="minorHAnsi"/>
          <w:b/>
          <w:sz w:val="36"/>
          <w:szCs w:val="36"/>
        </w:rPr>
      </w:pPr>
      <w:r w:rsidRPr="001515B5">
        <w:rPr>
          <w:rFonts w:asciiTheme="minorHAnsi" w:hAnsiTheme="minorHAnsi" w:cstheme="minorHAnsi"/>
          <w:b/>
          <w:snapToGrid w:val="0"/>
          <w:sz w:val="36"/>
          <w:szCs w:val="36"/>
          <w:lang w:eastAsia="en-US"/>
        </w:rPr>
        <w:t>Injection 25 mg in 1 mL pre-filled syringe</w:t>
      </w:r>
      <w:r w:rsidR="006D6493" w:rsidRPr="001515B5">
        <w:rPr>
          <w:rFonts w:asciiTheme="minorHAnsi" w:hAnsiTheme="minorHAnsi" w:cstheme="minorHAnsi"/>
          <w:b/>
          <w:sz w:val="36"/>
          <w:szCs w:val="36"/>
        </w:rPr>
        <w:br/>
      </w:r>
      <w:r w:rsidRPr="001515B5">
        <w:rPr>
          <w:rStyle w:val="BodyText2Char"/>
          <w:rFonts w:asciiTheme="minorHAnsi" w:hAnsiTheme="minorHAnsi" w:cstheme="minorHAnsi"/>
          <w:b/>
          <w:sz w:val="36"/>
          <w:szCs w:val="36"/>
        </w:rPr>
        <w:t>Methoblastin PFS</w:t>
      </w:r>
      <w:r w:rsidR="006D6493" w:rsidRPr="001515B5">
        <w:rPr>
          <w:rStyle w:val="BodyText2Char"/>
          <w:rFonts w:asciiTheme="minorHAnsi" w:hAnsiTheme="minorHAnsi" w:cstheme="minorHAnsi"/>
          <w:b/>
          <w:sz w:val="36"/>
          <w:szCs w:val="36"/>
        </w:rPr>
        <w:t xml:space="preserve">®, </w:t>
      </w:r>
      <w:r w:rsidRPr="001515B5">
        <w:rPr>
          <w:rStyle w:val="BodyText2Char"/>
          <w:rFonts w:asciiTheme="minorHAnsi" w:hAnsiTheme="minorHAnsi" w:cstheme="minorHAnsi"/>
          <w:b/>
          <w:sz w:val="36"/>
          <w:szCs w:val="36"/>
        </w:rPr>
        <w:t>Pfizer</w:t>
      </w:r>
    </w:p>
    <w:p w:rsidR="008A50F1" w:rsidRPr="00116E3E" w:rsidRDefault="00CE10C4" w:rsidP="00EB0B63">
      <w:pPr>
        <w:pStyle w:val="PBACHeading1"/>
        <w:spacing w:before="240" w:after="120"/>
        <w:ind w:left="709" w:hanging="709"/>
        <w:rPr>
          <w:rFonts w:asciiTheme="minorHAnsi" w:hAnsiTheme="minorHAnsi"/>
          <w:sz w:val="32"/>
          <w:szCs w:val="32"/>
        </w:rPr>
      </w:pPr>
      <w:r w:rsidRPr="00116E3E">
        <w:rPr>
          <w:rFonts w:asciiTheme="minorHAnsi" w:hAnsiTheme="minorHAnsi"/>
          <w:sz w:val="32"/>
          <w:szCs w:val="32"/>
        </w:rPr>
        <w:t xml:space="preserve">Purpose of </w:t>
      </w:r>
      <w:r w:rsidR="0004240E" w:rsidRPr="00116E3E">
        <w:rPr>
          <w:rFonts w:asciiTheme="minorHAnsi" w:hAnsiTheme="minorHAnsi"/>
          <w:sz w:val="32"/>
          <w:szCs w:val="32"/>
        </w:rPr>
        <w:t>Application</w:t>
      </w:r>
    </w:p>
    <w:p w:rsidR="008F3E0B" w:rsidRPr="00116E3E" w:rsidRDefault="00EF44A0" w:rsidP="00EB0B63">
      <w:pPr>
        <w:pStyle w:val="ListParagraph"/>
        <w:widowControl/>
        <w:numPr>
          <w:ilvl w:val="1"/>
          <w:numId w:val="5"/>
        </w:numPr>
        <w:spacing w:after="120"/>
        <w:contextualSpacing w:val="0"/>
        <w:rPr>
          <w:rFonts w:asciiTheme="minorHAnsi" w:hAnsiTheme="minorHAnsi"/>
          <w:sz w:val="24"/>
          <w:szCs w:val="24"/>
        </w:rPr>
      </w:pPr>
      <w:r w:rsidRPr="00116E3E">
        <w:rPr>
          <w:rFonts w:asciiTheme="minorHAnsi" w:eastAsiaTheme="minorHAnsi" w:hAnsiTheme="minorHAnsi" w:cstheme="minorBidi"/>
          <w:snapToGrid/>
          <w:sz w:val="24"/>
          <w:szCs w:val="22"/>
        </w:rPr>
        <w:t>The mi</w:t>
      </w:r>
      <w:r w:rsidR="00FF2801" w:rsidRPr="00116E3E">
        <w:rPr>
          <w:rFonts w:asciiTheme="minorHAnsi" w:eastAsiaTheme="minorHAnsi" w:hAnsiTheme="minorHAnsi" w:cstheme="minorBidi"/>
          <w:snapToGrid/>
          <w:sz w:val="24"/>
          <w:szCs w:val="22"/>
        </w:rPr>
        <w:t>nor submission</w:t>
      </w:r>
      <w:r w:rsidR="007E2FA8" w:rsidRPr="00116E3E">
        <w:rPr>
          <w:rFonts w:asciiTheme="minorHAnsi" w:eastAsiaTheme="minorHAnsi" w:hAnsiTheme="minorHAnsi" w:cstheme="minorBidi"/>
          <w:snapToGrid/>
          <w:sz w:val="24"/>
          <w:szCs w:val="22"/>
        </w:rPr>
        <w:t xml:space="preserve"> requested </w:t>
      </w:r>
      <w:r w:rsidR="00083D96" w:rsidRPr="00116E3E">
        <w:rPr>
          <w:rFonts w:asciiTheme="minorHAnsi" w:eastAsiaTheme="minorHAnsi" w:hAnsiTheme="minorHAnsi" w:cstheme="minorBidi"/>
          <w:snapToGrid/>
          <w:sz w:val="24"/>
          <w:szCs w:val="22"/>
        </w:rPr>
        <w:t>a General Schedule Authority Required (Streamlined)</w:t>
      </w:r>
      <w:r w:rsidR="007E2FA8" w:rsidRPr="00116E3E">
        <w:rPr>
          <w:rFonts w:asciiTheme="minorHAnsi" w:eastAsiaTheme="minorHAnsi" w:hAnsiTheme="minorHAnsi" w:cstheme="minorBidi"/>
          <w:snapToGrid/>
          <w:sz w:val="24"/>
          <w:szCs w:val="22"/>
        </w:rPr>
        <w:t xml:space="preserve"> </w:t>
      </w:r>
      <w:r w:rsidR="00083D96" w:rsidRPr="00116E3E">
        <w:rPr>
          <w:rFonts w:asciiTheme="minorHAnsi" w:eastAsiaTheme="minorHAnsi" w:hAnsiTheme="minorHAnsi" w:cstheme="minorBidi"/>
          <w:snapToGrid/>
          <w:sz w:val="24"/>
          <w:szCs w:val="22"/>
        </w:rPr>
        <w:t xml:space="preserve">listing </w:t>
      </w:r>
      <w:r w:rsidR="007E2FA8" w:rsidRPr="00116E3E">
        <w:rPr>
          <w:rFonts w:asciiTheme="minorHAnsi" w:eastAsiaTheme="minorHAnsi" w:hAnsiTheme="minorHAnsi" w:cstheme="minorBidi"/>
          <w:snapToGrid/>
          <w:sz w:val="24"/>
          <w:szCs w:val="22"/>
        </w:rPr>
        <w:t xml:space="preserve">of five </w:t>
      </w:r>
      <w:r w:rsidR="00C34676" w:rsidRPr="00116E3E">
        <w:rPr>
          <w:rFonts w:asciiTheme="minorHAnsi" w:eastAsiaTheme="minorHAnsi" w:hAnsiTheme="minorHAnsi" w:cstheme="minorBidi"/>
          <w:snapToGrid/>
          <w:sz w:val="24"/>
          <w:szCs w:val="22"/>
        </w:rPr>
        <w:t>forms</w:t>
      </w:r>
      <w:r w:rsidR="007E2FA8" w:rsidRPr="00116E3E">
        <w:rPr>
          <w:rFonts w:asciiTheme="minorHAnsi" w:eastAsiaTheme="minorHAnsi" w:hAnsiTheme="minorHAnsi" w:cstheme="minorBidi"/>
          <w:snapToGrid/>
          <w:sz w:val="24"/>
          <w:szCs w:val="22"/>
        </w:rPr>
        <w:t xml:space="preserve"> of </w:t>
      </w:r>
      <w:r w:rsidR="00924015" w:rsidRPr="00116E3E">
        <w:rPr>
          <w:rFonts w:asciiTheme="minorHAnsi" w:eastAsiaTheme="minorHAnsi" w:hAnsiTheme="minorHAnsi" w:cstheme="minorBidi"/>
          <w:snapToGrid/>
          <w:sz w:val="24"/>
          <w:szCs w:val="22"/>
        </w:rPr>
        <w:t xml:space="preserve">a new brand of </w:t>
      </w:r>
      <w:r w:rsidR="00922065" w:rsidRPr="00116E3E">
        <w:rPr>
          <w:rFonts w:asciiTheme="minorHAnsi" w:eastAsiaTheme="minorHAnsi" w:hAnsiTheme="minorHAnsi" w:cstheme="minorBidi"/>
          <w:snapToGrid/>
          <w:sz w:val="24"/>
          <w:szCs w:val="22"/>
        </w:rPr>
        <w:t xml:space="preserve">subcutaneous (SC) </w:t>
      </w:r>
      <w:r w:rsidR="00924015" w:rsidRPr="00116E3E">
        <w:rPr>
          <w:rFonts w:asciiTheme="minorHAnsi" w:eastAsiaTheme="minorHAnsi" w:hAnsiTheme="minorHAnsi" w:cstheme="minorBidi"/>
          <w:snapToGrid/>
          <w:sz w:val="24"/>
          <w:szCs w:val="22"/>
        </w:rPr>
        <w:t xml:space="preserve">methotrexate, </w:t>
      </w:r>
      <w:r w:rsidR="007E2FA8" w:rsidRPr="00116E3E">
        <w:rPr>
          <w:rFonts w:asciiTheme="minorHAnsi" w:eastAsiaTheme="minorHAnsi" w:hAnsiTheme="minorHAnsi" w:cstheme="minorBidi"/>
          <w:snapToGrid/>
          <w:sz w:val="24"/>
          <w:szCs w:val="22"/>
        </w:rPr>
        <w:t>Methoblastin PFS</w:t>
      </w:r>
      <w:r w:rsidR="0080770B" w:rsidRPr="00116E3E">
        <w:rPr>
          <w:rFonts w:asciiTheme="minorHAnsi" w:hAnsiTheme="minorHAnsi"/>
          <w:sz w:val="24"/>
          <w:szCs w:val="24"/>
          <w:vertAlign w:val="superscript"/>
        </w:rPr>
        <w:t>®</w:t>
      </w:r>
      <w:r w:rsidR="005C2DFD" w:rsidRPr="00116E3E">
        <w:rPr>
          <w:rFonts w:asciiTheme="minorHAnsi" w:hAnsiTheme="minorHAnsi"/>
          <w:sz w:val="24"/>
          <w:szCs w:val="24"/>
        </w:rPr>
        <w:t xml:space="preserve">, which is bioequivalent to the currently PBS-listed brand of </w:t>
      </w:r>
      <w:r w:rsidR="00922065" w:rsidRPr="00116E3E">
        <w:rPr>
          <w:rFonts w:asciiTheme="minorHAnsi" w:hAnsiTheme="minorHAnsi"/>
          <w:sz w:val="24"/>
          <w:szCs w:val="24"/>
        </w:rPr>
        <w:t xml:space="preserve">SC </w:t>
      </w:r>
      <w:r w:rsidR="005C2DFD" w:rsidRPr="00116E3E">
        <w:rPr>
          <w:rFonts w:asciiTheme="minorHAnsi" w:hAnsiTheme="minorHAnsi"/>
          <w:sz w:val="24"/>
          <w:szCs w:val="24"/>
        </w:rPr>
        <w:t>methotrexate, Trexject</w:t>
      </w:r>
      <w:r w:rsidR="005C2DFD" w:rsidRPr="00116E3E">
        <w:rPr>
          <w:rFonts w:asciiTheme="minorHAnsi" w:hAnsiTheme="minorHAnsi"/>
          <w:sz w:val="24"/>
          <w:szCs w:val="24"/>
          <w:vertAlign w:val="superscript"/>
        </w:rPr>
        <w:t>®</w:t>
      </w:r>
      <w:r w:rsidR="00EB07A3" w:rsidRPr="00116E3E">
        <w:rPr>
          <w:rFonts w:asciiTheme="minorHAnsi" w:hAnsiTheme="minorHAnsi"/>
          <w:sz w:val="24"/>
          <w:szCs w:val="24"/>
        </w:rPr>
        <w:t>.</w:t>
      </w:r>
    </w:p>
    <w:p w:rsidR="006A12A5" w:rsidRPr="00116E3E" w:rsidRDefault="006A12A5" w:rsidP="00EB0B63">
      <w:pPr>
        <w:pStyle w:val="PBACHeading1"/>
        <w:spacing w:before="240" w:after="120"/>
        <w:ind w:left="709" w:hanging="709"/>
        <w:rPr>
          <w:rFonts w:asciiTheme="minorHAnsi" w:hAnsiTheme="minorHAnsi"/>
          <w:sz w:val="32"/>
          <w:szCs w:val="32"/>
        </w:rPr>
      </w:pPr>
      <w:r w:rsidRPr="00116E3E">
        <w:rPr>
          <w:rFonts w:asciiTheme="minorHAnsi" w:hAnsiTheme="minorHAnsi"/>
          <w:sz w:val="32"/>
          <w:szCs w:val="32"/>
        </w:rPr>
        <w:t>Requested listing</w:t>
      </w:r>
    </w:p>
    <w:p w:rsidR="0067747D" w:rsidRPr="00116E3E" w:rsidRDefault="00EF44A0"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16E3E">
        <w:rPr>
          <w:rFonts w:asciiTheme="minorHAnsi" w:eastAsiaTheme="minorHAnsi" w:hAnsiTheme="minorHAnsi" w:cstheme="minorBidi"/>
          <w:snapToGrid/>
          <w:sz w:val="24"/>
          <w:szCs w:val="22"/>
        </w:rPr>
        <w:t xml:space="preserve">The </w:t>
      </w:r>
      <w:r w:rsidR="00496846" w:rsidRPr="00116E3E">
        <w:rPr>
          <w:rFonts w:asciiTheme="minorHAnsi" w:eastAsiaTheme="minorHAnsi" w:hAnsiTheme="minorHAnsi" w:cstheme="minorBidi"/>
          <w:snapToGrid/>
          <w:sz w:val="24"/>
          <w:szCs w:val="22"/>
        </w:rPr>
        <w:t xml:space="preserve">minor </w:t>
      </w:r>
      <w:r w:rsidRPr="00116E3E">
        <w:rPr>
          <w:rFonts w:asciiTheme="minorHAnsi" w:eastAsiaTheme="minorHAnsi" w:hAnsiTheme="minorHAnsi" w:cstheme="minorBidi"/>
          <w:snapToGrid/>
          <w:sz w:val="24"/>
          <w:szCs w:val="22"/>
        </w:rPr>
        <w:t xml:space="preserve">submission </w:t>
      </w:r>
      <w:r w:rsidR="00A43E17" w:rsidRPr="00116E3E">
        <w:rPr>
          <w:rFonts w:asciiTheme="minorHAnsi" w:eastAsiaTheme="minorHAnsi" w:hAnsiTheme="minorHAnsi" w:cstheme="minorBidi"/>
          <w:snapToGrid/>
          <w:sz w:val="24"/>
          <w:szCs w:val="22"/>
        </w:rPr>
        <w:t>requested listing</w:t>
      </w:r>
      <w:r w:rsidR="004A69BC" w:rsidRPr="00116E3E">
        <w:rPr>
          <w:rFonts w:asciiTheme="minorHAnsi" w:eastAsiaTheme="minorHAnsi" w:hAnsiTheme="minorHAnsi" w:cstheme="minorBidi"/>
          <w:snapToGrid/>
          <w:sz w:val="24"/>
          <w:szCs w:val="22"/>
        </w:rPr>
        <w:t>s</w:t>
      </w:r>
      <w:r w:rsidR="00A43E17" w:rsidRPr="00116E3E">
        <w:rPr>
          <w:rFonts w:asciiTheme="minorHAnsi" w:eastAsiaTheme="minorHAnsi" w:hAnsiTheme="minorHAnsi" w:cstheme="minorBidi"/>
          <w:snapToGrid/>
          <w:sz w:val="24"/>
          <w:szCs w:val="22"/>
        </w:rPr>
        <w:t xml:space="preserve"> </w:t>
      </w:r>
      <w:r w:rsidR="00020247" w:rsidRPr="00116E3E">
        <w:rPr>
          <w:rFonts w:asciiTheme="minorHAnsi" w:eastAsiaTheme="minorHAnsi" w:hAnsiTheme="minorHAnsi" w:cstheme="minorBidi"/>
          <w:snapToGrid/>
          <w:sz w:val="24"/>
          <w:szCs w:val="22"/>
        </w:rPr>
        <w:t>for</w:t>
      </w:r>
      <w:r w:rsidR="00A43E17" w:rsidRPr="00116E3E">
        <w:rPr>
          <w:rFonts w:asciiTheme="minorHAnsi" w:eastAsiaTheme="minorHAnsi" w:hAnsiTheme="minorHAnsi" w:cstheme="minorBidi"/>
          <w:snapToGrid/>
          <w:sz w:val="24"/>
          <w:szCs w:val="22"/>
        </w:rPr>
        <w:t xml:space="preserve"> the following new forms of SC methotrexate, </w:t>
      </w:r>
      <w:r w:rsidR="00360B26" w:rsidRPr="00116E3E">
        <w:rPr>
          <w:rFonts w:asciiTheme="minorHAnsi" w:eastAsiaTheme="minorHAnsi" w:hAnsiTheme="minorHAnsi" w:cstheme="minorBidi"/>
          <w:snapToGrid/>
          <w:sz w:val="24"/>
          <w:szCs w:val="22"/>
        </w:rPr>
        <w:t xml:space="preserve">for </w:t>
      </w:r>
      <w:r w:rsidR="00A43E17" w:rsidRPr="00116E3E">
        <w:rPr>
          <w:rFonts w:asciiTheme="minorHAnsi" w:eastAsiaTheme="minorHAnsi" w:hAnsiTheme="minorHAnsi" w:cstheme="minorBidi"/>
          <w:snapToGrid/>
          <w:sz w:val="24"/>
          <w:szCs w:val="22"/>
        </w:rPr>
        <w:t xml:space="preserve">the same </w:t>
      </w:r>
      <w:r w:rsidR="00020247" w:rsidRPr="00116E3E">
        <w:rPr>
          <w:rFonts w:asciiTheme="minorHAnsi" w:eastAsiaTheme="minorHAnsi" w:hAnsiTheme="minorHAnsi" w:cstheme="minorBidi"/>
          <w:snapToGrid/>
          <w:sz w:val="24"/>
          <w:szCs w:val="22"/>
        </w:rPr>
        <w:t xml:space="preserve">indications </w:t>
      </w:r>
      <w:r w:rsidR="00A43E17" w:rsidRPr="00116E3E">
        <w:rPr>
          <w:rFonts w:asciiTheme="minorHAnsi" w:eastAsiaTheme="minorHAnsi" w:hAnsiTheme="minorHAnsi" w:cstheme="minorBidi"/>
          <w:snapToGrid/>
          <w:sz w:val="24"/>
          <w:szCs w:val="22"/>
        </w:rPr>
        <w:t xml:space="preserve">as the </w:t>
      </w:r>
      <w:r w:rsidR="00360B26" w:rsidRPr="00116E3E">
        <w:rPr>
          <w:rFonts w:asciiTheme="minorHAnsi" w:eastAsiaTheme="minorHAnsi" w:hAnsiTheme="minorHAnsi" w:cstheme="minorBidi"/>
          <w:snapToGrid/>
          <w:sz w:val="24"/>
          <w:szCs w:val="22"/>
        </w:rPr>
        <w:t xml:space="preserve">currently </w:t>
      </w:r>
      <w:r w:rsidR="001933B1" w:rsidRPr="00116E3E">
        <w:rPr>
          <w:rFonts w:asciiTheme="minorHAnsi" w:eastAsiaTheme="minorHAnsi" w:hAnsiTheme="minorHAnsi" w:cstheme="minorBidi"/>
          <w:snapToGrid/>
          <w:sz w:val="24"/>
          <w:szCs w:val="22"/>
        </w:rPr>
        <w:t xml:space="preserve">PBS </w:t>
      </w:r>
      <w:r w:rsidR="00A43E17" w:rsidRPr="00116E3E">
        <w:rPr>
          <w:rFonts w:asciiTheme="minorHAnsi" w:eastAsiaTheme="minorHAnsi" w:hAnsiTheme="minorHAnsi" w:cstheme="minorBidi"/>
          <w:snapToGrid/>
          <w:sz w:val="24"/>
          <w:szCs w:val="22"/>
        </w:rPr>
        <w:t>list</w:t>
      </w:r>
      <w:r w:rsidR="00360B26" w:rsidRPr="00116E3E">
        <w:rPr>
          <w:rFonts w:asciiTheme="minorHAnsi" w:eastAsiaTheme="minorHAnsi" w:hAnsiTheme="minorHAnsi" w:cstheme="minorBidi"/>
          <w:snapToGrid/>
          <w:sz w:val="24"/>
          <w:szCs w:val="22"/>
        </w:rPr>
        <w:t>ed</w:t>
      </w:r>
      <w:r w:rsidR="001933B1" w:rsidRPr="00116E3E">
        <w:rPr>
          <w:rFonts w:asciiTheme="minorHAnsi" w:eastAsiaTheme="minorHAnsi" w:hAnsiTheme="minorHAnsi" w:cstheme="minorBidi"/>
          <w:snapToGrid/>
          <w:sz w:val="24"/>
          <w:szCs w:val="22"/>
        </w:rPr>
        <w:t xml:space="preserve"> </w:t>
      </w:r>
      <w:r w:rsidR="008864A2" w:rsidRPr="00116E3E">
        <w:rPr>
          <w:rFonts w:asciiTheme="minorHAnsi" w:eastAsiaTheme="minorHAnsi" w:hAnsiTheme="minorHAnsi" w:cstheme="minorBidi"/>
          <w:snapToGrid/>
          <w:sz w:val="24"/>
          <w:szCs w:val="22"/>
        </w:rPr>
        <w:t xml:space="preserve">brand </w:t>
      </w:r>
      <w:r w:rsidR="001933B1" w:rsidRPr="00116E3E">
        <w:rPr>
          <w:rFonts w:asciiTheme="minorHAnsi" w:eastAsiaTheme="minorHAnsi" w:hAnsiTheme="minorHAnsi" w:cstheme="minorBidi"/>
          <w:snapToGrid/>
          <w:sz w:val="24"/>
          <w:szCs w:val="22"/>
        </w:rPr>
        <w:t>Trexject</w:t>
      </w:r>
      <w:r w:rsidR="00681739" w:rsidRPr="00116E3E">
        <w:rPr>
          <w:rFonts w:asciiTheme="minorHAnsi" w:hAnsiTheme="minorHAnsi"/>
          <w:sz w:val="24"/>
          <w:szCs w:val="24"/>
          <w:vertAlign w:val="superscript"/>
        </w:rPr>
        <w:t>®</w:t>
      </w:r>
      <w:r w:rsidR="00A43E17" w:rsidRPr="00116E3E">
        <w:rPr>
          <w:rFonts w:asciiTheme="minorHAnsi" w:eastAsiaTheme="minorHAnsi" w:hAnsiTheme="minorHAnsi" w:cstheme="minorBidi"/>
          <w:snapToGrid/>
          <w:sz w:val="24"/>
          <w:szCs w:val="22"/>
        </w:rPr>
        <w:t>:</w:t>
      </w:r>
    </w:p>
    <w:p w:rsidR="00083D96" w:rsidRPr="00116E3E" w:rsidRDefault="00083D96" w:rsidP="00083D96">
      <w:pPr>
        <w:spacing w:after="120"/>
        <w:rPr>
          <w:rFonts w:asciiTheme="minorHAnsi" w:eastAsiaTheme="minorHAnsi" w:hAnsiTheme="minorHAnsi" w:cstheme="minorBidi"/>
          <w:szCs w:val="22"/>
        </w:rPr>
      </w:pPr>
    </w:p>
    <w:tbl>
      <w:tblPr>
        <w:tblW w:w="4952" w:type="pct"/>
        <w:jc w:val="center"/>
        <w:tblLook w:val="0000" w:firstRow="0" w:lastRow="0" w:firstColumn="0" w:lastColumn="0" w:noHBand="0" w:noVBand="0"/>
      </w:tblPr>
      <w:tblGrid>
        <w:gridCol w:w="3481"/>
        <w:gridCol w:w="650"/>
        <w:gridCol w:w="654"/>
        <w:gridCol w:w="1534"/>
        <w:gridCol w:w="1225"/>
        <w:gridCol w:w="1609"/>
      </w:tblGrid>
      <w:tr w:rsidR="00083D96" w:rsidRPr="00116E3E" w:rsidTr="00EB07A3">
        <w:trPr>
          <w:cantSplit/>
          <w:trHeight w:val="465"/>
          <w:jc w:val="center"/>
        </w:trPr>
        <w:tc>
          <w:tcPr>
            <w:tcW w:w="1902" w:type="pct"/>
            <w:tcBorders>
              <w:bottom w:val="single" w:sz="4" w:space="0" w:color="auto"/>
            </w:tcBorders>
          </w:tcPr>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Name, Restriction,</w:t>
            </w:r>
          </w:p>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Manner of administration and form</w:t>
            </w:r>
          </w:p>
        </w:tc>
        <w:tc>
          <w:tcPr>
            <w:tcW w:w="355" w:type="pct"/>
            <w:tcBorders>
              <w:bottom w:val="single" w:sz="4" w:space="0" w:color="auto"/>
            </w:tcBorders>
          </w:tcPr>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Max.</w:t>
            </w:r>
          </w:p>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Qty</w:t>
            </w:r>
          </w:p>
        </w:tc>
        <w:tc>
          <w:tcPr>
            <w:tcW w:w="357" w:type="pct"/>
            <w:tcBorders>
              <w:bottom w:val="single" w:sz="4" w:space="0" w:color="auto"/>
            </w:tcBorders>
          </w:tcPr>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№.of</w:t>
            </w:r>
          </w:p>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Rpts</w:t>
            </w:r>
          </w:p>
        </w:tc>
        <w:tc>
          <w:tcPr>
            <w:tcW w:w="838" w:type="pct"/>
            <w:tcBorders>
              <w:bottom w:val="single" w:sz="4" w:space="0" w:color="auto"/>
            </w:tcBorders>
          </w:tcPr>
          <w:p w:rsidR="00083D96" w:rsidRPr="00116E3E" w:rsidRDefault="00083D96" w:rsidP="00083D96">
            <w:pPr>
              <w:keepNext/>
              <w:spacing w:before="40" w:after="40"/>
              <w:jc w:val="both"/>
              <w:rPr>
                <w:rFonts w:ascii="Arial Narrow" w:hAnsi="Arial Narrow" w:cs="Arial"/>
                <w:b/>
                <w:sz w:val="20"/>
                <w:szCs w:val="20"/>
              </w:rPr>
            </w:pPr>
            <w:r w:rsidRPr="00116E3E">
              <w:rPr>
                <w:rFonts w:ascii="Arial Narrow" w:hAnsi="Arial Narrow" w:cs="Arial"/>
                <w:b/>
                <w:sz w:val="20"/>
                <w:szCs w:val="20"/>
              </w:rPr>
              <w:t>Dispensed Price for Max. Qty</w:t>
            </w:r>
          </w:p>
        </w:tc>
        <w:tc>
          <w:tcPr>
            <w:tcW w:w="1548" w:type="pct"/>
            <w:gridSpan w:val="2"/>
            <w:tcBorders>
              <w:bottom w:val="single" w:sz="4" w:space="0" w:color="auto"/>
            </w:tcBorders>
          </w:tcPr>
          <w:p w:rsidR="00083D96" w:rsidRPr="00116E3E" w:rsidRDefault="00083D96" w:rsidP="00083D96">
            <w:pPr>
              <w:keepNext/>
              <w:tabs>
                <w:tab w:val="left" w:pos="1634"/>
              </w:tabs>
              <w:spacing w:before="40" w:after="40"/>
              <w:jc w:val="both"/>
              <w:rPr>
                <w:rFonts w:ascii="Arial Narrow" w:hAnsi="Arial Narrow" w:cs="Arial"/>
                <w:b/>
                <w:sz w:val="20"/>
                <w:szCs w:val="20"/>
              </w:rPr>
            </w:pPr>
            <w:r w:rsidRPr="00116E3E">
              <w:rPr>
                <w:rFonts w:ascii="Arial Narrow" w:hAnsi="Arial Narrow" w:cs="Arial"/>
                <w:b/>
                <w:sz w:val="20"/>
                <w:szCs w:val="20"/>
              </w:rPr>
              <w:t>Proprietary Name and Manufacturer</w:t>
            </w:r>
          </w:p>
        </w:tc>
      </w:tr>
      <w:tr w:rsidR="00083D96" w:rsidRPr="00116E3E" w:rsidTr="00525DE6">
        <w:trPr>
          <w:cantSplit/>
          <w:trHeight w:val="605"/>
          <w:jc w:val="center"/>
        </w:trPr>
        <w:tc>
          <w:tcPr>
            <w:tcW w:w="1902"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mallCaps/>
                <w:sz w:val="20"/>
                <w:szCs w:val="20"/>
              </w:rPr>
              <w:t>METHOTREXATE</w:t>
            </w:r>
          </w:p>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7.5 mg/0.3mL injection, 4 x 0.3 mL syringes</w:t>
            </w:r>
          </w:p>
        </w:tc>
        <w:tc>
          <w:tcPr>
            <w:tcW w:w="355" w:type="pct"/>
          </w:tcPr>
          <w:p w:rsidR="00083D96" w:rsidRPr="00116E3E" w:rsidRDefault="00083D96" w:rsidP="00083D96">
            <w:pPr>
              <w:keepNext/>
              <w:spacing w:before="40" w:after="40"/>
              <w:jc w:val="both"/>
              <w:rPr>
                <w:rFonts w:ascii="Arial Narrow" w:hAnsi="Arial Narrow" w:cs="Arial"/>
                <w:sz w:val="20"/>
                <w:szCs w:val="20"/>
              </w:rPr>
            </w:pPr>
          </w:p>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357" w:type="pct"/>
          </w:tcPr>
          <w:p w:rsidR="00083D96" w:rsidRPr="00116E3E" w:rsidRDefault="00083D96" w:rsidP="00083D96">
            <w:pPr>
              <w:keepNext/>
              <w:spacing w:before="40" w:after="40"/>
              <w:jc w:val="both"/>
              <w:rPr>
                <w:rFonts w:ascii="Arial Narrow" w:hAnsi="Arial Narrow" w:cs="Arial"/>
                <w:sz w:val="20"/>
                <w:szCs w:val="20"/>
              </w:rPr>
            </w:pPr>
          </w:p>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8" w:type="pct"/>
          </w:tcPr>
          <w:p w:rsidR="00083D96" w:rsidRPr="00116E3E" w:rsidRDefault="00083D96" w:rsidP="00083D96">
            <w:pPr>
              <w:keepNext/>
              <w:spacing w:before="40" w:after="40"/>
              <w:jc w:val="both"/>
              <w:rPr>
                <w:rFonts w:ascii="Arial Narrow" w:hAnsi="Arial Narrow" w:cs="Arial"/>
                <w:sz w:val="20"/>
                <w:szCs w:val="20"/>
              </w:rPr>
            </w:pPr>
          </w:p>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w:t>
            </w:r>
            <w:r w:rsidR="00CC1030">
              <w:rPr>
                <w:rFonts w:ascii="Arial Narrow" w:hAnsi="Arial Narrow" w:cs="Arial"/>
                <w:noProof/>
                <w:color w:val="000000"/>
                <w:sz w:val="20"/>
                <w:szCs w:val="20"/>
                <w:highlight w:val="black"/>
              </w:rPr>
              <w:t>'''''''''''''</w:t>
            </w:r>
          </w:p>
        </w:tc>
        <w:tc>
          <w:tcPr>
            <w:tcW w:w="669" w:type="pct"/>
          </w:tcPr>
          <w:p w:rsidR="00083D96" w:rsidRPr="00116E3E" w:rsidRDefault="00083D96" w:rsidP="00083D96">
            <w:pPr>
              <w:keepNext/>
              <w:spacing w:before="40" w:after="40"/>
              <w:jc w:val="both"/>
              <w:rPr>
                <w:rFonts w:ascii="Arial Narrow" w:hAnsi="Arial Narrow" w:cs="Arial"/>
                <w:sz w:val="20"/>
                <w:szCs w:val="20"/>
              </w:rPr>
            </w:pPr>
          </w:p>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Methoblastin PFS</w:t>
            </w:r>
            <w:r w:rsidR="00EB07A3" w:rsidRPr="00116E3E">
              <w:rPr>
                <w:rFonts w:asciiTheme="minorHAnsi" w:hAnsiTheme="minorHAnsi"/>
                <w:vertAlign w:val="superscript"/>
              </w:rPr>
              <w:t>®</w:t>
            </w:r>
          </w:p>
        </w:tc>
        <w:tc>
          <w:tcPr>
            <w:tcW w:w="878" w:type="pct"/>
          </w:tcPr>
          <w:p w:rsidR="00083D96" w:rsidRPr="00116E3E" w:rsidRDefault="00083D96" w:rsidP="00083D96">
            <w:pPr>
              <w:keepNext/>
              <w:spacing w:before="40" w:after="40"/>
              <w:ind w:left="212"/>
              <w:jc w:val="both"/>
              <w:rPr>
                <w:rFonts w:ascii="Arial Narrow" w:hAnsi="Arial Narrow" w:cs="Arial"/>
                <w:sz w:val="20"/>
                <w:szCs w:val="20"/>
              </w:rPr>
            </w:pPr>
          </w:p>
          <w:p w:rsidR="00083D96" w:rsidRPr="00116E3E" w:rsidRDefault="00083D96" w:rsidP="00083D96">
            <w:pPr>
              <w:keepNext/>
              <w:spacing w:before="40" w:after="40"/>
              <w:ind w:left="212"/>
              <w:jc w:val="both"/>
              <w:rPr>
                <w:rFonts w:ascii="Arial Narrow" w:hAnsi="Arial Narrow" w:cs="Arial"/>
                <w:sz w:val="20"/>
                <w:szCs w:val="20"/>
              </w:rPr>
            </w:pPr>
            <w:r w:rsidRPr="00116E3E">
              <w:rPr>
                <w:rFonts w:ascii="Arial Narrow" w:hAnsi="Arial Narrow" w:cs="Arial"/>
                <w:sz w:val="20"/>
                <w:szCs w:val="20"/>
              </w:rPr>
              <w:t>Pfizer</w:t>
            </w:r>
          </w:p>
        </w:tc>
      </w:tr>
      <w:tr w:rsidR="00083D96" w:rsidRPr="00116E3E" w:rsidTr="00EB07A3">
        <w:trPr>
          <w:cantSplit/>
          <w:trHeight w:val="567"/>
          <w:jc w:val="center"/>
        </w:trPr>
        <w:tc>
          <w:tcPr>
            <w:tcW w:w="1902"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10 mg/0.4 mL injection, 4 x 0.4 mL syringes</w:t>
            </w:r>
          </w:p>
        </w:tc>
        <w:tc>
          <w:tcPr>
            <w:tcW w:w="355"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357"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8"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w:t>
            </w:r>
            <w:r w:rsidR="00CC1030">
              <w:rPr>
                <w:rFonts w:ascii="Arial Narrow" w:hAnsi="Arial Narrow" w:cs="Arial"/>
                <w:noProof/>
                <w:color w:val="000000"/>
                <w:sz w:val="20"/>
                <w:szCs w:val="20"/>
                <w:highlight w:val="black"/>
              </w:rPr>
              <w:t>'''''''''''''</w:t>
            </w:r>
          </w:p>
        </w:tc>
        <w:tc>
          <w:tcPr>
            <w:tcW w:w="669" w:type="pct"/>
          </w:tcPr>
          <w:p w:rsidR="00083D96" w:rsidRPr="00116E3E" w:rsidRDefault="00083D96" w:rsidP="00083D96">
            <w:pPr>
              <w:keepNext/>
              <w:spacing w:before="40" w:after="40"/>
              <w:jc w:val="both"/>
              <w:rPr>
                <w:rFonts w:ascii="Arial Narrow" w:hAnsi="Arial Narrow" w:cs="Arial"/>
                <w:sz w:val="20"/>
                <w:szCs w:val="20"/>
              </w:rPr>
            </w:pPr>
          </w:p>
        </w:tc>
        <w:tc>
          <w:tcPr>
            <w:tcW w:w="878" w:type="pct"/>
          </w:tcPr>
          <w:p w:rsidR="00083D96" w:rsidRPr="00116E3E" w:rsidRDefault="00083D96" w:rsidP="00083D96">
            <w:pPr>
              <w:keepNext/>
              <w:spacing w:before="40" w:after="40"/>
              <w:jc w:val="both"/>
              <w:rPr>
                <w:rFonts w:ascii="Arial Narrow" w:hAnsi="Arial Narrow" w:cs="Arial"/>
                <w:sz w:val="20"/>
                <w:szCs w:val="20"/>
              </w:rPr>
            </w:pPr>
          </w:p>
        </w:tc>
      </w:tr>
      <w:tr w:rsidR="00083D96" w:rsidRPr="00116E3E" w:rsidTr="00EB07A3">
        <w:trPr>
          <w:cantSplit/>
          <w:trHeight w:val="567"/>
          <w:jc w:val="center"/>
        </w:trPr>
        <w:tc>
          <w:tcPr>
            <w:tcW w:w="1902"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15 mg/0.6 mL injection, 4 x 0.6 mL syringes</w:t>
            </w:r>
          </w:p>
        </w:tc>
        <w:tc>
          <w:tcPr>
            <w:tcW w:w="355"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357"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8"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w:t>
            </w:r>
            <w:r w:rsidR="00CC1030">
              <w:rPr>
                <w:rFonts w:ascii="Arial Narrow" w:hAnsi="Arial Narrow" w:cs="Arial"/>
                <w:noProof/>
                <w:color w:val="000000"/>
                <w:sz w:val="20"/>
                <w:szCs w:val="20"/>
                <w:highlight w:val="black"/>
              </w:rPr>
              <w:t>''''''''''''''</w:t>
            </w:r>
          </w:p>
        </w:tc>
        <w:tc>
          <w:tcPr>
            <w:tcW w:w="669" w:type="pct"/>
          </w:tcPr>
          <w:p w:rsidR="00083D96" w:rsidRPr="00116E3E" w:rsidRDefault="00083D96" w:rsidP="00083D96">
            <w:pPr>
              <w:keepNext/>
              <w:spacing w:before="40" w:after="40"/>
              <w:jc w:val="both"/>
              <w:rPr>
                <w:rFonts w:ascii="Arial Narrow" w:hAnsi="Arial Narrow" w:cs="Arial"/>
                <w:sz w:val="20"/>
                <w:szCs w:val="20"/>
              </w:rPr>
            </w:pPr>
          </w:p>
        </w:tc>
        <w:tc>
          <w:tcPr>
            <w:tcW w:w="878" w:type="pct"/>
          </w:tcPr>
          <w:p w:rsidR="00083D96" w:rsidRPr="00116E3E" w:rsidRDefault="00083D96" w:rsidP="00083D96">
            <w:pPr>
              <w:keepNext/>
              <w:spacing w:before="40" w:after="40"/>
              <w:jc w:val="both"/>
              <w:rPr>
                <w:rFonts w:ascii="Arial Narrow" w:hAnsi="Arial Narrow" w:cs="Arial"/>
                <w:sz w:val="20"/>
                <w:szCs w:val="20"/>
              </w:rPr>
            </w:pPr>
          </w:p>
        </w:tc>
      </w:tr>
      <w:tr w:rsidR="00083D96" w:rsidRPr="00116E3E" w:rsidTr="00EB07A3">
        <w:trPr>
          <w:cantSplit/>
          <w:trHeight w:val="567"/>
          <w:jc w:val="center"/>
        </w:trPr>
        <w:tc>
          <w:tcPr>
            <w:tcW w:w="1902"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20 mg/0.8 mL injection, 4 x 0.8 mL syringes</w:t>
            </w:r>
          </w:p>
        </w:tc>
        <w:tc>
          <w:tcPr>
            <w:tcW w:w="355"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357"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8"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w:t>
            </w:r>
            <w:r w:rsidR="00CC1030">
              <w:rPr>
                <w:rFonts w:ascii="Arial Narrow" w:hAnsi="Arial Narrow" w:cs="Arial"/>
                <w:noProof/>
                <w:color w:val="000000"/>
                <w:sz w:val="20"/>
                <w:szCs w:val="20"/>
                <w:highlight w:val="black"/>
              </w:rPr>
              <w:t>''''''''''''</w:t>
            </w:r>
          </w:p>
        </w:tc>
        <w:tc>
          <w:tcPr>
            <w:tcW w:w="669" w:type="pct"/>
          </w:tcPr>
          <w:p w:rsidR="00083D96" w:rsidRPr="00116E3E" w:rsidRDefault="00083D96" w:rsidP="00083D96">
            <w:pPr>
              <w:keepNext/>
              <w:spacing w:before="40" w:after="40"/>
              <w:jc w:val="both"/>
              <w:rPr>
                <w:rFonts w:ascii="Arial Narrow" w:hAnsi="Arial Narrow" w:cs="Arial"/>
                <w:sz w:val="20"/>
                <w:szCs w:val="20"/>
              </w:rPr>
            </w:pPr>
          </w:p>
        </w:tc>
        <w:tc>
          <w:tcPr>
            <w:tcW w:w="878" w:type="pct"/>
          </w:tcPr>
          <w:p w:rsidR="00083D96" w:rsidRPr="00116E3E" w:rsidRDefault="00083D96" w:rsidP="00083D96">
            <w:pPr>
              <w:keepNext/>
              <w:spacing w:before="40" w:after="40"/>
              <w:jc w:val="both"/>
              <w:rPr>
                <w:rFonts w:ascii="Arial Narrow" w:hAnsi="Arial Narrow" w:cs="Arial"/>
                <w:sz w:val="20"/>
                <w:szCs w:val="20"/>
              </w:rPr>
            </w:pPr>
          </w:p>
        </w:tc>
      </w:tr>
      <w:tr w:rsidR="00083D96" w:rsidRPr="00116E3E" w:rsidTr="00525DE6">
        <w:trPr>
          <w:cantSplit/>
          <w:trHeight w:val="453"/>
          <w:jc w:val="center"/>
        </w:trPr>
        <w:tc>
          <w:tcPr>
            <w:tcW w:w="1902"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25 mg/1 mL injection, 4 x 1 mL syringes</w:t>
            </w:r>
          </w:p>
        </w:tc>
        <w:tc>
          <w:tcPr>
            <w:tcW w:w="355"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357"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8" w:type="pct"/>
          </w:tcPr>
          <w:p w:rsidR="00083D96" w:rsidRPr="00116E3E" w:rsidRDefault="00083D96" w:rsidP="00083D96">
            <w:pPr>
              <w:keepNext/>
              <w:spacing w:before="40" w:after="40"/>
              <w:jc w:val="both"/>
              <w:rPr>
                <w:rFonts w:ascii="Arial Narrow" w:hAnsi="Arial Narrow" w:cs="Arial"/>
                <w:sz w:val="20"/>
                <w:szCs w:val="20"/>
              </w:rPr>
            </w:pPr>
            <w:r w:rsidRPr="00116E3E">
              <w:rPr>
                <w:rFonts w:ascii="Arial Narrow" w:hAnsi="Arial Narrow" w:cs="Arial"/>
                <w:sz w:val="20"/>
                <w:szCs w:val="20"/>
              </w:rPr>
              <w:t>$</w:t>
            </w:r>
            <w:r w:rsidR="00CC1030">
              <w:rPr>
                <w:rFonts w:ascii="Arial Narrow" w:hAnsi="Arial Narrow" w:cs="Arial"/>
                <w:noProof/>
                <w:color w:val="000000"/>
                <w:sz w:val="20"/>
                <w:szCs w:val="20"/>
                <w:highlight w:val="black"/>
              </w:rPr>
              <w:t>'''''''''''''</w:t>
            </w:r>
          </w:p>
        </w:tc>
        <w:tc>
          <w:tcPr>
            <w:tcW w:w="669" w:type="pct"/>
          </w:tcPr>
          <w:p w:rsidR="00083D96" w:rsidRPr="00116E3E" w:rsidRDefault="00083D96" w:rsidP="00083D96">
            <w:pPr>
              <w:keepNext/>
              <w:spacing w:before="40" w:after="40"/>
              <w:jc w:val="both"/>
              <w:rPr>
                <w:rFonts w:ascii="Arial Narrow" w:hAnsi="Arial Narrow" w:cs="Arial"/>
                <w:sz w:val="20"/>
                <w:szCs w:val="20"/>
              </w:rPr>
            </w:pPr>
          </w:p>
        </w:tc>
        <w:tc>
          <w:tcPr>
            <w:tcW w:w="878" w:type="pct"/>
          </w:tcPr>
          <w:p w:rsidR="00083D96" w:rsidRPr="00116E3E" w:rsidRDefault="00083D96" w:rsidP="00083D96">
            <w:pPr>
              <w:keepNext/>
              <w:spacing w:before="40" w:after="40"/>
              <w:jc w:val="both"/>
              <w:rPr>
                <w:rFonts w:ascii="Arial Narrow" w:hAnsi="Arial Narrow" w:cs="Arial"/>
                <w:sz w:val="20"/>
                <w:szCs w:val="20"/>
              </w:rPr>
            </w:pPr>
          </w:p>
        </w:tc>
      </w:tr>
    </w:tbl>
    <w:p w:rsidR="00C603D4" w:rsidRPr="00116E3E" w:rsidRDefault="00CE10C4" w:rsidP="00696129">
      <w:pPr>
        <w:pStyle w:val="PBACHeading1"/>
        <w:spacing w:before="240" w:after="120"/>
        <w:ind w:left="709" w:hanging="709"/>
        <w:rPr>
          <w:rFonts w:asciiTheme="minorHAnsi" w:hAnsiTheme="minorHAnsi"/>
          <w:sz w:val="32"/>
          <w:szCs w:val="32"/>
        </w:rPr>
      </w:pPr>
      <w:r w:rsidRPr="00116E3E">
        <w:rPr>
          <w:rFonts w:asciiTheme="minorHAnsi" w:hAnsiTheme="minorHAnsi"/>
          <w:sz w:val="32"/>
          <w:szCs w:val="32"/>
        </w:rPr>
        <w:t>Background</w:t>
      </w:r>
    </w:p>
    <w:p w:rsidR="00045AA3" w:rsidRPr="00116E3E" w:rsidRDefault="00045AA3" w:rsidP="00045AA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16E3E">
        <w:rPr>
          <w:rFonts w:asciiTheme="minorHAnsi" w:eastAsiaTheme="minorHAnsi" w:hAnsiTheme="minorHAnsi" w:cstheme="minorBidi"/>
          <w:snapToGrid/>
          <w:sz w:val="24"/>
          <w:szCs w:val="22"/>
        </w:rPr>
        <w:t>Methoblastin PFS</w:t>
      </w:r>
      <w:r w:rsidR="00681739" w:rsidRPr="00116E3E">
        <w:rPr>
          <w:rFonts w:asciiTheme="minorHAnsi" w:hAnsiTheme="minorHAnsi"/>
          <w:sz w:val="24"/>
          <w:szCs w:val="24"/>
          <w:vertAlign w:val="superscript"/>
        </w:rPr>
        <w:t>®</w:t>
      </w:r>
      <w:r w:rsidRPr="00116E3E">
        <w:rPr>
          <w:rFonts w:asciiTheme="minorHAnsi" w:eastAsiaTheme="minorHAnsi" w:hAnsiTheme="minorHAnsi" w:cstheme="minorBidi"/>
          <w:snapToGrid/>
          <w:sz w:val="24"/>
          <w:szCs w:val="22"/>
        </w:rPr>
        <w:t xml:space="preserve"> was registered by the </w:t>
      </w:r>
      <w:r w:rsidR="00BA6602" w:rsidRPr="00116E3E">
        <w:rPr>
          <w:rFonts w:asciiTheme="minorHAnsi" w:eastAsiaTheme="minorHAnsi" w:hAnsiTheme="minorHAnsi" w:cstheme="minorBidi"/>
          <w:snapToGrid/>
          <w:sz w:val="24"/>
          <w:szCs w:val="22"/>
        </w:rPr>
        <w:t>Therapeutic Goods Administration (</w:t>
      </w:r>
      <w:r w:rsidRPr="00116E3E">
        <w:rPr>
          <w:rFonts w:asciiTheme="minorHAnsi" w:eastAsiaTheme="minorHAnsi" w:hAnsiTheme="minorHAnsi" w:cstheme="minorBidi"/>
          <w:snapToGrid/>
          <w:sz w:val="24"/>
          <w:szCs w:val="22"/>
        </w:rPr>
        <w:t>TGA</w:t>
      </w:r>
      <w:r w:rsidR="00BA6602" w:rsidRPr="00116E3E">
        <w:rPr>
          <w:rFonts w:asciiTheme="minorHAnsi" w:eastAsiaTheme="minorHAnsi" w:hAnsiTheme="minorHAnsi" w:cstheme="minorBidi"/>
          <w:snapToGrid/>
          <w:sz w:val="24"/>
          <w:szCs w:val="22"/>
        </w:rPr>
        <w:t>)</w:t>
      </w:r>
      <w:r w:rsidRPr="00116E3E">
        <w:rPr>
          <w:rFonts w:asciiTheme="minorHAnsi" w:eastAsiaTheme="minorHAnsi" w:hAnsiTheme="minorHAnsi" w:cstheme="minorBidi"/>
          <w:snapToGrid/>
          <w:sz w:val="24"/>
          <w:szCs w:val="22"/>
        </w:rPr>
        <w:t xml:space="preserve"> on 26 September 2017 and was granted bioequivalence to Trexject</w:t>
      </w:r>
      <w:r w:rsidR="00681739" w:rsidRPr="00116E3E">
        <w:rPr>
          <w:rFonts w:asciiTheme="minorHAnsi" w:hAnsiTheme="minorHAnsi"/>
          <w:sz w:val="24"/>
          <w:szCs w:val="24"/>
          <w:vertAlign w:val="superscript"/>
        </w:rPr>
        <w:t>®</w:t>
      </w:r>
      <w:r w:rsidRPr="00116E3E">
        <w:rPr>
          <w:rFonts w:asciiTheme="minorHAnsi" w:eastAsiaTheme="minorHAnsi" w:hAnsiTheme="minorHAnsi" w:cstheme="minorBidi"/>
          <w:snapToGrid/>
          <w:sz w:val="24"/>
          <w:szCs w:val="22"/>
        </w:rPr>
        <w:t xml:space="preserve"> on 10</w:t>
      </w:r>
      <w:r w:rsidR="00C34676" w:rsidRPr="00116E3E">
        <w:rPr>
          <w:rFonts w:asciiTheme="minorHAnsi" w:eastAsiaTheme="minorHAnsi" w:hAnsiTheme="minorHAnsi" w:cstheme="minorBidi"/>
          <w:snapToGrid/>
          <w:sz w:val="24"/>
          <w:szCs w:val="22"/>
        </w:rPr>
        <w:t> </w:t>
      </w:r>
      <w:r w:rsidRPr="00116E3E">
        <w:rPr>
          <w:rFonts w:asciiTheme="minorHAnsi" w:eastAsiaTheme="minorHAnsi" w:hAnsiTheme="minorHAnsi" w:cstheme="minorBidi"/>
          <w:snapToGrid/>
          <w:sz w:val="24"/>
          <w:szCs w:val="22"/>
        </w:rPr>
        <w:t>October</w:t>
      </w:r>
      <w:r w:rsidR="00C34676" w:rsidRPr="00116E3E">
        <w:rPr>
          <w:rFonts w:asciiTheme="minorHAnsi" w:eastAsiaTheme="minorHAnsi" w:hAnsiTheme="minorHAnsi" w:cstheme="minorBidi"/>
          <w:snapToGrid/>
          <w:sz w:val="24"/>
          <w:szCs w:val="22"/>
        </w:rPr>
        <w:t> </w:t>
      </w:r>
      <w:r w:rsidRPr="00116E3E">
        <w:rPr>
          <w:rFonts w:asciiTheme="minorHAnsi" w:eastAsiaTheme="minorHAnsi" w:hAnsiTheme="minorHAnsi" w:cstheme="minorBidi"/>
          <w:snapToGrid/>
          <w:sz w:val="24"/>
          <w:szCs w:val="22"/>
        </w:rPr>
        <w:t>2017.</w:t>
      </w:r>
    </w:p>
    <w:p w:rsidR="006A12A5" w:rsidRPr="00116E3E" w:rsidRDefault="00EB30D1"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16E3E">
        <w:rPr>
          <w:rFonts w:asciiTheme="minorHAnsi" w:eastAsiaTheme="minorHAnsi" w:hAnsiTheme="minorHAnsi" w:cstheme="minorBidi"/>
          <w:snapToGrid/>
          <w:sz w:val="24"/>
          <w:szCs w:val="22"/>
        </w:rPr>
        <w:lastRenderedPageBreak/>
        <w:t xml:space="preserve">At its March 2017 meeting, the PBAC recommended listing </w:t>
      </w:r>
      <w:r w:rsidR="00564B4E" w:rsidRPr="00116E3E">
        <w:rPr>
          <w:rFonts w:asciiTheme="minorHAnsi" w:eastAsiaTheme="minorHAnsi" w:hAnsiTheme="minorHAnsi" w:cstheme="minorBidi"/>
          <w:snapToGrid/>
          <w:sz w:val="24"/>
          <w:szCs w:val="22"/>
        </w:rPr>
        <w:t>Trexject</w:t>
      </w:r>
      <w:r w:rsidR="00681739" w:rsidRPr="00116E3E">
        <w:rPr>
          <w:rFonts w:asciiTheme="minorHAnsi" w:hAnsiTheme="minorHAnsi"/>
          <w:sz w:val="24"/>
          <w:szCs w:val="24"/>
          <w:vertAlign w:val="superscript"/>
        </w:rPr>
        <w:t>®</w:t>
      </w:r>
      <w:r w:rsidR="00564B4E" w:rsidRPr="00116E3E">
        <w:rPr>
          <w:rFonts w:asciiTheme="minorHAnsi" w:eastAsiaTheme="minorHAnsi" w:hAnsiTheme="minorHAnsi" w:cstheme="minorBidi"/>
          <w:snapToGrid/>
          <w:sz w:val="24"/>
          <w:szCs w:val="22"/>
        </w:rPr>
        <w:t xml:space="preserve"> </w:t>
      </w:r>
      <w:r w:rsidRPr="00116E3E">
        <w:rPr>
          <w:rFonts w:asciiTheme="minorHAnsi" w:eastAsiaTheme="minorHAnsi" w:hAnsiTheme="minorHAnsi" w:cstheme="minorBidi"/>
          <w:snapToGrid/>
          <w:sz w:val="24"/>
          <w:szCs w:val="22"/>
        </w:rPr>
        <w:t>on the PBS for the trea</w:t>
      </w:r>
      <w:r w:rsidR="00797836" w:rsidRPr="00116E3E">
        <w:rPr>
          <w:rFonts w:asciiTheme="minorHAnsi" w:eastAsiaTheme="minorHAnsi" w:hAnsiTheme="minorHAnsi" w:cstheme="minorBidi"/>
          <w:snapToGrid/>
          <w:sz w:val="24"/>
          <w:szCs w:val="22"/>
        </w:rPr>
        <w:t>tment of rheumatoid arthritis or</w:t>
      </w:r>
      <w:r w:rsidRPr="00116E3E">
        <w:rPr>
          <w:rFonts w:asciiTheme="minorHAnsi" w:eastAsiaTheme="minorHAnsi" w:hAnsiTheme="minorHAnsi" w:cstheme="minorBidi"/>
          <w:snapToGrid/>
          <w:sz w:val="24"/>
          <w:szCs w:val="22"/>
        </w:rPr>
        <w:t xml:space="preserve"> psoriasis when methotrexate oral tablets are unsuitable.</w:t>
      </w:r>
      <w:r w:rsidR="00564B4E" w:rsidRPr="00116E3E">
        <w:rPr>
          <w:rFonts w:asciiTheme="minorHAnsi" w:eastAsiaTheme="minorHAnsi" w:hAnsiTheme="minorHAnsi" w:cstheme="minorBidi"/>
          <w:snapToGrid/>
          <w:sz w:val="24"/>
          <w:szCs w:val="22"/>
        </w:rPr>
        <w:t xml:space="preserve"> </w:t>
      </w:r>
    </w:p>
    <w:p w:rsidR="00A43E17" w:rsidRPr="00116E3E" w:rsidRDefault="00A43E17" w:rsidP="00A43E17">
      <w:pPr>
        <w:pStyle w:val="PBACHeading1"/>
        <w:spacing w:before="240" w:after="120"/>
        <w:ind w:left="709" w:hanging="709"/>
        <w:rPr>
          <w:rFonts w:asciiTheme="minorHAnsi" w:hAnsiTheme="minorHAnsi"/>
          <w:sz w:val="32"/>
          <w:szCs w:val="32"/>
        </w:rPr>
      </w:pPr>
      <w:r w:rsidRPr="00116E3E">
        <w:rPr>
          <w:rFonts w:asciiTheme="minorHAnsi" w:hAnsiTheme="minorHAnsi"/>
          <w:sz w:val="32"/>
          <w:szCs w:val="32"/>
        </w:rPr>
        <w:t>Consideration of the evidence</w:t>
      </w:r>
    </w:p>
    <w:p w:rsidR="00525DE6" w:rsidRPr="00B86C35" w:rsidRDefault="0066229C" w:rsidP="00B86C35">
      <w:pPr>
        <w:pStyle w:val="Heading2"/>
        <w:spacing w:after="120"/>
        <w:rPr>
          <w:rFonts w:eastAsiaTheme="minorHAnsi"/>
          <w:sz w:val="24"/>
        </w:rPr>
      </w:pPr>
      <w:r w:rsidRPr="00525DE6">
        <w:rPr>
          <w:rFonts w:eastAsiaTheme="minorHAnsi"/>
          <w:sz w:val="24"/>
        </w:rPr>
        <w:t>Sponsor hearing</w:t>
      </w:r>
    </w:p>
    <w:p w:rsidR="0066229C" w:rsidRPr="00116E3E" w:rsidRDefault="0066229C" w:rsidP="0066229C">
      <w:pPr>
        <w:widowControl w:val="0"/>
        <w:numPr>
          <w:ilvl w:val="1"/>
          <w:numId w:val="5"/>
        </w:numPr>
        <w:spacing w:after="120"/>
        <w:jc w:val="both"/>
        <w:rPr>
          <w:rFonts w:asciiTheme="minorHAnsi" w:hAnsiTheme="minorHAnsi" w:cs="Arial"/>
          <w:bCs/>
          <w:snapToGrid w:val="0"/>
        </w:rPr>
      </w:pPr>
      <w:r w:rsidRPr="00116E3E">
        <w:rPr>
          <w:rFonts w:asciiTheme="minorHAnsi" w:hAnsiTheme="minorHAnsi" w:cs="Arial"/>
          <w:bCs/>
          <w:snapToGrid w:val="0"/>
        </w:rPr>
        <w:t>There was no hearing for this item as it was a minor submission.</w:t>
      </w:r>
    </w:p>
    <w:p w:rsidR="00525DE6" w:rsidRPr="00B86C35" w:rsidRDefault="0066229C" w:rsidP="00B86C35">
      <w:pPr>
        <w:pStyle w:val="Heading2"/>
        <w:spacing w:after="120"/>
        <w:rPr>
          <w:rFonts w:eastAsiaTheme="minorHAnsi"/>
          <w:sz w:val="24"/>
        </w:rPr>
      </w:pPr>
      <w:r w:rsidRPr="00B86C35">
        <w:rPr>
          <w:rFonts w:eastAsiaTheme="minorHAnsi"/>
          <w:sz w:val="24"/>
        </w:rPr>
        <w:t>Consumer comments</w:t>
      </w:r>
    </w:p>
    <w:p w:rsidR="0066229C" w:rsidRPr="00116E3E" w:rsidRDefault="0066229C" w:rsidP="0066229C">
      <w:pPr>
        <w:widowControl w:val="0"/>
        <w:numPr>
          <w:ilvl w:val="1"/>
          <w:numId w:val="5"/>
        </w:numPr>
        <w:spacing w:after="120"/>
        <w:jc w:val="both"/>
        <w:rPr>
          <w:rFonts w:asciiTheme="minorHAnsi" w:hAnsiTheme="minorHAnsi" w:cs="Arial"/>
          <w:bCs/>
          <w:snapToGrid w:val="0"/>
        </w:rPr>
      </w:pPr>
      <w:r w:rsidRPr="00116E3E">
        <w:rPr>
          <w:rFonts w:asciiTheme="minorHAnsi" w:hAnsiTheme="minorHAnsi" w:cs="Arial"/>
          <w:bCs/>
          <w:snapToGrid w:val="0"/>
        </w:rPr>
        <w:t>The PBAC noted and welcomed the input from individuals (3) via the Consumer Comments facility on the PBS website.  The comments focused on the effectiveness of methotrexate in treating psoriasis.</w:t>
      </w:r>
    </w:p>
    <w:p w:rsidR="00525DE6" w:rsidRPr="00B86C35" w:rsidRDefault="0066229C" w:rsidP="00B86C35">
      <w:pPr>
        <w:pStyle w:val="Heading2"/>
        <w:spacing w:after="120"/>
        <w:rPr>
          <w:rFonts w:eastAsiaTheme="minorHAnsi"/>
          <w:sz w:val="24"/>
        </w:rPr>
      </w:pPr>
      <w:r w:rsidRPr="00B86C35">
        <w:rPr>
          <w:rFonts w:eastAsiaTheme="minorHAnsi"/>
          <w:sz w:val="24"/>
        </w:rPr>
        <w:t>Interpretation of clinical evidence</w:t>
      </w:r>
    </w:p>
    <w:p w:rsidR="0066229C" w:rsidRPr="00116E3E" w:rsidRDefault="0066229C" w:rsidP="0066229C">
      <w:pPr>
        <w:pStyle w:val="ListParagraph"/>
        <w:widowControl/>
        <w:numPr>
          <w:ilvl w:val="1"/>
          <w:numId w:val="5"/>
        </w:numPr>
        <w:spacing w:after="120"/>
        <w:ind w:left="810" w:hanging="810"/>
        <w:contextualSpacing w:val="0"/>
        <w:rPr>
          <w:rFonts w:asciiTheme="minorHAnsi" w:hAnsiTheme="minorHAnsi"/>
          <w:bCs/>
          <w:sz w:val="24"/>
          <w:szCs w:val="24"/>
          <w:lang w:eastAsia="en-AU"/>
        </w:rPr>
      </w:pPr>
      <w:r w:rsidRPr="00116E3E">
        <w:rPr>
          <w:rFonts w:asciiTheme="minorHAnsi" w:hAnsiTheme="minorHAnsi"/>
          <w:bCs/>
          <w:sz w:val="24"/>
          <w:szCs w:val="24"/>
          <w:lang w:eastAsia="en-AU"/>
        </w:rPr>
        <w:t>The PBAC considered that the claim of non-inferior comparative effectiveness was reasonable.</w:t>
      </w:r>
    </w:p>
    <w:p w:rsidR="0066229C" w:rsidRPr="00B86C35" w:rsidRDefault="0066229C" w:rsidP="00BA6602">
      <w:pPr>
        <w:pStyle w:val="ListParagraph"/>
        <w:widowControl/>
        <w:numPr>
          <w:ilvl w:val="1"/>
          <w:numId w:val="5"/>
        </w:numPr>
        <w:spacing w:after="120"/>
        <w:ind w:left="810" w:hanging="810"/>
        <w:contextualSpacing w:val="0"/>
        <w:rPr>
          <w:rFonts w:asciiTheme="minorHAnsi" w:hAnsiTheme="minorHAnsi"/>
          <w:bCs/>
          <w:sz w:val="24"/>
          <w:szCs w:val="24"/>
          <w:lang w:eastAsia="en-AU"/>
        </w:rPr>
      </w:pPr>
      <w:r w:rsidRPr="00116E3E">
        <w:rPr>
          <w:rFonts w:asciiTheme="minorHAnsi" w:hAnsiTheme="minorHAnsi"/>
          <w:bCs/>
          <w:sz w:val="24"/>
          <w:szCs w:val="24"/>
          <w:lang w:eastAsia="en-AU"/>
        </w:rPr>
        <w:t>The PBAC considered that the claim of non-inferior comparative safety was reasonable.</w:t>
      </w:r>
    </w:p>
    <w:p w:rsidR="00525DE6" w:rsidRPr="00B86C35" w:rsidRDefault="00A43E17" w:rsidP="00B86C35">
      <w:pPr>
        <w:pStyle w:val="Heading2"/>
        <w:spacing w:after="120"/>
        <w:rPr>
          <w:rFonts w:eastAsiaTheme="minorHAnsi"/>
          <w:sz w:val="24"/>
        </w:rPr>
      </w:pPr>
      <w:r w:rsidRPr="00525DE6">
        <w:rPr>
          <w:rFonts w:eastAsiaTheme="minorHAnsi"/>
          <w:sz w:val="24"/>
        </w:rPr>
        <w:t>Estimated PBS usage &amp; financial implications</w:t>
      </w:r>
    </w:p>
    <w:p w:rsidR="00045AA3" w:rsidRPr="00116E3E" w:rsidRDefault="00045AA3" w:rsidP="00525DE6">
      <w:pPr>
        <w:pStyle w:val="ListParagraph"/>
        <w:keepNext/>
        <w:widowControl/>
        <w:numPr>
          <w:ilvl w:val="1"/>
          <w:numId w:val="14"/>
        </w:numPr>
        <w:spacing w:after="120"/>
        <w:contextualSpacing w:val="0"/>
        <w:rPr>
          <w:rFonts w:asciiTheme="minorHAnsi" w:hAnsiTheme="minorHAnsi"/>
          <w:sz w:val="24"/>
          <w:szCs w:val="24"/>
        </w:rPr>
      </w:pPr>
      <w:r w:rsidRPr="00116E3E">
        <w:rPr>
          <w:rFonts w:asciiTheme="minorHAnsi" w:eastAsiaTheme="minorHAnsi" w:hAnsiTheme="minorHAnsi" w:cstheme="minorBidi"/>
          <w:snapToGrid/>
          <w:sz w:val="24"/>
          <w:szCs w:val="22"/>
        </w:rPr>
        <w:t>The sponsor proposed an ex-manufacturer price of $</w:t>
      </w:r>
      <w:r w:rsidR="00CC1030">
        <w:rPr>
          <w:rFonts w:asciiTheme="minorHAnsi" w:eastAsiaTheme="minorHAnsi" w:hAnsiTheme="minorHAnsi" w:cstheme="minorBidi"/>
          <w:noProof/>
          <w:snapToGrid/>
          <w:color w:val="000000"/>
          <w:sz w:val="24"/>
          <w:szCs w:val="22"/>
          <w:highlight w:val="black"/>
        </w:rPr>
        <w:t>''''''''''</w:t>
      </w:r>
      <w:r w:rsidRPr="00116E3E">
        <w:rPr>
          <w:rFonts w:asciiTheme="minorHAnsi" w:eastAsiaTheme="minorHAnsi" w:hAnsiTheme="minorHAnsi" w:cstheme="minorBidi"/>
          <w:snapToGrid/>
          <w:sz w:val="24"/>
          <w:szCs w:val="22"/>
        </w:rPr>
        <w:t xml:space="preserve"> for all strengths of Methoblastin PFS</w:t>
      </w:r>
      <w:r w:rsidR="00496846" w:rsidRPr="00116E3E">
        <w:rPr>
          <w:rFonts w:asciiTheme="minorHAnsi" w:hAnsiTheme="minorHAnsi"/>
          <w:sz w:val="24"/>
          <w:szCs w:val="24"/>
          <w:vertAlign w:val="superscript"/>
        </w:rPr>
        <w:t>®</w:t>
      </w:r>
      <w:r w:rsidRPr="00116E3E">
        <w:rPr>
          <w:rFonts w:asciiTheme="minorHAnsi" w:eastAsiaTheme="minorHAnsi" w:hAnsiTheme="minorHAnsi" w:cstheme="minorBidi"/>
          <w:snapToGrid/>
          <w:sz w:val="24"/>
          <w:szCs w:val="22"/>
        </w:rPr>
        <w:t xml:space="preserve"> for a pack of four pre-filled syringes. This is equivalent to the ex-manufacturer price </w:t>
      </w:r>
      <w:r w:rsidR="007156A5" w:rsidRPr="00116E3E">
        <w:rPr>
          <w:rFonts w:asciiTheme="minorHAnsi" w:eastAsiaTheme="minorHAnsi" w:hAnsiTheme="minorHAnsi" w:cstheme="minorBidi"/>
          <w:snapToGrid/>
          <w:sz w:val="24"/>
          <w:szCs w:val="22"/>
        </w:rPr>
        <w:t xml:space="preserve">per mg </w:t>
      </w:r>
      <w:r w:rsidRPr="00116E3E">
        <w:rPr>
          <w:rFonts w:asciiTheme="minorHAnsi" w:eastAsiaTheme="minorHAnsi" w:hAnsiTheme="minorHAnsi" w:cstheme="minorBidi"/>
          <w:snapToGrid/>
          <w:sz w:val="24"/>
          <w:szCs w:val="22"/>
        </w:rPr>
        <w:t>of Trexject</w:t>
      </w:r>
      <w:r w:rsidR="00496846" w:rsidRPr="00116E3E">
        <w:rPr>
          <w:rFonts w:asciiTheme="minorHAnsi" w:hAnsiTheme="minorHAnsi"/>
          <w:sz w:val="24"/>
          <w:szCs w:val="24"/>
          <w:vertAlign w:val="superscript"/>
        </w:rPr>
        <w:t>®</w:t>
      </w:r>
      <w:r w:rsidRPr="00116E3E">
        <w:rPr>
          <w:rFonts w:asciiTheme="minorHAnsi" w:eastAsiaTheme="minorHAnsi" w:hAnsiTheme="minorHAnsi" w:cstheme="minorBidi"/>
          <w:snapToGrid/>
          <w:sz w:val="24"/>
          <w:szCs w:val="22"/>
        </w:rPr>
        <w:t>.</w:t>
      </w:r>
    </w:p>
    <w:p w:rsidR="00C00DA7" w:rsidRPr="00116E3E" w:rsidRDefault="00FF2801" w:rsidP="00045AA3">
      <w:pPr>
        <w:pStyle w:val="ListParagraph"/>
        <w:widowControl/>
        <w:numPr>
          <w:ilvl w:val="1"/>
          <w:numId w:val="14"/>
        </w:numPr>
        <w:spacing w:after="120"/>
        <w:contextualSpacing w:val="0"/>
        <w:rPr>
          <w:rFonts w:asciiTheme="minorHAnsi" w:hAnsiTheme="minorHAnsi"/>
          <w:sz w:val="24"/>
          <w:szCs w:val="24"/>
        </w:rPr>
      </w:pPr>
      <w:r w:rsidRPr="00116E3E">
        <w:rPr>
          <w:rFonts w:asciiTheme="minorHAnsi" w:hAnsiTheme="minorHAnsi"/>
          <w:sz w:val="24"/>
          <w:szCs w:val="24"/>
        </w:rPr>
        <w:t>The minor submission estimated</w:t>
      </w:r>
      <w:r w:rsidR="00C00DA7" w:rsidRPr="00116E3E">
        <w:rPr>
          <w:rFonts w:asciiTheme="minorHAnsi" w:hAnsiTheme="minorHAnsi"/>
          <w:sz w:val="24"/>
          <w:szCs w:val="24"/>
        </w:rPr>
        <w:t xml:space="preserve"> </w:t>
      </w:r>
      <w:r w:rsidR="00045AA3" w:rsidRPr="00116E3E">
        <w:rPr>
          <w:rFonts w:asciiTheme="minorHAnsi" w:hAnsiTheme="minorHAnsi"/>
          <w:sz w:val="24"/>
          <w:szCs w:val="24"/>
        </w:rPr>
        <w:t xml:space="preserve">that </w:t>
      </w:r>
      <w:r w:rsidR="00C00DA7" w:rsidRPr="00116E3E">
        <w:rPr>
          <w:rFonts w:asciiTheme="minorHAnsi" w:hAnsiTheme="minorHAnsi"/>
          <w:sz w:val="24"/>
          <w:szCs w:val="24"/>
        </w:rPr>
        <w:t xml:space="preserve">there </w:t>
      </w:r>
      <w:r w:rsidR="00045AA3" w:rsidRPr="00116E3E">
        <w:rPr>
          <w:rFonts w:asciiTheme="minorHAnsi" w:hAnsiTheme="minorHAnsi"/>
          <w:sz w:val="24"/>
          <w:szCs w:val="24"/>
        </w:rPr>
        <w:t>would</w:t>
      </w:r>
      <w:r w:rsidR="00C00DA7" w:rsidRPr="00116E3E">
        <w:rPr>
          <w:rFonts w:asciiTheme="minorHAnsi" w:hAnsiTheme="minorHAnsi"/>
          <w:sz w:val="24"/>
          <w:szCs w:val="24"/>
        </w:rPr>
        <w:t xml:space="preserve"> be no changes in PBS usage </w:t>
      </w:r>
      <w:r w:rsidR="00045AA3" w:rsidRPr="00116E3E">
        <w:rPr>
          <w:rFonts w:asciiTheme="minorHAnsi" w:hAnsiTheme="minorHAnsi"/>
          <w:sz w:val="24"/>
          <w:szCs w:val="24"/>
        </w:rPr>
        <w:t>of methotrexate as a res</w:t>
      </w:r>
      <w:r w:rsidR="00895F53" w:rsidRPr="00116E3E">
        <w:rPr>
          <w:rFonts w:asciiTheme="minorHAnsi" w:hAnsiTheme="minorHAnsi"/>
          <w:sz w:val="24"/>
          <w:szCs w:val="24"/>
        </w:rPr>
        <w:t>ult of listing Methoblastin PFS.</w:t>
      </w:r>
    </w:p>
    <w:p w:rsidR="00CE10C4" w:rsidRPr="00116E3E" w:rsidRDefault="007156A5" w:rsidP="00AE22D3">
      <w:pPr>
        <w:pStyle w:val="ListParagraph"/>
        <w:widowControl/>
        <w:numPr>
          <w:ilvl w:val="1"/>
          <w:numId w:val="14"/>
        </w:numPr>
        <w:spacing w:after="120"/>
        <w:contextualSpacing w:val="0"/>
        <w:rPr>
          <w:rFonts w:asciiTheme="minorHAnsi" w:hAnsiTheme="minorHAnsi"/>
          <w:sz w:val="24"/>
          <w:szCs w:val="24"/>
        </w:rPr>
      </w:pPr>
      <w:r w:rsidRPr="00116E3E">
        <w:rPr>
          <w:rFonts w:asciiTheme="minorHAnsi" w:hAnsiTheme="minorHAnsi"/>
          <w:sz w:val="24"/>
          <w:szCs w:val="24"/>
        </w:rPr>
        <w:t xml:space="preserve">Although </w:t>
      </w:r>
      <w:r w:rsidR="001933B1" w:rsidRPr="00116E3E">
        <w:rPr>
          <w:rFonts w:asciiTheme="minorHAnsi" w:hAnsiTheme="minorHAnsi"/>
          <w:sz w:val="24"/>
          <w:szCs w:val="24"/>
        </w:rPr>
        <w:t xml:space="preserve">this was </w:t>
      </w:r>
      <w:r w:rsidRPr="00116E3E">
        <w:rPr>
          <w:rFonts w:asciiTheme="minorHAnsi" w:hAnsiTheme="minorHAnsi"/>
          <w:sz w:val="24"/>
          <w:szCs w:val="24"/>
        </w:rPr>
        <w:t>not explicitly stated in the submission, the Secretariat noted that given Methoblastin PFS is bioequivalent to Trexject</w:t>
      </w:r>
      <w:r w:rsidR="001933B1" w:rsidRPr="00116E3E">
        <w:rPr>
          <w:rFonts w:asciiTheme="minorHAnsi" w:hAnsiTheme="minorHAnsi"/>
          <w:sz w:val="24"/>
          <w:szCs w:val="24"/>
        </w:rPr>
        <w:t>, with the same delivery method</w:t>
      </w:r>
      <w:r w:rsidR="00681739" w:rsidRPr="00116E3E">
        <w:rPr>
          <w:rFonts w:asciiTheme="minorHAnsi" w:hAnsiTheme="minorHAnsi"/>
          <w:sz w:val="24"/>
          <w:szCs w:val="24"/>
        </w:rPr>
        <w:t>, indication</w:t>
      </w:r>
      <w:r w:rsidRPr="00116E3E">
        <w:rPr>
          <w:rFonts w:asciiTheme="minorHAnsi" w:hAnsiTheme="minorHAnsi"/>
          <w:sz w:val="24"/>
          <w:szCs w:val="24"/>
        </w:rPr>
        <w:t xml:space="preserve"> and price per mg, the cost to the Government is expected to be neutral.</w:t>
      </w:r>
    </w:p>
    <w:p w:rsidR="00872723" w:rsidRPr="00116E3E" w:rsidRDefault="00872723" w:rsidP="00872723">
      <w:pPr>
        <w:rPr>
          <w:rFonts w:asciiTheme="minorHAnsi" w:hAnsiTheme="minorHAnsi"/>
          <w:i/>
        </w:rPr>
      </w:pPr>
      <w:r w:rsidRPr="00116E3E">
        <w:rPr>
          <w:rFonts w:asciiTheme="minorHAnsi" w:hAnsiTheme="minorHAnsi"/>
          <w:i/>
        </w:rPr>
        <w:t xml:space="preserve">For more detail on PBAC’s view, see section </w:t>
      </w:r>
      <w:r w:rsidR="00320045" w:rsidRPr="00116E3E">
        <w:rPr>
          <w:rFonts w:asciiTheme="minorHAnsi" w:hAnsiTheme="minorHAnsi"/>
          <w:i/>
        </w:rPr>
        <w:t>5</w:t>
      </w:r>
      <w:r w:rsidRPr="00116E3E">
        <w:rPr>
          <w:rFonts w:asciiTheme="minorHAnsi" w:hAnsiTheme="minorHAnsi"/>
          <w:i/>
        </w:rPr>
        <w:t xml:space="preserve"> PBAC outcome.</w:t>
      </w:r>
    </w:p>
    <w:p w:rsidR="00CF752D" w:rsidRPr="00116E3E" w:rsidRDefault="00CF752D" w:rsidP="00BA6602">
      <w:pPr>
        <w:pStyle w:val="PBACHeading1"/>
        <w:spacing w:before="240" w:after="120"/>
        <w:ind w:left="709" w:hanging="709"/>
        <w:rPr>
          <w:rFonts w:asciiTheme="minorHAnsi" w:hAnsiTheme="minorHAnsi"/>
          <w:sz w:val="32"/>
          <w:szCs w:val="32"/>
        </w:rPr>
      </w:pPr>
      <w:r w:rsidRPr="00116E3E">
        <w:rPr>
          <w:rFonts w:asciiTheme="minorHAnsi" w:hAnsiTheme="minorHAnsi"/>
          <w:sz w:val="32"/>
          <w:szCs w:val="32"/>
        </w:rPr>
        <w:t>PBAC Outcome</w:t>
      </w:r>
    </w:p>
    <w:p w:rsidR="00CF752D" w:rsidRPr="00116E3E" w:rsidRDefault="00CF752D" w:rsidP="00522247">
      <w:pPr>
        <w:widowControl w:val="0"/>
        <w:numPr>
          <w:ilvl w:val="1"/>
          <w:numId w:val="5"/>
        </w:numPr>
        <w:spacing w:after="120"/>
        <w:jc w:val="both"/>
        <w:rPr>
          <w:rFonts w:asciiTheme="minorHAnsi" w:hAnsiTheme="minorHAnsi" w:cs="Arial"/>
          <w:bCs/>
          <w:snapToGrid w:val="0"/>
        </w:rPr>
      </w:pPr>
      <w:r w:rsidRPr="00116E3E">
        <w:rPr>
          <w:rFonts w:asciiTheme="minorHAnsi" w:hAnsiTheme="minorHAnsi" w:cs="Arial"/>
          <w:bCs/>
          <w:snapToGrid w:val="0"/>
        </w:rPr>
        <w:t xml:space="preserve">The PBAC recommended the </w:t>
      </w:r>
      <w:r w:rsidR="00872723" w:rsidRPr="00116E3E">
        <w:rPr>
          <w:rFonts w:asciiTheme="minorHAnsi" w:hAnsiTheme="minorHAnsi" w:cs="Arial"/>
          <w:bCs/>
          <w:snapToGrid w:val="0"/>
        </w:rPr>
        <w:t>Authority Required (</w:t>
      </w:r>
      <w:r w:rsidR="009978CF" w:rsidRPr="00116E3E">
        <w:rPr>
          <w:rFonts w:asciiTheme="minorHAnsi" w:hAnsiTheme="minorHAnsi" w:cs="Arial"/>
          <w:bCs/>
          <w:snapToGrid w:val="0"/>
        </w:rPr>
        <w:t>STREAMLINED</w:t>
      </w:r>
      <w:r w:rsidR="00872723" w:rsidRPr="00116E3E">
        <w:rPr>
          <w:rFonts w:asciiTheme="minorHAnsi" w:hAnsiTheme="minorHAnsi" w:cs="Arial"/>
          <w:bCs/>
          <w:snapToGrid w:val="0"/>
        </w:rPr>
        <w:t xml:space="preserve">) listing of five new forms of subcutaneous methotrexate (7.5 mg/0.3 mL, </w:t>
      </w:r>
      <w:r w:rsidR="00AA2D90" w:rsidRPr="00116E3E">
        <w:rPr>
          <w:rFonts w:asciiTheme="minorHAnsi" w:hAnsiTheme="minorHAnsi" w:cs="Arial"/>
          <w:bCs/>
          <w:snapToGrid w:val="0"/>
        </w:rPr>
        <w:t xml:space="preserve">10 </w:t>
      </w:r>
      <w:r w:rsidR="00872723" w:rsidRPr="00116E3E">
        <w:rPr>
          <w:rFonts w:asciiTheme="minorHAnsi" w:hAnsiTheme="minorHAnsi" w:cs="Arial"/>
          <w:bCs/>
          <w:snapToGrid w:val="0"/>
        </w:rPr>
        <w:t>mg/0.4 mL, 15 mg/0.6 mL, 20 mg/0.8 mL, 25 mg/1 mL) for the same indications as the currently PBS listed brand</w:t>
      </w:r>
      <w:r w:rsidR="00BF7B52" w:rsidRPr="00116E3E">
        <w:rPr>
          <w:rFonts w:asciiTheme="minorHAnsi" w:hAnsiTheme="minorHAnsi" w:cs="Arial"/>
          <w:bCs/>
          <w:snapToGrid w:val="0"/>
        </w:rPr>
        <w:t xml:space="preserve"> of subcutaneous methotrexate,</w:t>
      </w:r>
      <w:r w:rsidR="00872723" w:rsidRPr="00116E3E">
        <w:rPr>
          <w:rFonts w:asciiTheme="minorHAnsi" w:hAnsiTheme="minorHAnsi" w:cs="Arial"/>
          <w:bCs/>
          <w:snapToGrid w:val="0"/>
        </w:rPr>
        <w:t xml:space="preserve"> Trexject</w:t>
      </w:r>
      <w:r w:rsidR="00872723" w:rsidRPr="00116E3E">
        <w:rPr>
          <w:rFonts w:asciiTheme="minorHAnsi" w:hAnsiTheme="minorHAnsi"/>
          <w:vertAlign w:val="superscript"/>
        </w:rPr>
        <w:t>®</w:t>
      </w:r>
      <w:r w:rsidR="00872723" w:rsidRPr="00116E3E">
        <w:rPr>
          <w:rFonts w:asciiTheme="minorHAnsi" w:hAnsiTheme="minorHAnsi"/>
        </w:rPr>
        <w:t>.</w:t>
      </w:r>
    </w:p>
    <w:p w:rsidR="00A05859" w:rsidRPr="00116E3E" w:rsidRDefault="00A05859" w:rsidP="00522247">
      <w:pPr>
        <w:widowControl w:val="0"/>
        <w:numPr>
          <w:ilvl w:val="1"/>
          <w:numId w:val="5"/>
        </w:numPr>
        <w:spacing w:after="120"/>
        <w:jc w:val="both"/>
        <w:rPr>
          <w:rFonts w:asciiTheme="minorHAnsi" w:hAnsiTheme="minorHAnsi" w:cs="Arial"/>
          <w:bCs/>
          <w:snapToGrid w:val="0"/>
        </w:rPr>
      </w:pPr>
      <w:r w:rsidRPr="00116E3E">
        <w:rPr>
          <w:rFonts w:asciiTheme="minorHAnsi" w:hAnsiTheme="minorHAnsi"/>
        </w:rPr>
        <w:t>The PBAC noted that Methoblastin PFS was considered bioequivalent to Trexject</w:t>
      </w:r>
      <w:r w:rsidRPr="00116E3E">
        <w:rPr>
          <w:rFonts w:asciiTheme="minorHAnsi" w:hAnsiTheme="minorHAnsi"/>
          <w:vertAlign w:val="superscript"/>
        </w:rPr>
        <w:t>®</w:t>
      </w:r>
      <w:r w:rsidRPr="00116E3E">
        <w:rPr>
          <w:rFonts w:asciiTheme="minorHAnsi" w:hAnsiTheme="minorHAnsi"/>
        </w:rPr>
        <w:t xml:space="preserve"> by the TGA.  </w:t>
      </w:r>
    </w:p>
    <w:p w:rsidR="00522247" w:rsidRPr="00116E3E" w:rsidRDefault="00522247" w:rsidP="00522247">
      <w:pPr>
        <w:widowControl w:val="0"/>
        <w:numPr>
          <w:ilvl w:val="1"/>
          <w:numId w:val="5"/>
        </w:numPr>
        <w:spacing w:after="120"/>
        <w:jc w:val="both"/>
        <w:rPr>
          <w:rFonts w:asciiTheme="minorHAnsi" w:hAnsiTheme="minorHAnsi" w:cs="Arial"/>
          <w:bCs/>
          <w:snapToGrid w:val="0"/>
        </w:rPr>
      </w:pPr>
      <w:r w:rsidRPr="00116E3E">
        <w:rPr>
          <w:rFonts w:asciiTheme="minorHAnsi" w:hAnsiTheme="minorHAnsi"/>
        </w:rPr>
        <w:t>The PBAC noted that the</w:t>
      </w:r>
      <w:r w:rsidR="009978CF" w:rsidRPr="00116E3E">
        <w:rPr>
          <w:rFonts w:asciiTheme="minorHAnsi" w:hAnsiTheme="minorHAnsi"/>
        </w:rPr>
        <w:t xml:space="preserve"> proposed listings</w:t>
      </w:r>
      <w:r w:rsidRPr="00116E3E">
        <w:rPr>
          <w:rFonts w:asciiTheme="minorHAnsi" w:hAnsiTheme="minorHAnsi"/>
        </w:rPr>
        <w:t xml:space="preserve"> </w:t>
      </w:r>
      <w:r w:rsidR="009978CF" w:rsidRPr="00116E3E">
        <w:rPr>
          <w:rFonts w:asciiTheme="minorHAnsi" w:hAnsiTheme="minorHAnsi"/>
        </w:rPr>
        <w:t>are</w:t>
      </w:r>
      <w:r w:rsidR="00320045" w:rsidRPr="00116E3E">
        <w:rPr>
          <w:rFonts w:asciiTheme="minorHAnsi" w:hAnsiTheme="minorHAnsi"/>
        </w:rPr>
        <w:t xml:space="preserve"> expected to be</w:t>
      </w:r>
      <w:r w:rsidR="009978CF" w:rsidRPr="00116E3E">
        <w:rPr>
          <w:rFonts w:asciiTheme="minorHAnsi" w:hAnsiTheme="minorHAnsi"/>
        </w:rPr>
        <w:t xml:space="preserve"> cost</w:t>
      </w:r>
      <w:r w:rsidR="00320045" w:rsidRPr="00116E3E">
        <w:rPr>
          <w:rFonts w:asciiTheme="minorHAnsi" w:hAnsiTheme="minorHAnsi"/>
        </w:rPr>
        <w:t xml:space="preserve"> neutral</w:t>
      </w:r>
      <w:r w:rsidR="009978CF" w:rsidRPr="00116E3E">
        <w:rPr>
          <w:rFonts w:asciiTheme="minorHAnsi" w:hAnsiTheme="minorHAnsi"/>
        </w:rPr>
        <w:t xml:space="preserve"> to Government</w:t>
      </w:r>
      <w:r w:rsidR="00320045" w:rsidRPr="00116E3E">
        <w:rPr>
          <w:rFonts w:asciiTheme="minorHAnsi" w:hAnsiTheme="minorHAnsi"/>
        </w:rPr>
        <w:t>, given</w:t>
      </w:r>
      <w:r w:rsidRPr="00116E3E">
        <w:rPr>
          <w:rFonts w:asciiTheme="minorHAnsi" w:hAnsiTheme="minorHAnsi"/>
        </w:rPr>
        <w:t xml:space="preserve"> that</w:t>
      </w:r>
      <w:r w:rsidR="005575EE" w:rsidRPr="00116E3E">
        <w:rPr>
          <w:rFonts w:asciiTheme="minorHAnsi" w:hAnsiTheme="minorHAnsi"/>
        </w:rPr>
        <w:t xml:space="preserve"> it is not expected to affect the overall PBS utilisation of methotrexate and</w:t>
      </w:r>
      <w:r w:rsidRPr="00116E3E">
        <w:rPr>
          <w:rFonts w:asciiTheme="minorHAnsi" w:hAnsiTheme="minorHAnsi"/>
        </w:rPr>
        <w:t xml:space="preserve"> </w:t>
      </w:r>
      <w:r w:rsidR="00BF4990" w:rsidRPr="00116E3E">
        <w:rPr>
          <w:rFonts w:asciiTheme="minorHAnsi" w:hAnsiTheme="minorHAnsi"/>
        </w:rPr>
        <w:t>the proposed</w:t>
      </w:r>
      <w:r w:rsidRPr="00116E3E">
        <w:rPr>
          <w:rFonts w:asciiTheme="minorHAnsi" w:hAnsiTheme="minorHAnsi"/>
        </w:rPr>
        <w:t xml:space="preserve"> </w:t>
      </w:r>
      <w:r w:rsidR="00A05859" w:rsidRPr="00116E3E">
        <w:rPr>
          <w:rFonts w:asciiTheme="minorHAnsi" w:hAnsiTheme="minorHAnsi"/>
        </w:rPr>
        <w:t xml:space="preserve">ex-manufacturer price is the equivalent to that of </w:t>
      </w:r>
      <w:r w:rsidR="00A05859" w:rsidRPr="00116E3E">
        <w:rPr>
          <w:rFonts w:asciiTheme="minorHAnsi" w:hAnsiTheme="minorHAnsi" w:cs="Arial"/>
          <w:bCs/>
          <w:snapToGrid w:val="0"/>
        </w:rPr>
        <w:lastRenderedPageBreak/>
        <w:t>Trexject</w:t>
      </w:r>
      <w:r w:rsidR="00A05859" w:rsidRPr="00116E3E">
        <w:rPr>
          <w:rFonts w:asciiTheme="minorHAnsi" w:hAnsiTheme="minorHAnsi"/>
          <w:vertAlign w:val="superscript"/>
        </w:rPr>
        <w:t>®</w:t>
      </w:r>
      <w:r w:rsidR="00DE03CA" w:rsidRPr="00116E3E">
        <w:rPr>
          <w:rFonts w:asciiTheme="minorHAnsi" w:hAnsiTheme="minorHAnsi"/>
        </w:rPr>
        <w:t xml:space="preserve">. </w:t>
      </w:r>
    </w:p>
    <w:p w:rsidR="004A7BB7" w:rsidRPr="00116E3E" w:rsidRDefault="006538EF" w:rsidP="00EC6FAD">
      <w:pPr>
        <w:pStyle w:val="ListParagraph"/>
        <w:numPr>
          <w:ilvl w:val="1"/>
          <w:numId w:val="5"/>
        </w:numPr>
        <w:spacing w:after="120"/>
        <w:contextualSpacing w:val="0"/>
        <w:rPr>
          <w:rFonts w:asciiTheme="minorHAnsi" w:hAnsiTheme="minorHAnsi"/>
          <w:bCs/>
          <w:sz w:val="24"/>
          <w:szCs w:val="24"/>
          <w:lang w:eastAsia="en-AU"/>
        </w:rPr>
      </w:pPr>
      <w:r w:rsidRPr="00116E3E">
        <w:rPr>
          <w:rFonts w:asciiTheme="minorHAnsi" w:hAnsiTheme="minorHAnsi"/>
          <w:bCs/>
          <w:sz w:val="24"/>
          <w:szCs w:val="24"/>
          <w:lang w:eastAsia="en-AU"/>
        </w:rPr>
        <w:t xml:space="preserve">The PBAC </w:t>
      </w:r>
      <w:r w:rsidR="00BA6602" w:rsidRPr="00116E3E">
        <w:rPr>
          <w:rFonts w:asciiTheme="minorHAnsi" w:hAnsiTheme="minorHAnsi"/>
          <w:bCs/>
          <w:sz w:val="24"/>
          <w:szCs w:val="24"/>
          <w:lang w:eastAsia="en-AU"/>
        </w:rPr>
        <w:t>advised</w:t>
      </w:r>
      <w:r w:rsidR="006C6EFE" w:rsidRPr="00116E3E">
        <w:rPr>
          <w:rFonts w:asciiTheme="minorHAnsi" w:hAnsiTheme="minorHAnsi"/>
          <w:bCs/>
          <w:sz w:val="24"/>
          <w:szCs w:val="24"/>
          <w:lang w:eastAsia="en-AU"/>
        </w:rPr>
        <w:t xml:space="preserve">, </w:t>
      </w:r>
      <w:r w:rsidRPr="00116E3E">
        <w:rPr>
          <w:rFonts w:asciiTheme="minorHAnsi" w:hAnsiTheme="minorHAnsi"/>
          <w:bCs/>
          <w:sz w:val="24"/>
          <w:szCs w:val="24"/>
          <w:lang w:eastAsia="en-AU"/>
        </w:rPr>
        <w:t xml:space="preserve">under Section 101(4AACD) of the </w:t>
      </w:r>
      <w:r w:rsidRPr="00116E3E">
        <w:rPr>
          <w:rFonts w:asciiTheme="minorHAnsi" w:hAnsiTheme="minorHAnsi"/>
          <w:bCs/>
          <w:i/>
          <w:sz w:val="24"/>
          <w:szCs w:val="24"/>
          <w:lang w:eastAsia="en-AU"/>
        </w:rPr>
        <w:t>National Health Act 1953</w:t>
      </w:r>
      <w:r w:rsidRPr="00116E3E">
        <w:rPr>
          <w:rFonts w:asciiTheme="minorHAnsi" w:hAnsiTheme="minorHAnsi"/>
          <w:bCs/>
          <w:sz w:val="24"/>
          <w:szCs w:val="24"/>
          <w:lang w:eastAsia="en-AU"/>
        </w:rPr>
        <w:t xml:space="preserve"> that methotrexate 7.5 mg in 0.3 mL syringe and 7.5 mg in 0.15 mL syringe; methotrexate 10 mg in 0.4 mL syringe and 10 mg in 0.2 mL syringe; methotrexate 15 mg in 0.6 mL syringe and 15 mg in 0.3 mL syringe; methotrexate 20 mg in 0.8 mL syringe and 20 mg in 0.4 mL syringe; methotrexate 25 mL in 1 mL syringe and 25 mg in 0.5 mL syringe could be marked as equivalent in the Schedule of Pharmaceutical Benefits for the purposes of substitution at the point of dispensing.</w:t>
      </w:r>
    </w:p>
    <w:p w:rsidR="004A7BB7" w:rsidRPr="00116E3E" w:rsidRDefault="004A7BB7" w:rsidP="00EC6FAD">
      <w:pPr>
        <w:pStyle w:val="ListParagraph"/>
        <w:numPr>
          <w:ilvl w:val="1"/>
          <w:numId w:val="5"/>
        </w:numPr>
        <w:spacing w:after="120"/>
        <w:contextualSpacing w:val="0"/>
        <w:rPr>
          <w:rFonts w:asciiTheme="minorHAnsi" w:hAnsiTheme="minorHAnsi"/>
          <w:bCs/>
          <w:sz w:val="24"/>
          <w:szCs w:val="24"/>
          <w:lang w:eastAsia="en-AU"/>
        </w:rPr>
      </w:pPr>
      <w:r w:rsidRPr="00116E3E">
        <w:rPr>
          <w:rFonts w:asciiTheme="minorHAnsi" w:hAnsiTheme="minorHAnsi"/>
          <w:bCs/>
          <w:sz w:val="24"/>
          <w:szCs w:val="24"/>
          <w:lang w:eastAsia="en-AU"/>
        </w:rPr>
        <w:t xml:space="preserve">The PBAC recalled its previous advice that subcutaneous methotrexate is not suitable for prescribing by nurse practitioners under the PBS. </w:t>
      </w:r>
    </w:p>
    <w:p w:rsidR="004A7BB7" w:rsidRPr="00525DE6" w:rsidRDefault="00BF7B52" w:rsidP="00EC6FAD">
      <w:pPr>
        <w:pStyle w:val="ListParagraph"/>
        <w:numPr>
          <w:ilvl w:val="1"/>
          <w:numId w:val="5"/>
        </w:numPr>
        <w:spacing w:after="120"/>
        <w:rPr>
          <w:rFonts w:asciiTheme="minorHAnsi" w:hAnsiTheme="minorHAnsi"/>
          <w:bCs/>
          <w:sz w:val="24"/>
          <w:szCs w:val="24"/>
          <w:lang w:eastAsia="en-AU"/>
        </w:rPr>
      </w:pPr>
      <w:r w:rsidRPr="00525DE6">
        <w:rPr>
          <w:rFonts w:asciiTheme="minorHAnsi" w:hAnsiTheme="minorHAnsi"/>
          <w:bCs/>
          <w:sz w:val="24"/>
          <w:szCs w:val="24"/>
          <w:lang w:eastAsia="en-AU"/>
        </w:rPr>
        <w:t>The PBAC advised that the</w:t>
      </w:r>
      <w:r w:rsidRPr="00525DE6">
        <w:rPr>
          <w:rFonts w:asciiTheme="minorHAnsi" w:hAnsiTheme="minorHAnsi"/>
          <w:sz w:val="24"/>
          <w:szCs w:val="24"/>
        </w:rPr>
        <w:t xml:space="preserve"> Early Supply Rule should apply as it currently applies to </w:t>
      </w:r>
      <w:r w:rsidRPr="00525DE6">
        <w:rPr>
          <w:rFonts w:asciiTheme="minorHAnsi" w:hAnsiTheme="minorHAnsi"/>
          <w:bCs/>
          <w:sz w:val="24"/>
          <w:szCs w:val="24"/>
        </w:rPr>
        <w:t>Trexject</w:t>
      </w:r>
      <w:r w:rsidRPr="00525DE6">
        <w:rPr>
          <w:rFonts w:asciiTheme="minorHAnsi" w:hAnsiTheme="minorHAnsi"/>
          <w:sz w:val="24"/>
          <w:szCs w:val="24"/>
          <w:vertAlign w:val="superscript"/>
        </w:rPr>
        <w:t>®</w:t>
      </w:r>
      <w:r w:rsidRPr="00525DE6">
        <w:rPr>
          <w:rFonts w:asciiTheme="minorHAnsi" w:hAnsiTheme="minorHAnsi"/>
          <w:sz w:val="24"/>
          <w:szCs w:val="24"/>
        </w:rPr>
        <w:t xml:space="preserve">. </w:t>
      </w:r>
    </w:p>
    <w:p w:rsidR="00872723" w:rsidRPr="00525DE6" w:rsidRDefault="00CF752D" w:rsidP="00EC6FAD">
      <w:pPr>
        <w:widowControl w:val="0"/>
        <w:numPr>
          <w:ilvl w:val="1"/>
          <w:numId w:val="5"/>
        </w:numPr>
        <w:spacing w:after="120"/>
        <w:jc w:val="both"/>
        <w:rPr>
          <w:rFonts w:asciiTheme="minorHAnsi" w:hAnsiTheme="minorHAnsi" w:cs="Arial"/>
          <w:b/>
          <w:bCs/>
          <w:snapToGrid w:val="0"/>
        </w:rPr>
      </w:pPr>
      <w:r w:rsidRPr="00525DE6">
        <w:rPr>
          <w:rFonts w:asciiTheme="minorHAnsi" w:hAnsiTheme="minorHAnsi" w:cs="Arial"/>
          <w:bCs/>
          <w:snapToGrid w:val="0"/>
        </w:rPr>
        <w:t>The PBAC noted that this submission is not eligible for an Independent Review</w:t>
      </w:r>
      <w:r w:rsidR="00872723" w:rsidRPr="00525DE6">
        <w:rPr>
          <w:rFonts w:asciiTheme="minorHAnsi" w:hAnsiTheme="minorHAnsi" w:cs="Arial"/>
          <w:bCs/>
          <w:snapToGrid w:val="0"/>
        </w:rPr>
        <w:t xml:space="preserve"> as it received a positive recommendation</w:t>
      </w:r>
      <w:r w:rsidRPr="00525DE6">
        <w:rPr>
          <w:rFonts w:asciiTheme="minorHAnsi" w:hAnsiTheme="minorHAnsi" w:cs="Arial"/>
          <w:bCs/>
          <w:snapToGrid w:val="0"/>
        </w:rPr>
        <w:t xml:space="preserve">. </w:t>
      </w:r>
    </w:p>
    <w:p w:rsidR="00CF752D" w:rsidRPr="00116E3E" w:rsidRDefault="00CF752D" w:rsidP="00525DE6">
      <w:pPr>
        <w:keepNext/>
        <w:widowControl w:val="0"/>
        <w:spacing w:after="120"/>
        <w:jc w:val="both"/>
        <w:rPr>
          <w:rFonts w:asciiTheme="minorHAnsi" w:hAnsiTheme="minorHAnsi" w:cs="Arial"/>
          <w:b/>
          <w:bCs/>
          <w:snapToGrid w:val="0"/>
        </w:rPr>
      </w:pPr>
      <w:r w:rsidRPr="00116E3E">
        <w:rPr>
          <w:rFonts w:asciiTheme="minorHAnsi" w:hAnsiTheme="minorHAnsi" w:cs="Arial"/>
          <w:b/>
          <w:bCs/>
          <w:snapToGrid w:val="0"/>
        </w:rPr>
        <w:t>Outcome:</w:t>
      </w:r>
    </w:p>
    <w:p w:rsidR="00CF752D" w:rsidRPr="00116E3E" w:rsidRDefault="00CF752D" w:rsidP="00525DE6">
      <w:pPr>
        <w:keepNext/>
        <w:jc w:val="both"/>
        <w:rPr>
          <w:rFonts w:asciiTheme="minorHAnsi" w:hAnsiTheme="minorHAnsi" w:cs="Arial"/>
          <w:bCs/>
          <w:snapToGrid w:val="0"/>
        </w:rPr>
      </w:pPr>
      <w:r w:rsidRPr="00116E3E">
        <w:rPr>
          <w:rFonts w:asciiTheme="minorHAnsi" w:hAnsiTheme="minorHAnsi" w:cs="Arial"/>
          <w:bCs/>
          <w:snapToGrid w:val="0"/>
        </w:rPr>
        <w:t xml:space="preserve">Recommended </w:t>
      </w:r>
    </w:p>
    <w:p w:rsidR="00B86C35" w:rsidRDefault="00B86C35">
      <w:pPr>
        <w:rPr>
          <w:rFonts w:asciiTheme="minorHAnsi" w:hAnsiTheme="minorHAnsi" w:cs="Arial"/>
          <w:b/>
          <w:snapToGrid w:val="0"/>
          <w:sz w:val="32"/>
          <w:szCs w:val="32"/>
          <w:lang w:eastAsia="en-US"/>
        </w:rPr>
      </w:pPr>
      <w:r>
        <w:rPr>
          <w:rFonts w:asciiTheme="minorHAnsi" w:hAnsiTheme="minorHAnsi"/>
          <w:sz w:val="32"/>
          <w:szCs w:val="32"/>
        </w:rPr>
        <w:br w:type="page"/>
      </w:r>
    </w:p>
    <w:p w:rsidR="00CF752D" w:rsidRPr="00A1655C" w:rsidRDefault="00CF752D" w:rsidP="00A1655C">
      <w:pPr>
        <w:pStyle w:val="PBACHeading1"/>
        <w:spacing w:before="240" w:after="120"/>
        <w:ind w:left="709" w:hanging="709"/>
        <w:rPr>
          <w:rFonts w:asciiTheme="minorHAnsi" w:hAnsiTheme="minorHAnsi"/>
          <w:sz w:val="32"/>
          <w:szCs w:val="32"/>
        </w:rPr>
      </w:pPr>
      <w:r w:rsidRPr="00A1655C">
        <w:rPr>
          <w:rFonts w:asciiTheme="minorHAnsi" w:hAnsiTheme="minorHAnsi"/>
          <w:sz w:val="32"/>
          <w:szCs w:val="32"/>
        </w:rPr>
        <w:lastRenderedPageBreak/>
        <w:t>Recommended listing</w:t>
      </w:r>
    </w:p>
    <w:p w:rsidR="00CF752D" w:rsidRPr="00116E3E" w:rsidRDefault="00525DE6" w:rsidP="00B126B4">
      <w:pPr>
        <w:widowControl w:val="0"/>
        <w:jc w:val="both"/>
        <w:rPr>
          <w:rFonts w:asciiTheme="minorHAnsi" w:hAnsiTheme="minorHAnsi" w:cs="Arial"/>
          <w:bCs/>
          <w:snapToGrid w:val="0"/>
        </w:rPr>
      </w:pPr>
      <w:r>
        <w:rPr>
          <w:rFonts w:asciiTheme="minorHAnsi" w:hAnsiTheme="minorHAnsi" w:cs="Arial"/>
          <w:bCs/>
          <w:snapToGrid w:val="0"/>
        </w:rPr>
        <w:t>6.1</w:t>
      </w:r>
      <w:r>
        <w:rPr>
          <w:rFonts w:asciiTheme="minorHAnsi" w:hAnsiTheme="minorHAnsi" w:cs="Arial"/>
          <w:bCs/>
          <w:snapToGrid w:val="0"/>
        </w:rPr>
        <w:tab/>
      </w:r>
      <w:r w:rsidR="00CF752D" w:rsidRPr="00116E3E">
        <w:rPr>
          <w:rFonts w:asciiTheme="minorHAnsi" w:hAnsiTheme="minorHAnsi" w:cs="Arial"/>
          <w:bCs/>
          <w:snapToGrid w:val="0"/>
        </w:rPr>
        <w:t>Add new item</w:t>
      </w:r>
      <w:r w:rsidR="006C6EFE" w:rsidRPr="00116E3E">
        <w:rPr>
          <w:rFonts w:asciiTheme="minorHAnsi" w:hAnsiTheme="minorHAnsi" w:cs="Arial"/>
          <w:bCs/>
          <w:snapToGrid w:val="0"/>
        </w:rPr>
        <w:t>s</w:t>
      </w:r>
      <w:r w:rsidR="00CF752D" w:rsidRPr="00116E3E">
        <w:rPr>
          <w:rFonts w:asciiTheme="minorHAnsi" w:hAnsiTheme="minorHAnsi" w:cs="Arial"/>
          <w:bCs/>
          <w:snapToGrid w:val="0"/>
        </w:rPr>
        <w:t>:</w:t>
      </w:r>
    </w:p>
    <w:p w:rsidR="00CE3060" w:rsidRPr="00116E3E" w:rsidRDefault="00CE3060" w:rsidP="00CF752D">
      <w:pPr>
        <w:widowControl w:val="0"/>
        <w:ind w:firstLine="720"/>
        <w:jc w:val="both"/>
        <w:rPr>
          <w:rFonts w:asciiTheme="minorHAnsi" w:hAnsiTheme="minorHAnsi" w:cs="Arial"/>
          <w:bCs/>
          <w:snapToGrid w:val="0"/>
        </w:rPr>
      </w:pPr>
    </w:p>
    <w:tbl>
      <w:tblPr>
        <w:tblW w:w="5043" w:type="pct"/>
        <w:jc w:val="center"/>
        <w:tblLook w:val="0000" w:firstRow="0" w:lastRow="0" w:firstColumn="0" w:lastColumn="0" w:noHBand="0" w:noVBand="0"/>
      </w:tblPr>
      <w:tblGrid>
        <w:gridCol w:w="69"/>
        <w:gridCol w:w="2519"/>
        <w:gridCol w:w="1335"/>
        <w:gridCol w:w="822"/>
        <w:gridCol w:w="826"/>
        <w:gridCol w:w="1549"/>
        <w:gridCol w:w="2123"/>
        <w:gridCol w:w="78"/>
      </w:tblGrid>
      <w:tr w:rsidR="00CE3060" w:rsidRPr="00116E3E" w:rsidTr="003E7DEF">
        <w:trPr>
          <w:cantSplit/>
          <w:trHeight w:val="465"/>
          <w:jc w:val="center"/>
        </w:trPr>
        <w:tc>
          <w:tcPr>
            <w:tcW w:w="2104" w:type="pct"/>
            <w:gridSpan w:val="3"/>
            <w:tcBorders>
              <w:bottom w:val="single" w:sz="4" w:space="0" w:color="auto"/>
            </w:tcBorders>
          </w:tcPr>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Name, Restriction,</w:t>
            </w:r>
          </w:p>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Manner of administration and form</w:t>
            </w:r>
          </w:p>
        </w:tc>
        <w:tc>
          <w:tcPr>
            <w:tcW w:w="441" w:type="pct"/>
            <w:tcBorders>
              <w:bottom w:val="single" w:sz="4" w:space="0" w:color="auto"/>
            </w:tcBorders>
          </w:tcPr>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Max.</w:t>
            </w:r>
          </w:p>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Qty</w:t>
            </w:r>
          </w:p>
        </w:tc>
        <w:tc>
          <w:tcPr>
            <w:tcW w:w="443" w:type="pct"/>
            <w:tcBorders>
              <w:bottom w:val="single" w:sz="4" w:space="0" w:color="auto"/>
            </w:tcBorders>
          </w:tcPr>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№.of</w:t>
            </w:r>
          </w:p>
          <w:p w:rsidR="00CE3060" w:rsidRPr="00116E3E" w:rsidRDefault="00CE3060" w:rsidP="002B2162">
            <w:pPr>
              <w:keepNext/>
              <w:spacing w:before="40" w:after="40"/>
              <w:jc w:val="both"/>
              <w:rPr>
                <w:rFonts w:ascii="Arial Narrow" w:hAnsi="Arial Narrow" w:cs="Arial"/>
                <w:b/>
                <w:sz w:val="20"/>
                <w:szCs w:val="20"/>
              </w:rPr>
            </w:pPr>
            <w:r w:rsidRPr="00116E3E">
              <w:rPr>
                <w:rFonts w:ascii="Arial Narrow" w:hAnsi="Arial Narrow" w:cs="Arial"/>
                <w:b/>
                <w:sz w:val="20"/>
                <w:szCs w:val="20"/>
              </w:rPr>
              <w:t>Rpts</w:t>
            </w:r>
          </w:p>
        </w:tc>
        <w:tc>
          <w:tcPr>
            <w:tcW w:w="2012" w:type="pct"/>
            <w:gridSpan w:val="3"/>
            <w:tcBorders>
              <w:bottom w:val="single" w:sz="4" w:space="0" w:color="auto"/>
            </w:tcBorders>
          </w:tcPr>
          <w:p w:rsidR="00CE3060" w:rsidRPr="00116E3E" w:rsidRDefault="00CE3060" w:rsidP="002B2162">
            <w:pPr>
              <w:keepNext/>
              <w:tabs>
                <w:tab w:val="left" w:pos="1634"/>
              </w:tabs>
              <w:spacing w:before="40" w:after="40"/>
              <w:jc w:val="both"/>
              <w:rPr>
                <w:rFonts w:ascii="Arial Narrow" w:hAnsi="Arial Narrow" w:cs="Arial"/>
                <w:b/>
                <w:sz w:val="20"/>
                <w:szCs w:val="20"/>
              </w:rPr>
            </w:pPr>
            <w:r w:rsidRPr="00116E3E">
              <w:rPr>
                <w:rFonts w:ascii="Arial Narrow" w:hAnsi="Arial Narrow" w:cs="Arial"/>
                <w:b/>
                <w:sz w:val="20"/>
                <w:szCs w:val="20"/>
              </w:rPr>
              <w:t>Proprietary Name and Manufacturer</w:t>
            </w:r>
          </w:p>
        </w:tc>
      </w:tr>
      <w:tr w:rsidR="00CE3060" w:rsidRPr="00116E3E" w:rsidTr="003E7DEF">
        <w:trPr>
          <w:cantSplit/>
          <w:trHeight w:val="567"/>
          <w:jc w:val="center"/>
        </w:trPr>
        <w:tc>
          <w:tcPr>
            <w:tcW w:w="2104" w:type="pct"/>
            <w:gridSpan w:val="3"/>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mallCaps/>
                <w:sz w:val="20"/>
                <w:szCs w:val="20"/>
              </w:rPr>
              <w:t>METHOTREXATE</w:t>
            </w:r>
          </w:p>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7.5 mg/0.3mL injection, 4 x 0.3 mL syringes</w:t>
            </w:r>
          </w:p>
        </w:tc>
        <w:tc>
          <w:tcPr>
            <w:tcW w:w="441" w:type="pct"/>
          </w:tcPr>
          <w:p w:rsidR="00CE3060" w:rsidRPr="00116E3E" w:rsidRDefault="00CE3060" w:rsidP="002B2162">
            <w:pPr>
              <w:keepNext/>
              <w:spacing w:before="40" w:after="40"/>
              <w:jc w:val="both"/>
              <w:rPr>
                <w:rFonts w:ascii="Arial Narrow" w:hAnsi="Arial Narrow" w:cs="Arial"/>
                <w:sz w:val="20"/>
                <w:szCs w:val="20"/>
              </w:rPr>
            </w:pPr>
          </w:p>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443" w:type="pct"/>
          </w:tcPr>
          <w:p w:rsidR="00CE3060" w:rsidRPr="00116E3E" w:rsidRDefault="00CE3060" w:rsidP="002B2162">
            <w:pPr>
              <w:keepNext/>
              <w:spacing w:before="40" w:after="40"/>
              <w:jc w:val="both"/>
              <w:rPr>
                <w:rFonts w:ascii="Arial Narrow" w:hAnsi="Arial Narrow" w:cs="Arial"/>
                <w:sz w:val="20"/>
                <w:szCs w:val="20"/>
              </w:rPr>
            </w:pPr>
          </w:p>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1" w:type="pct"/>
          </w:tcPr>
          <w:p w:rsidR="00CE3060" w:rsidRPr="00116E3E" w:rsidRDefault="00CE3060" w:rsidP="002B2162">
            <w:pPr>
              <w:keepNext/>
              <w:spacing w:before="40" w:after="40"/>
              <w:jc w:val="both"/>
              <w:rPr>
                <w:rFonts w:ascii="Arial Narrow" w:hAnsi="Arial Narrow" w:cs="Arial"/>
                <w:sz w:val="20"/>
                <w:szCs w:val="20"/>
              </w:rPr>
            </w:pPr>
          </w:p>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Methoblastin PFS</w:t>
            </w:r>
            <w:r w:rsidRPr="00116E3E">
              <w:rPr>
                <w:rFonts w:asciiTheme="minorHAnsi" w:hAnsiTheme="minorHAnsi"/>
                <w:vertAlign w:val="superscript"/>
              </w:rPr>
              <w:t>®</w:t>
            </w:r>
          </w:p>
        </w:tc>
        <w:tc>
          <w:tcPr>
            <w:tcW w:w="1181" w:type="pct"/>
            <w:gridSpan w:val="2"/>
          </w:tcPr>
          <w:p w:rsidR="00CE3060" w:rsidRPr="00116E3E" w:rsidRDefault="00CE3060" w:rsidP="002B2162">
            <w:pPr>
              <w:keepNext/>
              <w:spacing w:before="40" w:after="40"/>
              <w:ind w:left="212"/>
              <w:jc w:val="both"/>
              <w:rPr>
                <w:rFonts w:ascii="Arial Narrow" w:hAnsi="Arial Narrow" w:cs="Arial"/>
                <w:sz w:val="20"/>
                <w:szCs w:val="20"/>
              </w:rPr>
            </w:pPr>
          </w:p>
          <w:p w:rsidR="00CE3060" w:rsidRPr="00116E3E" w:rsidRDefault="00CE3060" w:rsidP="002B2162">
            <w:pPr>
              <w:keepNext/>
              <w:spacing w:before="40" w:after="40"/>
              <w:ind w:left="212"/>
              <w:jc w:val="both"/>
              <w:rPr>
                <w:rFonts w:ascii="Arial Narrow" w:hAnsi="Arial Narrow" w:cs="Arial"/>
                <w:sz w:val="20"/>
                <w:szCs w:val="20"/>
              </w:rPr>
            </w:pPr>
            <w:r w:rsidRPr="00116E3E">
              <w:rPr>
                <w:rFonts w:ascii="Arial Narrow" w:hAnsi="Arial Narrow" w:cs="Arial"/>
                <w:sz w:val="20"/>
                <w:szCs w:val="20"/>
              </w:rPr>
              <w:t>Pfizer</w:t>
            </w:r>
          </w:p>
        </w:tc>
      </w:tr>
      <w:tr w:rsidR="00CE3060" w:rsidRPr="00116E3E" w:rsidTr="003E7DEF">
        <w:trPr>
          <w:cantSplit/>
          <w:trHeight w:val="567"/>
          <w:jc w:val="center"/>
        </w:trPr>
        <w:tc>
          <w:tcPr>
            <w:tcW w:w="2104" w:type="pct"/>
            <w:gridSpan w:val="3"/>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10 mg/0.4 mL injection, 4 x 0.4 mL syringes</w:t>
            </w:r>
          </w:p>
        </w:tc>
        <w:tc>
          <w:tcPr>
            <w:tcW w:w="441"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443"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1" w:type="pct"/>
          </w:tcPr>
          <w:p w:rsidR="00CE3060" w:rsidRPr="00116E3E" w:rsidRDefault="00CE3060" w:rsidP="002B2162">
            <w:pPr>
              <w:keepNext/>
              <w:spacing w:before="40" w:after="40"/>
              <w:jc w:val="both"/>
              <w:rPr>
                <w:rFonts w:ascii="Arial Narrow" w:hAnsi="Arial Narrow" w:cs="Arial"/>
                <w:sz w:val="20"/>
                <w:szCs w:val="20"/>
              </w:rPr>
            </w:pPr>
          </w:p>
        </w:tc>
        <w:tc>
          <w:tcPr>
            <w:tcW w:w="1181" w:type="pct"/>
            <w:gridSpan w:val="2"/>
          </w:tcPr>
          <w:p w:rsidR="00CE3060" w:rsidRPr="00116E3E" w:rsidRDefault="00CE3060" w:rsidP="002B2162">
            <w:pPr>
              <w:keepNext/>
              <w:spacing w:before="40" w:after="40"/>
              <w:jc w:val="both"/>
              <w:rPr>
                <w:rFonts w:ascii="Arial Narrow" w:hAnsi="Arial Narrow" w:cs="Arial"/>
                <w:sz w:val="20"/>
                <w:szCs w:val="20"/>
              </w:rPr>
            </w:pPr>
          </w:p>
        </w:tc>
      </w:tr>
      <w:tr w:rsidR="00CE3060" w:rsidRPr="00116E3E" w:rsidTr="003E7DEF">
        <w:trPr>
          <w:cantSplit/>
          <w:trHeight w:val="567"/>
          <w:jc w:val="center"/>
        </w:trPr>
        <w:tc>
          <w:tcPr>
            <w:tcW w:w="2104" w:type="pct"/>
            <w:gridSpan w:val="3"/>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15 mg/0.6 mL injection, 4 x 0.6 mL syringes</w:t>
            </w:r>
          </w:p>
        </w:tc>
        <w:tc>
          <w:tcPr>
            <w:tcW w:w="441"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443"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1" w:type="pct"/>
          </w:tcPr>
          <w:p w:rsidR="00CE3060" w:rsidRPr="00116E3E" w:rsidRDefault="00CE3060" w:rsidP="002B2162">
            <w:pPr>
              <w:keepNext/>
              <w:spacing w:before="40" w:after="40"/>
              <w:jc w:val="both"/>
              <w:rPr>
                <w:rFonts w:ascii="Arial Narrow" w:hAnsi="Arial Narrow" w:cs="Arial"/>
                <w:sz w:val="20"/>
                <w:szCs w:val="20"/>
              </w:rPr>
            </w:pPr>
          </w:p>
        </w:tc>
        <w:tc>
          <w:tcPr>
            <w:tcW w:w="1181" w:type="pct"/>
            <w:gridSpan w:val="2"/>
          </w:tcPr>
          <w:p w:rsidR="00CE3060" w:rsidRPr="00116E3E" w:rsidRDefault="00CE3060" w:rsidP="002B2162">
            <w:pPr>
              <w:keepNext/>
              <w:spacing w:before="40" w:after="40"/>
              <w:jc w:val="both"/>
              <w:rPr>
                <w:rFonts w:ascii="Arial Narrow" w:hAnsi="Arial Narrow" w:cs="Arial"/>
                <w:sz w:val="20"/>
                <w:szCs w:val="20"/>
              </w:rPr>
            </w:pPr>
          </w:p>
        </w:tc>
      </w:tr>
      <w:tr w:rsidR="00CE3060" w:rsidRPr="00116E3E" w:rsidTr="003E7DEF">
        <w:trPr>
          <w:cantSplit/>
          <w:trHeight w:val="567"/>
          <w:jc w:val="center"/>
        </w:trPr>
        <w:tc>
          <w:tcPr>
            <w:tcW w:w="2104" w:type="pct"/>
            <w:gridSpan w:val="3"/>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20 mg/0.8 mL injection, 4 x 0.8 mL syringes</w:t>
            </w:r>
          </w:p>
        </w:tc>
        <w:tc>
          <w:tcPr>
            <w:tcW w:w="441"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443"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1" w:type="pct"/>
          </w:tcPr>
          <w:p w:rsidR="00CE3060" w:rsidRPr="00116E3E" w:rsidRDefault="00CE3060" w:rsidP="002B2162">
            <w:pPr>
              <w:keepNext/>
              <w:spacing w:before="40" w:after="40"/>
              <w:jc w:val="both"/>
              <w:rPr>
                <w:rFonts w:ascii="Arial Narrow" w:hAnsi="Arial Narrow" w:cs="Arial"/>
                <w:sz w:val="20"/>
                <w:szCs w:val="20"/>
              </w:rPr>
            </w:pPr>
          </w:p>
        </w:tc>
        <w:tc>
          <w:tcPr>
            <w:tcW w:w="1181" w:type="pct"/>
            <w:gridSpan w:val="2"/>
          </w:tcPr>
          <w:p w:rsidR="00CE3060" w:rsidRPr="00116E3E" w:rsidRDefault="00CE3060" w:rsidP="002B2162">
            <w:pPr>
              <w:keepNext/>
              <w:spacing w:before="40" w:after="40"/>
              <w:jc w:val="both"/>
              <w:rPr>
                <w:rFonts w:ascii="Arial Narrow" w:hAnsi="Arial Narrow" w:cs="Arial"/>
                <w:sz w:val="20"/>
                <w:szCs w:val="20"/>
              </w:rPr>
            </w:pPr>
          </w:p>
        </w:tc>
      </w:tr>
      <w:tr w:rsidR="00CE3060" w:rsidRPr="00116E3E" w:rsidTr="003E7DEF">
        <w:trPr>
          <w:cantSplit/>
          <w:trHeight w:val="567"/>
          <w:jc w:val="center"/>
        </w:trPr>
        <w:tc>
          <w:tcPr>
            <w:tcW w:w="2104" w:type="pct"/>
            <w:gridSpan w:val="3"/>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25 mg/1 mL injection, 4 x 1 mL syringes</w:t>
            </w:r>
          </w:p>
        </w:tc>
        <w:tc>
          <w:tcPr>
            <w:tcW w:w="441"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1</w:t>
            </w:r>
          </w:p>
        </w:tc>
        <w:tc>
          <w:tcPr>
            <w:tcW w:w="443" w:type="pct"/>
          </w:tcPr>
          <w:p w:rsidR="00CE3060" w:rsidRPr="00116E3E" w:rsidRDefault="00CE3060" w:rsidP="002B2162">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31" w:type="pct"/>
          </w:tcPr>
          <w:p w:rsidR="00CE3060" w:rsidRPr="00116E3E" w:rsidRDefault="00CE3060" w:rsidP="002B2162">
            <w:pPr>
              <w:keepNext/>
              <w:spacing w:before="40" w:after="40"/>
              <w:jc w:val="both"/>
              <w:rPr>
                <w:rFonts w:ascii="Arial Narrow" w:hAnsi="Arial Narrow" w:cs="Arial"/>
                <w:sz w:val="20"/>
                <w:szCs w:val="20"/>
              </w:rPr>
            </w:pPr>
          </w:p>
        </w:tc>
        <w:tc>
          <w:tcPr>
            <w:tcW w:w="1181" w:type="pct"/>
            <w:gridSpan w:val="2"/>
          </w:tcPr>
          <w:p w:rsidR="00CE3060" w:rsidRPr="00116E3E" w:rsidRDefault="00CE3060" w:rsidP="002B2162">
            <w:pPr>
              <w:keepNext/>
              <w:spacing w:before="40" w:after="40"/>
              <w:jc w:val="both"/>
              <w:rPr>
                <w:rFonts w:ascii="Arial Narrow" w:hAnsi="Arial Narrow" w:cs="Arial"/>
                <w:sz w:val="20"/>
                <w:szCs w:val="20"/>
              </w:rPr>
            </w:pP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Category / Program</w:t>
            </w: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GENERAL – General Schedule (Code GE)</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Prescriber type:</w:t>
            </w:r>
          </w:p>
          <w:p w:rsidR="00B126B4" w:rsidRPr="00116E3E" w:rsidRDefault="00B126B4" w:rsidP="003D5AA7">
            <w:pPr>
              <w:rPr>
                <w:rFonts w:ascii="Arial Narrow" w:hAnsi="Arial Narrow"/>
                <w:b/>
                <w:sz w:val="20"/>
              </w:rPr>
            </w:pP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Check1"/>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Dental  </w:t>
            </w: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Medical Practitioners  </w:t>
            </w:r>
            <w:r w:rsidRPr="00116E3E">
              <w:rPr>
                <w:rFonts w:ascii="Arial Narrow" w:hAnsi="Arial Narrow"/>
                <w:sz w:val="20"/>
              </w:rPr>
              <w:fldChar w:fldCharType="begin">
                <w:ffData>
                  <w:name w:val="Check3"/>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Nurse practitioners  </w:t>
            </w:r>
            <w:r w:rsidRPr="00116E3E">
              <w:rPr>
                <w:rFonts w:ascii="Arial Narrow" w:hAnsi="Arial Narrow"/>
                <w:sz w:val="20"/>
              </w:rPr>
              <w:fldChar w:fldCharType="begin">
                <w:ffData>
                  <w:name w:val=""/>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Optometrists</w:t>
            </w:r>
          </w:p>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Check5"/>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Midwives</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Severity:</w:t>
            </w: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Severe</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Condition:</w:t>
            </w: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 xml:space="preserve">Rheumatoid arthritis </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PBS Indication:</w:t>
            </w:r>
          </w:p>
          <w:p w:rsidR="00B126B4" w:rsidRPr="00116E3E" w:rsidRDefault="00B126B4" w:rsidP="003D5AA7">
            <w:pPr>
              <w:rPr>
                <w:rFonts w:ascii="Arial Narrow" w:hAnsi="Arial Narrow"/>
                <w:i/>
                <w:sz w:val="20"/>
              </w:rPr>
            </w:pP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Severe active rheumatoid arthritis</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i/>
                <w:sz w:val="20"/>
              </w:rPr>
            </w:pPr>
            <w:r w:rsidRPr="00116E3E">
              <w:rPr>
                <w:rFonts w:ascii="Arial Narrow" w:hAnsi="Arial Narrow"/>
                <w:b/>
                <w:sz w:val="20"/>
              </w:rPr>
              <w:t>Restriction Level / Method:</w:t>
            </w: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Check5"/>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Streamlined</w:t>
            </w:r>
          </w:p>
        </w:tc>
      </w:tr>
      <w:tr w:rsidR="00B126B4" w:rsidRPr="00116E3E" w:rsidTr="003E7DEF">
        <w:tblPrEx>
          <w:jc w:val="left"/>
        </w:tblPrEx>
        <w:trPr>
          <w:gridBefore w:val="1"/>
          <w:gridAfter w:val="1"/>
          <w:wBefore w:w="37" w:type="pct"/>
          <w:wAfter w:w="43" w:type="pct"/>
          <w:cantSplit/>
          <w:trHeight w:val="360"/>
        </w:trPr>
        <w:tc>
          <w:tcPr>
            <w:tcW w:w="135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Clinical criteria:</w:t>
            </w:r>
          </w:p>
          <w:p w:rsidR="00B126B4" w:rsidRPr="00116E3E" w:rsidRDefault="00B126B4" w:rsidP="003D5AA7">
            <w:pPr>
              <w:rPr>
                <w:rFonts w:ascii="Arial Narrow" w:hAnsi="Arial Narrow"/>
                <w:sz w:val="20"/>
              </w:rPr>
            </w:pPr>
          </w:p>
        </w:tc>
        <w:tc>
          <w:tcPr>
            <w:tcW w:w="3570" w:type="pct"/>
            <w:gridSpan w:val="5"/>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i/>
                <w:sz w:val="20"/>
              </w:rPr>
            </w:pPr>
            <w:r w:rsidRPr="00116E3E">
              <w:rPr>
                <w:rFonts w:ascii="Arial Narrow" w:hAnsi="Arial Narrow"/>
                <w:sz w:val="20"/>
              </w:rPr>
              <w:t>Patient must be unsuitable for administration of an oral form of methotrexate for this condition.</w:t>
            </w:r>
          </w:p>
        </w:tc>
      </w:tr>
    </w:tbl>
    <w:p w:rsidR="00B126B4" w:rsidRPr="00116E3E" w:rsidRDefault="00B126B4" w:rsidP="00B126B4">
      <w:pPr>
        <w:rPr>
          <w:szCs w:val="22"/>
        </w:rPr>
      </w:pPr>
    </w:p>
    <w:tbl>
      <w:tblPr>
        <w:tblW w:w="5000" w:type="pct"/>
        <w:tblLook w:val="0000" w:firstRow="0" w:lastRow="0" w:firstColumn="0" w:lastColumn="0" w:noHBand="0" w:noVBand="0"/>
      </w:tblPr>
      <w:tblGrid>
        <w:gridCol w:w="2534"/>
        <w:gridCol w:w="6708"/>
      </w:tblGrid>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Category / Program</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GENERAL – General Schedule (Code GE)</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Prescriber type:</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Check1"/>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Dental  </w:t>
            </w: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Medical Practitioners  </w:t>
            </w:r>
            <w:r w:rsidRPr="00116E3E">
              <w:rPr>
                <w:rFonts w:ascii="Arial Narrow" w:hAnsi="Arial Narrow"/>
                <w:sz w:val="20"/>
              </w:rPr>
              <w:fldChar w:fldCharType="begin">
                <w:ffData>
                  <w:name w:val="Check3"/>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Nurse practitioners  </w:t>
            </w:r>
            <w:r w:rsidRPr="00116E3E">
              <w:rPr>
                <w:rFonts w:ascii="Arial Narrow" w:hAnsi="Arial Narrow"/>
                <w:sz w:val="20"/>
              </w:rPr>
              <w:fldChar w:fldCharType="begin">
                <w:ffData>
                  <w:name w:val=""/>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Optometrists</w:t>
            </w:r>
          </w:p>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Check5"/>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Midwives</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Severity:</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Severe</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Condition:</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 xml:space="preserve">Psoriasis </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PBS Indication:</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Severe psoriasis</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b/>
                <w:sz w:val="20"/>
              </w:rPr>
              <w:t xml:space="preserve">Restriction Level / Method: </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Streamlined</w:t>
            </w:r>
          </w:p>
        </w:tc>
      </w:tr>
      <w:tr w:rsidR="00B126B4" w:rsidRPr="00116E3E" w:rsidTr="003E7DEF">
        <w:trPr>
          <w:cantSplit/>
          <w:trHeight w:val="360"/>
        </w:trPr>
        <w:tc>
          <w:tcPr>
            <w:tcW w:w="1371"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b/>
                <w:sz w:val="20"/>
              </w:rPr>
            </w:pPr>
            <w:r w:rsidRPr="00116E3E">
              <w:rPr>
                <w:rFonts w:ascii="Arial Narrow" w:hAnsi="Arial Narrow"/>
                <w:b/>
                <w:sz w:val="20"/>
              </w:rPr>
              <w:t>Clinical criteria:</w:t>
            </w:r>
          </w:p>
        </w:tc>
        <w:tc>
          <w:tcPr>
            <w:tcW w:w="3629" w:type="pct"/>
            <w:tcBorders>
              <w:top w:val="single" w:sz="4" w:space="0" w:color="auto"/>
              <w:left w:val="single" w:sz="4" w:space="0" w:color="auto"/>
              <w:bottom w:val="single" w:sz="4" w:space="0" w:color="auto"/>
              <w:right w:val="single" w:sz="4" w:space="0" w:color="auto"/>
            </w:tcBorders>
          </w:tcPr>
          <w:p w:rsidR="00B126B4" w:rsidRPr="00116E3E" w:rsidRDefault="00B126B4" w:rsidP="003D5AA7">
            <w:pPr>
              <w:rPr>
                <w:rFonts w:ascii="Arial Narrow" w:hAnsi="Arial Narrow"/>
                <w:sz w:val="20"/>
              </w:rPr>
            </w:pPr>
            <w:r w:rsidRPr="00116E3E">
              <w:rPr>
                <w:rFonts w:ascii="Arial Narrow" w:hAnsi="Arial Narrow"/>
                <w:sz w:val="20"/>
              </w:rPr>
              <w:t>The condition must not have adequately responded to topical treatment,</w:t>
            </w:r>
          </w:p>
          <w:p w:rsidR="00B126B4" w:rsidRPr="00116E3E" w:rsidRDefault="00B126B4" w:rsidP="003D5AA7">
            <w:pPr>
              <w:rPr>
                <w:rFonts w:ascii="Arial Narrow" w:hAnsi="Arial Narrow"/>
                <w:sz w:val="20"/>
              </w:rPr>
            </w:pPr>
          </w:p>
          <w:p w:rsidR="00B126B4" w:rsidRPr="00116E3E" w:rsidRDefault="00B126B4" w:rsidP="003D5AA7">
            <w:pPr>
              <w:rPr>
                <w:rFonts w:ascii="Arial Narrow" w:hAnsi="Arial Narrow"/>
                <w:sz w:val="20"/>
              </w:rPr>
            </w:pPr>
            <w:r w:rsidRPr="00116E3E">
              <w:rPr>
                <w:rFonts w:ascii="Arial Narrow" w:hAnsi="Arial Narrow"/>
                <w:sz w:val="20"/>
              </w:rPr>
              <w:t>AND</w:t>
            </w:r>
          </w:p>
          <w:p w:rsidR="00B126B4" w:rsidRPr="00116E3E" w:rsidRDefault="00B126B4" w:rsidP="003D5AA7">
            <w:pPr>
              <w:rPr>
                <w:rFonts w:ascii="Arial Narrow" w:hAnsi="Arial Narrow"/>
                <w:sz w:val="20"/>
              </w:rPr>
            </w:pPr>
          </w:p>
          <w:p w:rsidR="00B126B4" w:rsidRPr="00116E3E" w:rsidRDefault="00B126B4" w:rsidP="003D5AA7">
            <w:pPr>
              <w:rPr>
                <w:rFonts w:ascii="Arial Narrow" w:hAnsi="Arial Narrow"/>
                <w:sz w:val="20"/>
              </w:rPr>
            </w:pPr>
            <w:r w:rsidRPr="00116E3E">
              <w:rPr>
                <w:rFonts w:ascii="Arial Narrow" w:hAnsi="Arial Narrow"/>
                <w:sz w:val="20"/>
              </w:rPr>
              <w:t xml:space="preserve">Patient must be unsuitable for administration of an oral form of methotrexate for this condition. </w:t>
            </w:r>
          </w:p>
        </w:tc>
      </w:tr>
    </w:tbl>
    <w:p w:rsidR="00CF752D" w:rsidRPr="00116E3E" w:rsidRDefault="00CF752D" w:rsidP="00CF752D">
      <w:pPr>
        <w:pStyle w:val="NoSpacing"/>
      </w:pPr>
    </w:p>
    <w:p w:rsidR="00B86C35" w:rsidRDefault="00B86C35">
      <w:pPr>
        <w:rPr>
          <w:rFonts w:asciiTheme="minorHAnsi" w:hAnsiTheme="minorHAnsi" w:cs="Arial"/>
          <w:bCs/>
          <w:snapToGrid w:val="0"/>
        </w:rPr>
      </w:pPr>
      <w:r>
        <w:rPr>
          <w:rFonts w:asciiTheme="minorHAnsi" w:hAnsiTheme="minorHAnsi" w:cs="Arial"/>
          <w:bCs/>
          <w:snapToGrid w:val="0"/>
        </w:rPr>
        <w:br w:type="page"/>
      </w:r>
    </w:p>
    <w:p w:rsidR="001B2BBF" w:rsidRDefault="001B2BBF" w:rsidP="004D6B8D">
      <w:pPr>
        <w:widowControl w:val="0"/>
        <w:jc w:val="both"/>
        <w:rPr>
          <w:rFonts w:asciiTheme="minorHAnsi" w:hAnsiTheme="minorHAnsi" w:cs="Arial"/>
          <w:bCs/>
          <w:snapToGrid w:val="0"/>
        </w:rPr>
      </w:pPr>
      <w:r>
        <w:rPr>
          <w:rFonts w:asciiTheme="minorHAnsi" w:hAnsiTheme="minorHAnsi" w:cs="Arial"/>
          <w:bCs/>
          <w:snapToGrid w:val="0"/>
        </w:rPr>
        <w:lastRenderedPageBreak/>
        <w:t>Add the relevant administrative advice to the</w:t>
      </w:r>
      <w:r w:rsidR="00980EC4">
        <w:rPr>
          <w:rFonts w:asciiTheme="minorHAnsi" w:hAnsiTheme="minorHAnsi" w:cs="Arial"/>
          <w:bCs/>
          <w:snapToGrid w:val="0"/>
        </w:rPr>
        <w:t xml:space="preserve"> new</w:t>
      </w:r>
      <w:r>
        <w:rPr>
          <w:rFonts w:asciiTheme="minorHAnsi" w:hAnsiTheme="minorHAnsi" w:cs="Arial"/>
          <w:bCs/>
          <w:snapToGrid w:val="0"/>
        </w:rPr>
        <w:t xml:space="preserve"> listing </w:t>
      </w:r>
      <w:r w:rsidR="00980EC4">
        <w:rPr>
          <w:rFonts w:asciiTheme="minorHAnsi" w:hAnsiTheme="minorHAnsi" w:cs="Arial"/>
          <w:bCs/>
          <w:snapToGrid w:val="0"/>
        </w:rPr>
        <w:t>of</w:t>
      </w:r>
      <w:r>
        <w:rPr>
          <w:rFonts w:asciiTheme="minorHAnsi" w:hAnsiTheme="minorHAnsi" w:cs="Arial"/>
          <w:bCs/>
          <w:snapToGrid w:val="0"/>
        </w:rPr>
        <w:t xml:space="preserve"> the corresponding form</w:t>
      </w:r>
      <w:r w:rsidR="00980EC4">
        <w:rPr>
          <w:rFonts w:asciiTheme="minorHAnsi" w:hAnsiTheme="minorHAnsi" w:cs="Arial"/>
          <w:bCs/>
          <w:snapToGrid w:val="0"/>
        </w:rPr>
        <w:t xml:space="preserve"> of methotrexate</w:t>
      </w:r>
      <w:r>
        <w:rPr>
          <w:rFonts w:asciiTheme="minorHAnsi" w:hAnsiTheme="minorHAnsi" w:cs="Arial"/>
          <w:bCs/>
          <w:snapToGrid w:val="0"/>
        </w:rPr>
        <w:t>:</w:t>
      </w:r>
    </w:p>
    <w:p w:rsidR="001B2BBF" w:rsidRDefault="001B2BBF" w:rsidP="004D6B8D">
      <w:pPr>
        <w:widowControl w:val="0"/>
        <w:jc w:val="both"/>
        <w:rPr>
          <w:rFonts w:asciiTheme="minorHAnsi" w:hAnsiTheme="minorHAnsi" w:cs="Arial"/>
          <w:bCs/>
          <w:snapToGrid w:val="0"/>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7.5 mg in 0.15 mL pre-filled syringe and pharmaceutical benefits that have the form methotrexate Injection 7.5 mg in 0.3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10 mg in 0.2 mL pre-filled syringe and pharmaceutical benefits that have the form methotrexate Injection 10 mg in 0.4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 xml:space="preserve">Pharmaceutical benefits that have the form methotrexate Injection 15 mg in 0.3 mL pre-filled syringe and pharmaceutical benefits that have the form methotrexate Injection </w:t>
      </w:r>
      <w:r w:rsidR="00F035ED">
        <w:rPr>
          <w:rFonts w:ascii="Calibri" w:hAnsi="Calibri" w:cs="Calibri"/>
          <w:sz w:val="24"/>
        </w:rPr>
        <w:t xml:space="preserve">15 </w:t>
      </w:r>
      <w:r>
        <w:rPr>
          <w:rFonts w:ascii="Calibri" w:hAnsi="Calibri" w:cs="Calibri"/>
          <w:sz w:val="24"/>
        </w:rPr>
        <w:t>mg in 0.6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20 mg in 0.4 mL pre-filled syringe and pharmaceutical benefits that have the form methotrexate Injection 20 mg in 0.8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25 mg in 0.5 mL pre-filled syringe and pharmaceutical benefits that have the</w:t>
      </w:r>
      <w:r w:rsidR="003E7DEF">
        <w:rPr>
          <w:rFonts w:ascii="Calibri" w:hAnsi="Calibri" w:cs="Calibri"/>
          <w:sz w:val="24"/>
        </w:rPr>
        <w:t xml:space="preserve"> form methotrexate Injection 25</w:t>
      </w:r>
      <w:r>
        <w:rPr>
          <w:rFonts w:ascii="Calibri" w:hAnsi="Calibri" w:cs="Calibri"/>
          <w:sz w:val="24"/>
        </w:rPr>
        <w:t xml:space="preserve"> mg in 1 mL pre-filled syringe are equivalent for the purposes of substitution. </w:t>
      </w:r>
    </w:p>
    <w:p w:rsidR="001B2BBF" w:rsidRDefault="001B2BBF" w:rsidP="004D6B8D">
      <w:pPr>
        <w:widowControl w:val="0"/>
        <w:jc w:val="both"/>
        <w:rPr>
          <w:rFonts w:asciiTheme="minorHAnsi" w:hAnsiTheme="minorHAnsi" w:cs="Arial"/>
          <w:bCs/>
          <w:snapToGrid w:val="0"/>
        </w:rPr>
      </w:pPr>
    </w:p>
    <w:p w:rsidR="004D6B8D" w:rsidRDefault="004D6B8D" w:rsidP="004D6B8D">
      <w:pPr>
        <w:widowControl w:val="0"/>
        <w:jc w:val="both"/>
        <w:rPr>
          <w:rFonts w:asciiTheme="minorHAnsi" w:hAnsiTheme="minorHAnsi" w:cs="Arial"/>
          <w:bCs/>
          <w:snapToGrid w:val="0"/>
        </w:rPr>
      </w:pPr>
      <w:r>
        <w:rPr>
          <w:rFonts w:asciiTheme="minorHAnsi" w:hAnsiTheme="minorHAnsi" w:cs="Arial"/>
          <w:bCs/>
          <w:snapToGrid w:val="0"/>
        </w:rPr>
        <w:t>Amend existing listings as follows</w:t>
      </w:r>
      <w:r w:rsidRPr="00116E3E">
        <w:rPr>
          <w:rFonts w:asciiTheme="minorHAnsi" w:hAnsiTheme="minorHAnsi" w:cs="Arial"/>
          <w:bCs/>
          <w:snapToGrid w:val="0"/>
        </w:rPr>
        <w:t>:</w:t>
      </w:r>
    </w:p>
    <w:p w:rsidR="0058279A" w:rsidRDefault="0058279A" w:rsidP="00CF752D">
      <w:pPr>
        <w:pStyle w:val="NoSpacing"/>
        <w:rPr>
          <w:rFonts w:asciiTheme="minorHAnsi" w:hAnsiTheme="minorHAnsi" w:cs="Arial"/>
          <w:bCs/>
          <w:snapToGrid w:val="0"/>
          <w:sz w:val="24"/>
          <w:szCs w:val="24"/>
        </w:rPr>
      </w:pPr>
    </w:p>
    <w:p w:rsidR="001B2BBF" w:rsidRDefault="001B2BBF" w:rsidP="001B2BBF">
      <w:pPr>
        <w:widowControl w:val="0"/>
        <w:jc w:val="both"/>
        <w:rPr>
          <w:rFonts w:asciiTheme="minorHAnsi" w:hAnsiTheme="minorHAnsi" w:cs="Arial"/>
          <w:bCs/>
          <w:snapToGrid w:val="0"/>
        </w:rPr>
      </w:pPr>
      <w:r>
        <w:rPr>
          <w:rFonts w:asciiTheme="minorHAnsi" w:hAnsiTheme="minorHAnsi" w:cs="Arial"/>
          <w:bCs/>
          <w:snapToGrid w:val="0"/>
        </w:rPr>
        <w:t>Add the relevant administrative advice to the existing listing</w:t>
      </w:r>
      <w:r w:rsidR="00980EC4">
        <w:rPr>
          <w:rFonts w:asciiTheme="minorHAnsi" w:hAnsiTheme="minorHAnsi" w:cs="Arial"/>
          <w:bCs/>
          <w:snapToGrid w:val="0"/>
        </w:rPr>
        <w:t xml:space="preserve"> of </w:t>
      </w:r>
      <w:r>
        <w:rPr>
          <w:rFonts w:asciiTheme="minorHAnsi" w:hAnsiTheme="minorHAnsi" w:cs="Arial"/>
          <w:bCs/>
          <w:snapToGrid w:val="0"/>
        </w:rPr>
        <w:t>the corresponding form</w:t>
      </w:r>
      <w:r w:rsidR="00980EC4">
        <w:rPr>
          <w:rFonts w:asciiTheme="minorHAnsi" w:hAnsiTheme="minorHAnsi" w:cs="Arial"/>
          <w:bCs/>
          <w:snapToGrid w:val="0"/>
        </w:rPr>
        <w:t xml:space="preserve"> of methotrexate</w:t>
      </w:r>
      <w:r>
        <w:rPr>
          <w:rFonts w:asciiTheme="minorHAnsi" w:hAnsiTheme="minorHAnsi" w:cs="Arial"/>
          <w:bCs/>
          <w:snapToGrid w:val="0"/>
        </w:rPr>
        <w:t>:</w:t>
      </w:r>
    </w:p>
    <w:p w:rsidR="001B2BBF" w:rsidRDefault="001B2BBF" w:rsidP="001B2BBF">
      <w:pPr>
        <w:widowControl w:val="0"/>
        <w:jc w:val="both"/>
        <w:rPr>
          <w:rFonts w:asciiTheme="minorHAnsi" w:hAnsiTheme="minorHAnsi" w:cs="Arial"/>
          <w:bCs/>
          <w:snapToGrid w:val="0"/>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7.5 mg in 0.15 mL pre-filled syringe and pharmaceutical benefits that have the form methotrexate Injection 7.5 mg in 0.3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10 mg in 0.2 mL pre-filled syringe and pharmaceutical benefits that have the form methotrexate Injection 10 mg in 0.4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lastRenderedPageBreak/>
        <w:t xml:space="preserve">Pharmaceutical benefits that have the form methotrexate Injection 15 mg in 0.3 mL pre-filled syringe and pharmaceutical benefits that have the form methotrexate Injection </w:t>
      </w:r>
      <w:r w:rsidR="00F035ED">
        <w:rPr>
          <w:rFonts w:ascii="Calibri" w:hAnsi="Calibri" w:cs="Calibri"/>
          <w:sz w:val="24"/>
        </w:rPr>
        <w:t xml:space="preserve">15 </w:t>
      </w:r>
      <w:r>
        <w:rPr>
          <w:rFonts w:ascii="Calibri" w:hAnsi="Calibri" w:cs="Calibri"/>
          <w:sz w:val="24"/>
        </w:rPr>
        <w:t>mg in 0.6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20 mg in 0.4 mL pre-filled syringe and pharmaceutical benefits that have the form methotrexate Injection 20 mg in 0.8 mL pre-filled syringe are equivalent for the purposes of substitution.</w:t>
      </w:r>
    </w:p>
    <w:p w:rsidR="001B2BBF" w:rsidRDefault="001B2BBF" w:rsidP="001B2BBF">
      <w:pPr>
        <w:pStyle w:val="NoSpacing"/>
        <w:rPr>
          <w:rFonts w:ascii="Calibri" w:hAnsi="Calibri" w:cs="Calibri"/>
          <w:sz w:val="24"/>
        </w:rPr>
      </w:pPr>
    </w:p>
    <w:p w:rsidR="001B2BBF" w:rsidRDefault="001B2BBF" w:rsidP="001B2BBF">
      <w:pPr>
        <w:pStyle w:val="NoSpacing"/>
        <w:numPr>
          <w:ilvl w:val="0"/>
          <w:numId w:val="26"/>
        </w:numPr>
        <w:rPr>
          <w:rFonts w:ascii="Calibri" w:hAnsi="Calibri" w:cs="Calibri"/>
          <w:sz w:val="24"/>
        </w:rPr>
      </w:pPr>
      <w:r>
        <w:rPr>
          <w:rFonts w:ascii="Calibri" w:hAnsi="Calibri" w:cs="Calibri"/>
          <w:sz w:val="24"/>
        </w:rPr>
        <w:t>Pharmaceutical benefits that have the form methotrexate Injection 25 mg in 0.5 mL pre-filled syringe and pharmaceutical benefits that have th</w:t>
      </w:r>
      <w:r w:rsidR="00E042C2">
        <w:rPr>
          <w:rFonts w:ascii="Calibri" w:hAnsi="Calibri" w:cs="Calibri"/>
          <w:sz w:val="24"/>
        </w:rPr>
        <w:t>e form methotrexate Injection 25</w:t>
      </w:r>
      <w:bookmarkStart w:id="0" w:name="_GoBack"/>
      <w:bookmarkEnd w:id="0"/>
      <w:r>
        <w:rPr>
          <w:rFonts w:ascii="Calibri" w:hAnsi="Calibri" w:cs="Calibri"/>
          <w:sz w:val="24"/>
        </w:rPr>
        <w:t xml:space="preserve"> mg in 1 mL pre-filled syringe are equivalent for the purposes of substitution. </w:t>
      </w:r>
    </w:p>
    <w:p w:rsidR="001B2BBF" w:rsidRDefault="001B2BBF" w:rsidP="00CF752D">
      <w:pPr>
        <w:pStyle w:val="NoSpacing"/>
        <w:rPr>
          <w:rFonts w:asciiTheme="minorHAnsi" w:hAnsiTheme="minorHAnsi" w:cs="Arial"/>
          <w:bCs/>
          <w:snapToGrid w:val="0"/>
          <w:sz w:val="24"/>
          <w:szCs w:val="24"/>
        </w:rPr>
      </w:pPr>
    </w:p>
    <w:tbl>
      <w:tblPr>
        <w:tblW w:w="5000" w:type="pct"/>
        <w:jc w:val="center"/>
        <w:tblLook w:val="0000" w:firstRow="0" w:lastRow="0" w:firstColumn="0" w:lastColumn="0" w:noHBand="0" w:noVBand="0"/>
      </w:tblPr>
      <w:tblGrid>
        <w:gridCol w:w="2623"/>
        <w:gridCol w:w="1190"/>
        <w:gridCol w:w="839"/>
        <w:gridCol w:w="845"/>
        <w:gridCol w:w="1580"/>
        <w:gridCol w:w="2078"/>
        <w:gridCol w:w="87"/>
      </w:tblGrid>
      <w:tr w:rsidR="0058279A" w:rsidRPr="00525DE6" w:rsidTr="003E7DEF">
        <w:trPr>
          <w:gridAfter w:val="1"/>
          <w:wAfter w:w="47" w:type="pct"/>
          <w:cantSplit/>
          <w:trHeight w:val="465"/>
          <w:jc w:val="center"/>
        </w:trPr>
        <w:tc>
          <w:tcPr>
            <w:tcW w:w="2063" w:type="pct"/>
            <w:gridSpan w:val="2"/>
            <w:tcBorders>
              <w:bottom w:val="single" w:sz="4" w:space="0" w:color="auto"/>
            </w:tcBorders>
          </w:tcPr>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Name, Restriction,</w:t>
            </w:r>
          </w:p>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Manner of administration and form</w:t>
            </w:r>
          </w:p>
        </w:tc>
        <w:tc>
          <w:tcPr>
            <w:tcW w:w="454" w:type="pct"/>
            <w:tcBorders>
              <w:bottom w:val="single" w:sz="4" w:space="0" w:color="auto"/>
            </w:tcBorders>
          </w:tcPr>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Max.</w:t>
            </w:r>
          </w:p>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Qty</w:t>
            </w:r>
          </w:p>
        </w:tc>
        <w:tc>
          <w:tcPr>
            <w:tcW w:w="457" w:type="pct"/>
            <w:tcBorders>
              <w:bottom w:val="single" w:sz="4" w:space="0" w:color="auto"/>
            </w:tcBorders>
          </w:tcPr>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№.of</w:t>
            </w:r>
          </w:p>
          <w:p w:rsidR="0058279A" w:rsidRPr="00525DE6" w:rsidRDefault="0058279A" w:rsidP="008A1BE7">
            <w:pPr>
              <w:keepNext/>
              <w:spacing w:before="40" w:after="40"/>
              <w:jc w:val="both"/>
              <w:rPr>
                <w:rFonts w:ascii="Arial Narrow" w:hAnsi="Arial Narrow" w:cs="Arial"/>
                <w:b/>
                <w:sz w:val="20"/>
                <w:szCs w:val="20"/>
              </w:rPr>
            </w:pPr>
            <w:r w:rsidRPr="00525DE6">
              <w:rPr>
                <w:rFonts w:ascii="Arial Narrow" w:hAnsi="Arial Narrow" w:cs="Arial"/>
                <w:b/>
                <w:sz w:val="20"/>
                <w:szCs w:val="20"/>
              </w:rPr>
              <w:t>Rpts</w:t>
            </w:r>
          </w:p>
        </w:tc>
        <w:tc>
          <w:tcPr>
            <w:tcW w:w="1979" w:type="pct"/>
            <w:gridSpan w:val="2"/>
            <w:tcBorders>
              <w:bottom w:val="single" w:sz="4" w:space="0" w:color="auto"/>
            </w:tcBorders>
          </w:tcPr>
          <w:p w:rsidR="0058279A" w:rsidRPr="00525DE6" w:rsidRDefault="0058279A" w:rsidP="008A1BE7">
            <w:pPr>
              <w:keepNext/>
              <w:tabs>
                <w:tab w:val="left" w:pos="1634"/>
              </w:tabs>
              <w:spacing w:before="40" w:after="40"/>
              <w:jc w:val="both"/>
              <w:rPr>
                <w:rFonts w:ascii="Arial Narrow" w:hAnsi="Arial Narrow" w:cs="Arial"/>
                <w:b/>
                <w:sz w:val="20"/>
                <w:szCs w:val="20"/>
              </w:rPr>
            </w:pPr>
            <w:r w:rsidRPr="00525DE6">
              <w:rPr>
                <w:rFonts w:ascii="Arial Narrow" w:hAnsi="Arial Narrow" w:cs="Arial"/>
                <w:b/>
                <w:sz w:val="20"/>
                <w:szCs w:val="20"/>
              </w:rPr>
              <w:t>Proprietary Name and Manufacturer</w:t>
            </w:r>
          </w:p>
        </w:tc>
      </w:tr>
      <w:tr w:rsidR="0058279A" w:rsidRPr="00116E3E" w:rsidTr="003E7DEF">
        <w:trPr>
          <w:gridAfter w:val="1"/>
          <w:wAfter w:w="47" w:type="pct"/>
          <w:cantSplit/>
          <w:trHeight w:val="567"/>
          <w:jc w:val="center"/>
        </w:trPr>
        <w:tc>
          <w:tcPr>
            <w:tcW w:w="2063" w:type="pct"/>
            <w:gridSpan w:val="2"/>
          </w:tcPr>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mallCaps/>
                <w:sz w:val="20"/>
                <w:szCs w:val="20"/>
              </w:rPr>
              <w:t>METHOTREXATE</w:t>
            </w:r>
          </w:p>
          <w:p w:rsidR="0058279A" w:rsidRPr="00116E3E" w:rsidRDefault="00641AFC" w:rsidP="00641AFC">
            <w:pPr>
              <w:keepNext/>
              <w:spacing w:before="40" w:after="40"/>
              <w:jc w:val="both"/>
              <w:rPr>
                <w:rFonts w:ascii="Arial Narrow" w:hAnsi="Arial Narrow" w:cs="Arial"/>
                <w:sz w:val="20"/>
                <w:szCs w:val="20"/>
              </w:rPr>
            </w:pPr>
            <w:r>
              <w:rPr>
                <w:rFonts w:ascii="Arial Narrow" w:hAnsi="Arial Narrow" w:cs="Arial"/>
                <w:sz w:val="20"/>
                <w:szCs w:val="20"/>
              </w:rPr>
              <w:t xml:space="preserve">7.5 mg/0.15 </w:t>
            </w:r>
            <w:r w:rsidR="0058279A" w:rsidRPr="00116E3E">
              <w:rPr>
                <w:rFonts w:ascii="Arial Narrow" w:hAnsi="Arial Narrow" w:cs="Arial"/>
                <w:sz w:val="20"/>
                <w:szCs w:val="20"/>
              </w:rPr>
              <w:t xml:space="preserve">mL injection, </w:t>
            </w:r>
            <w:r>
              <w:rPr>
                <w:rFonts w:ascii="Arial Narrow" w:hAnsi="Arial Narrow" w:cs="Arial"/>
                <w:sz w:val="20"/>
                <w:szCs w:val="20"/>
              </w:rPr>
              <w:t>0.15</w:t>
            </w:r>
            <w:r w:rsidR="0058279A" w:rsidRPr="00116E3E">
              <w:rPr>
                <w:rFonts w:ascii="Arial Narrow" w:hAnsi="Arial Narrow" w:cs="Arial"/>
                <w:sz w:val="20"/>
                <w:szCs w:val="20"/>
              </w:rPr>
              <w:t xml:space="preserve"> mL syringe</w:t>
            </w:r>
          </w:p>
        </w:tc>
        <w:tc>
          <w:tcPr>
            <w:tcW w:w="454" w:type="pct"/>
          </w:tcPr>
          <w:p w:rsidR="0058279A" w:rsidRPr="00116E3E" w:rsidRDefault="0058279A" w:rsidP="008A1BE7">
            <w:pPr>
              <w:keepNext/>
              <w:spacing w:before="40" w:after="40"/>
              <w:jc w:val="both"/>
              <w:rPr>
                <w:rFonts w:ascii="Arial Narrow" w:hAnsi="Arial Narrow" w:cs="Arial"/>
                <w:sz w:val="20"/>
                <w:szCs w:val="20"/>
              </w:rPr>
            </w:pPr>
          </w:p>
          <w:p w:rsidR="0058279A" w:rsidRPr="00116E3E" w:rsidRDefault="0058279A" w:rsidP="008A1BE7">
            <w:pPr>
              <w:keepNext/>
              <w:spacing w:before="40" w:after="40"/>
              <w:jc w:val="both"/>
              <w:rPr>
                <w:rFonts w:ascii="Arial Narrow" w:hAnsi="Arial Narrow" w:cs="Arial"/>
                <w:sz w:val="20"/>
                <w:szCs w:val="20"/>
              </w:rPr>
            </w:pPr>
            <w:r>
              <w:rPr>
                <w:rFonts w:ascii="Arial Narrow" w:hAnsi="Arial Narrow" w:cs="Arial"/>
                <w:sz w:val="20"/>
                <w:szCs w:val="20"/>
              </w:rPr>
              <w:t>4</w:t>
            </w:r>
          </w:p>
        </w:tc>
        <w:tc>
          <w:tcPr>
            <w:tcW w:w="457" w:type="pct"/>
          </w:tcPr>
          <w:p w:rsidR="0058279A" w:rsidRPr="00116E3E" w:rsidRDefault="0058279A" w:rsidP="008A1BE7">
            <w:pPr>
              <w:keepNext/>
              <w:spacing w:before="40" w:after="40"/>
              <w:jc w:val="both"/>
              <w:rPr>
                <w:rFonts w:ascii="Arial Narrow" w:hAnsi="Arial Narrow" w:cs="Arial"/>
                <w:sz w:val="20"/>
                <w:szCs w:val="20"/>
              </w:rPr>
            </w:pPr>
          </w:p>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55" w:type="pct"/>
          </w:tcPr>
          <w:p w:rsidR="0058279A" w:rsidRPr="00116E3E" w:rsidRDefault="0058279A" w:rsidP="008A1BE7">
            <w:pPr>
              <w:keepNext/>
              <w:spacing w:before="40" w:after="40"/>
              <w:jc w:val="both"/>
              <w:rPr>
                <w:rFonts w:ascii="Arial Narrow" w:hAnsi="Arial Narrow" w:cs="Arial"/>
                <w:sz w:val="20"/>
                <w:szCs w:val="20"/>
              </w:rPr>
            </w:pPr>
          </w:p>
          <w:p w:rsidR="0058279A" w:rsidRPr="00116E3E" w:rsidRDefault="0058279A" w:rsidP="0058279A">
            <w:pPr>
              <w:keepNext/>
              <w:spacing w:before="40" w:after="40"/>
              <w:jc w:val="both"/>
              <w:rPr>
                <w:rFonts w:ascii="Arial Narrow" w:hAnsi="Arial Narrow" w:cs="Arial"/>
                <w:sz w:val="20"/>
                <w:szCs w:val="20"/>
              </w:rPr>
            </w:pPr>
            <w:r>
              <w:rPr>
                <w:rFonts w:ascii="Arial Narrow" w:hAnsi="Arial Narrow" w:cs="Arial"/>
                <w:sz w:val="20"/>
                <w:szCs w:val="20"/>
              </w:rPr>
              <w:t>Trexject</w:t>
            </w:r>
            <w:r w:rsidRPr="00116E3E">
              <w:rPr>
                <w:rFonts w:asciiTheme="minorHAnsi" w:hAnsiTheme="minorHAnsi"/>
                <w:vertAlign w:val="superscript"/>
              </w:rPr>
              <w:t>®</w:t>
            </w:r>
          </w:p>
        </w:tc>
        <w:tc>
          <w:tcPr>
            <w:tcW w:w="1124" w:type="pct"/>
          </w:tcPr>
          <w:p w:rsidR="0058279A" w:rsidRPr="00116E3E" w:rsidRDefault="0058279A" w:rsidP="008A1BE7">
            <w:pPr>
              <w:keepNext/>
              <w:spacing w:before="40" w:after="40"/>
              <w:ind w:left="212"/>
              <w:jc w:val="both"/>
              <w:rPr>
                <w:rFonts w:ascii="Arial Narrow" w:hAnsi="Arial Narrow" w:cs="Arial"/>
                <w:sz w:val="20"/>
                <w:szCs w:val="20"/>
              </w:rPr>
            </w:pPr>
          </w:p>
          <w:p w:rsidR="0058279A" w:rsidRPr="00116E3E" w:rsidRDefault="0058279A" w:rsidP="0058279A">
            <w:pPr>
              <w:keepNext/>
              <w:spacing w:before="40" w:after="40"/>
              <w:ind w:left="212"/>
              <w:rPr>
                <w:rFonts w:ascii="Arial Narrow" w:hAnsi="Arial Narrow" w:cs="Arial"/>
                <w:sz w:val="20"/>
                <w:szCs w:val="20"/>
              </w:rPr>
            </w:pPr>
            <w:r>
              <w:rPr>
                <w:rFonts w:ascii="Arial Narrow" w:hAnsi="Arial Narrow" w:cs="Arial"/>
                <w:sz w:val="20"/>
                <w:szCs w:val="20"/>
              </w:rPr>
              <w:t>Link Medical Products Pty Ltd</w:t>
            </w:r>
          </w:p>
        </w:tc>
      </w:tr>
      <w:tr w:rsidR="0058279A" w:rsidRPr="00116E3E" w:rsidTr="003E7DEF">
        <w:trPr>
          <w:gridAfter w:val="1"/>
          <w:wAfter w:w="47" w:type="pct"/>
          <w:cantSplit/>
          <w:trHeight w:val="567"/>
          <w:jc w:val="center"/>
        </w:trPr>
        <w:tc>
          <w:tcPr>
            <w:tcW w:w="2063" w:type="pct"/>
            <w:gridSpan w:val="2"/>
          </w:tcPr>
          <w:p w:rsidR="0058279A" w:rsidRPr="00116E3E" w:rsidRDefault="00641AFC" w:rsidP="008A1BE7">
            <w:pPr>
              <w:keepNext/>
              <w:spacing w:before="40" w:after="40"/>
              <w:jc w:val="both"/>
              <w:rPr>
                <w:rFonts w:ascii="Arial Narrow" w:hAnsi="Arial Narrow" w:cs="Arial"/>
                <w:sz w:val="20"/>
                <w:szCs w:val="20"/>
              </w:rPr>
            </w:pPr>
            <w:r>
              <w:rPr>
                <w:rFonts w:ascii="Arial Narrow" w:hAnsi="Arial Narrow" w:cs="Arial"/>
                <w:sz w:val="20"/>
                <w:szCs w:val="20"/>
              </w:rPr>
              <w:t>10 mg/0.2 mL injection, 0.2</w:t>
            </w:r>
            <w:r w:rsidR="0058279A" w:rsidRPr="00116E3E">
              <w:rPr>
                <w:rFonts w:ascii="Arial Narrow" w:hAnsi="Arial Narrow" w:cs="Arial"/>
                <w:sz w:val="20"/>
                <w:szCs w:val="20"/>
              </w:rPr>
              <w:t xml:space="preserve"> mL syringe</w:t>
            </w:r>
          </w:p>
        </w:tc>
        <w:tc>
          <w:tcPr>
            <w:tcW w:w="454" w:type="pct"/>
          </w:tcPr>
          <w:p w:rsidR="0058279A" w:rsidRPr="00116E3E" w:rsidRDefault="0058279A" w:rsidP="008A1BE7">
            <w:pPr>
              <w:keepNext/>
              <w:spacing w:before="40" w:after="40"/>
              <w:jc w:val="both"/>
              <w:rPr>
                <w:rFonts w:ascii="Arial Narrow" w:hAnsi="Arial Narrow" w:cs="Arial"/>
                <w:sz w:val="20"/>
                <w:szCs w:val="20"/>
              </w:rPr>
            </w:pPr>
            <w:r>
              <w:rPr>
                <w:rFonts w:ascii="Arial Narrow" w:hAnsi="Arial Narrow" w:cs="Arial"/>
                <w:sz w:val="20"/>
                <w:szCs w:val="20"/>
              </w:rPr>
              <w:t>4</w:t>
            </w:r>
          </w:p>
        </w:tc>
        <w:tc>
          <w:tcPr>
            <w:tcW w:w="457" w:type="pct"/>
          </w:tcPr>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55" w:type="pct"/>
          </w:tcPr>
          <w:p w:rsidR="0058279A" w:rsidRPr="00116E3E" w:rsidRDefault="0058279A" w:rsidP="008A1BE7">
            <w:pPr>
              <w:keepNext/>
              <w:spacing w:before="40" w:after="40"/>
              <w:jc w:val="both"/>
              <w:rPr>
                <w:rFonts w:ascii="Arial Narrow" w:hAnsi="Arial Narrow" w:cs="Arial"/>
                <w:sz w:val="20"/>
                <w:szCs w:val="20"/>
              </w:rPr>
            </w:pPr>
          </w:p>
        </w:tc>
        <w:tc>
          <w:tcPr>
            <w:tcW w:w="1124" w:type="pct"/>
          </w:tcPr>
          <w:p w:rsidR="0058279A" w:rsidRPr="00116E3E" w:rsidRDefault="0058279A" w:rsidP="008A1BE7">
            <w:pPr>
              <w:keepNext/>
              <w:spacing w:before="40" w:after="40"/>
              <w:jc w:val="both"/>
              <w:rPr>
                <w:rFonts w:ascii="Arial Narrow" w:hAnsi="Arial Narrow" w:cs="Arial"/>
                <w:sz w:val="20"/>
                <w:szCs w:val="20"/>
              </w:rPr>
            </w:pPr>
          </w:p>
        </w:tc>
      </w:tr>
      <w:tr w:rsidR="0058279A" w:rsidRPr="00116E3E" w:rsidTr="003E7DEF">
        <w:trPr>
          <w:gridAfter w:val="1"/>
          <w:wAfter w:w="47" w:type="pct"/>
          <w:cantSplit/>
          <w:trHeight w:val="567"/>
          <w:jc w:val="center"/>
        </w:trPr>
        <w:tc>
          <w:tcPr>
            <w:tcW w:w="2063" w:type="pct"/>
            <w:gridSpan w:val="2"/>
          </w:tcPr>
          <w:p w:rsidR="0058279A" w:rsidRPr="00116E3E" w:rsidRDefault="00641AFC" w:rsidP="008A1BE7">
            <w:pPr>
              <w:keepNext/>
              <w:spacing w:before="40" w:after="40"/>
              <w:jc w:val="both"/>
              <w:rPr>
                <w:rFonts w:ascii="Arial Narrow" w:hAnsi="Arial Narrow" w:cs="Arial"/>
                <w:sz w:val="20"/>
                <w:szCs w:val="20"/>
              </w:rPr>
            </w:pPr>
            <w:r>
              <w:rPr>
                <w:rFonts w:ascii="Arial Narrow" w:hAnsi="Arial Narrow" w:cs="Arial"/>
                <w:sz w:val="20"/>
                <w:szCs w:val="20"/>
              </w:rPr>
              <w:t>15 mg/0.3</w:t>
            </w:r>
            <w:r w:rsidR="0058279A" w:rsidRPr="00116E3E">
              <w:rPr>
                <w:rFonts w:ascii="Arial Narrow" w:hAnsi="Arial Narrow" w:cs="Arial"/>
                <w:sz w:val="20"/>
                <w:szCs w:val="20"/>
              </w:rPr>
              <w:t xml:space="preserve"> mL </w:t>
            </w:r>
            <w:r>
              <w:rPr>
                <w:rFonts w:ascii="Arial Narrow" w:hAnsi="Arial Narrow" w:cs="Arial"/>
                <w:sz w:val="20"/>
                <w:szCs w:val="20"/>
              </w:rPr>
              <w:t>injection, 0.3</w:t>
            </w:r>
            <w:r w:rsidR="0058279A" w:rsidRPr="00116E3E">
              <w:rPr>
                <w:rFonts w:ascii="Arial Narrow" w:hAnsi="Arial Narrow" w:cs="Arial"/>
                <w:sz w:val="20"/>
                <w:szCs w:val="20"/>
              </w:rPr>
              <w:t xml:space="preserve"> mL syringe</w:t>
            </w:r>
          </w:p>
        </w:tc>
        <w:tc>
          <w:tcPr>
            <w:tcW w:w="454" w:type="pct"/>
          </w:tcPr>
          <w:p w:rsidR="0058279A" w:rsidRPr="00116E3E" w:rsidRDefault="0058279A" w:rsidP="008A1BE7">
            <w:pPr>
              <w:keepNext/>
              <w:spacing w:before="40" w:after="40"/>
              <w:jc w:val="both"/>
              <w:rPr>
                <w:rFonts w:ascii="Arial Narrow" w:hAnsi="Arial Narrow" w:cs="Arial"/>
                <w:sz w:val="20"/>
                <w:szCs w:val="20"/>
              </w:rPr>
            </w:pPr>
            <w:r>
              <w:rPr>
                <w:rFonts w:ascii="Arial Narrow" w:hAnsi="Arial Narrow" w:cs="Arial"/>
                <w:sz w:val="20"/>
                <w:szCs w:val="20"/>
              </w:rPr>
              <w:t>4</w:t>
            </w:r>
          </w:p>
        </w:tc>
        <w:tc>
          <w:tcPr>
            <w:tcW w:w="457" w:type="pct"/>
          </w:tcPr>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55" w:type="pct"/>
          </w:tcPr>
          <w:p w:rsidR="0058279A" w:rsidRPr="00116E3E" w:rsidRDefault="0058279A" w:rsidP="008A1BE7">
            <w:pPr>
              <w:keepNext/>
              <w:spacing w:before="40" w:after="40"/>
              <w:jc w:val="both"/>
              <w:rPr>
                <w:rFonts w:ascii="Arial Narrow" w:hAnsi="Arial Narrow" w:cs="Arial"/>
                <w:sz w:val="20"/>
                <w:szCs w:val="20"/>
              </w:rPr>
            </w:pPr>
          </w:p>
        </w:tc>
        <w:tc>
          <w:tcPr>
            <w:tcW w:w="1124" w:type="pct"/>
          </w:tcPr>
          <w:p w:rsidR="0058279A" w:rsidRPr="00116E3E" w:rsidRDefault="0058279A" w:rsidP="008A1BE7">
            <w:pPr>
              <w:keepNext/>
              <w:spacing w:before="40" w:after="40"/>
              <w:jc w:val="both"/>
              <w:rPr>
                <w:rFonts w:ascii="Arial Narrow" w:hAnsi="Arial Narrow" w:cs="Arial"/>
                <w:sz w:val="20"/>
                <w:szCs w:val="20"/>
              </w:rPr>
            </w:pPr>
          </w:p>
        </w:tc>
      </w:tr>
      <w:tr w:rsidR="0058279A" w:rsidRPr="00116E3E" w:rsidTr="003E7DEF">
        <w:trPr>
          <w:gridAfter w:val="1"/>
          <w:wAfter w:w="47" w:type="pct"/>
          <w:cantSplit/>
          <w:trHeight w:val="567"/>
          <w:jc w:val="center"/>
        </w:trPr>
        <w:tc>
          <w:tcPr>
            <w:tcW w:w="2063" w:type="pct"/>
            <w:gridSpan w:val="2"/>
          </w:tcPr>
          <w:p w:rsidR="0058279A" w:rsidRPr="00116E3E" w:rsidRDefault="00641AFC" w:rsidP="008A1BE7">
            <w:pPr>
              <w:keepNext/>
              <w:spacing w:before="40" w:after="40"/>
              <w:jc w:val="both"/>
              <w:rPr>
                <w:rFonts w:ascii="Arial Narrow" w:hAnsi="Arial Narrow" w:cs="Arial"/>
                <w:sz w:val="20"/>
                <w:szCs w:val="20"/>
              </w:rPr>
            </w:pPr>
            <w:r>
              <w:rPr>
                <w:rFonts w:ascii="Arial Narrow" w:hAnsi="Arial Narrow" w:cs="Arial"/>
                <w:sz w:val="20"/>
                <w:szCs w:val="20"/>
              </w:rPr>
              <w:t>20 mg/0.4 mL injection, 0.4</w:t>
            </w:r>
            <w:r w:rsidR="0058279A" w:rsidRPr="00116E3E">
              <w:rPr>
                <w:rFonts w:ascii="Arial Narrow" w:hAnsi="Arial Narrow" w:cs="Arial"/>
                <w:sz w:val="20"/>
                <w:szCs w:val="20"/>
              </w:rPr>
              <w:t xml:space="preserve"> mL syringe</w:t>
            </w:r>
          </w:p>
        </w:tc>
        <w:tc>
          <w:tcPr>
            <w:tcW w:w="454" w:type="pct"/>
          </w:tcPr>
          <w:p w:rsidR="0058279A" w:rsidRPr="00116E3E" w:rsidRDefault="0058279A" w:rsidP="008A1BE7">
            <w:pPr>
              <w:keepNext/>
              <w:spacing w:before="40" w:after="40"/>
              <w:jc w:val="both"/>
              <w:rPr>
                <w:rFonts w:ascii="Arial Narrow" w:hAnsi="Arial Narrow" w:cs="Arial"/>
                <w:sz w:val="20"/>
                <w:szCs w:val="20"/>
              </w:rPr>
            </w:pPr>
            <w:r>
              <w:rPr>
                <w:rFonts w:ascii="Arial Narrow" w:hAnsi="Arial Narrow" w:cs="Arial"/>
                <w:sz w:val="20"/>
                <w:szCs w:val="20"/>
              </w:rPr>
              <w:t>4</w:t>
            </w:r>
          </w:p>
        </w:tc>
        <w:tc>
          <w:tcPr>
            <w:tcW w:w="457" w:type="pct"/>
          </w:tcPr>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55" w:type="pct"/>
          </w:tcPr>
          <w:p w:rsidR="0058279A" w:rsidRPr="00116E3E" w:rsidRDefault="0058279A" w:rsidP="008A1BE7">
            <w:pPr>
              <w:keepNext/>
              <w:spacing w:before="40" w:after="40"/>
              <w:jc w:val="both"/>
              <w:rPr>
                <w:rFonts w:ascii="Arial Narrow" w:hAnsi="Arial Narrow" w:cs="Arial"/>
                <w:sz w:val="20"/>
                <w:szCs w:val="20"/>
              </w:rPr>
            </w:pPr>
          </w:p>
        </w:tc>
        <w:tc>
          <w:tcPr>
            <w:tcW w:w="1124" w:type="pct"/>
          </w:tcPr>
          <w:p w:rsidR="0058279A" w:rsidRPr="00116E3E" w:rsidRDefault="0058279A" w:rsidP="008A1BE7">
            <w:pPr>
              <w:keepNext/>
              <w:spacing w:before="40" w:after="40"/>
              <w:jc w:val="both"/>
              <w:rPr>
                <w:rFonts w:ascii="Arial Narrow" w:hAnsi="Arial Narrow" w:cs="Arial"/>
                <w:sz w:val="20"/>
                <w:szCs w:val="20"/>
              </w:rPr>
            </w:pPr>
          </w:p>
        </w:tc>
      </w:tr>
      <w:tr w:rsidR="0058279A" w:rsidRPr="00116E3E" w:rsidTr="003E7DEF">
        <w:trPr>
          <w:gridAfter w:val="1"/>
          <w:wAfter w:w="47" w:type="pct"/>
          <w:cantSplit/>
          <w:trHeight w:val="567"/>
          <w:jc w:val="center"/>
        </w:trPr>
        <w:tc>
          <w:tcPr>
            <w:tcW w:w="2063" w:type="pct"/>
            <w:gridSpan w:val="2"/>
          </w:tcPr>
          <w:p w:rsidR="0058279A" w:rsidRPr="00116E3E" w:rsidRDefault="00641AFC" w:rsidP="008A1BE7">
            <w:pPr>
              <w:keepNext/>
              <w:spacing w:before="40" w:after="40"/>
              <w:jc w:val="both"/>
              <w:rPr>
                <w:rFonts w:ascii="Arial Narrow" w:hAnsi="Arial Narrow" w:cs="Arial"/>
                <w:sz w:val="20"/>
                <w:szCs w:val="20"/>
              </w:rPr>
            </w:pPr>
            <w:r>
              <w:rPr>
                <w:rFonts w:ascii="Arial Narrow" w:hAnsi="Arial Narrow" w:cs="Arial"/>
                <w:sz w:val="20"/>
                <w:szCs w:val="20"/>
              </w:rPr>
              <w:t>25 mg/0.5 mL injection, 0.5</w:t>
            </w:r>
            <w:r w:rsidR="0058279A" w:rsidRPr="00116E3E">
              <w:rPr>
                <w:rFonts w:ascii="Arial Narrow" w:hAnsi="Arial Narrow" w:cs="Arial"/>
                <w:sz w:val="20"/>
                <w:szCs w:val="20"/>
              </w:rPr>
              <w:t xml:space="preserve"> mL syringe</w:t>
            </w:r>
          </w:p>
        </w:tc>
        <w:tc>
          <w:tcPr>
            <w:tcW w:w="454" w:type="pct"/>
          </w:tcPr>
          <w:p w:rsidR="0058279A" w:rsidRPr="00116E3E" w:rsidRDefault="0058279A" w:rsidP="008A1BE7">
            <w:pPr>
              <w:keepNext/>
              <w:spacing w:before="40" w:after="40"/>
              <w:jc w:val="both"/>
              <w:rPr>
                <w:rFonts w:ascii="Arial Narrow" w:hAnsi="Arial Narrow" w:cs="Arial"/>
                <w:sz w:val="20"/>
                <w:szCs w:val="20"/>
              </w:rPr>
            </w:pPr>
            <w:r>
              <w:rPr>
                <w:rFonts w:ascii="Arial Narrow" w:hAnsi="Arial Narrow" w:cs="Arial"/>
                <w:sz w:val="20"/>
                <w:szCs w:val="20"/>
              </w:rPr>
              <w:t>4</w:t>
            </w:r>
          </w:p>
        </w:tc>
        <w:tc>
          <w:tcPr>
            <w:tcW w:w="457" w:type="pct"/>
          </w:tcPr>
          <w:p w:rsidR="0058279A" w:rsidRPr="00116E3E" w:rsidRDefault="0058279A" w:rsidP="008A1BE7">
            <w:pPr>
              <w:keepNext/>
              <w:spacing w:before="40" w:after="40"/>
              <w:jc w:val="both"/>
              <w:rPr>
                <w:rFonts w:ascii="Arial Narrow" w:hAnsi="Arial Narrow" w:cs="Arial"/>
                <w:sz w:val="20"/>
                <w:szCs w:val="20"/>
              </w:rPr>
            </w:pPr>
            <w:r w:rsidRPr="00116E3E">
              <w:rPr>
                <w:rFonts w:ascii="Arial Narrow" w:hAnsi="Arial Narrow" w:cs="Arial"/>
                <w:sz w:val="20"/>
                <w:szCs w:val="20"/>
              </w:rPr>
              <w:t>5</w:t>
            </w:r>
          </w:p>
        </w:tc>
        <w:tc>
          <w:tcPr>
            <w:tcW w:w="855" w:type="pct"/>
          </w:tcPr>
          <w:p w:rsidR="0058279A" w:rsidRPr="00116E3E" w:rsidRDefault="0058279A" w:rsidP="008A1BE7">
            <w:pPr>
              <w:keepNext/>
              <w:spacing w:before="40" w:after="40"/>
              <w:jc w:val="both"/>
              <w:rPr>
                <w:rFonts w:ascii="Arial Narrow" w:hAnsi="Arial Narrow" w:cs="Arial"/>
                <w:sz w:val="20"/>
                <w:szCs w:val="20"/>
              </w:rPr>
            </w:pPr>
          </w:p>
        </w:tc>
        <w:tc>
          <w:tcPr>
            <w:tcW w:w="1124" w:type="pct"/>
          </w:tcPr>
          <w:p w:rsidR="0058279A" w:rsidRPr="00116E3E" w:rsidRDefault="0058279A" w:rsidP="008A1BE7">
            <w:pPr>
              <w:keepNext/>
              <w:spacing w:before="40" w:after="40"/>
              <w:jc w:val="both"/>
              <w:rPr>
                <w:rFonts w:ascii="Arial Narrow" w:hAnsi="Arial Narrow" w:cs="Arial"/>
                <w:sz w:val="20"/>
                <w:szCs w:val="20"/>
              </w:rPr>
            </w:pP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b/>
                <w:sz w:val="20"/>
              </w:rPr>
            </w:pPr>
            <w:r w:rsidRPr="00116E3E">
              <w:rPr>
                <w:rFonts w:ascii="Arial Narrow" w:hAnsi="Arial Narrow"/>
                <w:b/>
                <w:sz w:val="20"/>
              </w:rPr>
              <w:t>Category / Program</w:t>
            </w: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t>GENERAL – General Schedule (Code GE)</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b/>
                <w:sz w:val="20"/>
              </w:rPr>
            </w:pPr>
            <w:r w:rsidRPr="00116E3E">
              <w:rPr>
                <w:rFonts w:ascii="Arial Narrow" w:hAnsi="Arial Narrow"/>
                <w:b/>
                <w:sz w:val="20"/>
              </w:rPr>
              <w:t>Prescriber type:</w:t>
            </w:r>
          </w:p>
          <w:p w:rsidR="0058279A" w:rsidRPr="00116E3E" w:rsidRDefault="0058279A" w:rsidP="008A1BE7">
            <w:pPr>
              <w:rPr>
                <w:rFonts w:ascii="Arial Narrow" w:hAnsi="Arial Narrow"/>
                <w:b/>
                <w:sz w:val="20"/>
              </w:rPr>
            </w:pP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fldChar w:fldCharType="begin">
                <w:ffData>
                  <w:name w:val="Check1"/>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Dental  </w:t>
            </w: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Medical Practitioners  </w:t>
            </w:r>
            <w:r w:rsidRPr="00116E3E">
              <w:rPr>
                <w:rFonts w:ascii="Arial Narrow" w:hAnsi="Arial Narrow"/>
                <w:sz w:val="20"/>
              </w:rPr>
              <w:fldChar w:fldCharType="begin">
                <w:ffData>
                  <w:name w:val="Check3"/>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Nurse practitioners  </w:t>
            </w:r>
            <w:r w:rsidRPr="00116E3E">
              <w:rPr>
                <w:rFonts w:ascii="Arial Narrow" w:hAnsi="Arial Narrow"/>
                <w:sz w:val="20"/>
              </w:rPr>
              <w:fldChar w:fldCharType="begin">
                <w:ffData>
                  <w:name w:val=""/>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Optometrists</w:t>
            </w:r>
          </w:p>
          <w:p w:rsidR="0058279A" w:rsidRPr="00116E3E" w:rsidRDefault="0058279A" w:rsidP="008A1BE7">
            <w:pPr>
              <w:rPr>
                <w:rFonts w:ascii="Arial Narrow" w:hAnsi="Arial Narrow"/>
                <w:sz w:val="20"/>
              </w:rPr>
            </w:pPr>
            <w:r w:rsidRPr="00116E3E">
              <w:rPr>
                <w:rFonts w:ascii="Arial Narrow" w:hAnsi="Arial Narrow"/>
                <w:sz w:val="20"/>
              </w:rPr>
              <w:fldChar w:fldCharType="begin">
                <w:ffData>
                  <w:name w:val="Check5"/>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Midwives</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b/>
                <w:sz w:val="20"/>
              </w:rPr>
            </w:pPr>
            <w:r w:rsidRPr="00116E3E">
              <w:rPr>
                <w:rFonts w:ascii="Arial Narrow" w:hAnsi="Arial Narrow"/>
                <w:b/>
                <w:sz w:val="20"/>
              </w:rPr>
              <w:t>Severity:</w:t>
            </w: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t>Severe</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b/>
                <w:sz w:val="20"/>
              </w:rPr>
            </w:pPr>
            <w:r w:rsidRPr="00116E3E">
              <w:rPr>
                <w:rFonts w:ascii="Arial Narrow" w:hAnsi="Arial Narrow"/>
                <w:b/>
                <w:sz w:val="20"/>
              </w:rPr>
              <w:t>Condition:</w:t>
            </w: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t xml:space="preserve">Rheumatoid arthritis </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525DE6" w:rsidRDefault="0058279A" w:rsidP="008A1BE7">
            <w:pPr>
              <w:rPr>
                <w:rFonts w:ascii="Arial Narrow" w:hAnsi="Arial Narrow"/>
                <w:b/>
                <w:sz w:val="20"/>
              </w:rPr>
            </w:pPr>
            <w:r w:rsidRPr="00116E3E">
              <w:rPr>
                <w:rFonts w:ascii="Arial Narrow" w:hAnsi="Arial Narrow"/>
                <w:b/>
                <w:sz w:val="20"/>
              </w:rPr>
              <w:t>PBS Indication:</w:t>
            </w: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t>Severe active rheumatoid arthritis</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i/>
                <w:sz w:val="20"/>
              </w:rPr>
            </w:pPr>
            <w:r w:rsidRPr="00116E3E">
              <w:rPr>
                <w:rFonts w:ascii="Arial Narrow" w:hAnsi="Arial Narrow"/>
                <w:b/>
                <w:sz w:val="20"/>
              </w:rPr>
              <w:t>Restriction Level / Method:</w:t>
            </w: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sz w:val="20"/>
              </w:rPr>
            </w:pPr>
            <w:r w:rsidRPr="00116E3E">
              <w:rPr>
                <w:rFonts w:ascii="Arial Narrow" w:hAnsi="Arial Narrow"/>
                <w:sz w:val="20"/>
              </w:rPr>
              <w:fldChar w:fldCharType="begin">
                <w:ffData>
                  <w:name w:val="Check5"/>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Streamlined</w:t>
            </w:r>
          </w:p>
        </w:tc>
      </w:tr>
      <w:tr w:rsidR="0058279A" w:rsidRPr="00116E3E" w:rsidTr="003E7DEF">
        <w:tblPrEx>
          <w:jc w:val="left"/>
        </w:tblPrEx>
        <w:trPr>
          <w:cantSplit/>
          <w:trHeight w:val="360"/>
        </w:trPr>
        <w:tc>
          <w:tcPr>
            <w:tcW w:w="1419" w:type="pct"/>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b/>
                <w:sz w:val="20"/>
              </w:rPr>
            </w:pPr>
            <w:r w:rsidRPr="00116E3E">
              <w:rPr>
                <w:rFonts w:ascii="Arial Narrow" w:hAnsi="Arial Narrow"/>
                <w:b/>
                <w:sz w:val="20"/>
              </w:rPr>
              <w:t>Clinical criteria:</w:t>
            </w:r>
          </w:p>
          <w:p w:rsidR="0058279A" w:rsidRPr="00116E3E" w:rsidRDefault="0058279A" w:rsidP="008A1BE7">
            <w:pPr>
              <w:rPr>
                <w:rFonts w:ascii="Arial Narrow" w:hAnsi="Arial Narrow"/>
                <w:sz w:val="20"/>
              </w:rPr>
            </w:pPr>
          </w:p>
        </w:tc>
        <w:tc>
          <w:tcPr>
            <w:tcW w:w="3581" w:type="pct"/>
            <w:gridSpan w:val="6"/>
            <w:tcBorders>
              <w:top w:val="single" w:sz="4" w:space="0" w:color="auto"/>
              <w:left w:val="single" w:sz="4" w:space="0" w:color="auto"/>
              <w:bottom w:val="single" w:sz="4" w:space="0" w:color="auto"/>
              <w:right w:val="single" w:sz="4" w:space="0" w:color="auto"/>
            </w:tcBorders>
          </w:tcPr>
          <w:p w:rsidR="0058279A" w:rsidRPr="00116E3E" w:rsidRDefault="0058279A" w:rsidP="008A1BE7">
            <w:pPr>
              <w:rPr>
                <w:rFonts w:ascii="Arial Narrow" w:hAnsi="Arial Narrow"/>
                <w:i/>
                <w:sz w:val="20"/>
              </w:rPr>
            </w:pPr>
            <w:r w:rsidRPr="00116E3E">
              <w:rPr>
                <w:rFonts w:ascii="Arial Narrow" w:hAnsi="Arial Narrow"/>
                <w:sz w:val="20"/>
              </w:rPr>
              <w:t>Patient must be unsuitable for administration of an oral form of methotrexate for this condition.</w:t>
            </w:r>
          </w:p>
        </w:tc>
      </w:tr>
    </w:tbl>
    <w:p w:rsidR="00CF752D" w:rsidRDefault="00CF752D" w:rsidP="00525DE6"/>
    <w:tbl>
      <w:tblPr>
        <w:tblW w:w="5000" w:type="pct"/>
        <w:tblLook w:val="0000" w:firstRow="0" w:lastRow="0" w:firstColumn="0" w:lastColumn="0" w:noHBand="0" w:noVBand="0"/>
      </w:tblPr>
      <w:tblGrid>
        <w:gridCol w:w="2534"/>
        <w:gridCol w:w="6708"/>
      </w:tblGrid>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t>Category / Program</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t>GENERAL – General Schedule (Code GE)</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t>Prescriber type:</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fldChar w:fldCharType="begin">
                <w:ffData>
                  <w:name w:val="Check1"/>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Dental  </w:t>
            </w: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Medical Practitioners  </w:t>
            </w:r>
            <w:r w:rsidRPr="00116E3E">
              <w:rPr>
                <w:rFonts w:ascii="Arial Narrow" w:hAnsi="Arial Narrow"/>
                <w:sz w:val="20"/>
              </w:rPr>
              <w:fldChar w:fldCharType="begin">
                <w:ffData>
                  <w:name w:val="Check3"/>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 xml:space="preserve">Nurse practitioners  </w:t>
            </w:r>
            <w:r w:rsidRPr="00116E3E">
              <w:rPr>
                <w:rFonts w:ascii="Arial Narrow" w:hAnsi="Arial Narrow"/>
                <w:sz w:val="20"/>
              </w:rPr>
              <w:fldChar w:fldCharType="begin">
                <w:ffData>
                  <w:name w:val=""/>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Optometrists</w:t>
            </w:r>
          </w:p>
          <w:p w:rsidR="00D7466F" w:rsidRPr="00116E3E" w:rsidRDefault="00D7466F" w:rsidP="004A077E">
            <w:pPr>
              <w:rPr>
                <w:rFonts w:ascii="Arial Narrow" w:hAnsi="Arial Narrow"/>
                <w:sz w:val="20"/>
              </w:rPr>
            </w:pPr>
            <w:r w:rsidRPr="00116E3E">
              <w:rPr>
                <w:rFonts w:ascii="Arial Narrow" w:hAnsi="Arial Narrow"/>
                <w:sz w:val="20"/>
              </w:rPr>
              <w:fldChar w:fldCharType="begin">
                <w:ffData>
                  <w:name w:val="Check5"/>
                  <w:enabled/>
                  <w:calcOnExit w:val="0"/>
                  <w:checkBox>
                    <w:sizeAuto/>
                    <w:default w:val="0"/>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Midwives</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t>Severity:</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t>Severe</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t>Condition:</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t xml:space="preserve">Psoriasis </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lastRenderedPageBreak/>
              <w:t>PBS Indication:</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t>Severe psoriasis</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b/>
                <w:sz w:val="20"/>
              </w:rPr>
              <w:t xml:space="preserve">Restriction Level / Method: </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fldChar w:fldCharType="begin">
                <w:ffData>
                  <w:name w:val=""/>
                  <w:enabled/>
                  <w:calcOnExit w:val="0"/>
                  <w:checkBox>
                    <w:sizeAuto/>
                    <w:default w:val="1"/>
                  </w:checkBox>
                </w:ffData>
              </w:fldChar>
            </w:r>
            <w:r w:rsidRPr="00116E3E">
              <w:rPr>
                <w:rFonts w:ascii="Arial Narrow" w:hAnsi="Arial Narrow"/>
                <w:sz w:val="20"/>
              </w:rPr>
              <w:instrText xml:space="preserve"> FORMCHECKBOX </w:instrText>
            </w:r>
            <w:r w:rsidR="00E042C2">
              <w:rPr>
                <w:rFonts w:ascii="Arial Narrow" w:hAnsi="Arial Narrow"/>
                <w:sz w:val="20"/>
              </w:rPr>
            </w:r>
            <w:r w:rsidR="00E042C2">
              <w:rPr>
                <w:rFonts w:ascii="Arial Narrow" w:hAnsi="Arial Narrow"/>
                <w:sz w:val="20"/>
              </w:rPr>
              <w:fldChar w:fldCharType="separate"/>
            </w:r>
            <w:r w:rsidRPr="00116E3E">
              <w:rPr>
                <w:rFonts w:ascii="Arial Narrow" w:hAnsi="Arial Narrow"/>
                <w:sz w:val="20"/>
              </w:rPr>
              <w:fldChar w:fldCharType="end"/>
            </w:r>
            <w:r w:rsidRPr="00116E3E">
              <w:rPr>
                <w:rFonts w:ascii="Arial Narrow" w:hAnsi="Arial Narrow"/>
                <w:sz w:val="20"/>
              </w:rPr>
              <w:t>Streamlined</w:t>
            </w:r>
          </w:p>
        </w:tc>
      </w:tr>
      <w:tr w:rsidR="00D7466F" w:rsidRPr="00116E3E" w:rsidTr="004A077E">
        <w:trPr>
          <w:cantSplit/>
          <w:trHeight w:val="360"/>
        </w:trPr>
        <w:tc>
          <w:tcPr>
            <w:tcW w:w="1371"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b/>
                <w:sz w:val="20"/>
              </w:rPr>
            </w:pPr>
            <w:r w:rsidRPr="00116E3E">
              <w:rPr>
                <w:rFonts w:ascii="Arial Narrow" w:hAnsi="Arial Narrow"/>
                <w:b/>
                <w:sz w:val="20"/>
              </w:rPr>
              <w:t>Clinical criteria:</w:t>
            </w:r>
          </w:p>
        </w:tc>
        <w:tc>
          <w:tcPr>
            <w:tcW w:w="3629" w:type="pct"/>
            <w:tcBorders>
              <w:top w:val="single" w:sz="4" w:space="0" w:color="auto"/>
              <w:left w:val="single" w:sz="4" w:space="0" w:color="auto"/>
              <w:bottom w:val="single" w:sz="4" w:space="0" w:color="auto"/>
              <w:right w:val="single" w:sz="4" w:space="0" w:color="auto"/>
            </w:tcBorders>
          </w:tcPr>
          <w:p w:rsidR="00D7466F" w:rsidRPr="00116E3E" w:rsidRDefault="00D7466F" w:rsidP="004A077E">
            <w:pPr>
              <w:rPr>
                <w:rFonts w:ascii="Arial Narrow" w:hAnsi="Arial Narrow"/>
                <w:sz w:val="20"/>
              </w:rPr>
            </w:pPr>
            <w:r w:rsidRPr="00116E3E">
              <w:rPr>
                <w:rFonts w:ascii="Arial Narrow" w:hAnsi="Arial Narrow"/>
                <w:sz w:val="20"/>
              </w:rPr>
              <w:t>The condition must not have adequately responded to topical treatment,</w:t>
            </w:r>
          </w:p>
          <w:p w:rsidR="00D7466F" w:rsidRPr="00116E3E" w:rsidRDefault="00D7466F" w:rsidP="004A077E">
            <w:pPr>
              <w:rPr>
                <w:rFonts w:ascii="Arial Narrow" w:hAnsi="Arial Narrow"/>
                <w:sz w:val="20"/>
              </w:rPr>
            </w:pPr>
          </w:p>
          <w:p w:rsidR="00D7466F" w:rsidRPr="00116E3E" w:rsidRDefault="00D7466F" w:rsidP="004A077E">
            <w:pPr>
              <w:rPr>
                <w:rFonts w:ascii="Arial Narrow" w:hAnsi="Arial Narrow"/>
                <w:sz w:val="20"/>
              </w:rPr>
            </w:pPr>
            <w:r w:rsidRPr="00116E3E">
              <w:rPr>
                <w:rFonts w:ascii="Arial Narrow" w:hAnsi="Arial Narrow"/>
                <w:sz w:val="20"/>
              </w:rPr>
              <w:t>AND</w:t>
            </w:r>
          </w:p>
          <w:p w:rsidR="00D7466F" w:rsidRPr="00116E3E" w:rsidRDefault="00D7466F" w:rsidP="004A077E">
            <w:pPr>
              <w:rPr>
                <w:rFonts w:ascii="Arial Narrow" w:hAnsi="Arial Narrow"/>
                <w:sz w:val="20"/>
              </w:rPr>
            </w:pPr>
          </w:p>
          <w:p w:rsidR="00D7466F" w:rsidRPr="00116E3E" w:rsidRDefault="00D7466F" w:rsidP="004A077E">
            <w:pPr>
              <w:rPr>
                <w:rFonts w:ascii="Arial Narrow" w:hAnsi="Arial Narrow"/>
                <w:sz w:val="20"/>
              </w:rPr>
            </w:pPr>
            <w:r w:rsidRPr="00116E3E">
              <w:rPr>
                <w:rFonts w:ascii="Arial Narrow" w:hAnsi="Arial Narrow"/>
                <w:sz w:val="20"/>
              </w:rPr>
              <w:t xml:space="preserve">Patient must be unsuitable for administration of an oral form of methotrexate for this condition. </w:t>
            </w:r>
          </w:p>
        </w:tc>
      </w:tr>
    </w:tbl>
    <w:p w:rsidR="00B86C35" w:rsidRDefault="00B86C35">
      <w:pPr>
        <w:rPr>
          <w:rFonts w:asciiTheme="minorHAnsi" w:hAnsiTheme="minorHAnsi" w:cs="Arial"/>
          <w:b/>
          <w:snapToGrid w:val="0"/>
          <w:sz w:val="32"/>
          <w:szCs w:val="32"/>
          <w:lang w:eastAsia="en-US"/>
        </w:rPr>
      </w:pPr>
      <w:r>
        <w:rPr>
          <w:rFonts w:asciiTheme="minorHAnsi" w:hAnsiTheme="minorHAnsi"/>
          <w:sz w:val="32"/>
          <w:szCs w:val="32"/>
        </w:rPr>
        <w:br w:type="page"/>
      </w:r>
    </w:p>
    <w:p w:rsidR="00A1655C" w:rsidRPr="00A1655C" w:rsidRDefault="00A1655C" w:rsidP="00A1655C">
      <w:pPr>
        <w:pStyle w:val="PBACHeading1"/>
        <w:spacing w:before="240" w:after="120"/>
        <w:ind w:left="709" w:hanging="709"/>
        <w:rPr>
          <w:rFonts w:asciiTheme="minorHAnsi" w:hAnsiTheme="minorHAnsi"/>
          <w:sz w:val="32"/>
          <w:szCs w:val="32"/>
        </w:rPr>
      </w:pPr>
      <w:r w:rsidRPr="00A1655C">
        <w:rPr>
          <w:rFonts w:asciiTheme="minorHAnsi" w:hAnsiTheme="minorHAnsi"/>
          <w:sz w:val="32"/>
          <w:szCs w:val="32"/>
        </w:rPr>
        <w:lastRenderedPageBreak/>
        <w:t>Context for Decision</w:t>
      </w:r>
    </w:p>
    <w:p w:rsidR="00A1655C" w:rsidRPr="00A1655C" w:rsidRDefault="00A1655C" w:rsidP="00A1655C">
      <w:pPr>
        <w:spacing w:line="276" w:lineRule="auto"/>
        <w:jc w:val="both"/>
        <w:rPr>
          <w:rFonts w:asciiTheme="minorHAnsi" w:eastAsiaTheme="minorHAnsi" w:hAnsiTheme="minorHAnsi" w:cs="Arial"/>
          <w:szCs w:val="22"/>
          <w:lang w:eastAsia="en-US"/>
        </w:rPr>
      </w:pPr>
      <w:r w:rsidRPr="00A1655C">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1655C" w:rsidRPr="00A1655C" w:rsidRDefault="00A1655C" w:rsidP="00A1655C">
      <w:pPr>
        <w:pStyle w:val="PBACHeading1"/>
        <w:spacing w:before="240" w:after="120"/>
        <w:ind w:left="709" w:hanging="709"/>
        <w:rPr>
          <w:rFonts w:asciiTheme="minorHAnsi" w:hAnsiTheme="minorHAnsi"/>
          <w:sz w:val="32"/>
          <w:szCs w:val="32"/>
        </w:rPr>
      </w:pPr>
      <w:r w:rsidRPr="00A1655C">
        <w:rPr>
          <w:rFonts w:asciiTheme="minorHAnsi" w:hAnsiTheme="minorHAnsi"/>
          <w:sz w:val="32"/>
          <w:szCs w:val="32"/>
        </w:rPr>
        <w:t>Sponsor’s Comment</w:t>
      </w:r>
    </w:p>
    <w:p w:rsidR="00A1655C" w:rsidRPr="00A1655C" w:rsidRDefault="00A1655C" w:rsidP="00A1655C">
      <w:pPr>
        <w:spacing w:after="120" w:line="276" w:lineRule="auto"/>
        <w:jc w:val="both"/>
        <w:rPr>
          <w:rFonts w:asciiTheme="minorHAnsi" w:eastAsiaTheme="minorHAnsi" w:hAnsiTheme="minorHAnsi" w:cs="Arial"/>
          <w:bCs/>
          <w:szCs w:val="22"/>
          <w:lang w:eastAsia="en-US"/>
        </w:rPr>
      </w:pPr>
      <w:r w:rsidRPr="00A1655C">
        <w:rPr>
          <w:rFonts w:asciiTheme="minorHAnsi" w:eastAsiaTheme="minorHAnsi" w:hAnsiTheme="minorHAnsi" w:cs="Arial"/>
          <w:bCs/>
          <w:szCs w:val="22"/>
          <w:lang w:eastAsia="en-US"/>
        </w:rPr>
        <w:t>The sponsor had no comment.</w:t>
      </w:r>
    </w:p>
    <w:p w:rsidR="00A1655C" w:rsidRPr="00116E3E" w:rsidRDefault="00A1655C" w:rsidP="00525DE6"/>
    <w:sectPr w:rsidR="00A1655C" w:rsidRPr="00116E3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30" w:rsidRDefault="00CC1030">
      <w:r>
        <w:separator/>
      </w:r>
    </w:p>
    <w:p w:rsidR="00CC1030" w:rsidRDefault="00CC1030"/>
  </w:endnote>
  <w:endnote w:type="continuationSeparator" w:id="0">
    <w:p w:rsidR="00CC1030" w:rsidRDefault="00CC1030">
      <w:r>
        <w:continuationSeparator/>
      </w:r>
    </w:p>
    <w:p w:rsidR="00CC1030" w:rsidRDefault="00CC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20045" w:rsidTr="005A3173">
      <w:trPr>
        <w:trHeight w:val="151"/>
      </w:trPr>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20045" w:rsidRPr="005A3173" w:rsidRDefault="003200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r>
    <w:tr w:rsidR="00320045" w:rsidTr="005A3173">
      <w:trPr>
        <w:trHeight w:val="150"/>
      </w:trPr>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0" w:type="auto"/>
          <w:vMerge/>
          <w:vAlign w:val="center"/>
          <w:hideMark/>
        </w:tcPr>
        <w:p w:rsidR="00320045" w:rsidRPr="005A3173" w:rsidRDefault="003200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r>
  </w:tbl>
  <w:p w:rsidR="00320045" w:rsidRDefault="0032004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045" w:rsidRDefault="00320045">
    <w:pPr>
      <w:pStyle w:val="Footer"/>
    </w:pPr>
  </w:p>
  <w:p w:rsidR="00320045" w:rsidRDefault="003200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57354"/>
      <w:docPartObj>
        <w:docPartGallery w:val="Page Numbers (Bottom of Page)"/>
        <w:docPartUnique/>
      </w:docPartObj>
    </w:sdtPr>
    <w:sdtEndPr>
      <w:rPr>
        <w:rFonts w:asciiTheme="minorHAnsi" w:hAnsiTheme="minorHAnsi" w:cstheme="minorHAnsi"/>
        <w:b/>
        <w:noProof/>
      </w:rPr>
    </w:sdtEndPr>
    <w:sdtContent>
      <w:p w:rsidR="00525DE6" w:rsidRPr="00525DE6" w:rsidRDefault="00525DE6">
        <w:pPr>
          <w:pStyle w:val="Footer"/>
          <w:jc w:val="center"/>
          <w:rPr>
            <w:rFonts w:asciiTheme="minorHAnsi" w:hAnsiTheme="minorHAnsi" w:cstheme="minorHAnsi"/>
            <w:b/>
          </w:rPr>
        </w:pPr>
        <w:r w:rsidRPr="00525DE6">
          <w:rPr>
            <w:rFonts w:asciiTheme="minorHAnsi" w:hAnsiTheme="minorHAnsi" w:cstheme="minorHAnsi"/>
            <w:b/>
          </w:rPr>
          <w:fldChar w:fldCharType="begin"/>
        </w:r>
        <w:r w:rsidRPr="00525DE6">
          <w:rPr>
            <w:rFonts w:asciiTheme="minorHAnsi" w:hAnsiTheme="minorHAnsi" w:cstheme="minorHAnsi"/>
            <w:b/>
          </w:rPr>
          <w:instrText xml:space="preserve"> PAGE   \* MERGEFORMAT </w:instrText>
        </w:r>
        <w:r w:rsidRPr="00525DE6">
          <w:rPr>
            <w:rFonts w:asciiTheme="minorHAnsi" w:hAnsiTheme="minorHAnsi" w:cstheme="minorHAnsi"/>
            <w:b/>
          </w:rPr>
          <w:fldChar w:fldCharType="separate"/>
        </w:r>
        <w:r w:rsidR="00E042C2">
          <w:rPr>
            <w:rFonts w:asciiTheme="minorHAnsi" w:hAnsiTheme="minorHAnsi" w:cstheme="minorHAnsi"/>
            <w:b/>
            <w:noProof/>
          </w:rPr>
          <w:t>6</w:t>
        </w:r>
        <w:r w:rsidRPr="00525DE6">
          <w:rPr>
            <w:rFonts w:asciiTheme="minorHAnsi" w:hAnsiTheme="minorHAnsi" w:cstheme="minorHAnsi"/>
            <w:b/>
            <w:noProof/>
          </w:rPr>
          <w:fldChar w:fldCharType="end"/>
        </w:r>
      </w:p>
    </w:sdtContent>
  </w:sdt>
  <w:p w:rsidR="00320045" w:rsidRPr="005E1333" w:rsidRDefault="00320045"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20045" w:rsidTr="005A3173">
      <w:trPr>
        <w:trHeight w:val="151"/>
      </w:trPr>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20045" w:rsidRPr="005A3173" w:rsidRDefault="003200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r>
    <w:tr w:rsidR="00320045" w:rsidTr="005A3173">
      <w:trPr>
        <w:trHeight w:val="150"/>
      </w:trPr>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0" w:type="auto"/>
          <w:vMerge/>
          <w:vAlign w:val="center"/>
          <w:hideMark/>
        </w:tcPr>
        <w:p w:rsidR="00320045" w:rsidRPr="005A3173" w:rsidRDefault="003200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20045" w:rsidTr="005A3173">
      <w:trPr>
        <w:trHeight w:val="151"/>
      </w:trPr>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20045" w:rsidRPr="005A3173" w:rsidRDefault="003200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20045" w:rsidRPr="005A3173" w:rsidRDefault="00320045" w:rsidP="005A3173">
          <w:pPr>
            <w:pStyle w:val="Header"/>
            <w:spacing w:line="276" w:lineRule="auto"/>
            <w:rPr>
              <w:rFonts w:ascii="Calibri" w:eastAsia="MS Gothic" w:hAnsi="Calibri"/>
              <w:b/>
              <w:bCs/>
              <w:color w:val="4F81BD"/>
            </w:rPr>
          </w:pPr>
        </w:p>
      </w:tc>
    </w:tr>
    <w:tr w:rsidR="00320045" w:rsidTr="005A3173">
      <w:trPr>
        <w:trHeight w:val="150"/>
      </w:trPr>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c>
        <w:tcPr>
          <w:tcW w:w="0" w:type="auto"/>
          <w:vMerge/>
          <w:vAlign w:val="center"/>
          <w:hideMark/>
        </w:tcPr>
        <w:p w:rsidR="00320045" w:rsidRPr="005A3173" w:rsidRDefault="003200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320045" w:rsidRPr="005A3173" w:rsidRDefault="00320045" w:rsidP="005A3173">
          <w:pPr>
            <w:pStyle w:val="Header"/>
            <w:spacing w:line="276" w:lineRule="auto"/>
            <w:rPr>
              <w:rFonts w:ascii="Calibri" w:eastAsia="MS Gothic" w:hAnsi="Calibri"/>
              <w:b/>
              <w:bCs/>
              <w:color w:val="4F81BD"/>
            </w:rPr>
          </w:pPr>
        </w:p>
      </w:tc>
    </w:tr>
  </w:tbl>
  <w:p w:rsidR="00320045" w:rsidRPr="007C0F57" w:rsidRDefault="0032004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20045" w:rsidRPr="007C0F57" w:rsidRDefault="00320045" w:rsidP="007C0F57">
    <w:pPr>
      <w:pStyle w:val="Footer"/>
      <w:jc w:val="center"/>
      <w:rPr>
        <w:b/>
        <w:i/>
        <w:sz w:val="20"/>
        <w:szCs w:val="20"/>
      </w:rPr>
    </w:pPr>
    <w:r w:rsidRPr="007C0F57">
      <w:rPr>
        <w:b/>
        <w:i/>
        <w:sz w:val="20"/>
        <w:szCs w:val="20"/>
      </w:rPr>
      <w:t>Commercial-in-Confidence</w:t>
    </w:r>
  </w:p>
  <w:p w:rsidR="00320045" w:rsidRDefault="003200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30" w:rsidRDefault="00CC1030">
      <w:r>
        <w:separator/>
      </w:r>
    </w:p>
    <w:p w:rsidR="00CC1030" w:rsidRDefault="00CC1030"/>
  </w:footnote>
  <w:footnote w:type="continuationSeparator" w:id="0">
    <w:p w:rsidR="00CC1030" w:rsidRDefault="00CC1030">
      <w:r>
        <w:continuationSeparator/>
      </w:r>
    </w:p>
    <w:p w:rsidR="00CC1030" w:rsidRDefault="00CC1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20045" w:rsidRPr="008E0D90" w:rsidTr="00A06225">
      <w:trPr>
        <w:trHeight w:val="151"/>
      </w:trPr>
      <w:tc>
        <w:tcPr>
          <w:tcW w:w="2389" w:type="pct"/>
          <w:tcBorders>
            <w:top w:val="nil"/>
            <w:left w:val="nil"/>
            <w:bottom w:val="single" w:sz="4" w:space="0" w:color="4F81BD"/>
            <w:right w:val="nil"/>
          </w:tcBorders>
        </w:tcPr>
        <w:p w:rsidR="00320045" w:rsidRPr="00A06225" w:rsidRDefault="00320045">
          <w:pPr>
            <w:pStyle w:val="Header"/>
            <w:spacing w:line="276" w:lineRule="auto"/>
            <w:rPr>
              <w:rFonts w:ascii="Cambria" w:eastAsia="MS Gothic" w:hAnsi="Cambria"/>
              <w:b/>
              <w:bCs/>
              <w:color w:val="4F81BD"/>
            </w:rPr>
          </w:pPr>
        </w:p>
      </w:tc>
      <w:tc>
        <w:tcPr>
          <w:tcW w:w="333" w:type="pct"/>
          <w:vMerge w:val="restart"/>
          <w:noWrap/>
          <w:vAlign w:val="center"/>
          <w:hideMark/>
        </w:tcPr>
        <w:p w:rsidR="00320045" w:rsidRPr="00A06225" w:rsidRDefault="0032004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20045" w:rsidRPr="00A06225" w:rsidRDefault="00320045">
          <w:pPr>
            <w:pStyle w:val="Header"/>
            <w:spacing w:line="276" w:lineRule="auto"/>
            <w:rPr>
              <w:rFonts w:ascii="Cambria" w:eastAsia="MS Gothic" w:hAnsi="Cambria"/>
              <w:b/>
              <w:bCs/>
              <w:color w:val="4F81BD"/>
            </w:rPr>
          </w:pPr>
        </w:p>
      </w:tc>
    </w:tr>
    <w:tr w:rsidR="00320045" w:rsidRPr="008E0D90" w:rsidTr="00A06225">
      <w:trPr>
        <w:trHeight w:val="150"/>
      </w:trPr>
      <w:tc>
        <w:tcPr>
          <w:tcW w:w="2389" w:type="pct"/>
          <w:tcBorders>
            <w:top w:val="single" w:sz="4" w:space="0" w:color="4F81BD"/>
            <w:left w:val="nil"/>
            <w:bottom w:val="nil"/>
            <w:right w:val="nil"/>
          </w:tcBorders>
        </w:tcPr>
        <w:p w:rsidR="00320045" w:rsidRPr="00A06225" w:rsidRDefault="00320045">
          <w:pPr>
            <w:pStyle w:val="Header"/>
            <w:spacing w:line="276" w:lineRule="auto"/>
            <w:rPr>
              <w:rFonts w:ascii="Cambria" w:eastAsia="MS Gothic" w:hAnsi="Cambria"/>
              <w:b/>
              <w:bCs/>
              <w:color w:val="4F81BD"/>
            </w:rPr>
          </w:pPr>
        </w:p>
      </w:tc>
      <w:tc>
        <w:tcPr>
          <w:tcW w:w="0" w:type="auto"/>
          <w:vMerge/>
          <w:vAlign w:val="center"/>
          <w:hideMark/>
        </w:tcPr>
        <w:p w:rsidR="00320045" w:rsidRPr="00A06225" w:rsidRDefault="00320045">
          <w:pPr>
            <w:rPr>
              <w:rFonts w:ascii="Cambria" w:hAnsi="Cambria"/>
              <w:color w:val="4F81BD"/>
              <w:sz w:val="22"/>
              <w:szCs w:val="22"/>
            </w:rPr>
          </w:pPr>
        </w:p>
      </w:tc>
      <w:tc>
        <w:tcPr>
          <w:tcW w:w="2278" w:type="pct"/>
          <w:tcBorders>
            <w:top w:val="single" w:sz="4" w:space="0" w:color="4F81BD"/>
            <w:left w:val="nil"/>
            <w:bottom w:val="nil"/>
            <w:right w:val="nil"/>
          </w:tcBorders>
        </w:tcPr>
        <w:p w:rsidR="00320045" w:rsidRPr="00A06225" w:rsidRDefault="00320045">
          <w:pPr>
            <w:pStyle w:val="Header"/>
            <w:spacing w:line="276" w:lineRule="auto"/>
            <w:rPr>
              <w:rFonts w:ascii="Cambria" w:eastAsia="MS Gothic" w:hAnsi="Cambria"/>
              <w:b/>
              <w:bCs/>
              <w:color w:val="4F81BD"/>
            </w:rPr>
          </w:pPr>
        </w:p>
      </w:tc>
    </w:tr>
  </w:tbl>
  <w:p w:rsidR="00320045" w:rsidRDefault="00320045">
    <w:pPr>
      <w:pStyle w:val="Header"/>
    </w:pPr>
  </w:p>
  <w:p w:rsidR="00320045" w:rsidRDefault="003200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45" w:rsidRPr="00F90A91" w:rsidRDefault="00A1655C" w:rsidP="00616CC8">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320045" w:rsidRPr="00F90A91">
      <w:rPr>
        <w:rFonts w:asciiTheme="minorHAnsi" w:hAnsiTheme="minorHAnsi" w:cs="Arial"/>
        <w:i/>
        <w:color w:val="808080"/>
        <w:sz w:val="22"/>
      </w:rPr>
      <w:t xml:space="preserve"> – </w:t>
    </w:r>
    <w:r w:rsidR="00320045">
      <w:rPr>
        <w:rFonts w:asciiTheme="minorHAnsi" w:hAnsiTheme="minorHAnsi" w:cs="Arial"/>
        <w:i/>
        <w:color w:val="808080"/>
        <w:sz w:val="22"/>
      </w:rPr>
      <w:t>July 2018</w:t>
    </w:r>
    <w:r w:rsidR="00320045" w:rsidRPr="00F90A91">
      <w:rPr>
        <w:rFonts w:asciiTheme="minorHAnsi" w:hAnsiTheme="minorHAnsi" w:cs="Arial"/>
        <w:i/>
        <w:color w:val="808080"/>
        <w:sz w:val="22"/>
      </w:rPr>
      <w:t xml:space="preserve"> PBAC Meeting</w:t>
    </w:r>
  </w:p>
  <w:p w:rsidR="00320045" w:rsidRDefault="00320045"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491AD7E2"/>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05A16B7"/>
    <w:multiLevelType w:val="hybridMultilevel"/>
    <w:tmpl w:val="1792950C"/>
    <w:lvl w:ilvl="0" w:tplc="18143B82">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313B5459"/>
    <w:multiLevelType w:val="hybridMultilevel"/>
    <w:tmpl w:val="445E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100CBE"/>
    <w:multiLevelType w:val="hybridMultilevel"/>
    <w:tmpl w:val="D11A7D54"/>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7A2152"/>
    <w:multiLevelType w:val="hybridMultilevel"/>
    <w:tmpl w:val="C7FA67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08D3A2B"/>
    <w:multiLevelType w:val="hybridMultilevel"/>
    <w:tmpl w:val="9E8867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784D033C"/>
    <w:multiLevelType w:val="multilevel"/>
    <w:tmpl w:val="86107E6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2"/>
  </w:num>
  <w:num w:numId="6">
    <w:abstractNumId w:val="7"/>
  </w:num>
  <w:num w:numId="7">
    <w:abstractNumId w:val="15"/>
  </w:num>
  <w:num w:numId="8">
    <w:abstractNumId w:val="4"/>
  </w:num>
  <w:num w:numId="9">
    <w:abstractNumId w:val="14"/>
  </w:num>
  <w:num w:numId="10">
    <w:abstractNumId w:val="13"/>
  </w:num>
  <w:num w:numId="11">
    <w:abstractNumId w:val="10"/>
  </w:num>
  <w:num w:numId="12">
    <w:abstractNumId w:val="1"/>
  </w:num>
  <w:num w:numId="13">
    <w:abstractNumId w:val="0"/>
  </w:num>
  <w:num w:numId="14">
    <w:abstractNumId w:val="22"/>
  </w:num>
  <w:num w:numId="15">
    <w:abstractNumId w:val="11"/>
  </w:num>
  <w:num w:numId="16">
    <w:abstractNumId w:val="20"/>
  </w:num>
  <w:num w:numId="17">
    <w:abstractNumId w:val="19"/>
  </w:num>
  <w:num w:numId="18">
    <w:abstractNumId w:val="21"/>
  </w:num>
  <w:num w:numId="19">
    <w:abstractNumId w:val="22"/>
  </w:num>
  <w:num w:numId="20">
    <w:abstractNumId w:val="17"/>
  </w:num>
  <w:num w:numId="21">
    <w:abstractNumId w:val="18"/>
  </w:num>
  <w:num w:numId="22">
    <w:abstractNumId w:val="5"/>
  </w:num>
  <w:num w:numId="23">
    <w:abstractNumId w:val="2"/>
  </w:num>
  <w:num w:numId="24">
    <w:abstractNumId w:val="9"/>
  </w:num>
  <w:num w:numId="25">
    <w:abstractNumId w:val="22"/>
  </w:num>
  <w:num w:numId="26">
    <w:abstractNumId w:val="12"/>
  </w:num>
  <w:num w:numId="27">
    <w:abstractNumId w:val="22"/>
  </w:num>
  <w:num w:numId="28">
    <w:abstractNumId w:val="22"/>
  </w:num>
  <w:num w:numId="2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0247"/>
    <w:rsid w:val="0002464A"/>
    <w:rsid w:val="0003106B"/>
    <w:rsid w:val="000421A1"/>
    <w:rsid w:val="0004240E"/>
    <w:rsid w:val="00045AA3"/>
    <w:rsid w:val="00045E26"/>
    <w:rsid w:val="000514B5"/>
    <w:rsid w:val="000545E5"/>
    <w:rsid w:val="00060E64"/>
    <w:rsid w:val="00066755"/>
    <w:rsid w:val="00077143"/>
    <w:rsid w:val="00082169"/>
    <w:rsid w:val="00083D96"/>
    <w:rsid w:val="000969AD"/>
    <w:rsid w:val="000A2EF9"/>
    <w:rsid w:val="000B558D"/>
    <w:rsid w:val="000C2D18"/>
    <w:rsid w:val="000C664D"/>
    <w:rsid w:val="000C6996"/>
    <w:rsid w:val="000D23BA"/>
    <w:rsid w:val="000E681E"/>
    <w:rsid w:val="000F0003"/>
    <w:rsid w:val="000F4E6A"/>
    <w:rsid w:val="00104227"/>
    <w:rsid w:val="001107BF"/>
    <w:rsid w:val="00116E3E"/>
    <w:rsid w:val="0012417C"/>
    <w:rsid w:val="00142395"/>
    <w:rsid w:val="00142714"/>
    <w:rsid w:val="001452ED"/>
    <w:rsid w:val="001515B5"/>
    <w:rsid w:val="00163329"/>
    <w:rsid w:val="00164623"/>
    <w:rsid w:val="00165B64"/>
    <w:rsid w:val="001733DA"/>
    <w:rsid w:val="001800C7"/>
    <w:rsid w:val="00180713"/>
    <w:rsid w:val="001830CE"/>
    <w:rsid w:val="0018643B"/>
    <w:rsid w:val="001933B1"/>
    <w:rsid w:val="00196307"/>
    <w:rsid w:val="001A33EA"/>
    <w:rsid w:val="001B017F"/>
    <w:rsid w:val="001B2BBC"/>
    <w:rsid w:val="001B2BBF"/>
    <w:rsid w:val="001B5129"/>
    <w:rsid w:val="001B7361"/>
    <w:rsid w:val="001C1195"/>
    <w:rsid w:val="001D11C0"/>
    <w:rsid w:val="001E6DD2"/>
    <w:rsid w:val="001F1850"/>
    <w:rsid w:val="00203FAC"/>
    <w:rsid w:val="00204F05"/>
    <w:rsid w:val="00213CFB"/>
    <w:rsid w:val="00217BE1"/>
    <w:rsid w:val="002574C4"/>
    <w:rsid w:val="002602D1"/>
    <w:rsid w:val="00260C0C"/>
    <w:rsid w:val="00271BA1"/>
    <w:rsid w:val="002762FA"/>
    <w:rsid w:val="00277505"/>
    <w:rsid w:val="0029458F"/>
    <w:rsid w:val="002A104C"/>
    <w:rsid w:val="002A4960"/>
    <w:rsid w:val="002B1AE6"/>
    <w:rsid w:val="002B2162"/>
    <w:rsid w:val="002B2DE8"/>
    <w:rsid w:val="002B30F8"/>
    <w:rsid w:val="002B5596"/>
    <w:rsid w:val="002C01B8"/>
    <w:rsid w:val="002C212F"/>
    <w:rsid w:val="002D4543"/>
    <w:rsid w:val="002E3153"/>
    <w:rsid w:val="002E72CA"/>
    <w:rsid w:val="002F600D"/>
    <w:rsid w:val="00300AD6"/>
    <w:rsid w:val="00317C6C"/>
    <w:rsid w:val="00320045"/>
    <w:rsid w:val="00326E79"/>
    <w:rsid w:val="0033518A"/>
    <w:rsid w:val="003367EF"/>
    <w:rsid w:val="00341AE4"/>
    <w:rsid w:val="00360B26"/>
    <w:rsid w:val="003872CF"/>
    <w:rsid w:val="0039782C"/>
    <w:rsid w:val="003A5B4A"/>
    <w:rsid w:val="003B23C5"/>
    <w:rsid w:val="003B2A75"/>
    <w:rsid w:val="003B6124"/>
    <w:rsid w:val="003C2FB5"/>
    <w:rsid w:val="003D4AC4"/>
    <w:rsid w:val="003D63B7"/>
    <w:rsid w:val="003E468B"/>
    <w:rsid w:val="003E7DEF"/>
    <w:rsid w:val="003F1322"/>
    <w:rsid w:val="003F3228"/>
    <w:rsid w:val="003F5C8C"/>
    <w:rsid w:val="0041385B"/>
    <w:rsid w:val="00413B0F"/>
    <w:rsid w:val="004252EC"/>
    <w:rsid w:val="0042644D"/>
    <w:rsid w:val="004465BD"/>
    <w:rsid w:val="00466ADA"/>
    <w:rsid w:val="00476245"/>
    <w:rsid w:val="00483035"/>
    <w:rsid w:val="00485940"/>
    <w:rsid w:val="00496846"/>
    <w:rsid w:val="004A2484"/>
    <w:rsid w:val="004A5A85"/>
    <w:rsid w:val="004A69BC"/>
    <w:rsid w:val="004A71D1"/>
    <w:rsid w:val="004A7BB7"/>
    <w:rsid w:val="004B5640"/>
    <w:rsid w:val="004C1BD7"/>
    <w:rsid w:val="004C31FE"/>
    <w:rsid w:val="004C691D"/>
    <w:rsid w:val="004C6C07"/>
    <w:rsid w:val="004D6B8D"/>
    <w:rsid w:val="004E692D"/>
    <w:rsid w:val="00501554"/>
    <w:rsid w:val="00514CD7"/>
    <w:rsid w:val="00522247"/>
    <w:rsid w:val="00525DE6"/>
    <w:rsid w:val="00526D98"/>
    <w:rsid w:val="005319B2"/>
    <w:rsid w:val="00532402"/>
    <w:rsid w:val="00532C74"/>
    <w:rsid w:val="00534E2E"/>
    <w:rsid w:val="00544552"/>
    <w:rsid w:val="005575EE"/>
    <w:rsid w:val="00564B4E"/>
    <w:rsid w:val="00566609"/>
    <w:rsid w:val="00577C4D"/>
    <w:rsid w:val="00581932"/>
    <w:rsid w:val="0058279A"/>
    <w:rsid w:val="005830CD"/>
    <w:rsid w:val="00586832"/>
    <w:rsid w:val="00592289"/>
    <w:rsid w:val="005963BB"/>
    <w:rsid w:val="005A3173"/>
    <w:rsid w:val="005A3223"/>
    <w:rsid w:val="005A3DA3"/>
    <w:rsid w:val="005A52C4"/>
    <w:rsid w:val="005C2DFD"/>
    <w:rsid w:val="005D03AB"/>
    <w:rsid w:val="005D5017"/>
    <w:rsid w:val="005E1333"/>
    <w:rsid w:val="00601A91"/>
    <w:rsid w:val="00602BA3"/>
    <w:rsid w:val="00612E34"/>
    <w:rsid w:val="00614159"/>
    <w:rsid w:val="00616CC8"/>
    <w:rsid w:val="00617C00"/>
    <w:rsid w:val="006263BF"/>
    <w:rsid w:val="0062748A"/>
    <w:rsid w:val="00630A2C"/>
    <w:rsid w:val="0063682E"/>
    <w:rsid w:val="00641AFC"/>
    <w:rsid w:val="006436CD"/>
    <w:rsid w:val="00644B3A"/>
    <w:rsid w:val="00651169"/>
    <w:rsid w:val="00652315"/>
    <w:rsid w:val="006538EF"/>
    <w:rsid w:val="00653D69"/>
    <w:rsid w:val="0066229C"/>
    <w:rsid w:val="006670BE"/>
    <w:rsid w:val="00670A76"/>
    <w:rsid w:val="006711AA"/>
    <w:rsid w:val="00672B57"/>
    <w:rsid w:val="00675622"/>
    <w:rsid w:val="0067747D"/>
    <w:rsid w:val="00681739"/>
    <w:rsid w:val="00690099"/>
    <w:rsid w:val="006906DB"/>
    <w:rsid w:val="00691E6C"/>
    <w:rsid w:val="00696129"/>
    <w:rsid w:val="00697CF2"/>
    <w:rsid w:val="006A12A5"/>
    <w:rsid w:val="006A1A08"/>
    <w:rsid w:val="006B0D94"/>
    <w:rsid w:val="006B485D"/>
    <w:rsid w:val="006C6EFE"/>
    <w:rsid w:val="006C708E"/>
    <w:rsid w:val="006D14E7"/>
    <w:rsid w:val="006D6493"/>
    <w:rsid w:val="006D6EC7"/>
    <w:rsid w:val="006F5125"/>
    <w:rsid w:val="006F58DF"/>
    <w:rsid w:val="00702B6F"/>
    <w:rsid w:val="0071340B"/>
    <w:rsid w:val="007156A5"/>
    <w:rsid w:val="007174BB"/>
    <w:rsid w:val="0072025D"/>
    <w:rsid w:val="007353D3"/>
    <w:rsid w:val="0076420C"/>
    <w:rsid w:val="00773534"/>
    <w:rsid w:val="007753C2"/>
    <w:rsid w:val="007838B8"/>
    <w:rsid w:val="00797836"/>
    <w:rsid w:val="007C0F57"/>
    <w:rsid w:val="007C40B6"/>
    <w:rsid w:val="007C729F"/>
    <w:rsid w:val="007E1D28"/>
    <w:rsid w:val="007E2FA8"/>
    <w:rsid w:val="007F2641"/>
    <w:rsid w:val="007F7C36"/>
    <w:rsid w:val="008034E8"/>
    <w:rsid w:val="00806796"/>
    <w:rsid w:val="0080770B"/>
    <w:rsid w:val="008151D6"/>
    <w:rsid w:val="00826F6D"/>
    <w:rsid w:val="008306F3"/>
    <w:rsid w:val="00835935"/>
    <w:rsid w:val="00851782"/>
    <w:rsid w:val="00856DDD"/>
    <w:rsid w:val="008610DB"/>
    <w:rsid w:val="00863E68"/>
    <w:rsid w:val="00872723"/>
    <w:rsid w:val="00882085"/>
    <w:rsid w:val="00882409"/>
    <w:rsid w:val="00883188"/>
    <w:rsid w:val="008864A2"/>
    <w:rsid w:val="008909DB"/>
    <w:rsid w:val="00895F53"/>
    <w:rsid w:val="00897D58"/>
    <w:rsid w:val="00897F22"/>
    <w:rsid w:val="008A1956"/>
    <w:rsid w:val="008A4937"/>
    <w:rsid w:val="008A50F1"/>
    <w:rsid w:val="008D1B5C"/>
    <w:rsid w:val="008D3C82"/>
    <w:rsid w:val="008D447E"/>
    <w:rsid w:val="008D7A41"/>
    <w:rsid w:val="008E3680"/>
    <w:rsid w:val="008E5870"/>
    <w:rsid w:val="008F1434"/>
    <w:rsid w:val="008F1460"/>
    <w:rsid w:val="008F3E0B"/>
    <w:rsid w:val="008F7355"/>
    <w:rsid w:val="009024BF"/>
    <w:rsid w:val="009067B7"/>
    <w:rsid w:val="00922065"/>
    <w:rsid w:val="00924015"/>
    <w:rsid w:val="00930937"/>
    <w:rsid w:val="00933E6C"/>
    <w:rsid w:val="00937958"/>
    <w:rsid w:val="00942160"/>
    <w:rsid w:val="0095146F"/>
    <w:rsid w:val="009602C5"/>
    <w:rsid w:val="0096148D"/>
    <w:rsid w:val="00962223"/>
    <w:rsid w:val="009645E3"/>
    <w:rsid w:val="009661A5"/>
    <w:rsid w:val="00966D0D"/>
    <w:rsid w:val="00974C21"/>
    <w:rsid w:val="00980EC4"/>
    <w:rsid w:val="009978CF"/>
    <w:rsid w:val="009A111B"/>
    <w:rsid w:val="009B0F67"/>
    <w:rsid w:val="009C6E72"/>
    <w:rsid w:val="009C703C"/>
    <w:rsid w:val="009D3CAA"/>
    <w:rsid w:val="009E40E1"/>
    <w:rsid w:val="009F4E46"/>
    <w:rsid w:val="009F5B65"/>
    <w:rsid w:val="009F5F2E"/>
    <w:rsid w:val="00A05859"/>
    <w:rsid w:val="00A06225"/>
    <w:rsid w:val="00A128E6"/>
    <w:rsid w:val="00A1655C"/>
    <w:rsid w:val="00A34E6C"/>
    <w:rsid w:val="00A37C8D"/>
    <w:rsid w:val="00A43E17"/>
    <w:rsid w:val="00A5273B"/>
    <w:rsid w:val="00A53A9D"/>
    <w:rsid w:val="00A55FEE"/>
    <w:rsid w:val="00A62C1A"/>
    <w:rsid w:val="00A6426D"/>
    <w:rsid w:val="00A665C1"/>
    <w:rsid w:val="00A70622"/>
    <w:rsid w:val="00A70977"/>
    <w:rsid w:val="00A77613"/>
    <w:rsid w:val="00A8390C"/>
    <w:rsid w:val="00A928BD"/>
    <w:rsid w:val="00AA2D90"/>
    <w:rsid w:val="00AA4D1C"/>
    <w:rsid w:val="00AC193C"/>
    <w:rsid w:val="00AC5206"/>
    <w:rsid w:val="00AE11A5"/>
    <w:rsid w:val="00AE13E2"/>
    <w:rsid w:val="00AE22D3"/>
    <w:rsid w:val="00AF62DF"/>
    <w:rsid w:val="00AF68CC"/>
    <w:rsid w:val="00B04B20"/>
    <w:rsid w:val="00B1059E"/>
    <w:rsid w:val="00B126B4"/>
    <w:rsid w:val="00B176C8"/>
    <w:rsid w:val="00B205AA"/>
    <w:rsid w:val="00B22E84"/>
    <w:rsid w:val="00B25F75"/>
    <w:rsid w:val="00B26B3F"/>
    <w:rsid w:val="00B43E90"/>
    <w:rsid w:val="00B467DC"/>
    <w:rsid w:val="00B56118"/>
    <w:rsid w:val="00B6773F"/>
    <w:rsid w:val="00B70DC2"/>
    <w:rsid w:val="00B801BA"/>
    <w:rsid w:val="00B84D5C"/>
    <w:rsid w:val="00B86C35"/>
    <w:rsid w:val="00BA6602"/>
    <w:rsid w:val="00BA7ECB"/>
    <w:rsid w:val="00BB69F5"/>
    <w:rsid w:val="00BB7EC3"/>
    <w:rsid w:val="00BC4B9A"/>
    <w:rsid w:val="00BD784C"/>
    <w:rsid w:val="00BF4990"/>
    <w:rsid w:val="00BF4CB6"/>
    <w:rsid w:val="00BF7B52"/>
    <w:rsid w:val="00C00DA7"/>
    <w:rsid w:val="00C12768"/>
    <w:rsid w:val="00C27B58"/>
    <w:rsid w:val="00C34676"/>
    <w:rsid w:val="00C35996"/>
    <w:rsid w:val="00C4116E"/>
    <w:rsid w:val="00C4747E"/>
    <w:rsid w:val="00C50395"/>
    <w:rsid w:val="00C5342C"/>
    <w:rsid w:val="00C603D4"/>
    <w:rsid w:val="00C6256A"/>
    <w:rsid w:val="00C77891"/>
    <w:rsid w:val="00C91449"/>
    <w:rsid w:val="00C92D10"/>
    <w:rsid w:val="00CC1030"/>
    <w:rsid w:val="00CE10C4"/>
    <w:rsid w:val="00CE27B5"/>
    <w:rsid w:val="00CE3060"/>
    <w:rsid w:val="00CF752D"/>
    <w:rsid w:val="00D0321E"/>
    <w:rsid w:val="00D1455A"/>
    <w:rsid w:val="00D30AEB"/>
    <w:rsid w:val="00D31150"/>
    <w:rsid w:val="00D3138B"/>
    <w:rsid w:val="00D3280C"/>
    <w:rsid w:val="00D3406A"/>
    <w:rsid w:val="00D34AA3"/>
    <w:rsid w:val="00D4572C"/>
    <w:rsid w:val="00D462E8"/>
    <w:rsid w:val="00D469B2"/>
    <w:rsid w:val="00D52BDF"/>
    <w:rsid w:val="00D617D9"/>
    <w:rsid w:val="00D741EB"/>
    <w:rsid w:val="00D7466F"/>
    <w:rsid w:val="00D83605"/>
    <w:rsid w:val="00D84934"/>
    <w:rsid w:val="00D91271"/>
    <w:rsid w:val="00D919F5"/>
    <w:rsid w:val="00D94F03"/>
    <w:rsid w:val="00DA2CB5"/>
    <w:rsid w:val="00DA4BAC"/>
    <w:rsid w:val="00DA77D1"/>
    <w:rsid w:val="00DE03CA"/>
    <w:rsid w:val="00DE2F00"/>
    <w:rsid w:val="00DE6D27"/>
    <w:rsid w:val="00DF217D"/>
    <w:rsid w:val="00DF26A7"/>
    <w:rsid w:val="00E042C2"/>
    <w:rsid w:val="00E15627"/>
    <w:rsid w:val="00E164B3"/>
    <w:rsid w:val="00E16910"/>
    <w:rsid w:val="00E270CB"/>
    <w:rsid w:val="00E27B6E"/>
    <w:rsid w:val="00E30712"/>
    <w:rsid w:val="00E42BDB"/>
    <w:rsid w:val="00E53178"/>
    <w:rsid w:val="00E57EEB"/>
    <w:rsid w:val="00E62D94"/>
    <w:rsid w:val="00E65E54"/>
    <w:rsid w:val="00E80155"/>
    <w:rsid w:val="00E81F28"/>
    <w:rsid w:val="00E848C0"/>
    <w:rsid w:val="00E91B96"/>
    <w:rsid w:val="00E941A1"/>
    <w:rsid w:val="00E95CE3"/>
    <w:rsid w:val="00EA2825"/>
    <w:rsid w:val="00EA43DD"/>
    <w:rsid w:val="00EB07A3"/>
    <w:rsid w:val="00EB0B63"/>
    <w:rsid w:val="00EB1936"/>
    <w:rsid w:val="00EB30D1"/>
    <w:rsid w:val="00EB5088"/>
    <w:rsid w:val="00EC6892"/>
    <w:rsid w:val="00EC6FAD"/>
    <w:rsid w:val="00ED1644"/>
    <w:rsid w:val="00ED2593"/>
    <w:rsid w:val="00ED7D9C"/>
    <w:rsid w:val="00EF44A0"/>
    <w:rsid w:val="00EF4FED"/>
    <w:rsid w:val="00F0238E"/>
    <w:rsid w:val="00F035ED"/>
    <w:rsid w:val="00F050BD"/>
    <w:rsid w:val="00F05657"/>
    <w:rsid w:val="00F25578"/>
    <w:rsid w:val="00F258E5"/>
    <w:rsid w:val="00F300BC"/>
    <w:rsid w:val="00F3334E"/>
    <w:rsid w:val="00F36CCB"/>
    <w:rsid w:val="00F374E5"/>
    <w:rsid w:val="00F43AF2"/>
    <w:rsid w:val="00F50EC4"/>
    <w:rsid w:val="00F550CF"/>
    <w:rsid w:val="00F57A6D"/>
    <w:rsid w:val="00F61902"/>
    <w:rsid w:val="00F638CC"/>
    <w:rsid w:val="00F64CC1"/>
    <w:rsid w:val="00F72317"/>
    <w:rsid w:val="00F80417"/>
    <w:rsid w:val="00F80475"/>
    <w:rsid w:val="00F8247A"/>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rsid w:val="00DE2F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rsid w:val="00DE2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AACE-CF30-424C-829D-1F9D7D4F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2018-09-24T04:15:00Z</dcterms:created>
  <dcterms:modified xsi:type="dcterms:W3CDTF">2018-10-24T03:26:00Z</dcterms:modified>
</cp:coreProperties>
</file>