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C6" w:rsidRDefault="00A644E0" w:rsidP="009716C6">
      <w:pPr>
        <w:ind w:left="709" w:hanging="709"/>
        <w:jc w:val="left"/>
        <w:rPr>
          <w:rFonts w:asciiTheme="minorHAnsi" w:hAnsiTheme="minorHAnsi"/>
          <w:b/>
          <w:sz w:val="36"/>
          <w:szCs w:val="36"/>
        </w:rPr>
      </w:pPr>
      <w:bookmarkStart w:id="0" w:name="_GoBack"/>
      <w:bookmarkEnd w:id="0"/>
      <w:r w:rsidRPr="002A3779">
        <w:rPr>
          <w:b/>
          <w:sz w:val="36"/>
          <w:szCs w:val="36"/>
        </w:rPr>
        <w:t>7</w:t>
      </w:r>
      <w:r w:rsidR="00433044" w:rsidRPr="002A3779">
        <w:rPr>
          <w:b/>
          <w:sz w:val="36"/>
          <w:szCs w:val="36"/>
        </w:rPr>
        <w:t>.</w:t>
      </w:r>
      <w:r w:rsidRPr="002A3779">
        <w:rPr>
          <w:b/>
          <w:sz w:val="36"/>
          <w:szCs w:val="36"/>
        </w:rPr>
        <w:t>05</w:t>
      </w:r>
      <w:r w:rsidR="00B60939" w:rsidRPr="002A3779">
        <w:rPr>
          <w:b/>
          <w:sz w:val="36"/>
          <w:szCs w:val="36"/>
        </w:rPr>
        <w:tab/>
      </w:r>
      <w:r w:rsidR="003E59E2" w:rsidRPr="002A3779">
        <w:rPr>
          <w:rFonts w:asciiTheme="minorHAnsi" w:hAnsiTheme="minorHAnsi"/>
          <w:b/>
          <w:sz w:val="36"/>
          <w:szCs w:val="36"/>
        </w:rPr>
        <w:t>NIVOLUMAB,</w:t>
      </w:r>
    </w:p>
    <w:p w:rsidR="00684056" w:rsidRDefault="007B1B85" w:rsidP="009716C6">
      <w:pPr>
        <w:ind w:left="709"/>
        <w:jc w:val="left"/>
        <w:rPr>
          <w:rFonts w:asciiTheme="minorHAnsi" w:hAnsiTheme="minorHAnsi"/>
          <w:b/>
          <w:sz w:val="36"/>
          <w:szCs w:val="36"/>
        </w:rPr>
      </w:pPr>
      <w:proofErr w:type="gramStart"/>
      <w:r>
        <w:rPr>
          <w:rFonts w:asciiTheme="minorHAnsi" w:hAnsiTheme="minorHAnsi"/>
          <w:b/>
          <w:sz w:val="36"/>
          <w:szCs w:val="36"/>
        </w:rPr>
        <w:t>Injection concentrate</w:t>
      </w:r>
      <w:proofErr w:type="gramEnd"/>
      <w:r>
        <w:rPr>
          <w:rFonts w:asciiTheme="minorHAnsi" w:hAnsiTheme="minorHAnsi"/>
          <w:b/>
          <w:sz w:val="36"/>
          <w:szCs w:val="36"/>
        </w:rPr>
        <w:t xml:space="preserve"> for I.V. infusion </w:t>
      </w:r>
      <w:r w:rsidR="00435931" w:rsidRPr="002A3779">
        <w:rPr>
          <w:rFonts w:asciiTheme="minorHAnsi" w:hAnsiTheme="minorHAnsi"/>
          <w:b/>
          <w:sz w:val="36"/>
          <w:szCs w:val="36"/>
        </w:rPr>
        <w:t>40 mg</w:t>
      </w:r>
      <w:r>
        <w:rPr>
          <w:rFonts w:asciiTheme="minorHAnsi" w:hAnsiTheme="minorHAnsi"/>
          <w:b/>
          <w:sz w:val="36"/>
          <w:szCs w:val="36"/>
        </w:rPr>
        <w:t xml:space="preserve"> in </w:t>
      </w:r>
      <w:r w:rsidR="00435931" w:rsidRPr="002A3779">
        <w:rPr>
          <w:rFonts w:asciiTheme="minorHAnsi" w:hAnsiTheme="minorHAnsi"/>
          <w:b/>
          <w:sz w:val="36"/>
          <w:szCs w:val="36"/>
        </w:rPr>
        <w:t>4 mL</w:t>
      </w:r>
      <w:r>
        <w:rPr>
          <w:rFonts w:asciiTheme="minorHAnsi" w:hAnsiTheme="minorHAnsi"/>
          <w:b/>
          <w:sz w:val="36"/>
          <w:szCs w:val="36"/>
        </w:rPr>
        <w:t>,</w:t>
      </w:r>
      <w:r w:rsidR="00684056">
        <w:rPr>
          <w:rFonts w:asciiTheme="minorHAnsi" w:hAnsiTheme="minorHAnsi"/>
          <w:b/>
          <w:sz w:val="36"/>
          <w:szCs w:val="36"/>
        </w:rPr>
        <w:t xml:space="preserve"> </w:t>
      </w:r>
      <w:r>
        <w:rPr>
          <w:rFonts w:asciiTheme="minorHAnsi" w:hAnsiTheme="minorHAnsi"/>
          <w:b/>
          <w:sz w:val="36"/>
          <w:szCs w:val="36"/>
        </w:rPr>
        <w:t xml:space="preserve">Injection concentrate for I.V. infusion </w:t>
      </w:r>
      <w:r w:rsidR="00435931" w:rsidRPr="002A3779">
        <w:rPr>
          <w:rFonts w:asciiTheme="minorHAnsi" w:hAnsiTheme="minorHAnsi"/>
          <w:b/>
          <w:sz w:val="36"/>
          <w:szCs w:val="36"/>
        </w:rPr>
        <w:t>100 mg</w:t>
      </w:r>
      <w:r>
        <w:rPr>
          <w:rFonts w:asciiTheme="minorHAnsi" w:hAnsiTheme="minorHAnsi"/>
          <w:b/>
          <w:sz w:val="36"/>
          <w:szCs w:val="36"/>
        </w:rPr>
        <w:t xml:space="preserve"> in </w:t>
      </w:r>
      <w:r w:rsidR="00435931" w:rsidRPr="002A3779">
        <w:rPr>
          <w:rFonts w:asciiTheme="minorHAnsi" w:hAnsiTheme="minorHAnsi"/>
          <w:b/>
          <w:sz w:val="36"/>
          <w:szCs w:val="36"/>
        </w:rPr>
        <w:t>10 mL</w:t>
      </w:r>
      <w:r w:rsidR="003E59E2" w:rsidRPr="002A3779">
        <w:rPr>
          <w:rFonts w:asciiTheme="minorHAnsi" w:hAnsiTheme="minorHAnsi"/>
          <w:b/>
          <w:sz w:val="36"/>
          <w:szCs w:val="36"/>
        </w:rPr>
        <w:t xml:space="preserve">, </w:t>
      </w:r>
    </w:p>
    <w:p w:rsidR="00684056" w:rsidRDefault="003E59E2" w:rsidP="00684056">
      <w:pPr>
        <w:ind w:left="709"/>
        <w:jc w:val="left"/>
        <w:rPr>
          <w:rFonts w:asciiTheme="minorHAnsi" w:hAnsiTheme="minorHAnsi"/>
          <w:b/>
          <w:sz w:val="36"/>
          <w:szCs w:val="36"/>
        </w:rPr>
      </w:pPr>
      <w:proofErr w:type="spellStart"/>
      <w:r w:rsidRPr="002A3779">
        <w:rPr>
          <w:rFonts w:asciiTheme="minorHAnsi" w:hAnsiTheme="minorHAnsi"/>
          <w:b/>
          <w:sz w:val="36"/>
          <w:szCs w:val="36"/>
        </w:rPr>
        <w:t>Opdivo</w:t>
      </w:r>
      <w:proofErr w:type="spellEnd"/>
      <w:r w:rsidRPr="00006ED5">
        <w:rPr>
          <w:rFonts w:asciiTheme="minorHAnsi" w:hAnsiTheme="minorHAnsi"/>
          <w:b/>
          <w:sz w:val="36"/>
          <w:szCs w:val="36"/>
        </w:rPr>
        <w:t>®</w:t>
      </w:r>
      <w:r w:rsidRPr="002A3779">
        <w:rPr>
          <w:rFonts w:asciiTheme="minorHAnsi" w:hAnsiTheme="minorHAnsi"/>
          <w:b/>
          <w:sz w:val="36"/>
          <w:szCs w:val="36"/>
        </w:rPr>
        <w:t>, Bristol</w:t>
      </w:r>
      <w:r w:rsidR="00684056">
        <w:rPr>
          <w:rFonts w:asciiTheme="minorHAnsi" w:hAnsiTheme="minorHAnsi"/>
          <w:b/>
          <w:sz w:val="36"/>
          <w:szCs w:val="36"/>
        </w:rPr>
        <w:t>-</w:t>
      </w:r>
      <w:r w:rsidRPr="002A3779">
        <w:rPr>
          <w:rFonts w:asciiTheme="minorHAnsi" w:hAnsiTheme="minorHAnsi"/>
          <w:b/>
          <w:sz w:val="36"/>
          <w:szCs w:val="36"/>
        </w:rPr>
        <w:t xml:space="preserve">Myers Squibb, </w:t>
      </w:r>
    </w:p>
    <w:p w:rsidR="00684056" w:rsidRDefault="00684056" w:rsidP="00684056">
      <w:pPr>
        <w:ind w:left="709"/>
        <w:jc w:val="left"/>
        <w:rPr>
          <w:rFonts w:asciiTheme="minorHAnsi" w:hAnsiTheme="minorHAnsi"/>
          <w:b/>
          <w:sz w:val="36"/>
          <w:szCs w:val="36"/>
        </w:rPr>
      </w:pPr>
      <w:r>
        <w:rPr>
          <w:rFonts w:asciiTheme="minorHAnsi" w:hAnsiTheme="minorHAnsi"/>
          <w:b/>
          <w:sz w:val="36"/>
          <w:szCs w:val="36"/>
        </w:rPr>
        <w:t>PLUS</w:t>
      </w:r>
      <w:r w:rsidR="003E59E2" w:rsidRPr="002A3779">
        <w:rPr>
          <w:rFonts w:asciiTheme="minorHAnsi" w:hAnsiTheme="minorHAnsi"/>
          <w:b/>
          <w:sz w:val="36"/>
          <w:szCs w:val="36"/>
        </w:rPr>
        <w:br/>
        <w:t>IPILIMUMAB</w:t>
      </w:r>
      <w:r w:rsidR="00435931" w:rsidRPr="002A3779">
        <w:rPr>
          <w:rFonts w:asciiTheme="minorHAnsi" w:hAnsiTheme="minorHAnsi"/>
          <w:b/>
          <w:sz w:val="36"/>
          <w:szCs w:val="36"/>
        </w:rPr>
        <w:t>,</w:t>
      </w:r>
      <w:r w:rsidR="003E59E2" w:rsidRPr="002A3779">
        <w:rPr>
          <w:rFonts w:asciiTheme="minorHAnsi" w:hAnsiTheme="minorHAnsi"/>
          <w:b/>
          <w:sz w:val="36"/>
          <w:szCs w:val="36"/>
        </w:rPr>
        <w:t xml:space="preserve"> </w:t>
      </w:r>
    </w:p>
    <w:p w:rsidR="00684056" w:rsidRDefault="007B1B85" w:rsidP="00684056">
      <w:pPr>
        <w:ind w:left="709"/>
        <w:jc w:val="left"/>
        <w:rPr>
          <w:rFonts w:asciiTheme="minorHAnsi" w:hAnsiTheme="minorHAnsi"/>
          <w:b/>
          <w:sz w:val="36"/>
          <w:szCs w:val="36"/>
        </w:rPr>
      </w:pPr>
      <w:proofErr w:type="gramStart"/>
      <w:r>
        <w:rPr>
          <w:rFonts w:asciiTheme="minorHAnsi" w:hAnsiTheme="minorHAnsi"/>
          <w:b/>
          <w:sz w:val="36"/>
          <w:szCs w:val="36"/>
        </w:rPr>
        <w:t>Injection concentrate</w:t>
      </w:r>
      <w:proofErr w:type="gramEnd"/>
      <w:r>
        <w:rPr>
          <w:rFonts w:asciiTheme="minorHAnsi" w:hAnsiTheme="minorHAnsi"/>
          <w:b/>
          <w:sz w:val="36"/>
          <w:szCs w:val="36"/>
        </w:rPr>
        <w:t xml:space="preserve"> for I.V. infusion </w:t>
      </w:r>
      <w:r w:rsidR="00435931" w:rsidRPr="002A3779">
        <w:rPr>
          <w:rFonts w:asciiTheme="minorHAnsi" w:hAnsiTheme="minorHAnsi"/>
          <w:b/>
          <w:sz w:val="36"/>
          <w:szCs w:val="36"/>
        </w:rPr>
        <w:t>50 mg</w:t>
      </w:r>
      <w:r>
        <w:rPr>
          <w:rFonts w:asciiTheme="minorHAnsi" w:hAnsiTheme="minorHAnsi"/>
          <w:b/>
          <w:sz w:val="36"/>
          <w:szCs w:val="36"/>
        </w:rPr>
        <w:t xml:space="preserve"> in</w:t>
      </w:r>
      <w:r w:rsidR="00435931" w:rsidRPr="002A3779">
        <w:rPr>
          <w:rFonts w:asciiTheme="minorHAnsi" w:hAnsiTheme="minorHAnsi"/>
          <w:b/>
          <w:sz w:val="36"/>
          <w:szCs w:val="36"/>
        </w:rPr>
        <w:t>10 mL</w:t>
      </w:r>
      <w:r>
        <w:rPr>
          <w:rFonts w:asciiTheme="minorHAnsi" w:hAnsiTheme="minorHAnsi"/>
          <w:b/>
          <w:sz w:val="36"/>
          <w:szCs w:val="36"/>
        </w:rPr>
        <w:t>,</w:t>
      </w:r>
      <w:r w:rsidR="00684056">
        <w:rPr>
          <w:rFonts w:asciiTheme="minorHAnsi" w:hAnsiTheme="minorHAnsi"/>
          <w:b/>
          <w:sz w:val="36"/>
          <w:szCs w:val="36"/>
        </w:rPr>
        <w:t xml:space="preserve"> </w:t>
      </w:r>
    </w:p>
    <w:p w:rsidR="00684056" w:rsidRDefault="007B1B85" w:rsidP="00684056">
      <w:pPr>
        <w:ind w:left="709"/>
        <w:jc w:val="left"/>
        <w:rPr>
          <w:rFonts w:asciiTheme="minorHAnsi" w:hAnsiTheme="minorHAnsi"/>
          <w:b/>
          <w:sz w:val="36"/>
          <w:szCs w:val="36"/>
        </w:rPr>
      </w:pPr>
      <w:proofErr w:type="gramStart"/>
      <w:r>
        <w:rPr>
          <w:rFonts w:asciiTheme="minorHAnsi" w:hAnsiTheme="minorHAnsi"/>
          <w:b/>
          <w:sz w:val="36"/>
          <w:szCs w:val="36"/>
        </w:rPr>
        <w:t>Injection concentrate</w:t>
      </w:r>
      <w:proofErr w:type="gramEnd"/>
      <w:r>
        <w:rPr>
          <w:rFonts w:asciiTheme="minorHAnsi" w:hAnsiTheme="minorHAnsi"/>
          <w:b/>
          <w:sz w:val="36"/>
          <w:szCs w:val="36"/>
        </w:rPr>
        <w:t xml:space="preserve"> for I.V. infusion </w:t>
      </w:r>
      <w:r w:rsidR="00435931" w:rsidRPr="002A3779">
        <w:rPr>
          <w:rFonts w:asciiTheme="minorHAnsi" w:hAnsiTheme="minorHAnsi"/>
          <w:b/>
          <w:sz w:val="36"/>
          <w:szCs w:val="36"/>
        </w:rPr>
        <w:t>200 mg</w:t>
      </w:r>
      <w:r>
        <w:rPr>
          <w:rFonts w:asciiTheme="minorHAnsi" w:hAnsiTheme="minorHAnsi"/>
          <w:b/>
          <w:sz w:val="36"/>
          <w:szCs w:val="36"/>
        </w:rPr>
        <w:t xml:space="preserve"> in </w:t>
      </w:r>
      <w:r w:rsidR="00435931" w:rsidRPr="002A3779">
        <w:rPr>
          <w:rFonts w:asciiTheme="minorHAnsi" w:hAnsiTheme="minorHAnsi"/>
          <w:b/>
          <w:sz w:val="36"/>
          <w:szCs w:val="36"/>
        </w:rPr>
        <w:t>40 mL</w:t>
      </w:r>
      <w:r>
        <w:rPr>
          <w:rFonts w:asciiTheme="minorHAnsi" w:hAnsiTheme="minorHAnsi"/>
          <w:b/>
          <w:sz w:val="36"/>
          <w:szCs w:val="36"/>
        </w:rPr>
        <w:t>,</w:t>
      </w:r>
      <w:r w:rsidR="00684056">
        <w:rPr>
          <w:rFonts w:asciiTheme="minorHAnsi" w:hAnsiTheme="minorHAnsi"/>
          <w:b/>
          <w:sz w:val="36"/>
          <w:szCs w:val="36"/>
        </w:rPr>
        <w:t xml:space="preserve"> </w:t>
      </w:r>
    </w:p>
    <w:p w:rsidR="003E59E2" w:rsidRDefault="003E59E2" w:rsidP="00684056">
      <w:pPr>
        <w:ind w:left="709"/>
        <w:jc w:val="left"/>
        <w:rPr>
          <w:rFonts w:asciiTheme="minorHAnsi" w:hAnsiTheme="minorHAnsi"/>
          <w:b/>
          <w:sz w:val="36"/>
          <w:szCs w:val="36"/>
        </w:rPr>
      </w:pPr>
      <w:proofErr w:type="spellStart"/>
      <w:r w:rsidRPr="002A3779">
        <w:rPr>
          <w:rFonts w:asciiTheme="minorHAnsi" w:hAnsiTheme="minorHAnsi"/>
          <w:b/>
          <w:sz w:val="36"/>
          <w:szCs w:val="36"/>
        </w:rPr>
        <w:t>Yervoy</w:t>
      </w:r>
      <w:proofErr w:type="spellEnd"/>
      <w:r w:rsidRPr="00006ED5">
        <w:rPr>
          <w:rFonts w:asciiTheme="minorHAnsi" w:hAnsiTheme="minorHAnsi"/>
          <w:b/>
          <w:sz w:val="36"/>
          <w:szCs w:val="36"/>
        </w:rPr>
        <w:t>®</w:t>
      </w:r>
      <w:r w:rsidRPr="002A3779">
        <w:rPr>
          <w:rFonts w:asciiTheme="minorHAnsi" w:hAnsiTheme="minorHAnsi"/>
          <w:b/>
          <w:sz w:val="36"/>
          <w:szCs w:val="36"/>
        </w:rPr>
        <w:t>, Bristol</w:t>
      </w:r>
      <w:r w:rsidR="00684056">
        <w:rPr>
          <w:rFonts w:asciiTheme="minorHAnsi" w:hAnsiTheme="minorHAnsi"/>
          <w:b/>
          <w:sz w:val="36"/>
          <w:szCs w:val="36"/>
        </w:rPr>
        <w:t>-</w:t>
      </w:r>
      <w:r w:rsidRPr="002A3779">
        <w:rPr>
          <w:rFonts w:asciiTheme="minorHAnsi" w:hAnsiTheme="minorHAnsi"/>
          <w:b/>
          <w:sz w:val="36"/>
          <w:szCs w:val="36"/>
        </w:rPr>
        <w:t>Myers Squibb</w:t>
      </w:r>
    </w:p>
    <w:p w:rsidR="00697472" w:rsidRPr="00AA55A3" w:rsidRDefault="00697472" w:rsidP="00A10237">
      <w:pPr>
        <w:pStyle w:val="PBACHeading1"/>
        <w:spacing w:before="120" w:after="120"/>
        <w:outlineLvl w:val="0"/>
      </w:pPr>
      <w:bookmarkStart w:id="1" w:name="_Toc514158485"/>
      <w:r w:rsidRPr="00AA55A3">
        <w:t>Purpose of Application</w:t>
      </w:r>
      <w:bookmarkEnd w:id="1"/>
    </w:p>
    <w:p w:rsidR="007C02D6" w:rsidRPr="006752CF" w:rsidRDefault="007C02D6" w:rsidP="007C02D6">
      <w:pPr>
        <w:pStyle w:val="ListParagraph"/>
        <w:widowControl/>
        <w:numPr>
          <w:ilvl w:val="1"/>
          <w:numId w:val="2"/>
        </w:numPr>
      </w:pPr>
      <w:r w:rsidRPr="006752CF">
        <w:t xml:space="preserve">The resubmission requested a Section 100 (Efficient Funding of Chemotherapy) listing for </w:t>
      </w:r>
      <w:proofErr w:type="spellStart"/>
      <w:r w:rsidRPr="006752CF">
        <w:t>nivolumab</w:t>
      </w:r>
      <w:proofErr w:type="spellEnd"/>
      <w:r w:rsidRPr="006752CF">
        <w:t xml:space="preserve"> in combination with </w:t>
      </w:r>
      <w:proofErr w:type="spellStart"/>
      <w:r w:rsidRPr="006752CF">
        <w:t>ipilimumab</w:t>
      </w:r>
      <w:proofErr w:type="spellEnd"/>
      <w:r w:rsidRPr="006752CF">
        <w:t xml:space="preserve"> (NIVO+IPI) for the treatment of </w:t>
      </w:r>
      <w:proofErr w:type="spellStart"/>
      <w:r w:rsidRPr="006752CF">
        <w:t>unresectable</w:t>
      </w:r>
      <w:proofErr w:type="spellEnd"/>
      <w:r w:rsidRPr="006752CF">
        <w:t xml:space="preserve"> Stage III or Stage IV malignant melanoma, unrestricted by treatment line in patients with BRAF V600 mutation negative melanoma, and subsequent to BRAF±MEK inhibitor therapy in patients with BRAF V600 mutation positive melanoma. This differed from the previous two submissions considered by the PBAC in November 2015 and March 2017, which requested PBS listing for </w:t>
      </w:r>
      <w:r w:rsidRPr="006752CF">
        <w:rPr>
          <w:bCs/>
        </w:rPr>
        <w:t xml:space="preserve">all patients with </w:t>
      </w:r>
      <w:proofErr w:type="spellStart"/>
      <w:r w:rsidRPr="006752CF">
        <w:rPr>
          <w:bCs/>
        </w:rPr>
        <w:t>unresectable</w:t>
      </w:r>
      <w:proofErr w:type="spellEnd"/>
      <w:r w:rsidRPr="006752CF">
        <w:rPr>
          <w:bCs/>
        </w:rPr>
        <w:t xml:space="preserve"> Stage III or Stage IV melanoma, irrespective of BRAF V600 mutation status or treatment line</w:t>
      </w:r>
      <w:r w:rsidR="00513DAB" w:rsidRPr="006752CF">
        <w:rPr>
          <w:bCs/>
        </w:rPr>
        <w:t>.</w:t>
      </w:r>
      <w:r w:rsidR="005310FC" w:rsidRPr="006752CF">
        <w:rPr>
          <w:bCs/>
        </w:rPr>
        <w:t xml:space="preserve"> </w:t>
      </w:r>
    </w:p>
    <w:p w:rsidR="00697472" w:rsidRPr="00AA55A3" w:rsidRDefault="00697472" w:rsidP="00EF1D65">
      <w:pPr>
        <w:pStyle w:val="ListParagraph"/>
        <w:widowControl/>
        <w:numPr>
          <w:ilvl w:val="1"/>
          <w:numId w:val="2"/>
        </w:numPr>
        <w:spacing w:after="120"/>
      </w:pPr>
      <w:r w:rsidRPr="00AA55A3">
        <w:t xml:space="preserve">The requested listing was based on a cost analysis of NIVO+IPI compared with </w:t>
      </w:r>
      <w:proofErr w:type="spellStart"/>
      <w:r w:rsidRPr="00AA55A3">
        <w:t>nivolumab</w:t>
      </w:r>
      <w:proofErr w:type="spellEnd"/>
      <w:r w:rsidRPr="00AA55A3">
        <w:t xml:space="preserve"> monotherapy. The key components of the clinical issues addressed by the resubmission are presented in the table below.</w:t>
      </w:r>
    </w:p>
    <w:p w:rsidR="00697472" w:rsidRDefault="00697472" w:rsidP="00D703C9">
      <w:pPr>
        <w:pStyle w:val="Caption"/>
        <w:keepNext/>
        <w:rPr>
          <w:rStyle w:val="CommentReference"/>
          <w:b/>
        </w:rPr>
      </w:pPr>
      <w:r w:rsidRPr="00253CBB">
        <w:rPr>
          <w:rStyle w:val="CommentReference"/>
          <w:b/>
        </w:rPr>
        <w:lastRenderedPageBreak/>
        <w:t xml:space="preserve">Table </w:t>
      </w:r>
      <w:r w:rsidR="00622B9E">
        <w:rPr>
          <w:rStyle w:val="CommentReference"/>
          <w:b/>
          <w:noProof/>
        </w:rPr>
        <w:t>1</w:t>
      </w:r>
      <w:r w:rsidRPr="00253CBB">
        <w:rPr>
          <w:rStyle w:val="CommentReference"/>
          <w:b/>
        </w:rPr>
        <w:t xml:space="preserve">: Key components of the clinical issue addressed by the </w:t>
      </w:r>
      <w:r w:rsidR="00F032AA">
        <w:rPr>
          <w:rStyle w:val="CommentReference"/>
          <w:b/>
        </w:rPr>
        <w:t>re</w:t>
      </w:r>
      <w:r w:rsidRPr="00253CBB">
        <w:rPr>
          <w:rStyle w:val="CommentReference"/>
          <w:b/>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8029"/>
      </w:tblGrid>
      <w:tr w:rsidR="00697472" w:rsidRPr="00A518F3" w:rsidTr="00942094">
        <w:tc>
          <w:tcPr>
            <w:tcW w:w="1127" w:type="dxa"/>
            <w:vAlign w:val="center"/>
          </w:tcPr>
          <w:p w:rsidR="00697472" w:rsidRPr="00A518F3" w:rsidRDefault="00697472" w:rsidP="00D703C9">
            <w:pPr>
              <w:pStyle w:val="Tabletext"/>
              <w:keepNext/>
              <w:rPr>
                <w:b/>
              </w:rPr>
            </w:pPr>
            <w:r w:rsidRPr="00A518F3">
              <w:rPr>
                <w:b/>
              </w:rPr>
              <w:t>Component</w:t>
            </w:r>
          </w:p>
        </w:tc>
        <w:tc>
          <w:tcPr>
            <w:tcW w:w="8029" w:type="dxa"/>
            <w:vAlign w:val="center"/>
          </w:tcPr>
          <w:p w:rsidR="00697472" w:rsidRPr="00A518F3" w:rsidRDefault="00697472" w:rsidP="00D703C9">
            <w:pPr>
              <w:pStyle w:val="Tabletext"/>
              <w:keepNext/>
              <w:jc w:val="center"/>
              <w:rPr>
                <w:b/>
              </w:rPr>
            </w:pPr>
            <w:r w:rsidRPr="00A518F3">
              <w:rPr>
                <w:b/>
              </w:rPr>
              <w:t>Description</w:t>
            </w:r>
          </w:p>
        </w:tc>
      </w:tr>
      <w:tr w:rsidR="00697472" w:rsidTr="00942094">
        <w:tc>
          <w:tcPr>
            <w:tcW w:w="1127" w:type="dxa"/>
            <w:vAlign w:val="center"/>
          </w:tcPr>
          <w:p w:rsidR="00697472" w:rsidRDefault="00697472" w:rsidP="00D703C9">
            <w:pPr>
              <w:pStyle w:val="Tabletext"/>
              <w:keepNext/>
            </w:pPr>
            <w:r>
              <w:t>Population</w:t>
            </w:r>
          </w:p>
        </w:tc>
        <w:tc>
          <w:tcPr>
            <w:tcW w:w="8029" w:type="dxa"/>
            <w:vAlign w:val="center"/>
          </w:tcPr>
          <w:p w:rsidR="00697472" w:rsidRDefault="00697472" w:rsidP="00D703C9">
            <w:pPr>
              <w:pStyle w:val="Tabletext"/>
              <w:keepNext/>
            </w:pPr>
            <w:r>
              <w:t xml:space="preserve">Patients with </w:t>
            </w:r>
            <w:proofErr w:type="spellStart"/>
            <w:r>
              <w:t>unresectable</w:t>
            </w:r>
            <w:proofErr w:type="spellEnd"/>
            <w:r>
              <w:t xml:space="preserve"> Stage III or Stage IV malignant melanoma.</w:t>
            </w:r>
          </w:p>
          <w:p w:rsidR="00697472" w:rsidRPr="00EA3333" w:rsidRDefault="00697472" w:rsidP="00D703C9">
            <w:pPr>
              <w:pStyle w:val="Tabletext"/>
              <w:keepNext/>
              <w:rPr>
                <w:i/>
              </w:rPr>
            </w:pPr>
            <w:r>
              <w:t>In patients with BRAF mutant melanoma, eligibility would be restricted to patients whose melanoma has progressed following treatment with a BRAF inhibitor (with or without a MEK inhibitor).</w:t>
            </w:r>
          </w:p>
        </w:tc>
      </w:tr>
      <w:tr w:rsidR="00697472" w:rsidTr="00942094">
        <w:tc>
          <w:tcPr>
            <w:tcW w:w="1127" w:type="dxa"/>
            <w:vAlign w:val="center"/>
          </w:tcPr>
          <w:p w:rsidR="00697472" w:rsidRDefault="00697472" w:rsidP="00D703C9">
            <w:pPr>
              <w:pStyle w:val="Tabletext"/>
              <w:keepNext/>
            </w:pPr>
            <w:r>
              <w:t>Intervention</w:t>
            </w:r>
          </w:p>
        </w:tc>
        <w:tc>
          <w:tcPr>
            <w:tcW w:w="8029" w:type="dxa"/>
            <w:vAlign w:val="center"/>
          </w:tcPr>
          <w:p w:rsidR="00697472" w:rsidRDefault="00697472" w:rsidP="00D703C9">
            <w:pPr>
              <w:pStyle w:val="Tabletext"/>
              <w:keepNext/>
            </w:pPr>
            <w:r w:rsidRPr="00195CCE">
              <w:rPr>
                <w:u w:val="single"/>
              </w:rPr>
              <w:t>Initial combination phase</w:t>
            </w:r>
            <w:r>
              <w:t>:</w:t>
            </w:r>
          </w:p>
          <w:p w:rsidR="00697472" w:rsidRDefault="00697472" w:rsidP="00D703C9">
            <w:pPr>
              <w:pStyle w:val="Tabletext"/>
              <w:keepNext/>
            </w:pPr>
            <w:proofErr w:type="spellStart"/>
            <w:r>
              <w:t>Nivolumab</w:t>
            </w:r>
            <w:proofErr w:type="spellEnd"/>
            <w:r>
              <w:t xml:space="preserve"> 1 mg/kg combined with </w:t>
            </w:r>
            <w:proofErr w:type="spellStart"/>
            <w:r>
              <w:t>ipilimumab</w:t>
            </w:r>
            <w:proofErr w:type="spellEnd"/>
            <w:r>
              <w:t xml:space="preserve"> 3mg/kg administered as an </w:t>
            </w:r>
            <w:r w:rsidR="00205E1E">
              <w:t>intravenous</w:t>
            </w:r>
            <w:r>
              <w:t xml:space="preserve"> infusion every 3 weeks for up to 4 doses.</w:t>
            </w:r>
          </w:p>
          <w:p w:rsidR="00697472" w:rsidRDefault="00697472" w:rsidP="00D703C9">
            <w:pPr>
              <w:pStyle w:val="Tabletext"/>
              <w:keepNext/>
              <w:rPr>
                <w:u w:val="single"/>
              </w:rPr>
            </w:pPr>
            <w:r>
              <w:rPr>
                <w:u w:val="single"/>
              </w:rPr>
              <w:t>Single agent maintenance phase:</w:t>
            </w:r>
          </w:p>
          <w:p w:rsidR="00697472" w:rsidRPr="00195CCE" w:rsidRDefault="00697472" w:rsidP="00D703C9">
            <w:pPr>
              <w:pStyle w:val="Tabletext"/>
              <w:keepNext/>
            </w:pPr>
            <w:proofErr w:type="spellStart"/>
            <w:r>
              <w:t>Nivolumab</w:t>
            </w:r>
            <w:proofErr w:type="spellEnd"/>
            <w:r>
              <w:t xml:space="preserve"> 3 mg/kg administered as an </w:t>
            </w:r>
            <w:r w:rsidR="00205E1E">
              <w:t>intravenous</w:t>
            </w:r>
            <w:r>
              <w:t xml:space="preserve"> infusion every 2 weeks as long as clinical benefit is observed.</w:t>
            </w:r>
          </w:p>
        </w:tc>
      </w:tr>
      <w:tr w:rsidR="00697472" w:rsidTr="00942094">
        <w:tc>
          <w:tcPr>
            <w:tcW w:w="1127" w:type="dxa"/>
            <w:vAlign w:val="center"/>
          </w:tcPr>
          <w:p w:rsidR="00697472" w:rsidRDefault="00697472" w:rsidP="00D703C9">
            <w:pPr>
              <w:pStyle w:val="Tabletext"/>
              <w:keepNext/>
            </w:pPr>
            <w:r>
              <w:t>Comparator</w:t>
            </w:r>
          </w:p>
        </w:tc>
        <w:tc>
          <w:tcPr>
            <w:tcW w:w="8029" w:type="dxa"/>
            <w:vAlign w:val="center"/>
          </w:tcPr>
          <w:p w:rsidR="00697472" w:rsidRPr="00B61CA8" w:rsidRDefault="00697472" w:rsidP="00D703C9">
            <w:pPr>
              <w:pStyle w:val="Tabletext"/>
              <w:keepNext/>
              <w:rPr>
                <w:i/>
              </w:rPr>
            </w:pPr>
            <w:r>
              <w:t xml:space="preserve">PD-1 inhibitor monotherapy. </w:t>
            </w:r>
            <w:proofErr w:type="spellStart"/>
            <w:r w:rsidRPr="00B61CA8">
              <w:t>Nivolumab</w:t>
            </w:r>
            <w:proofErr w:type="spellEnd"/>
            <w:r w:rsidRPr="00B61CA8">
              <w:t xml:space="preserve"> was the comparator in the key trial presented in the </w:t>
            </w:r>
            <w:r w:rsidR="00F032AA" w:rsidRPr="00B61CA8">
              <w:t>re</w:t>
            </w:r>
            <w:r w:rsidRPr="00B61CA8">
              <w:t>submission (CA209067).</w:t>
            </w:r>
            <w:r w:rsidR="00B61CA8" w:rsidRPr="00B61CA8">
              <w:t xml:space="preserve"> </w:t>
            </w:r>
            <w:r w:rsidRPr="00B61CA8">
              <w:t xml:space="preserve">The nominated comparator in the previous resubmission was PD-1 inhibitor monotherapy followed by </w:t>
            </w:r>
            <w:proofErr w:type="spellStart"/>
            <w:r w:rsidRPr="00B61CA8">
              <w:t>ipilimumab</w:t>
            </w:r>
            <w:proofErr w:type="spellEnd"/>
            <w:r w:rsidRPr="00B61CA8">
              <w:t xml:space="preserve"> monotherapy upon disease progression.</w:t>
            </w:r>
          </w:p>
        </w:tc>
      </w:tr>
      <w:tr w:rsidR="00697472" w:rsidRPr="003E39A7" w:rsidTr="00942094">
        <w:tc>
          <w:tcPr>
            <w:tcW w:w="1127" w:type="dxa"/>
            <w:vAlign w:val="center"/>
          </w:tcPr>
          <w:p w:rsidR="00697472" w:rsidRDefault="00697472" w:rsidP="00D703C9">
            <w:pPr>
              <w:pStyle w:val="Tabletext"/>
              <w:keepNext/>
            </w:pPr>
            <w:r>
              <w:t>Outcomes</w:t>
            </w:r>
          </w:p>
        </w:tc>
        <w:tc>
          <w:tcPr>
            <w:tcW w:w="8029" w:type="dxa"/>
            <w:vAlign w:val="center"/>
          </w:tcPr>
          <w:p w:rsidR="00697472" w:rsidRPr="003E39A7" w:rsidRDefault="0084695A" w:rsidP="00D703C9">
            <w:pPr>
              <w:pStyle w:val="Tabletext"/>
              <w:keepNext/>
              <w:rPr>
                <w:lang w:val="es-ES"/>
              </w:rPr>
            </w:pPr>
            <w:r>
              <w:rPr>
                <w:lang w:val="es-ES"/>
              </w:rPr>
              <w:t xml:space="preserve">ORR, DOR, </w:t>
            </w:r>
            <w:r w:rsidR="00697472" w:rsidRPr="003E39A7">
              <w:rPr>
                <w:lang w:val="es-ES"/>
              </w:rPr>
              <w:t xml:space="preserve">PFS, OS, </w:t>
            </w:r>
            <w:proofErr w:type="spellStart"/>
            <w:r w:rsidR="00697472" w:rsidRPr="003E39A7">
              <w:rPr>
                <w:lang w:val="es-ES"/>
              </w:rPr>
              <w:t>AEs</w:t>
            </w:r>
            <w:proofErr w:type="spellEnd"/>
            <w:r w:rsidR="00697472" w:rsidRPr="003E39A7">
              <w:rPr>
                <w:lang w:val="es-ES"/>
              </w:rPr>
              <w:t xml:space="preserve"> and </w:t>
            </w:r>
            <w:proofErr w:type="spellStart"/>
            <w:r w:rsidR="00697472" w:rsidRPr="003E39A7">
              <w:rPr>
                <w:lang w:val="es-ES"/>
              </w:rPr>
              <w:t>QoL</w:t>
            </w:r>
            <w:proofErr w:type="spellEnd"/>
          </w:p>
        </w:tc>
      </w:tr>
      <w:tr w:rsidR="00697472" w:rsidTr="00942094">
        <w:tc>
          <w:tcPr>
            <w:tcW w:w="1127" w:type="dxa"/>
            <w:vAlign w:val="center"/>
          </w:tcPr>
          <w:p w:rsidR="00697472" w:rsidRDefault="00697472" w:rsidP="00D703C9">
            <w:pPr>
              <w:pStyle w:val="Tabletext"/>
              <w:keepNext/>
            </w:pPr>
            <w:r>
              <w:t>Clinical claim</w:t>
            </w:r>
          </w:p>
        </w:tc>
        <w:tc>
          <w:tcPr>
            <w:tcW w:w="8029" w:type="dxa"/>
            <w:vAlign w:val="center"/>
          </w:tcPr>
          <w:p w:rsidR="00697472" w:rsidRDefault="00697472" w:rsidP="00D703C9">
            <w:pPr>
              <w:pStyle w:val="Tabletext"/>
              <w:keepNext/>
            </w:pPr>
            <w:r>
              <w:t xml:space="preserve">In patients with </w:t>
            </w:r>
            <w:proofErr w:type="spellStart"/>
            <w:r>
              <w:t>unresectable</w:t>
            </w:r>
            <w:proofErr w:type="spellEnd"/>
            <w:r>
              <w:t xml:space="preserve"> Stage III or Stage IV melanoma:</w:t>
            </w:r>
          </w:p>
          <w:p w:rsidR="00697472" w:rsidRDefault="00697472" w:rsidP="00D703C9">
            <w:pPr>
              <w:pStyle w:val="Tabletext"/>
              <w:keepNext/>
            </w:pPr>
            <w:r>
              <w:t xml:space="preserve">NIVO+IPI is </w:t>
            </w:r>
            <w:r w:rsidR="00AA2572">
              <w:t xml:space="preserve">superior in terms of </w:t>
            </w:r>
            <w:r w:rsidR="009E3FED">
              <w:t xml:space="preserve">clinical </w:t>
            </w:r>
            <w:r w:rsidR="00AA2572">
              <w:t>efficacy (</w:t>
            </w:r>
            <w:r>
              <w:t>PFS and ORR</w:t>
            </w:r>
            <w:r w:rsidR="00AA2572">
              <w:t xml:space="preserve">) to </w:t>
            </w:r>
            <w:proofErr w:type="spellStart"/>
            <w:r w:rsidR="00AA2572">
              <w:t>nivolumab</w:t>
            </w:r>
            <w:proofErr w:type="spellEnd"/>
            <w:r w:rsidR="00AA2572">
              <w:t xml:space="preserve"> monotherapy</w:t>
            </w:r>
            <w:r>
              <w:t xml:space="preserve">, with an increasing positive trend in OS advantage over time, and </w:t>
            </w:r>
          </w:p>
          <w:p w:rsidR="00697472" w:rsidRDefault="00FA1157" w:rsidP="00D703C9">
            <w:pPr>
              <w:pStyle w:val="Tabletext"/>
              <w:keepNext/>
            </w:pPr>
            <w:r>
              <w:t xml:space="preserve">NIVO+IPI </w:t>
            </w:r>
            <w:proofErr w:type="gramStart"/>
            <w:r>
              <w:t>is</w:t>
            </w:r>
            <w:proofErr w:type="gramEnd"/>
            <w:r>
              <w:t xml:space="preserve"> inferior in terms of safety compared with </w:t>
            </w:r>
            <w:proofErr w:type="spellStart"/>
            <w:r>
              <w:t>nivolumab</w:t>
            </w:r>
            <w:proofErr w:type="spellEnd"/>
            <w:r>
              <w:t xml:space="preserve"> monotherapy within the </w:t>
            </w:r>
            <w:r w:rsidR="009E3FED">
              <w:t>induction period</w:t>
            </w:r>
            <w:r>
              <w:t xml:space="preserve">, with manageable adverse events. </w:t>
            </w:r>
          </w:p>
          <w:p w:rsidR="0091249C" w:rsidRPr="00B61CA8" w:rsidRDefault="0091249C" w:rsidP="00D703C9">
            <w:pPr>
              <w:pStyle w:val="Tabletext"/>
              <w:keepNext/>
            </w:pPr>
            <w:r w:rsidRPr="00B61CA8">
              <w:t>No evidence was presented in the resubmission for patients with BRAF mutant melanoma who have progressed following BRAF inhibitor therapy.</w:t>
            </w:r>
          </w:p>
        </w:tc>
      </w:tr>
    </w:tbl>
    <w:p w:rsidR="00697472" w:rsidRDefault="00697472" w:rsidP="00D703C9">
      <w:pPr>
        <w:pStyle w:val="TableFooter"/>
        <w:keepNext/>
      </w:pPr>
      <w:r>
        <w:t xml:space="preserve">AE = adverse event; </w:t>
      </w:r>
      <w:r w:rsidR="0084695A">
        <w:t>DOR = duration of response;</w:t>
      </w:r>
      <w:r w:rsidR="00285849">
        <w:t xml:space="preserve"> IPI = </w:t>
      </w:r>
      <w:proofErr w:type="spellStart"/>
      <w:r w:rsidR="00285849">
        <w:t>ipilimumab</w:t>
      </w:r>
      <w:proofErr w:type="spellEnd"/>
      <w:r w:rsidR="00285849">
        <w:t>;</w:t>
      </w:r>
      <w:r w:rsidR="0084695A">
        <w:t xml:space="preserve"> </w:t>
      </w:r>
      <w:r w:rsidR="00285849">
        <w:t xml:space="preserve">NIVO = </w:t>
      </w:r>
      <w:proofErr w:type="spellStart"/>
      <w:r w:rsidR="00285849">
        <w:t>nivolumab</w:t>
      </w:r>
      <w:proofErr w:type="spellEnd"/>
      <w:r>
        <w:t xml:space="preserve">; </w:t>
      </w:r>
      <w:r w:rsidR="00157C80">
        <w:t xml:space="preserve">ORR = objective response rate; OS = overall survival; </w:t>
      </w:r>
      <w:r>
        <w:t xml:space="preserve">PD-1 = programmed cell death-1; PFS = progression free survival; </w:t>
      </w:r>
      <w:proofErr w:type="spellStart"/>
      <w:r>
        <w:t>QoL</w:t>
      </w:r>
      <w:proofErr w:type="spellEnd"/>
      <w:r>
        <w:t xml:space="preserve"> = quality of life.</w:t>
      </w:r>
    </w:p>
    <w:p w:rsidR="00697472" w:rsidRDefault="00697472" w:rsidP="00D703C9">
      <w:pPr>
        <w:pStyle w:val="TableFooter"/>
        <w:keepNext/>
      </w:pPr>
      <w:r>
        <w:t>Source: Table 2, p23-4 of the resubmission.</w:t>
      </w:r>
    </w:p>
    <w:p w:rsidR="00697472" w:rsidRPr="00882085" w:rsidRDefault="00697472" w:rsidP="00AB44F5">
      <w:pPr>
        <w:pStyle w:val="PBACHeading1"/>
        <w:spacing w:before="120" w:after="120"/>
        <w:outlineLvl w:val="0"/>
      </w:pPr>
      <w:bookmarkStart w:id="2" w:name="_Toc514158486"/>
      <w:r w:rsidRPr="00407F2D">
        <w:t>Requested listing</w:t>
      </w:r>
      <w:bookmarkEnd w:id="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35"/>
        <w:gridCol w:w="1396"/>
        <w:gridCol w:w="910"/>
        <w:gridCol w:w="2231"/>
        <w:gridCol w:w="1671"/>
      </w:tblGrid>
      <w:tr w:rsidR="00697472" w:rsidRPr="003D1DE4" w:rsidTr="00AB44F5">
        <w:trPr>
          <w:tblHeader/>
        </w:trPr>
        <w:tc>
          <w:tcPr>
            <w:tcW w:w="1642" w:type="pct"/>
            <w:tcBorders>
              <w:bottom w:val="single" w:sz="4" w:space="0" w:color="auto"/>
            </w:tcBorders>
          </w:tcPr>
          <w:p w:rsidR="00697472" w:rsidRPr="003D1DE4" w:rsidRDefault="00697472" w:rsidP="00B3185E">
            <w:pPr>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55" w:type="pct"/>
            <w:tcBorders>
              <w:bottom w:val="single" w:sz="4" w:space="0" w:color="auto"/>
            </w:tcBorders>
          </w:tcPr>
          <w:p w:rsidR="00697472" w:rsidRPr="003D1DE4" w:rsidRDefault="00697472" w:rsidP="00B3185E">
            <w:pPr>
              <w:jc w:val="center"/>
              <w:rPr>
                <w:rFonts w:ascii="Arial Narrow" w:hAnsi="Arial Narrow"/>
                <w:b/>
                <w:sz w:val="20"/>
                <w:szCs w:val="20"/>
              </w:rPr>
            </w:pPr>
            <w:r>
              <w:rPr>
                <w:rFonts w:ascii="Arial Narrow" w:hAnsi="Arial Narrow"/>
                <w:b/>
                <w:sz w:val="20"/>
                <w:szCs w:val="20"/>
              </w:rPr>
              <w:t>Maximum amount</w:t>
            </w:r>
          </w:p>
        </w:tc>
        <w:tc>
          <w:tcPr>
            <w:tcW w:w="492" w:type="pct"/>
            <w:tcBorders>
              <w:bottom w:val="single" w:sz="4" w:space="0" w:color="auto"/>
            </w:tcBorders>
          </w:tcPr>
          <w:p w:rsidR="00697472" w:rsidRPr="003D1DE4" w:rsidRDefault="00697472" w:rsidP="00B3185E">
            <w:pPr>
              <w:jc w:val="center"/>
              <w:rPr>
                <w:rFonts w:ascii="Arial Narrow" w:hAnsi="Arial Narrow"/>
                <w:b/>
                <w:sz w:val="20"/>
                <w:szCs w:val="20"/>
              </w:rPr>
            </w:pPr>
            <w:r w:rsidRPr="003D1DE4">
              <w:rPr>
                <w:rFonts w:ascii="Arial Narrow" w:hAnsi="Arial Narrow"/>
                <w:b/>
                <w:sz w:val="20"/>
                <w:szCs w:val="20"/>
              </w:rPr>
              <w:t>No. of repeats</w:t>
            </w:r>
          </w:p>
        </w:tc>
        <w:tc>
          <w:tcPr>
            <w:tcW w:w="1207" w:type="pct"/>
            <w:tcBorders>
              <w:bottom w:val="single" w:sz="4" w:space="0" w:color="auto"/>
            </w:tcBorders>
          </w:tcPr>
          <w:p w:rsidR="00697472" w:rsidRPr="003D1DE4" w:rsidRDefault="00697472" w:rsidP="00B3185E">
            <w:pPr>
              <w:jc w:val="left"/>
              <w:rPr>
                <w:rFonts w:ascii="Arial Narrow" w:hAnsi="Arial Narrow"/>
                <w:b/>
                <w:sz w:val="20"/>
                <w:szCs w:val="20"/>
              </w:rPr>
            </w:pPr>
            <w:r w:rsidRPr="003D1DE4">
              <w:rPr>
                <w:rFonts w:ascii="Arial Narrow" w:hAnsi="Arial Narrow"/>
                <w:b/>
                <w:sz w:val="20"/>
                <w:szCs w:val="20"/>
              </w:rPr>
              <w:t>Dispensed price for maximum amount</w:t>
            </w:r>
          </w:p>
        </w:tc>
        <w:tc>
          <w:tcPr>
            <w:tcW w:w="904" w:type="pct"/>
            <w:tcBorders>
              <w:bottom w:val="single" w:sz="4" w:space="0" w:color="auto"/>
            </w:tcBorders>
          </w:tcPr>
          <w:p w:rsidR="00697472" w:rsidRPr="003D1DE4" w:rsidRDefault="00697472" w:rsidP="00B3185E">
            <w:pPr>
              <w:rPr>
                <w:rFonts w:ascii="Arial Narrow" w:hAnsi="Arial Narrow"/>
                <w:b/>
                <w:sz w:val="20"/>
                <w:szCs w:val="20"/>
              </w:rPr>
            </w:pPr>
            <w:r w:rsidRPr="003D1DE4">
              <w:rPr>
                <w:rFonts w:ascii="Arial Narrow" w:hAnsi="Arial Narrow"/>
                <w:b/>
                <w:sz w:val="20"/>
                <w:szCs w:val="20"/>
              </w:rPr>
              <w:t>Proprietary name and manufacturer</w:t>
            </w:r>
          </w:p>
        </w:tc>
      </w:tr>
      <w:tr w:rsidR="00697472" w:rsidRPr="003D1DE4" w:rsidTr="00B44EA5">
        <w:trPr>
          <w:tblHeader/>
        </w:trPr>
        <w:tc>
          <w:tcPr>
            <w:tcW w:w="5000" w:type="pct"/>
            <w:gridSpan w:val="5"/>
            <w:tcBorders>
              <w:bottom w:val="single" w:sz="4" w:space="0" w:color="auto"/>
            </w:tcBorders>
          </w:tcPr>
          <w:p w:rsidR="00697472" w:rsidRPr="003D1DE4" w:rsidRDefault="00697472" w:rsidP="00B3185E">
            <w:pPr>
              <w:rPr>
                <w:rFonts w:ascii="Arial Narrow" w:hAnsi="Arial Narrow"/>
                <w:b/>
                <w:sz w:val="20"/>
                <w:szCs w:val="20"/>
              </w:rPr>
            </w:pPr>
            <w:r>
              <w:rPr>
                <w:rFonts w:ascii="Arial Narrow" w:hAnsi="Arial Narrow"/>
                <w:b/>
                <w:sz w:val="20"/>
                <w:szCs w:val="20"/>
              </w:rPr>
              <w:t>Induction (combination) phase</w:t>
            </w:r>
          </w:p>
        </w:tc>
      </w:tr>
      <w:tr w:rsidR="00697472" w:rsidRPr="0019642C" w:rsidTr="00AB44F5">
        <w:trPr>
          <w:trHeight w:val="964"/>
          <w:tblHeader/>
        </w:trPr>
        <w:tc>
          <w:tcPr>
            <w:tcW w:w="1642" w:type="pct"/>
          </w:tcPr>
          <w:p w:rsidR="00697472" w:rsidRPr="0019642C" w:rsidRDefault="00697472" w:rsidP="00B3185E">
            <w:pPr>
              <w:rPr>
                <w:rFonts w:ascii="Arial Narrow" w:hAnsi="Arial Narrow"/>
                <w:sz w:val="20"/>
                <w:szCs w:val="20"/>
              </w:rPr>
            </w:pPr>
            <w:proofErr w:type="spellStart"/>
            <w:r w:rsidRPr="0082090B">
              <w:rPr>
                <w:rFonts w:ascii="Arial Narrow" w:hAnsi="Arial Narrow"/>
                <w:smallCaps/>
                <w:sz w:val="20"/>
              </w:rPr>
              <w:t>Nivolumab</w:t>
            </w:r>
            <w:proofErr w:type="spellEnd"/>
          </w:p>
          <w:p w:rsidR="00697472" w:rsidRDefault="00697472" w:rsidP="00B3185E">
            <w:pPr>
              <w:rPr>
                <w:rFonts w:ascii="Arial Narrow" w:hAnsi="Arial Narrow"/>
                <w:sz w:val="20"/>
              </w:rPr>
            </w:pPr>
            <w:r w:rsidRPr="009F1229">
              <w:rPr>
                <w:rFonts w:ascii="Arial Narrow" w:hAnsi="Arial Narrow"/>
                <w:sz w:val="20"/>
              </w:rPr>
              <w:t>100 mg/10 mL injection, 1 x 10 mL vial</w:t>
            </w:r>
            <w:r w:rsidRPr="0082090B">
              <w:rPr>
                <w:rFonts w:ascii="Arial Narrow" w:hAnsi="Arial Narrow"/>
                <w:sz w:val="20"/>
              </w:rPr>
              <w:t xml:space="preserve"> </w:t>
            </w:r>
          </w:p>
          <w:p w:rsidR="00697472" w:rsidRPr="00A619DC" w:rsidRDefault="00697472" w:rsidP="00B3185E">
            <w:pPr>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697472" w:rsidRPr="0019642C" w:rsidRDefault="00697472" w:rsidP="00B3185E">
            <w:pPr>
              <w:pStyle w:val="Tabletext"/>
              <w:rPr>
                <w:szCs w:val="20"/>
              </w:rPr>
            </w:pPr>
          </w:p>
        </w:tc>
        <w:tc>
          <w:tcPr>
            <w:tcW w:w="755" w:type="pct"/>
          </w:tcPr>
          <w:p w:rsidR="00697472" w:rsidRDefault="00697472" w:rsidP="00B3185E">
            <w:pPr>
              <w:pStyle w:val="Tabletext"/>
              <w:jc w:val="center"/>
            </w:pPr>
          </w:p>
          <w:p w:rsidR="00697472" w:rsidRPr="0019642C" w:rsidRDefault="00697472" w:rsidP="00B3185E">
            <w:pPr>
              <w:pStyle w:val="Tabletext"/>
              <w:jc w:val="center"/>
              <w:rPr>
                <w:szCs w:val="20"/>
              </w:rPr>
            </w:pPr>
            <w:r>
              <w:t>120 mg</w:t>
            </w:r>
          </w:p>
        </w:tc>
        <w:tc>
          <w:tcPr>
            <w:tcW w:w="492" w:type="pct"/>
          </w:tcPr>
          <w:p w:rsidR="00697472" w:rsidRDefault="00697472" w:rsidP="00B3185E">
            <w:pPr>
              <w:pStyle w:val="Tabletext"/>
              <w:jc w:val="center"/>
            </w:pPr>
          </w:p>
          <w:p w:rsidR="00697472" w:rsidRPr="0019642C" w:rsidRDefault="00697472" w:rsidP="00B3185E">
            <w:pPr>
              <w:pStyle w:val="Tabletext"/>
              <w:jc w:val="center"/>
              <w:rPr>
                <w:szCs w:val="20"/>
              </w:rPr>
            </w:pPr>
            <w:r>
              <w:t>3</w:t>
            </w:r>
          </w:p>
        </w:tc>
        <w:tc>
          <w:tcPr>
            <w:tcW w:w="1207" w:type="pct"/>
          </w:tcPr>
          <w:p w:rsidR="00697472" w:rsidRPr="00111D88" w:rsidRDefault="00697472" w:rsidP="00B3185E">
            <w:pPr>
              <w:jc w:val="left"/>
              <w:rPr>
                <w:rFonts w:ascii="Arial Narrow" w:hAnsi="Arial Narrow"/>
                <w:sz w:val="20"/>
                <w:szCs w:val="20"/>
                <w:u w:val="single"/>
              </w:rPr>
            </w:pPr>
            <w:r w:rsidRPr="00111D88">
              <w:rPr>
                <w:rFonts w:ascii="Arial Narrow" w:hAnsi="Arial Narrow"/>
                <w:sz w:val="20"/>
                <w:szCs w:val="20"/>
                <w:u w:val="single"/>
              </w:rPr>
              <w:t>Published price</w:t>
            </w:r>
          </w:p>
          <w:p w:rsidR="00697472" w:rsidRDefault="00697472" w:rsidP="00B3185E">
            <w:pPr>
              <w:pStyle w:val="Tabletext"/>
            </w:pPr>
            <w:r w:rsidRPr="004B59DE">
              <w:rPr>
                <w:i/>
              </w:rPr>
              <w:t>$2,595.93</w:t>
            </w:r>
            <w:r>
              <w:t xml:space="preserve"> (public)</w:t>
            </w:r>
          </w:p>
          <w:p w:rsidR="00697472" w:rsidRDefault="00697472" w:rsidP="00B3185E">
            <w:pPr>
              <w:pStyle w:val="Tabletext"/>
            </w:pPr>
            <w:r w:rsidRPr="004B59DE">
              <w:rPr>
                <w:i/>
              </w:rPr>
              <w:t>$2,669.46</w:t>
            </w:r>
            <w:r>
              <w:t xml:space="preserve"> (private)</w:t>
            </w:r>
          </w:p>
          <w:p w:rsidR="00697472" w:rsidRPr="00111D88" w:rsidRDefault="00697472" w:rsidP="00B3185E">
            <w:pPr>
              <w:pStyle w:val="Tabletext"/>
              <w:rPr>
                <w:u w:val="single"/>
              </w:rPr>
            </w:pPr>
            <w:r w:rsidRPr="00111D88">
              <w:rPr>
                <w:u w:val="single"/>
              </w:rPr>
              <w:t>Effective price</w:t>
            </w:r>
          </w:p>
          <w:p w:rsidR="00697472" w:rsidRDefault="00697472" w:rsidP="00B3185E">
            <w:pPr>
              <w:pStyle w:val="Tabletext"/>
            </w:pPr>
            <w:r>
              <w:t>$</w:t>
            </w:r>
            <w:r w:rsidR="00E94B3A">
              <w:rPr>
                <w:i/>
                <w:noProof/>
                <w:color w:val="000000"/>
                <w:highlight w:val="black"/>
              </w:rPr>
              <w:t>''''''''''''''''''''</w:t>
            </w:r>
            <w:r>
              <w:t xml:space="preserve"> (public)</w:t>
            </w:r>
          </w:p>
          <w:p w:rsidR="00697472" w:rsidRPr="0019642C" w:rsidRDefault="00697472" w:rsidP="00B3185E">
            <w:pPr>
              <w:pStyle w:val="Tabletext"/>
              <w:rPr>
                <w:szCs w:val="20"/>
              </w:rPr>
            </w:pPr>
            <w:r w:rsidRPr="00B44EA5">
              <w:rPr>
                <w:i/>
              </w:rPr>
              <w:t>$</w:t>
            </w:r>
            <w:r w:rsidR="00E94B3A">
              <w:rPr>
                <w:i/>
                <w:noProof/>
                <w:color w:val="000000"/>
                <w:highlight w:val="black"/>
              </w:rPr>
              <w:t>'''''''''''''''''''''</w:t>
            </w:r>
            <w:r>
              <w:t xml:space="preserve"> (private)</w:t>
            </w:r>
          </w:p>
        </w:tc>
        <w:tc>
          <w:tcPr>
            <w:tcW w:w="904" w:type="pct"/>
          </w:tcPr>
          <w:p w:rsidR="00697472" w:rsidRDefault="00697472" w:rsidP="00B3185E">
            <w:pPr>
              <w:pStyle w:val="Tabletext"/>
              <w:rPr>
                <w:vertAlign w:val="superscript"/>
              </w:rPr>
            </w:pPr>
            <w:proofErr w:type="spellStart"/>
            <w:r>
              <w:t>Opdivo</w:t>
            </w:r>
            <w:proofErr w:type="spellEnd"/>
            <w:r>
              <w:rPr>
                <w:vertAlign w:val="superscript"/>
              </w:rPr>
              <w:t>®</w:t>
            </w:r>
          </w:p>
          <w:p w:rsidR="00697472" w:rsidRPr="006C4B9E" w:rsidRDefault="00697472" w:rsidP="00B3185E">
            <w:pPr>
              <w:pStyle w:val="Tabletext"/>
              <w:rPr>
                <w:szCs w:val="20"/>
                <w:vertAlign w:val="superscript"/>
              </w:rPr>
            </w:pPr>
            <w:r w:rsidRPr="003E5190">
              <w:t>Bristol-Myers Squibb Australia Pty Ltd (BQ)</w:t>
            </w:r>
          </w:p>
        </w:tc>
      </w:tr>
      <w:tr w:rsidR="00697472" w:rsidRPr="008123DA" w:rsidTr="00AB44F5">
        <w:tc>
          <w:tcPr>
            <w:tcW w:w="1642" w:type="pct"/>
          </w:tcPr>
          <w:p w:rsidR="00697472" w:rsidRPr="0082090B" w:rsidRDefault="00697472" w:rsidP="00B3185E">
            <w:pPr>
              <w:rPr>
                <w:rFonts w:ascii="Arial Narrow" w:hAnsi="Arial Narrow"/>
                <w:sz w:val="20"/>
              </w:rPr>
            </w:pPr>
            <w:r>
              <w:rPr>
                <w:rFonts w:ascii="Arial Narrow" w:hAnsi="Arial Narrow"/>
                <w:smallCaps/>
                <w:sz w:val="20"/>
              </w:rPr>
              <w:t>Ipilimumab</w:t>
            </w:r>
          </w:p>
          <w:p w:rsidR="00697472" w:rsidRPr="00A619DC" w:rsidRDefault="00697472" w:rsidP="00B3185E">
            <w:pPr>
              <w:rPr>
                <w:rFonts w:ascii="Arial Narrow" w:hAnsi="Arial Narrow"/>
                <w:sz w:val="20"/>
                <w:vertAlign w:val="superscript"/>
              </w:rPr>
            </w:pPr>
            <w:r>
              <w:rPr>
                <w:rFonts w:ascii="Arial Narrow" w:hAnsi="Arial Narrow"/>
                <w:sz w:val="20"/>
              </w:rPr>
              <w:t>200</w:t>
            </w:r>
            <w:r w:rsidRPr="0082090B">
              <w:rPr>
                <w:rFonts w:ascii="Arial Narrow" w:hAnsi="Arial Narrow"/>
                <w:sz w:val="20"/>
              </w:rPr>
              <w:t> mg/4</w:t>
            </w:r>
            <w:r>
              <w:rPr>
                <w:rFonts w:ascii="Arial Narrow" w:hAnsi="Arial Narrow"/>
                <w:sz w:val="20"/>
              </w:rPr>
              <w:t>0</w:t>
            </w:r>
            <w:r w:rsidRPr="0082090B">
              <w:rPr>
                <w:rFonts w:ascii="Arial Narrow" w:hAnsi="Arial Narrow"/>
                <w:sz w:val="20"/>
              </w:rPr>
              <w:t xml:space="preserve"> mL injection, 1 x </w:t>
            </w:r>
            <w:r w:rsidRPr="00975755">
              <w:rPr>
                <w:rFonts w:ascii="Arial Narrow" w:hAnsi="Arial Narrow"/>
                <w:sz w:val="20"/>
              </w:rPr>
              <w:t>4</w:t>
            </w:r>
            <w:r>
              <w:rPr>
                <w:rFonts w:ascii="Arial Narrow" w:hAnsi="Arial Narrow"/>
                <w:sz w:val="20"/>
              </w:rPr>
              <w:t>0</w:t>
            </w:r>
            <w:r w:rsidRPr="00975755">
              <w:rPr>
                <w:rFonts w:ascii="Arial Narrow" w:hAnsi="Arial Narrow"/>
                <w:sz w:val="20"/>
              </w:rPr>
              <w:t> mL</w:t>
            </w:r>
            <w:r w:rsidRPr="00A619DC">
              <w:rPr>
                <w:rFonts w:ascii="Arial Narrow" w:hAnsi="Arial Narrow"/>
                <w:i/>
                <w:sz w:val="20"/>
              </w:rPr>
              <w:t xml:space="preserve"> </w:t>
            </w:r>
            <w:r w:rsidRPr="0082090B">
              <w:rPr>
                <w:rFonts w:ascii="Arial Narrow" w:hAnsi="Arial Narrow"/>
                <w:sz w:val="20"/>
              </w:rPr>
              <w:t>vial</w:t>
            </w:r>
          </w:p>
          <w:p w:rsidR="00697472" w:rsidRPr="008123DA" w:rsidRDefault="00697472" w:rsidP="00B3185E">
            <w:pPr>
              <w:pStyle w:val="Tabletext"/>
            </w:pPr>
            <w:r>
              <w:t>5</w:t>
            </w:r>
            <w:r w:rsidRPr="0082090B">
              <w:t xml:space="preserve">0 mg/10 mL injection, 1 x </w:t>
            </w:r>
            <w:r w:rsidRPr="00975755">
              <w:t>10 mL</w:t>
            </w:r>
            <w:r w:rsidRPr="0082090B">
              <w:t xml:space="preserve"> vial</w:t>
            </w:r>
          </w:p>
        </w:tc>
        <w:tc>
          <w:tcPr>
            <w:tcW w:w="755" w:type="pct"/>
          </w:tcPr>
          <w:p w:rsidR="00697472" w:rsidRDefault="00697472" w:rsidP="00B3185E">
            <w:pPr>
              <w:pStyle w:val="Tabletext"/>
              <w:jc w:val="center"/>
            </w:pPr>
          </w:p>
          <w:p w:rsidR="00697472" w:rsidRPr="008123DA" w:rsidRDefault="00697472" w:rsidP="00B3185E">
            <w:pPr>
              <w:pStyle w:val="Tabletext"/>
              <w:jc w:val="center"/>
            </w:pPr>
            <w:r>
              <w:t>360 mg</w:t>
            </w:r>
          </w:p>
        </w:tc>
        <w:tc>
          <w:tcPr>
            <w:tcW w:w="492" w:type="pct"/>
          </w:tcPr>
          <w:p w:rsidR="00697472" w:rsidRDefault="00697472" w:rsidP="00B3185E">
            <w:pPr>
              <w:pStyle w:val="Tabletext"/>
              <w:jc w:val="center"/>
            </w:pPr>
          </w:p>
          <w:p w:rsidR="00697472" w:rsidRPr="008123DA" w:rsidRDefault="00697472" w:rsidP="00B3185E">
            <w:pPr>
              <w:pStyle w:val="Tabletext"/>
              <w:jc w:val="center"/>
            </w:pPr>
            <w:r>
              <w:t>3</w:t>
            </w:r>
          </w:p>
        </w:tc>
        <w:tc>
          <w:tcPr>
            <w:tcW w:w="1207" w:type="pct"/>
          </w:tcPr>
          <w:p w:rsidR="00697472" w:rsidRPr="00111D88" w:rsidRDefault="00697472" w:rsidP="00B3185E">
            <w:pPr>
              <w:jc w:val="left"/>
              <w:rPr>
                <w:rFonts w:ascii="Arial Narrow" w:hAnsi="Arial Narrow"/>
                <w:sz w:val="20"/>
                <w:szCs w:val="20"/>
                <w:u w:val="single"/>
              </w:rPr>
            </w:pPr>
            <w:r w:rsidRPr="00111D88">
              <w:rPr>
                <w:rFonts w:ascii="Arial Narrow" w:hAnsi="Arial Narrow"/>
                <w:sz w:val="20"/>
                <w:szCs w:val="20"/>
                <w:u w:val="single"/>
              </w:rPr>
              <w:t>Published price</w:t>
            </w:r>
          </w:p>
          <w:p w:rsidR="00697472" w:rsidRDefault="00697472" w:rsidP="00B3185E">
            <w:pPr>
              <w:pStyle w:val="Tabletext"/>
            </w:pPr>
            <w:r w:rsidRPr="00954398">
              <w:rPr>
                <w:i/>
              </w:rPr>
              <w:t>$47,479.99</w:t>
            </w:r>
            <w:r>
              <w:t xml:space="preserve"> (public)</w:t>
            </w:r>
          </w:p>
          <w:p w:rsidR="00697472" w:rsidRDefault="00697472" w:rsidP="00B3185E">
            <w:pPr>
              <w:pStyle w:val="Tabletext"/>
            </w:pPr>
            <w:r w:rsidRPr="00954398">
              <w:rPr>
                <w:i/>
              </w:rPr>
              <w:t>$48,181.90</w:t>
            </w:r>
            <w:r>
              <w:t xml:space="preserve"> (private)</w:t>
            </w:r>
          </w:p>
          <w:p w:rsidR="00697472" w:rsidRPr="00111D88" w:rsidRDefault="00697472" w:rsidP="00B3185E">
            <w:pPr>
              <w:pStyle w:val="Tabletext"/>
              <w:rPr>
                <w:u w:val="single"/>
              </w:rPr>
            </w:pPr>
            <w:r w:rsidRPr="00111D88">
              <w:rPr>
                <w:u w:val="single"/>
              </w:rPr>
              <w:t>Effective price</w:t>
            </w:r>
          </w:p>
          <w:p w:rsidR="00697472" w:rsidRDefault="00697472" w:rsidP="00B3185E">
            <w:pPr>
              <w:pStyle w:val="Tabletext"/>
            </w:pPr>
            <w:r w:rsidRPr="00954398">
              <w:rPr>
                <w:i/>
              </w:rPr>
              <w:t>$</w:t>
            </w:r>
            <w:r w:rsidR="00E94B3A">
              <w:rPr>
                <w:i/>
                <w:noProof/>
                <w:color w:val="000000"/>
                <w:highlight w:val="black"/>
              </w:rPr>
              <w:t>'''''''''''''''''''''''</w:t>
            </w:r>
            <w:r>
              <w:t xml:space="preserve"> (public)</w:t>
            </w:r>
          </w:p>
          <w:p w:rsidR="00B3185E" w:rsidRPr="008123DA" w:rsidRDefault="00697472" w:rsidP="00B3185E">
            <w:pPr>
              <w:pStyle w:val="Tabletext"/>
            </w:pPr>
            <w:r w:rsidRPr="00B44EA5">
              <w:rPr>
                <w:i/>
              </w:rPr>
              <w:t>$</w:t>
            </w:r>
            <w:r w:rsidR="00E94B3A">
              <w:rPr>
                <w:i/>
                <w:noProof/>
                <w:color w:val="000000"/>
                <w:highlight w:val="black"/>
              </w:rPr>
              <w:t>'''''''''''''''''''''''</w:t>
            </w:r>
            <w:r>
              <w:t xml:space="preserve"> (private)</w:t>
            </w:r>
          </w:p>
        </w:tc>
        <w:tc>
          <w:tcPr>
            <w:tcW w:w="904" w:type="pct"/>
          </w:tcPr>
          <w:p w:rsidR="00697472" w:rsidRDefault="00697472" w:rsidP="00B3185E">
            <w:pPr>
              <w:pStyle w:val="Tabletext"/>
              <w:rPr>
                <w:vertAlign w:val="superscript"/>
              </w:rPr>
            </w:pPr>
            <w:proofErr w:type="spellStart"/>
            <w:r>
              <w:t>Yervoy</w:t>
            </w:r>
            <w:proofErr w:type="spellEnd"/>
            <w:r>
              <w:rPr>
                <w:vertAlign w:val="superscript"/>
              </w:rPr>
              <w:t>®</w:t>
            </w:r>
          </w:p>
          <w:p w:rsidR="00697472" w:rsidRPr="00B306D8" w:rsidRDefault="00697472" w:rsidP="00B3185E">
            <w:pPr>
              <w:pStyle w:val="Tabletext"/>
            </w:pPr>
            <w:r w:rsidRPr="003E5190">
              <w:t>Bristol-Myers Squibb Australia Pty Ltd (BQ)</w:t>
            </w:r>
          </w:p>
        </w:tc>
      </w:tr>
      <w:tr w:rsidR="00697472" w:rsidRPr="003D1DE4" w:rsidTr="00B44EA5">
        <w:trPr>
          <w:tblHeader/>
        </w:trPr>
        <w:tc>
          <w:tcPr>
            <w:tcW w:w="5000" w:type="pct"/>
            <w:gridSpan w:val="5"/>
            <w:tcBorders>
              <w:bottom w:val="single" w:sz="4" w:space="0" w:color="auto"/>
            </w:tcBorders>
          </w:tcPr>
          <w:p w:rsidR="00697472" w:rsidRPr="003D1DE4" w:rsidRDefault="0013471E" w:rsidP="00B3185E">
            <w:pPr>
              <w:rPr>
                <w:rFonts w:ascii="Arial Narrow" w:hAnsi="Arial Narrow"/>
                <w:b/>
                <w:sz w:val="20"/>
                <w:szCs w:val="20"/>
              </w:rPr>
            </w:pPr>
            <w:r>
              <w:rPr>
                <w:rFonts w:ascii="Arial Narrow" w:hAnsi="Arial Narrow"/>
                <w:b/>
                <w:sz w:val="20"/>
                <w:szCs w:val="20"/>
              </w:rPr>
              <w:t>Continuing</w:t>
            </w:r>
            <w:r w:rsidR="00697472">
              <w:rPr>
                <w:rFonts w:ascii="Arial Narrow" w:hAnsi="Arial Narrow"/>
                <w:b/>
                <w:sz w:val="20"/>
                <w:szCs w:val="20"/>
              </w:rPr>
              <w:t xml:space="preserve"> (</w:t>
            </w:r>
            <w:r>
              <w:rPr>
                <w:rFonts w:ascii="Arial Narrow" w:hAnsi="Arial Narrow"/>
                <w:b/>
                <w:sz w:val="20"/>
                <w:szCs w:val="20"/>
              </w:rPr>
              <w:t xml:space="preserve">single agent </w:t>
            </w:r>
            <w:proofErr w:type="spellStart"/>
            <w:r>
              <w:rPr>
                <w:rFonts w:ascii="Arial Narrow" w:hAnsi="Arial Narrow"/>
                <w:b/>
                <w:sz w:val="20"/>
                <w:szCs w:val="20"/>
              </w:rPr>
              <w:t>nivolumab</w:t>
            </w:r>
            <w:proofErr w:type="spellEnd"/>
            <w:r w:rsidR="00697472">
              <w:rPr>
                <w:rFonts w:ascii="Arial Narrow" w:hAnsi="Arial Narrow"/>
                <w:b/>
                <w:sz w:val="20"/>
                <w:szCs w:val="20"/>
              </w:rPr>
              <w:t>) phase</w:t>
            </w:r>
          </w:p>
        </w:tc>
      </w:tr>
      <w:tr w:rsidR="00697472" w:rsidRPr="006C4B9E" w:rsidTr="00AB44F5">
        <w:trPr>
          <w:trHeight w:val="964"/>
          <w:tblHeader/>
        </w:trPr>
        <w:tc>
          <w:tcPr>
            <w:tcW w:w="1642" w:type="pct"/>
          </w:tcPr>
          <w:p w:rsidR="00697472" w:rsidRPr="0019642C" w:rsidRDefault="00697472" w:rsidP="00B3185E">
            <w:pPr>
              <w:rPr>
                <w:rFonts w:ascii="Arial Narrow" w:hAnsi="Arial Narrow"/>
                <w:sz w:val="20"/>
                <w:szCs w:val="20"/>
              </w:rPr>
            </w:pPr>
            <w:proofErr w:type="spellStart"/>
            <w:r w:rsidRPr="0082090B">
              <w:rPr>
                <w:rFonts w:ascii="Arial Narrow" w:hAnsi="Arial Narrow"/>
                <w:smallCaps/>
                <w:sz w:val="20"/>
              </w:rPr>
              <w:t>Nivolumab</w:t>
            </w:r>
            <w:proofErr w:type="spellEnd"/>
          </w:p>
          <w:p w:rsidR="00697472" w:rsidRPr="00A619DC" w:rsidRDefault="00697472" w:rsidP="00B3185E">
            <w:pPr>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697472" w:rsidRPr="0019642C" w:rsidRDefault="00697472" w:rsidP="00B3185E">
            <w:pPr>
              <w:pStyle w:val="Tabletext"/>
              <w:rPr>
                <w:szCs w:val="20"/>
              </w:rPr>
            </w:pPr>
            <w:r w:rsidRPr="0082090B">
              <w:t xml:space="preserve">100 mg/10 mL injection, 1 x </w:t>
            </w:r>
            <w:r w:rsidRPr="00375492">
              <w:t>10 mL</w:t>
            </w:r>
            <w:r w:rsidRPr="0082090B">
              <w:t xml:space="preserve"> vial</w:t>
            </w:r>
          </w:p>
        </w:tc>
        <w:tc>
          <w:tcPr>
            <w:tcW w:w="755" w:type="pct"/>
          </w:tcPr>
          <w:p w:rsidR="00697472" w:rsidRDefault="00697472" w:rsidP="00B3185E">
            <w:pPr>
              <w:pStyle w:val="Tabletext"/>
              <w:jc w:val="center"/>
            </w:pPr>
          </w:p>
          <w:p w:rsidR="00697472" w:rsidRPr="0019642C" w:rsidRDefault="00697472" w:rsidP="00B3185E">
            <w:pPr>
              <w:pStyle w:val="Tabletext"/>
              <w:jc w:val="center"/>
              <w:rPr>
                <w:szCs w:val="20"/>
              </w:rPr>
            </w:pPr>
            <w:r>
              <w:t>360 mg</w:t>
            </w:r>
          </w:p>
        </w:tc>
        <w:tc>
          <w:tcPr>
            <w:tcW w:w="492" w:type="pct"/>
          </w:tcPr>
          <w:p w:rsidR="00697472" w:rsidRDefault="00697472" w:rsidP="00B3185E">
            <w:pPr>
              <w:pStyle w:val="Tabletext"/>
              <w:jc w:val="center"/>
            </w:pPr>
          </w:p>
          <w:p w:rsidR="00697472" w:rsidRPr="0019642C" w:rsidRDefault="00697472" w:rsidP="00B3185E">
            <w:pPr>
              <w:pStyle w:val="Tabletext"/>
              <w:jc w:val="center"/>
              <w:rPr>
                <w:szCs w:val="20"/>
              </w:rPr>
            </w:pPr>
            <w:r>
              <w:t>11</w:t>
            </w:r>
          </w:p>
        </w:tc>
        <w:tc>
          <w:tcPr>
            <w:tcW w:w="1207" w:type="pct"/>
          </w:tcPr>
          <w:p w:rsidR="00697472" w:rsidRPr="00111D88" w:rsidRDefault="00697472" w:rsidP="00B3185E">
            <w:pPr>
              <w:jc w:val="left"/>
              <w:rPr>
                <w:rFonts w:ascii="Arial Narrow" w:hAnsi="Arial Narrow"/>
                <w:sz w:val="20"/>
                <w:szCs w:val="20"/>
                <w:u w:val="single"/>
              </w:rPr>
            </w:pPr>
            <w:r w:rsidRPr="00111D88">
              <w:rPr>
                <w:rFonts w:ascii="Arial Narrow" w:hAnsi="Arial Narrow"/>
                <w:sz w:val="20"/>
                <w:szCs w:val="20"/>
                <w:u w:val="single"/>
              </w:rPr>
              <w:t>Published price</w:t>
            </w:r>
          </w:p>
          <w:p w:rsidR="00697472" w:rsidRDefault="00697472" w:rsidP="00B3185E">
            <w:pPr>
              <w:pStyle w:val="Tabletext"/>
            </w:pPr>
            <w:r w:rsidRPr="004B59DE">
              <w:rPr>
                <w:i/>
              </w:rPr>
              <w:t>$7,580.13</w:t>
            </w:r>
            <w:r>
              <w:t xml:space="preserve"> (public)</w:t>
            </w:r>
          </w:p>
          <w:p w:rsidR="00697472" w:rsidRDefault="00A8010D" w:rsidP="00B3185E">
            <w:pPr>
              <w:pStyle w:val="Tabletext"/>
            </w:pPr>
            <w:r>
              <w:rPr>
                <w:i/>
              </w:rPr>
              <w:t>$7,723.44</w:t>
            </w:r>
            <w:r w:rsidR="00697472">
              <w:t xml:space="preserve"> (private)</w:t>
            </w:r>
          </w:p>
          <w:p w:rsidR="00697472" w:rsidRPr="00111D88" w:rsidRDefault="00697472" w:rsidP="00B3185E">
            <w:pPr>
              <w:pStyle w:val="Tabletext"/>
              <w:rPr>
                <w:u w:val="single"/>
              </w:rPr>
            </w:pPr>
            <w:r w:rsidRPr="00111D88">
              <w:rPr>
                <w:u w:val="single"/>
              </w:rPr>
              <w:t>Effective price</w:t>
            </w:r>
          </w:p>
          <w:p w:rsidR="00697472" w:rsidRDefault="00697472" w:rsidP="00B3185E">
            <w:pPr>
              <w:pStyle w:val="Tabletext"/>
            </w:pPr>
            <w:r w:rsidRPr="00B44EA5">
              <w:rPr>
                <w:i/>
              </w:rPr>
              <w:t>$</w:t>
            </w:r>
            <w:r w:rsidR="00E94B3A">
              <w:rPr>
                <w:i/>
                <w:noProof/>
                <w:color w:val="000000"/>
                <w:highlight w:val="black"/>
              </w:rPr>
              <w:t>''''''''''''''''''''''</w:t>
            </w:r>
            <w:r>
              <w:t xml:space="preserve"> (public)</w:t>
            </w:r>
          </w:p>
          <w:p w:rsidR="00697472" w:rsidRPr="0019642C" w:rsidRDefault="00A8010D" w:rsidP="00B3185E">
            <w:pPr>
              <w:pStyle w:val="Tabletext"/>
              <w:rPr>
                <w:szCs w:val="20"/>
              </w:rPr>
            </w:pPr>
            <w:r>
              <w:rPr>
                <w:i/>
              </w:rPr>
              <w:t>$</w:t>
            </w:r>
            <w:r w:rsidR="00E94B3A">
              <w:rPr>
                <w:i/>
                <w:noProof/>
                <w:color w:val="000000"/>
                <w:highlight w:val="black"/>
              </w:rPr>
              <w:t>'''''''''''''''''''''</w:t>
            </w:r>
            <w:r w:rsidR="00697472">
              <w:t xml:space="preserve"> (private)</w:t>
            </w:r>
          </w:p>
        </w:tc>
        <w:tc>
          <w:tcPr>
            <w:tcW w:w="904" w:type="pct"/>
          </w:tcPr>
          <w:p w:rsidR="00697472" w:rsidRDefault="00697472" w:rsidP="00B3185E">
            <w:pPr>
              <w:pStyle w:val="Tabletext"/>
              <w:rPr>
                <w:vertAlign w:val="superscript"/>
              </w:rPr>
            </w:pPr>
            <w:proofErr w:type="spellStart"/>
            <w:r>
              <w:t>Opdivo</w:t>
            </w:r>
            <w:proofErr w:type="spellEnd"/>
            <w:r>
              <w:rPr>
                <w:vertAlign w:val="superscript"/>
              </w:rPr>
              <w:t>®</w:t>
            </w:r>
          </w:p>
          <w:p w:rsidR="00697472" w:rsidRPr="006C4B9E" w:rsidRDefault="00697472" w:rsidP="00B3185E">
            <w:pPr>
              <w:pStyle w:val="Tabletext"/>
              <w:rPr>
                <w:szCs w:val="20"/>
                <w:vertAlign w:val="superscript"/>
              </w:rPr>
            </w:pPr>
            <w:r w:rsidRPr="003E5190">
              <w:t>Bristol-Myers Squibb Australia Pty Ltd (BQ)</w:t>
            </w:r>
          </w:p>
        </w:tc>
      </w:tr>
    </w:tbl>
    <w:p w:rsidR="00697472" w:rsidRPr="0060268B" w:rsidRDefault="00697472" w:rsidP="00697472">
      <w:pPr>
        <w:pStyle w:val="TableFooter"/>
        <w:rPr>
          <w:i/>
        </w:rPr>
      </w:pPr>
      <w:r w:rsidRPr="0060268B">
        <w:rPr>
          <w:i/>
        </w:rPr>
        <w:t>Dispensed prices calculated using PBS application fees as of 1 January 2018 (distribution fee $26.28, diluent free $5.21, preparation fee $103.83 and ready prepared dispensing fee $7.15).</w:t>
      </w:r>
      <w:r>
        <w:rPr>
          <w:i/>
        </w:rPr>
        <w:t xml:space="preserve"> </w:t>
      </w:r>
      <w:r w:rsidR="00205E1E">
        <w:rPr>
          <w:i/>
        </w:rPr>
        <w:t>The resubmission appli</w:t>
      </w:r>
      <w:r w:rsidRPr="00205E1E">
        <w:rPr>
          <w:i/>
        </w:rPr>
        <w:t xml:space="preserve">ed </w:t>
      </w:r>
      <w:r w:rsidR="00205E1E" w:rsidRPr="00205E1E">
        <w:rPr>
          <w:i/>
        </w:rPr>
        <w:t xml:space="preserve">a </w:t>
      </w:r>
      <w:r w:rsidRPr="00205E1E">
        <w:rPr>
          <w:i/>
        </w:rPr>
        <w:t>preparation fee of $83.83</w:t>
      </w:r>
      <w:r>
        <w:t>.</w:t>
      </w:r>
    </w:p>
    <w:p w:rsidR="00697472" w:rsidRDefault="00697472" w:rsidP="00697472">
      <w:pPr>
        <w:pStyle w:val="TableFooter"/>
      </w:pPr>
      <w:r>
        <w:t>Source: Table 14, p45 of the resubmission; Excel workbook ‘Appendix 2_BIM_NIVO+IPI.xlsx</w:t>
      </w:r>
    </w:p>
    <w:p w:rsidR="00AB44F5" w:rsidRDefault="00AB44F5">
      <w:pPr>
        <w:widowControl/>
        <w:jc w:val="left"/>
        <w:rPr>
          <w:rStyle w:val="CommentReference"/>
        </w:rPr>
      </w:pPr>
      <w:r>
        <w:rPr>
          <w:rStyle w:val="CommentReference"/>
        </w:rPr>
        <w:br w:type="page"/>
      </w:r>
    </w:p>
    <w:p w:rsidR="00697472" w:rsidRDefault="0013471E" w:rsidP="00AB44F5">
      <w:pPr>
        <w:spacing w:before="120" w:after="120"/>
      </w:pPr>
      <w:r>
        <w:rPr>
          <w:rStyle w:val="CommentReference"/>
        </w:rPr>
        <w:lastRenderedPageBreak/>
        <w:t>I</w:t>
      </w:r>
      <w:r w:rsidR="00697472">
        <w:rPr>
          <w:rStyle w:val="CommentReference"/>
        </w:rPr>
        <w:t>nduction (combination) phase</w:t>
      </w:r>
    </w:p>
    <w:tbl>
      <w:tblPr>
        <w:tblW w:w="9072" w:type="dxa"/>
        <w:tblInd w:w="108" w:type="dxa"/>
        <w:tblLayout w:type="fixed"/>
        <w:tblLook w:val="0000" w:firstRow="0" w:lastRow="0" w:firstColumn="0" w:lastColumn="0" w:noHBand="0" w:noVBand="0"/>
      </w:tblPr>
      <w:tblGrid>
        <w:gridCol w:w="1985"/>
        <w:gridCol w:w="7087"/>
      </w:tblGrid>
      <w:tr w:rsidR="00697472" w:rsidRPr="00313644" w:rsidTr="00B44EA5">
        <w:trPr>
          <w:cantSplit/>
        </w:trPr>
        <w:tc>
          <w:tcPr>
            <w:tcW w:w="9072" w:type="dxa"/>
            <w:gridSpan w:val="2"/>
            <w:tcBorders>
              <w:top w:val="single" w:sz="4" w:space="0" w:color="auto"/>
              <w:left w:val="single" w:sz="4" w:space="0" w:color="auto"/>
              <w:bottom w:val="single" w:sz="4" w:space="0" w:color="auto"/>
              <w:right w:val="single" w:sz="4" w:space="0" w:color="auto"/>
            </w:tcBorders>
          </w:tcPr>
          <w:p w:rsidR="00697472" w:rsidRPr="00313644" w:rsidRDefault="00697472" w:rsidP="00D36853">
            <w:pPr>
              <w:pStyle w:val="Tabletext"/>
              <w:rPr>
                <w:b/>
              </w:rPr>
            </w:pPr>
            <w:r w:rsidRPr="00313644">
              <w:rPr>
                <w:b/>
              </w:rPr>
              <w:t xml:space="preserve">Requested restriction for patients with BRAF </w:t>
            </w:r>
            <w:r w:rsidR="00D36853" w:rsidRPr="00313644">
              <w:rPr>
                <w:b/>
              </w:rPr>
              <w:t>V600 mutation negative</w:t>
            </w:r>
            <w:r w:rsidRPr="00313644">
              <w:rPr>
                <w:b/>
              </w:rPr>
              <w:t xml:space="preserve"> melanoma</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Pr>
                <w:b/>
              </w:rPr>
              <w:t>Category/Program</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Section 100 – Efficient funding of Chemotherapy</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rPr>
                <w:b/>
              </w:rPr>
            </w:pPr>
            <w:r w:rsidRPr="00AD4E28">
              <w:rPr>
                <w:rFonts w:cs="Arial"/>
                <w:b/>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Severity:</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proofErr w:type="spellStart"/>
            <w:r>
              <w:t>Unresectable</w:t>
            </w:r>
            <w:proofErr w:type="spellEnd"/>
            <w:r>
              <w:t xml:space="preserve"> Stage III or Stage IV</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Condition: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6D65">
            <w:pPr>
              <w:pStyle w:val="Tabletext"/>
            </w:pPr>
            <w:r>
              <w:t xml:space="preserve">Malignant melanoma </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PBS Indication: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proofErr w:type="spellStart"/>
            <w:r>
              <w:t>Unresectable</w:t>
            </w:r>
            <w:proofErr w:type="spellEnd"/>
            <w:r>
              <w:t xml:space="preserve"> Stage III or Stage IV malignant melanoma</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3371DA" w:rsidRDefault="00697472" w:rsidP="00B44EA5">
            <w:pPr>
              <w:pStyle w:val="Tabletext"/>
              <w:rPr>
                <w:b/>
              </w:rPr>
            </w:pPr>
            <w:r>
              <w:rPr>
                <w:b/>
              </w:rPr>
              <w:t>Treatment phase:</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 xml:space="preserve">Induction (combination </w:t>
            </w:r>
            <w:proofErr w:type="spellStart"/>
            <w:r>
              <w:t>nivolumab</w:t>
            </w:r>
            <w:proofErr w:type="spellEnd"/>
            <w:r>
              <w:t xml:space="preserve"> and </w:t>
            </w:r>
            <w:proofErr w:type="spellStart"/>
            <w:r>
              <w:t>ipilimumab</w:t>
            </w:r>
            <w:proofErr w:type="spellEnd"/>
            <w:r>
              <w:t>) treatment</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045A2B" w:rsidRDefault="00697472" w:rsidP="00B44EA5">
            <w:pPr>
              <w:pStyle w:val="Tabletext"/>
              <w:rPr>
                <w:i/>
              </w:rPr>
            </w:pPr>
            <w:r w:rsidRPr="00892A36">
              <w:rPr>
                <w:b/>
              </w:rPr>
              <w:t>Restriction: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697472" w:rsidRPr="00C31A26"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Pr>
                <w:b/>
              </w:rPr>
              <w:t>Clinical</w:t>
            </w:r>
            <w:r w:rsidRPr="00892A36">
              <w:rPr>
                <w:b/>
              </w:rPr>
              <w:t xml:space="preserve"> criteria:</w:t>
            </w:r>
          </w:p>
          <w:p w:rsidR="00697472" w:rsidRPr="00045A2B" w:rsidRDefault="00697472" w:rsidP="00B44EA5">
            <w:pPr>
              <w:pStyle w:val="Tabletext"/>
              <w:rPr>
                <w:i/>
              </w:rPr>
            </w:pP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 xml:space="preserve">Patient must be receiving PBS-subsidised </w:t>
            </w:r>
            <w:proofErr w:type="spellStart"/>
            <w:r>
              <w:t>nivolumab</w:t>
            </w:r>
            <w:proofErr w:type="spellEnd"/>
            <w:r>
              <w:t xml:space="preserve"> and </w:t>
            </w:r>
            <w:proofErr w:type="spellStart"/>
            <w:r>
              <w:t>ipilimumab</w:t>
            </w:r>
            <w:proofErr w:type="spellEnd"/>
            <w:r>
              <w:t xml:space="preserve"> concomitantly for this condition,</w:t>
            </w:r>
          </w:p>
          <w:p w:rsidR="00697472" w:rsidRDefault="00697472" w:rsidP="00B44EA5">
            <w:pPr>
              <w:pStyle w:val="Tabletext"/>
            </w:pPr>
            <w:r>
              <w:t>AND</w:t>
            </w:r>
          </w:p>
          <w:p w:rsidR="00697472" w:rsidRDefault="00697472" w:rsidP="00B44EA5">
            <w:pPr>
              <w:pStyle w:val="Tabletext"/>
            </w:pPr>
            <w:r>
              <w:t xml:space="preserve">Patients must not have received prior treatment with </w:t>
            </w:r>
            <w:proofErr w:type="spellStart"/>
            <w:r>
              <w:t>ipilimumab</w:t>
            </w:r>
            <w:proofErr w:type="spellEnd"/>
            <w:r>
              <w:t xml:space="preserve"> or a PD-1 inhibitor</w:t>
            </w:r>
            <w:r w:rsidR="00313644">
              <w:t xml:space="preserve"> </w:t>
            </w:r>
            <w:r w:rsidR="00313644" w:rsidRPr="00313644">
              <w:rPr>
                <w:i/>
              </w:rPr>
              <w:t>for this condition</w:t>
            </w:r>
            <w:r>
              <w:t>,</w:t>
            </w:r>
          </w:p>
          <w:p w:rsidR="00697472" w:rsidRDefault="00697472" w:rsidP="00B44EA5">
            <w:pPr>
              <w:pStyle w:val="Tabletext"/>
            </w:pPr>
            <w:r>
              <w:t>AND</w:t>
            </w:r>
          </w:p>
          <w:p w:rsidR="008D23A8" w:rsidRPr="008D23A8" w:rsidRDefault="008D23A8" w:rsidP="00B44EA5">
            <w:pPr>
              <w:pStyle w:val="Tabletext"/>
              <w:rPr>
                <w:i/>
              </w:rPr>
            </w:pPr>
            <w:r w:rsidRPr="008D23A8">
              <w:rPr>
                <w:i/>
              </w:rPr>
              <w:t xml:space="preserve">Patients must have an Eastern Cooperative Oncology Group </w:t>
            </w:r>
            <w:r>
              <w:rPr>
                <w:i/>
              </w:rPr>
              <w:t>(ECOG) p</w:t>
            </w:r>
            <w:r w:rsidRPr="008D23A8">
              <w:rPr>
                <w:i/>
              </w:rPr>
              <w:t xml:space="preserve">erformance </w:t>
            </w:r>
            <w:r>
              <w:rPr>
                <w:i/>
              </w:rPr>
              <w:t>s</w:t>
            </w:r>
            <w:r w:rsidRPr="008D23A8">
              <w:rPr>
                <w:i/>
              </w:rPr>
              <w:t>tatus of 0 or 1,</w:t>
            </w:r>
          </w:p>
          <w:p w:rsidR="008D23A8" w:rsidRDefault="008D23A8" w:rsidP="00B44EA5">
            <w:pPr>
              <w:pStyle w:val="Tabletext"/>
            </w:pPr>
            <w:r>
              <w:t xml:space="preserve">AND </w:t>
            </w:r>
          </w:p>
          <w:p w:rsidR="008D23A8" w:rsidRPr="008D23A8" w:rsidRDefault="008D23A8" w:rsidP="00B44EA5">
            <w:pPr>
              <w:pStyle w:val="Tabletext"/>
              <w:rPr>
                <w:i/>
              </w:rPr>
            </w:pPr>
            <w:r w:rsidRPr="008D23A8">
              <w:rPr>
                <w:i/>
              </w:rPr>
              <w:t xml:space="preserve">Patients must not have ocular or uveal melanoma, </w:t>
            </w:r>
          </w:p>
          <w:p w:rsidR="008D23A8" w:rsidRDefault="008D23A8" w:rsidP="00B44EA5">
            <w:pPr>
              <w:pStyle w:val="Tabletext"/>
            </w:pPr>
            <w:r>
              <w:t>AND</w:t>
            </w:r>
          </w:p>
          <w:p w:rsidR="00313644" w:rsidRDefault="00697472" w:rsidP="00B44EA5">
            <w:pPr>
              <w:pStyle w:val="Tabletext"/>
            </w:pPr>
            <w:r>
              <w:t xml:space="preserve">The treatment with </w:t>
            </w:r>
            <w:proofErr w:type="spellStart"/>
            <w:r>
              <w:t>nivolumab</w:t>
            </w:r>
            <w:proofErr w:type="spellEnd"/>
            <w:r>
              <w:t xml:space="preserve"> must not exceed a total of 4 doses at a maximum dose of 1 mg per kg every 3 weeks</w:t>
            </w:r>
            <w:r w:rsidR="00313644">
              <w:t xml:space="preserve"> </w:t>
            </w:r>
            <w:r w:rsidR="00313644" w:rsidRPr="00313644">
              <w:rPr>
                <w:i/>
              </w:rPr>
              <w:t>under this restriction</w:t>
            </w:r>
            <w:r>
              <w:t>,</w:t>
            </w:r>
          </w:p>
          <w:p w:rsidR="00313644" w:rsidRDefault="00313644" w:rsidP="00B44EA5">
            <w:pPr>
              <w:pStyle w:val="Tabletext"/>
            </w:pPr>
            <w:r>
              <w:t>AND</w:t>
            </w:r>
          </w:p>
          <w:p w:rsidR="00697472" w:rsidRPr="003D1BE4" w:rsidRDefault="00313644" w:rsidP="00313644">
            <w:pPr>
              <w:pStyle w:val="Tabletext"/>
            </w:pPr>
            <w:r>
              <w:t>T</w:t>
            </w:r>
            <w:r w:rsidR="00697472">
              <w:t xml:space="preserve">he treatment with </w:t>
            </w:r>
            <w:proofErr w:type="spellStart"/>
            <w:r w:rsidR="00697472">
              <w:t>ipilimumab</w:t>
            </w:r>
            <w:proofErr w:type="spellEnd"/>
            <w:r w:rsidR="00697472">
              <w:t xml:space="preserve"> must not exceed a total of 4 doses at a maximum dose of 3 mg per kg every 3 weeks</w:t>
            </w:r>
            <w:r>
              <w:t xml:space="preserve"> </w:t>
            </w:r>
            <w:r w:rsidRPr="00313644">
              <w:rPr>
                <w:i/>
              </w:rPr>
              <w:t>under this restriction</w:t>
            </w:r>
            <w:r w:rsidR="00697472">
              <w:t>.</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Prescriber Instructions:</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The patient’s body weight must be documented in the patient’s medical records at the time treatment is initiated.</w:t>
            </w:r>
          </w:p>
        </w:tc>
      </w:tr>
      <w:tr w:rsidR="00697472" w:rsidTr="00313644">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Administrative Advice:</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No increase in the maximum number of repeats may be authorised.</w:t>
            </w:r>
          </w:p>
          <w:p w:rsidR="00697472" w:rsidRDefault="00697472" w:rsidP="00B44EA5">
            <w:pPr>
              <w:pStyle w:val="Tabletext"/>
            </w:pPr>
            <w:r>
              <w:t>Special Pricing Arrangements apply.</w:t>
            </w:r>
          </w:p>
        </w:tc>
      </w:tr>
      <w:tr w:rsidR="00313644" w:rsidTr="00313644">
        <w:trPr>
          <w:cantSplit/>
        </w:trPr>
        <w:tc>
          <w:tcPr>
            <w:tcW w:w="9072" w:type="dxa"/>
            <w:gridSpan w:val="2"/>
            <w:tcBorders>
              <w:top w:val="single" w:sz="4" w:space="0" w:color="auto"/>
              <w:bottom w:val="single" w:sz="4" w:space="0" w:color="auto"/>
            </w:tcBorders>
          </w:tcPr>
          <w:p w:rsidR="00313644" w:rsidRPr="00313644" w:rsidRDefault="00313644" w:rsidP="00B44EA5">
            <w:pPr>
              <w:pStyle w:val="Tabletext"/>
              <w:rPr>
                <w:b/>
              </w:rPr>
            </w:pPr>
          </w:p>
        </w:tc>
      </w:tr>
      <w:tr w:rsidR="00697472" w:rsidTr="00B44EA5">
        <w:trPr>
          <w:cantSplit/>
        </w:trPr>
        <w:tc>
          <w:tcPr>
            <w:tcW w:w="9072" w:type="dxa"/>
            <w:gridSpan w:val="2"/>
            <w:tcBorders>
              <w:top w:val="single" w:sz="4" w:space="0" w:color="auto"/>
              <w:left w:val="single" w:sz="4" w:space="0" w:color="auto"/>
              <w:bottom w:val="single" w:sz="4" w:space="0" w:color="auto"/>
              <w:right w:val="single" w:sz="4" w:space="0" w:color="auto"/>
            </w:tcBorders>
          </w:tcPr>
          <w:p w:rsidR="00697472" w:rsidRPr="00313644" w:rsidRDefault="00697472" w:rsidP="00B44EA5">
            <w:pPr>
              <w:pStyle w:val="Tabletext"/>
              <w:rPr>
                <w:b/>
              </w:rPr>
            </w:pPr>
            <w:r w:rsidRPr="00313644">
              <w:rPr>
                <w:b/>
              </w:rPr>
              <w:t xml:space="preserve">Requested restriction for patients with </w:t>
            </w:r>
            <w:r w:rsidR="0090271C" w:rsidRPr="00313644">
              <w:rPr>
                <w:b/>
              </w:rPr>
              <w:t>BRAF V600 mutation positive</w:t>
            </w:r>
            <w:r w:rsidRPr="00313644">
              <w:rPr>
                <w:b/>
              </w:rPr>
              <w:t xml:space="preserve"> melanoma</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Pr>
                <w:b/>
              </w:rPr>
              <w:t>Category/Program</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Section 100 – Efficient funding of Chemotherapy</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rPr>
                <w:b/>
              </w:rPr>
            </w:pPr>
            <w:r w:rsidRPr="00AD4E28">
              <w:rPr>
                <w:rFonts w:cs="Arial"/>
                <w:b/>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Severity:</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proofErr w:type="spellStart"/>
            <w:r>
              <w:t>Unresectable</w:t>
            </w:r>
            <w:proofErr w:type="spellEnd"/>
            <w:r>
              <w:t xml:space="preserve"> Stage III or Stage IV</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Condition: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6D65">
            <w:pPr>
              <w:pStyle w:val="Tabletext"/>
            </w:pPr>
            <w:r>
              <w:t xml:space="preserve">Malignant melanoma </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PBS Indication: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proofErr w:type="spellStart"/>
            <w:r>
              <w:t>Unresectable</w:t>
            </w:r>
            <w:proofErr w:type="spellEnd"/>
            <w:r>
              <w:t xml:space="preserve"> Stage III or Stage IV malignant melanoma</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3371DA" w:rsidRDefault="00697472" w:rsidP="00B44EA5">
            <w:pPr>
              <w:pStyle w:val="Tabletext"/>
              <w:rPr>
                <w:b/>
              </w:rPr>
            </w:pPr>
            <w:r>
              <w:rPr>
                <w:b/>
              </w:rPr>
              <w:t>Treatment phase:</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 xml:space="preserve">Induction (combination </w:t>
            </w:r>
            <w:proofErr w:type="spellStart"/>
            <w:r>
              <w:t>nivolumab</w:t>
            </w:r>
            <w:proofErr w:type="spellEnd"/>
            <w:r>
              <w:t xml:space="preserve"> and </w:t>
            </w:r>
            <w:proofErr w:type="spellStart"/>
            <w:r>
              <w:t>ipilimumab</w:t>
            </w:r>
            <w:proofErr w:type="spellEnd"/>
            <w:r>
              <w:t>) treatment</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045A2B" w:rsidRDefault="00697472" w:rsidP="00B44EA5">
            <w:pPr>
              <w:pStyle w:val="Tabletext"/>
              <w:rPr>
                <w:i/>
              </w:rPr>
            </w:pPr>
            <w:r w:rsidRPr="00892A36">
              <w:rPr>
                <w:b/>
              </w:rPr>
              <w:t>Restriction:</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697472" w:rsidRPr="00C31A26"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Pr>
                <w:b/>
              </w:rPr>
              <w:lastRenderedPageBreak/>
              <w:t>Clinical</w:t>
            </w:r>
            <w:r w:rsidRPr="00892A36">
              <w:rPr>
                <w:b/>
              </w:rPr>
              <w:t xml:space="preserve"> criteria:</w:t>
            </w:r>
          </w:p>
          <w:p w:rsidR="00697472" w:rsidRPr="00045A2B" w:rsidRDefault="00697472" w:rsidP="00B44EA5">
            <w:pPr>
              <w:pStyle w:val="Tabletext"/>
              <w:rPr>
                <w:i/>
              </w:rPr>
            </w:pPr>
          </w:p>
        </w:tc>
        <w:tc>
          <w:tcPr>
            <w:tcW w:w="7087" w:type="dxa"/>
            <w:tcBorders>
              <w:top w:val="single" w:sz="4" w:space="0" w:color="auto"/>
              <w:left w:val="single" w:sz="4" w:space="0" w:color="auto"/>
              <w:bottom w:val="single" w:sz="4" w:space="0" w:color="auto"/>
              <w:right w:val="single" w:sz="4" w:space="0" w:color="auto"/>
            </w:tcBorders>
          </w:tcPr>
          <w:p w:rsidR="00313644" w:rsidRPr="00313644" w:rsidRDefault="00313644" w:rsidP="00B44EA5">
            <w:pPr>
              <w:pStyle w:val="Tabletext"/>
              <w:rPr>
                <w:i/>
              </w:rPr>
            </w:pPr>
            <w:r w:rsidRPr="00313644">
              <w:rPr>
                <w:i/>
              </w:rPr>
              <w:t>The condition must be positive for a BRAF mutation,</w:t>
            </w:r>
          </w:p>
          <w:p w:rsidR="00313644" w:rsidRPr="00313644" w:rsidRDefault="00313644" w:rsidP="00B44EA5">
            <w:pPr>
              <w:pStyle w:val="Tabletext"/>
              <w:rPr>
                <w:i/>
              </w:rPr>
            </w:pPr>
            <w:r w:rsidRPr="00313644">
              <w:rPr>
                <w:i/>
              </w:rPr>
              <w:t>AND</w:t>
            </w:r>
          </w:p>
          <w:p w:rsidR="00313644" w:rsidRPr="00313644" w:rsidRDefault="00313644" w:rsidP="00B44EA5">
            <w:pPr>
              <w:pStyle w:val="Tabletext"/>
              <w:rPr>
                <w:i/>
              </w:rPr>
            </w:pPr>
            <w:r w:rsidRPr="00313644">
              <w:rPr>
                <w:i/>
              </w:rPr>
              <w:t>The condition must have progressed following treatment with a BRAF inhibitor (with or without a MEK inhibitor),</w:t>
            </w:r>
          </w:p>
          <w:p w:rsidR="00313644" w:rsidRPr="00313644" w:rsidRDefault="00313644" w:rsidP="00B44EA5">
            <w:pPr>
              <w:pStyle w:val="Tabletext"/>
              <w:rPr>
                <w:i/>
              </w:rPr>
            </w:pPr>
            <w:r w:rsidRPr="00313644">
              <w:rPr>
                <w:i/>
              </w:rPr>
              <w:t xml:space="preserve">OR </w:t>
            </w:r>
          </w:p>
          <w:p w:rsidR="00313644" w:rsidRPr="00313644" w:rsidRDefault="00313644" w:rsidP="00B44EA5">
            <w:pPr>
              <w:pStyle w:val="Tabletext"/>
              <w:rPr>
                <w:i/>
              </w:rPr>
            </w:pPr>
            <w:r w:rsidRPr="00313644">
              <w:rPr>
                <w:i/>
              </w:rPr>
              <w:t>Patient must be contraindicated to treatment with a BRAF inhibitor,</w:t>
            </w:r>
          </w:p>
          <w:p w:rsidR="00313644" w:rsidRPr="00313644" w:rsidRDefault="00313644" w:rsidP="00B44EA5">
            <w:pPr>
              <w:pStyle w:val="Tabletext"/>
              <w:rPr>
                <w:i/>
              </w:rPr>
            </w:pPr>
            <w:r w:rsidRPr="00313644">
              <w:rPr>
                <w:i/>
              </w:rPr>
              <w:t xml:space="preserve">OR </w:t>
            </w:r>
          </w:p>
          <w:p w:rsidR="00313644" w:rsidRPr="00313644" w:rsidRDefault="00313644" w:rsidP="00B44EA5">
            <w:pPr>
              <w:pStyle w:val="Tabletext"/>
              <w:rPr>
                <w:i/>
              </w:rPr>
            </w:pPr>
            <w:r w:rsidRPr="00313644">
              <w:rPr>
                <w:i/>
              </w:rPr>
              <w:t>Patient must have developed intolerance to a BRAF inhibitor of a severity necessitating permanent treatment withdrawal,</w:t>
            </w:r>
          </w:p>
          <w:p w:rsidR="00697472" w:rsidRDefault="00697472" w:rsidP="00B44EA5">
            <w:pPr>
              <w:pStyle w:val="Tabletext"/>
            </w:pPr>
            <w:r w:rsidRPr="00313644">
              <w:rPr>
                <w:strike/>
              </w:rPr>
              <w:t>Patient with BRAF V600 mutation positive melanoma must have progressed post BRAF ± MEK inhibitor treatment or are contraindicated/intolerant to BRAF ± MEK inhibitor treatment</w:t>
            </w:r>
            <w:r>
              <w:t>,</w:t>
            </w:r>
          </w:p>
          <w:p w:rsidR="00697472" w:rsidRDefault="00697472" w:rsidP="00B44EA5">
            <w:pPr>
              <w:pStyle w:val="Tabletext"/>
            </w:pPr>
            <w:r>
              <w:t>AND</w:t>
            </w:r>
          </w:p>
          <w:p w:rsidR="00697472" w:rsidRDefault="00697472" w:rsidP="00B44EA5">
            <w:pPr>
              <w:pStyle w:val="Tabletext"/>
            </w:pPr>
            <w:r>
              <w:t xml:space="preserve">Patient must be receiving PBS-subsidised </w:t>
            </w:r>
            <w:proofErr w:type="spellStart"/>
            <w:r>
              <w:t>nivolumab</w:t>
            </w:r>
            <w:proofErr w:type="spellEnd"/>
            <w:r>
              <w:t xml:space="preserve"> and </w:t>
            </w:r>
            <w:proofErr w:type="spellStart"/>
            <w:r>
              <w:t>ipilimumab</w:t>
            </w:r>
            <w:proofErr w:type="spellEnd"/>
            <w:r>
              <w:t xml:space="preserve"> concomitantly for this condition,</w:t>
            </w:r>
          </w:p>
          <w:p w:rsidR="00697472" w:rsidRDefault="00697472" w:rsidP="00B44EA5">
            <w:pPr>
              <w:pStyle w:val="Tabletext"/>
            </w:pPr>
            <w:r>
              <w:t>AND</w:t>
            </w:r>
          </w:p>
          <w:p w:rsidR="00697472" w:rsidRDefault="00697472" w:rsidP="00B44EA5">
            <w:pPr>
              <w:pStyle w:val="Tabletext"/>
            </w:pPr>
            <w:r>
              <w:t xml:space="preserve">Patients must not have received prior treatment with </w:t>
            </w:r>
            <w:proofErr w:type="spellStart"/>
            <w:r>
              <w:t>ipilimumab</w:t>
            </w:r>
            <w:proofErr w:type="spellEnd"/>
            <w:r>
              <w:t xml:space="preserve"> or a PD-1 inhibitor</w:t>
            </w:r>
            <w:r w:rsidR="00313644">
              <w:t xml:space="preserve"> </w:t>
            </w:r>
            <w:r w:rsidR="00313644" w:rsidRPr="00313644">
              <w:rPr>
                <w:i/>
              </w:rPr>
              <w:t>for this condition</w:t>
            </w:r>
            <w:r w:rsidRPr="00313644">
              <w:rPr>
                <w:i/>
              </w:rPr>
              <w:t>,</w:t>
            </w:r>
          </w:p>
          <w:p w:rsidR="00697472" w:rsidRDefault="00697472" w:rsidP="00B44EA5">
            <w:pPr>
              <w:pStyle w:val="Tabletext"/>
            </w:pPr>
            <w:r>
              <w:t>AND</w:t>
            </w:r>
          </w:p>
          <w:p w:rsidR="008D23A8" w:rsidRPr="008D23A8" w:rsidRDefault="008D23A8" w:rsidP="008D23A8">
            <w:pPr>
              <w:pStyle w:val="Tabletext"/>
              <w:rPr>
                <w:i/>
              </w:rPr>
            </w:pPr>
            <w:r w:rsidRPr="008D23A8">
              <w:rPr>
                <w:i/>
              </w:rPr>
              <w:t xml:space="preserve">Patients must have an Eastern Cooperative Oncology Group </w:t>
            </w:r>
            <w:r>
              <w:rPr>
                <w:i/>
              </w:rPr>
              <w:t>(ECOG) p</w:t>
            </w:r>
            <w:r w:rsidRPr="008D23A8">
              <w:rPr>
                <w:i/>
              </w:rPr>
              <w:t xml:space="preserve">erformance </w:t>
            </w:r>
            <w:r>
              <w:rPr>
                <w:i/>
              </w:rPr>
              <w:t>s</w:t>
            </w:r>
            <w:r w:rsidRPr="008D23A8">
              <w:rPr>
                <w:i/>
              </w:rPr>
              <w:t>tatus of 0 or 1,</w:t>
            </w:r>
          </w:p>
          <w:p w:rsidR="008D23A8" w:rsidRDefault="008D23A8" w:rsidP="008D23A8">
            <w:pPr>
              <w:pStyle w:val="Tabletext"/>
            </w:pPr>
            <w:r>
              <w:t xml:space="preserve">AND </w:t>
            </w:r>
          </w:p>
          <w:p w:rsidR="008D23A8" w:rsidRPr="008D23A8" w:rsidRDefault="008D23A8" w:rsidP="008D23A8">
            <w:pPr>
              <w:pStyle w:val="Tabletext"/>
              <w:rPr>
                <w:i/>
              </w:rPr>
            </w:pPr>
            <w:r w:rsidRPr="008D23A8">
              <w:rPr>
                <w:i/>
              </w:rPr>
              <w:t xml:space="preserve">Patients must not have ocular or uveal melanoma, </w:t>
            </w:r>
          </w:p>
          <w:p w:rsidR="008D23A8" w:rsidRDefault="008D23A8" w:rsidP="008D23A8">
            <w:pPr>
              <w:pStyle w:val="Tabletext"/>
            </w:pPr>
            <w:r>
              <w:t>AND</w:t>
            </w:r>
          </w:p>
          <w:p w:rsidR="00313644" w:rsidRDefault="00697472" w:rsidP="00B44EA5">
            <w:pPr>
              <w:pStyle w:val="Tabletext"/>
            </w:pPr>
            <w:r>
              <w:t xml:space="preserve">The treatment with </w:t>
            </w:r>
            <w:proofErr w:type="spellStart"/>
            <w:r>
              <w:t>nivolumab</w:t>
            </w:r>
            <w:proofErr w:type="spellEnd"/>
            <w:r>
              <w:t xml:space="preserve"> must not exceed a total of 4 doses at a maximum dose of 1 mg per kg every 3 weeks</w:t>
            </w:r>
            <w:r w:rsidR="00313644">
              <w:t xml:space="preserve"> </w:t>
            </w:r>
            <w:r w:rsidR="00313644" w:rsidRPr="00313644">
              <w:rPr>
                <w:i/>
              </w:rPr>
              <w:t>under this restriction</w:t>
            </w:r>
            <w:r>
              <w:t xml:space="preserve">, </w:t>
            </w:r>
          </w:p>
          <w:p w:rsidR="00313644" w:rsidRDefault="00313644" w:rsidP="00B44EA5">
            <w:pPr>
              <w:pStyle w:val="Tabletext"/>
            </w:pPr>
            <w:r>
              <w:t>AND</w:t>
            </w:r>
          </w:p>
          <w:p w:rsidR="00697472" w:rsidRPr="003D1BE4" w:rsidRDefault="00313644" w:rsidP="00313644">
            <w:pPr>
              <w:pStyle w:val="Tabletext"/>
            </w:pPr>
            <w:r>
              <w:t>T</w:t>
            </w:r>
            <w:r w:rsidR="00697472">
              <w:t xml:space="preserve">he treatment with </w:t>
            </w:r>
            <w:proofErr w:type="spellStart"/>
            <w:r w:rsidR="00697472">
              <w:t>ipilimumab</w:t>
            </w:r>
            <w:proofErr w:type="spellEnd"/>
            <w:r w:rsidR="00697472">
              <w:t xml:space="preserve"> must not exceed a total of 4 doses at a maximum dose of 3 mg per kg every 3 weeks</w:t>
            </w:r>
            <w:r>
              <w:t xml:space="preserve"> </w:t>
            </w:r>
            <w:r w:rsidRPr="00313644">
              <w:rPr>
                <w:i/>
              </w:rPr>
              <w:t>under this restriction</w:t>
            </w:r>
            <w:r w:rsidR="00697472">
              <w:t>.</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Prescriber Instructions:</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The patient’s body weight must be documented in the patient’s medical records at the time treatment is initiated.</w:t>
            </w:r>
          </w:p>
        </w:tc>
      </w:tr>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sidRPr="00892A36">
              <w:rPr>
                <w:b/>
              </w:rPr>
              <w:t>Administrative Advice:</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No increase in the maximum number of repeats may be authorised.</w:t>
            </w:r>
          </w:p>
          <w:p w:rsidR="00697472" w:rsidRDefault="00697472" w:rsidP="00B44EA5">
            <w:pPr>
              <w:pStyle w:val="Tabletext"/>
            </w:pPr>
            <w:r>
              <w:t>Special Pricing Arrangements apply.</w:t>
            </w:r>
          </w:p>
        </w:tc>
      </w:tr>
    </w:tbl>
    <w:p w:rsidR="00697472" w:rsidRDefault="00697472" w:rsidP="00697472"/>
    <w:p w:rsidR="00697472" w:rsidRDefault="00697472" w:rsidP="00697472">
      <w:pPr>
        <w:pStyle w:val="Caption"/>
      </w:pPr>
      <w:r>
        <w:t>Continuing (</w:t>
      </w:r>
      <w:proofErr w:type="spellStart"/>
      <w:r>
        <w:t>nivolumab</w:t>
      </w:r>
      <w:proofErr w:type="spellEnd"/>
      <w:r>
        <w:t xml:space="preserve"> </w:t>
      </w:r>
      <w:r w:rsidR="0013471E">
        <w:t>single agent</w:t>
      </w:r>
      <w:r>
        <w:t>) phase</w:t>
      </w:r>
    </w:p>
    <w:tbl>
      <w:tblPr>
        <w:tblW w:w="9072" w:type="dxa"/>
        <w:tblInd w:w="108" w:type="dxa"/>
        <w:tblLayout w:type="fixed"/>
        <w:tblLook w:val="0000" w:firstRow="0" w:lastRow="0" w:firstColumn="0" w:lastColumn="0" w:noHBand="0" w:noVBand="0"/>
      </w:tblPr>
      <w:tblGrid>
        <w:gridCol w:w="1985"/>
        <w:gridCol w:w="7087"/>
      </w:tblGrid>
      <w:tr w:rsidR="00697472" w:rsidTr="00F835E7">
        <w:trPr>
          <w:cantSplit/>
        </w:trPr>
        <w:tc>
          <w:tcPr>
            <w:tcW w:w="1985" w:type="dxa"/>
            <w:tcBorders>
              <w:top w:val="single" w:sz="4" w:space="0" w:color="auto"/>
              <w:left w:val="single" w:sz="4" w:space="0" w:color="auto"/>
              <w:bottom w:val="single" w:sz="4" w:space="0" w:color="auto"/>
              <w:right w:val="single" w:sz="4" w:space="0" w:color="auto"/>
            </w:tcBorders>
          </w:tcPr>
          <w:p w:rsidR="00697472" w:rsidRPr="00892A36" w:rsidRDefault="00697472" w:rsidP="00B44EA5">
            <w:pPr>
              <w:pStyle w:val="Tabletext"/>
              <w:rPr>
                <w:b/>
              </w:rPr>
            </w:pPr>
            <w:r>
              <w:rPr>
                <w:b/>
              </w:rPr>
              <w:t>Category/Program</w:t>
            </w:r>
          </w:p>
        </w:tc>
        <w:tc>
          <w:tcPr>
            <w:tcW w:w="7087" w:type="dxa"/>
            <w:tcBorders>
              <w:top w:val="single" w:sz="4" w:space="0" w:color="auto"/>
              <w:left w:val="single" w:sz="4" w:space="0" w:color="auto"/>
              <w:bottom w:val="single" w:sz="4" w:space="0" w:color="auto"/>
              <w:right w:val="single" w:sz="4" w:space="0" w:color="auto"/>
            </w:tcBorders>
          </w:tcPr>
          <w:p w:rsidR="00697472" w:rsidRDefault="00697472" w:rsidP="00B44EA5">
            <w:pPr>
              <w:pStyle w:val="Tabletext"/>
            </w:pPr>
            <w:r>
              <w:t>Section 100 – Efficient funding of Chemotherapy</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rPr>
                <w:b/>
              </w:rPr>
            </w:pPr>
            <w:r w:rsidRPr="00AD4E28">
              <w:rPr>
                <w:rFonts w:cs="Arial"/>
                <w:b/>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sidRPr="00892A36">
              <w:rPr>
                <w:b/>
              </w:rPr>
              <w:t>Severity:</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proofErr w:type="spellStart"/>
            <w:r>
              <w:t>Unresectable</w:t>
            </w:r>
            <w:proofErr w:type="spellEnd"/>
            <w:r>
              <w:t xml:space="preserve"> Stage III or Stage IV</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sidRPr="00892A36">
              <w:rPr>
                <w:b/>
              </w:rPr>
              <w:t>Condition:</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t xml:space="preserve">Malignant melanoma </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sidRPr="00892A36">
              <w:rPr>
                <w:b/>
              </w:rPr>
              <w:t>PBS Indication:</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proofErr w:type="spellStart"/>
            <w:r>
              <w:t>Unresectable</w:t>
            </w:r>
            <w:proofErr w:type="spellEnd"/>
            <w:r>
              <w:t xml:space="preserve"> Stage III or Stage IV malignant melanoma</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3371DA" w:rsidRDefault="00F835E7" w:rsidP="00B44EA5">
            <w:pPr>
              <w:pStyle w:val="Tabletext"/>
              <w:rPr>
                <w:b/>
              </w:rPr>
            </w:pPr>
            <w:r>
              <w:rPr>
                <w:b/>
              </w:rPr>
              <w:t>Treatment phase:</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t xml:space="preserve">Continuing (single-agent </w:t>
            </w:r>
            <w:proofErr w:type="spellStart"/>
            <w:r>
              <w:t>nivolumab</w:t>
            </w:r>
            <w:proofErr w:type="spellEnd"/>
            <w:r>
              <w:t>) treatment</w:t>
            </w:r>
          </w:p>
        </w:tc>
      </w:tr>
      <w:tr w:rsidR="00F835E7" w:rsidTr="00572081">
        <w:trPr>
          <w:cantSplit/>
          <w:trHeight w:val="172"/>
        </w:trPr>
        <w:tc>
          <w:tcPr>
            <w:tcW w:w="1985" w:type="dxa"/>
            <w:tcBorders>
              <w:top w:val="single" w:sz="4" w:space="0" w:color="auto"/>
              <w:left w:val="single" w:sz="4" w:space="0" w:color="auto"/>
              <w:bottom w:val="single" w:sz="4" w:space="0" w:color="auto"/>
              <w:right w:val="single" w:sz="4" w:space="0" w:color="auto"/>
            </w:tcBorders>
          </w:tcPr>
          <w:p w:rsidR="00F835E7" w:rsidRPr="00045A2B" w:rsidRDefault="00F835E7" w:rsidP="00B44EA5">
            <w:pPr>
              <w:pStyle w:val="Tabletext"/>
              <w:rPr>
                <w:i/>
              </w:rPr>
            </w:pPr>
            <w:r w:rsidRPr="00892A36">
              <w:rPr>
                <w:b/>
              </w:rPr>
              <w:t>Restriction:</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F835E7" w:rsidRPr="00C31A26"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Pr>
                <w:b/>
              </w:rPr>
              <w:t>Clinical</w:t>
            </w:r>
            <w:r w:rsidRPr="00892A36">
              <w:rPr>
                <w:b/>
              </w:rPr>
              <w:t xml:space="preserve"> criteria:</w:t>
            </w:r>
          </w:p>
          <w:p w:rsidR="00F835E7" w:rsidRPr="00045A2B" w:rsidRDefault="00F835E7" w:rsidP="00B44EA5">
            <w:pPr>
              <w:pStyle w:val="Tabletext"/>
              <w:rPr>
                <w:i/>
              </w:rPr>
            </w:pPr>
          </w:p>
        </w:tc>
        <w:tc>
          <w:tcPr>
            <w:tcW w:w="7087" w:type="dxa"/>
            <w:tcBorders>
              <w:top w:val="single" w:sz="4" w:space="0" w:color="auto"/>
              <w:left w:val="single" w:sz="4" w:space="0" w:color="auto"/>
              <w:bottom w:val="single" w:sz="4" w:space="0" w:color="auto"/>
              <w:right w:val="single" w:sz="4" w:space="0" w:color="auto"/>
            </w:tcBorders>
          </w:tcPr>
          <w:p w:rsidR="00313644" w:rsidRPr="00313644" w:rsidRDefault="00313644" w:rsidP="00B44EA5">
            <w:pPr>
              <w:pStyle w:val="Tabletext"/>
              <w:rPr>
                <w:i/>
              </w:rPr>
            </w:pPr>
            <w:r>
              <w:rPr>
                <w:i/>
              </w:rPr>
              <w:t xml:space="preserve">Patient must have previously received PBS-subsidised induction treatment with </w:t>
            </w:r>
            <w:proofErr w:type="spellStart"/>
            <w:r>
              <w:rPr>
                <w:i/>
              </w:rPr>
              <w:t>nivolumab</w:t>
            </w:r>
            <w:proofErr w:type="spellEnd"/>
            <w:r>
              <w:rPr>
                <w:i/>
              </w:rPr>
              <w:t xml:space="preserve"> and </w:t>
            </w:r>
            <w:proofErr w:type="spellStart"/>
            <w:r>
              <w:rPr>
                <w:i/>
              </w:rPr>
              <w:t>ipilimumab</w:t>
            </w:r>
            <w:proofErr w:type="spellEnd"/>
            <w:r>
              <w:rPr>
                <w:i/>
              </w:rPr>
              <w:t xml:space="preserve"> combination therapy for this condition,</w:t>
            </w:r>
          </w:p>
          <w:p w:rsidR="00F835E7" w:rsidRPr="00313644" w:rsidRDefault="00F835E7" w:rsidP="00B44EA5">
            <w:pPr>
              <w:pStyle w:val="Tabletext"/>
              <w:rPr>
                <w:strike/>
              </w:rPr>
            </w:pPr>
            <w:r w:rsidRPr="00313644">
              <w:rPr>
                <w:strike/>
              </w:rPr>
              <w:t xml:space="preserve">Patient must have previously been issued with authority prescriptions for induction phase </w:t>
            </w:r>
            <w:proofErr w:type="spellStart"/>
            <w:r w:rsidRPr="00313644">
              <w:rPr>
                <w:strike/>
              </w:rPr>
              <w:t>ipilimumab</w:t>
            </w:r>
            <w:proofErr w:type="spellEnd"/>
            <w:r w:rsidRPr="00313644">
              <w:rPr>
                <w:strike/>
              </w:rPr>
              <w:t xml:space="preserve"> and </w:t>
            </w:r>
            <w:proofErr w:type="spellStart"/>
            <w:r w:rsidRPr="00313644">
              <w:rPr>
                <w:strike/>
              </w:rPr>
              <w:t>nivolumab</w:t>
            </w:r>
            <w:proofErr w:type="spellEnd"/>
            <w:r w:rsidRPr="00313644">
              <w:rPr>
                <w:strike/>
              </w:rPr>
              <w:t xml:space="preserve"> combination therapy for this condition,</w:t>
            </w:r>
          </w:p>
          <w:p w:rsidR="00F835E7" w:rsidRDefault="00F835E7" w:rsidP="00B44EA5">
            <w:pPr>
              <w:pStyle w:val="Tabletext"/>
            </w:pPr>
            <w:r>
              <w:t>AND</w:t>
            </w:r>
          </w:p>
          <w:p w:rsidR="00F835E7" w:rsidRDefault="00F835E7" w:rsidP="00B44EA5">
            <w:pPr>
              <w:pStyle w:val="Tabletext"/>
            </w:pPr>
            <w:r>
              <w:t>This drug must be the sole PBS-subsidised treatment for this condition,</w:t>
            </w:r>
          </w:p>
          <w:p w:rsidR="00F835E7" w:rsidRDefault="00F835E7" w:rsidP="00B44EA5">
            <w:pPr>
              <w:pStyle w:val="Tabletext"/>
            </w:pPr>
            <w:r>
              <w:t>AND</w:t>
            </w:r>
          </w:p>
          <w:p w:rsidR="00313644" w:rsidRPr="00313644" w:rsidRDefault="00313644" w:rsidP="00B44EA5">
            <w:pPr>
              <w:pStyle w:val="Tabletext"/>
              <w:rPr>
                <w:i/>
              </w:rPr>
            </w:pPr>
            <w:r w:rsidRPr="00313644">
              <w:rPr>
                <w:i/>
              </w:rPr>
              <w:t>Patient must not have developed disease progression</w:t>
            </w:r>
            <w:r>
              <w:t xml:space="preserve"> </w:t>
            </w:r>
            <w:r w:rsidRPr="00313644">
              <w:rPr>
                <w:i/>
              </w:rPr>
              <w:t xml:space="preserve">whilst being treated with </w:t>
            </w:r>
            <w:proofErr w:type="spellStart"/>
            <w:r w:rsidRPr="00313644">
              <w:rPr>
                <w:i/>
              </w:rPr>
              <w:t>nivolumab</w:t>
            </w:r>
            <w:proofErr w:type="spellEnd"/>
            <w:r w:rsidRPr="00313644">
              <w:rPr>
                <w:i/>
              </w:rPr>
              <w:t xml:space="preserve"> and </w:t>
            </w:r>
            <w:proofErr w:type="spellStart"/>
            <w:r w:rsidRPr="00313644">
              <w:rPr>
                <w:i/>
              </w:rPr>
              <w:t>ipilimumab</w:t>
            </w:r>
            <w:proofErr w:type="spellEnd"/>
            <w:r w:rsidRPr="00313644">
              <w:rPr>
                <w:i/>
              </w:rPr>
              <w:t xml:space="preserve"> combination therapy for this condition,</w:t>
            </w:r>
          </w:p>
          <w:p w:rsidR="00F835E7" w:rsidRPr="00313644" w:rsidRDefault="00F835E7" w:rsidP="00B44EA5">
            <w:pPr>
              <w:pStyle w:val="Tabletext"/>
              <w:rPr>
                <w:strike/>
              </w:rPr>
            </w:pPr>
            <w:r w:rsidRPr="00313644">
              <w:rPr>
                <w:strike/>
              </w:rPr>
              <w:t>Patients must have stable or responding disease,</w:t>
            </w:r>
          </w:p>
          <w:p w:rsidR="00F835E7" w:rsidRDefault="00F835E7" w:rsidP="00B44EA5">
            <w:pPr>
              <w:pStyle w:val="Tabletext"/>
            </w:pPr>
            <w:r>
              <w:t>AND</w:t>
            </w:r>
          </w:p>
          <w:p w:rsidR="00F835E7" w:rsidRPr="003D1BE4" w:rsidRDefault="00F835E7" w:rsidP="00B44EA5">
            <w:pPr>
              <w:pStyle w:val="Tabletext"/>
            </w:pPr>
            <w:r>
              <w:t xml:space="preserve">The treatment with </w:t>
            </w:r>
            <w:proofErr w:type="spellStart"/>
            <w:r>
              <w:t>nivolumab</w:t>
            </w:r>
            <w:proofErr w:type="spellEnd"/>
            <w:r>
              <w:t xml:space="preserve"> must not exceed a maximum dose of 3 mg per kg every 2 weeks.</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sidRPr="00892A36">
              <w:rPr>
                <w:b/>
              </w:rPr>
              <w:t>Prescriber Instructions:</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t>The patient’s body weight must be documented in the patient’s medical records at the time treatment is initiated.</w:t>
            </w:r>
          </w:p>
        </w:tc>
      </w:tr>
      <w:tr w:rsidR="00F835E7" w:rsidTr="00F835E7">
        <w:trPr>
          <w:cantSplit/>
        </w:trPr>
        <w:tc>
          <w:tcPr>
            <w:tcW w:w="1985" w:type="dxa"/>
            <w:tcBorders>
              <w:top w:val="single" w:sz="4" w:space="0" w:color="auto"/>
              <w:left w:val="single" w:sz="4" w:space="0" w:color="auto"/>
              <w:bottom w:val="single" w:sz="4" w:space="0" w:color="auto"/>
              <w:right w:val="single" w:sz="4" w:space="0" w:color="auto"/>
            </w:tcBorders>
          </w:tcPr>
          <w:p w:rsidR="00F835E7" w:rsidRPr="00892A36" w:rsidRDefault="00F835E7" w:rsidP="00B44EA5">
            <w:pPr>
              <w:pStyle w:val="Tabletext"/>
              <w:rPr>
                <w:b/>
              </w:rPr>
            </w:pPr>
            <w:r w:rsidRPr="00892A36">
              <w:rPr>
                <w:b/>
              </w:rPr>
              <w:lastRenderedPageBreak/>
              <w:t>Administrative Advice:</w:t>
            </w:r>
          </w:p>
        </w:tc>
        <w:tc>
          <w:tcPr>
            <w:tcW w:w="7087" w:type="dxa"/>
            <w:tcBorders>
              <w:top w:val="single" w:sz="4" w:space="0" w:color="auto"/>
              <w:left w:val="single" w:sz="4" w:space="0" w:color="auto"/>
              <w:bottom w:val="single" w:sz="4" w:space="0" w:color="auto"/>
              <w:right w:val="single" w:sz="4" w:space="0" w:color="auto"/>
            </w:tcBorders>
          </w:tcPr>
          <w:p w:rsidR="00F835E7" w:rsidRDefault="00F835E7" w:rsidP="00B44EA5">
            <w:pPr>
              <w:pStyle w:val="Tabletext"/>
            </w:pPr>
            <w:r>
              <w:t>No increase in the maximum number of repeats may be authorised.</w:t>
            </w:r>
          </w:p>
          <w:p w:rsidR="00F835E7" w:rsidRDefault="00F835E7" w:rsidP="00B44EA5">
            <w:pPr>
              <w:pStyle w:val="Tabletext"/>
            </w:pPr>
            <w:r>
              <w:t>Special Pricing Arrangements apply.</w:t>
            </w:r>
          </w:p>
        </w:tc>
      </w:tr>
    </w:tbl>
    <w:p w:rsidR="00697472" w:rsidRDefault="00697472" w:rsidP="00697472"/>
    <w:p w:rsidR="00697472" w:rsidRPr="00D703C9" w:rsidRDefault="00697472" w:rsidP="00EF1D65">
      <w:pPr>
        <w:pStyle w:val="ListParagraph"/>
        <w:widowControl/>
        <w:numPr>
          <w:ilvl w:val="1"/>
          <w:numId w:val="2"/>
        </w:numPr>
      </w:pPr>
      <w:r w:rsidRPr="00D75562">
        <w:t>The resubmission proposed a special pricing arrangement</w:t>
      </w:r>
      <w:r w:rsidR="00BE16FC" w:rsidRPr="00D75562">
        <w:t>, with the effective ex-</w:t>
      </w:r>
      <w:r w:rsidR="00BE16FC" w:rsidRPr="00AA55A3">
        <w:t xml:space="preserve">manufacturer prices for </w:t>
      </w:r>
      <w:proofErr w:type="spellStart"/>
      <w:r w:rsidR="00BE16FC" w:rsidRPr="00AA55A3">
        <w:t>nivolumab</w:t>
      </w:r>
      <w:proofErr w:type="spellEnd"/>
      <w:r w:rsidR="00BE16FC" w:rsidRPr="00AA55A3">
        <w:t xml:space="preserve"> and </w:t>
      </w:r>
      <w:proofErr w:type="spellStart"/>
      <w:r w:rsidR="00BE16FC" w:rsidRPr="00AA55A3">
        <w:t>ipilimumab</w:t>
      </w:r>
      <w:proofErr w:type="spellEnd"/>
      <w:r w:rsidR="00BE16FC" w:rsidRPr="00AA55A3">
        <w:t>, when dispensed as components of combination therapy</w:t>
      </w:r>
      <w:r w:rsidR="0013471E" w:rsidRPr="00AA55A3">
        <w:t xml:space="preserve"> (both the induction and </w:t>
      </w:r>
      <w:r w:rsidR="00813599" w:rsidRPr="00AA55A3">
        <w:t>continuing</w:t>
      </w:r>
      <w:r w:rsidR="0013471E" w:rsidRPr="00AA55A3">
        <w:t xml:space="preserve"> phases)</w:t>
      </w:r>
      <w:r w:rsidR="00BE16FC" w:rsidRPr="00AA55A3">
        <w:t>, derived in the cost analysis presented in the resubmission</w:t>
      </w:r>
      <w:r w:rsidRPr="00AA55A3">
        <w:t xml:space="preserve">. </w:t>
      </w:r>
      <w:r w:rsidR="00E1282A">
        <w:t xml:space="preserve">The PBAC noted that, compared to the </w:t>
      </w:r>
      <w:r w:rsidR="00742575">
        <w:t xml:space="preserve">dispensed price for maximum quantity (DPMQ) proposed in the </w:t>
      </w:r>
      <w:r w:rsidR="00E1282A">
        <w:t>March 2017 submission, the</w:t>
      </w:r>
      <w:r w:rsidR="00E63180">
        <w:t xml:space="preserve"> effective dispensed</w:t>
      </w:r>
      <w:r w:rsidR="00E1282A">
        <w:t xml:space="preserve"> price of </w:t>
      </w:r>
      <w:proofErr w:type="spellStart"/>
      <w:r w:rsidR="00E1282A">
        <w:t>nivolumab</w:t>
      </w:r>
      <w:proofErr w:type="spellEnd"/>
      <w:r w:rsidR="00D47F8B">
        <w:t xml:space="preserve"> </w:t>
      </w:r>
      <w:r w:rsidR="00742575">
        <w:t xml:space="preserve">in the July 2018 resubmission </w:t>
      </w:r>
      <w:r w:rsidR="00D47F8B">
        <w:t>was reduc</w:t>
      </w:r>
      <w:r w:rsidR="00E1282A">
        <w:t xml:space="preserve">ed </w:t>
      </w:r>
      <w:r w:rsidR="00E1282A" w:rsidRPr="00D703C9">
        <w:t xml:space="preserve">by </w:t>
      </w:r>
      <w:r w:rsidR="00E94B3A">
        <w:rPr>
          <w:noProof/>
          <w:color w:val="000000"/>
          <w:highlight w:val="black"/>
        </w:rPr>
        <w:t>'''''</w:t>
      </w:r>
      <w:r w:rsidR="00E1282A" w:rsidRPr="00D703C9">
        <w:t xml:space="preserve">% in the induction phase and </w:t>
      </w:r>
      <w:r w:rsidR="00E94B3A">
        <w:rPr>
          <w:noProof/>
          <w:color w:val="000000"/>
          <w:highlight w:val="black"/>
        </w:rPr>
        <w:t>''''''</w:t>
      </w:r>
      <w:r w:rsidR="00E1282A" w:rsidRPr="00D703C9">
        <w:t xml:space="preserve">% </w:t>
      </w:r>
      <w:r w:rsidR="00CB188E" w:rsidRPr="00D703C9">
        <w:t>in</w:t>
      </w:r>
      <w:r w:rsidR="00E1282A" w:rsidRPr="00D703C9">
        <w:t xml:space="preserve"> the continuing phase</w:t>
      </w:r>
      <w:r w:rsidR="00742575" w:rsidRPr="00D703C9">
        <w:t xml:space="preserve"> and </w:t>
      </w:r>
      <w:r w:rsidR="00E1282A" w:rsidRPr="00D703C9">
        <w:t xml:space="preserve">the price of </w:t>
      </w:r>
      <w:proofErr w:type="spellStart"/>
      <w:r w:rsidR="00E1282A" w:rsidRPr="00D703C9">
        <w:t>ipilimumab</w:t>
      </w:r>
      <w:proofErr w:type="spellEnd"/>
      <w:r w:rsidR="00E1282A" w:rsidRPr="00D703C9">
        <w:t xml:space="preserve"> was reduced by </w:t>
      </w:r>
      <w:r w:rsidR="00E94B3A">
        <w:rPr>
          <w:noProof/>
          <w:color w:val="000000"/>
          <w:highlight w:val="black"/>
        </w:rPr>
        <w:t>'''''</w:t>
      </w:r>
      <w:r w:rsidR="00E1282A" w:rsidRPr="00D703C9">
        <w:t>%.</w:t>
      </w:r>
    </w:p>
    <w:p w:rsidR="00697472" w:rsidRPr="00AA55A3" w:rsidRDefault="00697472" w:rsidP="00EF1D65">
      <w:pPr>
        <w:pStyle w:val="ListParagraph"/>
        <w:widowControl/>
        <w:numPr>
          <w:ilvl w:val="1"/>
          <w:numId w:val="2"/>
        </w:numPr>
      </w:pPr>
      <w:r w:rsidRPr="00AA55A3">
        <w:t xml:space="preserve">The </w:t>
      </w:r>
      <w:r w:rsidR="006A1FC7">
        <w:t>PBA</w:t>
      </w:r>
      <w:r w:rsidR="003D0B3F">
        <w:t>C</w:t>
      </w:r>
      <w:r w:rsidR="006A1FC7">
        <w:t xml:space="preserve"> noted that the </w:t>
      </w:r>
      <w:r w:rsidRPr="00AA55A3">
        <w:t xml:space="preserve">resubmission </w:t>
      </w:r>
      <w:r w:rsidR="006A1FC7">
        <w:t xml:space="preserve">differed from the previous two submissions as it </w:t>
      </w:r>
      <w:r w:rsidRPr="00AA55A3">
        <w:t xml:space="preserve">proposed separate restrictions for patients with BRAF </w:t>
      </w:r>
      <w:r w:rsidR="0090271C" w:rsidRPr="00AA55A3">
        <w:t>V600 mutation negative</w:t>
      </w:r>
      <w:r w:rsidRPr="00AA55A3">
        <w:t xml:space="preserve"> and BRAF </w:t>
      </w:r>
      <w:r w:rsidR="0090271C" w:rsidRPr="00AA55A3">
        <w:t>V600 mutation positive</w:t>
      </w:r>
      <w:r w:rsidRPr="00AA55A3">
        <w:t xml:space="preserve"> melanoma for the induction treatment phase, and specified that patients with BRAF mutant melanoma should have progressed following BRAF inhibitor therapy. In the previous submissions, the requested restriction did not differentiate eligibility criteria for patients with BRAF mutant melanoma from those with BRAF wild type</w:t>
      </w:r>
      <w:r w:rsidR="00D36853" w:rsidRPr="00AA55A3">
        <w:t xml:space="preserve"> melanoma</w:t>
      </w:r>
      <w:r w:rsidRPr="00AA55A3">
        <w:t xml:space="preserve">. </w:t>
      </w:r>
    </w:p>
    <w:p w:rsidR="00697472" w:rsidRPr="006752CF" w:rsidRDefault="00697472" w:rsidP="00EF1D65">
      <w:pPr>
        <w:pStyle w:val="ListParagraph"/>
        <w:widowControl/>
        <w:numPr>
          <w:ilvl w:val="1"/>
          <w:numId w:val="2"/>
        </w:numPr>
      </w:pPr>
      <w:r w:rsidRPr="006752CF">
        <w:t xml:space="preserve">The separate restriction for patients with BRAF mutant melanoma in the resubmission was consistent with the PBAC’s view that the eligibility for NIVO+IPI in patients with BRAF mutant melanoma should generally be restricted to those who have progressed following treatment with a BRAF inhibitor (paragraphs 7.2 and 7.3, 7.06 </w:t>
      </w:r>
      <w:proofErr w:type="spellStart"/>
      <w:r w:rsidRPr="006752CF">
        <w:t>nivolumab</w:t>
      </w:r>
      <w:proofErr w:type="spellEnd"/>
      <w:r w:rsidRPr="006752CF">
        <w:t xml:space="preserve"> plus </w:t>
      </w:r>
      <w:proofErr w:type="spellStart"/>
      <w:r w:rsidRPr="006752CF">
        <w:t>ipilimumab</w:t>
      </w:r>
      <w:proofErr w:type="spellEnd"/>
      <w:r w:rsidRPr="006752CF">
        <w:t xml:space="preserve"> </w:t>
      </w:r>
      <w:r w:rsidR="00411C88" w:rsidRPr="006752CF">
        <w:t>Public Summary Document (</w:t>
      </w:r>
      <w:r w:rsidRPr="006752CF">
        <w:t>PSD</w:t>
      </w:r>
      <w:r w:rsidR="00411C88" w:rsidRPr="006752CF">
        <w:t>)</w:t>
      </w:r>
      <w:r w:rsidRPr="006752CF">
        <w:t>, March 2017 PBAC Meeting).</w:t>
      </w:r>
      <w:r w:rsidR="00813599" w:rsidRPr="006752CF">
        <w:t xml:space="preserve"> However, no comparative evidence was provided in the resubmission for NIVO+IPI versus </w:t>
      </w:r>
      <w:proofErr w:type="spellStart"/>
      <w:r w:rsidR="00813599" w:rsidRPr="006752CF">
        <w:t>nivolumab</w:t>
      </w:r>
      <w:proofErr w:type="spellEnd"/>
      <w:r w:rsidR="00813599" w:rsidRPr="006752CF">
        <w:t xml:space="preserve"> monotherapy in patients with BRAF mutant melanoma who have progressed following BRAF inhibitor therapy.</w:t>
      </w:r>
      <w:r w:rsidR="00613623" w:rsidRPr="006752CF">
        <w:t xml:space="preserve"> The </w:t>
      </w:r>
      <w:r w:rsidR="003D0B3F">
        <w:t>pre-Sub-Committee Response (</w:t>
      </w:r>
      <w:r w:rsidR="00613623" w:rsidRPr="006752CF">
        <w:t>PSCR</w:t>
      </w:r>
      <w:r w:rsidR="003D0B3F">
        <w:t>)</w:t>
      </w:r>
      <w:r w:rsidR="00613623" w:rsidRPr="006752CF">
        <w:t xml:space="preserve"> indicated that this restriction was requested to align with the PBAC’s advice, but that the sponsor intends to explore the potential for NIVO+IPI to be PBS listed in the future for the first-line treatment of patients with BRAF mutant melanoma. </w:t>
      </w:r>
    </w:p>
    <w:p w:rsidR="00697472" w:rsidRPr="006A1FC7" w:rsidRDefault="00697472" w:rsidP="0083049C">
      <w:pPr>
        <w:pStyle w:val="ListParagraph"/>
        <w:widowControl/>
        <w:numPr>
          <w:ilvl w:val="1"/>
          <w:numId w:val="2"/>
        </w:numPr>
      </w:pPr>
      <w:r w:rsidRPr="00AA55A3">
        <w:t xml:space="preserve">The </w:t>
      </w:r>
      <w:r w:rsidR="00F032AA" w:rsidRPr="00AA55A3">
        <w:t>re</w:t>
      </w:r>
      <w:r w:rsidRPr="00AA55A3">
        <w:t xml:space="preserve">submission also requested grandfathering provisions for eligible patients who commence NIVO+IPI therapy before the requested listing is implemented. It </w:t>
      </w:r>
      <w:r w:rsidR="001928EC">
        <w:t>wa</w:t>
      </w:r>
      <w:r w:rsidR="00813599" w:rsidRPr="00AA55A3">
        <w:t xml:space="preserve">s </w:t>
      </w:r>
      <w:r w:rsidRPr="00AA55A3">
        <w:t>estimated that up to 260 patients enrolled in the sponsor’s patient access program may be eligible for NIVO+IPI under this provision.</w:t>
      </w:r>
      <w:r w:rsidR="0083049C">
        <w:t xml:space="preserve"> </w:t>
      </w:r>
      <w:r w:rsidR="0083049C" w:rsidRPr="006A1FC7">
        <w:t>The ESC noted that no details were provided on how this estimate was derived.</w:t>
      </w:r>
      <w:r w:rsidR="00246FC6">
        <w:t xml:space="preserve"> The p</w:t>
      </w:r>
      <w:r w:rsidR="006A1FC7">
        <w:t>re-PBAC re</w:t>
      </w:r>
      <w:r w:rsidR="003A17B1">
        <w:t>s</w:t>
      </w:r>
      <w:r w:rsidR="006A1FC7">
        <w:t xml:space="preserve">ponse provided </w:t>
      </w:r>
      <w:r w:rsidR="001928EC">
        <w:t xml:space="preserve">further </w:t>
      </w:r>
      <w:r w:rsidR="006A1FC7">
        <w:t>detail</w:t>
      </w:r>
      <w:r w:rsidR="001928EC">
        <w:t xml:space="preserve">s, which </w:t>
      </w:r>
      <w:r w:rsidR="008F2EAC">
        <w:t xml:space="preserve">suggested that </w:t>
      </w:r>
      <w:proofErr w:type="gramStart"/>
      <w:r w:rsidR="008F2EAC">
        <w:t>that</w:t>
      </w:r>
      <w:proofErr w:type="gramEnd"/>
      <w:r w:rsidR="008F2EAC">
        <w:t xml:space="preserve"> 315 patients were eligible for grandfathering at the time of PBAC consideration in July 2018, that 268 patients would be eligible in December 2019, and that </w:t>
      </w:r>
      <w:r w:rsidR="001928EC">
        <w:t xml:space="preserve">up to 329 patients might be eligible </w:t>
      </w:r>
      <w:r w:rsidR="008F2EAC">
        <w:t>in the intervening 18 months</w:t>
      </w:r>
      <w:r w:rsidR="001928EC">
        <w:t>.</w:t>
      </w:r>
    </w:p>
    <w:p w:rsidR="00697472" w:rsidRPr="00AA55A3" w:rsidRDefault="00697472" w:rsidP="00EF1D65">
      <w:pPr>
        <w:pStyle w:val="ListParagraph"/>
        <w:widowControl/>
        <w:numPr>
          <w:ilvl w:val="1"/>
          <w:numId w:val="2"/>
        </w:numPr>
      </w:pPr>
      <w:r w:rsidRPr="00AA55A3">
        <w:t xml:space="preserve">The requested PBS restriction was </w:t>
      </w:r>
      <w:r w:rsidR="006A1FC7">
        <w:t xml:space="preserve">in line with the recently updated </w:t>
      </w:r>
      <w:r w:rsidRPr="00AA55A3">
        <w:t xml:space="preserve">TGA-approved indication </w:t>
      </w:r>
      <w:r w:rsidR="006A1FC7">
        <w:t xml:space="preserve">which </w:t>
      </w:r>
      <w:r w:rsidRPr="00AA55A3">
        <w:t>include</w:t>
      </w:r>
      <w:r w:rsidR="006A1FC7">
        <w:t>d</w:t>
      </w:r>
      <w:r w:rsidRPr="00AA55A3">
        <w:t xml:space="preserve"> all patients with </w:t>
      </w:r>
      <w:proofErr w:type="spellStart"/>
      <w:r w:rsidRPr="00AA55A3">
        <w:t>unresectable</w:t>
      </w:r>
      <w:proofErr w:type="spellEnd"/>
      <w:r w:rsidRPr="00AA55A3">
        <w:t xml:space="preserve"> or metastatic melanoma, irrespective of M stage </w:t>
      </w:r>
      <w:r w:rsidR="00813599" w:rsidRPr="00AA55A3">
        <w:t>or</w:t>
      </w:r>
      <w:r w:rsidRPr="00AA55A3">
        <w:t xml:space="preserve"> </w:t>
      </w:r>
      <w:r w:rsidR="003D0B3F" w:rsidRPr="00AA55A3">
        <w:t>lactic dehydrogenase</w:t>
      </w:r>
      <w:r w:rsidR="003D0B3F">
        <w:t xml:space="preserve"> (LDH)</w:t>
      </w:r>
      <w:r w:rsidRPr="00AA55A3">
        <w:t xml:space="preserve"> level. </w:t>
      </w:r>
    </w:p>
    <w:p w:rsidR="00C1386D" w:rsidRPr="00AA55A3" w:rsidRDefault="00C1386D" w:rsidP="00C1386D">
      <w:pPr>
        <w:pStyle w:val="ListParagraph"/>
        <w:widowControl/>
        <w:numPr>
          <w:ilvl w:val="1"/>
          <w:numId w:val="2"/>
        </w:numPr>
      </w:pPr>
      <w:r w:rsidRPr="00AA55A3">
        <w:lastRenderedPageBreak/>
        <w:t>Previously untreated patients with BRAF mutant type tumours were included in the key trial presented in the resubmission (CA209067). This was not consistent with the proposed PBS listing in the resubmission, which restricted eligibility for PBS-subsidised NIVO+IPI in patients with BRAF mutant type tumours to those who had progressed following first line BRAF inhibitor therapy.</w:t>
      </w:r>
    </w:p>
    <w:p w:rsidR="00697472" w:rsidRDefault="007D3D47" w:rsidP="00EF1D65">
      <w:pPr>
        <w:pStyle w:val="ListParagraph"/>
        <w:widowControl/>
        <w:numPr>
          <w:ilvl w:val="1"/>
          <w:numId w:val="2"/>
        </w:numPr>
      </w:pPr>
      <w:r>
        <w:t>The PBAC noted that no</w:t>
      </w:r>
      <w:r w:rsidR="00697472" w:rsidRPr="00AA55A3">
        <w:t xml:space="preserve"> clinical evidence was provided for patients with an Eastern Cooperative Oncology Group (ECOG) performance status of &gt;1, </w:t>
      </w:r>
      <w:r w:rsidR="00EA7A44" w:rsidRPr="006752CF">
        <w:t>patients with ocular melanoma</w:t>
      </w:r>
      <w:r w:rsidR="00EA7A44">
        <w:rPr>
          <w:i/>
        </w:rPr>
        <w:t xml:space="preserve"> </w:t>
      </w:r>
      <w:r w:rsidR="00697472" w:rsidRPr="00AA55A3">
        <w:t xml:space="preserve">or for patients who had received prior systemic therapy for melanoma. Therefore, </w:t>
      </w:r>
      <w:r w:rsidR="00E63180">
        <w:t xml:space="preserve">the PBAC recommended </w:t>
      </w:r>
      <w:r w:rsidR="008D23A8">
        <w:t xml:space="preserve">the </w:t>
      </w:r>
      <w:r w:rsidR="00697472" w:rsidRPr="00AA55A3">
        <w:t>listing restrict</w:t>
      </w:r>
      <w:r w:rsidR="00E63180">
        <w:t xml:space="preserve"> use</w:t>
      </w:r>
      <w:r w:rsidR="00697472" w:rsidRPr="00AA55A3">
        <w:t xml:space="preserve"> to reflect these limitations in clinical evidence.</w:t>
      </w:r>
    </w:p>
    <w:p w:rsidR="00C422CE" w:rsidRPr="00C422CE" w:rsidRDefault="00C422CE" w:rsidP="00C422CE">
      <w:pPr>
        <w:pStyle w:val="ListParagraph"/>
        <w:widowControl/>
        <w:rPr>
          <w:i/>
        </w:rPr>
      </w:pPr>
      <w:r w:rsidRPr="00C422CE">
        <w:rPr>
          <w:i/>
        </w:rPr>
        <w:t>For more detail on PBAC’s view, see section 7 PBAC outcome.</w:t>
      </w:r>
    </w:p>
    <w:p w:rsidR="00697472" w:rsidRPr="00407F2D" w:rsidRDefault="00697472" w:rsidP="00AB44F5">
      <w:pPr>
        <w:pStyle w:val="PBACHeading1"/>
        <w:spacing w:before="120" w:after="120"/>
        <w:outlineLvl w:val="0"/>
      </w:pPr>
      <w:bookmarkStart w:id="3" w:name="_Toc514158487"/>
      <w:r w:rsidRPr="00407F2D">
        <w:t>Background</w:t>
      </w:r>
      <w:bookmarkEnd w:id="3"/>
    </w:p>
    <w:p w:rsidR="00697472" w:rsidRPr="00AB44F5" w:rsidRDefault="00697472" w:rsidP="00AB44F5">
      <w:pPr>
        <w:pStyle w:val="Heading2"/>
        <w:keepNext/>
        <w:spacing w:before="120" w:after="120"/>
        <w:rPr>
          <w:rFonts w:asciiTheme="minorHAnsi" w:hAnsiTheme="minorHAnsi"/>
          <w:bCs/>
          <w:szCs w:val="28"/>
        </w:rPr>
      </w:pPr>
      <w:r w:rsidRPr="00AB44F5">
        <w:rPr>
          <w:rFonts w:asciiTheme="minorHAnsi" w:hAnsiTheme="minorHAnsi"/>
          <w:bCs/>
          <w:szCs w:val="28"/>
        </w:rPr>
        <w:t>Registration status</w:t>
      </w:r>
    </w:p>
    <w:p w:rsidR="00FC3417" w:rsidRPr="00AA55A3" w:rsidRDefault="00FC3417" w:rsidP="00FC3417">
      <w:pPr>
        <w:pStyle w:val="ListParagraph"/>
        <w:widowControl/>
        <w:numPr>
          <w:ilvl w:val="1"/>
          <w:numId w:val="2"/>
        </w:numPr>
      </w:pPr>
      <w:r w:rsidRPr="00AA55A3">
        <w:t xml:space="preserve">Both </w:t>
      </w:r>
      <w:proofErr w:type="spellStart"/>
      <w:r w:rsidRPr="00AA55A3">
        <w:t>nivolumab</w:t>
      </w:r>
      <w:proofErr w:type="spellEnd"/>
      <w:r w:rsidRPr="00AA55A3">
        <w:t xml:space="preserve"> and </w:t>
      </w:r>
      <w:proofErr w:type="spellStart"/>
      <w:r w:rsidRPr="00AA55A3">
        <w:t>ipilimumab</w:t>
      </w:r>
      <w:proofErr w:type="spellEnd"/>
      <w:r w:rsidRPr="00AA55A3">
        <w:t xml:space="preserve"> are currently registered, as monotherapy, for the treatment of patients with </w:t>
      </w:r>
      <w:proofErr w:type="spellStart"/>
      <w:r w:rsidRPr="00AA55A3">
        <w:t>unresectable</w:t>
      </w:r>
      <w:proofErr w:type="spellEnd"/>
      <w:r w:rsidRPr="00AA55A3">
        <w:t xml:space="preserve"> or metastatic melanoma.</w:t>
      </w:r>
    </w:p>
    <w:p w:rsidR="00697472" w:rsidRPr="00AA55A3" w:rsidRDefault="00697472" w:rsidP="00EF1D65">
      <w:pPr>
        <w:pStyle w:val="ListParagraph"/>
        <w:widowControl/>
        <w:numPr>
          <w:ilvl w:val="1"/>
          <w:numId w:val="2"/>
        </w:numPr>
      </w:pPr>
      <w:proofErr w:type="spellStart"/>
      <w:r w:rsidRPr="00AA55A3">
        <w:t>Nivolumab</w:t>
      </w:r>
      <w:proofErr w:type="spellEnd"/>
      <w:r w:rsidRPr="00AA55A3">
        <w:t xml:space="preserve">, in combination with </w:t>
      </w:r>
      <w:proofErr w:type="spellStart"/>
      <w:r w:rsidRPr="00AA55A3">
        <w:t>ipilimumab</w:t>
      </w:r>
      <w:proofErr w:type="spellEnd"/>
      <w:r w:rsidRPr="00AA55A3">
        <w:t>, was registered by the TGA and listed on the Australian Register of Therapeutic Goods on 11 January 2016 for the treatment of patients with metastatic (Stage IV) melanoma with M1c disease</w:t>
      </w:r>
      <w:r w:rsidR="004E2EE8" w:rsidRPr="00AA55A3">
        <w:rPr>
          <w:rStyle w:val="FootnoteReference"/>
        </w:rPr>
        <w:t xml:space="preserve"> </w:t>
      </w:r>
      <w:r w:rsidRPr="00AA55A3">
        <w:t>or elevated lactic dehydrogenase (LDH).</w:t>
      </w:r>
    </w:p>
    <w:p w:rsidR="00697472" w:rsidRPr="00E1706E" w:rsidRDefault="00E64ED1" w:rsidP="00EF1D65">
      <w:pPr>
        <w:pStyle w:val="ListParagraph"/>
        <w:widowControl/>
        <w:numPr>
          <w:ilvl w:val="1"/>
          <w:numId w:val="2"/>
        </w:numPr>
      </w:pPr>
      <w:r w:rsidRPr="00E1706E">
        <w:t>An application was</w:t>
      </w:r>
      <w:r w:rsidR="00697472" w:rsidRPr="00E1706E">
        <w:t xml:space="preserve"> submitted to the TGA to broaden the above </w:t>
      </w:r>
      <w:r w:rsidR="00F110E5" w:rsidRPr="00E1706E">
        <w:t xml:space="preserve">combination </w:t>
      </w:r>
      <w:r w:rsidR="00697472" w:rsidRPr="00E1706E">
        <w:t xml:space="preserve">indication to include all patients with </w:t>
      </w:r>
      <w:proofErr w:type="spellStart"/>
      <w:r w:rsidR="00697472" w:rsidRPr="00E1706E">
        <w:t>unresectable</w:t>
      </w:r>
      <w:proofErr w:type="spellEnd"/>
      <w:r w:rsidR="00697472" w:rsidRPr="00E1706E">
        <w:t xml:space="preserve"> or metastatic melanoma, irrespective of M stage </w:t>
      </w:r>
      <w:r w:rsidR="001761CD" w:rsidRPr="00E1706E">
        <w:t>or</w:t>
      </w:r>
      <w:r w:rsidR="00697472" w:rsidRPr="00E1706E">
        <w:t xml:space="preserve"> LDH level. </w:t>
      </w:r>
      <w:r w:rsidR="003C3EA0">
        <w:t>T</w:t>
      </w:r>
      <w:r w:rsidR="00FC3417" w:rsidRPr="00E1706E">
        <w:t>he TGA approved the registration of the combination for the following indication:</w:t>
      </w:r>
    </w:p>
    <w:p w:rsidR="00697472" w:rsidRPr="00E1706E" w:rsidRDefault="00697472" w:rsidP="00697472">
      <w:pPr>
        <w:pStyle w:val="ListParagraph"/>
        <w:widowControl/>
        <w:ind w:left="882"/>
      </w:pPr>
      <w:proofErr w:type="spellStart"/>
      <w:r w:rsidRPr="00E1706E">
        <w:t>Opdivo</w:t>
      </w:r>
      <w:proofErr w:type="spellEnd"/>
      <w:r w:rsidRPr="00E1706E">
        <w:t xml:space="preserve"> (</w:t>
      </w:r>
      <w:proofErr w:type="spellStart"/>
      <w:r w:rsidRPr="00E1706E">
        <w:t>nivolumab</w:t>
      </w:r>
      <w:proofErr w:type="spellEnd"/>
      <w:r w:rsidRPr="00E1706E">
        <w:t xml:space="preserve">), in combination with </w:t>
      </w:r>
      <w:proofErr w:type="spellStart"/>
      <w:r w:rsidRPr="00E1706E">
        <w:t>Yervoy</w:t>
      </w:r>
      <w:proofErr w:type="spellEnd"/>
      <w:r w:rsidRPr="00E1706E">
        <w:t xml:space="preserve"> (</w:t>
      </w:r>
      <w:proofErr w:type="spellStart"/>
      <w:r w:rsidRPr="00E1706E">
        <w:t>ipilimumab</w:t>
      </w:r>
      <w:proofErr w:type="spellEnd"/>
      <w:r w:rsidRPr="00E1706E">
        <w:t xml:space="preserve">), is indicated for the treatment of patients with </w:t>
      </w:r>
      <w:proofErr w:type="spellStart"/>
      <w:r w:rsidRPr="00E1706E">
        <w:t>unresectable</w:t>
      </w:r>
      <w:proofErr w:type="spellEnd"/>
      <w:r w:rsidRPr="00E1706E">
        <w:t xml:space="preserve"> or metastatic melanoma.</w:t>
      </w:r>
    </w:p>
    <w:p w:rsidR="00E66E1F" w:rsidRPr="00E1706E" w:rsidRDefault="00E66E1F" w:rsidP="00E66E1F">
      <w:pPr>
        <w:pStyle w:val="ListParagraph"/>
        <w:widowControl/>
        <w:numPr>
          <w:ilvl w:val="1"/>
          <w:numId w:val="2"/>
        </w:numPr>
      </w:pPr>
      <w:r w:rsidRPr="00E1706E">
        <w:t>Both the TGA application to broaden the indication and the current PBAC application were based on updated 3-year data from the CA209067 trial. The TGA application</w:t>
      </w:r>
      <w:r w:rsidR="004562AA" w:rsidRPr="00E1706E">
        <w:t xml:space="preserve"> which resulted in registration of</w:t>
      </w:r>
      <w:r w:rsidRPr="00E1706E">
        <w:t xml:space="preserve"> the subgroup of patients with metastatic (Stage IV) melanoma with M1c disease</w:t>
      </w:r>
      <w:r w:rsidRPr="00E1706E">
        <w:rPr>
          <w:rStyle w:val="FootnoteReference"/>
        </w:rPr>
        <w:t xml:space="preserve"> </w:t>
      </w:r>
      <w:r w:rsidRPr="00E1706E">
        <w:t xml:space="preserve">or elevated LDH </w:t>
      </w:r>
      <w:r w:rsidR="004562AA" w:rsidRPr="00E1706E">
        <w:t>was</w:t>
      </w:r>
      <w:r w:rsidRPr="00E1706E">
        <w:t xml:space="preserve"> based on </w:t>
      </w:r>
      <w:r w:rsidR="004562AA" w:rsidRPr="00E1706E">
        <w:t>an interim analysis</w:t>
      </w:r>
      <w:r w:rsidRPr="00E1706E">
        <w:t xml:space="preserve"> from the CA209067 trial.</w:t>
      </w:r>
    </w:p>
    <w:p w:rsidR="00697472" w:rsidRPr="00AB44F5" w:rsidRDefault="00697472" w:rsidP="00AB44F5">
      <w:pPr>
        <w:pStyle w:val="Heading2"/>
        <w:keepNext/>
        <w:spacing w:before="120" w:after="120"/>
        <w:rPr>
          <w:rFonts w:asciiTheme="minorHAnsi" w:hAnsiTheme="minorHAnsi"/>
          <w:bCs/>
          <w:szCs w:val="28"/>
        </w:rPr>
      </w:pPr>
      <w:r w:rsidRPr="00AB44F5">
        <w:rPr>
          <w:rFonts w:asciiTheme="minorHAnsi" w:hAnsiTheme="minorHAnsi"/>
          <w:bCs/>
          <w:szCs w:val="28"/>
        </w:rPr>
        <w:t>Previous PBAC consideration</w:t>
      </w:r>
    </w:p>
    <w:p w:rsidR="00697472" w:rsidRPr="00AA55A3" w:rsidRDefault="00697472" w:rsidP="00B3185E">
      <w:pPr>
        <w:pStyle w:val="ListParagraph"/>
        <w:keepNext/>
        <w:widowControl/>
        <w:numPr>
          <w:ilvl w:val="1"/>
          <w:numId w:val="2"/>
        </w:numPr>
      </w:pPr>
      <w:r w:rsidRPr="00AA55A3">
        <w:t xml:space="preserve">This was the third consideration of NIVO+IPI by the PBAC for the treatment of </w:t>
      </w:r>
      <w:proofErr w:type="spellStart"/>
      <w:r w:rsidRPr="00AA55A3">
        <w:t>unresectable</w:t>
      </w:r>
      <w:proofErr w:type="spellEnd"/>
      <w:r w:rsidRPr="00AA55A3">
        <w:t xml:space="preserve"> Stage III or Stage IV malignant melanoma. The </w:t>
      </w:r>
      <w:r w:rsidR="00813599" w:rsidRPr="00AA55A3">
        <w:t xml:space="preserve">previous two </w:t>
      </w:r>
      <w:r w:rsidRPr="00AA55A3">
        <w:t>submission</w:t>
      </w:r>
      <w:r w:rsidR="00813599" w:rsidRPr="00AA55A3">
        <w:t>s</w:t>
      </w:r>
      <w:r w:rsidRPr="00AA55A3">
        <w:t xml:space="preserve"> w</w:t>
      </w:r>
      <w:r w:rsidR="00813599" w:rsidRPr="00AA55A3">
        <w:t>ere</w:t>
      </w:r>
      <w:r w:rsidRPr="00AA55A3">
        <w:t xml:space="preserve"> considered by the PBAC in November 2015 and March 2017.</w:t>
      </w:r>
    </w:p>
    <w:p w:rsidR="00697472" w:rsidRPr="00AA55A3" w:rsidRDefault="00697472" w:rsidP="00EF1D65">
      <w:pPr>
        <w:pStyle w:val="ListParagraph"/>
        <w:widowControl/>
        <w:numPr>
          <w:ilvl w:val="1"/>
          <w:numId w:val="2"/>
        </w:numPr>
      </w:pPr>
      <w:r w:rsidRPr="00AA55A3">
        <w:t xml:space="preserve">Pembrolizumab and </w:t>
      </w:r>
      <w:proofErr w:type="spellStart"/>
      <w:r w:rsidRPr="00AA55A3">
        <w:t>nivolumab</w:t>
      </w:r>
      <w:proofErr w:type="spellEnd"/>
      <w:r w:rsidRPr="00AA55A3">
        <w:t xml:space="preserve">, two </w:t>
      </w:r>
      <w:r w:rsidR="004E2EE8" w:rsidRPr="00AA55A3">
        <w:t>programmed cell death 1 (</w:t>
      </w:r>
      <w:r w:rsidRPr="00AA55A3">
        <w:t>PD-1</w:t>
      </w:r>
      <w:r w:rsidR="004E2EE8" w:rsidRPr="00AA55A3">
        <w:t>)</w:t>
      </w:r>
      <w:r w:rsidRPr="00AA55A3">
        <w:t xml:space="preserve"> inhibitors, were recommended as monotherapies by the PBAC in March 2015 and November 2015, respectively, for the same indication. Ipilimumab was recommended by the PBAC in November 2012 for this indication. </w:t>
      </w:r>
    </w:p>
    <w:p w:rsidR="001D1DC1" w:rsidRPr="00AA55A3" w:rsidRDefault="001D1DC1" w:rsidP="001D1DC1">
      <w:pPr>
        <w:pStyle w:val="ListParagraph"/>
        <w:widowControl/>
        <w:numPr>
          <w:ilvl w:val="1"/>
          <w:numId w:val="2"/>
        </w:numPr>
      </w:pPr>
      <w:r w:rsidRPr="00AA55A3">
        <w:rPr>
          <w:rFonts w:cs="Calibri"/>
          <w:snapToGrid/>
          <w:szCs w:val="24"/>
          <w:lang w:val="en-US" w:eastAsia="en-AU"/>
        </w:rPr>
        <w:lastRenderedPageBreak/>
        <w:t xml:space="preserve">The table below briefly </w:t>
      </w:r>
      <w:r w:rsidRPr="00AA55A3">
        <w:rPr>
          <w:rFonts w:cs="Calibri"/>
          <w:snapToGrid/>
          <w:szCs w:val="24"/>
          <w:lang w:eastAsia="en-AU"/>
        </w:rPr>
        <w:t>summarises</w:t>
      </w:r>
      <w:r w:rsidRPr="00AA55A3">
        <w:rPr>
          <w:rFonts w:cs="Calibri"/>
          <w:snapToGrid/>
          <w:szCs w:val="24"/>
          <w:lang w:val="en-US" w:eastAsia="en-AU"/>
        </w:rPr>
        <w:t xml:space="preserve"> the key outstanding matters from the most recent PBAC considerations (at the March 2017 PBAC meeting) and how the resubmission addressed those conce</w:t>
      </w:r>
      <w:r w:rsidR="00AB44F5">
        <w:rPr>
          <w:rFonts w:cs="Calibri"/>
          <w:snapToGrid/>
          <w:szCs w:val="24"/>
          <w:lang w:val="en-US" w:eastAsia="en-AU"/>
        </w:rPr>
        <w:t>rns.</w:t>
      </w:r>
    </w:p>
    <w:p w:rsidR="00AB44F5" w:rsidRDefault="00AB44F5">
      <w:pPr>
        <w:widowControl/>
        <w:jc w:val="left"/>
        <w:rPr>
          <w:rFonts w:ascii="Arial Narrow" w:hAnsi="Arial Narrow"/>
          <w:b/>
          <w:bCs/>
          <w:sz w:val="20"/>
          <w:szCs w:val="20"/>
        </w:rPr>
      </w:pPr>
      <w:r>
        <w:br w:type="page"/>
      </w:r>
    </w:p>
    <w:p w:rsidR="00470353" w:rsidRPr="00AA55A3" w:rsidRDefault="00470353" w:rsidP="003534E2">
      <w:pPr>
        <w:pStyle w:val="Caption"/>
        <w:keepNext/>
      </w:pPr>
      <w:r w:rsidRPr="00AA55A3">
        <w:lastRenderedPageBreak/>
        <w:t xml:space="preserve">Table </w:t>
      </w:r>
      <w:r w:rsidR="00622B9E">
        <w:rPr>
          <w:noProof/>
        </w:rPr>
        <w:t>2</w:t>
      </w:r>
      <w:r w:rsidRPr="00AA55A3">
        <w:t>: Summary of key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573"/>
      </w:tblGrid>
      <w:tr w:rsidR="001D1DC1" w:rsidRPr="00AA55A3" w:rsidTr="00942094">
        <w:trPr>
          <w:tblHeader/>
        </w:trPr>
        <w:tc>
          <w:tcPr>
            <w:tcW w:w="0" w:type="auto"/>
            <w:vAlign w:val="center"/>
          </w:tcPr>
          <w:p w:rsidR="001D1DC1" w:rsidRPr="00AA55A3" w:rsidRDefault="001D1DC1" w:rsidP="003534E2">
            <w:pPr>
              <w:pStyle w:val="Tabletext"/>
              <w:keepNext/>
              <w:rPr>
                <w:b/>
              </w:rPr>
            </w:pPr>
            <w:r w:rsidRPr="00AA55A3">
              <w:rPr>
                <w:b/>
              </w:rPr>
              <w:t>Matter of concern (March 2017 PBAC PSD)</w:t>
            </w:r>
          </w:p>
        </w:tc>
        <w:tc>
          <w:tcPr>
            <w:tcW w:w="0" w:type="auto"/>
            <w:vAlign w:val="center"/>
          </w:tcPr>
          <w:p w:rsidR="001D1DC1" w:rsidRPr="00AA55A3" w:rsidRDefault="001D1DC1" w:rsidP="003534E2">
            <w:pPr>
              <w:pStyle w:val="Tabletext"/>
              <w:keepNext/>
              <w:rPr>
                <w:b/>
              </w:rPr>
            </w:pPr>
            <w:r w:rsidRPr="00AA55A3">
              <w:rPr>
                <w:b/>
              </w:rPr>
              <w:t>How the resubmission addresses it</w:t>
            </w:r>
          </w:p>
        </w:tc>
      </w:tr>
      <w:tr w:rsidR="001D1DC1" w:rsidRPr="00AA55A3" w:rsidTr="00942094">
        <w:tc>
          <w:tcPr>
            <w:tcW w:w="0" w:type="auto"/>
          </w:tcPr>
          <w:p w:rsidR="001D1DC1" w:rsidRPr="00AA55A3" w:rsidRDefault="001D1DC1" w:rsidP="003534E2">
            <w:pPr>
              <w:pStyle w:val="Tabletext"/>
              <w:keepNext/>
              <w:rPr>
                <w:rFonts w:cs="Arial"/>
                <w:bCs/>
              </w:rPr>
            </w:pPr>
            <w:r w:rsidRPr="00AA55A3">
              <w:rPr>
                <w:rFonts w:cs="Arial"/>
                <w:bCs/>
              </w:rPr>
              <w:t xml:space="preserve">[paragraph 7.2] </w:t>
            </w:r>
            <w:r w:rsidRPr="00AA55A3">
              <w:rPr>
                <w:rFonts w:cs="Arial"/>
                <w:bCs/>
                <w:lang w:val="en-GB"/>
              </w:rPr>
              <w:t>T</w:t>
            </w:r>
            <w:r w:rsidRPr="00AA55A3">
              <w:rPr>
                <w:rFonts w:cs="Arial"/>
                <w:bCs/>
              </w:rPr>
              <w:t xml:space="preserve">he requested restriction included all patients with Stage III or IV </w:t>
            </w:r>
            <w:proofErr w:type="spellStart"/>
            <w:r w:rsidRPr="00AA55A3">
              <w:rPr>
                <w:rFonts w:cs="Arial"/>
                <w:bCs/>
              </w:rPr>
              <w:t>unresectable</w:t>
            </w:r>
            <w:proofErr w:type="spellEnd"/>
            <w:r w:rsidRPr="00AA55A3">
              <w:rPr>
                <w:rFonts w:cs="Arial"/>
                <w:bCs/>
              </w:rPr>
              <w:t xml:space="preserve"> metastatic melanoma, irrespective of BRAF status or treatment line. However, there were no clinical data presented to support the use of NIVO+IPI in the 2L setting following a BRAF + MEK inhibitor. </w:t>
            </w:r>
          </w:p>
          <w:p w:rsidR="001D1DC1" w:rsidRPr="00AA55A3" w:rsidRDefault="001D1DC1" w:rsidP="003534E2">
            <w:pPr>
              <w:pStyle w:val="Tabletext"/>
              <w:keepNext/>
              <w:rPr>
                <w:rFonts w:cs="Arial"/>
                <w:bCs/>
              </w:rPr>
            </w:pPr>
          </w:p>
          <w:p w:rsidR="00996BF2" w:rsidRPr="00AA55A3" w:rsidRDefault="00996BF2" w:rsidP="003534E2">
            <w:pPr>
              <w:pStyle w:val="Tabletext"/>
              <w:keepNext/>
              <w:rPr>
                <w:rFonts w:cs="Arial"/>
                <w:bCs/>
              </w:rPr>
            </w:pPr>
            <w:r w:rsidRPr="00AA55A3">
              <w:rPr>
                <w:rFonts w:cs="Arial"/>
                <w:bCs/>
              </w:rPr>
              <w:t>[Paragraph 7.3] The PBAC noted the findings of a recent network meta-analysis (</w:t>
            </w:r>
            <w:proofErr w:type="spellStart"/>
            <w:r w:rsidRPr="00AA55A3">
              <w:rPr>
                <w:rFonts w:cs="Arial"/>
                <w:bCs/>
              </w:rPr>
              <w:t>Pasquali</w:t>
            </w:r>
            <w:proofErr w:type="spellEnd"/>
            <w:r w:rsidRPr="00AA55A3">
              <w:rPr>
                <w:rFonts w:cs="Arial"/>
                <w:bCs/>
              </w:rPr>
              <w:t xml:space="preserve"> et al, 2017) which showed that, where indicated for patients with </w:t>
            </w:r>
            <w:proofErr w:type="gramStart"/>
            <w:r w:rsidRPr="00AA55A3">
              <w:rPr>
                <w:rFonts w:cs="Arial"/>
                <w:bCs/>
              </w:rPr>
              <w:t>melanoma,</w:t>
            </w:r>
            <w:proofErr w:type="gramEnd"/>
            <w:r w:rsidRPr="00AA55A3">
              <w:rPr>
                <w:rFonts w:cs="Arial"/>
                <w:bCs/>
              </w:rPr>
              <w:t xml:space="preserve"> a combination of BRAF+MEK inhibitors was both more efficacious and less toxic than combination immunotherapy. In addition, the PBAC noted the clinical need of NIVO+IPI in BRAF MT patients following failure of BRAF+MEK inhibitor treatment. The PBAC advised that 2L treatment with combination immunotherapy following disease progression with BRAF+MEK inhibitor treatment would be appropriate for patients with BRAF MT melanoma.</w:t>
            </w:r>
          </w:p>
        </w:tc>
        <w:tc>
          <w:tcPr>
            <w:tcW w:w="0" w:type="auto"/>
          </w:tcPr>
          <w:p w:rsidR="001D1DC1" w:rsidRPr="00AA55A3" w:rsidRDefault="001D1DC1" w:rsidP="003534E2">
            <w:pPr>
              <w:pStyle w:val="Tabletext"/>
              <w:keepNext/>
              <w:rPr>
                <w:rFonts w:cs="Arial"/>
              </w:rPr>
            </w:pPr>
            <w:r w:rsidRPr="00AA55A3">
              <w:rPr>
                <w:rFonts w:cs="Arial"/>
              </w:rPr>
              <w:t xml:space="preserve">The resubmission revised the proposed restrictions to include: </w:t>
            </w:r>
          </w:p>
          <w:p w:rsidR="001D1DC1" w:rsidRPr="00AA55A3" w:rsidRDefault="001D1DC1" w:rsidP="003534E2">
            <w:pPr>
              <w:pStyle w:val="Tabletext"/>
              <w:keepNext/>
              <w:numPr>
                <w:ilvl w:val="0"/>
                <w:numId w:val="21"/>
              </w:numPr>
              <w:ind w:left="317" w:hanging="283"/>
              <w:rPr>
                <w:rFonts w:cs="Arial"/>
              </w:rPr>
            </w:pPr>
            <w:r w:rsidRPr="00AA55A3">
              <w:rPr>
                <w:rFonts w:cs="Arial"/>
              </w:rPr>
              <w:t>1L treatment of patients with BRAF WT melanoma, and</w:t>
            </w:r>
          </w:p>
          <w:p w:rsidR="001D1DC1" w:rsidRPr="00AA55A3" w:rsidRDefault="001D1DC1" w:rsidP="003534E2">
            <w:pPr>
              <w:pStyle w:val="Tabletext"/>
              <w:keepNext/>
              <w:numPr>
                <w:ilvl w:val="0"/>
                <w:numId w:val="21"/>
              </w:numPr>
              <w:ind w:left="317" w:hanging="283"/>
              <w:rPr>
                <w:rFonts w:cs="Arial"/>
              </w:rPr>
            </w:pPr>
            <w:r w:rsidRPr="00AA55A3">
              <w:rPr>
                <w:rFonts w:cs="Arial"/>
              </w:rPr>
              <w:t>2L treatment of patients with BRAF MT melanoma who have progresse</w:t>
            </w:r>
            <w:r w:rsidR="00302CDB" w:rsidRPr="00AA55A3">
              <w:rPr>
                <w:rFonts w:cs="Arial"/>
              </w:rPr>
              <w:t>d</w:t>
            </w:r>
            <w:r w:rsidRPr="00AA55A3">
              <w:rPr>
                <w:rFonts w:cs="Arial"/>
              </w:rPr>
              <w:t xml:space="preserve"> following treatment with a BRAF inhibitor (± a MEK inhibitor) </w:t>
            </w:r>
          </w:p>
          <w:p w:rsidR="001D1DC1" w:rsidRPr="00AA55A3" w:rsidRDefault="001D1DC1" w:rsidP="003534E2">
            <w:pPr>
              <w:pStyle w:val="Tabletext"/>
              <w:keepNext/>
              <w:rPr>
                <w:rFonts w:cs="Arial"/>
              </w:rPr>
            </w:pPr>
          </w:p>
          <w:p w:rsidR="00470353" w:rsidRPr="00AA55A3" w:rsidRDefault="001D1DC1" w:rsidP="003534E2">
            <w:pPr>
              <w:pStyle w:val="Tabletext"/>
              <w:keepNext/>
              <w:rPr>
                <w:rFonts w:cs="Arial"/>
              </w:rPr>
            </w:pPr>
            <w:r w:rsidRPr="00AA55A3">
              <w:rPr>
                <w:rFonts w:cs="Arial"/>
              </w:rPr>
              <w:t xml:space="preserve">No data was presented to demonstrate the treatment effect of NIVO+IPI </w:t>
            </w:r>
            <w:r w:rsidR="00470353" w:rsidRPr="00AA55A3">
              <w:rPr>
                <w:rFonts w:cs="Arial"/>
              </w:rPr>
              <w:t xml:space="preserve">compared with </w:t>
            </w:r>
            <w:proofErr w:type="spellStart"/>
            <w:r w:rsidR="00470353" w:rsidRPr="00AA55A3">
              <w:rPr>
                <w:rFonts w:cs="Arial"/>
              </w:rPr>
              <w:t>nivolumab</w:t>
            </w:r>
            <w:proofErr w:type="spellEnd"/>
            <w:r w:rsidR="00470353" w:rsidRPr="00AA55A3">
              <w:rPr>
                <w:rFonts w:cs="Arial"/>
              </w:rPr>
              <w:t xml:space="preserve"> </w:t>
            </w:r>
            <w:r w:rsidRPr="00AA55A3">
              <w:rPr>
                <w:rFonts w:cs="Arial"/>
              </w:rPr>
              <w:t>for treatment of BRAF MT melanoma in patients with disease progression on/after treatment with BRAF inhibitor ± MEK inhibitor</w:t>
            </w:r>
            <w:r w:rsidR="00470353" w:rsidRPr="00AA55A3">
              <w:rPr>
                <w:rFonts w:cs="Arial"/>
              </w:rPr>
              <w:t>.</w:t>
            </w:r>
          </w:p>
        </w:tc>
      </w:tr>
      <w:tr w:rsidR="001D1DC1" w:rsidRPr="00AA55A3" w:rsidTr="00942094">
        <w:trPr>
          <w:trHeight w:val="3682"/>
        </w:trPr>
        <w:tc>
          <w:tcPr>
            <w:tcW w:w="0" w:type="auto"/>
          </w:tcPr>
          <w:p w:rsidR="001D1DC1" w:rsidRPr="00AA55A3" w:rsidRDefault="001D1DC1" w:rsidP="003534E2">
            <w:pPr>
              <w:pStyle w:val="Tabletext"/>
              <w:keepNext/>
              <w:rPr>
                <w:rFonts w:cs="Arial"/>
                <w:bCs/>
              </w:rPr>
            </w:pPr>
            <w:r w:rsidRPr="00AA55A3">
              <w:rPr>
                <w:rFonts w:cs="Arial"/>
                <w:bCs/>
              </w:rPr>
              <w:t xml:space="preserve">[Paragraph 7.1] The use of NIVO+IPI was associated with a modest improvement in PFS, but also a substantial increase in AEs, and the data had not adequately demonstrated any advantage in terms of either </w:t>
            </w:r>
            <w:proofErr w:type="spellStart"/>
            <w:r w:rsidRPr="00AA55A3">
              <w:rPr>
                <w:rFonts w:cs="Arial"/>
                <w:bCs/>
              </w:rPr>
              <w:t>QoL</w:t>
            </w:r>
            <w:proofErr w:type="spellEnd"/>
            <w:r w:rsidRPr="00AA55A3">
              <w:rPr>
                <w:rFonts w:cs="Arial"/>
                <w:bCs/>
              </w:rPr>
              <w:t xml:space="preserve"> or OS associated with combination immunotherapy. </w:t>
            </w:r>
          </w:p>
          <w:p w:rsidR="001D1DC1" w:rsidRPr="00AA55A3" w:rsidRDefault="001D1DC1" w:rsidP="003534E2">
            <w:pPr>
              <w:pStyle w:val="Tabletext"/>
              <w:keepNext/>
              <w:rPr>
                <w:rFonts w:cs="Arial"/>
                <w:bCs/>
              </w:rPr>
            </w:pPr>
          </w:p>
          <w:p w:rsidR="001D1DC1" w:rsidRPr="00AA55A3" w:rsidRDefault="001D1DC1" w:rsidP="003534E2">
            <w:pPr>
              <w:pStyle w:val="Tabletext"/>
              <w:keepNext/>
            </w:pPr>
            <w:r w:rsidRPr="00AA55A3">
              <w:t xml:space="preserve">[Paragraph 7.5] The PBAC noted the updated OS data presented in this submission was immature and showed no statistically significant effect for NIVO+IPI beyond that of NIVO monotherapy. </w:t>
            </w:r>
          </w:p>
          <w:p w:rsidR="001D1DC1" w:rsidRPr="00AA55A3" w:rsidRDefault="001D1DC1" w:rsidP="003534E2">
            <w:pPr>
              <w:pStyle w:val="Tabletext"/>
              <w:keepNext/>
              <w:rPr>
                <w:rFonts w:cs="Arial"/>
              </w:rPr>
            </w:pPr>
          </w:p>
          <w:p w:rsidR="001D1DC1" w:rsidRPr="00AA55A3" w:rsidRDefault="001D1DC1" w:rsidP="003534E2">
            <w:pPr>
              <w:pStyle w:val="Tabletext"/>
              <w:keepNext/>
              <w:rPr>
                <w:rFonts w:cs="Arial"/>
              </w:rPr>
            </w:pPr>
            <w:r w:rsidRPr="00AA55A3">
              <w:rPr>
                <w:rFonts w:cs="Arial"/>
                <w:lang w:val="en-GB"/>
              </w:rPr>
              <w:t xml:space="preserve">[Paragraph 7.6] </w:t>
            </w:r>
            <w:r w:rsidRPr="00AA55A3">
              <w:rPr>
                <w:rFonts w:cs="Arial"/>
              </w:rPr>
              <w:t>I</w:t>
            </w:r>
            <w:proofErr w:type="spellStart"/>
            <w:r w:rsidRPr="00AA55A3">
              <w:rPr>
                <w:rFonts w:cs="Arial"/>
                <w:lang w:val="en-GB"/>
              </w:rPr>
              <w:t>n</w:t>
            </w:r>
            <w:proofErr w:type="spellEnd"/>
            <w:r w:rsidRPr="00AA55A3">
              <w:rPr>
                <w:rFonts w:cs="Arial"/>
                <w:lang w:val="en-GB"/>
              </w:rPr>
              <w:t xml:space="preserve"> the absence of a demonstrated improvement in OS or </w:t>
            </w:r>
            <w:proofErr w:type="spellStart"/>
            <w:r w:rsidRPr="00AA55A3">
              <w:rPr>
                <w:rFonts w:cs="Arial"/>
                <w:lang w:val="en-GB"/>
              </w:rPr>
              <w:t>QoL</w:t>
            </w:r>
            <w:proofErr w:type="spellEnd"/>
            <w:r w:rsidRPr="00AA55A3">
              <w:rPr>
                <w:rFonts w:cs="Arial"/>
                <w:lang w:val="en-GB"/>
              </w:rPr>
              <w:t xml:space="preserve">, the extent to which the inferior safety of NIVO+IPI was exceeded by improved clinical benefits remained unclear. In this context, the PBAC was mindful of the TGA’s decision and rationale for limiting marketing approval to patients with poor prognosis and proposed to reflect this more limited population in any PBS restriction. </w:t>
            </w:r>
          </w:p>
        </w:tc>
        <w:tc>
          <w:tcPr>
            <w:tcW w:w="0" w:type="auto"/>
          </w:tcPr>
          <w:p w:rsidR="001D1DC1" w:rsidRPr="00AA55A3" w:rsidRDefault="001D1DC1" w:rsidP="003534E2">
            <w:pPr>
              <w:pStyle w:val="Tabletext"/>
              <w:keepNext/>
              <w:rPr>
                <w:rFonts w:eastAsia="Calibri"/>
              </w:rPr>
            </w:pPr>
            <w:r w:rsidRPr="00AA55A3">
              <w:t>The resubmission</w:t>
            </w:r>
            <w:r w:rsidR="0078187F" w:rsidRPr="00AA55A3">
              <w:t xml:space="preserve"> presented updated </w:t>
            </w:r>
            <w:r w:rsidRPr="00AA55A3">
              <w:t>3-yea</w:t>
            </w:r>
            <w:r w:rsidR="00813599" w:rsidRPr="00AA55A3">
              <w:t>r data from the key trial CA209</w:t>
            </w:r>
            <w:r w:rsidRPr="00AA55A3">
              <w:t>067</w:t>
            </w:r>
            <w:r w:rsidR="0078187F" w:rsidRPr="00AA55A3">
              <w:t>. The updated</w:t>
            </w:r>
            <w:r w:rsidRPr="00AA55A3">
              <w:t xml:space="preserve"> HR for OS </w:t>
            </w:r>
            <w:r w:rsidR="0078187F" w:rsidRPr="00AA55A3">
              <w:t>was</w:t>
            </w:r>
            <w:r w:rsidRPr="00AA55A3">
              <w:t xml:space="preserve"> </w:t>
            </w:r>
            <w:r w:rsidRPr="00AA55A3">
              <w:rPr>
                <w:rFonts w:eastAsia="Calibri"/>
              </w:rPr>
              <w:t>0.85 (</w:t>
            </w:r>
            <w:r w:rsidR="00157C80">
              <w:rPr>
                <w:rFonts w:eastAsia="Calibri"/>
              </w:rPr>
              <w:t xml:space="preserve">95% CI: </w:t>
            </w:r>
            <w:r w:rsidRPr="00AA55A3">
              <w:rPr>
                <w:rFonts w:eastAsia="Calibri"/>
              </w:rPr>
              <w:t>0.68, 1.07)</w:t>
            </w:r>
            <w:r w:rsidR="0078187F" w:rsidRPr="00AA55A3">
              <w:rPr>
                <w:rFonts w:eastAsia="Calibri"/>
              </w:rPr>
              <w:t>.</w:t>
            </w:r>
          </w:p>
          <w:p w:rsidR="0078187F" w:rsidRPr="00AA55A3" w:rsidRDefault="0078187F" w:rsidP="003534E2">
            <w:pPr>
              <w:pStyle w:val="Tabletext"/>
              <w:keepNext/>
            </w:pPr>
            <w:r w:rsidRPr="00AA55A3">
              <w:rPr>
                <w:rFonts w:eastAsia="Calibri"/>
              </w:rPr>
              <w:t xml:space="preserve">The updated data from CA209067 were very similar to those presented in the previous resubmission. There was no statistically </w:t>
            </w:r>
            <w:r w:rsidRPr="00AA55A3">
              <w:t xml:space="preserve">significant difference in OS with first-line NIVO+IPI compared with first-line </w:t>
            </w:r>
            <w:proofErr w:type="spellStart"/>
            <w:r w:rsidRPr="00AA55A3">
              <w:t>nivolumab</w:t>
            </w:r>
            <w:proofErr w:type="spellEnd"/>
            <w:r w:rsidRPr="00AA55A3">
              <w:t xml:space="preserve"> monotherapy. The resubmission did not provide any clinical evidence that NIVO+IPI </w:t>
            </w:r>
            <w:proofErr w:type="gramStart"/>
            <w:r w:rsidRPr="00AA55A3">
              <w:t>confers</w:t>
            </w:r>
            <w:proofErr w:type="gramEnd"/>
            <w:r w:rsidRPr="00AA55A3">
              <w:t xml:space="preserve"> any benefit over </w:t>
            </w:r>
            <w:proofErr w:type="spellStart"/>
            <w:r w:rsidRPr="00AA55A3">
              <w:t>nivolumab</w:t>
            </w:r>
            <w:proofErr w:type="spellEnd"/>
            <w:r w:rsidRPr="00AA55A3">
              <w:t xml:space="preserve"> monotherapy in terms of quality of life.</w:t>
            </w:r>
          </w:p>
          <w:p w:rsidR="002B1A96" w:rsidRPr="00AA55A3" w:rsidRDefault="002B1A96" w:rsidP="003534E2">
            <w:pPr>
              <w:pStyle w:val="Tabletext"/>
              <w:keepNext/>
            </w:pPr>
          </w:p>
          <w:p w:rsidR="001D1DC1" w:rsidRPr="00AA55A3" w:rsidRDefault="0078187F" w:rsidP="00157C80">
            <w:pPr>
              <w:pStyle w:val="Tabletext"/>
              <w:keepNext/>
              <w:rPr>
                <w:rFonts w:cs="Arial"/>
              </w:rPr>
            </w:pPr>
            <w:r w:rsidRPr="00AA55A3">
              <w:rPr>
                <w:rFonts w:cs="Arial"/>
              </w:rPr>
              <w:t xml:space="preserve">The resubmission argued that while NIVO+IPI </w:t>
            </w:r>
            <w:proofErr w:type="gramStart"/>
            <w:r w:rsidRPr="00AA55A3">
              <w:rPr>
                <w:rFonts w:cs="Arial"/>
              </w:rPr>
              <w:t>was</w:t>
            </w:r>
            <w:proofErr w:type="gramEnd"/>
            <w:r w:rsidRPr="00AA55A3">
              <w:rPr>
                <w:rFonts w:cs="Arial"/>
              </w:rPr>
              <w:t xml:space="preserve"> inferior to </w:t>
            </w:r>
            <w:proofErr w:type="spellStart"/>
            <w:r w:rsidRPr="00AA55A3">
              <w:rPr>
                <w:rFonts w:cs="Arial"/>
              </w:rPr>
              <w:t>nivolumab</w:t>
            </w:r>
            <w:proofErr w:type="spellEnd"/>
            <w:r w:rsidRPr="00AA55A3">
              <w:rPr>
                <w:rFonts w:cs="Arial"/>
              </w:rPr>
              <w:t xml:space="preserve"> monotherapy in terms of safety</w:t>
            </w:r>
            <w:r w:rsidR="00DB0760" w:rsidRPr="00AA55A3">
              <w:rPr>
                <w:rFonts w:cs="Arial"/>
              </w:rPr>
              <w:t xml:space="preserve"> within the induction period</w:t>
            </w:r>
            <w:r w:rsidRPr="00AA55A3">
              <w:rPr>
                <w:rFonts w:cs="Arial"/>
              </w:rPr>
              <w:t xml:space="preserve">, the </w:t>
            </w:r>
            <w:r w:rsidR="00157C80">
              <w:rPr>
                <w:rFonts w:cs="Arial"/>
              </w:rPr>
              <w:t>AE</w:t>
            </w:r>
            <w:r w:rsidRPr="00AA55A3">
              <w:rPr>
                <w:rFonts w:cs="Arial"/>
              </w:rPr>
              <w:t xml:space="preserve">s </w:t>
            </w:r>
            <w:r w:rsidR="00327CAD" w:rsidRPr="00AA55A3">
              <w:rPr>
                <w:rFonts w:cs="Arial"/>
              </w:rPr>
              <w:t xml:space="preserve">are mostly short-term and are </w:t>
            </w:r>
            <w:r w:rsidRPr="00AA55A3">
              <w:rPr>
                <w:rFonts w:cs="Arial"/>
              </w:rPr>
              <w:t xml:space="preserve">manageable. </w:t>
            </w:r>
            <w:r w:rsidR="00813599" w:rsidRPr="00AA55A3">
              <w:rPr>
                <w:rFonts w:cs="Arial"/>
              </w:rPr>
              <w:t xml:space="preserve">This </w:t>
            </w:r>
            <w:r w:rsidR="00813599" w:rsidRPr="00AA55A3">
              <w:t xml:space="preserve">does not alter the fact that more patients receiving NIVO+IPI combination therapy experience these AEs, that a considerable proportion require immune-modulating medication to treat these AEs, and more patients will have ongoing unresolved adverse events compared to patients receiving </w:t>
            </w:r>
            <w:proofErr w:type="spellStart"/>
            <w:r w:rsidR="00813599" w:rsidRPr="00AA55A3">
              <w:t>nivolumab</w:t>
            </w:r>
            <w:proofErr w:type="spellEnd"/>
            <w:r w:rsidR="00813599" w:rsidRPr="00AA55A3">
              <w:t xml:space="preserve"> monotherapy.</w:t>
            </w:r>
          </w:p>
        </w:tc>
      </w:tr>
      <w:tr w:rsidR="001D1DC1" w:rsidRPr="00AA55A3" w:rsidTr="00942094">
        <w:tc>
          <w:tcPr>
            <w:tcW w:w="0" w:type="auto"/>
          </w:tcPr>
          <w:p w:rsidR="001D1DC1" w:rsidRPr="00AA55A3" w:rsidRDefault="001D1DC1" w:rsidP="001D1DC1">
            <w:pPr>
              <w:pStyle w:val="Tabletext"/>
            </w:pPr>
            <w:r w:rsidRPr="00AA55A3">
              <w:rPr>
                <w:rFonts w:cs="Arial"/>
                <w:bCs/>
                <w:lang w:val="en-GB"/>
              </w:rPr>
              <w:t xml:space="preserve">[Paragraph 7.8] The PBAC considered that the financial estimates were uncertain, but considered that the financial </w:t>
            </w:r>
            <w:r w:rsidR="00BB0C96" w:rsidRPr="00AA55A3">
              <w:rPr>
                <w:rFonts w:cs="Arial"/>
                <w:bCs/>
                <w:lang w:val="en-GB"/>
              </w:rPr>
              <w:t>impact was high (more than $100 million</w:t>
            </w:r>
            <w:r w:rsidRPr="00AA55A3">
              <w:rPr>
                <w:rFonts w:cs="Arial"/>
                <w:bCs/>
                <w:lang w:val="en-GB"/>
              </w:rPr>
              <w:t xml:space="preserve"> over 5 years</w:t>
            </w:r>
            <w:r w:rsidRPr="00AA55A3">
              <w:rPr>
                <w:rFonts w:cs="Arial"/>
              </w:rPr>
              <w:t>), which was particularly concerning in the context of an unacceptably high and uncertain estimate of cost-effectiveness.</w:t>
            </w:r>
          </w:p>
        </w:tc>
        <w:tc>
          <w:tcPr>
            <w:tcW w:w="0" w:type="auto"/>
          </w:tcPr>
          <w:p w:rsidR="001D1DC1" w:rsidRPr="00AA55A3" w:rsidRDefault="001D1DC1" w:rsidP="001D1DC1">
            <w:pPr>
              <w:pStyle w:val="Tabletext"/>
              <w:rPr>
                <w:rFonts w:cs="Arial"/>
              </w:rPr>
            </w:pPr>
            <w:r w:rsidRPr="00AA55A3">
              <w:rPr>
                <w:rFonts w:cs="Arial"/>
              </w:rPr>
              <w:t>The resubmission presented an updated financial analysis. The estimated cost to the governme</w:t>
            </w:r>
            <w:r w:rsidR="008125CD" w:rsidRPr="00AA55A3">
              <w:rPr>
                <w:rFonts w:cs="Arial"/>
              </w:rPr>
              <w:t>nt health budgets was around $</w:t>
            </w:r>
            <w:r w:rsidR="00CB188E">
              <w:rPr>
                <w:rFonts w:cs="Arial"/>
              </w:rPr>
              <w:t>60 - $100 million</w:t>
            </w:r>
            <w:r w:rsidR="00CB188E" w:rsidRPr="00AA55A3">
              <w:rPr>
                <w:rFonts w:cs="Arial"/>
              </w:rPr>
              <w:t xml:space="preserve"> </w:t>
            </w:r>
            <w:r w:rsidRPr="00AA55A3">
              <w:rPr>
                <w:rFonts w:cs="Arial"/>
              </w:rPr>
              <w:t xml:space="preserve">over the first 6 years of listing. </w:t>
            </w:r>
          </w:p>
          <w:p w:rsidR="002B1A96" w:rsidRPr="00AA55A3" w:rsidRDefault="00970D9D" w:rsidP="00696B44">
            <w:pPr>
              <w:pStyle w:val="Tabletext"/>
            </w:pPr>
            <w:r w:rsidRPr="00AA55A3">
              <w:t xml:space="preserve">The resubmission has requested a subsidisation cap for NIVO+IPI that </w:t>
            </w:r>
            <w:proofErr w:type="gramStart"/>
            <w:r w:rsidRPr="00AA55A3">
              <w:t>is</w:t>
            </w:r>
            <w:proofErr w:type="gramEnd"/>
            <w:r w:rsidRPr="00AA55A3">
              <w:t xml:space="preserve"> separate to the existing PD-1 inhibitor monotherapy subsidisation cap. </w:t>
            </w:r>
            <w:r w:rsidR="00205E1E" w:rsidRPr="00AA55A3">
              <w:t xml:space="preserve">If NIVO+IPI is not included </w:t>
            </w:r>
            <w:r w:rsidR="00696B44" w:rsidRPr="00AA55A3">
              <w:t>under</w:t>
            </w:r>
            <w:r w:rsidR="002B1A96" w:rsidRPr="00AA55A3">
              <w:t xml:space="preserve"> the subsidisation cap that currently applies to PD-1 inhibitor monotherapy for melanoma, the cost offsets resulting from substitution of NIVO+IPI for PD-1 inhibitor monotherapy, as applied in the resubmission, would not be realised. As a result, the net cost to the PBS/RPBS would be considerably higher than estimated in the resubmission</w:t>
            </w:r>
            <w:r w:rsidR="00E4509D" w:rsidRPr="00AA55A3">
              <w:t>.</w:t>
            </w:r>
          </w:p>
        </w:tc>
      </w:tr>
    </w:tbl>
    <w:p w:rsidR="001D1DC1" w:rsidRPr="00AA55A3" w:rsidRDefault="001D1DC1" w:rsidP="001D1DC1">
      <w:pPr>
        <w:pStyle w:val="TableFooter"/>
      </w:pPr>
      <w:r w:rsidRPr="00AA55A3">
        <w:t>1L = first-line; 2L =</w:t>
      </w:r>
      <w:r w:rsidR="00CB5042" w:rsidRPr="00AA55A3">
        <w:t xml:space="preserve"> second-line; AE = adverse event;</w:t>
      </w:r>
      <w:r w:rsidR="00157C80">
        <w:t xml:space="preserve"> CI = confidence interval</w:t>
      </w:r>
      <w:proofErr w:type="gramStart"/>
      <w:r w:rsidR="00157C80">
        <w:t xml:space="preserve">; </w:t>
      </w:r>
      <w:r w:rsidR="00CB5042" w:rsidRPr="00AA55A3">
        <w:t xml:space="preserve"> HR</w:t>
      </w:r>
      <w:proofErr w:type="gramEnd"/>
      <w:r w:rsidR="00CB5042" w:rsidRPr="00AA55A3">
        <w:t xml:space="preserve"> = hazard ratio</w:t>
      </w:r>
      <w:r w:rsidRPr="00AA55A3">
        <w:t xml:space="preserve">; IPI = </w:t>
      </w:r>
      <w:proofErr w:type="spellStart"/>
      <w:r w:rsidRPr="00AA55A3">
        <w:t>ipilimumab</w:t>
      </w:r>
      <w:proofErr w:type="spellEnd"/>
      <w:r w:rsidRPr="00AA55A3">
        <w:t>; MT = mutant</w:t>
      </w:r>
      <w:r w:rsidR="00205E1E" w:rsidRPr="00AA55A3">
        <w:t xml:space="preserve"> type</w:t>
      </w:r>
      <w:r w:rsidRPr="00AA55A3">
        <w:t xml:space="preserve">; NIVO = </w:t>
      </w:r>
      <w:proofErr w:type="spellStart"/>
      <w:r w:rsidRPr="00AA55A3">
        <w:t>nivolumab</w:t>
      </w:r>
      <w:proofErr w:type="spellEnd"/>
      <w:r w:rsidRPr="00AA55A3">
        <w:t xml:space="preserve">; OS = overall survival; </w:t>
      </w:r>
      <w:r w:rsidR="00157C80">
        <w:t xml:space="preserve">PBAC = Pharmaceutical Benefits Advisory Committee; PBS = Pharmaceutical Benefits Scheme; </w:t>
      </w:r>
      <w:r w:rsidR="00CB5042" w:rsidRPr="00AA55A3">
        <w:t xml:space="preserve">PD-1 = programmed cell death 1; </w:t>
      </w:r>
      <w:r w:rsidRPr="00AA55A3">
        <w:t xml:space="preserve">PFS = progression-free survival; PSD = public summary document; </w:t>
      </w:r>
      <w:proofErr w:type="spellStart"/>
      <w:r w:rsidRPr="00AA55A3">
        <w:t>QoL</w:t>
      </w:r>
      <w:proofErr w:type="spellEnd"/>
      <w:r w:rsidRPr="00AA55A3">
        <w:t>= quality of life; WT = wild</w:t>
      </w:r>
      <w:r w:rsidR="00205E1E" w:rsidRPr="00AA55A3">
        <w:t xml:space="preserve"> </w:t>
      </w:r>
      <w:r w:rsidRPr="00AA55A3">
        <w:t>type</w:t>
      </w:r>
    </w:p>
    <w:p w:rsidR="001D1DC1" w:rsidRDefault="001D1DC1" w:rsidP="001D1DC1">
      <w:pPr>
        <w:pStyle w:val="TableFooter"/>
      </w:pPr>
      <w:r w:rsidRPr="00AA55A3">
        <w:t>Source: Revised based on Table 1, pp17-22 of the resubmission.</w:t>
      </w:r>
    </w:p>
    <w:p w:rsidR="00C422CE" w:rsidRDefault="00C422CE" w:rsidP="00C422CE"/>
    <w:p w:rsidR="00C422CE" w:rsidRPr="00C422CE" w:rsidRDefault="00C422CE" w:rsidP="00C422CE">
      <w:pPr>
        <w:rPr>
          <w:i/>
        </w:rPr>
      </w:pPr>
      <w:r w:rsidRPr="00C422CE">
        <w:rPr>
          <w:i/>
        </w:rPr>
        <w:lastRenderedPageBreak/>
        <w:tab/>
        <w:t>For more detail on PBAC’s view, see section 7, PBAC outcome.</w:t>
      </w:r>
    </w:p>
    <w:p w:rsidR="00697472" w:rsidRPr="00AA55A3" w:rsidRDefault="00697472" w:rsidP="00AB44F5">
      <w:pPr>
        <w:pStyle w:val="PBACHeading1"/>
        <w:spacing w:before="120" w:after="120"/>
        <w:outlineLvl w:val="0"/>
      </w:pPr>
      <w:bookmarkStart w:id="4" w:name="_Toc514158488"/>
      <w:r w:rsidRPr="00AA55A3">
        <w:t>Population and disease</w:t>
      </w:r>
      <w:bookmarkEnd w:id="4"/>
    </w:p>
    <w:p w:rsidR="00697472" w:rsidRPr="00AA55A3" w:rsidRDefault="00697472" w:rsidP="00EF1D65">
      <w:pPr>
        <w:pStyle w:val="ListParagraph"/>
        <w:widowControl/>
        <w:numPr>
          <w:ilvl w:val="1"/>
          <w:numId w:val="2"/>
        </w:numPr>
      </w:pPr>
      <w:r w:rsidRPr="00AA55A3">
        <w:t xml:space="preserve">Australia and New Zealand have the highest rates of melanoma in the world. The target population was patients with </w:t>
      </w:r>
      <w:proofErr w:type="spellStart"/>
      <w:r w:rsidRPr="00AA55A3">
        <w:t>unresectable</w:t>
      </w:r>
      <w:proofErr w:type="spellEnd"/>
      <w:r w:rsidRPr="00AA55A3">
        <w:t xml:space="preserve"> Stage III or Stage IV melanoma.</w:t>
      </w:r>
    </w:p>
    <w:p w:rsidR="00697472" w:rsidRPr="00AA55A3" w:rsidRDefault="00697472" w:rsidP="00EF1D65">
      <w:pPr>
        <w:pStyle w:val="ListParagraph"/>
        <w:widowControl/>
        <w:numPr>
          <w:ilvl w:val="1"/>
          <w:numId w:val="2"/>
        </w:numPr>
      </w:pPr>
      <w:r w:rsidRPr="00AA55A3">
        <w:t xml:space="preserve">Both </w:t>
      </w:r>
      <w:proofErr w:type="spellStart"/>
      <w:r w:rsidRPr="00AA55A3">
        <w:t>nivolumab</w:t>
      </w:r>
      <w:proofErr w:type="spellEnd"/>
      <w:r w:rsidRPr="00AA55A3">
        <w:t xml:space="preserve"> and </w:t>
      </w:r>
      <w:proofErr w:type="spellStart"/>
      <w:r w:rsidRPr="00AA55A3">
        <w:t>ipilimumab</w:t>
      </w:r>
      <w:proofErr w:type="spellEnd"/>
      <w:r w:rsidRPr="00AA55A3">
        <w:t xml:space="preserve"> monotherapy are currently listed on the PBS for </w:t>
      </w:r>
      <w:proofErr w:type="spellStart"/>
      <w:r w:rsidRPr="00AA55A3">
        <w:t>unresectable</w:t>
      </w:r>
      <w:proofErr w:type="spellEnd"/>
      <w:r w:rsidRPr="00AA55A3">
        <w:t xml:space="preserve"> </w:t>
      </w:r>
      <w:r w:rsidR="00E1706E">
        <w:t>S</w:t>
      </w:r>
      <w:r w:rsidRPr="00AA55A3">
        <w:t xml:space="preserve">tage III or </w:t>
      </w:r>
      <w:r w:rsidR="00E1706E">
        <w:t>S</w:t>
      </w:r>
      <w:r w:rsidRPr="00AA55A3">
        <w:t xml:space="preserve">tage IV melanoma. </w:t>
      </w:r>
      <w:proofErr w:type="spellStart"/>
      <w:r w:rsidRPr="00AA55A3">
        <w:t>Nivolumab</w:t>
      </w:r>
      <w:proofErr w:type="spellEnd"/>
      <w:r w:rsidRPr="00AA55A3">
        <w:t xml:space="preserve"> is a human monoclonal immunoglobulin G4 antibody that acts as a PD-1 immune checkpoint inhibitor. Ipilimumab is a recombinant human monoclonal antibody that selectively binds to cytotoxic T lymphocyte associated antigen 4 (CTLA-4). The two agents target two distinct checkpoint pathways. PD-1 inhibitors reactivate T-cells at the tumour site and CTLA-4 inhibitors increase the number of activated T cells migrating to the tumour. </w:t>
      </w:r>
    </w:p>
    <w:p w:rsidR="00697472" w:rsidRDefault="00697472" w:rsidP="00EF1D65">
      <w:pPr>
        <w:pStyle w:val="ListParagraph"/>
        <w:widowControl/>
        <w:numPr>
          <w:ilvl w:val="1"/>
          <w:numId w:val="2"/>
        </w:numPr>
      </w:pPr>
      <w:r w:rsidRPr="00AA55A3">
        <w:t>The resubmission proposed that NIVO+IPI would be used in the first-line setting for patients with BRAF wild type melanoma, while the vast majority of patients with BRAF mutant melanoma would receive first-line BRAF inhibitor treatment followed by second-line NIVO+IPI upon progression.</w:t>
      </w:r>
      <w:r w:rsidR="00DB124A">
        <w:t xml:space="preserve"> </w:t>
      </w:r>
      <w:r w:rsidR="00DB124A" w:rsidRPr="00C422CE">
        <w:t>The ESC noted that this was due to the proposed PBS restrictions, which stipulate treatment in first- v</w:t>
      </w:r>
      <w:r w:rsidR="00E1706E">
        <w:t>ersu</w:t>
      </w:r>
      <w:r w:rsidR="00DB124A" w:rsidRPr="00C422CE">
        <w:t xml:space="preserve">s later-line settings based on BRAF V600 mutation status. </w:t>
      </w:r>
    </w:p>
    <w:p w:rsidR="00C422CE" w:rsidRPr="00C422CE" w:rsidRDefault="00C422CE" w:rsidP="00C422CE">
      <w:pPr>
        <w:pStyle w:val="ListParagraph"/>
        <w:widowControl/>
        <w:rPr>
          <w:i/>
        </w:rPr>
      </w:pPr>
      <w:r w:rsidRPr="00C422CE">
        <w:rPr>
          <w:i/>
        </w:rPr>
        <w:t>For more detail on PBAC’s view, see section 7 PBAC outcome.</w:t>
      </w:r>
    </w:p>
    <w:p w:rsidR="00697472" w:rsidRPr="00AA55A3" w:rsidRDefault="00697472" w:rsidP="00AB44F5">
      <w:pPr>
        <w:pStyle w:val="PBACHeading1"/>
        <w:spacing w:before="120" w:after="120"/>
        <w:outlineLvl w:val="0"/>
      </w:pPr>
      <w:bookmarkStart w:id="5" w:name="_Toc514158489"/>
      <w:r w:rsidRPr="00AA55A3">
        <w:t>Comparator</w:t>
      </w:r>
      <w:bookmarkEnd w:id="5"/>
    </w:p>
    <w:p w:rsidR="00697472" w:rsidRPr="00AA55A3" w:rsidRDefault="00697472" w:rsidP="00EF1D65">
      <w:pPr>
        <w:pStyle w:val="ListParagraph"/>
        <w:widowControl/>
        <w:numPr>
          <w:ilvl w:val="1"/>
          <w:numId w:val="2"/>
        </w:numPr>
      </w:pPr>
      <w:r w:rsidRPr="00AA55A3">
        <w:t xml:space="preserve">The resubmission nominated PD-1 inhibitor monotherapy (e.g. </w:t>
      </w:r>
      <w:proofErr w:type="spellStart"/>
      <w:r w:rsidRPr="00AA55A3">
        <w:t>nivolumab</w:t>
      </w:r>
      <w:proofErr w:type="spellEnd"/>
      <w:r w:rsidRPr="00AA55A3">
        <w:t xml:space="preserve"> and pembrolizumab) as the main comparator for NIVO+IPI, in the first line setting for patients with BRAF </w:t>
      </w:r>
      <w:r w:rsidR="00D36853" w:rsidRPr="00AA55A3">
        <w:t>wild type</w:t>
      </w:r>
      <w:r w:rsidRPr="00AA55A3">
        <w:t xml:space="preserve"> melanoma and second line </w:t>
      </w:r>
      <w:r w:rsidR="00FF5192" w:rsidRPr="00AA55A3">
        <w:t xml:space="preserve">for patients with BRAF mutant type melanoma who have progressed (or are contraindicated/intolerant to) </w:t>
      </w:r>
      <w:r w:rsidRPr="00AA55A3">
        <w:t xml:space="preserve">treatment with a BRAF inhibitor ± MEK inhibitor. The PBAC previously considered that </w:t>
      </w:r>
      <w:proofErr w:type="spellStart"/>
      <w:r w:rsidRPr="00AA55A3">
        <w:t>nivolumab</w:t>
      </w:r>
      <w:proofErr w:type="spellEnd"/>
      <w:r w:rsidRPr="00AA55A3">
        <w:t xml:space="preserve"> was non-inferior in terms of both comparative effectiveness and safety to pembrolizumab for treatment of </w:t>
      </w:r>
      <w:proofErr w:type="spellStart"/>
      <w:r w:rsidRPr="00AA55A3">
        <w:t>unresectable</w:t>
      </w:r>
      <w:proofErr w:type="spellEnd"/>
      <w:r w:rsidRPr="00AA55A3">
        <w:t xml:space="preserve"> Stage III or Stage IV malignant melanoma (Paragraph 7.5, 7.14 </w:t>
      </w:r>
      <w:proofErr w:type="spellStart"/>
      <w:r w:rsidRPr="00AA55A3">
        <w:t>nivolumab</w:t>
      </w:r>
      <w:proofErr w:type="spellEnd"/>
      <w:r w:rsidRPr="00AA55A3">
        <w:t xml:space="preserve"> PSD, November 2015 PBAC Meeting). The </w:t>
      </w:r>
      <w:r w:rsidR="00385627">
        <w:t>PBA</w:t>
      </w:r>
      <w:r w:rsidR="003D0B3F">
        <w:t>C</w:t>
      </w:r>
      <w:r w:rsidR="00385627">
        <w:t xml:space="preserve"> considered that the </w:t>
      </w:r>
      <w:r w:rsidRPr="00AA55A3">
        <w:t>nominated comparator was appropriate.</w:t>
      </w:r>
    </w:p>
    <w:p w:rsidR="00697472" w:rsidRDefault="00697472" w:rsidP="00EF1D65">
      <w:pPr>
        <w:pStyle w:val="ListParagraph"/>
        <w:widowControl/>
        <w:numPr>
          <w:ilvl w:val="1"/>
          <w:numId w:val="2"/>
        </w:numPr>
      </w:pPr>
      <w:proofErr w:type="spellStart"/>
      <w:r w:rsidRPr="00AA55A3">
        <w:t>Nivolumab</w:t>
      </w:r>
      <w:proofErr w:type="spellEnd"/>
      <w:r w:rsidRPr="00AA55A3">
        <w:t xml:space="preserve"> was the comparato</w:t>
      </w:r>
      <w:r w:rsidR="00942094">
        <w:t>r in the key trial presented in</w:t>
      </w:r>
      <w:r w:rsidRPr="00AA55A3">
        <w:t xml:space="preserve"> the current and previous re</w:t>
      </w:r>
      <w:r w:rsidR="00F032AA" w:rsidRPr="00AA55A3">
        <w:t>submission</w:t>
      </w:r>
      <w:r w:rsidRPr="00AA55A3">
        <w:t xml:space="preserve"> (CA209067). No comparative evidence was provided in the resubmission to support the use of NIVO+IPI in the second-line setting following a BRAF</w:t>
      </w:r>
      <w:r w:rsidR="003D0B3F">
        <w:rPr>
          <w:rFonts w:cs="Calibri"/>
        </w:rPr>
        <w:t>±</w:t>
      </w:r>
      <w:r w:rsidRPr="00AA55A3">
        <w:t>MEK inhibitor.</w:t>
      </w:r>
    </w:p>
    <w:p w:rsidR="00C422CE" w:rsidRPr="00C422CE" w:rsidRDefault="00C422CE" w:rsidP="00C422CE">
      <w:pPr>
        <w:pStyle w:val="ListParagraph"/>
        <w:widowControl/>
        <w:rPr>
          <w:i/>
        </w:rPr>
      </w:pPr>
      <w:r w:rsidRPr="00C422CE">
        <w:rPr>
          <w:i/>
        </w:rPr>
        <w:t>For more detail on PBAC’s view, see section 7 PBAC outcome.</w:t>
      </w:r>
    </w:p>
    <w:p w:rsidR="00D703C9" w:rsidRDefault="00D703C9">
      <w:pPr>
        <w:widowControl/>
        <w:jc w:val="left"/>
      </w:pPr>
      <w:r>
        <w:br w:type="page"/>
      </w:r>
    </w:p>
    <w:p w:rsidR="00E06C10" w:rsidRPr="00E06C10" w:rsidRDefault="00697472" w:rsidP="00D703C9">
      <w:pPr>
        <w:pStyle w:val="PBACHeading1"/>
        <w:spacing w:after="120"/>
        <w:outlineLvl w:val="0"/>
      </w:pPr>
      <w:bookmarkStart w:id="6" w:name="_Toc514158490"/>
      <w:r w:rsidRPr="00AA55A3">
        <w:lastRenderedPageBreak/>
        <w:t>Consideration of the evidence</w:t>
      </w:r>
      <w:bookmarkStart w:id="7" w:name="_Toc514158491"/>
      <w:bookmarkEnd w:id="6"/>
    </w:p>
    <w:p w:rsidR="00871961" w:rsidRPr="00AB44F5" w:rsidRDefault="00871961" w:rsidP="00AB44F5">
      <w:pPr>
        <w:pStyle w:val="Heading2"/>
        <w:keepNext/>
        <w:spacing w:before="120" w:after="120"/>
        <w:rPr>
          <w:rFonts w:asciiTheme="minorHAnsi" w:hAnsiTheme="minorHAnsi"/>
          <w:bCs/>
          <w:szCs w:val="28"/>
        </w:rPr>
      </w:pPr>
      <w:r w:rsidRPr="00AB44F5">
        <w:rPr>
          <w:rFonts w:asciiTheme="minorHAnsi" w:hAnsiTheme="minorHAnsi"/>
          <w:bCs/>
          <w:szCs w:val="28"/>
        </w:rPr>
        <w:t>Sponsor hearing</w:t>
      </w:r>
    </w:p>
    <w:p w:rsidR="00871961" w:rsidRPr="00525B39" w:rsidRDefault="00871961" w:rsidP="00871961">
      <w:pPr>
        <w:numPr>
          <w:ilvl w:val="1"/>
          <w:numId w:val="2"/>
        </w:numPr>
        <w:spacing w:after="120"/>
        <w:rPr>
          <w:rFonts w:asciiTheme="minorHAnsi" w:hAnsiTheme="minorHAnsi"/>
          <w:bCs/>
        </w:rPr>
      </w:pPr>
      <w:r w:rsidRPr="00525B39">
        <w:rPr>
          <w:rFonts w:asciiTheme="minorHAnsi" w:hAnsiTheme="minorHAnsi"/>
          <w:bCs/>
        </w:rPr>
        <w:t xml:space="preserve">The sponsor requested a hearing for this item.  The </w:t>
      </w:r>
      <w:r w:rsidR="00A56EB1">
        <w:rPr>
          <w:rFonts w:asciiTheme="minorHAnsi" w:hAnsiTheme="minorHAnsi"/>
          <w:bCs/>
        </w:rPr>
        <w:t>sponsor</w:t>
      </w:r>
      <w:r w:rsidRPr="00525B39">
        <w:rPr>
          <w:rFonts w:asciiTheme="minorHAnsi" w:hAnsiTheme="minorHAnsi"/>
          <w:bCs/>
        </w:rPr>
        <w:t xml:space="preserve"> discussed how the </w:t>
      </w:r>
      <w:r w:rsidR="00385627">
        <w:rPr>
          <w:rFonts w:asciiTheme="minorHAnsi" w:hAnsiTheme="minorHAnsi"/>
          <w:bCs/>
        </w:rPr>
        <w:t xml:space="preserve">combination of </w:t>
      </w:r>
      <w:r w:rsidR="00E1706E">
        <w:rPr>
          <w:rFonts w:asciiTheme="minorHAnsi" w:hAnsiTheme="minorHAnsi"/>
          <w:bCs/>
        </w:rPr>
        <w:t>NIVO+IPI</w:t>
      </w:r>
      <w:r w:rsidR="00385627">
        <w:rPr>
          <w:rFonts w:asciiTheme="minorHAnsi" w:hAnsiTheme="minorHAnsi"/>
          <w:bCs/>
        </w:rPr>
        <w:t xml:space="preserve"> </w:t>
      </w:r>
      <w:r w:rsidR="00E1706E">
        <w:rPr>
          <w:rFonts w:asciiTheme="minorHAnsi" w:hAnsiTheme="minorHAnsi"/>
          <w:bCs/>
        </w:rPr>
        <w:t>was</w:t>
      </w:r>
      <w:r w:rsidRPr="00525B39">
        <w:rPr>
          <w:rFonts w:asciiTheme="minorHAnsi" w:hAnsiTheme="minorHAnsi"/>
          <w:bCs/>
        </w:rPr>
        <w:t xml:space="preserve"> used in practice, and addressed other matters in response to the Committee’s questions.  The PBAC considered that the hearing was informative </w:t>
      </w:r>
      <w:r w:rsidR="00A56EB1">
        <w:rPr>
          <w:rFonts w:asciiTheme="minorHAnsi" w:hAnsiTheme="minorHAnsi"/>
          <w:bCs/>
        </w:rPr>
        <w:t xml:space="preserve">in terms of </w:t>
      </w:r>
      <w:r w:rsidR="00385627">
        <w:rPr>
          <w:rFonts w:asciiTheme="minorHAnsi" w:hAnsiTheme="minorHAnsi"/>
          <w:bCs/>
        </w:rPr>
        <w:t xml:space="preserve">how adverse events and discontinuation from </w:t>
      </w:r>
      <w:r w:rsidR="00A56EB1">
        <w:rPr>
          <w:rFonts w:asciiTheme="minorHAnsi" w:hAnsiTheme="minorHAnsi"/>
          <w:bCs/>
        </w:rPr>
        <w:t xml:space="preserve">NIVO+IPI </w:t>
      </w:r>
      <w:r w:rsidR="00385627">
        <w:rPr>
          <w:rFonts w:asciiTheme="minorHAnsi" w:hAnsiTheme="minorHAnsi"/>
          <w:bCs/>
        </w:rPr>
        <w:t>therapy were managed</w:t>
      </w:r>
      <w:r w:rsidR="00E701EF">
        <w:rPr>
          <w:rFonts w:asciiTheme="minorHAnsi" w:hAnsiTheme="minorHAnsi"/>
          <w:bCs/>
        </w:rPr>
        <w:t xml:space="preserve">, including advice that if patients developed toxicity related to the </w:t>
      </w:r>
      <w:proofErr w:type="spellStart"/>
      <w:r w:rsidR="003D0B3F">
        <w:rPr>
          <w:rFonts w:asciiTheme="minorHAnsi" w:hAnsiTheme="minorHAnsi"/>
          <w:bCs/>
        </w:rPr>
        <w:t>ipilimumab</w:t>
      </w:r>
      <w:proofErr w:type="spellEnd"/>
      <w:r w:rsidR="00E701EF">
        <w:rPr>
          <w:rFonts w:asciiTheme="minorHAnsi" w:hAnsiTheme="minorHAnsi"/>
          <w:bCs/>
        </w:rPr>
        <w:t xml:space="preserve"> component, both NIVO+IPI w</w:t>
      </w:r>
      <w:r w:rsidR="00E1706E">
        <w:rPr>
          <w:rFonts w:asciiTheme="minorHAnsi" w:hAnsiTheme="minorHAnsi"/>
          <w:bCs/>
        </w:rPr>
        <w:t>ere usually</w:t>
      </w:r>
      <w:r w:rsidR="00E701EF">
        <w:rPr>
          <w:rFonts w:asciiTheme="minorHAnsi" w:hAnsiTheme="minorHAnsi"/>
          <w:bCs/>
        </w:rPr>
        <w:t xml:space="preserve"> ceased</w:t>
      </w:r>
      <w:r w:rsidR="00385627">
        <w:rPr>
          <w:rFonts w:asciiTheme="minorHAnsi" w:hAnsiTheme="minorHAnsi"/>
          <w:bCs/>
        </w:rPr>
        <w:t xml:space="preserve">. </w:t>
      </w:r>
    </w:p>
    <w:p w:rsidR="00871961" w:rsidRPr="00AB44F5" w:rsidRDefault="00871961" w:rsidP="00AB44F5">
      <w:pPr>
        <w:pStyle w:val="Heading2"/>
        <w:keepNext/>
        <w:spacing w:before="120" w:after="120"/>
        <w:rPr>
          <w:rFonts w:asciiTheme="minorHAnsi" w:hAnsiTheme="minorHAnsi"/>
          <w:bCs/>
          <w:szCs w:val="28"/>
        </w:rPr>
      </w:pPr>
      <w:r w:rsidRPr="00AB44F5">
        <w:rPr>
          <w:rFonts w:asciiTheme="minorHAnsi" w:hAnsiTheme="minorHAnsi"/>
          <w:bCs/>
          <w:szCs w:val="28"/>
        </w:rPr>
        <w:t>Consumer comments</w:t>
      </w:r>
    </w:p>
    <w:p w:rsidR="00871961" w:rsidRPr="00525B39" w:rsidRDefault="00871961" w:rsidP="00871961">
      <w:pPr>
        <w:numPr>
          <w:ilvl w:val="1"/>
          <w:numId w:val="2"/>
        </w:numPr>
        <w:spacing w:after="120"/>
        <w:rPr>
          <w:rFonts w:asciiTheme="minorHAnsi" w:hAnsiTheme="minorHAnsi"/>
          <w:bCs/>
        </w:rPr>
      </w:pPr>
      <w:r w:rsidRPr="00525B39">
        <w:rPr>
          <w:rFonts w:asciiTheme="minorHAnsi" w:hAnsiTheme="minorHAnsi"/>
          <w:bCs/>
        </w:rPr>
        <w:t>The PBAC noted and welcomed the input from individuals (</w:t>
      </w:r>
      <w:r w:rsidR="004B097F">
        <w:rPr>
          <w:rFonts w:asciiTheme="minorHAnsi" w:hAnsiTheme="minorHAnsi"/>
          <w:bCs/>
        </w:rPr>
        <w:t>310</w:t>
      </w:r>
      <w:r w:rsidRPr="00525B39">
        <w:rPr>
          <w:rFonts w:asciiTheme="minorHAnsi" w:hAnsiTheme="minorHAnsi"/>
          <w:bCs/>
        </w:rPr>
        <w:t>), health care professionals (1</w:t>
      </w:r>
      <w:r w:rsidR="004B097F">
        <w:rPr>
          <w:rFonts w:asciiTheme="minorHAnsi" w:hAnsiTheme="minorHAnsi"/>
          <w:bCs/>
        </w:rPr>
        <w:t>2) and organisations (3</w:t>
      </w:r>
      <w:r w:rsidRPr="00525B39">
        <w:rPr>
          <w:rFonts w:asciiTheme="minorHAnsi" w:hAnsiTheme="minorHAnsi"/>
          <w:bCs/>
        </w:rPr>
        <w:t xml:space="preserve">) via the Consumer Comments facility on the PBS website.  The comments described a range of benefits of treatment with </w:t>
      </w:r>
      <w:r w:rsidR="00C71713">
        <w:rPr>
          <w:rFonts w:asciiTheme="minorHAnsi" w:hAnsiTheme="minorHAnsi"/>
          <w:bCs/>
        </w:rPr>
        <w:t>NIVO+IPI</w:t>
      </w:r>
      <w:r w:rsidRPr="00525B39">
        <w:rPr>
          <w:rFonts w:asciiTheme="minorHAnsi" w:hAnsiTheme="minorHAnsi"/>
          <w:bCs/>
        </w:rPr>
        <w:t xml:space="preserve"> including </w:t>
      </w:r>
      <w:r w:rsidR="00385627">
        <w:rPr>
          <w:rFonts w:asciiTheme="minorHAnsi" w:hAnsiTheme="minorHAnsi"/>
          <w:bCs/>
        </w:rPr>
        <w:t xml:space="preserve">the rapid clinical benefits. The incidence </w:t>
      </w:r>
      <w:r w:rsidR="005E40D7">
        <w:rPr>
          <w:rFonts w:asciiTheme="minorHAnsi" w:hAnsiTheme="minorHAnsi"/>
          <w:bCs/>
        </w:rPr>
        <w:t xml:space="preserve">and severity </w:t>
      </w:r>
      <w:r w:rsidR="00385627">
        <w:rPr>
          <w:rFonts w:asciiTheme="minorHAnsi" w:hAnsiTheme="minorHAnsi"/>
          <w:bCs/>
        </w:rPr>
        <w:t>of adverse events was noted</w:t>
      </w:r>
      <w:r w:rsidRPr="00525B39">
        <w:rPr>
          <w:rFonts w:asciiTheme="minorHAnsi" w:hAnsiTheme="minorHAnsi"/>
          <w:bCs/>
        </w:rPr>
        <w:t xml:space="preserve">.  </w:t>
      </w:r>
      <w:r w:rsidR="00517DB7">
        <w:rPr>
          <w:rFonts w:asciiTheme="minorHAnsi" w:hAnsiTheme="minorHAnsi"/>
          <w:bCs/>
        </w:rPr>
        <w:t>The PBAC acknowledged the high consumer and clinical demand for the combination therapy.</w:t>
      </w:r>
    </w:p>
    <w:p w:rsidR="00871961" w:rsidRPr="00525B39" w:rsidRDefault="00871961" w:rsidP="00871961">
      <w:pPr>
        <w:numPr>
          <w:ilvl w:val="1"/>
          <w:numId w:val="2"/>
        </w:numPr>
        <w:spacing w:after="120"/>
        <w:rPr>
          <w:rFonts w:asciiTheme="minorHAnsi" w:hAnsiTheme="minorHAnsi"/>
          <w:bCs/>
        </w:rPr>
      </w:pPr>
      <w:r w:rsidRPr="00525B39">
        <w:rPr>
          <w:rFonts w:asciiTheme="minorHAnsi" w:hAnsiTheme="minorHAnsi"/>
          <w:bCs/>
        </w:rPr>
        <w:t xml:space="preserve">The PBAC noted the </w:t>
      </w:r>
      <w:r w:rsidR="005E40D7">
        <w:rPr>
          <w:rFonts w:asciiTheme="minorHAnsi" w:hAnsiTheme="minorHAnsi"/>
          <w:bCs/>
        </w:rPr>
        <w:t>correspondence</w:t>
      </w:r>
      <w:r w:rsidR="005E40D7" w:rsidRPr="00525B39">
        <w:rPr>
          <w:rFonts w:asciiTheme="minorHAnsi" w:hAnsiTheme="minorHAnsi"/>
          <w:bCs/>
        </w:rPr>
        <w:t xml:space="preserve"> </w:t>
      </w:r>
      <w:r w:rsidRPr="00525B39">
        <w:rPr>
          <w:rFonts w:asciiTheme="minorHAnsi" w:hAnsiTheme="minorHAnsi"/>
          <w:bCs/>
        </w:rPr>
        <w:t xml:space="preserve">received from </w:t>
      </w:r>
      <w:r w:rsidR="004B097F">
        <w:rPr>
          <w:rFonts w:asciiTheme="minorHAnsi" w:hAnsiTheme="minorHAnsi"/>
          <w:bCs/>
        </w:rPr>
        <w:t>Melanoma Patients Australia and</w:t>
      </w:r>
      <w:r w:rsidR="00C71713">
        <w:rPr>
          <w:rFonts w:asciiTheme="minorHAnsi" w:hAnsiTheme="minorHAnsi"/>
          <w:bCs/>
        </w:rPr>
        <w:t xml:space="preserve"> the Melbourne Melanoma Project</w:t>
      </w:r>
      <w:r w:rsidRPr="00525B39">
        <w:rPr>
          <w:rFonts w:asciiTheme="minorHAnsi" w:hAnsiTheme="minorHAnsi"/>
          <w:bCs/>
        </w:rPr>
        <w:t xml:space="preserve"> </w:t>
      </w:r>
      <w:r w:rsidR="005E40D7">
        <w:rPr>
          <w:rFonts w:asciiTheme="minorHAnsi" w:hAnsiTheme="minorHAnsi"/>
          <w:bCs/>
        </w:rPr>
        <w:t>supporting access to</w:t>
      </w:r>
      <w:r w:rsidRPr="00525B39">
        <w:rPr>
          <w:rFonts w:asciiTheme="minorHAnsi" w:hAnsiTheme="minorHAnsi"/>
          <w:bCs/>
        </w:rPr>
        <w:t xml:space="preserve"> </w:t>
      </w:r>
      <w:r w:rsidR="00C71713">
        <w:rPr>
          <w:rFonts w:asciiTheme="minorHAnsi" w:hAnsiTheme="minorHAnsi"/>
          <w:bCs/>
        </w:rPr>
        <w:t>NIVO+IPI</w:t>
      </w:r>
      <w:r w:rsidRPr="00525B39">
        <w:rPr>
          <w:rFonts w:asciiTheme="minorHAnsi" w:hAnsiTheme="minorHAnsi"/>
          <w:bCs/>
        </w:rPr>
        <w:t xml:space="preserve"> in clinical practice.  The PBAC specifically </w:t>
      </w:r>
      <w:r w:rsidR="005E40D7">
        <w:rPr>
          <w:rFonts w:asciiTheme="minorHAnsi" w:hAnsiTheme="minorHAnsi"/>
          <w:bCs/>
        </w:rPr>
        <w:t>considered</w:t>
      </w:r>
      <w:r w:rsidR="005E40D7" w:rsidRPr="00525B39">
        <w:rPr>
          <w:rFonts w:asciiTheme="minorHAnsi" w:hAnsiTheme="minorHAnsi"/>
          <w:bCs/>
        </w:rPr>
        <w:t xml:space="preserve"> </w:t>
      </w:r>
      <w:r w:rsidRPr="00525B39">
        <w:rPr>
          <w:rFonts w:asciiTheme="minorHAnsi" w:hAnsiTheme="minorHAnsi"/>
          <w:bCs/>
        </w:rPr>
        <w:t xml:space="preserve">the advice </w:t>
      </w:r>
      <w:r w:rsidR="005E40D7">
        <w:rPr>
          <w:rFonts w:asciiTheme="minorHAnsi" w:hAnsiTheme="minorHAnsi"/>
          <w:bCs/>
        </w:rPr>
        <w:t xml:space="preserve">from the Melbourne Melanoma Project </w:t>
      </w:r>
      <w:r w:rsidRPr="00525B39">
        <w:rPr>
          <w:rFonts w:asciiTheme="minorHAnsi" w:hAnsiTheme="minorHAnsi"/>
          <w:bCs/>
        </w:rPr>
        <w:t xml:space="preserve">that </w:t>
      </w:r>
      <w:r w:rsidR="00A56EB1">
        <w:rPr>
          <w:rFonts w:asciiTheme="minorHAnsi" w:hAnsiTheme="minorHAnsi"/>
          <w:bCs/>
        </w:rPr>
        <w:t xml:space="preserve">was supportive of NIVO+IPI as a first-line treatment for BRAF mutant patients and </w:t>
      </w:r>
      <w:r w:rsidR="00C71713">
        <w:rPr>
          <w:rFonts w:asciiTheme="minorHAnsi" w:hAnsiTheme="minorHAnsi"/>
          <w:bCs/>
        </w:rPr>
        <w:t xml:space="preserve">noted </w:t>
      </w:r>
      <w:r w:rsidR="005E40D7">
        <w:rPr>
          <w:rFonts w:asciiTheme="minorHAnsi" w:hAnsiTheme="minorHAnsi"/>
          <w:bCs/>
        </w:rPr>
        <w:t>the</w:t>
      </w:r>
      <w:r w:rsidR="00C71713">
        <w:rPr>
          <w:rFonts w:asciiTheme="minorHAnsi" w:hAnsiTheme="minorHAnsi"/>
          <w:bCs/>
        </w:rPr>
        <w:t xml:space="preserve"> </w:t>
      </w:r>
      <w:r w:rsidR="005E40D7">
        <w:rPr>
          <w:rFonts w:asciiTheme="minorHAnsi" w:hAnsiTheme="minorHAnsi"/>
          <w:bCs/>
        </w:rPr>
        <w:t xml:space="preserve">toxicity </w:t>
      </w:r>
      <w:r w:rsidR="00C71713">
        <w:rPr>
          <w:rFonts w:asciiTheme="minorHAnsi" w:hAnsiTheme="minorHAnsi"/>
          <w:bCs/>
        </w:rPr>
        <w:t xml:space="preserve">issues </w:t>
      </w:r>
      <w:r w:rsidR="005E40D7">
        <w:rPr>
          <w:rFonts w:asciiTheme="minorHAnsi" w:hAnsiTheme="minorHAnsi"/>
          <w:bCs/>
        </w:rPr>
        <w:t>with the combination therapy</w:t>
      </w:r>
      <w:r w:rsidR="00C71713">
        <w:rPr>
          <w:rFonts w:asciiTheme="minorHAnsi" w:hAnsiTheme="minorHAnsi"/>
          <w:bCs/>
        </w:rPr>
        <w:t xml:space="preserve">, but </w:t>
      </w:r>
      <w:r w:rsidR="005E40D7">
        <w:rPr>
          <w:rFonts w:asciiTheme="minorHAnsi" w:hAnsiTheme="minorHAnsi"/>
          <w:bCs/>
        </w:rPr>
        <w:t xml:space="preserve">stated </w:t>
      </w:r>
      <w:r w:rsidR="00C71713">
        <w:rPr>
          <w:rFonts w:asciiTheme="minorHAnsi" w:hAnsiTheme="minorHAnsi"/>
          <w:bCs/>
        </w:rPr>
        <w:t>th</w:t>
      </w:r>
      <w:r w:rsidR="00517DB7">
        <w:rPr>
          <w:rFonts w:asciiTheme="minorHAnsi" w:hAnsiTheme="minorHAnsi"/>
          <w:bCs/>
        </w:rPr>
        <w:t>at</w:t>
      </w:r>
      <w:r w:rsidR="00C71713">
        <w:rPr>
          <w:rFonts w:asciiTheme="minorHAnsi" w:hAnsiTheme="minorHAnsi"/>
          <w:bCs/>
        </w:rPr>
        <w:t xml:space="preserve"> clinicians </w:t>
      </w:r>
      <w:r w:rsidR="00517DB7">
        <w:rPr>
          <w:rFonts w:asciiTheme="minorHAnsi" w:hAnsiTheme="minorHAnsi"/>
          <w:bCs/>
        </w:rPr>
        <w:t xml:space="preserve">were becoming </w:t>
      </w:r>
      <w:r w:rsidR="00C71713">
        <w:rPr>
          <w:rFonts w:asciiTheme="minorHAnsi" w:hAnsiTheme="minorHAnsi"/>
          <w:bCs/>
        </w:rPr>
        <w:t xml:space="preserve">well versed in dealing with them. </w:t>
      </w:r>
      <w:r w:rsidRPr="00525B39">
        <w:rPr>
          <w:rFonts w:asciiTheme="minorHAnsi" w:hAnsiTheme="minorHAnsi"/>
          <w:bCs/>
        </w:rPr>
        <w:t>The PBAC noted that th</w:t>
      </w:r>
      <w:r w:rsidR="005E40D7">
        <w:rPr>
          <w:rFonts w:asciiTheme="minorHAnsi" w:hAnsiTheme="minorHAnsi"/>
          <w:bCs/>
        </w:rPr>
        <w:t>e</w:t>
      </w:r>
      <w:r w:rsidRPr="00525B39">
        <w:rPr>
          <w:rFonts w:asciiTheme="minorHAnsi" w:hAnsiTheme="minorHAnsi"/>
          <w:bCs/>
        </w:rPr>
        <w:t xml:space="preserve"> advice was supportive of the evidence provided in the submission.</w:t>
      </w:r>
    </w:p>
    <w:p w:rsidR="00E1706E" w:rsidRPr="00E1706E" w:rsidRDefault="00871961" w:rsidP="00D15F2E">
      <w:pPr>
        <w:numPr>
          <w:ilvl w:val="1"/>
          <w:numId w:val="2"/>
        </w:numPr>
        <w:spacing w:after="120"/>
        <w:rPr>
          <w:rFonts w:asciiTheme="minorHAnsi" w:hAnsiTheme="minorHAnsi"/>
          <w:bCs/>
        </w:rPr>
      </w:pPr>
      <w:r w:rsidRPr="00525B39">
        <w:rPr>
          <w:rFonts w:asciiTheme="minorHAnsi" w:hAnsiTheme="minorHAnsi"/>
          <w:bCs/>
        </w:rPr>
        <w:t xml:space="preserve">The Medical Oncology Group of Australia (MOGA) also expressed its support for the </w:t>
      </w:r>
      <w:r w:rsidR="00C71713">
        <w:rPr>
          <w:rFonts w:asciiTheme="minorHAnsi" w:hAnsiTheme="minorHAnsi"/>
          <w:bCs/>
        </w:rPr>
        <w:t>NIVO+IPI</w:t>
      </w:r>
      <w:r w:rsidRPr="00525B39">
        <w:rPr>
          <w:rFonts w:asciiTheme="minorHAnsi" w:hAnsiTheme="minorHAnsi"/>
          <w:bCs/>
        </w:rPr>
        <w:t xml:space="preserve"> submission</w:t>
      </w:r>
      <w:r w:rsidR="005E40D7">
        <w:rPr>
          <w:rFonts w:asciiTheme="minorHAnsi" w:hAnsiTheme="minorHAnsi"/>
          <w:bCs/>
        </w:rPr>
        <w:t>, on the basis of being supported by phase 3 trial evidence</w:t>
      </w:r>
      <w:r w:rsidRPr="00525B39">
        <w:rPr>
          <w:rFonts w:asciiTheme="minorHAnsi" w:hAnsiTheme="minorHAnsi"/>
          <w:bCs/>
        </w:rPr>
        <w:t xml:space="preserve">. The PBAC noted that the MOGA </w:t>
      </w:r>
      <w:r w:rsidR="00C71713">
        <w:rPr>
          <w:rFonts w:asciiTheme="minorHAnsi" w:hAnsiTheme="minorHAnsi"/>
          <w:bCs/>
        </w:rPr>
        <w:t xml:space="preserve">could not </w:t>
      </w:r>
      <w:r w:rsidRPr="00525B39">
        <w:rPr>
          <w:rFonts w:asciiTheme="minorHAnsi" w:hAnsiTheme="minorHAnsi"/>
          <w:bCs/>
        </w:rPr>
        <w:t>present the European Society for Medical Oncology Magnitude of Clinical Benefit Scale (ESMO-MCBS)</w:t>
      </w:r>
      <w:r w:rsidR="00C71713">
        <w:rPr>
          <w:rStyle w:val="FootnoteReference"/>
          <w:rFonts w:asciiTheme="minorHAnsi" w:hAnsiTheme="minorHAnsi"/>
          <w:bCs/>
        </w:rPr>
        <w:footnoteReference w:id="1"/>
      </w:r>
      <w:r w:rsidRPr="00525B39">
        <w:rPr>
          <w:rFonts w:asciiTheme="minorHAnsi" w:hAnsiTheme="minorHAnsi"/>
          <w:bCs/>
        </w:rPr>
        <w:t xml:space="preserve"> for </w:t>
      </w:r>
      <w:r w:rsidR="00C71713">
        <w:rPr>
          <w:rFonts w:asciiTheme="minorHAnsi" w:hAnsiTheme="minorHAnsi"/>
          <w:bCs/>
        </w:rPr>
        <w:t>NIVO+IPI as the data was immature and the median survival times in the trial</w:t>
      </w:r>
      <w:r w:rsidR="00903180">
        <w:rPr>
          <w:rFonts w:asciiTheme="minorHAnsi" w:hAnsiTheme="minorHAnsi"/>
          <w:bCs/>
        </w:rPr>
        <w:t>, CA209067,</w:t>
      </w:r>
      <w:r w:rsidR="00C71713">
        <w:rPr>
          <w:rFonts w:asciiTheme="minorHAnsi" w:hAnsiTheme="minorHAnsi"/>
          <w:bCs/>
        </w:rPr>
        <w:t xml:space="preserve"> had not yet been reached. In addition</w:t>
      </w:r>
      <w:r w:rsidRPr="00525B39">
        <w:rPr>
          <w:rFonts w:asciiTheme="minorHAnsi" w:hAnsiTheme="minorHAnsi"/>
          <w:bCs/>
        </w:rPr>
        <w:t xml:space="preserve">, </w:t>
      </w:r>
      <w:r w:rsidR="00C71713">
        <w:rPr>
          <w:rFonts w:asciiTheme="minorHAnsi" w:hAnsiTheme="minorHAnsi"/>
          <w:bCs/>
        </w:rPr>
        <w:t xml:space="preserve">the </w:t>
      </w:r>
      <w:r w:rsidR="00903180">
        <w:rPr>
          <w:rFonts w:asciiTheme="minorHAnsi" w:hAnsiTheme="minorHAnsi"/>
          <w:bCs/>
        </w:rPr>
        <w:t>CA209</w:t>
      </w:r>
      <w:r w:rsidR="00C71713">
        <w:rPr>
          <w:rFonts w:asciiTheme="minorHAnsi" w:hAnsiTheme="minorHAnsi"/>
          <w:bCs/>
        </w:rPr>
        <w:t xml:space="preserve">067 trial was not powered to compare survival difference between NIVO+IPI and </w:t>
      </w:r>
      <w:proofErr w:type="spellStart"/>
      <w:r w:rsidR="003D0B3F">
        <w:rPr>
          <w:rFonts w:asciiTheme="minorHAnsi" w:hAnsiTheme="minorHAnsi"/>
          <w:bCs/>
        </w:rPr>
        <w:t>nivolumab</w:t>
      </w:r>
      <w:proofErr w:type="spellEnd"/>
      <w:r w:rsidR="003D0B3F">
        <w:rPr>
          <w:rFonts w:asciiTheme="minorHAnsi" w:hAnsiTheme="minorHAnsi"/>
          <w:bCs/>
        </w:rPr>
        <w:t xml:space="preserve"> </w:t>
      </w:r>
      <w:r w:rsidR="00C71713">
        <w:rPr>
          <w:rFonts w:asciiTheme="minorHAnsi" w:hAnsiTheme="minorHAnsi"/>
          <w:bCs/>
        </w:rPr>
        <w:t>monotherapy</w:t>
      </w:r>
      <w:r w:rsidR="00D15F2E">
        <w:rPr>
          <w:rFonts w:asciiTheme="minorHAnsi" w:hAnsiTheme="minorHAnsi"/>
          <w:bCs/>
        </w:rPr>
        <w:t xml:space="preserve">. The </w:t>
      </w:r>
      <w:r w:rsidR="00D15F2E" w:rsidRPr="00D15F2E">
        <w:rPr>
          <w:rFonts w:asciiTheme="minorHAnsi" w:hAnsiTheme="minorHAnsi"/>
          <w:bCs/>
        </w:rPr>
        <w:t xml:space="preserve">Medical </w:t>
      </w:r>
      <w:r w:rsidR="00315A75">
        <w:rPr>
          <w:rFonts w:asciiTheme="minorHAnsi" w:hAnsiTheme="minorHAnsi"/>
          <w:bCs/>
        </w:rPr>
        <w:t>O</w:t>
      </w:r>
      <w:r w:rsidR="00D15F2E" w:rsidRPr="00D15F2E">
        <w:rPr>
          <w:rFonts w:asciiTheme="minorHAnsi" w:hAnsiTheme="minorHAnsi"/>
          <w:bCs/>
        </w:rPr>
        <w:t>ncology Group of Australia Melanoma Sub-Committee</w:t>
      </w:r>
      <w:r w:rsidR="00D15F2E">
        <w:rPr>
          <w:rFonts w:asciiTheme="minorHAnsi" w:hAnsiTheme="minorHAnsi"/>
          <w:bCs/>
        </w:rPr>
        <w:t xml:space="preserve"> also supported </w:t>
      </w:r>
      <w:r w:rsidR="00143813">
        <w:rPr>
          <w:rFonts w:asciiTheme="minorHAnsi" w:hAnsiTheme="minorHAnsi"/>
          <w:bCs/>
        </w:rPr>
        <w:t xml:space="preserve">the NIVO+IPI submission, particularly for patients with brain metastases and mucosal melanoma. </w:t>
      </w:r>
      <w:r w:rsidR="00760CF7">
        <w:rPr>
          <w:rFonts w:asciiTheme="minorHAnsi" w:hAnsiTheme="minorHAnsi"/>
          <w:bCs/>
        </w:rPr>
        <w:t xml:space="preserve">The </w:t>
      </w:r>
      <w:r w:rsidR="00F0760B">
        <w:rPr>
          <w:rFonts w:asciiTheme="minorHAnsi" w:hAnsiTheme="minorHAnsi"/>
          <w:bCs/>
        </w:rPr>
        <w:t>S</w:t>
      </w:r>
      <w:r w:rsidR="00760CF7">
        <w:rPr>
          <w:rFonts w:asciiTheme="minorHAnsi" w:hAnsiTheme="minorHAnsi"/>
          <w:bCs/>
        </w:rPr>
        <w:t>ub</w:t>
      </w:r>
      <w:r w:rsidR="00F0760B">
        <w:rPr>
          <w:rFonts w:asciiTheme="minorHAnsi" w:hAnsiTheme="minorHAnsi"/>
          <w:bCs/>
        </w:rPr>
        <w:t>-C</w:t>
      </w:r>
      <w:r w:rsidR="00760CF7">
        <w:rPr>
          <w:rFonts w:asciiTheme="minorHAnsi" w:hAnsiTheme="minorHAnsi"/>
          <w:bCs/>
        </w:rPr>
        <w:t xml:space="preserve">ommittee stated that debate </w:t>
      </w:r>
      <w:r w:rsidR="00F0760B">
        <w:rPr>
          <w:rFonts w:asciiTheme="minorHAnsi" w:hAnsiTheme="minorHAnsi"/>
          <w:bCs/>
        </w:rPr>
        <w:t>surrounding the</w:t>
      </w:r>
      <w:r w:rsidR="00760CF7">
        <w:rPr>
          <w:rFonts w:asciiTheme="minorHAnsi" w:hAnsiTheme="minorHAnsi"/>
          <w:bCs/>
        </w:rPr>
        <w:t xml:space="preserve"> degree of benefit compared with </w:t>
      </w:r>
      <w:r w:rsidR="00DD1AD4">
        <w:rPr>
          <w:rFonts w:asciiTheme="minorHAnsi" w:hAnsiTheme="minorHAnsi"/>
          <w:bCs/>
        </w:rPr>
        <w:t xml:space="preserve">the </w:t>
      </w:r>
      <w:r w:rsidR="00760CF7">
        <w:rPr>
          <w:rFonts w:asciiTheme="minorHAnsi" w:hAnsiTheme="minorHAnsi"/>
          <w:bCs/>
        </w:rPr>
        <w:t xml:space="preserve">toxicity and financial cost of NIVO+IPI versus </w:t>
      </w:r>
      <w:proofErr w:type="spellStart"/>
      <w:r w:rsidR="00760CF7">
        <w:rPr>
          <w:rFonts w:asciiTheme="minorHAnsi" w:hAnsiTheme="minorHAnsi"/>
          <w:bCs/>
        </w:rPr>
        <w:t>nivolumab</w:t>
      </w:r>
      <w:proofErr w:type="spellEnd"/>
      <w:r w:rsidR="00760CF7">
        <w:rPr>
          <w:rFonts w:asciiTheme="minorHAnsi" w:hAnsiTheme="minorHAnsi"/>
          <w:bCs/>
        </w:rPr>
        <w:t xml:space="preserve"> monotherapy was ongoing, </w:t>
      </w:r>
      <w:r w:rsidR="00DD1AD4">
        <w:rPr>
          <w:rFonts w:asciiTheme="minorHAnsi" w:hAnsiTheme="minorHAnsi"/>
          <w:bCs/>
        </w:rPr>
        <w:t>but that the combination was the most effective melanoma immunotherapy to date</w:t>
      </w:r>
      <w:r w:rsidR="006F5EBE">
        <w:rPr>
          <w:rFonts w:asciiTheme="minorHAnsi" w:hAnsiTheme="minorHAnsi"/>
          <w:bCs/>
        </w:rPr>
        <w:t>, with significant</w:t>
      </w:r>
      <w:r w:rsidR="00F0760B">
        <w:rPr>
          <w:rFonts w:asciiTheme="minorHAnsi" w:hAnsiTheme="minorHAnsi"/>
          <w:bCs/>
        </w:rPr>
        <w:t>,</w:t>
      </w:r>
      <w:r w:rsidR="006F5EBE">
        <w:rPr>
          <w:rFonts w:asciiTheme="minorHAnsi" w:hAnsiTheme="minorHAnsi"/>
          <w:bCs/>
        </w:rPr>
        <w:t xml:space="preserve"> but </w:t>
      </w:r>
      <w:r w:rsidR="0017522C">
        <w:rPr>
          <w:rFonts w:asciiTheme="minorHAnsi" w:hAnsiTheme="minorHAnsi"/>
          <w:bCs/>
        </w:rPr>
        <w:t>manageable</w:t>
      </w:r>
      <w:r w:rsidR="00F0760B">
        <w:rPr>
          <w:rFonts w:asciiTheme="minorHAnsi" w:hAnsiTheme="minorHAnsi"/>
          <w:bCs/>
        </w:rPr>
        <w:t>,</w:t>
      </w:r>
      <w:r w:rsidR="006F5EBE">
        <w:rPr>
          <w:rFonts w:asciiTheme="minorHAnsi" w:hAnsiTheme="minorHAnsi"/>
          <w:bCs/>
        </w:rPr>
        <w:t xml:space="preserve"> toxicity</w:t>
      </w:r>
      <w:r w:rsidR="006A5FD2">
        <w:rPr>
          <w:rFonts w:asciiTheme="minorHAnsi" w:hAnsiTheme="minorHAnsi"/>
          <w:bCs/>
        </w:rPr>
        <w:t xml:space="preserve">. The Sub-Committee also stated that NIVO+IPI </w:t>
      </w:r>
      <w:r w:rsidR="00315A75">
        <w:rPr>
          <w:rFonts w:asciiTheme="minorHAnsi" w:hAnsiTheme="minorHAnsi"/>
          <w:bCs/>
        </w:rPr>
        <w:t>had potential positive economic consequences</w:t>
      </w:r>
      <w:r w:rsidR="003C40A5">
        <w:rPr>
          <w:rFonts w:asciiTheme="minorHAnsi" w:hAnsiTheme="minorHAnsi"/>
          <w:bCs/>
        </w:rPr>
        <w:t>,</w:t>
      </w:r>
      <w:r w:rsidR="00315A75">
        <w:rPr>
          <w:rFonts w:asciiTheme="minorHAnsi" w:hAnsiTheme="minorHAnsi"/>
          <w:bCs/>
        </w:rPr>
        <w:t xml:space="preserve"> </w:t>
      </w:r>
      <w:r w:rsidR="00025259">
        <w:rPr>
          <w:rFonts w:asciiTheme="minorHAnsi" w:hAnsiTheme="minorHAnsi"/>
          <w:bCs/>
        </w:rPr>
        <w:t xml:space="preserve">as </w:t>
      </w:r>
      <w:r w:rsidR="008511F9">
        <w:rPr>
          <w:rFonts w:asciiTheme="minorHAnsi" w:hAnsiTheme="minorHAnsi"/>
          <w:bCs/>
        </w:rPr>
        <w:t xml:space="preserve">patients </w:t>
      </w:r>
      <w:r w:rsidR="00025259">
        <w:rPr>
          <w:rFonts w:asciiTheme="minorHAnsi" w:hAnsiTheme="minorHAnsi"/>
          <w:bCs/>
        </w:rPr>
        <w:t xml:space="preserve">with significant </w:t>
      </w:r>
      <w:r w:rsidR="007F6ACD">
        <w:rPr>
          <w:rFonts w:asciiTheme="minorHAnsi" w:hAnsiTheme="minorHAnsi"/>
          <w:bCs/>
        </w:rPr>
        <w:t xml:space="preserve">toxicity </w:t>
      </w:r>
      <w:r w:rsidR="008511F9">
        <w:rPr>
          <w:rFonts w:asciiTheme="minorHAnsi" w:hAnsiTheme="minorHAnsi"/>
          <w:bCs/>
        </w:rPr>
        <w:t>while remaining in response</w:t>
      </w:r>
      <w:r w:rsidR="00025259">
        <w:rPr>
          <w:rFonts w:asciiTheme="minorHAnsi" w:hAnsiTheme="minorHAnsi"/>
          <w:bCs/>
        </w:rPr>
        <w:t xml:space="preserve"> could discontinue treatment</w:t>
      </w:r>
      <w:r w:rsidR="00AD6232">
        <w:rPr>
          <w:rFonts w:asciiTheme="minorHAnsi" w:hAnsiTheme="minorHAnsi"/>
          <w:bCs/>
        </w:rPr>
        <w:t>,</w:t>
      </w:r>
      <w:r w:rsidR="008511F9">
        <w:rPr>
          <w:rFonts w:asciiTheme="minorHAnsi" w:hAnsiTheme="minorHAnsi"/>
          <w:bCs/>
        </w:rPr>
        <w:t xml:space="preserve"> </w:t>
      </w:r>
      <w:r w:rsidR="00025259">
        <w:rPr>
          <w:rFonts w:asciiTheme="minorHAnsi" w:hAnsiTheme="minorHAnsi"/>
          <w:bCs/>
        </w:rPr>
        <w:t xml:space="preserve">and </w:t>
      </w:r>
      <w:r w:rsidR="00AD6232">
        <w:rPr>
          <w:rFonts w:asciiTheme="minorHAnsi" w:hAnsiTheme="minorHAnsi"/>
          <w:bCs/>
        </w:rPr>
        <w:t xml:space="preserve">combination patients were less likely to require </w:t>
      </w:r>
      <w:r w:rsidR="007F6ACD">
        <w:rPr>
          <w:rFonts w:asciiTheme="minorHAnsi" w:hAnsiTheme="minorHAnsi"/>
          <w:bCs/>
        </w:rPr>
        <w:t xml:space="preserve">subsequent </w:t>
      </w:r>
      <w:r w:rsidR="007F6ACD">
        <w:rPr>
          <w:rFonts w:asciiTheme="minorHAnsi" w:hAnsiTheme="minorHAnsi"/>
          <w:bCs/>
        </w:rPr>
        <w:lastRenderedPageBreak/>
        <w:t>therapies</w:t>
      </w:r>
      <w:r w:rsidR="00F22388">
        <w:rPr>
          <w:rFonts w:asciiTheme="minorHAnsi" w:hAnsiTheme="minorHAnsi"/>
          <w:bCs/>
        </w:rPr>
        <w:t xml:space="preserve">. The </w:t>
      </w:r>
      <w:r w:rsidR="00F0760B">
        <w:rPr>
          <w:rFonts w:asciiTheme="minorHAnsi" w:hAnsiTheme="minorHAnsi"/>
          <w:bCs/>
        </w:rPr>
        <w:t>S</w:t>
      </w:r>
      <w:r w:rsidR="00F22388">
        <w:rPr>
          <w:rFonts w:asciiTheme="minorHAnsi" w:hAnsiTheme="minorHAnsi"/>
          <w:bCs/>
        </w:rPr>
        <w:t>ub</w:t>
      </w:r>
      <w:r w:rsidR="00F0760B">
        <w:rPr>
          <w:rFonts w:asciiTheme="minorHAnsi" w:hAnsiTheme="minorHAnsi"/>
          <w:bCs/>
        </w:rPr>
        <w:t>-C</w:t>
      </w:r>
      <w:r w:rsidR="00F22388">
        <w:rPr>
          <w:rFonts w:asciiTheme="minorHAnsi" w:hAnsiTheme="minorHAnsi"/>
          <w:bCs/>
        </w:rPr>
        <w:t xml:space="preserve">ommittee also requested freedom to select targeted or immunotherapy as first-line treatment for BRAF-mutant metastatic melanoma, </w:t>
      </w:r>
      <w:r w:rsidR="001A03F8">
        <w:rPr>
          <w:rFonts w:asciiTheme="minorHAnsi" w:hAnsiTheme="minorHAnsi"/>
          <w:bCs/>
        </w:rPr>
        <w:t xml:space="preserve">stating that there is no robust data to suggest targeted therapy should be used first line, and that meta-analyses </w:t>
      </w:r>
      <w:r w:rsidR="0017522C">
        <w:rPr>
          <w:rFonts w:asciiTheme="minorHAnsi" w:hAnsiTheme="minorHAnsi"/>
          <w:bCs/>
        </w:rPr>
        <w:t xml:space="preserve">based on indirect comparisons </w:t>
      </w:r>
      <w:r w:rsidR="001A03F8">
        <w:rPr>
          <w:rFonts w:asciiTheme="minorHAnsi" w:hAnsiTheme="minorHAnsi"/>
          <w:bCs/>
        </w:rPr>
        <w:t xml:space="preserve">such as those by </w:t>
      </w:r>
      <w:proofErr w:type="spellStart"/>
      <w:r w:rsidR="001A03F8">
        <w:rPr>
          <w:rFonts w:asciiTheme="minorHAnsi" w:hAnsiTheme="minorHAnsi"/>
          <w:bCs/>
        </w:rPr>
        <w:t>Pasquali</w:t>
      </w:r>
      <w:proofErr w:type="spellEnd"/>
      <w:r w:rsidR="001A03F8">
        <w:rPr>
          <w:rFonts w:asciiTheme="minorHAnsi" w:hAnsiTheme="minorHAnsi"/>
          <w:bCs/>
        </w:rPr>
        <w:t xml:space="preserve"> </w:t>
      </w:r>
      <w:r w:rsidR="00F0760B">
        <w:rPr>
          <w:rFonts w:asciiTheme="minorHAnsi" w:hAnsiTheme="minorHAnsi"/>
          <w:bCs/>
        </w:rPr>
        <w:t>2017</w:t>
      </w:r>
      <w:r w:rsidR="00F0760B">
        <w:rPr>
          <w:rStyle w:val="FootnoteReference"/>
          <w:rFonts w:asciiTheme="minorHAnsi" w:hAnsiTheme="minorHAnsi"/>
          <w:bCs/>
        </w:rPr>
        <w:footnoteReference w:id="2"/>
      </w:r>
      <w:r w:rsidR="001A03F8">
        <w:rPr>
          <w:rFonts w:asciiTheme="minorHAnsi" w:hAnsiTheme="minorHAnsi"/>
          <w:bCs/>
        </w:rPr>
        <w:t xml:space="preserve"> </w:t>
      </w:r>
      <w:r w:rsidR="00C910C6">
        <w:rPr>
          <w:rFonts w:asciiTheme="minorHAnsi" w:hAnsiTheme="minorHAnsi"/>
          <w:bCs/>
        </w:rPr>
        <w:t xml:space="preserve">are flawed as they are largely based on superseded </w:t>
      </w:r>
      <w:r w:rsidR="00142EF6">
        <w:rPr>
          <w:rFonts w:asciiTheme="minorHAnsi" w:hAnsiTheme="minorHAnsi"/>
          <w:bCs/>
        </w:rPr>
        <w:t>targeted and immunotherapy drug regimens</w:t>
      </w:r>
      <w:r w:rsidR="00C71713">
        <w:rPr>
          <w:rFonts w:asciiTheme="minorHAnsi" w:hAnsiTheme="minorHAnsi"/>
          <w:bCs/>
          <w:sz w:val="16"/>
        </w:rPr>
        <w:t>.</w:t>
      </w:r>
    </w:p>
    <w:p w:rsidR="00697472" w:rsidRPr="00AB44F5" w:rsidRDefault="00697472" w:rsidP="00AB44F5">
      <w:pPr>
        <w:pStyle w:val="Heading2"/>
        <w:keepNext/>
        <w:spacing w:before="120" w:after="120"/>
        <w:rPr>
          <w:rFonts w:asciiTheme="minorHAnsi" w:hAnsiTheme="minorHAnsi"/>
          <w:bCs/>
          <w:szCs w:val="28"/>
        </w:rPr>
      </w:pPr>
      <w:r w:rsidRPr="00AB44F5">
        <w:rPr>
          <w:rFonts w:asciiTheme="minorHAnsi" w:hAnsiTheme="minorHAnsi"/>
          <w:bCs/>
          <w:szCs w:val="28"/>
        </w:rPr>
        <w:t>Clinical trials</w:t>
      </w:r>
      <w:bookmarkEnd w:id="7"/>
    </w:p>
    <w:p w:rsidR="00697472" w:rsidRPr="00AA55A3" w:rsidRDefault="00697472" w:rsidP="003534E2">
      <w:pPr>
        <w:pStyle w:val="ListParagraph"/>
        <w:keepNext/>
        <w:widowControl/>
        <w:numPr>
          <w:ilvl w:val="1"/>
          <w:numId w:val="2"/>
        </w:numPr>
      </w:pPr>
      <w:r w:rsidRPr="00AA55A3">
        <w:t xml:space="preserve">The resubmission was based on one head-to-head, randomised, double blind, three-arm trial comparing NIVO+IPI combination therapy, </w:t>
      </w:r>
      <w:proofErr w:type="spellStart"/>
      <w:r w:rsidRPr="00AA55A3">
        <w:t>nivolumab</w:t>
      </w:r>
      <w:proofErr w:type="spellEnd"/>
      <w:r w:rsidRPr="00AA55A3">
        <w:t xml:space="preserve"> monotherapy and </w:t>
      </w:r>
      <w:proofErr w:type="spellStart"/>
      <w:r w:rsidRPr="00AA55A3">
        <w:t>ipilimumab</w:t>
      </w:r>
      <w:proofErr w:type="spellEnd"/>
      <w:r w:rsidRPr="00AA55A3">
        <w:t xml:space="preserve"> monotherapy in patients with previously untreated </w:t>
      </w:r>
      <w:proofErr w:type="spellStart"/>
      <w:r w:rsidRPr="00AA55A3">
        <w:t>unresectable</w:t>
      </w:r>
      <w:proofErr w:type="spellEnd"/>
      <w:r w:rsidRPr="00AA55A3">
        <w:t xml:space="preserve"> </w:t>
      </w:r>
      <w:r w:rsidR="00B44EA5" w:rsidRPr="00AA55A3">
        <w:t xml:space="preserve">Stage III </w:t>
      </w:r>
      <w:r w:rsidRPr="00AA55A3">
        <w:t xml:space="preserve">or </w:t>
      </w:r>
      <w:r w:rsidR="00B44EA5" w:rsidRPr="00AA55A3">
        <w:t>Stage IV</w:t>
      </w:r>
      <w:r w:rsidRPr="00AA55A3">
        <w:t xml:space="preserve"> melanoma (CA209067).</w:t>
      </w:r>
    </w:p>
    <w:p w:rsidR="00697472" w:rsidRPr="00AA55A3" w:rsidRDefault="00697472" w:rsidP="00EF1D65">
      <w:pPr>
        <w:pStyle w:val="ListParagraph"/>
        <w:widowControl/>
        <w:numPr>
          <w:ilvl w:val="1"/>
          <w:numId w:val="2"/>
        </w:numPr>
      </w:pPr>
      <w:r w:rsidRPr="00AA55A3">
        <w:t xml:space="preserve">This trial was presented in both the original submission considered by the PBAC in November 2015 (9 months minimum follow-up) and the previous resubmission in March 2017 (28 months minimum follow-up). </w:t>
      </w:r>
      <w:r w:rsidR="00E1282A">
        <w:t>The PBAC noted that t</w:t>
      </w:r>
      <w:r w:rsidRPr="00AA55A3">
        <w:t xml:space="preserve">he current resubmission presented data from the May 2017 database lock </w:t>
      </w:r>
      <w:r w:rsidR="00AB44F5">
        <w:t>(36 months minimum follow-up).</w:t>
      </w:r>
    </w:p>
    <w:p w:rsidR="00697472" w:rsidRPr="00AA55A3" w:rsidRDefault="00697472" w:rsidP="00EF1D65">
      <w:pPr>
        <w:pStyle w:val="ListParagraph"/>
        <w:widowControl/>
        <w:numPr>
          <w:ilvl w:val="1"/>
          <w:numId w:val="2"/>
        </w:numPr>
        <w:rPr>
          <w:color w:val="000000" w:themeColor="text1"/>
        </w:rPr>
      </w:pPr>
      <w:r w:rsidRPr="00AA55A3">
        <w:t xml:space="preserve">The resubmission also presented a supplementary trial comparing NIVO+IPI combination therapy with </w:t>
      </w:r>
      <w:proofErr w:type="spellStart"/>
      <w:r w:rsidRPr="00AA55A3">
        <w:t>nivolumab</w:t>
      </w:r>
      <w:proofErr w:type="spellEnd"/>
      <w:r w:rsidRPr="00AA55A3">
        <w:t xml:space="preserve"> monotherapy in patients with melanoma brain metastases (Long 2018). Long 2018 </w:t>
      </w:r>
      <w:r w:rsidRPr="00AA55A3">
        <w:rPr>
          <w:color w:val="000000" w:themeColor="text1"/>
        </w:rPr>
        <w:t xml:space="preserve">was an open-label phase 2 trial conducted at four cancer centres in Australia. The trial included three cohorts of patients </w:t>
      </w:r>
      <w:r w:rsidR="00B44EA5" w:rsidRPr="00AA55A3">
        <w:rPr>
          <w:color w:val="000000" w:themeColor="text1"/>
        </w:rPr>
        <w:t>with active melanoma brain meta</w:t>
      </w:r>
      <w:r w:rsidRPr="00AA55A3">
        <w:rPr>
          <w:color w:val="000000" w:themeColor="text1"/>
        </w:rPr>
        <w:t xml:space="preserve">stases (n=76): </w:t>
      </w:r>
    </w:p>
    <w:p w:rsidR="00697472" w:rsidRPr="00AA55A3" w:rsidRDefault="00697472" w:rsidP="001422C9">
      <w:pPr>
        <w:pStyle w:val="ListParagraph"/>
        <w:widowControl/>
        <w:numPr>
          <w:ilvl w:val="0"/>
          <w:numId w:val="14"/>
        </w:numPr>
        <w:spacing w:after="0"/>
        <w:ind w:left="993" w:hanging="284"/>
        <w:rPr>
          <w:color w:val="000000" w:themeColor="text1"/>
        </w:rPr>
      </w:pPr>
      <w:r w:rsidRPr="00AA55A3">
        <w:rPr>
          <w:color w:val="000000" w:themeColor="text1"/>
        </w:rPr>
        <w:t>Cohort A (n=35):</w:t>
      </w:r>
      <w:r w:rsidRPr="00AA55A3">
        <w:rPr>
          <w:color w:val="000000" w:themeColor="text1"/>
        </w:rPr>
        <w:tab/>
        <w:t>NIVO+IPI in asymptomatic previously untreated (no previous local brain-directed therapy) patients;</w:t>
      </w:r>
    </w:p>
    <w:p w:rsidR="00697472" w:rsidRPr="00AA55A3" w:rsidRDefault="00697472" w:rsidP="001422C9">
      <w:pPr>
        <w:pStyle w:val="ListParagraph"/>
        <w:widowControl/>
        <w:numPr>
          <w:ilvl w:val="0"/>
          <w:numId w:val="14"/>
        </w:numPr>
        <w:spacing w:after="0"/>
        <w:ind w:left="993" w:hanging="284"/>
        <w:rPr>
          <w:color w:val="000000" w:themeColor="text1"/>
        </w:rPr>
      </w:pPr>
      <w:r w:rsidRPr="00AA55A3">
        <w:rPr>
          <w:color w:val="000000" w:themeColor="text1"/>
        </w:rPr>
        <w:t>Cohort B (n=25):</w:t>
      </w:r>
      <w:r w:rsidRPr="00AA55A3">
        <w:rPr>
          <w:color w:val="000000" w:themeColor="text1"/>
        </w:rPr>
        <w:tab/>
      </w:r>
      <w:proofErr w:type="spellStart"/>
      <w:r w:rsidRPr="00AA55A3">
        <w:rPr>
          <w:color w:val="000000" w:themeColor="text1"/>
        </w:rPr>
        <w:t>Nivolumab</w:t>
      </w:r>
      <w:proofErr w:type="spellEnd"/>
      <w:r w:rsidRPr="00AA55A3">
        <w:rPr>
          <w:color w:val="000000" w:themeColor="text1"/>
        </w:rPr>
        <w:t xml:space="preserve"> monotherapy in asymptomatic previously untreated patients; and</w:t>
      </w:r>
    </w:p>
    <w:p w:rsidR="00697472" w:rsidRPr="00AA55A3" w:rsidRDefault="00697472" w:rsidP="001422C9">
      <w:pPr>
        <w:pStyle w:val="ListParagraph"/>
        <w:widowControl/>
        <w:numPr>
          <w:ilvl w:val="0"/>
          <w:numId w:val="14"/>
        </w:numPr>
        <w:spacing w:after="0"/>
        <w:ind w:left="993" w:hanging="284"/>
        <w:rPr>
          <w:color w:val="000000" w:themeColor="text1"/>
        </w:rPr>
      </w:pPr>
      <w:r w:rsidRPr="00AA55A3">
        <w:rPr>
          <w:color w:val="000000" w:themeColor="text1"/>
        </w:rPr>
        <w:t>Cohort C (n=16):</w:t>
      </w:r>
      <w:r w:rsidRPr="00AA55A3">
        <w:rPr>
          <w:color w:val="000000" w:themeColor="text1"/>
        </w:rPr>
        <w:tab/>
      </w:r>
      <w:proofErr w:type="spellStart"/>
      <w:r w:rsidRPr="00AA55A3">
        <w:rPr>
          <w:color w:val="000000" w:themeColor="text1"/>
        </w:rPr>
        <w:t>Nivolumab</w:t>
      </w:r>
      <w:proofErr w:type="spellEnd"/>
      <w:r w:rsidRPr="00AA55A3">
        <w:rPr>
          <w:color w:val="000000" w:themeColor="text1"/>
        </w:rPr>
        <w:t xml:space="preserve"> monotherapy patients with poor prognostic features.</w:t>
      </w:r>
    </w:p>
    <w:p w:rsidR="00697472" w:rsidRPr="00AA55A3" w:rsidRDefault="00697472" w:rsidP="00AB44F5">
      <w:pPr>
        <w:pStyle w:val="ListParagraph"/>
        <w:widowControl/>
        <w:numPr>
          <w:ilvl w:val="1"/>
          <w:numId w:val="2"/>
        </w:numPr>
        <w:spacing w:before="120"/>
      </w:pPr>
      <w:r w:rsidRPr="00AA55A3">
        <w:rPr>
          <w:rFonts w:cs="Calibri"/>
          <w:snapToGrid/>
          <w:szCs w:val="24"/>
          <w:lang w:val="en-US" w:eastAsia="en-AU"/>
        </w:rPr>
        <w:t xml:space="preserve">Details of the trials presented in the resubmission are provided in the table below.  </w:t>
      </w:r>
    </w:p>
    <w:p w:rsidR="00697472" w:rsidRPr="00EA7A44" w:rsidRDefault="00697472" w:rsidP="003534E2">
      <w:pPr>
        <w:keepNext/>
        <w:widowControl/>
        <w:jc w:val="left"/>
        <w:rPr>
          <w:rStyle w:val="CommentReference"/>
        </w:rPr>
      </w:pPr>
      <w:r w:rsidRPr="00EA7A44">
        <w:rPr>
          <w:rStyle w:val="CommentReference"/>
        </w:rPr>
        <w:lastRenderedPageBreak/>
        <w:t xml:space="preserve">Table </w:t>
      </w:r>
      <w:r w:rsidR="00622B9E">
        <w:rPr>
          <w:rStyle w:val="CommentReference"/>
          <w:noProof/>
        </w:rPr>
        <w:t>3</w:t>
      </w:r>
      <w:r w:rsidRPr="00EA7A44">
        <w:rPr>
          <w:rStyle w:val="CommentReference"/>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697472" w:rsidRPr="00AA55A3" w:rsidTr="00165EE5">
        <w:trPr>
          <w:tblHeader/>
        </w:trPr>
        <w:tc>
          <w:tcPr>
            <w:tcW w:w="796" w:type="pct"/>
            <w:tcBorders>
              <w:bottom w:val="single" w:sz="4" w:space="0" w:color="auto"/>
            </w:tcBorders>
            <w:vAlign w:val="center"/>
          </w:tcPr>
          <w:p w:rsidR="00697472" w:rsidRPr="00AA55A3" w:rsidRDefault="00697472" w:rsidP="003534E2">
            <w:pPr>
              <w:pStyle w:val="Tabletext"/>
              <w:keepNext/>
              <w:rPr>
                <w:b/>
              </w:rPr>
            </w:pPr>
            <w:r w:rsidRPr="00AA55A3">
              <w:rPr>
                <w:b/>
              </w:rPr>
              <w:t>Trial ID</w:t>
            </w:r>
          </w:p>
        </w:tc>
        <w:tc>
          <w:tcPr>
            <w:tcW w:w="3027" w:type="pct"/>
            <w:tcBorders>
              <w:bottom w:val="single" w:sz="4" w:space="0" w:color="auto"/>
            </w:tcBorders>
            <w:vAlign w:val="center"/>
          </w:tcPr>
          <w:p w:rsidR="00697472" w:rsidRPr="00AA55A3" w:rsidRDefault="00697472" w:rsidP="003534E2">
            <w:pPr>
              <w:pStyle w:val="Tabletext"/>
              <w:keepNext/>
              <w:jc w:val="center"/>
              <w:rPr>
                <w:b/>
              </w:rPr>
            </w:pPr>
            <w:r w:rsidRPr="00AA55A3">
              <w:rPr>
                <w:b/>
              </w:rPr>
              <w:t>Protocol title/ Publication title</w:t>
            </w:r>
          </w:p>
        </w:tc>
        <w:tc>
          <w:tcPr>
            <w:tcW w:w="1177" w:type="pct"/>
            <w:tcBorders>
              <w:bottom w:val="single" w:sz="4" w:space="0" w:color="auto"/>
            </w:tcBorders>
            <w:vAlign w:val="center"/>
          </w:tcPr>
          <w:p w:rsidR="00697472" w:rsidRPr="00AA55A3" w:rsidRDefault="00697472" w:rsidP="003534E2">
            <w:pPr>
              <w:pStyle w:val="Tabletext"/>
              <w:keepNext/>
              <w:jc w:val="center"/>
              <w:rPr>
                <w:b/>
              </w:rPr>
            </w:pPr>
            <w:r w:rsidRPr="00AA55A3">
              <w:rPr>
                <w:b/>
              </w:rPr>
              <w:t>Publication citation</w:t>
            </w:r>
          </w:p>
        </w:tc>
      </w:tr>
      <w:tr w:rsidR="00697472" w:rsidRPr="00AA55A3" w:rsidTr="00165EE5">
        <w:tc>
          <w:tcPr>
            <w:tcW w:w="796" w:type="pct"/>
            <w:vMerge w:val="restart"/>
            <w:vAlign w:val="center"/>
          </w:tcPr>
          <w:p w:rsidR="00697472" w:rsidRPr="00AA55A3" w:rsidRDefault="00697472" w:rsidP="003534E2">
            <w:pPr>
              <w:pStyle w:val="Tabletext"/>
              <w:keepNext/>
              <w:rPr>
                <w:rFonts w:ascii="Times" w:hAnsi="Times"/>
              </w:rPr>
            </w:pPr>
            <w:r w:rsidRPr="00AA55A3">
              <w:t>CA209067</w:t>
            </w:r>
          </w:p>
        </w:tc>
        <w:tc>
          <w:tcPr>
            <w:tcW w:w="3027" w:type="pct"/>
            <w:tcBorders>
              <w:bottom w:val="nil"/>
            </w:tcBorders>
            <w:vAlign w:val="center"/>
          </w:tcPr>
          <w:p w:rsidR="00697472" w:rsidRPr="00AA55A3" w:rsidRDefault="00697472" w:rsidP="003534E2">
            <w:pPr>
              <w:pStyle w:val="Tabletext"/>
              <w:keepNext/>
              <w:rPr>
                <w:szCs w:val="18"/>
              </w:rPr>
            </w:pPr>
            <w:r w:rsidRPr="00AA55A3">
              <w:t xml:space="preserve">A Phase 3, randomized, double-blind study of </w:t>
            </w:r>
            <w:proofErr w:type="spellStart"/>
            <w:r w:rsidRPr="00AA55A3">
              <w:t>nivolumab</w:t>
            </w:r>
            <w:proofErr w:type="spellEnd"/>
            <w:r w:rsidRPr="00AA55A3">
              <w:t xml:space="preserve"> monotherapy or </w:t>
            </w:r>
            <w:proofErr w:type="spellStart"/>
            <w:r w:rsidRPr="00AA55A3">
              <w:t>nivolumab</w:t>
            </w:r>
            <w:proofErr w:type="spellEnd"/>
            <w:r w:rsidRPr="00AA55A3">
              <w:t xml:space="preserve"> combined with </w:t>
            </w:r>
            <w:proofErr w:type="spellStart"/>
            <w:r w:rsidRPr="00AA55A3">
              <w:t>ipilimumab</w:t>
            </w:r>
            <w:proofErr w:type="spellEnd"/>
            <w:r w:rsidRPr="00AA55A3">
              <w:t xml:space="preserve"> versus </w:t>
            </w:r>
            <w:proofErr w:type="spellStart"/>
            <w:r w:rsidRPr="00AA55A3">
              <w:t>ipilimumab</w:t>
            </w:r>
            <w:proofErr w:type="spellEnd"/>
            <w:r w:rsidRPr="00AA55A3">
              <w:t xml:space="preserve"> monotherapy in subjects with previously untreated </w:t>
            </w:r>
            <w:proofErr w:type="spellStart"/>
            <w:r w:rsidRPr="00AA55A3">
              <w:t>unresectable</w:t>
            </w:r>
            <w:proofErr w:type="spellEnd"/>
            <w:r w:rsidRPr="00AA55A3">
              <w:t xml:space="preserve"> or metastatic melanoma. </w:t>
            </w:r>
          </w:p>
        </w:tc>
        <w:tc>
          <w:tcPr>
            <w:tcW w:w="1177" w:type="pct"/>
            <w:tcBorders>
              <w:bottom w:val="nil"/>
            </w:tcBorders>
            <w:vAlign w:val="center"/>
          </w:tcPr>
          <w:p w:rsidR="00697472" w:rsidRPr="00AA55A3" w:rsidRDefault="00697472" w:rsidP="003534E2">
            <w:pPr>
              <w:pStyle w:val="Tabletext"/>
              <w:keepNext/>
              <w:rPr>
                <w:rFonts w:ascii="Times" w:hAnsi="Times"/>
              </w:rPr>
            </w:pPr>
          </w:p>
        </w:tc>
      </w:tr>
      <w:tr w:rsidR="00697472" w:rsidRPr="00AA55A3" w:rsidTr="00165EE5">
        <w:tc>
          <w:tcPr>
            <w:tcW w:w="796" w:type="pct"/>
            <w:vMerge/>
            <w:vAlign w:val="center"/>
          </w:tcPr>
          <w:p w:rsidR="00697472" w:rsidRPr="00AA55A3" w:rsidRDefault="00697472" w:rsidP="003534E2">
            <w:pPr>
              <w:pStyle w:val="Tabletext"/>
              <w:keepNext/>
            </w:pPr>
          </w:p>
        </w:tc>
        <w:tc>
          <w:tcPr>
            <w:tcW w:w="3027" w:type="pct"/>
            <w:tcBorders>
              <w:top w:val="nil"/>
              <w:bottom w:val="nil"/>
            </w:tcBorders>
            <w:vAlign w:val="center"/>
          </w:tcPr>
          <w:p w:rsidR="00697472" w:rsidRPr="00AA55A3" w:rsidRDefault="00697472" w:rsidP="003534E2">
            <w:pPr>
              <w:pStyle w:val="Tabletext"/>
              <w:keepNext/>
            </w:pPr>
            <w:r w:rsidRPr="00AA55A3">
              <w:t>Interim Clinical Study Report: database lock February 2015</w:t>
            </w:r>
          </w:p>
        </w:tc>
        <w:tc>
          <w:tcPr>
            <w:tcW w:w="1177" w:type="pct"/>
            <w:tcBorders>
              <w:top w:val="nil"/>
              <w:bottom w:val="nil"/>
            </w:tcBorders>
            <w:vAlign w:val="center"/>
          </w:tcPr>
          <w:p w:rsidR="00697472" w:rsidRPr="00AA55A3" w:rsidRDefault="00697472" w:rsidP="003534E2">
            <w:pPr>
              <w:pStyle w:val="Tabletext"/>
              <w:keepNext/>
            </w:pPr>
            <w:r w:rsidRPr="00AA55A3">
              <w:t>19 June 2015</w:t>
            </w:r>
          </w:p>
        </w:tc>
      </w:tr>
      <w:tr w:rsidR="00697472" w:rsidRPr="00AA55A3" w:rsidTr="00165EE5">
        <w:tc>
          <w:tcPr>
            <w:tcW w:w="796" w:type="pct"/>
            <w:vMerge/>
            <w:vAlign w:val="center"/>
          </w:tcPr>
          <w:p w:rsidR="00697472" w:rsidRPr="00AA55A3" w:rsidRDefault="00697472" w:rsidP="003534E2">
            <w:pPr>
              <w:pStyle w:val="Tabletext"/>
              <w:keepNext/>
            </w:pPr>
          </w:p>
        </w:tc>
        <w:tc>
          <w:tcPr>
            <w:tcW w:w="3027" w:type="pct"/>
            <w:tcBorders>
              <w:top w:val="nil"/>
              <w:bottom w:val="nil"/>
            </w:tcBorders>
            <w:vAlign w:val="center"/>
          </w:tcPr>
          <w:p w:rsidR="00697472" w:rsidRPr="00AA55A3" w:rsidRDefault="00697472" w:rsidP="003534E2">
            <w:pPr>
              <w:pStyle w:val="Tabletext"/>
              <w:keepNext/>
            </w:pPr>
            <w:proofErr w:type="spellStart"/>
            <w:r w:rsidRPr="00AA55A3">
              <w:t>Topline</w:t>
            </w:r>
            <w:proofErr w:type="spellEnd"/>
            <w:r w:rsidRPr="00AA55A3">
              <w:t xml:space="preserve"> Report: database lock September 2016</w:t>
            </w:r>
          </w:p>
        </w:tc>
        <w:tc>
          <w:tcPr>
            <w:tcW w:w="1177" w:type="pct"/>
            <w:tcBorders>
              <w:top w:val="nil"/>
              <w:bottom w:val="nil"/>
            </w:tcBorders>
            <w:vAlign w:val="center"/>
          </w:tcPr>
          <w:p w:rsidR="00697472" w:rsidRPr="00AA55A3" w:rsidRDefault="00697472" w:rsidP="003534E2">
            <w:pPr>
              <w:pStyle w:val="Tabletext"/>
              <w:keepNext/>
            </w:pPr>
            <w:r w:rsidRPr="00AA55A3">
              <w:t>18 October 2016</w:t>
            </w:r>
          </w:p>
        </w:tc>
      </w:tr>
      <w:tr w:rsidR="00697472" w:rsidRPr="00AA55A3" w:rsidTr="00165EE5">
        <w:tc>
          <w:tcPr>
            <w:tcW w:w="796" w:type="pct"/>
            <w:vMerge/>
            <w:vAlign w:val="center"/>
          </w:tcPr>
          <w:p w:rsidR="00697472" w:rsidRPr="00AA55A3" w:rsidRDefault="00697472" w:rsidP="003534E2">
            <w:pPr>
              <w:pStyle w:val="Tabletext"/>
              <w:keepNext/>
            </w:pPr>
          </w:p>
        </w:tc>
        <w:tc>
          <w:tcPr>
            <w:tcW w:w="3027" w:type="pct"/>
            <w:tcBorders>
              <w:top w:val="nil"/>
              <w:bottom w:val="nil"/>
            </w:tcBorders>
            <w:vAlign w:val="center"/>
          </w:tcPr>
          <w:p w:rsidR="00697472" w:rsidRPr="00AA55A3" w:rsidRDefault="00697472" w:rsidP="003534E2">
            <w:pPr>
              <w:pStyle w:val="Tabletext"/>
              <w:keepNext/>
              <w:spacing w:after="60"/>
            </w:pPr>
            <w:r w:rsidRPr="00AA55A3">
              <w:t>Clinical Study Report: database lock May 2017</w:t>
            </w:r>
          </w:p>
        </w:tc>
        <w:tc>
          <w:tcPr>
            <w:tcW w:w="1177" w:type="pct"/>
            <w:tcBorders>
              <w:top w:val="nil"/>
              <w:bottom w:val="nil"/>
            </w:tcBorders>
            <w:vAlign w:val="center"/>
          </w:tcPr>
          <w:p w:rsidR="00697472" w:rsidRPr="00AA55A3" w:rsidRDefault="00697472" w:rsidP="003534E2">
            <w:pPr>
              <w:pStyle w:val="Tabletext"/>
              <w:keepNext/>
            </w:pPr>
            <w:r w:rsidRPr="00AA55A3">
              <w:t>-</w:t>
            </w:r>
          </w:p>
        </w:tc>
      </w:tr>
      <w:tr w:rsidR="00697472" w:rsidRPr="00AA55A3" w:rsidTr="00165EE5">
        <w:tc>
          <w:tcPr>
            <w:tcW w:w="796" w:type="pct"/>
            <w:vMerge/>
            <w:vAlign w:val="center"/>
          </w:tcPr>
          <w:p w:rsidR="00697472" w:rsidRPr="00AA55A3" w:rsidRDefault="00697472" w:rsidP="003534E2">
            <w:pPr>
              <w:pStyle w:val="Tabletext"/>
              <w:keepNext/>
            </w:pPr>
          </w:p>
        </w:tc>
        <w:tc>
          <w:tcPr>
            <w:tcW w:w="3027" w:type="pct"/>
            <w:tcBorders>
              <w:top w:val="nil"/>
              <w:bottom w:val="nil"/>
            </w:tcBorders>
            <w:vAlign w:val="center"/>
          </w:tcPr>
          <w:p w:rsidR="00697472" w:rsidRPr="00AA55A3" w:rsidRDefault="00697472" w:rsidP="003534E2">
            <w:pPr>
              <w:pStyle w:val="Tabletext"/>
              <w:keepNext/>
              <w:spacing w:after="60"/>
            </w:pPr>
            <w:r w:rsidRPr="00AA55A3">
              <w:t xml:space="preserve">Larkin J, </w:t>
            </w:r>
            <w:proofErr w:type="spellStart"/>
            <w:r w:rsidRPr="00AA55A3">
              <w:t>Chiarion-Sileni</w:t>
            </w:r>
            <w:proofErr w:type="spellEnd"/>
            <w:r w:rsidRPr="00AA55A3">
              <w:t xml:space="preserve"> V, Gonzalez R et al. Combined </w:t>
            </w:r>
            <w:proofErr w:type="spellStart"/>
            <w:r w:rsidRPr="00AA55A3">
              <w:t>nivolumab</w:t>
            </w:r>
            <w:proofErr w:type="spellEnd"/>
            <w:r w:rsidRPr="00AA55A3">
              <w:t xml:space="preserve"> and </w:t>
            </w:r>
            <w:proofErr w:type="spellStart"/>
            <w:r w:rsidRPr="00AA55A3">
              <w:t>ipilimumab</w:t>
            </w:r>
            <w:proofErr w:type="spellEnd"/>
            <w:r w:rsidRPr="00AA55A3">
              <w:t xml:space="preserve"> or monotherapy in untreated melanoma</w:t>
            </w:r>
          </w:p>
        </w:tc>
        <w:tc>
          <w:tcPr>
            <w:tcW w:w="1177" w:type="pct"/>
            <w:tcBorders>
              <w:top w:val="nil"/>
              <w:bottom w:val="nil"/>
            </w:tcBorders>
            <w:vAlign w:val="center"/>
          </w:tcPr>
          <w:p w:rsidR="00697472" w:rsidRPr="00AA55A3" w:rsidRDefault="00697472" w:rsidP="003534E2">
            <w:pPr>
              <w:pStyle w:val="Tabletext"/>
              <w:keepNext/>
            </w:pPr>
            <w:r w:rsidRPr="00AA55A3">
              <w:rPr>
                <w:rFonts w:eastAsia="SimSun" w:cs="Arial Narrow"/>
              </w:rPr>
              <w:t>NEJM 2015; 373 (1): 23-34.</w:t>
            </w:r>
          </w:p>
        </w:tc>
      </w:tr>
      <w:tr w:rsidR="00697472" w:rsidRPr="00AA55A3" w:rsidTr="00165EE5">
        <w:tc>
          <w:tcPr>
            <w:tcW w:w="796" w:type="pct"/>
            <w:vMerge/>
            <w:tcBorders>
              <w:bottom w:val="single" w:sz="4" w:space="0" w:color="auto"/>
            </w:tcBorders>
            <w:vAlign w:val="center"/>
          </w:tcPr>
          <w:p w:rsidR="00697472" w:rsidRPr="00AA55A3" w:rsidRDefault="00697472" w:rsidP="003534E2">
            <w:pPr>
              <w:pStyle w:val="Tabletext"/>
              <w:keepNext/>
            </w:pPr>
          </w:p>
        </w:tc>
        <w:tc>
          <w:tcPr>
            <w:tcW w:w="3027" w:type="pct"/>
            <w:tcBorders>
              <w:top w:val="nil"/>
              <w:bottom w:val="single" w:sz="4" w:space="0" w:color="auto"/>
            </w:tcBorders>
            <w:vAlign w:val="center"/>
          </w:tcPr>
          <w:p w:rsidR="00697472" w:rsidRPr="00AA55A3" w:rsidRDefault="00697472" w:rsidP="003534E2">
            <w:pPr>
              <w:pStyle w:val="Tabletext"/>
              <w:keepNext/>
              <w:rPr>
                <w:szCs w:val="18"/>
                <w:lang w:eastAsia="en-AU"/>
              </w:rPr>
            </w:pPr>
            <w:proofErr w:type="spellStart"/>
            <w:r w:rsidRPr="00AA55A3">
              <w:rPr>
                <w:szCs w:val="18"/>
                <w:lang w:val="es-ES" w:eastAsia="en-AU"/>
              </w:rPr>
              <w:t>Wolchok</w:t>
            </w:r>
            <w:proofErr w:type="spellEnd"/>
            <w:r w:rsidRPr="00AA55A3">
              <w:rPr>
                <w:szCs w:val="18"/>
                <w:lang w:val="es-ES" w:eastAsia="en-AU"/>
              </w:rPr>
              <w:t xml:space="preserve"> JD, </w:t>
            </w:r>
            <w:proofErr w:type="spellStart"/>
            <w:r w:rsidRPr="00AA55A3">
              <w:rPr>
                <w:lang w:val="es-ES"/>
              </w:rPr>
              <w:t>Chiarion-Sileni</w:t>
            </w:r>
            <w:proofErr w:type="spellEnd"/>
            <w:r w:rsidRPr="00AA55A3">
              <w:rPr>
                <w:lang w:val="es-ES"/>
              </w:rPr>
              <w:t xml:space="preserve"> V, </w:t>
            </w:r>
            <w:proofErr w:type="spellStart"/>
            <w:r w:rsidRPr="00AA55A3">
              <w:rPr>
                <w:lang w:val="es-ES"/>
              </w:rPr>
              <w:t>Gonzalez</w:t>
            </w:r>
            <w:proofErr w:type="spellEnd"/>
            <w:r w:rsidRPr="00AA55A3">
              <w:rPr>
                <w:lang w:val="es-ES"/>
              </w:rPr>
              <w:t xml:space="preserve"> R et al. </w:t>
            </w:r>
            <w:r w:rsidRPr="00AA55A3">
              <w:t xml:space="preserve">Overall survival with combined </w:t>
            </w:r>
            <w:proofErr w:type="spellStart"/>
            <w:r w:rsidRPr="00AA55A3">
              <w:t>nivolumab</w:t>
            </w:r>
            <w:proofErr w:type="spellEnd"/>
            <w:r w:rsidRPr="00AA55A3">
              <w:t xml:space="preserve"> and </w:t>
            </w:r>
            <w:proofErr w:type="spellStart"/>
            <w:r w:rsidRPr="00AA55A3">
              <w:t>ipilimumab</w:t>
            </w:r>
            <w:proofErr w:type="spellEnd"/>
            <w:r w:rsidRPr="00AA55A3">
              <w:t xml:space="preserve"> in advanced melanoma.</w:t>
            </w:r>
          </w:p>
        </w:tc>
        <w:tc>
          <w:tcPr>
            <w:tcW w:w="1177" w:type="pct"/>
            <w:tcBorders>
              <w:top w:val="nil"/>
              <w:bottom w:val="single" w:sz="4" w:space="0" w:color="auto"/>
            </w:tcBorders>
            <w:vAlign w:val="center"/>
          </w:tcPr>
          <w:p w:rsidR="00697472" w:rsidRPr="00AA55A3" w:rsidRDefault="00697472" w:rsidP="003534E2">
            <w:pPr>
              <w:pStyle w:val="Tabletext"/>
              <w:keepNext/>
            </w:pPr>
            <w:r w:rsidRPr="00AA55A3">
              <w:t>NEJM 2017; 377 (14):1345-1356.</w:t>
            </w:r>
          </w:p>
        </w:tc>
      </w:tr>
      <w:tr w:rsidR="00697472" w:rsidRPr="003534E2" w:rsidTr="00165EE5">
        <w:tc>
          <w:tcPr>
            <w:tcW w:w="5000" w:type="pct"/>
            <w:gridSpan w:val="3"/>
            <w:tcBorders>
              <w:top w:val="single" w:sz="4" w:space="0" w:color="auto"/>
              <w:bottom w:val="single" w:sz="4" w:space="0" w:color="auto"/>
            </w:tcBorders>
            <w:vAlign w:val="center"/>
          </w:tcPr>
          <w:p w:rsidR="00697472" w:rsidRPr="003534E2" w:rsidRDefault="00697472" w:rsidP="003534E2">
            <w:pPr>
              <w:pStyle w:val="Tabletext"/>
              <w:keepNext/>
              <w:rPr>
                <w:b/>
              </w:rPr>
            </w:pPr>
            <w:r w:rsidRPr="003534E2">
              <w:rPr>
                <w:b/>
              </w:rPr>
              <w:t>Supplementary studies</w:t>
            </w:r>
          </w:p>
        </w:tc>
      </w:tr>
      <w:tr w:rsidR="00697472" w:rsidRPr="00AA55A3" w:rsidTr="00165EE5">
        <w:tc>
          <w:tcPr>
            <w:tcW w:w="796" w:type="pct"/>
            <w:tcBorders>
              <w:top w:val="single" w:sz="4" w:space="0" w:color="auto"/>
              <w:bottom w:val="single" w:sz="4" w:space="0" w:color="auto"/>
            </w:tcBorders>
            <w:vAlign w:val="center"/>
          </w:tcPr>
          <w:p w:rsidR="00697472" w:rsidRPr="00AA55A3" w:rsidRDefault="00697472" w:rsidP="003534E2">
            <w:pPr>
              <w:pStyle w:val="Tabletext"/>
              <w:keepNext/>
            </w:pPr>
            <w:r w:rsidRPr="00AA55A3">
              <w:t>Long 2018</w:t>
            </w:r>
          </w:p>
        </w:tc>
        <w:tc>
          <w:tcPr>
            <w:tcW w:w="3027" w:type="pct"/>
            <w:tcBorders>
              <w:top w:val="single" w:sz="4" w:space="0" w:color="auto"/>
              <w:bottom w:val="single" w:sz="4" w:space="0" w:color="auto"/>
            </w:tcBorders>
            <w:vAlign w:val="center"/>
          </w:tcPr>
          <w:p w:rsidR="00697472" w:rsidRPr="00AA55A3" w:rsidRDefault="00697472" w:rsidP="003534E2">
            <w:pPr>
              <w:pStyle w:val="Tabletext"/>
              <w:keepNext/>
            </w:pPr>
            <w:r w:rsidRPr="00AA55A3">
              <w:t xml:space="preserve">Long GV, Atkinson V, Lo S, et al. Combination </w:t>
            </w:r>
            <w:proofErr w:type="spellStart"/>
            <w:r w:rsidRPr="00AA55A3">
              <w:t>nivolumab</w:t>
            </w:r>
            <w:proofErr w:type="spellEnd"/>
            <w:r w:rsidRPr="00AA55A3">
              <w:t xml:space="preserve"> and </w:t>
            </w:r>
            <w:proofErr w:type="spellStart"/>
            <w:r w:rsidRPr="00AA55A3">
              <w:t>ipilimumab</w:t>
            </w:r>
            <w:proofErr w:type="spellEnd"/>
            <w:r w:rsidRPr="00AA55A3">
              <w:t xml:space="preserve"> or </w:t>
            </w:r>
            <w:proofErr w:type="spellStart"/>
            <w:r w:rsidRPr="00AA55A3">
              <w:t>nivolumab</w:t>
            </w:r>
            <w:proofErr w:type="spellEnd"/>
            <w:r w:rsidRPr="00AA55A3">
              <w:t xml:space="preserve"> alone in melanoma brain metastases: a multicentre randomised phase 2 study. </w:t>
            </w:r>
          </w:p>
        </w:tc>
        <w:tc>
          <w:tcPr>
            <w:tcW w:w="1177" w:type="pct"/>
            <w:tcBorders>
              <w:top w:val="single" w:sz="4" w:space="0" w:color="auto"/>
              <w:bottom w:val="single" w:sz="4" w:space="0" w:color="auto"/>
            </w:tcBorders>
            <w:vAlign w:val="center"/>
          </w:tcPr>
          <w:p w:rsidR="00697472" w:rsidRPr="00AA55A3" w:rsidRDefault="00697472" w:rsidP="003534E2">
            <w:pPr>
              <w:pStyle w:val="Tabletext"/>
              <w:keepNext/>
            </w:pPr>
            <w:r w:rsidRPr="00AA55A3">
              <w:t>Lancet Oncology 2018. Article in Press</w:t>
            </w:r>
          </w:p>
        </w:tc>
      </w:tr>
    </w:tbl>
    <w:p w:rsidR="00697472" w:rsidRPr="00AA55A3" w:rsidRDefault="00697472" w:rsidP="00697472">
      <w:pPr>
        <w:pStyle w:val="TableFooter"/>
        <w:rPr>
          <w:rStyle w:val="CommentReference"/>
        </w:rPr>
      </w:pPr>
      <w:r w:rsidRPr="00AA55A3">
        <w:t>Source: Table p51 and Table 19, p56 of the resubmission</w:t>
      </w:r>
    </w:p>
    <w:p w:rsidR="00697472" w:rsidRPr="00AA55A3" w:rsidRDefault="00697472" w:rsidP="00AB44F5">
      <w:pPr>
        <w:pStyle w:val="ListParagraph"/>
        <w:widowControl/>
        <w:numPr>
          <w:ilvl w:val="1"/>
          <w:numId w:val="2"/>
        </w:numPr>
        <w:spacing w:before="120"/>
      </w:pPr>
      <w:r w:rsidRPr="00AA55A3">
        <w:t xml:space="preserve">The key features of the direct randomised trials are summarised in the table below.  </w:t>
      </w:r>
    </w:p>
    <w:p w:rsidR="00697472" w:rsidRPr="00AA55A3" w:rsidRDefault="00697472" w:rsidP="00697472">
      <w:pPr>
        <w:pStyle w:val="Caption"/>
        <w:keepNext/>
        <w:rPr>
          <w:rStyle w:val="CommentReference"/>
          <w:b/>
        </w:rPr>
      </w:pPr>
      <w:r w:rsidRPr="00AA55A3">
        <w:rPr>
          <w:rStyle w:val="CommentReference"/>
          <w:b/>
        </w:rPr>
        <w:t xml:space="preserve">Table </w:t>
      </w:r>
      <w:r w:rsidR="00622B9E">
        <w:rPr>
          <w:rStyle w:val="CommentReference"/>
          <w:b/>
          <w:noProof/>
        </w:rPr>
        <w:t>4</w:t>
      </w:r>
      <w:r w:rsidRPr="00AA55A3">
        <w:rPr>
          <w:rStyle w:val="CommentReference"/>
          <w:b/>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847"/>
        <w:gridCol w:w="2523"/>
        <w:gridCol w:w="1401"/>
        <w:gridCol w:w="1749"/>
        <w:gridCol w:w="1272"/>
      </w:tblGrid>
      <w:tr w:rsidR="00697472" w:rsidRPr="00AA55A3" w:rsidTr="00165EE5">
        <w:tc>
          <w:tcPr>
            <w:tcW w:w="711" w:type="pct"/>
            <w:shd w:val="clear" w:color="auto" w:fill="auto"/>
            <w:vAlign w:val="center"/>
          </w:tcPr>
          <w:p w:rsidR="00697472" w:rsidRPr="00AA55A3" w:rsidRDefault="00697472" w:rsidP="00B44EA5">
            <w:pPr>
              <w:pStyle w:val="Tabletext"/>
              <w:rPr>
                <w:b/>
                <w:lang w:val="en-US"/>
              </w:rPr>
            </w:pPr>
            <w:r w:rsidRPr="00AA55A3">
              <w:rPr>
                <w:b/>
                <w:lang w:val="en-US"/>
              </w:rPr>
              <w:t>Trial</w:t>
            </w:r>
          </w:p>
        </w:tc>
        <w:tc>
          <w:tcPr>
            <w:tcW w:w="466" w:type="pct"/>
            <w:shd w:val="clear" w:color="auto" w:fill="auto"/>
            <w:vAlign w:val="center"/>
          </w:tcPr>
          <w:p w:rsidR="00697472" w:rsidRPr="00AA55A3" w:rsidRDefault="00697472" w:rsidP="00B44EA5">
            <w:pPr>
              <w:pStyle w:val="Tabletext"/>
              <w:jc w:val="center"/>
              <w:rPr>
                <w:b/>
                <w:lang w:val="en-US"/>
              </w:rPr>
            </w:pPr>
            <w:r w:rsidRPr="00AA55A3">
              <w:rPr>
                <w:b/>
                <w:lang w:val="en-US"/>
              </w:rPr>
              <w:t>N</w:t>
            </w:r>
          </w:p>
        </w:tc>
        <w:tc>
          <w:tcPr>
            <w:tcW w:w="1389" w:type="pct"/>
            <w:shd w:val="clear" w:color="auto" w:fill="auto"/>
            <w:vAlign w:val="center"/>
          </w:tcPr>
          <w:p w:rsidR="00697472" w:rsidRPr="00AA55A3" w:rsidRDefault="00697472" w:rsidP="00B44EA5">
            <w:pPr>
              <w:pStyle w:val="Tabletext"/>
              <w:jc w:val="center"/>
              <w:rPr>
                <w:b/>
                <w:lang w:val="en-US"/>
              </w:rPr>
            </w:pPr>
            <w:r w:rsidRPr="00AA55A3">
              <w:rPr>
                <w:b/>
                <w:lang w:val="en-US"/>
              </w:rPr>
              <w:t>Design/ duration</w:t>
            </w:r>
          </w:p>
        </w:tc>
        <w:tc>
          <w:tcPr>
            <w:tcW w:w="771" w:type="pct"/>
            <w:shd w:val="clear" w:color="auto" w:fill="auto"/>
            <w:vAlign w:val="center"/>
          </w:tcPr>
          <w:p w:rsidR="00697472" w:rsidRPr="00AA55A3" w:rsidRDefault="00697472" w:rsidP="00B44EA5">
            <w:pPr>
              <w:pStyle w:val="Tabletext"/>
              <w:jc w:val="center"/>
              <w:rPr>
                <w:b/>
                <w:lang w:val="en-US"/>
              </w:rPr>
            </w:pPr>
            <w:r w:rsidRPr="00AA55A3">
              <w:rPr>
                <w:b/>
                <w:lang w:val="en-US"/>
              </w:rPr>
              <w:t>Risk of bias</w:t>
            </w:r>
          </w:p>
        </w:tc>
        <w:tc>
          <w:tcPr>
            <w:tcW w:w="963" w:type="pct"/>
            <w:shd w:val="clear" w:color="auto" w:fill="auto"/>
            <w:vAlign w:val="center"/>
          </w:tcPr>
          <w:p w:rsidR="00697472" w:rsidRPr="00AA55A3" w:rsidRDefault="00697472" w:rsidP="00B44EA5">
            <w:pPr>
              <w:pStyle w:val="Tabletext"/>
              <w:jc w:val="center"/>
              <w:rPr>
                <w:b/>
                <w:lang w:val="en-US"/>
              </w:rPr>
            </w:pPr>
            <w:r w:rsidRPr="00AA55A3">
              <w:rPr>
                <w:b/>
                <w:lang w:val="en-US"/>
              </w:rPr>
              <w:t>Patient population</w:t>
            </w:r>
          </w:p>
        </w:tc>
        <w:tc>
          <w:tcPr>
            <w:tcW w:w="700" w:type="pct"/>
            <w:shd w:val="clear" w:color="auto" w:fill="auto"/>
            <w:vAlign w:val="center"/>
          </w:tcPr>
          <w:p w:rsidR="00697472" w:rsidRPr="00AA55A3" w:rsidRDefault="00A615DA" w:rsidP="00B44EA5">
            <w:pPr>
              <w:pStyle w:val="Tabletext"/>
              <w:jc w:val="center"/>
              <w:rPr>
                <w:b/>
                <w:lang w:val="en-US"/>
              </w:rPr>
            </w:pPr>
            <w:r w:rsidRPr="00AA55A3">
              <w:rPr>
                <w:b/>
                <w:lang w:val="en-US"/>
              </w:rPr>
              <w:t>Outcomes</w:t>
            </w:r>
          </w:p>
        </w:tc>
      </w:tr>
      <w:tr w:rsidR="00697472" w:rsidRPr="00AA55A3" w:rsidTr="00165EE5">
        <w:tc>
          <w:tcPr>
            <w:tcW w:w="5000" w:type="pct"/>
            <w:gridSpan w:val="6"/>
            <w:shd w:val="clear" w:color="auto" w:fill="auto"/>
            <w:vAlign w:val="center"/>
          </w:tcPr>
          <w:p w:rsidR="00697472" w:rsidRPr="00AA55A3" w:rsidRDefault="00697472" w:rsidP="00B44EA5">
            <w:pPr>
              <w:pStyle w:val="Tabletext"/>
              <w:rPr>
                <w:b/>
                <w:lang w:val="es-ES"/>
              </w:rPr>
            </w:pPr>
            <w:r w:rsidRPr="00AA55A3">
              <w:rPr>
                <w:b/>
                <w:lang w:val="es-ES"/>
              </w:rPr>
              <w:t>NIVO+IPI vs NIVO monotherapy</w:t>
            </w:r>
          </w:p>
        </w:tc>
      </w:tr>
      <w:tr w:rsidR="00697472" w:rsidRPr="00AA55A3" w:rsidTr="00165EE5">
        <w:tc>
          <w:tcPr>
            <w:tcW w:w="711" w:type="pct"/>
            <w:shd w:val="clear" w:color="auto" w:fill="auto"/>
            <w:vAlign w:val="center"/>
          </w:tcPr>
          <w:p w:rsidR="00697472" w:rsidRPr="00AA55A3" w:rsidRDefault="00697472" w:rsidP="00B44EA5">
            <w:pPr>
              <w:pStyle w:val="Tabletext"/>
              <w:rPr>
                <w:lang w:val="en-US"/>
              </w:rPr>
            </w:pPr>
            <w:r w:rsidRPr="00AA55A3">
              <w:rPr>
                <w:lang w:val="en-US"/>
              </w:rPr>
              <w:t>CA209067</w:t>
            </w:r>
          </w:p>
        </w:tc>
        <w:tc>
          <w:tcPr>
            <w:tcW w:w="466" w:type="pct"/>
            <w:shd w:val="clear" w:color="auto" w:fill="auto"/>
            <w:vAlign w:val="center"/>
          </w:tcPr>
          <w:p w:rsidR="00697472" w:rsidRPr="00AA55A3" w:rsidRDefault="00697472" w:rsidP="00B44EA5">
            <w:pPr>
              <w:pStyle w:val="Tabletext"/>
              <w:jc w:val="center"/>
              <w:rPr>
                <w:lang w:val="en-US"/>
              </w:rPr>
            </w:pPr>
            <w:r w:rsidRPr="00AA55A3">
              <w:rPr>
                <w:lang w:val="en-US"/>
              </w:rPr>
              <w:t>630*</w:t>
            </w:r>
          </w:p>
        </w:tc>
        <w:tc>
          <w:tcPr>
            <w:tcW w:w="1389" w:type="pct"/>
            <w:shd w:val="clear" w:color="auto" w:fill="auto"/>
            <w:vAlign w:val="center"/>
          </w:tcPr>
          <w:p w:rsidR="00697472" w:rsidRPr="00AA55A3" w:rsidRDefault="00697472" w:rsidP="00B44EA5">
            <w:pPr>
              <w:pStyle w:val="Tabletext"/>
              <w:jc w:val="center"/>
              <w:rPr>
                <w:lang w:val="en-US"/>
              </w:rPr>
            </w:pPr>
            <w:r w:rsidRPr="00AA55A3">
              <w:rPr>
                <w:lang w:val="en-US"/>
              </w:rPr>
              <w:t>R, DB</w:t>
            </w:r>
          </w:p>
          <w:p w:rsidR="00697472" w:rsidRPr="00AA55A3" w:rsidRDefault="00697472" w:rsidP="00B44EA5">
            <w:pPr>
              <w:pStyle w:val="Tabletext"/>
              <w:jc w:val="center"/>
              <w:rPr>
                <w:lang w:val="en-US"/>
              </w:rPr>
            </w:pPr>
            <w:r w:rsidRPr="00AA55A3">
              <w:rPr>
                <w:lang w:val="en-US"/>
              </w:rPr>
              <w:t xml:space="preserve">Minimum duration of FU </w:t>
            </w:r>
          </w:p>
          <w:p w:rsidR="00697472" w:rsidRPr="00AA55A3" w:rsidRDefault="00697472" w:rsidP="00B44EA5">
            <w:pPr>
              <w:pStyle w:val="Tabletext"/>
              <w:jc w:val="center"/>
              <w:rPr>
                <w:lang w:val="en-US"/>
              </w:rPr>
            </w:pPr>
            <w:r w:rsidRPr="00AA55A3">
              <w:rPr>
                <w:lang w:val="en-US"/>
              </w:rPr>
              <w:t>36 months</w:t>
            </w:r>
          </w:p>
        </w:tc>
        <w:tc>
          <w:tcPr>
            <w:tcW w:w="771" w:type="pct"/>
            <w:shd w:val="clear" w:color="auto" w:fill="auto"/>
            <w:vAlign w:val="center"/>
          </w:tcPr>
          <w:p w:rsidR="00697472" w:rsidRPr="00AA55A3" w:rsidRDefault="00697472" w:rsidP="00B44EA5">
            <w:pPr>
              <w:pStyle w:val="Tabletext"/>
              <w:jc w:val="center"/>
              <w:rPr>
                <w:lang w:val="en-US"/>
              </w:rPr>
            </w:pPr>
            <w:r w:rsidRPr="00AA55A3">
              <w:rPr>
                <w:lang w:val="en-US"/>
              </w:rPr>
              <w:t>Low</w:t>
            </w:r>
          </w:p>
        </w:tc>
        <w:tc>
          <w:tcPr>
            <w:tcW w:w="963" w:type="pct"/>
            <w:shd w:val="clear" w:color="auto" w:fill="auto"/>
            <w:vAlign w:val="center"/>
          </w:tcPr>
          <w:p w:rsidR="00697472" w:rsidRPr="00AA55A3" w:rsidRDefault="00697472" w:rsidP="00B44EA5">
            <w:pPr>
              <w:pStyle w:val="Tabletext"/>
              <w:jc w:val="center"/>
              <w:rPr>
                <w:lang w:val="en-US"/>
              </w:rPr>
            </w:pPr>
            <w:r w:rsidRPr="00AA55A3">
              <w:rPr>
                <w:lang w:val="en-US"/>
              </w:rPr>
              <w:t xml:space="preserve">Untreated </w:t>
            </w:r>
            <w:proofErr w:type="spellStart"/>
            <w:r w:rsidRPr="00AA55A3">
              <w:rPr>
                <w:lang w:val="en-US"/>
              </w:rPr>
              <w:t>unresectable</w:t>
            </w:r>
            <w:proofErr w:type="spellEnd"/>
            <w:r w:rsidRPr="00AA55A3">
              <w:rPr>
                <w:lang w:val="en-US"/>
              </w:rPr>
              <w:t xml:space="preserve"> or metastatic melanoma</w:t>
            </w:r>
          </w:p>
        </w:tc>
        <w:tc>
          <w:tcPr>
            <w:tcW w:w="700" w:type="pct"/>
            <w:shd w:val="clear" w:color="auto" w:fill="auto"/>
            <w:vAlign w:val="center"/>
          </w:tcPr>
          <w:p w:rsidR="00697472" w:rsidRPr="00AA55A3" w:rsidRDefault="00697472" w:rsidP="00B44EA5">
            <w:pPr>
              <w:pStyle w:val="Tabletext"/>
              <w:jc w:val="center"/>
              <w:rPr>
                <w:lang w:val="en-US"/>
              </w:rPr>
            </w:pPr>
            <w:r w:rsidRPr="00AA55A3">
              <w:rPr>
                <w:lang w:val="en-US"/>
              </w:rPr>
              <w:t>PFS, OS</w:t>
            </w:r>
          </w:p>
        </w:tc>
      </w:tr>
      <w:tr w:rsidR="00697472" w:rsidRPr="00AA55A3" w:rsidTr="00165EE5">
        <w:tc>
          <w:tcPr>
            <w:tcW w:w="711" w:type="pct"/>
            <w:shd w:val="clear" w:color="auto" w:fill="auto"/>
            <w:vAlign w:val="center"/>
          </w:tcPr>
          <w:p w:rsidR="00697472" w:rsidRPr="00AA55A3" w:rsidRDefault="00697472" w:rsidP="00B44EA5">
            <w:pPr>
              <w:pStyle w:val="Tabletext"/>
              <w:rPr>
                <w:lang w:val="en-US"/>
              </w:rPr>
            </w:pPr>
            <w:r w:rsidRPr="00AA55A3">
              <w:rPr>
                <w:lang w:val="en-US"/>
              </w:rPr>
              <w:t>Long 2018</w:t>
            </w:r>
          </w:p>
        </w:tc>
        <w:tc>
          <w:tcPr>
            <w:tcW w:w="466" w:type="pct"/>
            <w:shd w:val="clear" w:color="auto" w:fill="auto"/>
            <w:vAlign w:val="center"/>
          </w:tcPr>
          <w:p w:rsidR="00697472" w:rsidRPr="00AA55A3" w:rsidRDefault="00697472" w:rsidP="00B44EA5">
            <w:pPr>
              <w:pStyle w:val="Tabletext"/>
              <w:jc w:val="center"/>
              <w:rPr>
                <w:lang w:val="en-US"/>
              </w:rPr>
            </w:pPr>
            <w:r w:rsidRPr="00AA55A3">
              <w:rPr>
                <w:lang w:val="en-US"/>
              </w:rPr>
              <w:t>76</w:t>
            </w:r>
          </w:p>
        </w:tc>
        <w:tc>
          <w:tcPr>
            <w:tcW w:w="1389" w:type="pct"/>
            <w:shd w:val="clear" w:color="auto" w:fill="auto"/>
            <w:vAlign w:val="center"/>
          </w:tcPr>
          <w:p w:rsidR="00697472" w:rsidRPr="00AA55A3" w:rsidRDefault="00697472" w:rsidP="00B44EA5">
            <w:pPr>
              <w:pStyle w:val="Tabletext"/>
              <w:jc w:val="center"/>
              <w:rPr>
                <w:lang w:val="en-US"/>
              </w:rPr>
            </w:pPr>
            <w:r w:rsidRPr="00AA55A3">
              <w:rPr>
                <w:lang w:val="en-US"/>
              </w:rPr>
              <w:t>OL</w:t>
            </w:r>
          </w:p>
          <w:p w:rsidR="00697472" w:rsidRPr="00AA55A3" w:rsidRDefault="00697472" w:rsidP="00B44EA5">
            <w:pPr>
              <w:pStyle w:val="Tabletext"/>
              <w:jc w:val="center"/>
              <w:rPr>
                <w:lang w:val="en-US"/>
              </w:rPr>
            </w:pPr>
            <w:r w:rsidRPr="00AA55A3">
              <w:rPr>
                <w:lang w:val="en-US"/>
              </w:rPr>
              <w:t>Median duration of FU:</w:t>
            </w:r>
          </w:p>
          <w:p w:rsidR="00697472" w:rsidRPr="00AA55A3" w:rsidRDefault="00697472" w:rsidP="00B44EA5">
            <w:pPr>
              <w:pStyle w:val="Tabletext"/>
              <w:jc w:val="center"/>
              <w:rPr>
                <w:lang w:val="en-US"/>
              </w:rPr>
            </w:pPr>
            <w:r w:rsidRPr="00AA55A3">
              <w:rPr>
                <w:lang w:val="en-US"/>
              </w:rPr>
              <w:t>Cohort A: 14 months</w:t>
            </w:r>
          </w:p>
          <w:p w:rsidR="00697472" w:rsidRPr="00AA55A3" w:rsidRDefault="00697472" w:rsidP="00B44EA5">
            <w:pPr>
              <w:pStyle w:val="Tabletext"/>
              <w:jc w:val="center"/>
              <w:rPr>
                <w:lang w:val="en-US"/>
              </w:rPr>
            </w:pPr>
            <w:r w:rsidRPr="00AA55A3">
              <w:rPr>
                <w:lang w:val="en-US"/>
              </w:rPr>
              <w:t>Cohort B: 17 months</w:t>
            </w:r>
          </w:p>
          <w:p w:rsidR="00697472" w:rsidRPr="00AA55A3" w:rsidRDefault="00697472" w:rsidP="00B44EA5">
            <w:pPr>
              <w:pStyle w:val="Tabletext"/>
              <w:jc w:val="center"/>
              <w:rPr>
                <w:lang w:val="en-US"/>
              </w:rPr>
            </w:pPr>
            <w:r w:rsidRPr="00AA55A3">
              <w:rPr>
                <w:lang w:val="en-US"/>
              </w:rPr>
              <w:t>Cohort C: 31 months</w:t>
            </w:r>
          </w:p>
        </w:tc>
        <w:tc>
          <w:tcPr>
            <w:tcW w:w="771" w:type="pct"/>
            <w:shd w:val="clear" w:color="auto" w:fill="auto"/>
            <w:vAlign w:val="center"/>
          </w:tcPr>
          <w:p w:rsidR="00697472" w:rsidRPr="00AA55A3" w:rsidRDefault="00697472" w:rsidP="00B44EA5">
            <w:pPr>
              <w:pStyle w:val="Tabletext"/>
              <w:jc w:val="center"/>
              <w:rPr>
                <w:lang w:val="en-US"/>
              </w:rPr>
            </w:pPr>
            <w:r w:rsidRPr="00AA55A3">
              <w:rPr>
                <w:lang w:val="en-US"/>
              </w:rPr>
              <w:t>High</w:t>
            </w:r>
          </w:p>
        </w:tc>
        <w:tc>
          <w:tcPr>
            <w:tcW w:w="963" w:type="pct"/>
            <w:shd w:val="clear" w:color="auto" w:fill="auto"/>
            <w:vAlign w:val="center"/>
          </w:tcPr>
          <w:p w:rsidR="00697472" w:rsidRPr="00AA55A3" w:rsidRDefault="00697472" w:rsidP="00B44EA5">
            <w:pPr>
              <w:pStyle w:val="Tabletext"/>
              <w:jc w:val="center"/>
              <w:rPr>
                <w:lang w:val="en-US"/>
              </w:rPr>
            </w:pPr>
            <w:r w:rsidRPr="00AA55A3">
              <w:rPr>
                <w:lang w:val="en-US"/>
              </w:rPr>
              <w:t>Patients with brain metastases who are asymptomatic previously untreated or with poor prognostic features</w:t>
            </w:r>
          </w:p>
        </w:tc>
        <w:tc>
          <w:tcPr>
            <w:tcW w:w="700" w:type="pct"/>
            <w:shd w:val="clear" w:color="auto" w:fill="auto"/>
            <w:vAlign w:val="center"/>
          </w:tcPr>
          <w:p w:rsidR="00697472" w:rsidRPr="00AA55A3" w:rsidRDefault="00697472" w:rsidP="00B44EA5">
            <w:pPr>
              <w:pStyle w:val="Tabletext"/>
              <w:jc w:val="center"/>
              <w:rPr>
                <w:lang w:val="en-US"/>
              </w:rPr>
            </w:pPr>
            <w:r w:rsidRPr="00AA55A3">
              <w:rPr>
                <w:lang w:val="en-US"/>
              </w:rPr>
              <w:t>PFS rate and OS rate at 6 months</w:t>
            </w:r>
          </w:p>
        </w:tc>
      </w:tr>
    </w:tbl>
    <w:p w:rsidR="00697472" w:rsidRPr="00AA55A3" w:rsidRDefault="00697472" w:rsidP="00697472">
      <w:pPr>
        <w:pStyle w:val="TableFooter"/>
      </w:pPr>
      <w:r w:rsidRPr="00AA55A3">
        <w:t>DB</w:t>
      </w:r>
      <w:r w:rsidR="00157C80">
        <w:t xml:space="preserve"> </w:t>
      </w:r>
      <w:r w:rsidRPr="00AA55A3">
        <w:t>=</w:t>
      </w:r>
      <w:r w:rsidR="00157C80">
        <w:t xml:space="preserve"> </w:t>
      </w:r>
      <w:r w:rsidRPr="00AA55A3">
        <w:t xml:space="preserve">double blind; </w:t>
      </w:r>
      <w:r w:rsidR="00A615DA" w:rsidRPr="00AA55A3">
        <w:t xml:space="preserve">FU = follow-up; </w:t>
      </w:r>
      <w:r w:rsidR="00285849" w:rsidRPr="00AA55A3">
        <w:t xml:space="preserve">IPI = </w:t>
      </w:r>
      <w:proofErr w:type="spellStart"/>
      <w:r w:rsidR="00285849" w:rsidRPr="00AA55A3">
        <w:t>ipilimumab</w:t>
      </w:r>
      <w:proofErr w:type="spellEnd"/>
      <w:r w:rsidR="00285849" w:rsidRPr="00AA55A3">
        <w:t xml:space="preserve">; NIVO = </w:t>
      </w:r>
      <w:proofErr w:type="spellStart"/>
      <w:r w:rsidR="00285849" w:rsidRPr="00AA55A3">
        <w:t>nivolumab</w:t>
      </w:r>
      <w:proofErr w:type="spellEnd"/>
      <w:r w:rsidR="00285849" w:rsidRPr="00AA55A3">
        <w:t xml:space="preserve">; </w:t>
      </w:r>
      <w:r w:rsidRPr="00AA55A3">
        <w:t>OL</w:t>
      </w:r>
      <w:r w:rsidR="00157C80">
        <w:t xml:space="preserve"> </w:t>
      </w:r>
      <w:r w:rsidRPr="00AA55A3">
        <w:t>=</w:t>
      </w:r>
      <w:r w:rsidR="00157C80">
        <w:t xml:space="preserve"> </w:t>
      </w:r>
      <w:r w:rsidRPr="00AA55A3">
        <w:t>open label; OS</w:t>
      </w:r>
      <w:r w:rsidR="00157C80">
        <w:t xml:space="preserve"> </w:t>
      </w:r>
      <w:r w:rsidRPr="00AA55A3">
        <w:t>=</w:t>
      </w:r>
      <w:r w:rsidR="00157C80">
        <w:t xml:space="preserve"> </w:t>
      </w:r>
      <w:r w:rsidRPr="00AA55A3">
        <w:t>overall survival; PFS</w:t>
      </w:r>
      <w:r w:rsidR="00157C80">
        <w:t xml:space="preserve"> </w:t>
      </w:r>
      <w:r w:rsidRPr="00AA55A3">
        <w:t>=</w:t>
      </w:r>
      <w:r w:rsidR="00157C80">
        <w:t xml:space="preserve"> </w:t>
      </w:r>
      <w:r w:rsidRPr="00AA55A3">
        <w:t>progression free survival; R</w:t>
      </w:r>
      <w:r w:rsidR="00157C80">
        <w:t xml:space="preserve"> </w:t>
      </w:r>
      <w:r w:rsidRPr="00AA55A3">
        <w:t>=</w:t>
      </w:r>
      <w:r w:rsidR="00157C80">
        <w:t xml:space="preserve"> </w:t>
      </w:r>
      <w:r w:rsidRPr="00AA55A3">
        <w:t>randomised.</w:t>
      </w:r>
    </w:p>
    <w:p w:rsidR="00697472" w:rsidRPr="00942094" w:rsidRDefault="00A615DA" w:rsidP="00697472">
      <w:pPr>
        <w:pStyle w:val="TableFooter"/>
      </w:pPr>
      <w:r w:rsidRPr="00AA55A3">
        <w:t>* T</w:t>
      </w:r>
      <w:r w:rsidR="00697472" w:rsidRPr="00AA55A3">
        <w:t xml:space="preserve">his number of patients is only for NIVO+IPI arm and NIVO monotherapy arm (314 and 316 respectively). </w:t>
      </w:r>
      <w:r w:rsidR="003534E2" w:rsidRPr="00AA55A3">
        <w:t xml:space="preserve">Patients treated with </w:t>
      </w:r>
      <w:proofErr w:type="spellStart"/>
      <w:r w:rsidR="003534E2" w:rsidRPr="00AA55A3">
        <w:t>ipilimumab</w:t>
      </w:r>
      <w:proofErr w:type="spellEnd"/>
      <w:r w:rsidR="003534E2" w:rsidRPr="00AA55A3">
        <w:t xml:space="preserve"> monotherapy were</w:t>
      </w:r>
      <w:r w:rsidR="00697472" w:rsidRPr="00AA55A3">
        <w:t xml:space="preserve"> not considered in this </w:t>
      </w:r>
      <w:r w:rsidR="00697472" w:rsidRPr="00942094">
        <w:t>table.</w:t>
      </w:r>
    </w:p>
    <w:p w:rsidR="00697472" w:rsidRPr="00AA55A3" w:rsidRDefault="00697472" w:rsidP="00697472">
      <w:pPr>
        <w:pStyle w:val="TableFooter"/>
        <w:rPr>
          <w:sz w:val="20"/>
        </w:rPr>
      </w:pPr>
      <w:r w:rsidRPr="00942094">
        <w:t>Source: compiled during the evaluation based on Sections 2.3 and 2.4 of the resubmission</w:t>
      </w:r>
      <w:r w:rsidRPr="00AA55A3">
        <w:t>.</w:t>
      </w:r>
    </w:p>
    <w:p w:rsidR="00697472" w:rsidRPr="00AA55A3" w:rsidRDefault="00697472" w:rsidP="00AB44F5">
      <w:pPr>
        <w:pStyle w:val="ListParagraph"/>
        <w:widowControl/>
        <w:numPr>
          <w:ilvl w:val="1"/>
          <w:numId w:val="2"/>
        </w:numPr>
        <w:spacing w:before="120"/>
      </w:pPr>
      <w:r w:rsidRPr="00AA55A3">
        <w:t>As CA209067 was a randomised, double-blind trial, with minimal loss to follow-up, the risk of bias was low.</w:t>
      </w:r>
      <w:r w:rsidR="00EA7A44">
        <w:t xml:space="preserve"> </w:t>
      </w:r>
      <w:r w:rsidRPr="00AA55A3">
        <w:t xml:space="preserve">Given the deviations from the randomisation procedure, the low number of patients in each cohort and the open-label nature of Long 2018, the overall risk of bias in this study </w:t>
      </w:r>
      <w:proofErr w:type="gramStart"/>
      <w:r w:rsidRPr="00AA55A3">
        <w:t>was</w:t>
      </w:r>
      <w:proofErr w:type="gramEnd"/>
      <w:r w:rsidRPr="00AA55A3">
        <w:t xml:space="preserve"> high.</w:t>
      </w:r>
    </w:p>
    <w:p w:rsidR="00697472" w:rsidRPr="00AA55A3" w:rsidRDefault="00697472" w:rsidP="00EF1D65">
      <w:pPr>
        <w:pStyle w:val="ListParagraph"/>
        <w:widowControl/>
        <w:numPr>
          <w:ilvl w:val="1"/>
          <w:numId w:val="2"/>
        </w:numPr>
      </w:pPr>
      <w:r w:rsidRPr="00AA55A3">
        <w:t xml:space="preserve">The primary objective of CA209067 was to evaluate the safety and effectiveness of </w:t>
      </w:r>
      <w:proofErr w:type="spellStart"/>
      <w:r w:rsidRPr="00AA55A3">
        <w:t>nivolumab</w:t>
      </w:r>
      <w:proofErr w:type="spellEnd"/>
      <w:r w:rsidRPr="00AA55A3">
        <w:t xml:space="preserve"> monotherapy and NIVO+IPI in comparison with </w:t>
      </w:r>
      <w:proofErr w:type="spellStart"/>
      <w:r w:rsidRPr="00AA55A3">
        <w:t>ipilimumab</w:t>
      </w:r>
      <w:proofErr w:type="spellEnd"/>
      <w:r w:rsidRPr="00AA55A3">
        <w:t xml:space="preserve"> monotherapy. The comparison between NIVO+IPI combination therapy and </w:t>
      </w:r>
      <w:proofErr w:type="spellStart"/>
      <w:r w:rsidRPr="00AA55A3">
        <w:t>nivolumab</w:t>
      </w:r>
      <w:proofErr w:type="spellEnd"/>
      <w:r w:rsidRPr="00AA55A3">
        <w:t xml:space="preserve"> monotherapy was included as a secondary endpoint. The</w:t>
      </w:r>
      <w:r w:rsidR="00D650FC">
        <w:t xml:space="preserve"> PBAC noted that</w:t>
      </w:r>
      <w:r w:rsidRPr="00AA55A3">
        <w:t xml:space="preserve"> the </w:t>
      </w:r>
      <w:r w:rsidR="00E1706E">
        <w:t>trial</w:t>
      </w:r>
      <w:r w:rsidR="00E1706E" w:rsidRPr="00AA55A3">
        <w:t xml:space="preserve"> </w:t>
      </w:r>
      <w:r w:rsidRPr="00AA55A3">
        <w:t xml:space="preserve">was not designed for a formal statistical comparison between the NIVO+IPI and the </w:t>
      </w:r>
      <w:proofErr w:type="spellStart"/>
      <w:r w:rsidRPr="00AA55A3">
        <w:t>nivolumab</w:t>
      </w:r>
      <w:proofErr w:type="spellEnd"/>
      <w:r w:rsidRPr="00AA55A3">
        <w:t xml:space="preserve"> monotherapy treatment arms.</w:t>
      </w:r>
    </w:p>
    <w:p w:rsidR="00697472" w:rsidRDefault="00697472" w:rsidP="00EF1D65">
      <w:pPr>
        <w:pStyle w:val="ListParagraph"/>
        <w:widowControl/>
        <w:numPr>
          <w:ilvl w:val="1"/>
          <w:numId w:val="2"/>
        </w:numPr>
      </w:pPr>
      <w:r w:rsidRPr="00AA55A3">
        <w:t xml:space="preserve">The </w:t>
      </w:r>
      <w:r w:rsidR="00D650FC">
        <w:t xml:space="preserve">PBAC noted that the </w:t>
      </w:r>
      <w:r w:rsidRPr="00AA55A3">
        <w:t>use of BRAF inhibitors and PD-1 inhibitors post-progression in CA209067 did not reflect the current PBS listings for these drugs, which are precluded in patients who have received prior PBS-subsidised treatment with a PD-1 inhibitor.</w:t>
      </w:r>
    </w:p>
    <w:p w:rsidR="00D650FC" w:rsidRPr="00AA55A3" w:rsidRDefault="00D650FC" w:rsidP="00EF1D65">
      <w:pPr>
        <w:pStyle w:val="ListParagraph"/>
        <w:widowControl/>
        <w:numPr>
          <w:ilvl w:val="1"/>
          <w:numId w:val="2"/>
        </w:numPr>
      </w:pPr>
      <w:r>
        <w:lastRenderedPageBreak/>
        <w:t xml:space="preserve">The PBAC also noted that CA209067 excluded patients with an ECOG </w:t>
      </w:r>
      <w:r w:rsidR="00461CF7">
        <w:t>performance status</w:t>
      </w:r>
      <w:r>
        <w:t xml:space="preserve"> &gt;1, active brain metastases and ocular melanoma. Long 2018, which assessed patients with brain metastases, used a non-randomised cohort and was open-label.</w:t>
      </w:r>
    </w:p>
    <w:p w:rsidR="00697472" w:rsidRPr="00AB44F5" w:rsidRDefault="00697472" w:rsidP="00AB44F5">
      <w:pPr>
        <w:pStyle w:val="Heading2"/>
        <w:keepNext/>
        <w:spacing w:before="120" w:after="120"/>
        <w:rPr>
          <w:rFonts w:asciiTheme="minorHAnsi" w:hAnsiTheme="minorHAnsi"/>
          <w:bCs/>
          <w:szCs w:val="28"/>
        </w:rPr>
      </w:pPr>
      <w:bookmarkStart w:id="8" w:name="_Toc514158492"/>
      <w:r w:rsidRPr="00AB44F5">
        <w:rPr>
          <w:rFonts w:asciiTheme="minorHAnsi" w:hAnsiTheme="minorHAnsi"/>
          <w:bCs/>
          <w:szCs w:val="28"/>
        </w:rPr>
        <w:t>Comparative effectiveness</w:t>
      </w:r>
      <w:bookmarkEnd w:id="8"/>
    </w:p>
    <w:p w:rsidR="00697472" w:rsidRPr="00AA55A3" w:rsidRDefault="00697472" w:rsidP="00EF1D65">
      <w:pPr>
        <w:pStyle w:val="ListParagraph"/>
        <w:widowControl/>
        <w:numPr>
          <w:ilvl w:val="1"/>
          <w:numId w:val="2"/>
        </w:numPr>
      </w:pPr>
      <w:r w:rsidRPr="00AA55A3">
        <w:t xml:space="preserve">The table below compares the </w:t>
      </w:r>
      <w:r w:rsidR="004E2EE8" w:rsidRPr="00AA55A3">
        <w:t>overall survival (</w:t>
      </w:r>
      <w:r w:rsidRPr="00AA55A3">
        <w:t>OS</w:t>
      </w:r>
      <w:r w:rsidR="004E2EE8" w:rsidRPr="00AA55A3">
        <w:t>)</w:t>
      </w:r>
      <w:r w:rsidRPr="00AA55A3">
        <w:t xml:space="preserve"> results presented in the previous resubmission (September 2016 database lock; minimum follow-up 28 months) with the updated OS data from the May 2017 database lock (minimum follow-up 36 months).</w:t>
      </w:r>
    </w:p>
    <w:p w:rsidR="00697472" w:rsidRDefault="00697472" w:rsidP="0081150C">
      <w:pPr>
        <w:pStyle w:val="Caption"/>
        <w:keepNext/>
      </w:pPr>
      <w:r>
        <w:t xml:space="preserve">Table </w:t>
      </w:r>
      <w:r w:rsidR="00622B9E">
        <w:rPr>
          <w:noProof/>
        </w:rPr>
        <w:t>5</w:t>
      </w:r>
      <w:r>
        <w:t>: Overall survival results: CA209067 (ITT)</w:t>
      </w:r>
    </w:p>
    <w:tbl>
      <w:tblPr>
        <w:tblStyle w:val="TableGrid"/>
        <w:tblW w:w="4942" w:type="pct"/>
        <w:tblInd w:w="108" w:type="dxa"/>
        <w:tblLook w:val="04A0" w:firstRow="1" w:lastRow="0" w:firstColumn="1" w:lastColumn="0" w:noHBand="0" w:noVBand="1"/>
        <w:tblCaption w:val="Table 5: Overall survival results: CA209067 (ITT)"/>
      </w:tblPr>
      <w:tblGrid>
        <w:gridCol w:w="2518"/>
        <w:gridCol w:w="1655"/>
        <w:gridCol w:w="1654"/>
        <w:gridCol w:w="1654"/>
        <w:gridCol w:w="1655"/>
      </w:tblGrid>
      <w:tr w:rsidR="00697472" w:rsidRPr="002644F9" w:rsidTr="009716C6">
        <w:trPr>
          <w:tblHeader/>
        </w:trPr>
        <w:tc>
          <w:tcPr>
            <w:tcW w:w="1378" w:type="pct"/>
            <w:vMerge w:val="restart"/>
            <w:shd w:val="clear" w:color="auto" w:fill="FFFFFF" w:themeFill="background1"/>
          </w:tcPr>
          <w:p w:rsidR="00697472" w:rsidRPr="002644F9" w:rsidRDefault="00697472" w:rsidP="0081150C">
            <w:pPr>
              <w:pStyle w:val="Tabletext"/>
              <w:keepNext/>
              <w:rPr>
                <w:b/>
              </w:rPr>
            </w:pPr>
          </w:p>
        </w:tc>
        <w:tc>
          <w:tcPr>
            <w:tcW w:w="1811" w:type="pct"/>
            <w:gridSpan w:val="2"/>
            <w:shd w:val="clear" w:color="auto" w:fill="FFFFFF" w:themeFill="background1"/>
          </w:tcPr>
          <w:p w:rsidR="00697472" w:rsidRDefault="00697472" w:rsidP="0081150C">
            <w:pPr>
              <w:pStyle w:val="Tabletext"/>
              <w:keepNext/>
              <w:jc w:val="center"/>
              <w:rPr>
                <w:b/>
              </w:rPr>
            </w:pPr>
            <w:r>
              <w:rPr>
                <w:b/>
              </w:rPr>
              <w:t xml:space="preserve">CA209067 </w:t>
            </w:r>
          </w:p>
          <w:p w:rsidR="00697472" w:rsidRDefault="00697472" w:rsidP="0081150C">
            <w:pPr>
              <w:pStyle w:val="Tabletext"/>
              <w:keepNext/>
              <w:jc w:val="center"/>
              <w:rPr>
                <w:b/>
              </w:rPr>
            </w:pPr>
            <w:r>
              <w:rPr>
                <w:b/>
              </w:rPr>
              <w:t>Minimum follow-up 28 months</w:t>
            </w:r>
          </w:p>
          <w:p w:rsidR="00697472" w:rsidRPr="002644F9" w:rsidRDefault="00697472" w:rsidP="0081150C">
            <w:pPr>
              <w:pStyle w:val="Tabletext"/>
              <w:keepNext/>
              <w:jc w:val="center"/>
              <w:rPr>
                <w:b/>
              </w:rPr>
            </w:pPr>
            <w:r>
              <w:rPr>
                <w:b/>
              </w:rPr>
              <w:t>(March 2017 resubmission)</w:t>
            </w:r>
          </w:p>
        </w:tc>
        <w:tc>
          <w:tcPr>
            <w:tcW w:w="1811" w:type="pct"/>
            <w:gridSpan w:val="2"/>
            <w:shd w:val="clear" w:color="auto" w:fill="FFFFFF" w:themeFill="background1"/>
          </w:tcPr>
          <w:p w:rsidR="00697472" w:rsidRDefault="00697472" w:rsidP="0081150C">
            <w:pPr>
              <w:pStyle w:val="Tabletext"/>
              <w:keepNext/>
              <w:jc w:val="center"/>
              <w:rPr>
                <w:b/>
              </w:rPr>
            </w:pPr>
            <w:r>
              <w:rPr>
                <w:b/>
              </w:rPr>
              <w:t xml:space="preserve">CA209067 </w:t>
            </w:r>
          </w:p>
          <w:p w:rsidR="00697472" w:rsidRDefault="00697472" w:rsidP="0081150C">
            <w:pPr>
              <w:pStyle w:val="Tabletext"/>
              <w:keepNext/>
              <w:jc w:val="center"/>
              <w:rPr>
                <w:b/>
              </w:rPr>
            </w:pPr>
            <w:r>
              <w:rPr>
                <w:b/>
              </w:rPr>
              <w:t>Minimum follow-up 36 months</w:t>
            </w:r>
          </w:p>
          <w:p w:rsidR="00697472" w:rsidRPr="002644F9" w:rsidRDefault="00697472" w:rsidP="0081150C">
            <w:pPr>
              <w:pStyle w:val="Tabletext"/>
              <w:keepNext/>
              <w:jc w:val="center"/>
              <w:rPr>
                <w:b/>
              </w:rPr>
            </w:pPr>
            <w:r>
              <w:rPr>
                <w:b/>
              </w:rPr>
              <w:t>(Current resubmission)</w:t>
            </w:r>
          </w:p>
        </w:tc>
      </w:tr>
      <w:tr w:rsidR="00697472" w:rsidRPr="002644F9" w:rsidTr="009716C6">
        <w:trPr>
          <w:tblHeader/>
        </w:trPr>
        <w:tc>
          <w:tcPr>
            <w:tcW w:w="1378" w:type="pct"/>
            <w:vMerge/>
            <w:shd w:val="clear" w:color="auto" w:fill="FFFFFF" w:themeFill="background1"/>
          </w:tcPr>
          <w:p w:rsidR="00697472" w:rsidRPr="002644F9" w:rsidRDefault="00697472" w:rsidP="0081150C">
            <w:pPr>
              <w:pStyle w:val="Tabletext"/>
              <w:keepNext/>
              <w:rPr>
                <w:b/>
              </w:rPr>
            </w:pPr>
          </w:p>
        </w:tc>
        <w:tc>
          <w:tcPr>
            <w:tcW w:w="906" w:type="pct"/>
            <w:shd w:val="clear" w:color="auto" w:fill="FFFFFF" w:themeFill="background1"/>
          </w:tcPr>
          <w:p w:rsidR="00697472" w:rsidRPr="002644F9" w:rsidRDefault="00697472" w:rsidP="0081150C">
            <w:pPr>
              <w:pStyle w:val="Tabletext"/>
              <w:keepNext/>
              <w:jc w:val="center"/>
              <w:rPr>
                <w:b/>
              </w:rPr>
            </w:pPr>
            <w:r>
              <w:rPr>
                <w:b/>
              </w:rPr>
              <w:t xml:space="preserve">NIVO+IPI </w:t>
            </w:r>
          </w:p>
          <w:p w:rsidR="00697472" w:rsidRPr="002644F9" w:rsidRDefault="00697472" w:rsidP="0081150C">
            <w:pPr>
              <w:pStyle w:val="Tabletext"/>
              <w:keepNext/>
              <w:jc w:val="center"/>
              <w:rPr>
                <w:b/>
              </w:rPr>
            </w:pPr>
            <w:r w:rsidRPr="002644F9">
              <w:rPr>
                <w:b/>
              </w:rPr>
              <w:t>N</w:t>
            </w:r>
            <w:r w:rsidR="00157C80">
              <w:rPr>
                <w:b/>
              </w:rPr>
              <w:t xml:space="preserve"> </w:t>
            </w:r>
            <w:r w:rsidRPr="002644F9">
              <w:rPr>
                <w:b/>
              </w:rPr>
              <w:t>= 314</w:t>
            </w:r>
          </w:p>
        </w:tc>
        <w:tc>
          <w:tcPr>
            <w:tcW w:w="905" w:type="pct"/>
            <w:shd w:val="clear" w:color="auto" w:fill="FFFFFF" w:themeFill="background1"/>
          </w:tcPr>
          <w:p w:rsidR="00697472" w:rsidRPr="002644F9" w:rsidRDefault="00697472" w:rsidP="0081150C">
            <w:pPr>
              <w:pStyle w:val="Tabletext"/>
              <w:keepNext/>
              <w:jc w:val="center"/>
              <w:rPr>
                <w:b/>
              </w:rPr>
            </w:pPr>
            <w:proofErr w:type="spellStart"/>
            <w:r w:rsidRPr="002644F9">
              <w:rPr>
                <w:b/>
              </w:rPr>
              <w:t>Nivolumab</w:t>
            </w:r>
            <w:proofErr w:type="spellEnd"/>
          </w:p>
          <w:p w:rsidR="00697472" w:rsidRPr="002644F9" w:rsidRDefault="00697472" w:rsidP="0081150C">
            <w:pPr>
              <w:pStyle w:val="Tabletext"/>
              <w:keepNext/>
              <w:jc w:val="center"/>
              <w:rPr>
                <w:b/>
              </w:rPr>
            </w:pPr>
            <w:r w:rsidRPr="002644F9">
              <w:rPr>
                <w:b/>
              </w:rPr>
              <w:t>N</w:t>
            </w:r>
            <w:r w:rsidR="00157C80">
              <w:rPr>
                <w:b/>
              </w:rPr>
              <w:t xml:space="preserve"> </w:t>
            </w:r>
            <w:r w:rsidRPr="002644F9">
              <w:rPr>
                <w:b/>
              </w:rPr>
              <w:t>=</w:t>
            </w:r>
            <w:r w:rsidR="00157C80">
              <w:rPr>
                <w:b/>
              </w:rPr>
              <w:t xml:space="preserve"> </w:t>
            </w:r>
            <w:r w:rsidRPr="002644F9">
              <w:rPr>
                <w:b/>
              </w:rPr>
              <w:t>316</w:t>
            </w:r>
          </w:p>
        </w:tc>
        <w:tc>
          <w:tcPr>
            <w:tcW w:w="905" w:type="pct"/>
            <w:shd w:val="clear" w:color="auto" w:fill="FFFFFF" w:themeFill="background1"/>
          </w:tcPr>
          <w:p w:rsidR="00697472" w:rsidRPr="002644F9" w:rsidRDefault="00697472" w:rsidP="0081150C">
            <w:pPr>
              <w:pStyle w:val="Tabletext"/>
              <w:keepNext/>
              <w:jc w:val="center"/>
              <w:rPr>
                <w:b/>
              </w:rPr>
            </w:pPr>
            <w:r>
              <w:rPr>
                <w:b/>
              </w:rPr>
              <w:t>NIVO+IPI</w:t>
            </w:r>
          </w:p>
          <w:p w:rsidR="00697472" w:rsidRPr="002644F9" w:rsidRDefault="00697472" w:rsidP="0081150C">
            <w:pPr>
              <w:pStyle w:val="Tabletext"/>
              <w:keepNext/>
              <w:jc w:val="center"/>
              <w:rPr>
                <w:b/>
              </w:rPr>
            </w:pPr>
            <w:r w:rsidRPr="002644F9">
              <w:rPr>
                <w:b/>
              </w:rPr>
              <w:t>N</w:t>
            </w:r>
            <w:r w:rsidR="00157C80">
              <w:rPr>
                <w:b/>
              </w:rPr>
              <w:t xml:space="preserve"> </w:t>
            </w:r>
            <w:r w:rsidRPr="002644F9">
              <w:rPr>
                <w:b/>
              </w:rPr>
              <w:t>= 314</w:t>
            </w:r>
          </w:p>
        </w:tc>
        <w:tc>
          <w:tcPr>
            <w:tcW w:w="905" w:type="pct"/>
            <w:shd w:val="clear" w:color="auto" w:fill="FFFFFF" w:themeFill="background1"/>
          </w:tcPr>
          <w:p w:rsidR="00697472" w:rsidRPr="002644F9" w:rsidRDefault="00697472" w:rsidP="0081150C">
            <w:pPr>
              <w:pStyle w:val="Tabletext"/>
              <w:keepNext/>
              <w:jc w:val="center"/>
              <w:rPr>
                <w:b/>
              </w:rPr>
            </w:pPr>
            <w:proofErr w:type="spellStart"/>
            <w:r w:rsidRPr="002644F9">
              <w:rPr>
                <w:b/>
              </w:rPr>
              <w:t>Nivolumab</w:t>
            </w:r>
            <w:proofErr w:type="spellEnd"/>
          </w:p>
          <w:p w:rsidR="00697472" w:rsidRPr="002644F9" w:rsidRDefault="00697472" w:rsidP="0081150C">
            <w:pPr>
              <w:pStyle w:val="Tabletext"/>
              <w:keepNext/>
              <w:jc w:val="center"/>
              <w:rPr>
                <w:b/>
              </w:rPr>
            </w:pPr>
            <w:r w:rsidRPr="002644F9">
              <w:rPr>
                <w:b/>
              </w:rPr>
              <w:t>N</w:t>
            </w:r>
            <w:r w:rsidR="00157C80">
              <w:rPr>
                <w:b/>
              </w:rPr>
              <w:t xml:space="preserve"> </w:t>
            </w:r>
            <w:r w:rsidRPr="002644F9">
              <w:rPr>
                <w:b/>
              </w:rPr>
              <w:t>=</w:t>
            </w:r>
            <w:r w:rsidR="00157C80">
              <w:rPr>
                <w:b/>
              </w:rPr>
              <w:t xml:space="preserve"> </w:t>
            </w:r>
            <w:r w:rsidRPr="002644F9">
              <w:rPr>
                <w:b/>
              </w:rPr>
              <w:t>316</w:t>
            </w:r>
          </w:p>
        </w:tc>
      </w:tr>
      <w:tr w:rsidR="00697472" w:rsidRPr="002644F9" w:rsidTr="0081150C">
        <w:tc>
          <w:tcPr>
            <w:tcW w:w="1378" w:type="pct"/>
          </w:tcPr>
          <w:p w:rsidR="00697472" w:rsidRPr="002644F9" w:rsidRDefault="00697472" w:rsidP="0081150C">
            <w:pPr>
              <w:pStyle w:val="Tabletext"/>
              <w:keepNext/>
            </w:pPr>
            <w:r w:rsidRPr="002644F9">
              <w:t>Number of events, n (%)</w:t>
            </w:r>
          </w:p>
        </w:tc>
        <w:tc>
          <w:tcPr>
            <w:tcW w:w="906" w:type="pct"/>
          </w:tcPr>
          <w:p w:rsidR="00697472" w:rsidRPr="002644F9" w:rsidRDefault="00697472" w:rsidP="0081150C">
            <w:pPr>
              <w:pStyle w:val="Tabletext"/>
              <w:keepNext/>
              <w:jc w:val="center"/>
            </w:pPr>
            <w:r>
              <w:t>128 (40.8</w:t>
            </w:r>
            <w:r w:rsidR="00157C80">
              <w:t>%</w:t>
            </w:r>
            <w:r>
              <w:t>)</w:t>
            </w:r>
          </w:p>
        </w:tc>
        <w:tc>
          <w:tcPr>
            <w:tcW w:w="905" w:type="pct"/>
          </w:tcPr>
          <w:p w:rsidR="00697472" w:rsidRPr="002644F9" w:rsidRDefault="00697472" w:rsidP="0081150C">
            <w:pPr>
              <w:pStyle w:val="Tabletext"/>
              <w:keepNext/>
              <w:jc w:val="center"/>
            </w:pPr>
            <w:r>
              <w:t>142 (44.9</w:t>
            </w:r>
            <w:r w:rsidR="00157C80">
              <w:t>%</w:t>
            </w:r>
            <w:r>
              <w:t>)</w:t>
            </w:r>
          </w:p>
        </w:tc>
        <w:tc>
          <w:tcPr>
            <w:tcW w:w="905" w:type="pct"/>
          </w:tcPr>
          <w:p w:rsidR="00697472" w:rsidRPr="002644F9" w:rsidRDefault="00697472" w:rsidP="0081150C">
            <w:pPr>
              <w:pStyle w:val="Tabletext"/>
              <w:keepNext/>
              <w:jc w:val="center"/>
            </w:pPr>
            <w:r w:rsidRPr="002644F9">
              <w:t>139 (44.3</w:t>
            </w:r>
            <w:r w:rsidR="00157C80">
              <w:t>%</w:t>
            </w:r>
            <w:r w:rsidRPr="002644F9">
              <w:t>)</w:t>
            </w:r>
          </w:p>
        </w:tc>
        <w:tc>
          <w:tcPr>
            <w:tcW w:w="905" w:type="pct"/>
          </w:tcPr>
          <w:p w:rsidR="00697472" w:rsidRPr="002644F9" w:rsidRDefault="00697472" w:rsidP="0081150C">
            <w:pPr>
              <w:pStyle w:val="Tabletext"/>
              <w:keepNext/>
              <w:jc w:val="center"/>
            </w:pPr>
            <w:r w:rsidRPr="002644F9">
              <w:t>158 (50.0</w:t>
            </w:r>
            <w:r w:rsidR="00157C80">
              <w:t>%</w:t>
            </w:r>
            <w:r w:rsidRPr="002644F9">
              <w:t>)</w:t>
            </w:r>
          </w:p>
        </w:tc>
      </w:tr>
      <w:tr w:rsidR="00697472" w:rsidRPr="002644F9" w:rsidTr="0081150C">
        <w:tc>
          <w:tcPr>
            <w:tcW w:w="1378" w:type="pct"/>
          </w:tcPr>
          <w:p w:rsidR="00697472" w:rsidRPr="002644F9" w:rsidRDefault="00697472" w:rsidP="0081150C">
            <w:pPr>
              <w:pStyle w:val="Tabletext"/>
              <w:keepNext/>
            </w:pPr>
            <w:r>
              <w:t>M</w:t>
            </w:r>
            <w:r w:rsidRPr="002644F9">
              <w:t xml:space="preserve">edian OS (months), (95% CI) </w:t>
            </w:r>
          </w:p>
        </w:tc>
        <w:tc>
          <w:tcPr>
            <w:tcW w:w="906" w:type="pct"/>
          </w:tcPr>
          <w:p w:rsidR="00697472" w:rsidRDefault="00697472" w:rsidP="0081150C">
            <w:pPr>
              <w:pStyle w:val="Tabletext"/>
              <w:keepNext/>
              <w:jc w:val="center"/>
            </w:pPr>
            <w:r>
              <w:t xml:space="preserve">NA </w:t>
            </w:r>
          </w:p>
        </w:tc>
        <w:tc>
          <w:tcPr>
            <w:tcW w:w="905" w:type="pct"/>
          </w:tcPr>
          <w:p w:rsidR="00697472" w:rsidRDefault="00697472" w:rsidP="0081150C">
            <w:pPr>
              <w:pStyle w:val="Tabletext"/>
              <w:keepNext/>
              <w:jc w:val="center"/>
            </w:pPr>
            <w:r>
              <w:t>NA (29.1, NA)</w:t>
            </w:r>
          </w:p>
        </w:tc>
        <w:tc>
          <w:tcPr>
            <w:tcW w:w="905" w:type="pct"/>
          </w:tcPr>
          <w:p w:rsidR="00697472" w:rsidRDefault="00697472" w:rsidP="0081150C">
            <w:pPr>
              <w:pStyle w:val="Tabletext"/>
              <w:keepNext/>
              <w:jc w:val="center"/>
            </w:pPr>
            <w:r>
              <w:t>NA (38.18, NA</w:t>
            </w:r>
            <w:r w:rsidRPr="002644F9">
              <w:t>)</w:t>
            </w:r>
          </w:p>
        </w:tc>
        <w:tc>
          <w:tcPr>
            <w:tcW w:w="905" w:type="pct"/>
          </w:tcPr>
          <w:p w:rsidR="00697472" w:rsidRDefault="00697472" w:rsidP="0081150C">
            <w:pPr>
              <w:pStyle w:val="Tabletext"/>
              <w:keepNext/>
              <w:jc w:val="center"/>
            </w:pPr>
            <w:r>
              <w:t>37.59 (29.08, NA</w:t>
            </w:r>
            <w:r w:rsidRPr="002644F9">
              <w:t>)</w:t>
            </w:r>
          </w:p>
        </w:tc>
      </w:tr>
      <w:tr w:rsidR="00697472" w:rsidRPr="002644F9" w:rsidTr="0081150C">
        <w:tc>
          <w:tcPr>
            <w:tcW w:w="1378" w:type="pct"/>
          </w:tcPr>
          <w:p w:rsidR="00697472" w:rsidRPr="000225CB" w:rsidRDefault="00697472" w:rsidP="0081150C">
            <w:pPr>
              <w:pStyle w:val="Tabletext"/>
              <w:keepNext/>
              <w:rPr>
                <w:vertAlign w:val="superscript"/>
              </w:rPr>
            </w:pPr>
            <w:r>
              <w:t>Hazard Ratio</w:t>
            </w:r>
            <w:r w:rsidRPr="002644F9">
              <w:t xml:space="preserve"> (95% CI)</w:t>
            </w:r>
            <w:r>
              <w:rPr>
                <w:vertAlign w:val="superscript"/>
              </w:rPr>
              <w:t>a, b</w:t>
            </w:r>
          </w:p>
          <w:p w:rsidR="00697472" w:rsidRDefault="00697472" w:rsidP="0081150C">
            <w:pPr>
              <w:pStyle w:val="Tabletext"/>
              <w:keepNext/>
            </w:pPr>
            <w:r w:rsidRPr="002644F9">
              <w:t>Stratified Log-rank p-value</w:t>
            </w:r>
          </w:p>
        </w:tc>
        <w:tc>
          <w:tcPr>
            <w:tcW w:w="1811" w:type="pct"/>
            <w:gridSpan w:val="2"/>
          </w:tcPr>
          <w:p w:rsidR="00697472" w:rsidRDefault="00697472" w:rsidP="0081150C">
            <w:pPr>
              <w:pStyle w:val="Tabletext"/>
              <w:keepNext/>
              <w:jc w:val="center"/>
            </w:pPr>
            <w:r>
              <w:t>0.88 (0.67, 1.12)</w:t>
            </w:r>
          </w:p>
          <w:p w:rsidR="00697472" w:rsidRPr="002644F9" w:rsidRDefault="00697472" w:rsidP="0081150C">
            <w:pPr>
              <w:pStyle w:val="Tabletext"/>
              <w:keepNext/>
              <w:jc w:val="center"/>
            </w:pPr>
            <w:r>
              <w:t>NR</w:t>
            </w:r>
          </w:p>
        </w:tc>
        <w:tc>
          <w:tcPr>
            <w:tcW w:w="1811" w:type="pct"/>
            <w:gridSpan w:val="2"/>
          </w:tcPr>
          <w:p w:rsidR="00697472" w:rsidRPr="002644F9" w:rsidRDefault="00697472" w:rsidP="0081150C">
            <w:pPr>
              <w:pStyle w:val="Tabletext"/>
              <w:keepNext/>
              <w:jc w:val="center"/>
            </w:pPr>
            <w:r w:rsidRPr="002644F9">
              <w:t>0.85 (0.68, 1.07)</w:t>
            </w:r>
          </w:p>
          <w:p w:rsidR="00697472" w:rsidRDefault="00697472" w:rsidP="0081150C">
            <w:pPr>
              <w:pStyle w:val="Tabletext"/>
              <w:keepNext/>
              <w:jc w:val="center"/>
            </w:pPr>
            <w:r w:rsidRPr="002644F9">
              <w:t>0.1908</w:t>
            </w:r>
          </w:p>
        </w:tc>
      </w:tr>
      <w:tr w:rsidR="00697472" w:rsidRPr="002644F9" w:rsidTr="0081150C">
        <w:tc>
          <w:tcPr>
            <w:tcW w:w="1378" w:type="pct"/>
            <w:vAlign w:val="center"/>
          </w:tcPr>
          <w:p w:rsidR="00697472" w:rsidRPr="002644F9" w:rsidRDefault="00697472" w:rsidP="0081150C">
            <w:pPr>
              <w:pStyle w:val="Tabletext"/>
              <w:keepNext/>
            </w:pPr>
            <w:r>
              <w:t>OS rate, % (95% CI)</w:t>
            </w:r>
          </w:p>
        </w:tc>
        <w:tc>
          <w:tcPr>
            <w:tcW w:w="1811" w:type="pct"/>
            <w:gridSpan w:val="2"/>
          </w:tcPr>
          <w:p w:rsidR="00697472" w:rsidRPr="00AB20B1" w:rsidRDefault="00697472" w:rsidP="0081150C">
            <w:pPr>
              <w:pStyle w:val="Tabletext"/>
              <w:keepNext/>
              <w:jc w:val="center"/>
              <w:rPr>
                <w:b/>
                <w:lang w:val="en-US"/>
              </w:rPr>
            </w:pPr>
            <w:r w:rsidRPr="00AB20B1">
              <w:rPr>
                <w:b/>
                <w:lang w:val="en-US"/>
              </w:rPr>
              <w:t>NIVO+IPI</w:t>
            </w:r>
          </w:p>
          <w:p w:rsidR="00697472" w:rsidRPr="00AB20B1" w:rsidRDefault="00697472" w:rsidP="0081150C">
            <w:pPr>
              <w:pStyle w:val="Tabletext"/>
              <w:keepNext/>
              <w:jc w:val="center"/>
              <w:rPr>
                <w:b/>
                <w:lang w:val="en-US"/>
              </w:rPr>
            </w:pPr>
            <w:r w:rsidRPr="00AB20B1">
              <w:rPr>
                <w:b/>
                <w:lang w:val="en-US"/>
              </w:rPr>
              <w:t>N</w:t>
            </w:r>
            <w:r w:rsidR="00157C80">
              <w:rPr>
                <w:b/>
                <w:lang w:val="en-US"/>
              </w:rPr>
              <w:t xml:space="preserve"> </w:t>
            </w:r>
            <w:r w:rsidRPr="00AB20B1">
              <w:rPr>
                <w:b/>
                <w:lang w:val="en-US"/>
              </w:rPr>
              <w:t>=</w:t>
            </w:r>
            <w:r w:rsidR="00157C80">
              <w:rPr>
                <w:b/>
                <w:lang w:val="en-US"/>
              </w:rPr>
              <w:t xml:space="preserve"> </w:t>
            </w:r>
            <w:r w:rsidRPr="00AB20B1">
              <w:rPr>
                <w:b/>
                <w:lang w:val="en-US"/>
              </w:rPr>
              <w:t>314</w:t>
            </w:r>
          </w:p>
        </w:tc>
        <w:tc>
          <w:tcPr>
            <w:tcW w:w="1811" w:type="pct"/>
            <w:gridSpan w:val="2"/>
          </w:tcPr>
          <w:p w:rsidR="00697472" w:rsidRPr="00AB20B1" w:rsidRDefault="00697472" w:rsidP="0081150C">
            <w:pPr>
              <w:pStyle w:val="Tabletext"/>
              <w:keepNext/>
              <w:jc w:val="center"/>
              <w:rPr>
                <w:b/>
              </w:rPr>
            </w:pPr>
            <w:proofErr w:type="spellStart"/>
            <w:r w:rsidRPr="00AB20B1">
              <w:rPr>
                <w:b/>
              </w:rPr>
              <w:t>Nivolumab</w:t>
            </w:r>
            <w:proofErr w:type="spellEnd"/>
            <w:r w:rsidRPr="00AB20B1">
              <w:rPr>
                <w:b/>
              </w:rPr>
              <w:t xml:space="preserve"> </w:t>
            </w:r>
          </w:p>
          <w:p w:rsidR="00697472" w:rsidRPr="00AB20B1" w:rsidRDefault="00697472" w:rsidP="0081150C">
            <w:pPr>
              <w:pStyle w:val="Tabletext"/>
              <w:keepNext/>
              <w:jc w:val="center"/>
              <w:rPr>
                <w:b/>
              </w:rPr>
            </w:pPr>
            <w:r w:rsidRPr="00AB20B1">
              <w:rPr>
                <w:b/>
              </w:rPr>
              <w:t>N</w:t>
            </w:r>
            <w:r w:rsidR="00157C80">
              <w:rPr>
                <w:b/>
              </w:rPr>
              <w:t xml:space="preserve"> </w:t>
            </w:r>
            <w:r w:rsidRPr="00AB20B1">
              <w:rPr>
                <w:b/>
              </w:rPr>
              <w:t>=</w:t>
            </w:r>
            <w:r w:rsidR="00157C80">
              <w:rPr>
                <w:b/>
              </w:rPr>
              <w:t xml:space="preserve"> </w:t>
            </w:r>
            <w:r w:rsidRPr="00AB20B1">
              <w:rPr>
                <w:b/>
              </w:rPr>
              <w:t>316</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6 months</w:t>
            </w:r>
          </w:p>
        </w:tc>
        <w:tc>
          <w:tcPr>
            <w:tcW w:w="1811" w:type="pct"/>
            <w:gridSpan w:val="2"/>
          </w:tcPr>
          <w:p w:rsidR="00697472" w:rsidRPr="002644F9" w:rsidRDefault="00697472" w:rsidP="0081150C">
            <w:pPr>
              <w:pStyle w:val="Tabletext"/>
              <w:keepNext/>
              <w:jc w:val="center"/>
            </w:pPr>
            <w:r w:rsidRPr="00D911BD">
              <w:rPr>
                <w:lang w:val="en-US"/>
              </w:rPr>
              <w:t>86</w:t>
            </w:r>
            <w:r w:rsidR="00157C80">
              <w:rPr>
                <w:lang w:val="en-US"/>
              </w:rPr>
              <w:t>%</w:t>
            </w:r>
            <w:r w:rsidRPr="00D911BD">
              <w:rPr>
                <w:lang w:val="en-US"/>
              </w:rPr>
              <w:t xml:space="preserve"> (</w:t>
            </w:r>
            <w:r>
              <w:rPr>
                <w:lang w:val="en-US"/>
              </w:rPr>
              <w:t xml:space="preserve">81, </w:t>
            </w:r>
            <w:r w:rsidRPr="00D911BD">
              <w:rPr>
                <w:lang w:val="en-US"/>
              </w:rPr>
              <w:t>89)</w:t>
            </w:r>
          </w:p>
        </w:tc>
        <w:tc>
          <w:tcPr>
            <w:tcW w:w="1811" w:type="pct"/>
            <w:gridSpan w:val="2"/>
          </w:tcPr>
          <w:p w:rsidR="00697472" w:rsidRPr="002644F9" w:rsidRDefault="00697472" w:rsidP="0081150C">
            <w:pPr>
              <w:pStyle w:val="Tabletext"/>
              <w:keepNext/>
              <w:jc w:val="center"/>
            </w:pPr>
            <w:r>
              <w:t>85</w:t>
            </w:r>
            <w:r w:rsidR="00157C80">
              <w:t>%</w:t>
            </w:r>
            <w:r>
              <w:t xml:space="preserve"> (81, </w:t>
            </w:r>
            <w:r w:rsidRPr="002644F9">
              <w:t>89)</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9 months</w:t>
            </w:r>
          </w:p>
        </w:tc>
        <w:tc>
          <w:tcPr>
            <w:tcW w:w="1811" w:type="pct"/>
            <w:gridSpan w:val="2"/>
          </w:tcPr>
          <w:p w:rsidR="00697472" w:rsidRPr="002644F9" w:rsidRDefault="00697472" w:rsidP="0081150C">
            <w:pPr>
              <w:pStyle w:val="Tabletext"/>
              <w:keepNext/>
              <w:jc w:val="center"/>
            </w:pPr>
            <w:r w:rsidRPr="00D911BD">
              <w:rPr>
                <w:lang w:val="en-US"/>
              </w:rPr>
              <w:t>80</w:t>
            </w:r>
            <w:r w:rsidR="00157C80">
              <w:rPr>
                <w:lang w:val="en-US"/>
              </w:rPr>
              <w:t>%</w:t>
            </w:r>
            <w:r>
              <w:rPr>
                <w:lang w:val="en-US"/>
              </w:rPr>
              <w:t xml:space="preserve"> (</w:t>
            </w:r>
            <w:r w:rsidRPr="00D911BD">
              <w:rPr>
                <w:lang w:val="en-US"/>
              </w:rPr>
              <w:t>75</w:t>
            </w:r>
            <w:r>
              <w:rPr>
                <w:lang w:val="en-US"/>
              </w:rPr>
              <w:t xml:space="preserve">, </w:t>
            </w:r>
            <w:r w:rsidRPr="00D911BD">
              <w:rPr>
                <w:lang w:val="en-US"/>
              </w:rPr>
              <w:t>84)</w:t>
            </w:r>
          </w:p>
        </w:tc>
        <w:tc>
          <w:tcPr>
            <w:tcW w:w="1811" w:type="pct"/>
            <w:gridSpan w:val="2"/>
          </w:tcPr>
          <w:p w:rsidR="00697472" w:rsidRPr="002644F9" w:rsidRDefault="00697472" w:rsidP="0081150C">
            <w:pPr>
              <w:pStyle w:val="Tabletext"/>
              <w:keepNext/>
              <w:jc w:val="center"/>
            </w:pPr>
            <w:r>
              <w:t>79</w:t>
            </w:r>
            <w:r w:rsidR="00157C80">
              <w:t>%</w:t>
            </w:r>
            <w:r>
              <w:t xml:space="preserve"> (74, </w:t>
            </w:r>
            <w:r w:rsidRPr="002644F9">
              <w:t>83)</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12 months</w:t>
            </w:r>
          </w:p>
        </w:tc>
        <w:tc>
          <w:tcPr>
            <w:tcW w:w="1811" w:type="pct"/>
            <w:gridSpan w:val="2"/>
          </w:tcPr>
          <w:p w:rsidR="00697472" w:rsidRPr="002644F9" w:rsidRDefault="00697472" w:rsidP="0081150C">
            <w:pPr>
              <w:pStyle w:val="Tabletext"/>
              <w:keepNext/>
              <w:jc w:val="center"/>
            </w:pPr>
            <w:r w:rsidRPr="00D911BD">
              <w:rPr>
                <w:lang w:val="en-US"/>
              </w:rPr>
              <w:t>73</w:t>
            </w:r>
            <w:r w:rsidR="00157C80">
              <w:rPr>
                <w:lang w:val="en-US"/>
              </w:rPr>
              <w:t>%</w:t>
            </w:r>
            <w:r>
              <w:rPr>
                <w:lang w:val="en-US"/>
              </w:rPr>
              <w:t xml:space="preserve"> (</w:t>
            </w:r>
            <w:r w:rsidRPr="00D911BD">
              <w:rPr>
                <w:lang w:val="en-US"/>
              </w:rPr>
              <w:t>68</w:t>
            </w:r>
            <w:r>
              <w:rPr>
                <w:lang w:val="en-US"/>
              </w:rPr>
              <w:t xml:space="preserve">, </w:t>
            </w:r>
            <w:r w:rsidRPr="00D911BD">
              <w:rPr>
                <w:lang w:val="en-US"/>
              </w:rPr>
              <w:t>78)</w:t>
            </w:r>
          </w:p>
        </w:tc>
        <w:tc>
          <w:tcPr>
            <w:tcW w:w="1811" w:type="pct"/>
            <w:gridSpan w:val="2"/>
          </w:tcPr>
          <w:p w:rsidR="00697472" w:rsidRPr="002644F9" w:rsidRDefault="00697472" w:rsidP="0081150C">
            <w:pPr>
              <w:pStyle w:val="Tabletext"/>
              <w:keepNext/>
              <w:jc w:val="center"/>
            </w:pPr>
            <w:r>
              <w:t>74</w:t>
            </w:r>
            <w:r w:rsidR="00157C80">
              <w:t>%</w:t>
            </w:r>
            <w:r>
              <w:t xml:space="preserve"> (69, </w:t>
            </w:r>
            <w:r w:rsidRPr="002644F9">
              <w:t>79)</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18 months</w:t>
            </w:r>
          </w:p>
        </w:tc>
        <w:tc>
          <w:tcPr>
            <w:tcW w:w="1811" w:type="pct"/>
            <w:gridSpan w:val="2"/>
          </w:tcPr>
          <w:p w:rsidR="00697472" w:rsidRPr="002644F9" w:rsidRDefault="00697472" w:rsidP="0081150C">
            <w:pPr>
              <w:pStyle w:val="Tabletext"/>
              <w:keepNext/>
              <w:jc w:val="center"/>
            </w:pPr>
            <w:r w:rsidRPr="00D911BD">
              <w:rPr>
                <w:lang w:val="en-US"/>
              </w:rPr>
              <w:t>68</w:t>
            </w:r>
            <w:r w:rsidR="00157C80">
              <w:rPr>
                <w:lang w:val="en-US"/>
              </w:rPr>
              <w:t>%</w:t>
            </w:r>
            <w:r>
              <w:rPr>
                <w:lang w:val="en-US"/>
              </w:rPr>
              <w:t xml:space="preserve"> (</w:t>
            </w:r>
            <w:r w:rsidRPr="00D911BD">
              <w:rPr>
                <w:lang w:val="en-US"/>
              </w:rPr>
              <w:t>62</w:t>
            </w:r>
            <w:r>
              <w:rPr>
                <w:lang w:val="en-US"/>
              </w:rPr>
              <w:t xml:space="preserve">, </w:t>
            </w:r>
            <w:r w:rsidRPr="00D911BD">
              <w:rPr>
                <w:lang w:val="en-US"/>
              </w:rPr>
              <w:t>73)</w:t>
            </w:r>
          </w:p>
        </w:tc>
        <w:tc>
          <w:tcPr>
            <w:tcW w:w="1811" w:type="pct"/>
            <w:gridSpan w:val="2"/>
          </w:tcPr>
          <w:p w:rsidR="00697472" w:rsidRPr="002644F9" w:rsidRDefault="00697472" w:rsidP="0081150C">
            <w:pPr>
              <w:pStyle w:val="Tabletext"/>
              <w:keepNext/>
              <w:jc w:val="center"/>
            </w:pPr>
            <w:r>
              <w:t>65</w:t>
            </w:r>
            <w:r w:rsidR="00157C80">
              <w:t>%</w:t>
            </w:r>
            <w:r>
              <w:t xml:space="preserve"> (</w:t>
            </w:r>
            <w:r w:rsidRPr="002644F9">
              <w:t>60, 70)</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24 months</w:t>
            </w:r>
          </w:p>
        </w:tc>
        <w:tc>
          <w:tcPr>
            <w:tcW w:w="1811" w:type="pct"/>
            <w:gridSpan w:val="2"/>
          </w:tcPr>
          <w:p w:rsidR="00697472" w:rsidRPr="002644F9" w:rsidRDefault="00697472" w:rsidP="0081150C">
            <w:pPr>
              <w:pStyle w:val="Tabletext"/>
              <w:keepNext/>
              <w:jc w:val="center"/>
            </w:pPr>
            <w:r w:rsidRPr="00D911BD">
              <w:rPr>
                <w:lang w:val="en-US"/>
              </w:rPr>
              <w:t>64</w:t>
            </w:r>
            <w:r w:rsidR="00157C80">
              <w:rPr>
                <w:lang w:val="en-US"/>
              </w:rPr>
              <w:t>%</w:t>
            </w:r>
            <w:r>
              <w:rPr>
                <w:lang w:val="en-US"/>
              </w:rPr>
              <w:t xml:space="preserve"> (</w:t>
            </w:r>
            <w:r w:rsidRPr="00D911BD">
              <w:rPr>
                <w:lang w:val="en-US"/>
              </w:rPr>
              <w:t>59</w:t>
            </w:r>
            <w:r>
              <w:rPr>
                <w:lang w:val="en-US"/>
              </w:rPr>
              <w:t xml:space="preserve">, </w:t>
            </w:r>
            <w:r w:rsidRPr="00D911BD">
              <w:rPr>
                <w:lang w:val="en-US"/>
              </w:rPr>
              <w:t>69)</w:t>
            </w:r>
          </w:p>
        </w:tc>
        <w:tc>
          <w:tcPr>
            <w:tcW w:w="1811" w:type="pct"/>
            <w:gridSpan w:val="2"/>
          </w:tcPr>
          <w:p w:rsidR="00697472" w:rsidRPr="002644F9" w:rsidRDefault="00697472" w:rsidP="0081150C">
            <w:pPr>
              <w:pStyle w:val="Tabletext"/>
              <w:keepNext/>
              <w:jc w:val="center"/>
            </w:pPr>
            <w:r>
              <w:t>59</w:t>
            </w:r>
            <w:r w:rsidR="00157C80">
              <w:t>%</w:t>
            </w:r>
            <w:r>
              <w:t xml:space="preserve"> (53, </w:t>
            </w:r>
            <w:r w:rsidRPr="002644F9">
              <w:t>64)</w:t>
            </w:r>
          </w:p>
        </w:tc>
      </w:tr>
      <w:tr w:rsidR="00697472" w:rsidRPr="002644F9" w:rsidTr="0081150C">
        <w:tc>
          <w:tcPr>
            <w:tcW w:w="1378" w:type="pct"/>
            <w:vAlign w:val="center"/>
          </w:tcPr>
          <w:p w:rsidR="00697472" w:rsidRPr="002644F9" w:rsidRDefault="00697472" w:rsidP="0081150C">
            <w:pPr>
              <w:pStyle w:val="Tabletext"/>
              <w:keepNext/>
              <w:ind w:left="284"/>
            </w:pPr>
            <w:r w:rsidRPr="002644F9">
              <w:t>OS rate 36 months</w:t>
            </w:r>
          </w:p>
        </w:tc>
        <w:tc>
          <w:tcPr>
            <w:tcW w:w="1811" w:type="pct"/>
            <w:gridSpan w:val="2"/>
          </w:tcPr>
          <w:p w:rsidR="00697472" w:rsidRPr="002644F9" w:rsidRDefault="00697472" w:rsidP="0081150C">
            <w:pPr>
              <w:pStyle w:val="Tabletext"/>
              <w:keepNext/>
              <w:jc w:val="center"/>
            </w:pPr>
            <w:r>
              <w:t>58</w:t>
            </w:r>
            <w:r w:rsidR="00157C80">
              <w:t>%</w:t>
            </w:r>
            <w:r>
              <w:t xml:space="preserve"> (52, </w:t>
            </w:r>
            <w:r w:rsidRPr="002644F9">
              <w:t>63)</w:t>
            </w:r>
          </w:p>
        </w:tc>
        <w:tc>
          <w:tcPr>
            <w:tcW w:w="1811" w:type="pct"/>
            <w:gridSpan w:val="2"/>
          </w:tcPr>
          <w:p w:rsidR="00697472" w:rsidRPr="002644F9" w:rsidRDefault="00697472" w:rsidP="0081150C">
            <w:pPr>
              <w:pStyle w:val="Tabletext"/>
              <w:keepNext/>
              <w:jc w:val="center"/>
            </w:pPr>
            <w:r>
              <w:t>52</w:t>
            </w:r>
            <w:r w:rsidR="00157C80">
              <w:t>%</w:t>
            </w:r>
            <w:r>
              <w:t xml:space="preserve"> (46, </w:t>
            </w:r>
            <w:r w:rsidRPr="002644F9">
              <w:t>57)</w:t>
            </w:r>
          </w:p>
        </w:tc>
      </w:tr>
    </w:tbl>
    <w:p w:rsidR="00697472" w:rsidRDefault="00697472" w:rsidP="00697472">
      <w:pPr>
        <w:pStyle w:val="TableFooter"/>
      </w:pPr>
      <w:r>
        <w:t xml:space="preserve">CI = confidence interval; HR = hazard ratio; </w:t>
      </w:r>
      <w:r w:rsidR="00285849">
        <w:t xml:space="preserve">IPI = </w:t>
      </w:r>
      <w:proofErr w:type="spellStart"/>
      <w:r w:rsidR="00285849">
        <w:t>ipilimumab</w:t>
      </w:r>
      <w:proofErr w:type="spellEnd"/>
      <w:r w:rsidR="00285849">
        <w:t xml:space="preserve">; </w:t>
      </w:r>
      <w:r w:rsidR="00157C80">
        <w:t xml:space="preserve">ITT = intention to treat; </w:t>
      </w:r>
      <w:r>
        <w:t xml:space="preserve">NA = not assessable; </w:t>
      </w:r>
      <w:r w:rsidR="00285849">
        <w:t>NIVO</w:t>
      </w:r>
      <w:r>
        <w:t xml:space="preserve"> = </w:t>
      </w:r>
      <w:proofErr w:type="spellStart"/>
      <w:r>
        <w:t>nivo</w:t>
      </w:r>
      <w:r w:rsidR="00285849">
        <w:t>lumab</w:t>
      </w:r>
      <w:proofErr w:type="spellEnd"/>
      <w:r>
        <w:t xml:space="preserve">; NR = not reported; OS = overall </w:t>
      </w:r>
      <w:r w:rsidR="00157C80">
        <w:t>survival; PD-L1 = programmed death-ligand 1.</w:t>
      </w:r>
    </w:p>
    <w:p w:rsidR="00697472" w:rsidRPr="003E39A7" w:rsidRDefault="00697472" w:rsidP="00697472">
      <w:pPr>
        <w:pStyle w:val="TableFooter"/>
        <w:rPr>
          <w:lang w:val="es-ES"/>
        </w:rPr>
      </w:pPr>
      <w:proofErr w:type="gramStart"/>
      <w:r w:rsidRPr="003E39A7">
        <w:rPr>
          <w:vertAlign w:val="superscript"/>
          <w:lang w:val="es-ES"/>
        </w:rPr>
        <w:t>a</w:t>
      </w:r>
      <w:proofErr w:type="gramEnd"/>
      <w:r w:rsidRPr="003E39A7">
        <w:rPr>
          <w:lang w:val="es-ES"/>
        </w:rPr>
        <w:t xml:space="preserve"> NIVO+IPI versus </w:t>
      </w:r>
      <w:proofErr w:type="spellStart"/>
      <w:r w:rsidRPr="003E39A7">
        <w:rPr>
          <w:lang w:val="es-ES"/>
        </w:rPr>
        <w:t>nivolumab</w:t>
      </w:r>
      <w:proofErr w:type="spellEnd"/>
      <w:r w:rsidRPr="003E39A7">
        <w:rPr>
          <w:lang w:val="es-ES"/>
        </w:rPr>
        <w:t xml:space="preserve"> monotherapy</w:t>
      </w:r>
    </w:p>
    <w:p w:rsidR="00697472" w:rsidRDefault="00697472" w:rsidP="00697472">
      <w:pPr>
        <w:pStyle w:val="TableFooter"/>
      </w:pPr>
      <w:proofErr w:type="gramStart"/>
      <w:r>
        <w:rPr>
          <w:vertAlign w:val="superscript"/>
        </w:rPr>
        <w:t>b</w:t>
      </w:r>
      <w:proofErr w:type="gramEnd"/>
      <w:r>
        <w:t xml:space="preserve"> Stratified by PD-L1 status, BRAF status and M stage.</w:t>
      </w:r>
    </w:p>
    <w:p w:rsidR="00697472" w:rsidRDefault="00697472" w:rsidP="00697472">
      <w:pPr>
        <w:pStyle w:val="TableFooter"/>
      </w:pPr>
      <w:r>
        <w:t xml:space="preserve">Source: Table 33, p 79 of the resubmission; Table 4, paragraph 6.15, 7.06 </w:t>
      </w:r>
      <w:proofErr w:type="spellStart"/>
      <w:r>
        <w:t>nivolumab</w:t>
      </w:r>
      <w:proofErr w:type="spellEnd"/>
      <w:r>
        <w:t xml:space="preserve"> and </w:t>
      </w:r>
      <w:proofErr w:type="spellStart"/>
      <w:r>
        <w:t>ipilimumab</w:t>
      </w:r>
      <w:proofErr w:type="spellEnd"/>
      <w:r>
        <w:t xml:space="preserve"> PSD, March 2017 PBAC Meeting.</w:t>
      </w:r>
    </w:p>
    <w:p w:rsidR="00697472" w:rsidRPr="00AA55A3" w:rsidRDefault="00697472" w:rsidP="003235AE">
      <w:pPr>
        <w:pStyle w:val="ListParagraph"/>
        <w:widowControl/>
        <w:numPr>
          <w:ilvl w:val="1"/>
          <w:numId w:val="2"/>
        </w:numPr>
        <w:spacing w:before="120"/>
      </w:pPr>
      <w:r w:rsidRPr="00AA55A3">
        <w:t xml:space="preserve">At a minimum follow-up of 36 months, the </w:t>
      </w:r>
      <w:r w:rsidR="004E2EE8" w:rsidRPr="00AA55A3">
        <w:t>hazard ratio (</w:t>
      </w:r>
      <w:r w:rsidRPr="00AA55A3">
        <w:t>HR</w:t>
      </w:r>
      <w:r w:rsidR="004E2EE8" w:rsidRPr="00AA55A3">
        <w:t>)</w:t>
      </w:r>
      <w:r w:rsidRPr="00AA55A3">
        <w:t xml:space="preserve"> for OS for NIVO+IPI versus </w:t>
      </w:r>
      <w:proofErr w:type="spellStart"/>
      <w:r w:rsidRPr="00AA55A3">
        <w:t>nivolumab</w:t>
      </w:r>
      <w:proofErr w:type="spellEnd"/>
      <w:r w:rsidRPr="00AA55A3">
        <w:t xml:space="preserve"> monotherapy in the </w:t>
      </w:r>
      <w:r w:rsidR="004E2EE8" w:rsidRPr="00AA55A3">
        <w:t>intention to treat (</w:t>
      </w:r>
      <w:r w:rsidRPr="00AA55A3">
        <w:t>ITT</w:t>
      </w:r>
      <w:r w:rsidR="004E2EE8" w:rsidRPr="00AA55A3">
        <w:t>)</w:t>
      </w:r>
      <w:r w:rsidRPr="00AA55A3">
        <w:t xml:space="preserve"> population was 0.85 (95% confidence interval (CI): 0.68, 1.07; Log-rank p=0.1908). The resubmission noted that CA209067 was not powered to detect a difference in OS between NIVO+IPI and </w:t>
      </w:r>
      <w:proofErr w:type="spellStart"/>
      <w:r w:rsidRPr="00AA55A3">
        <w:t>nivolumab</w:t>
      </w:r>
      <w:proofErr w:type="spellEnd"/>
      <w:r w:rsidRPr="00AA55A3">
        <w:t xml:space="preserve"> monotherapy, and that the incremental difference in OS rate between the arms had widened over time, favouring NIVO+IPI over </w:t>
      </w:r>
      <w:proofErr w:type="spellStart"/>
      <w:r w:rsidRPr="00AA55A3">
        <w:t>nivolumab</w:t>
      </w:r>
      <w:proofErr w:type="spellEnd"/>
      <w:r w:rsidRPr="00AA55A3">
        <w:t xml:space="preserve"> monotherapy. The OS results were very similar to those presented in the March 2017 resubmission</w:t>
      </w:r>
      <w:r w:rsidR="00461CF7">
        <w:t xml:space="preserve"> and were still relatively immature; therefore, the difference in median OS between the two treatment arms could not be determined</w:t>
      </w:r>
      <w:r w:rsidRPr="00AA55A3">
        <w:t>.</w:t>
      </w:r>
    </w:p>
    <w:p w:rsidR="00697472" w:rsidRPr="00AA55A3" w:rsidRDefault="00697472" w:rsidP="00EF1D65">
      <w:pPr>
        <w:pStyle w:val="ListParagraph"/>
        <w:widowControl/>
        <w:numPr>
          <w:ilvl w:val="1"/>
          <w:numId w:val="2"/>
        </w:numPr>
      </w:pPr>
      <w:r w:rsidRPr="00AA55A3">
        <w:t xml:space="preserve">The </w:t>
      </w:r>
      <w:r w:rsidR="009C0365" w:rsidRPr="00AA55A3">
        <w:t>progression free survival (</w:t>
      </w:r>
      <w:r w:rsidRPr="00AA55A3">
        <w:t>PFS</w:t>
      </w:r>
      <w:r w:rsidR="009C0365" w:rsidRPr="00AA55A3">
        <w:t>)</w:t>
      </w:r>
      <w:r w:rsidRPr="00AA55A3">
        <w:t xml:space="preserve"> results across the three submissions are summarised below.</w:t>
      </w:r>
    </w:p>
    <w:p w:rsidR="003235AE" w:rsidRDefault="003235AE">
      <w:pPr>
        <w:widowControl/>
        <w:jc w:val="left"/>
        <w:rPr>
          <w:rFonts w:ascii="Arial Narrow" w:hAnsi="Arial Narrow"/>
          <w:b/>
          <w:bCs/>
          <w:sz w:val="20"/>
          <w:szCs w:val="20"/>
        </w:rPr>
      </w:pPr>
      <w:r>
        <w:br w:type="page"/>
      </w:r>
    </w:p>
    <w:p w:rsidR="00697472" w:rsidRPr="00417CB6" w:rsidRDefault="00697472" w:rsidP="00697472">
      <w:pPr>
        <w:pStyle w:val="Caption"/>
        <w:keepNext/>
      </w:pPr>
      <w:r w:rsidRPr="00417CB6">
        <w:lastRenderedPageBreak/>
        <w:t xml:space="preserve">Table </w:t>
      </w:r>
      <w:r w:rsidR="00622B9E">
        <w:rPr>
          <w:noProof/>
        </w:rPr>
        <w:t>6</w:t>
      </w:r>
      <w:r w:rsidRPr="00417CB6">
        <w:t>: Progression free survival: CA209067 (ITT)</w:t>
      </w:r>
    </w:p>
    <w:tbl>
      <w:tblPr>
        <w:tblStyle w:val="TableGrid"/>
        <w:tblW w:w="5000" w:type="pct"/>
        <w:tblLook w:val="04A0" w:firstRow="1" w:lastRow="0" w:firstColumn="1" w:lastColumn="0" w:noHBand="0" w:noVBand="1"/>
        <w:tblCaption w:val="Table 6: Progression free survival: CA209067 (ITT)"/>
      </w:tblPr>
      <w:tblGrid>
        <w:gridCol w:w="2295"/>
        <w:gridCol w:w="1134"/>
        <w:gridCol w:w="1132"/>
        <w:gridCol w:w="1114"/>
        <w:gridCol w:w="1157"/>
        <w:gridCol w:w="1134"/>
        <w:gridCol w:w="1117"/>
      </w:tblGrid>
      <w:tr w:rsidR="00697472" w:rsidRPr="00417CB6" w:rsidTr="009716C6">
        <w:trPr>
          <w:tblHeader/>
        </w:trPr>
        <w:tc>
          <w:tcPr>
            <w:tcW w:w="1264" w:type="pct"/>
            <w:tcMar>
              <w:left w:w="28" w:type="dxa"/>
              <w:right w:w="28" w:type="dxa"/>
            </w:tcMar>
          </w:tcPr>
          <w:p w:rsidR="00697472" w:rsidRPr="00417CB6" w:rsidRDefault="00697472" w:rsidP="00B44EA5">
            <w:pPr>
              <w:jc w:val="left"/>
              <w:rPr>
                <w:rFonts w:ascii="Arial Narrow" w:hAnsi="Arial Narrow"/>
                <w:sz w:val="20"/>
              </w:rPr>
            </w:pPr>
          </w:p>
        </w:tc>
        <w:tc>
          <w:tcPr>
            <w:tcW w:w="3736" w:type="pct"/>
            <w:gridSpan w:val="6"/>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 xml:space="preserve">CA209067 </w:t>
            </w:r>
          </w:p>
        </w:tc>
      </w:tr>
      <w:tr w:rsidR="00697472" w:rsidRPr="00417CB6" w:rsidTr="00B3185E">
        <w:tc>
          <w:tcPr>
            <w:tcW w:w="1264" w:type="pct"/>
            <w:tcMar>
              <w:left w:w="28" w:type="dxa"/>
              <w:right w:w="28" w:type="dxa"/>
            </w:tcMar>
          </w:tcPr>
          <w:p w:rsidR="00697472" w:rsidRPr="00417CB6" w:rsidRDefault="00697472" w:rsidP="00B44EA5">
            <w:pPr>
              <w:jc w:val="left"/>
              <w:rPr>
                <w:rFonts w:ascii="Arial Narrow" w:hAnsi="Arial Narrow"/>
                <w:sz w:val="20"/>
              </w:rPr>
            </w:pPr>
            <w:r w:rsidRPr="00417CB6">
              <w:rPr>
                <w:rFonts w:ascii="Arial Narrow" w:hAnsi="Arial Narrow"/>
                <w:sz w:val="20"/>
              </w:rPr>
              <w:t>Minimum follow-up</w:t>
            </w:r>
          </w:p>
        </w:tc>
        <w:tc>
          <w:tcPr>
            <w:tcW w:w="1247" w:type="pct"/>
            <w:gridSpan w:val="2"/>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9 months</w:t>
            </w:r>
          </w:p>
        </w:tc>
        <w:tc>
          <w:tcPr>
            <w:tcW w:w="1250" w:type="pct"/>
            <w:gridSpan w:val="2"/>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28 months</w:t>
            </w:r>
          </w:p>
        </w:tc>
        <w:tc>
          <w:tcPr>
            <w:tcW w:w="1239" w:type="pct"/>
            <w:gridSpan w:val="2"/>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36 months</w:t>
            </w:r>
          </w:p>
        </w:tc>
      </w:tr>
      <w:tr w:rsidR="00157C80" w:rsidRPr="00417CB6" w:rsidTr="00B3185E">
        <w:tc>
          <w:tcPr>
            <w:tcW w:w="1264" w:type="pct"/>
            <w:tcMar>
              <w:left w:w="28" w:type="dxa"/>
              <w:right w:w="28" w:type="dxa"/>
            </w:tcMar>
          </w:tcPr>
          <w:p w:rsidR="00697472" w:rsidRPr="00417CB6" w:rsidRDefault="00697472" w:rsidP="00B44EA5">
            <w:pPr>
              <w:jc w:val="left"/>
              <w:rPr>
                <w:rFonts w:ascii="Arial Narrow" w:hAnsi="Arial Narrow"/>
                <w:sz w:val="20"/>
              </w:rPr>
            </w:pPr>
          </w:p>
        </w:tc>
        <w:tc>
          <w:tcPr>
            <w:tcW w:w="624"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 xml:space="preserve">NIVO+IPI </w:t>
            </w:r>
          </w:p>
          <w:p w:rsidR="00697472" w:rsidRPr="00417CB6" w:rsidRDefault="00697472" w:rsidP="00B44EA5">
            <w:pPr>
              <w:jc w:val="center"/>
              <w:rPr>
                <w:rFonts w:ascii="Arial Narrow" w:hAnsi="Arial Narrow"/>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314</w:t>
            </w:r>
          </w:p>
        </w:tc>
        <w:tc>
          <w:tcPr>
            <w:tcW w:w="623"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NIVO mono</w:t>
            </w:r>
          </w:p>
          <w:p w:rsidR="00697472" w:rsidRPr="00417CB6" w:rsidRDefault="00697472" w:rsidP="00B44EA5">
            <w:pPr>
              <w:jc w:val="center"/>
              <w:rPr>
                <w:rFonts w:ascii="Arial Narrow" w:hAnsi="Arial Narrow"/>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316</w:t>
            </w:r>
          </w:p>
        </w:tc>
        <w:tc>
          <w:tcPr>
            <w:tcW w:w="613"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 xml:space="preserve">NIVO+IPI </w:t>
            </w:r>
          </w:p>
          <w:p w:rsidR="00697472" w:rsidRPr="00417CB6" w:rsidRDefault="00697472" w:rsidP="00B44EA5">
            <w:pPr>
              <w:jc w:val="center"/>
              <w:rPr>
                <w:rFonts w:ascii="Arial Narrow" w:hAnsi="Arial Narrow"/>
                <w:b/>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314</w:t>
            </w:r>
          </w:p>
        </w:tc>
        <w:tc>
          <w:tcPr>
            <w:tcW w:w="637"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NIVO mono</w:t>
            </w:r>
          </w:p>
          <w:p w:rsidR="00697472" w:rsidRPr="00417CB6" w:rsidRDefault="00697472" w:rsidP="00B44EA5">
            <w:pPr>
              <w:jc w:val="center"/>
              <w:rPr>
                <w:rFonts w:ascii="Arial Narrow" w:hAnsi="Arial Narrow"/>
                <w:b/>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316</w:t>
            </w:r>
          </w:p>
        </w:tc>
        <w:tc>
          <w:tcPr>
            <w:tcW w:w="624"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 xml:space="preserve">NIVO+IPI </w:t>
            </w:r>
          </w:p>
          <w:p w:rsidR="00697472" w:rsidRPr="00417CB6" w:rsidRDefault="00697472" w:rsidP="00B44EA5">
            <w:pPr>
              <w:jc w:val="center"/>
              <w:rPr>
                <w:rFonts w:ascii="Arial Narrow" w:hAnsi="Arial Narrow"/>
                <w:b/>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314</w:t>
            </w:r>
          </w:p>
        </w:tc>
        <w:tc>
          <w:tcPr>
            <w:tcW w:w="615" w:type="pct"/>
            <w:tcMar>
              <w:left w:w="28" w:type="dxa"/>
              <w:right w:w="28" w:type="dxa"/>
            </w:tcMar>
          </w:tcPr>
          <w:p w:rsidR="00697472" w:rsidRPr="00417CB6" w:rsidRDefault="00697472" w:rsidP="00B44EA5">
            <w:pPr>
              <w:jc w:val="center"/>
              <w:rPr>
                <w:rFonts w:ascii="Arial Narrow" w:hAnsi="Arial Narrow"/>
                <w:b/>
                <w:sz w:val="20"/>
              </w:rPr>
            </w:pPr>
            <w:r w:rsidRPr="00417CB6">
              <w:rPr>
                <w:rFonts w:ascii="Arial Narrow" w:hAnsi="Arial Narrow"/>
                <w:b/>
                <w:sz w:val="20"/>
              </w:rPr>
              <w:t>NIVO mono</w:t>
            </w:r>
          </w:p>
          <w:p w:rsidR="00697472" w:rsidRPr="00417CB6" w:rsidRDefault="00697472" w:rsidP="00B44EA5">
            <w:pPr>
              <w:jc w:val="center"/>
              <w:rPr>
                <w:rFonts w:ascii="Arial Narrow" w:hAnsi="Arial Narrow"/>
                <w:b/>
                <w:sz w:val="20"/>
              </w:rPr>
            </w:pPr>
            <w:r w:rsidRPr="00417CB6">
              <w:rPr>
                <w:rFonts w:ascii="Arial Narrow" w:hAnsi="Arial Narrow"/>
                <w:b/>
                <w:sz w:val="20"/>
              </w:rPr>
              <w:t>N</w:t>
            </w:r>
            <w:r w:rsidR="00157C80">
              <w:rPr>
                <w:rFonts w:ascii="Arial Narrow" w:hAnsi="Arial Narrow"/>
                <w:b/>
                <w:sz w:val="20"/>
              </w:rPr>
              <w:t xml:space="preserve"> </w:t>
            </w:r>
            <w:r w:rsidRPr="00417CB6">
              <w:rPr>
                <w:rFonts w:ascii="Arial Narrow" w:hAnsi="Arial Narrow"/>
                <w:b/>
                <w:sz w:val="20"/>
              </w:rPr>
              <w:t>=</w:t>
            </w:r>
            <w:r w:rsidR="00157C80">
              <w:rPr>
                <w:rFonts w:ascii="Arial Narrow" w:hAnsi="Arial Narrow"/>
                <w:b/>
                <w:sz w:val="20"/>
              </w:rPr>
              <w:t xml:space="preserve"> </w:t>
            </w:r>
            <w:r w:rsidRPr="00417CB6">
              <w:rPr>
                <w:rFonts w:ascii="Arial Narrow" w:hAnsi="Arial Narrow"/>
                <w:b/>
                <w:sz w:val="20"/>
              </w:rPr>
              <w:t>316</w:t>
            </w:r>
          </w:p>
        </w:tc>
      </w:tr>
      <w:tr w:rsidR="00157C80" w:rsidRPr="00417CB6" w:rsidTr="00B3185E">
        <w:tc>
          <w:tcPr>
            <w:tcW w:w="1264" w:type="pct"/>
            <w:tcMar>
              <w:left w:w="28" w:type="dxa"/>
              <w:right w:w="28" w:type="dxa"/>
            </w:tcMar>
            <w:vAlign w:val="center"/>
          </w:tcPr>
          <w:p w:rsidR="00697472" w:rsidRPr="00417CB6" w:rsidRDefault="00697472" w:rsidP="00B3185E">
            <w:pPr>
              <w:jc w:val="left"/>
              <w:rPr>
                <w:rFonts w:ascii="Arial Narrow" w:hAnsi="Arial Narrow"/>
                <w:sz w:val="20"/>
              </w:rPr>
            </w:pPr>
            <w:r w:rsidRPr="00417CB6">
              <w:rPr>
                <w:rFonts w:ascii="Arial Narrow" w:hAnsi="Arial Narrow"/>
                <w:sz w:val="20"/>
              </w:rPr>
              <w:t>Number of events, n (%)</w:t>
            </w:r>
          </w:p>
        </w:tc>
        <w:tc>
          <w:tcPr>
            <w:tcW w:w="624" w:type="pct"/>
            <w:tcMar>
              <w:left w:w="28" w:type="dxa"/>
              <w:right w:w="28" w:type="dxa"/>
            </w:tcMar>
            <w:vAlign w:val="center"/>
          </w:tcPr>
          <w:p w:rsidR="00697472" w:rsidRPr="00417CB6" w:rsidRDefault="00697472" w:rsidP="00A615DA">
            <w:pPr>
              <w:jc w:val="center"/>
              <w:rPr>
                <w:rFonts w:ascii="Arial Narrow" w:hAnsi="Arial Narrow"/>
                <w:sz w:val="20"/>
              </w:rPr>
            </w:pPr>
            <w:r w:rsidRPr="00417CB6">
              <w:rPr>
                <w:rFonts w:ascii="Arial Narrow" w:hAnsi="Arial Narrow"/>
                <w:sz w:val="20"/>
                <w:lang w:val="en-US"/>
              </w:rPr>
              <w:t>151 (48.1%)</w:t>
            </w:r>
          </w:p>
        </w:tc>
        <w:tc>
          <w:tcPr>
            <w:tcW w:w="623" w:type="pct"/>
            <w:tcMar>
              <w:left w:w="28" w:type="dxa"/>
              <w:right w:w="28" w:type="dxa"/>
            </w:tcMar>
            <w:vAlign w:val="center"/>
          </w:tcPr>
          <w:p w:rsidR="00697472" w:rsidRPr="00417CB6" w:rsidRDefault="00697472" w:rsidP="00A615DA">
            <w:pPr>
              <w:jc w:val="center"/>
              <w:rPr>
                <w:rFonts w:ascii="Arial Narrow" w:hAnsi="Arial Narrow"/>
                <w:sz w:val="20"/>
              </w:rPr>
            </w:pPr>
            <w:r w:rsidRPr="00417CB6">
              <w:rPr>
                <w:rFonts w:ascii="Arial Narrow" w:hAnsi="Arial Narrow"/>
                <w:sz w:val="20"/>
                <w:lang w:val="en-US"/>
              </w:rPr>
              <w:t>174 (55.1%)</w:t>
            </w:r>
          </w:p>
        </w:tc>
        <w:tc>
          <w:tcPr>
            <w:tcW w:w="613" w:type="pct"/>
            <w:tcMar>
              <w:left w:w="28" w:type="dxa"/>
              <w:right w:w="28" w:type="dxa"/>
            </w:tcMar>
            <w:vAlign w:val="center"/>
          </w:tcPr>
          <w:p w:rsidR="00697472" w:rsidRPr="00417CB6" w:rsidRDefault="00697472" w:rsidP="00A615DA">
            <w:pPr>
              <w:jc w:val="center"/>
              <w:rPr>
                <w:rFonts w:ascii="Arial Narrow" w:hAnsi="Arial Narrow"/>
                <w:sz w:val="20"/>
              </w:rPr>
            </w:pPr>
            <w:r w:rsidRPr="00417CB6">
              <w:rPr>
                <w:rFonts w:ascii="Arial Narrow" w:hAnsi="Arial Narrow"/>
                <w:sz w:val="20"/>
                <w:lang w:val="en-US"/>
              </w:rPr>
              <w:t>169 (53.8%)</w:t>
            </w:r>
          </w:p>
        </w:tc>
        <w:tc>
          <w:tcPr>
            <w:tcW w:w="637" w:type="pct"/>
            <w:tcMar>
              <w:left w:w="28" w:type="dxa"/>
              <w:right w:w="28" w:type="dxa"/>
            </w:tcMar>
            <w:vAlign w:val="center"/>
          </w:tcPr>
          <w:p w:rsidR="00697472" w:rsidRPr="00417CB6" w:rsidRDefault="00697472" w:rsidP="00A615DA">
            <w:pPr>
              <w:jc w:val="center"/>
              <w:rPr>
                <w:rFonts w:ascii="Arial Narrow" w:hAnsi="Arial Narrow"/>
                <w:sz w:val="20"/>
              </w:rPr>
            </w:pPr>
            <w:r w:rsidRPr="00417CB6">
              <w:rPr>
                <w:rFonts w:ascii="Arial Narrow" w:hAnsi="Arial Narrow"/>
                <w:sz w:val="20"/>
                <w:lang w:val="en-US"/>
              </w:rPr>
              <w:t>195 (61.7%)</w:t>
            </w:r>
          </w:p>
        </w:tc>
        <w:tc>
          <w:tcPr>
            <w:tcW w:w="624" w:type="pct"/>
            <w:tcMar>
              <w:left w:w="28" w:type="dxa"/>
              <w:right w:w="28" w:type="dxa"/>
            </w:tcMar>
            <w:vAlign w:val="center"/>
          </w:tcPr>
          <w:p w:rsidR="00697472" w:rsidRPr="00417CB6" w:rsidRDefault="00697472" w:rsidP="00A615DA">
            <w:pPr>
              <w:jc w:val="center"/>
              <w:rPr>
                <w:rFonts w:ascii="Arial Narrow" w:hAnsi="Arial Narrow"/>
                <w:sz w:val="20"/>
                <w:lang w:val="en-US"/>
              </w:rPr>
            </w:pPr>
            <w:r w:rsidRPr="00417CB6">
              <w:rPr>
                <w:rFonts w:ascii="Arial Narrow" w:hAnsi="Arial Narrow"/>
                <w:sz w:val="20"/>
                <w:lang w:val="en-US"/>
              </w:rPr>
              <w:t>179 (57.0%)</w:t>
            </w:r>
          </w:p>
        </w:tc>
        <w:tc>
          <w:tcPr>
            <w:tcW w:w="615" w:type="pct"/>
            <w:tcMar>
              <w:left w:w="28" w:type="dxa"/>
              <w:right w:w="28" w:type="dxa"/>
            </w:tcMar>
            <w:vAlign w:val="center"/>
          </w:tcPr>
          <w:p w:rsidR="00697472" w:rsidRPr="00417CB6" w:rsidRDefault="00697472" w:rsidP="00A615DA">
            <w:pPr>
              <w:jc w:val="center"/>
              <w:rPr>
                <w:rFonts w:ascii="Arial Narrow" w:hAnsi="Arial Narrow"/>
                <w:sz w:val="20"/>
                <w:lang w:val="en-US"/>
              </w:rPr>
            </w:pPr>
            <w:r w:rsidRPr="00417CB6">
              <w:rPr>
                <w:rFonts w:ascii="Arial Narrow" w:hAnsi="Arial Narrow"/>
                <w:sz w:val="20"/>
                <w:lang w:val="en-US"/>
              </w:rPr>
              <w:t>199 (63.0%)</w:t>
            </w:r>
          </w:p>
        </w:tc>
      </w:tr>
      <w:tr w:rsidR="00157C80" w:rsidRPr="00417CB6" w:rsidTr="00B3185E">
        <w:tc>
          <w:tcPr>
            <w:tcW w:w="1264" w:type="pct"/>
            <w:tcMar>
              <w:left w:w="28" w:type="dxa"/>
              <w:right w:w="28" w:type="dxa"/>
            </w:tcMar>
            <w:vAlign w:val="center"/>
          </w:tcPr>
          <w:p w:rsidR="00697472" w:rsidRPr="00417CB6" w:rsidRDefault="00697472" w:rsidP="00B44EA5">
            <w:pPr>
              <w:jc w:val="left"/>
              <w:rPr>
                <w:rFonts w:ascii="Arial Narrow" w:hAnsi="Arial Narrow"/>
                <w:sz w:val="20"/>
              </w:rPr>
            </w:pPr>
            <w:r w:rsidRPr="00417CB6">
              <w:rPr>
                <w:rFonts w:ascii="Arial Narrow" w:hAnsi="Arial Narrow"/>
                <w:sz w:val="20"/>
              </w:rPr>
              <w:t>Median PFS, months (95% CI)</w:t>
            </w:r>
          </w:p>
        </w:tc>
        <w:tc>
          <w:tcPr>
            <w:tcW w:w="624" w:type="pct"/>
            <w:tcMar>
              <w:left w:w="28" w:type="dxa"/>
              <w:right w:w="28" w:type="dxa"/>
            </w:tcMar>
          </w:tcPr>
          <w:p w:rsidR="00697472" w:rsidRPr="00417CB6" w:rsidRDefault="00697472" w:rsidP="00B44EA5">
            <w:pPr>
              <w:jc w:val="center"/>
              <w:rPr>
                <w:rFonts w:ascii="Arial Narrow" w:hAnsi="Arial Narrow"/>
                <w:sz w:val="20"/>
              </w:rPr>
            </w:pPr>
            <w:r w:rsidRPr="00417CB6">
              <w:rPr>
                <w:rFonts w:ascii="Arial Narrow" w:hAnsi="Arial Narrow"/>
                <w:sz w:val="20"/>
                <w:lang w:val="en-US"/>
              </w:rPr>
              <w:t>11.5</w:t>
            </w:r>
            <w:r w:rsidRPr="00417CB6">
              <w:rPr>
                <w:rFonts w:ascii="Arial Narrow" w:hAnsi="Arial Narrow"/>
                <w:sz w:val="20"/>
                <w:lang w:val="en-US"/>
              </w:rPr>
              <w:br/>
              <w:t xml:space="preserve"> (8.9, 16.7)</w:t>
            </w:r>
          </w:p>
        </w:tc>
        <w:tc>
          <w:tcPr>
            <w:tcW w:w="623" w:type="pct"/>
            <w:tcMar>
              <w:left w:w="28" w:type="dxa"/>
              <w:right w:w="28" w:type="dxa"/>
            </w:tcMar>
          </w:tcPr>
          <w:p w:rsidR="00697472" w:rsidRPr="00417CB6" w:rsidRDefault="00697472" w:rsidP="00B44EA5">
            <w:pPr>
              <w:jc w:val="center"/>
              <w:rPr>
                <w:rFonts w:ascii="Arial Narrow" w:hAnsi="Arial Narrow"/>
                <w:sz w:val="20"/>
              </w:rPr>
            </w:pPr>
            <w:r w:rsidRPr="00417CB6">
              <w:rPr>
                <w:rFonts w:ascii="Arial Narrow" w:hAnsi="Arial Narrow"/>
                <w:sz w:val="20"/>
                <w:lang w:val="en-US"/>
              </w:rPr>
              <w:t>6.9</w:t>
            </w:r>
            <w:r w:rsidRPr="00417CB6">
              <w:rPr>
                <w:rFonts w:ascii="Arial Narrow" w:hAnsi="Arial Narrow"/>
                <w:sz w:val="20"/>
                <w:lang w:val="en-US"/>
              </w:rPr>
              <w:br/>
              <w:t xml:space="preserve"> (4.3, 9.5)</w:t>
            </w:r>
          </w:p>
        </w:tc>
        <w:tc>
          <w:tcPr>
            <w:tcW w:w="613" w:type="pct"/>
            <w:tcMar>
              <w:left w:w="28" w:type="dxa"/>
              <w:right w:w="28" w:type="dxa"/>
            </w:tcMar>
          </w:tcPr>
          <w:p w:rsidR="00697472" w:rsidRPr="00417CB6" w:rsidRDefault="00697472" w:rsidP="00B44EA5">
            <w:pPr>
              <w:jc w:val="center"/>
              <w:rPr>
                <w:rFonts w:ascii="Arial Narrow" w:hAnsi="Arial Narrow"/>
                <w:sz w:val="20"/>
              </w:rPr>
            </w:pPr>
            <w:r w:rsidRPr="00417CB6">
              <w:rPr>
                <w:rFonts w:ascii="Arial Narrow" w:hAnsi="Arial Narrow"/>
                <w:sz w:val="20"/>
                <w:lang w:val="en-US"/>
              </w:rPr>
              <w:t>11.7</w:t>
            </w:r>
            <w:r w:rsidRPr="00417CB6">
              <w:rPr>
                <w:rFonts w:ascii="Arial Narrow" w:hAnsi="Arial Narrow"/>
                <w:sz w:val="20"/>
                <w:lang w:val="en-US"/>
              </w:rPr>
              <w:br/>
              <w:t xml:space="preserve"> (8.9, 21.9)</w:t>
            </w:r>
          </w:p>
        </w:tc>
        <w:tc>
          <w:tcPr>
            <w:tcW w:w="637" w:type="pct"/>
            <w:tcMar>
              <w:left w:w="28" w:type="dxa"/>
              <w:right w:w="28" w:type="dxa"/>
            </w:tcMar>
          </w:tcPr>
          <w:p w:rsidR="00697472" w:rsidRPr="00417CB6" w:rsidRDefault="00697472" w:rsidP="00B44EA5">
            <w:pPr>
              <w:jc w:val="center"/>
              <w:rPr>
                <w:rFonts w:ascii="Arial Narrow" w:hAnsi="Arial Narrow"/>
                <w:sz w:val="20"/>
              </w:rPr>
            </w:pPr>
            <w:r w:rsidRPr="00417CB6">
              <w:rPr>
                <w:rFonts w:ascii="Arial Narrow" w:hAnsi="Arial Narrow"/>
                <w:sz w:val="20"/>
                <w:lang w:val="en-US"/>
              </w:rPr>
              <w:t xml:space="preserve">6.9 </w:t>
            </w:r>
            <w:r w:rsidRPr="00417CB6">
              <w:rPr>
                <w:rFonts w:ascii="Arial Narrow" w:hAnsi="Arial Narrow"/>
                <w:sz w:val="20"/>
                <w:lang w:val="en-US"/>
              </w:rPr>
              <w:br/>
              <w:t>(4.3, 9.5)</w:t>
            </w:r>
          </w:p>
        </w:tc>
        <w:tc>
          <w:tcPr>
            <w:tcW w:w="624" w:type="pct"/>
            <w:tcMar>
              <w:left w:w="28" w:type="dxa"/>
              <w:right w:w="28" w:type="dxa"/>
            </w:tcMar>
          </w:tcPr>
          <w:p w:rsidR="00697472" w:rsidRPr="00417CB6" w:rsidRDefault="00697472" w:rsidP="00B44EA5">
            <w:pPr>
              <w:jc w:val="center"/>
              <w:rPr>
                <w:rFonts w:ascii="Arial Narrow" w:hAnsi="Arial Narrow"/>
                <w:sz w:val="20"/>
                <w:lang w:val="en-US"/>
              </w:rPr>
            </w:pPr>
            <w:r w:rsidRPr="00417CB6">
              <w:rPr>
                <w:rFonts w:ascii="Arial Narrow" w:hAnsi="Arial Narrow"/>
                <w:sz w:val="20"/>
                <w:lang w:val="en-US"/>
              </w:rPr>
              <w:t>11.5</w:t>
            </w:r>
            <w:r w:rsidRPr="00417CB6">
              <w:rPr>
                <w:rFonts w:ascii="Arial Narrow" w:hAnsi="Arial Narrow"/>
                <w:sz w:val="20"/>
                <w:lang w:val="en-US"/>
              </w:rPr>
              <w:br/>
              <w:t>(8.7, 19.3)</w:t>
            </w:r>
          </w:p>
        </w:tc>
        <w:tc>
          <w:tcPr>
            <w:tcW w:w="615" w:type="pct"/>
            <w:tcMar>
              <w:left w:w="28" w:type="dxa"/>
              <w:right w:w="28" w:type="dxa"/>
            </w:tcMar>
          </w:tcPr>
          <w:p w:rsidR="00697472" w:rsidRPr="00417CB6" w:rsidRDefault="00697472" w:rsidP="00B44EA5">
            <w:pPr>
              <w:jc w:val="center"/>
              <w:rPr>
                <w:rFonts w:ascii="Arial Narrow" w:hAnsi="Arial Narrow"/>
                <w:sz w:val="20"/>
                <w:lang w:val="en-US"/>
              </w:rPr>
            </w:pPr>
            <w:r w:rsidRPr="00417CB6">
              <w:rPr>
                <w:rFonts w:ascii="Arial Narrow" w:hAnsi="Arial Narrow"/>
                <w:sz w:val="20"/>
                <w:lang w:val="en-US"/>
              </w:rPr>
              <w:t>6.9</w:t>
            </w:r>
            <w:r w:rsidRPr="00417CB6">
              <w:rPr>
                <w:rFonts w:ascii="Arial Narrow" w:hAnsi="Arial Narrow"/>
                <w:sz w:val="20"/>
                <w:lang w:val="en-US"/>
              </w:rPr>
              <w:br/>
              <w:t>(5.1, 9.7)</w:t>
            </w:r>
          </w:p>
        </w:tc>
      </w:tr>
      <w:tr w:rsidR="00697472" w:rsidRPr="00417CB6" w:rsidTr="00B3185E">
        <w:tc>
          <w:tcPr>
            <w:tcW w:w="1264" w:type="pct"/>
            <w:tcMar>
              <w:left w:w="28" w:type="dxa"/>
              <w:right w:w="28" w:type="dxa"/>
            </w:tcMar>
            <w:vAlign w:val="center"/>
          </w:tcPr>
          <w:p w:rsidR="00697472" w:rsidRPr="00417CB6" w:rsidRDefault="00697472" w:rsidP="00157C80">
            <w:pPr>
              <w:jc w:val="left"/>
              <w:rPr>
                <w:rFonts w:ascii="Arial Narrow" w:hAnsi="Arial Narrow"/>
                <w:sz w:val="20"/>
              </w:rPr>
            </w:pPr>
            <w:r w:rsidRPr="00417CB6">
              <w:rPr>
                <w:rFonts w:ascii="Arial Narrow" w:hAnsi="Arial Narrow"/>
                <w:sz w:val="20"/>
              </w:rPr>
              <w:t>H</w:t>
            </w:r>
            <w:r w:rsidR="00157C80">
              <w:rPr>
                <w:rFonts w:ascii="Arial Narrow" w:hAnsi="Arial Narrow"/>
                <w:sz w:val="20"/>
              </w:rPr>
              <w:t>azard ratio</w:t>
            </w:r>
            <w:r w:rsidRPr="00417CB6">
              <w:rPr>
                <w:rFonts w:ascii="Arial Narrow" w:hAnsi="Arial Narrow"/>
                <w:sz w:val="20"/>
              </w:rPr>
              <w:t xml:space="preserve"> (95% CI)</w:t>
            </w:r>
            <w:r w:rsidRPr="00417CB6">
              <w:rPr>
                <w:rFonts w:ascii="Arial Narrow" w:hAnsi="Arial Narrow"/>
                <w:sz w:val="20"/>
                <w:vertAlign w:val="superscript"/>
              </w:rPr>
              <w:t>a</w:t>
            </w:r>
          </w:p>
        </w:tc>
        <w:tc>
          <w:tcPr>
            <w:tcW w:w="1247" w:type="pct"/>
            <w:gridSpan w:val="2"/>
            <w:tcMar>
              <w:left w:w="28" w:type="dxa"/>
              <w:right w:w="28" w:type="dxa"/>
            </w:tcMar>
          </w:tcPr>
          <w:p w:rsidR="00697472" w:rsidRPr="00417CB6" w:rsidRDefault="00697472" w:rsidP="00B44EA5">
            <w:pPr>
              <w:jc w:val="center"/>
              <w:rPr>
                <w:rFonts w:ascii="Arial Narrow" w:hAnsi="Arial Narrow"/>
                <w:b/>
                <w:sz w:val="20"/>
                <w:lang w:val="en-US"/>
              </w:rPr>
            </w:pPr>
            <w:r w:rsidRPr="00417CB6">
              <w:rPr>
                <w:rFonts w:ascii="Arial Narrow" w:hAnsi="Arial Narrow"/>
                <w:b/>
                <w:sz w:val="20"/>
              </w:rPr>
              <w:t xml:space="preserve">0.74 </w:t>
            </w:r>
            <w:r w:rsidRPr="00417CB6">
              <w:rPr>
                <w:rFonts w:ascii="Arial Narrow" w:hAnsi="Arial Narrow"/>
                <w:b/>
                <w:sz w:val="20"/>
              </w:rPr>
              <w:br/>
              <w:t>(0.60, 0.92)</w:t>
            </w:r>
          </w:p>
        </w:tc>
        <w:tc>
          <w:tcPr>
            <w:tcW w:w="1250" w:type="pct"/>
            <w:gridSpan w:val="2"/>
            <w:tcMar>
              <w:left w:w="28" w:type="dxa"/>
              <w:right w:w="28" w:type="dxa"/>
            </w:tcMar>
          </w:tcPr>
          <w:p w:rsidR="00697472" w:rsidRPr="00417CB6" w:rsidRDefault="00697472" w:rsidP="00B44EA5">
            <w:pPr>
              <w:jc w:val="center"/>
              <w:rPr>
                <w:rFonts w:ascii="Arial Narrow" w:hAnsi="Arial Narrow"/>
                <w:b/>
                <w:sz w:val="20"/>
                <w:lang w:val="en-US"/>
              </w:rPr>
            </w:pPr>
            <w:r w:rsidRPr="00417CB6">
              <w:rPr>
                <w:rFonts w:ascii="Arial Narrow" w:hAnsi="Arial Narrow"/>
                <w:b/>
                <w:sz w:val="20"/>
              </w:rPr>
              <w:t>0.76</w:t>
            </w:r>
            <w:r w:rsidRPr="00417CB6">
              <w:rPr>
                <w:rFonts w:ascii="Arial Narrow" w:hAnsi="Arial Narrow"/>
                <w:b/>
                <w:sz w:val="20"/>
              </w:rPr>
              <w:br/>
              <w:t>(0.62, 0.94)</w:t>
            </w:r>
          </w:p>
        </w:tc>
        <w:tc>
          <w:tcPr>
            <w:tcW w:w="1239" w:type="pct"/>
            <w:gridSpan w:val="2"/>
            <w:tcMar>
              <w:left w:w="28" w:type="dxa"/>
              <w:right w:w="28" w:type="dxa"/>
            </w:tcMar>
          </w:tcPr>
          <w:p w:rsidR="00697472" w:rsidRPr="00417CB6" w:rsidRDefault="00697472" w:rsidP="00B44EA5">
            <w:pPr>
              <w:jc w:val="center"/>
              <w:rPr>
                <w:rFonts w:ascii="Arial Narrow" w:hAnsi="Arial Narrow"/>
                <w:b/>
                <w:sz w:val="20"/>
                <w:lang w:val="en-US"/>
              </w:rPr>
            </w:pPr>
            <w:r w:rsidRPr="00417CB6">
              <w:rPr>
                <w:rFonts w:ascii="Arial Narrow" w:hAnsi="Arial Narrow"/>
                <w:b/>
                <w:sz w:val="20"/>
                <w:lang w:val="en-US"/>
              </w:rPr>
              <w:t>0.78</w:t>
            </w:r>
            <w:r w:rsidRPr="00417CB6">
              <w:rPr>
                <w:rFonts w:ascii="Arial Narrow" w:hAnsi="Arial Narrow"/>
                <w:b/>
                <w:sz w:val="20"/>
                <w:lang w:val="en-US"/>
              </w:rPr>
              <w:br/>
              <w:t>(0.64, 0.96)</w:t>
            </w:r>
          </w:p>
        </w:tc>
      </w:tr>
    </w:tbl>
    <w:p w:rsidR="00697472" w:rsidRPr="00417CB6" w:rsidRDefault="00697472" w:rsidP="00697472">
      <w:pPr>
        <w:pStyle w:val="TableFooter"/>
      </w:pPr>
      <w:r w:rsidRPr="00417CB6">
        <w:t xml:space="preserve">CI = confidence interval; IPI = </w:t>
      </w:r>
      <w:proofErr w:type="spellStart"/>
      <w:r w:rsidRPr="00417CB6">
        <w:t>ipilimumab</w:t>
      </w:r>
      <w:proofErr w:type="spellEnd"/>
      <w:r w:rsidRPr="00417CB6">
        <w:t xml:space="preserve">; </w:t>
      </w:r>
      <w:r w:rsidR="00A615DA">
        <w:t xml:space="preserve">ITT = intention to treat; </w:t>
      </w:r>
      <w:r w:rsidRPr="00417CB6">
        <w:t xml:space="preserve">mono = monotherapy; NIVO = </w:t>
      </w:r>
      <w:proofErr w:type="spellStart"/>
      <w:r w:rsidRPr="00417CB6">
        <w:t>nivolumab</w:t>
      </w:r>
      <w:proofErr w:type="spellEnd"/>
      <w:r w:rsidRPr="00417CB6">
        <w:t>; PFS = progression free survival</w:t>
      </w:r>
      <w:r w:rsidR="00841328">
        <w:t>.</w:t>
      </w:r>
    </w:p>
    <w:p w:rsidR="00697472" w:rsidRPr="003E39A7" w:rsidRDefault="00697472" w:rsidP="00697472">
      <w:pPr>
        <w:pStyle w:val="TableFooter"/>
        <w:rPr>
          <w:lang w:val="es-ES"/>
        </w:rPr>
      </w:pPr>
      <w:proofErr w:type="gramStart"/>
      <w:r w:rsidRPr="003E39A7">
        <w:rPr>
          <w:vertAlign w:val="superscript"/>
          <w:lang w:val="es-ES"/>
        </w:rPr>
        <w:t>a</w:t>
      </w:r>
      <w:proofErr w:type="gramEnd"/>
      <w:r w:rsidRPr="003E39A7">
        <w:rPr>
          <w:lang w:val="es-ES"/>
        </w:rPr>
        <w:t xml:space="preserve"> NIVO+IPI versus </w:t>
      </w:r>
      <w:proofErr w:type="spellStart"/>
      <w:r w:rsidRPr="003E39A7">
        <w:rPr>
          <w:lang w:val="es-ES"/>
        </w:rPr>
        <w:t>nivolumab</w:t>
      </w:r>
      <w:proofErr w:type="spellEnd"/>
      <w:r w:rsidRPr="003E39A7">
        <w:rPr>
          <w:lang w:val="es-ES"/>
        </w:rPr>
        <w:t xml:space="preserve"> monotherapy</w:t>
      </w:r>
      <w:r w:rsidR="00841328">
        <w:rPr>
          <w:lang w:val="es-ES"/>
        </w:rPr>
        <w:t>.</w:t>
      </w:r>
    </w:p>
    <w:p w:rsidR="00697472" w:rsidRPr="00417CB6" w:rsidRDefault="00697472" w:rsidP="00697472">
      <w:pPr>
        <w:pStyle w:val="TableFooter"/>
      </w:pPr>
      <w:r w:rsidRPr="00417CB6">
        <w:t xml:space="preserve">Source: Table 34, p81 of the resubmission; Table 5, paragraph 6.18, 7.06 </w:t>
      </w:r>
      <w:proofErr w:type="spellStart"/>
      <w:r w:rsidRPr="00417CB6">
        <w:t>nivolumab</w:t>
      </w:r>
      <w:proofErr w:type="spellEnd"/>
      <w:r w:rsidRPr="00417CB6">
        <w:t xml:space="preserve"> and </w:t>
      </w:r>
      <w:proofErr w:type="spellStart"/>
      <w:r w:rsidRPr="00417CB6">
        <w:t>ipilimumab</w:t>
      </w:r>
      <w:proofErr w:type="spellEnd"/>
      <w:r w:rsidRPr="00417CB6">
        <w:t xml:space="preserve"> PSD, March 2017 PBAC Meeting.</w:t>
      </w:r>
    </w:p>
    <w:p w:rsidR="00697472" w:rsidRPr="004E76B7" w:rsidRDefault="00697472" w:rsidP="003235AE">
      <w:pPr>
        <w:pStyle w:val="ListParagraph"/>
        <w:widowControl/>
        <w:numPr>
          <w:ilvl w:val="1"/>
          <w:numId w:val="2"/>
        </w:numPr>
        <w:spacing w:before="120"/>
      </w:pPr>
      <w:r w:rsidRPr="004E76B7">
        <w:t xml:space="preserve">At a minimum follow-up of 36 months, NIVO+IPI </w:t>
      </w:r>
      <w:proofErr w:type="gramStart"/>
      <w:r w:rsidRPr="004E76B7">
        <w:t>was</w:t>
      </w:r>
      <w:proofErr w:type="gramEnd"/>
      <w:r w:rsidRPr="004E76B7">
        <w:t xml:space="preserve"> associated with an improvement in median PFS of 4.6 months. The</w:t>
      </w:r>
      <w:r w:rsidR="00386134">
        <w:t xml:space="preserve"> PBAC noted that the</w:t>
      </w:r>
      <w:r w:rsidRPr="004E76B7">
        <w:t xml:space="preserve"> updated PFS results from the May 2017 database lock were similar to those presented in the March 2017 resubmission.</w:t>
      </w:r>
      <w:r w:rsidR="00386134">
        <w:t xml:space="preserve"> </w:t>
      </w:r>
    </w:p>
    <w:p w:rsidR="00C33268" w:rsidRPr="004E76B7" w:rsidRDefault="00C33268" w:rsidP="00C33268">
      <w:pPr>
        <w:pStyle w:val="ListParagraph"/>
        <w:widowControl/>
        <w:numPr>
          <w:ilvl w:val="1"/>
          <w:numId w:val="2"/>
        </w:numPr>
        <w:rPr>
          <w:color w:val="000000" w:themeColor="text1"/>
        </w:rPr>
      </w:pPr>
      <w:r w:rsidRPr="004E76B7">
        <w:t xml:space="preserve">While the subgroup analyses in CA209067 were underpowered, there was no evidence that NIVO+IPI conferred any benefit over </w:t>
      </w:r>
      <w:proofErr w:type="spellStart"/>
      <w:r w:rsidRPr="004E76B7">
        <w:t>nivolumab</w:t>
      </w:r>
      <w:proofErr w:type="spellEnd"/>
      <w:r w:rsidRPr="004E76B7">
        <w:t xml:space="preserve"> monotherapy in patients with BRAF wild type melanoma, in terms of either OS (HR </w:t>
      </w:r>
      <w:r w:rsidR="003D0B3F">
        <w:t xml:space="preserve">= </w:t>
      </w:r>
      <w:r w:rsidRPr="004E76B7">
        <w:t xml:space="preserve">0.94; 95% CI: 0.72, 1.22) or PFS (HR </w:t>
      </w:r>
      <w:r w:rsidR="003D0B3F">
        <w:t xml:space="preserve">= </w:t>
      </w:r>
      <w:r w:rsidRPr="004E76B7">
        <w:t xml:space="preserve">0.89; 95% CI: 0.70, 1.14). In comparison, in patients with BRAF mutant type melanoma the HR </w:t>
      </w:r>
      <w:r w:rsidR="00C9178B" w:rsidRPr="004E76B7">
        <w:t>for</w:t>
      </w:r>
      <w:r w:rsidRPr="004E76B7">
        <w:t xml:space="preserve"> OS was 0.69 (95% CI: 0.44, 1.07) and for PFS was 0.59 (95% CI: 0.42, 0.85</w:t>
      </w:r>
      <w:r w:rsidR="00C9178B" w:rsidRPr="004E76B7">
        <w:t>)</w:t>
      </w:r>
      <w:r w:rsidRPr="004E76B7">
        <w:t xml:space="preserve">. </w:t>
      </w:r>
    </w:p>
    <w:p w:rsidR="00697472" w:rsidRPr="004E76B7" w:rsidRDefault="00697472" w:rsidP="00EF1D65">
      <w:pPr>
        <w:pStyle w:val="ListParagraph"/>
        <w:widowControl/>
        <w:numPr>
          <w:ilvl w:val="1"/>
          <w:numId w:val="2"/>
        </w:numPr>
      </w:pPr>
      <w:r w:rsidRPr="004E76B7">
        <w:t>In CA209067, health-related quality of life (</w:t>
      </w:r>
      <w:proofErr w:type="spellStart"/>
      <w:r w:rsidRPr="004E76B7">
        <w:t>QoL</w:t>
      </w:r>
      <w:proofErr w:type="spellEnd"/>
      <w:r w:rsidRPr="004E76B7">
        <w:t xml:space="preserve">) was assessed using </w:t>
      </w:r>
      <w:r w:rsidR="009C0365" w:rsidRPr="004E76B7">
        <w:t>European Organisation for Research and Treatment of Cancer quality of life questionnaire (</w:t>
      </w:r>
      <w:r w:rsidRPr="004E76B7">
        <w:t>EORTC-QLQ-30</w:t>
      </w:r>
      <w:r w:rsidR="009C0365" w:rsidRPr="004E76B7">
        <w:t>)</w:t>
      </w:r>
      <w:r w:rsidRPr="004E76B7">
        <w:t xml:space="preserve"> and the European Quality of Lif</w:t>
      </w:r>
      <w:r w:rsidR="009C0365" w:rsidRPr="004E76B7">
        <w:t>e</w:t>
      </w:r>
      <w:r w:rsidRPr="004E76B7">
        <w:t xml:space="preserve">-5 dimensions (EQ-5D). From the first assessment post-baseline (Week 5) to Week 19 the completion rates of both questionnaires in the NIVO+IPI arm were &gt;13% lower than in the </w:t>
      </w:r>
      <w:proofErr w:type="spellStart"/>
      <w:r w:rsidRPr="004E76B7">
        <w:t>nivolumab</w:t>
      </w:r>
      <w:proofErr w:type="spellEnd"/>
      <w:r w:rsidRPr="004E76B7">
        <w:t xml:space="preserve"> monotherapy arm, with completion rates of 52.7% and 77.5% at week 13 in the NIVO+IPI and </w:t>
      </w:r>
      <w:proofErr w:type="spellStart"/>
      <w:r w:rsidRPr="004E76B7">
        <w:t>nivolumab</w:t>
      </w:r>
      <w:proofErr w:type="spellEnd"/>
      <w:r w:rsidRPr="004E76B7">
        <w:t xml:space="preserve"> monotherapy arms, respectively, for both the EORTC-QLQ-C30 and the </w:t>
      </w:r>
      <w:r w:rsidR="009C0365" w:rsidRPr="004E76B7">
        <w:t>EQ</w:t>
      </w:r>
      <w:r w:rsidRPr="004E76B7">
        <w:t xml:space="preserve">-5D. Completion rates were subsequently similar across the treatment arms. The baseline characteristics of those not contributing to the </w:t>
      </w:r>
      <w:proofErr w:type="spellStart"/>
      <w:r w:rsidRPr="004E76B7">
        <w:t>QoL</w:t>
      </w:r>
      <w:proofErr w:type="spellEnd"/>
      <w:r w:rsidRPr="004E76B7">
        <w:t xml:space="preserve"> data were not provided.</w:t>
      </w:r>
    </w:p>
    <w:p w:rsidR="00697472" w:rsidRPr="004E76B7" w:rsidRDefault="00697472" w:rsidP="00EF1D65">
      <w:pPr>
        <w:pStyle w:val="ListParagraph"/>
        <w:widowControl/>
        <w:numPr>
          <w:ilvl w:val="1"/>
          <w:numId w:val="2"/>
        </w:numPr>
      </w:pPr>
      <w:r w:rsidRPr="004E76B7">
        <w:t xml:space="preserve">The </w:t>
      </w:r>
      <w:r w:rsidR="006459AC">
        <w:t xml:space="preserve">PBAC noted </w:t>
      </w:r>
      <w:r w:rsidRPr="004E76B7">
        <w:t xml:space="preserve">that there was a slight decrement in </w:t>
      </w:r>
      <w:proofErr w:type="spellStart"/>
      <w:r w:rsidR="00841328" w:rsidRPr="004E76B7">
        <w:t>QoL</w:t>
      </w:r>
      <w:proofErr w:type="spellEnd"/>
      <w:r w:rsidR="00841328" w:rsidRPr="004E76B7">
        <w:t xml:space="preserve"> </w:t>
      </w:r>
      <w:r w:rsidRPr="004E76B7">
        <w:t>scores at Week 5 but scores stabilised towards Week 25</w:t>
      </w:r>
      <w:r w:rsidR="006459AC">
        <w:t xml:space="preserve"> and that t</w:t>
      </w:r>
      <w:r w:rsidRPr="004E76B7">
        <w:t xml:space="preserve">he low response rate in the NIVO+IPI arm compared to the </w:t>
      </w:r>
      <w:proofErr w:type="spellStart"/>
      <w:r w:rsidRPr="004E76B7">
        <w:t>nivolumab</w:t>
      </w:r>
      <w:proofErr w:type="spellEnd"/>
      <w:r w:rsidRPr="004E76B7">
        <w:t xml:space="preserve"> monotherapy arm over the first 19 weeks of the trial may be due to the high rate of Grade 3-4 and severe adverse events (AEs) associated with the combination phase of NIVO+IPI therapy</w:t>
      </w:r>
      <w:r w:rsidR="006459AC">
        <w:t>. As</w:t>
      </w:r>
      <w:r w:rsidRPr="004E76B7">
        <w:t xml:space="preserve"> patients experiencing these events </w:t>
      </w:r>
      <w:r w:rsidR="006459AC">
        <w:t>were</w:t>
      </w:r>
      <w:r w:rsidR="006459AC" w:rsidRPr="004E76B7">
        <w:t xml:space="preserve"> </w:t>
      </w:r>
      <w:r w:rsidRPr="004E76B7">
        <w:t>less likely to complete the assessments</w:t>
      </w:r>
      <w:r w:rsidR="006459AC">
        <w:t xml:space="preserve">, </w:t>
      </w:r>
      <w:r w:rsidRPr="004E76B7">
        <w:t xml:space="preserve">there </w:t>
      </w:r>
      <w:r w:rsidR="006459AC">
        <w:t>wa</w:t>
      </w:r>
      <w:r w:rsidR="006459AC" w:rsidRPr="004E76B7">
        <w:t xml:space="preserve">s </w:t>
      </w:r>
      <w:r w:rsidRPr="004E76B7">
        <w:t>considerable potential for attrition bias over this period.</w:t>
      </w:r>
    </w:p>
    <w:p w:rsidR="00697472" w:rsidRPr="004E76B7" w:rsidRDefault="00697472" w:rsidP="00EF1D65">
      <w:pPr>
        <w:pStyle w:val="ListParagraph"/>
        <w:widowControl/>
        <w:numPr>
          <w:ilvl w:val="1"/>
          <w:numId w:val="2"/>
        </w:numPr>
      </w:pPr>
      <w:r w:rsidRPr="004E76B7">
        <w:t>The TGA clinical evaluator noted that the final CSR for CA209067 stated that, in the NIVO+IPI group, clinically meaningful deterioration (i.e. mean change in score from baseline ≥10 points</w:t>
      </w:r>
      <w:r w:rsidRPr="00942094">
        <w:t xml:space="preserve">) was observed in EORTC-QLQ-C30 role functioning (Weeks 7, 17, 91 and 115), fatigue (Weeks 7 and 103) and appetite loss (Week 7) (TGA Clinical </w:t>
      </w:r>
      <w:r w:rsidRPr="00942094">
        <w:lastRenderedPageBreak/>
        <w:t>evaluation report, Attachment 9a to the resubmission). The TGA evaluator stated that, while only limited updated quality of life data were presented in the updated CSR, there appeared to be a sustained, longer term loss of quality of life with the combination, noting that a substantial decline in role functioning was still evident after 151 weeks in the NIVO+IPI arm (TGA Clinical evaluation report, Attachment 9a to the</w:t>
      </w:r>
      <w:r w:rsidRPr="004E76B7">
        <w:t xml:space="preserve"> resubmission). These details were </w:t>
      </w:r>
      <w:r w:rsidR="00D650FC">
        <w:t>considered by the PBAC</w:t>
      </w:r>
      <w:r w:rsidRPr="004E76B7">
        <w:t>.</w:t>
      </w:r>
    </w:p>
    <w:p w:rsidR="00697472" w:rsidRPr="004E76B7" w:rsidRDefault="00697472" w:rsidP="00EF1D65">
      <w:pPr>
        <w:pStyle w:val="ListParagraph"/>
        <w:widowControl/>
        <w:numPr>
          <w:ilvl w:val="1"/>
          <w:numId w:val="2"/>
        </w:numPr>
      </w:pPr>
      <w:r w:rsidRPr="004E76B7">
        <w:t>The effectiveness results from Long 2018 are summarised below.</w:t>
      </w:r>
    </w:p>
    <w:p w:rsidR="00697472" w:rsidRDefault="00697472" w:rsidP="0081150C">
      <w:pPr>
        <w:pStyle w:val="Caption"/>
        <w:keepNext/>
      </w:pPr>
      <w:r>
        <w:t xml:space="preserve">Table </w:t>
      </w:r>
      <w:r w:rsidR="00622B9E">
        <w:rPr>
          <w:noProof/>
        </w:rPr>
        <w:t>7</w:t>
      </w:r>
      <w:r>
        <w:t>: Summary of outcomes in Long 2018</w:t>
      </w:r>
    </w:p>
    <w:tbl>
      <w:tblPr>
        <w:tblStyle w:val="TableGrid"/>
        <w:tblW w:w="4942" w:type="pct"/>
        <w:tblInd w:w="108" w:type="dxa"/>
        <w:tblLook w:val="04A0" w:firstRow="1" w:lastRow="0" w:firstColumn="1" w:lastColumn="0" w:noHBand="0" w:noVBand="1"/>
        <w:tblCaption w:val="Table 7: Summary of outcomes in Long 2018"/>
      </w:tblPr>
      <w:tblGrid>
        <w:gridCol w:w="2588"/>
        <w:gridCol w:w="2184"/>
        <w:gridCol w:w="2184"/>
        <w:gridCol w:w="2180"/>
      </w:tblGrid>
      <w:tr w:rsidR="00285849" w:rsidRPr="00C85BA4" w:rsidTr="009716C6">
        <w:trPr>
          <w:tblHeader/>
        </w:trPr>
        <w:tc>
          <w:tcPr>
            <w:tcW w:w="1417" w:type="pct"/>
            <w:vMerge w:val="restart"/>
          </w:tcPr>
          <w:p w:rsidR="00285849" w:rsidRPr="00C85BA4" w:rsidRDefault="00285849" w:rsidP="0081150C">
            <w:pPr>
              <w:pStyle w:val="Tabletext"/>
              <w:keepNext/>
              <w:rPr>
                <w:b/>
              </w:rPr>
            </w:pPr>
          </w:p>
        </w:tc>
        <w:tc>
          <w:tcPr>
            <w:tcW w:w="1195" w:type="pct"/>
          </w:tcPr>
          <w:p w:rsidR="00285849" w:rsidRPr="00C85BA4" w:rsidRDefault="00285849" w:rsidP="0081150C">
            <w:pPr>
              <w:pStyle w:val="Tabletext"/>
              <w:keepNext/>
              <w:jc w:val="center"/>
              <w:rPr>
                <w:b/>
              </w:rPr>
            </w:pPr>
            <w:r>
              <w:rPr>
                <w:b/>
              </w:rPr>
              <w:t>NIVO+IPI</w:t>
            </w:r>
          </w:p>
        </w:tc>
        <w:tc>
          <w:tcPr>
            <w:tcW w:w="2389" w:type="pct"/>
            <w:gridSpan w:val="2"/>
          </w:tcPr>
          <w:p w:rsidR="00285849" w:rsidRPr="00C85BA4" w:rsidRDefault="00285849" w:rsidP="0081150C">
            <w:pPr>
              <w:pStyle w:val="Tabletext"/>
              <w:keepNext/>
              <w:jc w:val="center"/>
              <w:rPr>
                <w:b/>
              </w:rPr>
            </w:pPr>
            <w:proofErr w:type="spellStart"/>
            <w:r>
              <w:rPr>
                <w:b/>
              </w:rPr>
              <w:t>Nivolumab</w:t>
            </w:r>
            <w:proofErr w:type="spellEnd"/>
            <w:r>
              <w:rPr>
                <w:b/>
              </w:rPr>
              <w:t xml:space="preserve"> monotherapy</w:t>
            </w:r>
          </w:p>
        </w:tc>
      </w:tr>
      <w:tr w:rsidR="00285849" w:rsidRPr="00C85BA4" w:rsidTr="009716C6">
        <w:trPr>
          <w:tblHeader/>
        </w:trPr>
        <w:tc>
          <w:tcPr>
            <w:tcW w:w="1417" w:type="pct"/>
            <w:vMerge/>
          </w:tcPr>
          <w:p w:rsidR="00285849" w:rsidRPr="00C85BA4" w:rsidRDefault="00285849" w:rsidP="0081150C">
            <w:pPr>
              <w:pStyle w:val="Tabletext"/>
              <w:keepNext/>
              <w:rPr>
                <w:b/>
              </w:rPr>
            </w:pPr>
          </w:p>
        </w:tc>
        <w:tc>
          <w:tcPr>
            <w:tcW w:w="1195" w:type="pct"/>
          </w:tcPr>
          <w:p w:rsidR="00285849" w:rsidRPr="00C85BA4" w:rsidRDefault="00285849" w:rsidP="0081150C">
            <w:pPr>
              <w:pStyle w:val="Tabletext"/>
              <w:keepNext/>
              <w:jc w:val="center"/>
              <w:rPr>
                <w:b/>
                <w:vertAlign w:val="superscript"/>
              </w:rPr>
            </w:pPr>
            <w:r>
              <w:rPr>
                <w:b/>
              </w:rPr>
              <w:t>Cohort A</w:t>
            </w:r>
            <w:r>
              <w:rPr>
                <w:b/>
                <w:vertAlign w:val="superscript"/>
              </w:rPr>
              <w:t>a</w:t>
            </w:r>
          </w:p>
          <w:p w:rsidR="00285849" w:rsidRPr="00C85BA4" w:rsidRDefault="00285849" w:rsidP="0081150C">
            <w:pPr>
              <w:pStyle w:val="Tabletext"/>
              <w:keepNext/>
              <w:jc w:val="center"/>
              <w:rPr>
                <w:b/>
              </w:rPr>
            </w:pPr>
            <w:r>
              <w:rPr>
                <w:b/>
              </w:rPr>
              <w:t>N</w:t>
            </w:r>
            <w:r w:rsidR="00157C80">
              <w:rPr>
                <w:b/>
              </w:rPr>
              <w:t xml:space="preserve"> </w:t>
            </w:r>
            <w:r>
              <w:rPr>
                <w:b/>
              </w:rPr>
              <w:t>=</w:t>
            </w:r>
            <w:r w:rsidR="00157C80">
              <w:rPr>
                <w:b/>
              </w:rPr>
              <w:t xml:space="preserve"> </w:t>
            </w:r>
            <w:r>
              <w:rPr>
                <w:b/>
              </w:rPr>
              <w:t>35</w:t>
            </w:r>
          </w:p>
        </w:tc>
        <w:tc>
          <w:tcPr>
            <w:tcW w:w="1195" w:type="pct"/>
          </w:tcPr>
          <w:p w:rsidR="00285849" w:rsidRPr="00C85BA4" w:rsidRDefault="00285849" w:rsidP="0081150C">
            <w:pPr>
              <w:pStyle w:val="Tabletext"/>
              <w:keepNext/>
              <w:jc w:val="center"/>
              <w:rPr>
                <w:b/>
                <w:vertAlign w:val="superscript"/>
              </w:rPr>
            </w:pPr>
            <w:r>
              <w:rPr>
                <w:b/>
              </w:rPr>
              <w:t>Cohort B</w:t>
            </w:r>
            <w:r>
              <w:rPr>
                <w:b/>
                <w:vertAlign w:val="superscript"/>
              </w:rPr>
              <w:t>a</w:t>
            </w:r>
          </w:p>
          <w:p w:rsidR="00285849" w:rsidRPr="00C85BA4" w:rsidRDefault="00285849" w:rsidP="0081150C">
            <w:pPr>
              <w:pStyle w:val="Tabletext"/>
              <w:keepNext/>
              <w:jc w:val="center"/>
              <w:rPr>
                <w:b/>
              </w:rPr>
            </w:pPr>
            <w:r>
              <w:rPr>
                <w:b/>
              </w:rPr>
              <w:t>N</w:t>
            </w:r>
            <w:r w:rsidR="00157C80">
              <w:rPr>
                <w:b/>
              </w:rPr>
              <w:t xml:space="preserve"> </w:t>
            </w:r>
            <w:r>
              <w:rPr>
                <w:b/>
              </w:rPr>
              <w:t>=</w:t>
            </w:r>
            <w:r w:rsidR="00157C80">
              <w:rPr>
                <w:b/>
              </w:rPr>
              <w:t xml:space="preserve"> </w:t>
            </w:r>
            <w:r>
              <w:rPr>
                <w:b/>
              </w:rPr>
              <w:t>25</w:t>
            </w:r>
          </w:p>
        </w:tc>
        <w:tc>
          <w:tcPr>
            <w:tcW w:w="1194" w:type="pct"/>
          </w:tcPr>
          <w:p w:rsidR="00285849" w:rsidRPr="00C85BA4" w:rsidRDefault="00285849" w:rsidP="0081150C">
            <w:pPr>
              <w:pStyle w:val="Tabletext"/>
              <w:keepNext/>
              <w:jc w:val="center"/>
              <w:rPr>
                <w:b/>
                <w:vertAlign w:val="superscript"/>
              </w:rPr>
            </w:pPr>
            <w:r>
              <w:rPr>
                <w:b/>
              </w:rPr>
              <w:t xml:space="preserve">Cohort </w:t>
            </w:r>
            <w:proofErr w:type="spellStart"/>
            <w:r>
              <w:rPr>
                <w:b/>
              </w:rPr>
              <w:t>C</w:t>
            </w:r>
            <w:r>
              <w:rPr>
                <w:b/>
                <w:vertAlign w:val="superscript"/>
              </w:rPr>
              <w:t>b</w:t>
            </w:r>
            <w:proofErr w:type="spellEnd"/>
          </w:p>
          <w:p w:rsidR="00285849" w:rsidRPr="00C85BA4" w:rsidRDefault="00285849" w:rsidP="0081150C">
            <w:pPr>
              <w:pStyle w:val="Tabletext"/>
              <w:keepNext/>
              <w:jc w:val="center"/>
              <w:rPr>
                <w:b/>
              </w:rPr>
            </w:pPr>
            <w:r>
              <w:rPr>
                <w:b/>
              </w:rPr>
              <w:t>N</w:t>
            </w:r>
            <w:r w:rsidR="00157C80">
              <w:rPr>
                <w:b/>
              </w:rPr>
              <w:t xml:space="preserve"> </w:t>
            </w:r>
            <w:r>
              <w:rPr>
                <w:b/>
              </w:rPr>
              <w:t>=</w:t>
            </w:r>
            <w:r w:rsidR="00157C80">
              <w:rPr>
                <w:b/>
              </w:rPr>
              <w:t xml:space="preserve"> </w:t>
            </w:r>
            <w:r>
              <w:rPr>
                <w:b/>
              </w:rPr>
              <w:t>16</w:t>
            </w:r>
          </w:p>
        </w:tc>
      </w:tr>
      <w:tr w:rsidR="00697472" w:rsidTr="0081150C">
        <w:tc>
          <w:tcPr>
            <w:tcW w:w="5000" w:type="pct"/>
            <w:gridSpan w:val="4"/>
          </w:tcPr>
          <w:p w:rsidR="00697472" w:rsidRDefault="00697472" w:rsidP="0081150C">
            <w:pPr>
              <w:pStyle w:val="Tabletext"/>
              <w:keepNext/>
            </w:pPr>
            <w:r>
              <w:rPr>
                <w:b/>
              </w:rPr>
              <w:t>Intr</w:t>
            </w:r>
            <w:r w:rsidRPr="007B66E6">
              <w:rPr>
                <w:b/>
              </w:rPr>
              <w:t xml:space="preserve">acranial </w:t>
            </w:r>
            <w:r>
              <w:rPr>
                <w:b/>
              </w:rPr>
              <w:t>response</w:t>
            </w:r>
          </w:p>
        </w:tc>
      </w:tr>
      <w:tr w:rsidR="00697472" w:rsidTr="0081150C">
        <w:tc>
          <w:tcPr>
            <w:tcW w:w="1417" w:type="pct"/>
          </w:tcPr>
          <w:p w:rsidR="00697472" w:rsidRDefault="00697472" w:rsidP="0081150C">
            <w:pPr>
              <w:pStyle w:val="Tabletext"/>
              <w:keepNext/>
            </w:pPr>
            <w:r>
              <w:t xml:space="preserve">Objective response </w:t>
            </w:r>
            <w:proofErr w:type="spellStart"/>
            <w:r>
              <w:t>rate</w:t>
            </w:r>
            <w:r>
              <w:rPr>
                <w:vertAlign w:val="superscript"/>
              </w:rPr>
              <w:t>c</w:t>
            </w:r>
            <w:proofErr w:type="spellEnd"/>
            <w:r>
              <w:t>, n (%)</w:t>
            </w:r>
          </w:p>
        </w:tc>
        <w:tc>
          <w:tcPr>
            <w:tcW w:w="1195" w:type="pct"/>
          </w:tcPr>
          <w:p w:rsidR="00697472" w:rsidRDefault="00697472" w:rsidP="0081150C">
            <w:pPr>
              <w:pStyle w:val="Tabletext"/>
              <w:keepNext/>
              <w:jc w:val="center"/>
            </w:pPr>
            <w:r>
              <w:t>16 (46%)</w:t>
            </w:r>
          </w:p>
        </w:tc>
        <w:tc>
          <w:tcPr>
            <w:tcW w:w="1195" w:type="pct"/>
          </w:tcPr>
          <w:p w:rsidR="00697472" w:rsidRDefault="00697472" w:rsidP="0081150C">
            <w:pPr>
              <w:pStyle w:val="Tabletext"/>
              <w:keepNext/>
              <w:jc w:val="center"/>
            </w:pPr>
            <w:r>
              <w:t>5 (20%)</w:t>
            </w:r>
          </w:p>
        </w:tc>
        <w:tc>
          <w:tcPr>
            <w:tcW w:w="1194" w:type="pct"/>
          </w:tcPr>
          <w:p w:rsidR="00697472" w:rsidRDefault="00697472" w:rsidP="0081150C">
            <w:pPr>
              <w:pStyle w:val="Tabletext"/>
              <w:keepNext/>
              <w:jc w:val="center"/>
            </w:pPr>
            <w:r>
              <w:t>1 (6%)</w:t>
            </w:r>
          </w:p>
        </w:tc>
      </w:tr>
      <w:tr w:rsidR="00697472" w:rsidRPr="007B66E6" w:rsidTr="0081150C">
        <w:tc>
          <w:tcPr>
            <w:tcW w:w="5000" w:type="pct"/>
            <w:gridSpan w:val="4"/>
          </w:tcPr>
          <w:p w:rsidR="00697472" w:rsidRPr="007B66E6" w:rsidRDefault="00697472" w:rsidP="0081150C">
            <w:pPr>
              <w:pStyle w:val="Tabletext"/>
              <w:keepNext/>
              <w:rPr>
                <w:b/>
              </w:rPr>
            </w:pPr>
            <w:r w:rsidRPr="007B66E6">
              <w:rPr>
                <w:b/>
              </w:rPr>
              <w:t>Intracranial PFS</w:t>
            </w:r>
          </w:p>
        </w:tc>
      </w:tr>
      <w:tr w:rsidR="00697472" w:rsidTr="0081150C">
        <w:tc>
          <w:tcPr>
            <w:tcW w:w="1417" w:type="pct"/>
          </w:tcPr>
          <w:p w:rsidR="00697472" w:rsidRDefault="00697472" w:rsidP="0081150C">
            <w:pPr>
              <w:pStyle w:val="Tabletext"/>
              <w:keepNext/>
            </w:pPr>
            <w:r>
              <w:t>Median PFS, months (95% CI)</w:t>
            </w:r>
          </w:p>
        </w:tc>
        <w:tc>
          <w:tcPr>
            <w:tcW w:w="1195" w:type="pct"/>
          </w:tcPr>
          <w:p w:rsidR="00697472" w:rsidRDefault="00697472" w:rsidP="0081150C">
            <w:pPr>
              <w:pStyle w:val="Tabletext"/>
              <w:keepNext/>
              <w:jc w:val="center"/>
            </w:pPr>
            <w:r>
              <w:t>NA (2.9, NA)</w:t>
            </w:r>
          </w:p>
        </w:tc>
        <w:tc>
          <w:tcPr>
            <w:tcW w:w="1195" w:type="pct"/>
          </w:tcPr>
          <w:p w:rsidR="00697472" w:rsidRDefault="00697472" w:rsidP="0081150C">
            <w:pPr>
              <w:pStyle w:val="Tabletext"/>
              <w:keepNext/>
              <w:jc w:val="center"/>
            </w:pPr>
            <w:r>
              <w:t>2.5 (1.7, 2.8)</w:t>
            </w:r>
          </w:p>
        </w:tc>
        <w:tc>
          <w:tcPr>
            <w:tcW w:w="1194" w:type="pct"/>
          </w:tcPr>
          <w:p w:rsidR="00697472" w:rsidRDefault="00697472" w:rsidP="0081150C">
            <w:pPr>
              <w:pStyle w:val="Tabletext"/>
              <w:keepNext/>
              <w:jc w:val="center"/>
            </w:pPr>
            <w:r>
              <w:t>2.3 (1.4, 4.3)</w:t>
            </w:r>
          </w:p>
        </w:tc>
      </w:tr>
      <w:tr w:rsidR="00697472" w:rsidTr="0081150C">
        <w:tc>
          <w:tcPr>
            <w:tcW w:w="1417" w:type="pct"/>
          </w:tcPr>
          <w:p w:rsidR="00697472" w:rsidRDefault="00697472" w:rsidP="0081150C">
            <w:pPr>
              <w:pStyle w:val="Tabletext"/>
              <w:keepNext/>
            </w:pPr>
            <w:r>
              <w:t>PFS rate 6 months (95% CI)</w:t>
            </w:r>
            <w:r>
              <w:rPr>
                <w:vertAlign w:val="superscript"/>
              </w:rPr>
              <w:t>d</w:t>
            </w:r>
          </w:p>
        </w:tc>
        <w:tc>
          <w:tcPr>
            <w:tcW w:w="1195" w:type="pct"/>
          </w:tcPr>
          <w:p w:rsidR="00697472" w:rsidRDefault="00697472" w:rsidP="0081150C">
            <w:pPr>
              <w:pStyle w:val="Tabletext"/>
              <w:keepNext/>
              <w:jc w:val="center"/>
            </w:pPr>
            <w:r>
              <w:t>53% (38%, 73%)</w:t>
            </w:r>
          </w:p>
        </w:tc>
        <w:tc>
          <w:tcPr>
            <w:tcW w:w="1195" w:type="pct"/>
          </w:tcPr>
          <w:p w:rsidR="00697472" w:rsidRDefault="00697472" w:rsidP="0081150C">
            <w:pPr>
              <w:pStyle w:val="Tabletext"/>
              <w:keepNext/>
              <w:jc w:val="center"/>
            </w:pPr>
            <w:r>
              <w:t>20% (9%, 44%)</w:t>
            </w:r>
          </w:p>
        </w:tc>
        <w:tc>
          <w:tcPr>
            <w:tcW w:w="1194" w:type="pct"/>
          </w:tcPr>
          <w:p w:rsidR="00697472" w:rsidRDefault="00697472" w:rsidP="0081150C">
            <w:pPr>
              <w:pStyle w:val="Tabletext"/>
              <w:keepNext/>
              <w:jc w:val="center"/>
            </w:pPr>
            <w:r>
              <w:t>13% (3%, 46%)</w:t>
            </w:r>
          </w:p>
        </w:tc>
      </w:tr>
      <w:tr w:rsidR="00697472" w:rsidTr="0081150C">
        <w:tc>
          <w:tcPr>
            <w:tcW w:w="5000" w:type="pct"/>
            <w:gridSpan w:val="4"/>
          </w:tcPr>
          <w:p w:rsidR="00697472" w:rsidRDefault="00697472" w:rsidP="0081150C">
            <w:pPr>
              <w:pStyle w:val="Tabletext"/>
              <w:keepNext/>
            </w:pPr>
            <w:r>
              <w:rPr>
                <w:b/>
              </w:rPr>
              <w:t>Ex</w:t>
            </w:r>
            <w:r w:rsidRPr="007B66E6">
              <w:rPr>
                <w:b/>
              </w:rPr>
              <w:t>tracranial PFS</w:t>
            </w:r>
          </w:p>
        </w:tc>
      </w:tr>
      <w:tr w:rsidR="00697472" w:rsidTr="0081150C">
        <w:tc>
          <w:tcPr>
            <w:tcW w:w="1417" w:type="pct"/>
          </w:tcPr>
          <w:p w:rsidR="00697472" w:rsidRDefault="00697472" w:rsidP="0081150C">
            <w:pPr>
              <w:pStyle w:val="Tabletext"/>
              <w:keepNext/>
            </w:pPr>
            <w:r>
              <w:t>Median PFS, months (95% CI)</w:t>
            </w:r>
          </w:p>
        </w:tc>
        <w:tc>
          <w:tcPr>
            <w:tcW w:w="1195" w:type="pct"/>
          </w:tcPr>
          <w:p w:rsidR="00697472" w:rsidRDefault="00697472" w:rsidP="0081150C">
            <w:pPr>
              <w:pStyle w:val="Tabletext"/>
              <w:keepNext/>
              <w:jc w:val="center"/>
            </w:pPr>
            <w:r>
              <w:t>13.8 (4.9, NA)</w:t>
            </w:r>
          </w:p>
        </w:tc>
        <w:tc>
          <w:tcPr>
            <w:tcW w:w="1195" w:type="pct"/>
          </w:tcPr>
          <w:p w:rsidR="00697472" w:rsidRDefault="00697472" w:rsidP="0081150C">
            <w:pPr>
              <w:pStyle w:val="Tabletext"/>
              <w:keepNext/>
              <w:jc w:val="center"/>
            </w:pPr>
            <w:r>
              <w:t>2.6 (1.8, 13.8)</w:t>
            </w:r>
          </w:p>
        </w:tc>
        <w:tc>
          <w:tcPr>
            <w:tcW w:w="1194" w:type="pct"/>
          </w:tcPr>
          <w:p w:rsidR="00697472" w:rsidRDefault="00697472" w:rsidP="0081150C">
            <w:pPr>
              <w:pStyle w:val="Tabletext"/>
              <w:keepNext/>
              <w:jc w:val="center"/>
            </w:pPr>
            <w:r>
              <w:t>2.6 (2.1, 13.6)</w:t>
            </w:r>
          </w:p>
        </w:tc>
      </w:tr>
      <w:tr w:rsidR="00697472" w:rsidTr="0081150C">
        <w:tc>
          <w:tcPr>
            <w:tcW w:w="1417" w:type="pct"/>
          </w:tcPr>
          <w:p w:rsidR="00697472" w:rsidRDefault="00697472" w:rsidP="0081150C">
            <w:pPr>
              <w:pStyle w:val="Tabletext"/>
              <w:keepNext/>
            </w:pPr>
            <w:r>
              <w:t>PFS rate 6 months (95% CI)</w:t>
            </w:r>
            <w:r>
              <w:rPr>
                <w:vertAlign w:val="superscript"/>
              </w:rPr>
              <w:t>d</w:t>
            </w:r>
          </w:p>
        </w:tc>
        <w:tc>
          <w:tcPr>
            <w:tcW w:w="1195" w:type="pct"/>
          </w:tcPr>
          <w:p w:rsidR="00697472" w:rsidRDefault="00697472" w:rsidP="0081150C">
            <w:pPr>
              <w:pStyle w:val="Tabletext"/>
              <w:keepNext/>
              <w:jc w:val="center"/>
            </w:pPr>
            <w:r>
              <w:t>51% (35%, 76%)</w:t>
            </w:r>
          </w:p>
        </w:tc>
        <w:tc>
          <w:tcPr>
            <w:tcW w:w="1195" w:type="pct"/>
          </w:tcPr>
          <w:p w:rsidR="00697472" w:rsidRDefault="00697472" w:rsidP="0081150C">
            <w:pPr>
              <w:pStyle w:val="Tabletext"/>
              <w:keepNext/>
              <w:jc w:val="center"/>
            </w:pPr>
            <w:r>
              <w:t>35% (19%, 64%)</w:t>
            </w:r>
          </w:p>
        </w:tc>
        <w:tc>
          <w:tcPr>
            <w:tcW w:w="1194" w:type="pct"/>
          </w:tcPr>
          <w:p w:rsidR="00697472" w:rsidRDefault="00697472" w:rsidP="0081150C">
            <w:pPr>
              <w:pStyle w:val="Tabletext"/>
              <w:keepNext/>
              <w:jc w:val="center"/>
            </w:pPr>
            <w:r>
              <w:t>19% (5%, 65%)</w:t>
            </w:r>
          </w:p>
        </w:tc>
      </w:tr>
      <w:tr w:rsidR="00697472" w:rsidTr="0081150C">
        <w:tc>
          <w:tcPr>
            <w:tcW w:w="5000" w:type="pct"/>
            <w:gridSpan w:val="4"/>
          </w:tcPr>
          <w:p w:rsidR="00697472" w:rsidRDefault="00697472" w:rsidP="0081150C">
            <w:pPr>
              <w:pStyle w:val="Tabletext"/>
              <w:keepNext/>
            </w:pPr>
            <w:r>
              <w:rPr>
                <w:b/>
              </w:rPr>
              <w:t>Overall survival</w:t>
            </w:r>
          </w:p>
        </w:tc>
      </w:tr>
      <w:tr w:rsidR="00697472" w:rsidTr="0081150C">
        <w:tc>
          <w:tcPr>
            <w:tcW w:w="1417" w:type="pct"/>
          </w:tcPr>
          <w:p w:rsidR="00697472" w:rsidRDefault="00697472" w:rsidP="0081150C">
            <w:pPr>
              <w:pStyle w:val="Tabletext"/>
              <w:keepNext/>
            </w:pPr>
            <w:r>
              <w:t>Median OS, months (95% CI)</w:t>
            </w:r>
          </w:p>
        </w:tc>
        <w:tc>
          <w:tcPr>
            <w:tcW w:w="1195" w:type="pct"/>
          </w:tcPr>
          <w:p w:rsidR="00697472" w:rsidRDefault="00697472" w:rsidP="0081150C">
            <w:pPr>
              <w:pStyle w:val="Tabletext"/>
              <w:keepNext/>
              <w:jc w:val="center"/>
            </w:pPr>
            <w:r>
              <w:t>NA (8.5, NA)</w:t>
            </w:r>
          </w:p>
        </w:tc>
        <w:tc>
          <w:tcPr>
            <w:tcW w:w="1195" w:type="pct"/>
          </w:tcPr>
          <w:p w:rsidR="00697472" w:rsidRDefault="00697472" w:rsidP="0081150C">
            <w:pPr>
              <w:pStyle w:val="Tabletext"/>
              <w:keepNext/>
              <w:jc w:val="center"/>
            </w:pPr>
            <w:r>
              <w:t>18.5 (6.9, NA)</w:t>
            </w:r>
          </w:p>
        </w:tc>
        <w:tc>
          <w:tcPr>
            <w:tcW w:w="1194" w:type="pct"/>
          </w:tcPr>
          <w:p w:rsidR="00697472" w:rsidRDefault="00697472" w:rsidP="0081150C">
            <w:pPr>
              <w:pStyle w:val="Tabletext"/>
              <w:keepNext/>
              <w:jc w:val="center"/>
            </w:pPr>
            <w:r>
              <w:t>5.1 (1.8, NA)</w:t>
            </w:r>
          </w:p>
        </w:tc>
      </w:tr>
      <w:tr w:rsidR="00697472" w:rsidTr="0081150C">
        <w:tc>
          <w:tcPr>
            <w:tcW w:w="1417" w:type="pct"/>
          </w:tcPr>
          <w:p w:rsidR="00697472" w:rsidRPr="007B66E6" w:rsidRDefault="00697472" w:rsidP="0081150C">
            <w:pPr>
              <w:pStyle w:val="Tabletext"/>
              <w:keepNext/>
              <w:rPr>
                <w:vertAlign w:val="superscript"/>
              </w:rPr>
            </w:pPr>
            <w:r>
              <w:t>OS rate 6 months (95% CI)</w:t>
            </w:r>
            <w:r>
              <w:rPr>
                <w:vertAlign w:val="superscript"/>
              </w:rPr>
              <w:t>d</w:t>
            </w:r>
          </w:p>
        </w:tc>
        <w:tc>
          <w:tcPr>
            <w:tcW w:w="1195" w:type="pct"/>
          </w:tcPr>
          <w:p w:rsidR="00697472" w:rsidRDefault="00697472" w:rsidP="0081150C">
            <w:pPr>
              <w:pStyle w:val="Tabletext"/>
              <w:keepNext/>
              <w:jc w:val="center"/>
            </w:pPr>
            <w:r>
              <w:t>78% (65%, 94%)</w:t>
            </w:r>
          </w:p>
        </w:tc>
        <w:tc>
          <w:tcPr>
            <w:tcW w:w="1195" w:type="pct"/>
          </w:tcPr>
          <w:p w:rsidR="00697472" w:rsidRDefault="00697472" w:rsidP="0081150C">
            <w:pPr>
              <w:pStyle w:val="Tabletext"/>
              <w:keepNext/>
              <w:jc w:val="center"/>
            </w:pPr>
            <w:r>
              <w:t>68% (52%, 89%)</w:t>
            </w:r>
          </w:p>
        </w:tc>
        <w:tc>
          <w:tcPr>
            <w:tcW w:w="1194" w:type="pct"/>
          </w:tcPr>
          <w:p w:rsidR="00697472" w:rsidRDefault="00697472" w:rsidP="0081150C">
            <w:pPr>
              <w:pStyle w:val="Tabletext"/>
              <w:keepNext/>
              <w:jc w:val="center"/>
            </w:pPr>
            <w:r>
              <w:t>44% (25%, 76%)</w:t>
            </w:r>
          </w:p>
        </w:tc>
      </w:tr>
    </w:tbl>
    <w:p w:rsidR="00697472" w:rsidRDefault="00697472" w:rsidP="00697472">
      <w:pPr>
        <w:pStyle w:val="TableFooter"/>
      </w:pPr>
      <w:r>
        <w:t>CI = confidence interval;</w:t>
      </w:r>
      <w:r w:rsidR="00285849">
        <w:t xml:space="preserve"> IPI = </w:t>
      </w:r>
      <w:proofErr w:type="spellStart"/>
      <w:r w:rsidR="00285849">
        <w:t>ipilimumab</w:t>
      </w:r>
      <w:proofErr w:type="spellEnd"/>
      <w:r w:rsidR="00285849">
        <w:t>;</w:t>
      </w:r>
      <w:r>
        <w:t xml:space="preserve"> NA = not assessable; </w:t>
      </w:r>
      <w:r w:rsidR="00285849">
        <w:t xml:space="preserve">NIVO = </w:t>
      </w:r>
      <w:proofErr w:type="spellStart"/>
      <w:r w:rsidR="00285849">
        <w:t>nivolumab</w:t>
      </w:r>
      <w:proofErr w:type="spellEnd"/>
      <w:r w:rsidR="00285849">
        <w:t xml:space="preserve">; </w:t>
      </w:r>
      <w:r>
        <w:t>OS = overall survival; PFS = progression free survival</w:t>
      </w:r>
    </w:p>
    <w:p w:rsidR="00697472" w:rsidRDefault="00697472" w:rsidP="00697472">
      <w:pPr>
        <w:pStyle w:val="TableFooter"/>
      </w:pPr>
      <w:proofErr w:type="gramStart"/>
      <w:r>
        <w:rPr>
          <w:vertAlign w:val="superscript"/>
        </w:rPr>
        <w:t>a</w:t>
      </w:r>
      <w:proofErr w:type="gramEnd"/>
      <w:r>
        <w:t xml:space="preserve"> Patients with asymptomatic untreated melanoma brain metastases</w:t>
      </w:r>
    </w:p>
    <w:p w:rsidR="00697472" w:rsidRDefault="00697472" w:rsidP="00697472">
      <w:pPr>
        <w:pStyle w:val="TableFooter"/>
      </w:pPr>
      <w:proofErr w:type="gramStart"/>
      <w:r>
        <w:rPr>
          <w:vertAlign w:val="superscript"/>
        </w:rPr>
        <w:t>b</w:t>
      </w:r>
      <w:proofErr w:type="gramEnd"/>
      <w:r>
        <w:rPr>
          <w:vertAlign w:val="superscript"/>
        </w:rPr>
        <w:t xml:space="preserve"> </w:t>
      </w:r>
      <w:r>
        <w:t>Patients symptomatic or treated brain metastases or leptomeningeal disease. Not randomised.</w:t>
      </w:r>
    </w:p>
    <w:p w:rsidR="00697472" w:rsidRDefault="00697472" w:rsidP="00697472">
      <w:pPr>
        <w:pStyle w:val="TableFooter"/>
      </w:pPr>
      <w:proofErr w:type="gramStart"/>
      <w:r>
        <w:rPr>
          <w:vertAlign w:val="superscript"/>
        </w:rPr>
        <w:t>c</w:t>
      </w:r>
      <w:proofErr w:type="gramEnd"/>
      <w:r>
        <w:t xml:space="preserve"> Proportion of patients with a confirmed best intracranial response of complete or partial response at or after week 12.</w:t>
      </w:r>
    </w:p>
    <w:p w:rsidR="00697472" w:rsidRPr="007B66E6" w:rsidRDefault="00697472" w:rsidP="00697472">
      <w:pPr>
        <w:pStyle w:val="TableFooter"/>
      </w:pPr>
      <w:proofErr w:type="gramStart"/>
      <w:r>
        <w:rPr>
          <w:vertAlign w:val="superscript"/>
        </w:rPr>
        <w:t>d</w:t>
      </w:r>
      <w:proofErr w:type="gramEnd"/>
      <w:r>
        <w:rPr>
          <w:vertAlign w:val="superscript"/>
        </w:rPr>
        <w:t xml:space="preserve"> </w:t>
      </w:r>
      <w:r>
        <w:t>Estimated from Kaplan-Meier curve</w:t>
      </w:r>
    </w:p>
    <w:p w:rsidR="00697472" w:rsidRDefault="00697472" w:rsidP="00697472">
      <w:pPr>
        <w:pStyle w:val="TableFooter"/>
      </w:pPr>
      <w:r>
        <w:t xml:space="preserve">Source: </w:t>
      </w:r>
      <w:r w:rsidR="00B44EA5" w:rsidRPr="00942094">
        <w:t>Table 3, Attachment 10 to</w:t>
      </w:r>
      <w:r w:rsidR="00B44EA5">
        <w:t xml:space="preserve"> the resubmission; </w:t>
      </w:r>
      <w:r>
        <w:t>Table 2, p5 Long 2018.</w:t>
      </w:r>
    </w:p>
    <w:p w:rsidR="00697472" w:rsidRPr="004E76B7" w:rsidRDefault="00697472" w:rsidP="003235AE">
      <w:pPr>
        <w:pStyle w:val="ListParagraph"/>
        <w:widowControl/>
        <w:numPr>
          <w:ilvl w:val="1"/>
          <w:numId w:val="2"/>
        </w:numPr>
        <w:spacing w:before="120"/>
      </w:pPr>
      <w:r w:rsidRPr="004E76B7">
        <w:t xml:space="preserve">Of patients with asymptomatic, untreated melanoma brain metastases, a greater proportion of patients receiving NIVO+IPI achieved a best intracranial response of complete or partial response (46%), compared with those receiving </w:t>
      </w:r>
      <w:proofErr w:type="spellStart"/>
      <w:r w:rsidRPr="004E76B7">
        <w:t>nivolumab</w:t>
      </w:r>
      <w:proofErr w:type="spellEnd"/>
      <w:r w:rsidRPr="004E76B7">
        <w:t xml:space="preserve"> monotherapy (20%). These results should be interpreted with caution, given the low number of patients in the trial and the relatively high risk of bias due to deviation from the randomisation procedure and the open-label nature of the trial.</w:t>
      </w:r>
    </w:p>
    <w:p w:rsidR="00697472" w:rsidRPr="00AB44F5" w:rsidRDefault="00697472" w:rsidP="00AB44F5">
      <w:pPr>
        <w:pStyle w:val="Heading2"/>
        <w:keepNext/>
        <w:spacing w:before="120" w:after="120"/>
        <w:rPr>
          <w:rFonts w:asciiTheme="minorHAnsi" w:hAnsiTheme="minorHAnsi"/>
          <w:bCs/>
          <w:szCs w:val="28"/>
        </w:rPr>
      </w:pPr>
      <w:bookmarkStart w:id="9" w:name="_Toc514158493"/>
      <w:r w:rsidRPr="00AB44F5">
        <w:rPr>
          <w:rFonts w:asciiTheme="minorHAnsi" w:hAnsiTheme="minorHAnsi"/>
          <w:bCs/>
          <w:szCs w:val="28"/>
        </w:rPr>
        <w:t>Comparative harms</w:t>
      </w:r>
      <w:bookmarkEnd w:id="9"/>
    </w:p>
    <w:p w:rsidR="00697472" w:rsidRPr="004E76B7" w:rsidRDefault="00697472" w:rsidP="00EF1D65">
      <w:pPr>
        <w:pStyle w:val="ListParagraph"/>
        <w:widowControl/>
        <w:numPr>
          <w:ilvl w:val="1"/>
          <w:numId w:val="2"/>
        </w:numPr>
      </w:pPr>
      <w:r w:rsidRPr="004E76B7">
        <w:t>The table below summarises the updated data on the number of drug-related AEs leading to discontinuation of study treatment</w:t>
      </w:r>
      <w:r w:rsidR="00841328" w:rsidRPr="004E76B7">
        <w:t xml:space="preserve">, </w:t>
      </w:r>
      <w:r w:rsidRPr="004E76B7">
        <w:t>deaths due to study drug toxicity</w:t>
      </w:r>
      <w:r w:rsidR="00841328" w:rsidRPr="004E76B7">
        <w:t>, and drug-related AEs of interest</w:t>
      </w:r>
      <w:r w:rsidRPr="004E76B7">
        <w:t xml:space="preserve"> in CA209067.</w:t>
      </w:r>
    </w:p>
    <w:p w:rsidR="00697472" w:rsidRDefault="00697472" w:rsidP="0081150C">
      <w:pPr>
        <w:pStyle w:val="Caption"/>
        <w:keepNext/>
      </w:pPr>
      <w:r>
        <w:lastRenderedPageBreak/>
        <w:t xml:space="preserve">Table </w:t>
      </w:r>
      <w:r w:rsidR="00622B9E">
        <w:rPr>
          <w:noProof/>
        </w:rPr>
        <w:t>8</w:t>
      </w:r>
      <w:r>
        <w:t>: Summary of safety outcomes in CA209067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all comparisons – safety outcomes"/>
      </w:tblPr>
      <w:tblGrid>
        <w:gridCol w:w="3313"/>
        <w:gridCol w:w="1428"/>
        <w:gridCol w:w="1426"/>
        <w:gridCol w:w="1486"/>
        <w:gridCol w:w="1430"/>
      </w:tblGrid>
      <w:tr w:rsidR="00697472" w:rsidRPr="004273E7" w:rsidTr="00165EE5">
        <w:trPr>
          <w:trHeight w:val="350"/>
        </w:trPr>
        <w:tc>
          <w:tcPr>
            <w:tcW w:w="1824" w:type="pct"/>
            <w:vMerge w:val="restart"/>
            <w:tcBorders>
              <w:bottom w:val="nil"/>
            </w:tcBorders>
            <w:vAlign w:val="bottom"/>
          </w:tcPr>
          <w:p w:rsidR="00697472" w:rsidRPr="004273E7" w:rsidRDefault="00697472" w:rsidP="0081150C">
            <w:pPr>
              <w:pStyle w:val="Tabletext"/>
              <w:keepNext/>
              <w:rPr>
                <w:b/>
              </w:rPr>
            </w:pPr>
          </w:p>
        </w:tc>
        <w:tc>
          <w:tcPr>
            <w:tcW w:w="3176" w:type="pct"/>
            <w:gridSpan w:val="4"/>
            <w:vAlign w:val="center"/>
          </w:tcPr>
          <w:p w:rsidR="00697472" w:rsidRPr="004273E7" w:rsidRDefault="00697472" w:rsidP="0081150C">
            <w:pPr>
              <w:pStyle w:val="Tabletext"/>
              <w:keepNext/>
              <w:jc w:val="center"/>
              <w:rPr>
                <w:b/>
              </w:rPr>
            </w:pPr>
            <w:r>
              <w:rPr>
                <w:b/>
              </w:rPr>
              <w:t xml:space="preserve">CA209067 </w:t>
            </w:r>
          </w:p>
        </w:tc>
      </w:tr>
      <w:tr w:rsidR="00697472" w:rsidRPr="004273E7" w:rsidTr="00165EE5">
        <w:trPr>
          <w:trHeight w:val="20"/>
        </w:trPr>
        <w:tc>
          <w:tcPr>
            <w:tcW w:w="1824" w:type="pct"/>
            <w:vMerge/>
            <w:tcBorders>
              <w:bottom w:val="nil"/>
            </w:tcBorders>
            <w:vAlign w:val="center"/>
          </w:tcPr>
          <w:p w:rsidR="00697472" w:rsidRPr="004273E7" w:rsidRDefault="00697472" w:rsidP="0081150C">
            <w:pPr>
              <w:pStyle w:val="Tabletext"/>
              <w:keepNext/>
              <w:rPr>
                <w:b/>
              </w:rPr>
            </w:pPr>
          </w:p>
        </w:tc>
        <w:tc>
          <w:tcPr>
            <w:tcW w:w="1571" w:type="pct"/>
            <w:gridSpan w:val="2"/>
            <w:tcBorders>
              <w:bottom w:val="single" w:sz="4" w:space="0" w:color="auto"/>
            </w:tcBorders>
            <w:vAlign w:val="center"/>
          </w:tcPr>
          <w:p w:rsidR="00697472" w:rsidRPr="004273E7" w:rsidRDefault="00697472" w:rsidP="0081150C">
            <w:pPr>
              <w:pStyle w:val="Tabletext"/>
              <w:keepNext/>
              <w:jc w:val="center"/>
              <w:rPr>
                <w:b/>
              </w:rPr>
            </w:pPr>
            <w:r>
              <w:rPr>
                <w:b/>
              </w:rPr>
              <w:t xml:space="preserve">Minimum follow-up 9 </w:t>
            </w:r>
            <w:proofErr w:type="spellStart"/>
            <w:r>
              <w:rPr>
                <w:b/>
              </w:rPr>
              <w:t>months</w:t>
            </w:r>
            <w:r>
              <w:rPr>
                <w:b/>
                <w:vertAlign w:val="superscript"/>
              </w:rPr>
              <w:t>a</w:t>
            </w:r>
            <w:proofErr w:type="spellEnd"/>
          </w:p>
        </w:tc>
        <w:tc>
          <w:tcPr>
            <w:tcW w:w="1605" w:type="pct"/>
            <w:gridSpan w:val="2"/>
            <w:tcBorders>
              <w:bottom w:val="single" w:sz="4" w:space="0" w:color="auto"/>
            </w:tcBorders>
            <w:vAlign w:val="center"/>
          </w:tcPr>
          <w:p w:rsidR="00697472" w:rsidRPr="004273E7" w:rsidRDefault="00697472" w:rsidP="0081150C">
            <w:pPr>
              <w:pStyle w:val="Tabletext"/>
              <w:keepNext/>
              <w:jc w:val="center"/>
              <w:rPr>
                <w:b/>
              </w:rPr>
            </w:pPr>
            <w:r>
              <w:rPr>
                <w:b/>
              </w:rPr>
              <w:t>Minimum follow-up 36 months</w:t>
            </w:r>
          </w:p>
        </w:tc>
      </w:tr>
      <w:tr w:rsidR="00697472" w:rsidRPr="004273E7" w:rsidTr="00165EE5">
        <w:trPr>
          <w:trHeight w:val="350"/>
        </w:trPr>
        <w:tc>
          <w:tcPr>
            <w:tcW w:w="1824" w:type="pct"/>
            <w:tcBorders>
              <w:top w:val="nil"/>
              <w:bottom w:val="nil"/>
            </w:tcBorders>
            <w:vAlign w:val="center"/>
          </w:tcPr>
          <w:p w:rsidR="00697472" w:rsidRPr="004273E7" w:rsidRDefault="00697472" w:rsidP="0081150C">
            <w:pPr>
              <w:pStyle w:val="Tabletext"/>
              <w:keepNext/>
              <w:rPr>
                <w:b/>
              </w:rPr>
            </w:pPr>
          </w:p>
        </w:tc>
        <w:tc>
          <w:tcPr>
            <w:tcW w:w="786" w:type="pct"/>
            <w:tcBorders>
              <w:bottom w:val="nil"/>
            </w:tcBorders>
            <w:vAlign w:val="center"/>
          </w:tcPr>
          <w:p w:rsidR="00697472" w:rsidRPr="004273E7" w:rsidRDefault="00697472" w:rsidP="0081150C">
            <w:pPr>
              <w:pStyle w:val="Tabletext"/>
              <w:keepNext/>
              <w:jc w:val="center"/>
              <w:rPr>
                <w:b/>
              </w:rPr>
            </w:pPr>
            <w:r w:rsidRPr="004273E7">
              <w:rPr>
                <w:b/>
              </w:rPr>
              <w:t>NIVO+IPI</w:t>
            </w:r>
          </w:p>
        </w:tc>
        <w:tc>
          <w:tcPr>
            <w:tcW w:w="785" w:type="pct"/>
            <w:tcBorders>
              <w:bottom w:val="nil"/>
            </w:tcBorders>
            <w:vAlign w:val="center"/>
          </w:tcPr>
          <w:p w:rsidR="00697472" w:rsidRPr="004273E7" w:rsidRDefault="00697472" w:rsidP="0081150C">
            <w:pPr>
              <w:pStyle w:val="Tabletext"/>
              <w:keepNext/>
              <w:jc w:val="center"/>
              <w:rPr>
                <w:b/>
              </w:rPr>
            </w:pPr>
            <w:proofErr w:type="spellStart"/>
            <w:r>
              <w:rPr>
                <w:b/>
              </w:rPr>
              <w:t>Nivolumab</w:t>
            </w:r>
            <w:proofErr w:type="spellEnd"/>
            <w:r>
              <w:rPr>
                <w:b/>
              </w:rPr>
              <w:t xml:space="preserve"> m</w:t>
            </w:r>
            <w:r w:rsidRPr="004273E7">
              <w:rPr>
                <w:b/>
              </w:rPr>
              <w:t>onotherapy</w:t>
            </w:r>
          </w:p>
        </w:tc>
        <w:tc>
          <w:tcPr>
            <w:tcW w:w="818" w:type="pct"/>
            <w:tcBorders>
              <w:bottom w:val="nil"/>
            </w:tcBorders>
            <w:vAlign w:val="center"/>
          </w:tcPr>
          <w:p w:rsidR="00697472" w:rsidRPr="004273E7" w:rsidRDefault="00697472" w:rsidP="0081150C">
            <w:pPr>
              <w:pStyle w:val="Tabletext"/>
              <w:keepNext/>
              <w:jc w:val="center"/>
              <w:rPr>
                <w:b/>
              </w:rPr>
            </w:pPr>
            <w:r w:rsidRPr="004273E7">
              <w:rPr>
                <w:b/>
              </w:rPr>
              <w:t>NIVO+IPI</w:t>
            </w:r>
          </w:p>
        </w:tc>
        <w:tc>
          <w:tcPr>
            <w:tcW w:w="787" w:type="pct"/>
            <w:tcBorders>
              <w:bottom w:val="nil"/>
            </w:tcBorders>
            <w:vAlign w:val="center"/>
          </w:tcPr>
          <w:p w:rsidR="00697472" w:rsidRPr="004273E7" w:rsidRDefault="00697472" w:rsidP="0081150C">
            <w:pPr>
              <w:pStyle w:val="Tabletext"/>
              <w:keepNext/>
              <w:jc w:val="center"/>
              <w:rPr>
                <w:b/>
              </w:rPr>
            </w:pPr>
            <w:proofErr w:type="spellStart"/>
            <w:r>
              <w:rPr>
                <w:b/>
              </w:rPr>
              <w:t>Nivolumab</w:t>
            </w:r>
            <w:proofErr w:type="spellEnd"/>
            <w:r>
              <w:rPr>
                <w:b/>
              </w:rPr>
              <w:t xml:space="preserve"> m</w:t>
            </w:r>
            <w:r w:rsidRPr="004273E7">
              <w:rPr>
                <w:b/>
              </w:rPr>
              <w:t>onotherapy</w:t>
            </w:r>
          </w:p>
        </w:tc>
      </w:tr>
      <w:tr w:rsidR="00697472" w:rsidRPr="003E2C40" w:rsidTr="00165EE5">
        <w:tblPrEx>
          <w:tblCellMar>
            <w:left w:w="108" w:type="dxa"/>
            <w:right w:w="108" w:type="dxa"/>
          </w:tblCellMar>
          <w:tblLook w:val="04A0" w:firstRow="1" w:lastRow="0" w:firstColumn="1" w:lastColumn="0" w:noHBand="0" w:noVBand="1"/>
        </w:tblPrEx>
        <w:tc>
          <w:tcPr>
            <w:tcW w:w="1824" w:type="pct"/>
            <w:tcBorders>
              <w:top w:val="nil"/>
            </w:tcBorders>
            <w:shd w:val="clear" w:color="auto" w:fill="auto"/>
            <w:noWrap/>
            <w:vAlign w:val="center"/>
          </w:tcPr>
          <w:p w:rsidR="00697472" w:rsidRPr="00DE0AA3" w:rsidRDefault="00697472" w:rsidP="0081150C">
            <w:pPr>
              <w:pStyle w:val="Tabletext"/>
              <w:keepNext/>
              <w:rPr>
                <w:color w:val="000000"/>
                <w:lang w:val="en-US"/>
              </w:rPr>
            </w:pPr>
          </w:p>
        </w:tc>
        <w:tc>
          <w:tcPr>
            <w:tcW w:w="786" w:type="pct"/>
            <w:tcBorders>
              <w:top w:val="nil"/>
            </w:tcBorders>
          </w:tcPr>
          <w:p w:rsidR="00697472" w:rsidRPr="00B34986" w:rsidRDefault="00697472" w:rsidP="0081150C">
            <w:pPr>
              <w:pStyle w:val="Tabletext"/>
              <w:keepNext/>
              <w:jc w:val="center"/>
              <w:rPr>
                <w:b/>
              </w:rPr>
            </w:pPr>
            <w:r w:rsidRPr="00B34986">
              <w:rPr>
                <w:b/>
              </w:rPr>
              <w:t>N</w:t>
            </w:r>
            <w:r w:rsidR="00157C80">
              <w:rPr>
                <w:b/>
              </w:rPr>
              <w:t xml:space="preserve"> </w:t>
            </w:r>
            <w:r w:rsidRPr="00B34986">
              <w:rPr>
                <w:b/>
              </w:rPr>
              <w:t>=</w:t>
            </w:r>
            <w:r w:rsidR="00157C80">
              <w:rPr>
                <w:b/>
              </w:rPr>
              <w:t xml:space="preserve"> </w:t>
            </w:r>
            <w:r w:rsidRPr="00B34986">
              <w:rPr>
                <w:b/>
              </w:rPr>
              <w:t>313</w:t>
            </w:r>
          </w:p>
          <w:p w:rsidR="00697472" w:rsidRPr="00B34986" w:rsidRDefault="00697472" w:rsidP="0081150C">
            <w:pPr>
              <w:pStyle w:val="Tabletext"/>
              <w:keepNext/>
              <w:jc w:val="center"/>
              <w:rPr>
                <w:b/>
                <w:color w:val="000000"/>
                <w:lang w:val="en-US"/>
              </w:rPr>
            </w:pPr>
            <w:proofErr w:type="gramStart"/>
            <w:r w:rsidRPr="00B34986">
              <w:rPr>
                <w:b/>
              </w:rPr>
              <w:t>n</w:t>
            </w:r>
            <w:proofErr w:type="gramEnd"/>
            <w:r w:rsidRPr="00B34986">
              <w:rPr>
                <w:b/>
              </w:rPr>
              <w:t xml:space="preserve"> (%)</w:t>
            </w:r>
          </w:p>
        </w:tc>
        <w:tc>
          <w:tcPr>
            <w:tcW w:w="785" w:type="pct"/>
            <w:tcBorders>
              <w:top w:val="nil"/>
            </w:tcBorders>
          </w:tcPr>
          <w:p w:rsidR="00697472" w:rsidRPr="00B34986" w:rsidRDefault="00697472" w:rsidP="0081150C">
            <w:pPr>
              <w:pStyle w:val="Tabletext"/>
              <w:keepNext/>
              <w:jc w:val="center"/>
              <w:rPr>
                <w:b/>
              </w:rPr>
            </w:pPr>
            <w:r w:rsidRPr="00B34986">
              <w:rPr>
                <w:b/>
              </w:rPr>
              <w:t>N</w:t>
            </w:r>
            <w:r w:rsidR="00157C80">
              <w:rPr>
                <w:b/>
              </w:rPr>
              <w:t xml:space="preserve"> </w:t>
            </w:r>
            <w:r w:rsidRPr="00B34986">
              <w:rPr>
                <w:b/>
              </w:rPr>
              <w:t>=</w:t>
            </w:r>
            <w:r w:rsidR="00157C80">
              <w:rPr>
                <w:b/>
              </w:rPr>
              <w:t xml:space="preserve"> </w:t>
            </w:r>
            <w:r w:rsidRPr="00B34986">
              <w:rPr>
                <w:b/>
              </w:rPr>
              <w:t>313</w:t>
            </w:r>
          </w:p>
          <w:p w:rsidR="00697472" w:rsidRPr="00B34986" w:rsidRDefault="00697472" w:rsidP="0081150C">
            <w:pPr>
              <w:pStyle w:val="Tabletext"/>
              <w:keepNext/>
              <w:jc w:val="center"/>
              <w:rPr>
                <w:b/>
                <w:color w:val="000000"/>
                <w:lang w:val="en-US"/>
              </w:rPr>
            </w:pPr>
            <w:proofErr w:type="gramStart"/>
            <w:r w:rsidRPr="00B34986">
              <w:rPr>
                <w:b/>
              </w:rPr>
              <w:t>n</w:t>
            </w:r>
            <w:proofErr w:type="gramEnd"/>
            <w:r w:rsidRPr="00B34986">
              <w:rPr>
                <w:b/>
              </w:rPr>
              <w:t xml:space="preserve"> (%)</w:t>
            </w:r>
          </w:p>
        </w:tc>
        <w:tc>
          <w:tcPr>
            <w:tcW w:w="818" w:type="pct"/>
            <w:tcBorders>
              <w:top w:val="nil"/>
            </w:tcBorders>
            <w:shd w:val="clear" w:color="auto" w:fill="auto"/>
            <w:noWrap/>
          </w:tcPr>
          <w:p w:rsidR="00697472" w:rsidRPr="00B34986" w:rsidRDefault="00697472" w:rsidP="0081150C">
            <w:pPr>
              <w:pStyle w:val="Tabletext"/>
              <w:keepNext/>
              <w:jc w:val="center"/>
              <w:rPr>
                <w:b/>
              </w:rPr>
            </w:pPr>
            <w:r w:rsidRPr="00B34986">
              <w:rPr>
                <w:b/>
              </w:rPr>
              <w:t>N</w:t>
            </w:r>
            <w:r w:rsidR="00157C80">
              <w:rPr>
                <w:b/>
              </w:rPr>
              <w:t xml:space="preserve"> </w:t>
            </w:r>
            <w:r w:rsidRPr="00B34986">
              <w:rPr>
                <w:b/>
              </w:rPr>
              <w:t>=</w:t>
            </w:r>
            <w:r w:rsidR="00157C80">
              <w:rPr>
                <w:b/>
              </w:rPr>
              <w:t xml:space="preserve"> </w:t>
            </w:r>
            <w:r w:rsidRPr="00B34986">
              <w:rPr>
                <w:b/>
              </w:rPr>
              <w:t>313</w:t>
            </w:r>
          </w:p>
          <w:p w:rsidR="00697472" w:rsidRPr="00B34986" w:rsidRDefault="00697472" w:rsidP="0081150C">
            <w:pPr>
              <w:pStyle w:val="Tabletext"/>
              <w:keepNext/>
              <w:jc w:val="center"/>
              <w:rPr>
                <w:b/>
                <w:color w:val="000000"/>
                <w:lang w:val="en-US"/>
              </w:rPr>
            </w:pPr>
            <w:proofErr w:type="gramStart"/>
            <w:r w:rsidRPr="00B34986">
              <w:rPr>
                <w:b/>
              </w:rPr>
              <w:t>n</w:t>
            </w:r>
            <w:proofErr w:type="gramEnd"/>
            <w:r w:rsidRPr="00B34986">
              <w:rPr>
                <w:b/>
              </w:rPr>
              <w:t xml:space="preserve"> (%)</w:t>
            </w:r>
          </w:p>
        </w:tc>
        <w:tc>
          <w:tcPr>
            <w:tcW w:w="787" w:type="pct"/>
            <w:tcBorders>
              <w:top w:val="nil"/>
            </w:tcBorders>
            <w:shd w:val="clear" w:color="auto" w:fill="auto"/>
            <w:noWrap/>
          </w:tcPr>
          <w:p w:rsidR="00697472" w:rsidRPr="00B34986" w:rsidRDefault="00697472" w:rsidP="0081150C">
            <w:pPr>
              <w:pStyle w:val="Tabletext"/>
              <w:keepNext/>
              <w:jc w:val="center"/>
              <w:rPr>
                <w:b/>
              </w:rPr>
            </w:pPr>
            <w:r w:rsidRPr="00B34986">
              <w:rPr>
                <w:b/>
              </w:rPr>
              <w:t>N</w:t>
            </w:r>
            <w:r w:rsidR="00157C80">
              <w:rPr>
                <w:b/>
              </w:rPr>
              <w:t xml:space="preserve"> </w:t>
            </w:r>
            <w:r w:rsidRPr="00B34986">
              <w:rPr>
                <w:b/>
              </w:rPr>
              <w:t>=</w:t>
            </w:r>
            <w:r w:rsidR="00157C80">
              <w:rPr>
                <w:b/>
              </w:rPr>
              <w:t xml:space="preserve"> </w:t>
            </w:r>
            <w:r w:rsidRPr="00B34986">
              <w:rPr>
                <w:b/>
              </w:rPr>
              <w:t>313</w:t>
            </w:r>
          </w:p>
          <w:p w:rsidR="00697472" w:rsidRPr="00B34986" w:rsidRDefault="00697472" w:rsidP="0081150C">
            <w:pPr>
              <w:pStyle w:val="Tabletext"/>
              <w:keepNext/>
              <w:jc w:val="center"/>
              <w:rPr>
                <w:b/>
                <w:color w:val="000000"/>
                <w:lang w:val="en-US"/>
              </w:rPr>
            </w:pPr>
            <w:proofErr w:type="gramStart"/>
            <w:r w:rsidRPr="00B34986">
              <w:rPr>
                <w:b/>
              </w:rPr>
              <w:t>n</w:t>
            </w:r>
            <w:proofErr w:type="gramEnd"/>
            <w:r w:rsidRPr="00B34986">
              <w:rPr>
                <w:b/>
              </w:rPr>
              <w:t xml:space="preserve"> (%)</w:t>
            </w:r>
          </w:p>
        </w:tc>
      </w:tr>
      <w:tr w:rsidR="00461CF7" w:rsidRPr="003E2C40" w:rsidTr="00461CF7">
        <w:tblPrEx>
          <w:tblCellMar>
            <w:left w:w="108" w:type="dxa"/>
            <w:right w:w="108" w:type="dxa"/>
          </w:tblCellMar>
          <w:tblLook w:val="04A0" w:firstRow="1" w:lastRow="0" w:firstColumn="1" w:lastColumn="0" w:noHBand="0" w:noVBand="1"/>
        </w:tblPrEx>
        <w:tc>
          <w:tcPr>
            <w:tcW w:w="5000" w:type="pct"/>
            <w:gridSpan w:val="5"/>
            <w:shd w:val="clear" w:color="auto" w:fill="auto"/>
            <w:noWrap/>
            <w:vAlign w:val="bottom"/>
          </w:tcPr>
          <w:p w:rsidR="00461CF7" w:rsidRPr="00461CF7" w:rsidRDefault="00461CF7" w:rsidP="0081150C">
            <w:pPr>
              <w:pStyle w:val="Tabletext"/>
              <w:keepNext/>
              <w:rPr>
                <w:b/>
                <w:color w:val="000000"/>
                <w:lang w:val="en-US"/>
              </w:rPr>
            </w:pPr>
            <w:r w:rsidRPr="00461CF7">
              <w:rPr>
                <w:b/>
                <w:color w:val="000000"/>
                <w:lang w:val="en-US"/>
              </w:rPr>
              <w:t>Overall drug-related AEs</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hideMark/>
          </w:tcPr>
          <w:p w:rsidR="00697472" w:rsidRPr="003E2C40" w:rsidRDefault="00697472" w:rsidP="0081150C">
            <w:pPr>
              <w:pStyle w:val="Tabletext"/>
              <w:keepNext/>
              <w:ind w:firstLine="204"/>
              <w:rPr>
                <w:color w:val="000000"/>
                <w:lang w:val="en-US"/>
              </w:rPr>
            </w:pPr>
            <w:r>
              <w:rPr>
                <w:color w:val="000000"/>
                <w:lang w:val="en-US"/>
              </w:rPr>
              <w:t>Any AE</w:t>
            </w:r>
          </w:p>
        </w:tc>
        <w:tc>
          <w:tcPr>
            <w:tcW w:w="786" w:type="pct"/>
          </w:tcPr>
          <w:p w:rsidR="00697472" w:rsidRPr="003E2C40" w:rsidRDefault="00697472" w:rsidP="0081150C">
            <w:pPr>
              <w:pStyle w:val="Tabletext"/>
              <w:keepNext/>
              <w:jc w:val="center"/>
              <w:rPr>
                <w:color w:val="000000"/>
                <w:lang w:val="en-US"/>
              </w:rPr>
            </w:pPr>
            <w:r>
              <w:rPr>
                <w:color w:val="000000"/>
                <w:lang w:val="en-US"/>
              </w:rPr>
              <w:t>299 (96%)</w:t>
            </w:r>
          </w:p>
        </w:tc>
        <w:tc>
          <w:tcPr>
            <w:tcW w:w="785" w:type="pct"/>
          </w:tcPr>
          <w:p w:rsidR="00697472" w:rsidRPr="003E2C40" w:rsidRDefault="00697472" w:rsidP="0081150C">
            <w:pPr>
              <w:pStyle w:val="Tabletext"/>
              <w:keepNext/>
              <w:jc w:val="center"/>
              <w:rPr>
                <w:color w:val="000000"/>
                <w:lang w:val="en-US"/>
              </w:rPr>
            </w:pPr>
            <w:r>
              <w:rPr>
                <w:color w:val="000000"/>
                <w:lang w:val="en-US"/>
              </w:rPr>
              <w:t>257 (82%)</w:t>
            </w:r>
          </w:p>
        </w:tc>
        <w:tc>
          <w:tcPr>
            <w:tcW w:w="818" w:type="pct"/>
            <w:shd w:val="clear" w:color="auto" w:fill="auto"/>
            <w:noWrap/>
            <w:hideMark/>
          </w:tcPr>
          <w:p w:rsidR="00697472" w:rsidRPr="00776171" w:rsidRDefault="00697472" w:rsidP="0081150C">
            <w:pPr>
              <w:pStyle w:val="Tabletext"/>
              <w:keepNext/>
              <w:tabs>
                <w:tab w:val="center" w:pos="635"/>
                <w:tab w:val="left" w:pos="1125"/>
              </w:tabs>
              <w:jc w:val="center"/>
              <w:rPr>
                <w:color w:val="000000"/>
                <w:lang w:val="en-US"/>
              </w:rPr>
            </w:pPr>
            <w:r>
              <w:rPr>
                <w:color w:val="000000"/>
                <w:lang w:val="en-US"/>
              </w:rPr>
              <w:t>300 (96%)</w:t>
            </w:r>
          </w:p>
        </w:tc>
        <w:tc>
          <w:tcPr>
            <w:tcW w:w="787"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270 (86%)</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hideMark/>
          </w:tcPr>
          <w:p w:rsidR="00697472" w:rsidRPr="003E2C40" w:rsidRDefault="00697472" w:rsidP="0081150C">
            <w:pPr>
              <w:pStyle w:val="Tabletext"/>
              <w:keepNext/>
              <w:ind w:firstLine="204"/>
              <w:rPr>
                <w:color w:val="000000"/>
                <w:lang w:val="en-US"/>
              </w:rPr>
            </w:pPr>
            <w:r>
              <w:rPr>
                <w:color w:val="000000"/>
                <w:lang w:val="en-US"/>
              </w:rPr>
              <w:t>Any serious AE</w:t>
            </w:r>
          </w:p>
        </w:tc>
        <w:tc>
          <w:tcPr>
            <w:tcW w:w="786" w:type="pct"/>
          </w:tcPr>
          <w:p w:rsidR="00697472" w:rsidRPr="003E2C40" w:rsidRDefault="00697472" w:rsidP="0081150C">
            <w:pPr>
              <w:pStyle w:val="Tabletext"/>
              <w:keepNext/>
              <w:jc w:val="center"/>
              <w:rPr>
                <w:color w:val="000000"/>
                <w:lang w:val="en-US"/>
              </w:rPr>
            </w:pPr>
            <w:r>
              <w:rPr>
                <w:color w:val="000000"/>
                <w:lang w:val="en-US"/>
              </w:rPr>
              <w:t>150 (48%)</w:t>
            </w:r>
          </w:p>
        </w:tc>
        <w:tc>
          <w:tcPr>
            <w:tcW w:w="785" w:type="pct"/>
          </w:tcPr>
          <w:p w:rsidR="00697472" w:rsidRPr="003E2C40" w:rsidRDefault="00697472" w:rsidP="0081150C">
            <w:pPr>
              <w:pStyle w:val="Tabletext"/>
              <w:keepNext/>
              <w:jc w:val="center"/>
              <w:rPr>
                <w:color w:val="000000"/>
                <w:lang w:val="en-US"/>
              </w:rPr>
            </w:pPr>
            <w:r>
              <w:rPr>
                <w:color w:val="000000"/>
                <w:lang w:val="en-US"/>
              </w:rPr>
              <w:t>25 (8%)</w:t>
            </w:r>
          </w:p>
        </w:tc>
        <w:tc>
          <w:tcPr>
            <w:tcW w:w="818"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NR</w:t>
            </w:r>
          </w:p>
        </w:tc>
        <w:tc>
          <w:tcPr>
            <w:tcW w:w="787"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NR</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hideMark/>
          </w:tcPr>
          <w:p w:rsidR="00697472" w:rsidRPr="003E2C40" w:rsidRDefault="00697472" w:rsidP="0081150C">
            <w:pPr>
              <w:pStyle w:val="Tabletext"/>
              <w:keepNext/>
              <w:ind w:firstLine="204"/>
              <w:rPr>
                <w:color w:val="000000"/>
                <w:lang w:val="en-US"/>
              </w:rPr>
            </w:pPr>
            <w:r>
              <w:rPr>
                <w:color w:val="000000"/>
                <w:lang w:val="en-US"/>
              </w:rPr>
              <w:t xml:space="preserve">Any severe AE (Grade </w:t>
            </w:r>
            <w:r w:rsidRPr="006A20C4">
              <w:rPr>
                <w:color w:val="000000"/>
                <w:lang w:val="en-US"/>
              </w:rPr>
              <w:t>≥</w:t>
            </w:r>
            <w:r>
              <w:rPr>
                <w:color w:val="000000"/>
                <w:lang w:val="en-US"/>
              </w:rPr>
              <w:t>3)</w:t>
            </w:r>
          </w:p>
        </w:tc>
        <w:tc>
          <w:tcPr>
            <w:tcW w:w="786" w:type="pct"/>
          </w:tcPr>
          <w:p w:rsidR="00697472" w:rsidRPr="003E2C40" w:rsidRDefault="00697472" w:rsidP="0081150C">
            <w:pPr>
              <w:pStyle w:val="Tabletext"/>
              <w:keepNext/>
              <w:jc w:val="center"/>
              <w:rPr>
                <w:color w:val="000000"/>
                <w:lang w:val="en-US"/>
              </w:rPr>
            </w:pPr>
            <w:r>
              <w:rPr>
                <w:color w:val="000000"/>
                <w:lang w:val="en-US"/>
              </w:rPr>
              <w:t>172 (55%)</w:t>
            </w:r>
          </w:p>
        </w:tc>
        <w:tc>
          <w:tcPr>
            <w:tcW w:w="785" w:type="pct"/>
          </w:tcPr>
          <w:p w:rsidR="00697472" w:rsidRPr="003E2C40" w:rsidRDefault="00697472" w:rsidP="0081150C">
            <w:pPr>
              <w:pStyle w:val="Tabletext"/>
              <w:keepNext/>
              <w:jc w:val="center"/>
              <w:rPr>
                <w:color w:val="000000"/>
                <w:lang w:val="en-US"/>
              </w:rPr>
            </w:pPr>
            <w:r>
              <w:rPr>
                <w:color w:val="000000"/>
                <w:lang w:val="en-US"/>
              </w:rPr>
              <w:t>51 (16%)</w:t>
            </w:r>
          </w:p>
        </w:tc>
        <w:tc>
          <w:tcPr>
            <w:tcW w:w="818"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NR</w:t>
            </w:r>
          </w:p>
        </w:tc>
        <w:tc>
          <w:tcPr>
            <w:tcW w:w="787"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NR</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hideMark/>
          </w:tcPr>
          <w:p w:rsidR="00697472" w:rsidRPr="003E2C40" w:rsidRDefault="00697472" w:rsidP="0081150C">
            <w:pPr>
              <w:pStyle w:val="Tabletext"/>
              <w:keepNext/>
              <w:ind w:firstLine="204"/>
              <w:rPr>
                <w:color w:val="000000"/>
                <w:lang w:val="en-US"/>
              </w:rPr>
            </w:pPr>
            <w:r>
              <w:rPr>
                <w:color w:val="000000"/>
                <w:lang w:val="en-US"/>
              </w:rPr>
              <w:t>AE leading to discontinuation</w:t>
            </w:r>
          </w:p>
        </w:tc>
        <w:tc>
          <w:tcPr>
            <w:tcW w:w="786" w:type="pct"/>
          </w:tcPr>
          <w:p w:rsidR="00697472" w:rsidRPr="003E2C40" w:rsidRDefault="00697472" w:rsidP="0081150C">
            <w:pPr>
              <w:pStyle w:val="Tabletext"/>
              <w:keepNext/>
              <w:jc w:val="center"/>
              <w:rPr>
                <w:color w:val="000000"/>
                <w:lang w:val="en-US"/>
              </w:rPr>
            </w:pPr>
            <w:r>
              <w:rPr>
                <w:color w:val="000000"/>
                <w:lang w:val="en-US"/>
              </w:rPr>
              <w:t>114 (36%)</w:t>
            </w:r>
          </w:p>
        </w:tc>
        <w:tc>
          <w:tcPr>
            <w:tcW w:w="785" w:type="pct"/>
          </w:tcPr>
          <w:p w:rsidR="00697472" w:rsidRPr="003E2C40" w:rsidRDefault="00697472" w:rsidP="0081150C">
            <w:pPr>
              <w:pStyle w:val="Tabletext"/>
              <w:keepNext/>
              <w:jc w:val="center"/>
              <w:rPr>
                <w:color w:val="000000"/>
                <w:lang w:val="en-US"/>
              </w:rPr>
            </w:pPr>
            <w:r>
              <w:rPr>
                <w:color w:val="000000"/>
                <w:lang w:val="en-US"/>
              </w:rPr>
              <w:t>24 (8%)</w:t>
            </w:r>
          </w:p>
        </w:tc>
        <w:tc>
          <w:tcPr>
            <w:tcW w:w="818"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123 (39%)</w:t>
            </w:r>
          </w:p>
        </w:tc>
        <w:tc>
          <w:tcPr>
            <w:tcW w:w="787" w:type="pct"/>
            <w:shd w:val="clear" w:color="auto" w:fill="auto"/>
            <w:noWrap/>
            <w:hideMark/>
          </w:tcPr>
          <w:p w:rsidR="00697472" w:rsidRPr="00776171" w:rsidRDefault="00697472" w:rsidP="0081150C">
            <w:pPr>
              <w:pStyle w:val="Tabletext"/>
              <w:keepNext/>
              <w:jc w:val="center"/>
              <w:rPr>
                <w:color w:val="000000"/>
                <w:lang w:val="en-US"/>
              </w:rPr>
            </w:pPr>
            <w:r>
              <w:rPr>
                <w:color w:val="000000"/>
                <w:lang w:val="en-US"/>
              </w:rPr>
              <w:t>37 (12%)</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Default="00697472" w:rsidP="0081150C">
            <w:pPr>
              <w:pStyle w:val="Tabletext"/>
              <w:keepNext/>
              <w:ind w:firstLine="204"/>
              <w:rPr>
                <w:color w:val="000000"/>
                <w:lang w:val="en-US"/>
              </w:rPr>
            </w:pPr>
            <w:r>
              <w:rPr>
                <w:color w:val="000000"/>
                <w:lang w:val="en-US"/>
              </w:rPr>
              <w:t>Death due to study drug toxicity</w:t>
            </w:r>
          </w:p>
        </w:tc>
        <w:tc>
          <w:tcPr>
            <w:tcW w:w="786" w:type="pct"/>
          </w:tcPr>
          <w:p w:rsidR="00697472" w:rsidRDefault="00697472" w:rsidP="0081150C">
            <w:pPr>
              <w:pStyle w:val="Tabletext"/>
              <w:keepNext/>
              <w:jc w:val="center"/>
              <w:rPr>
                <w:color w:val="000000"/>
                <w:lang w:val="en-US"/>
              </w:rPr>
            </w:pPr>
            <w:r>
              <w:rPr>
                <w:color w:val="000000"/>
                <w:lang w:val="en-US"/>
              </w:rPr>
              <w:t xml:space="preserve">0 </w:t>
            </w:r>
          </w:p>
        </w:tc>
        <w:tc>
          <w:tcPr>
            <w:tcW w:w="785" w:type="pct"/>
          </w:tcPr>
          <w:p w:rsidR="00697472" w:rsidRDefault="00697472" w:rsidP="0081150C">
            <w:pPr>
              <w:pStyle w:val="Tabletext"/>
              <w:keepNext/>
              <w:jc w:val="center"/>
              <w:rPr>
                <w:color w:val="000000"/>
                <w:lang w:val="en-US"/>
              </w:rPr>
            </w:pPr>
            <w:r>
              <w:rPr>
                <w:color w:val="000000"/>
                <w:lang w:val="en-US"/>
              </w:rPr>
              <w:t>1 (0.3%)</w:t>
            </w:r>
          </w:p>
        </w:tc>
        <w:tc>
          <w:tcPr>
            <w:tcW w:w="818" w:type="pct"/>
            <w:shd w:val="clear" w:color="auto" w:fill="auto"/>
            <w:noWrap/>
          </w:tcPr>
          <w:p w:rsidR="00697472" w:rsidRPr="00776171" w:rsidRDefault="00697472" w:rsidP="0081150C">
            <w:pPr>
              <w:pStyle w:val="Tabletext"/>
              <w:keepNext/>
              <w:jc w:val="center"/>
              <w:rPr>
                <w:color w:val="000000"/>
                <w:lang w:val="en-US"/>
              </w:rPr>
            </w:pPr>
            <w:r>
              <w:rPr>
                <w:color w:val="000000"/>
                <w:lang w:val="en-US"/>
              </w:rPr>
              <w:t>2 (0.6%)</w:t>
            </w:r>
          </w:p>
        </w:tc>
        <w:tc>
          <w:tcPr>
            <w:tcW w:w="787" w:type="pct"/>
            <w:shd w:val="clear" w:color="auto" w:fill="auto"/>
            <w:noWrap/>
          </w:tcPr>
          <w:p w:rsidR="00697472" w:rsidRPr="00776171" w:rsidRDefault="00697472" w:rsidP="0081150C">
            <w:pPr>
              <w:pStyle w:val="Tabletext"/>
              <w:keepNext/>
              <w:jc w:val="center"/>
              <w:rPr>
                <w:color w:val="000000"/>
                <w:lang w:val="en-US"/>
              </w:rPr>
            </w:pPr>
            <w:r>
              <w:rPr>
                <w:color w:val="000000"/>
                <w:lang w:val="en-US"/>
              </w:rPr>
              <w:t>1 (0.3%)</w:t>
            </w:r>
          </w:p>
        </w:tc>
      </w:tr>
      <w:tr w:rsidR="00461CF7" w:rsidRPr="003E2C40" w:rsidTr="00461CF7">
        <w:tblPrEx>
          <w:tblCellMar>
            <w:left w:w="108" w:type="dxa"/>
            <w:right w:w="108" w:type="dxa"/>
          </w:tblCellMar>
          <w:tblLook w:val="04A0" w:firstRow="1" w:lastRow="0" w:firstColumn="1" w:lastColumn="0" w:noHBand="0" w:noVBand="1"/>
        </w:tblPrEx>
        <w:tc>
          <w:tcPr>
            <w:tcW w:w="5000" w:type="pct"/>
            <w:gridSpan w:val="5"/>
            <w:shd w:val="clear" w:color="auto" w:fill="auto"/>
            <w:noWrap/>
            <w:vAlign w:val="bottom"/>
          </w:tcPr>
          <w:p w:rsidR="00461CF7" w:rsidRPr="00461CF7" w:rsidRDefault="00461CF7" w:rsidP="0081150C">
            <w:pPr>
              <w:pStyle w:val="Tabletext"/>
              <w:keepNext/>
              <w:rPr>
                <w:b/>
                <w:color w:val="000000"/>
                <w:lang w:val="en-US"/>
              </w:rPr>
            </w:pPr>
            <w:r w:rsidRPr="00461CF7">
              <w:rPr>
                <w:b/>
                <w:color w:val="000000"/>
                <w:lang w:val="en-US"/>
              </w:rPr>
              <w:t>Drug-related AEs of special interest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Endocrine</w:t>
            </w:r>
          </w:p>
        </w:tc>
        <w:tc>
          <w:tcPr>
            <w:tcW w:w="786" w:type="pct"/>
          </w:tcPr>
          <w:p w:rsidR="00697472" w:rsidRPr="00F06221" w:rsidRDefault="00697472" w:rsidP="0081150C">
            <w:pPr>
              <w:pStyle w:val="Tabletext"/>
              <w:keepNext/>
              <w:jc w:val="center"/>
              <w:rPr>
                <w:color w:val="000000"/>
                <w:szCs w:val="24"/>
              </w:rPr>
            </w:pPr>
            <w:r>
              <w:rPr>
                <w:color w:val="000000"/>
                <w:szCs w:val="24"/>
              </w:rPr>
              <w:t>94 (30.0%)</w:t>
            </w:r>
          </w:p>
        </w:tc>
        <w:tc>
          <w:tcPr>
            <w:tcW w:w="785" w:type="pct"/>
          </w:tcPr>
          <w:p w:rsidR="00697472" w:rsidRPr="00F06221" w:rsidRDefault="00697472" w:rsidP="0081150C">
            <w:pPr>
              <w:pStyle w:val="Tabletext"/>
              <w:keepNext/>
              <w:jc w:val="center"/>
              <w:rPr>
                <w:color w:val="000000"/>
                <w:szCs w:val="24"/>
              </w:rPr>
            </w:pPr>
            <w:r>
              <w:rPr>
                <w:color w:val="000000"/>
                <w:szCs w:val="24"/>
              </w:rPr>
              <w:t>45 (14.4%)</w:t>
            </w:r>
          </w:p>
        </w:tc>
        <w:tc>
          <w:tcPr>
            <w:tcW w:w="818"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Gastrointestinal</w:t>
            </w:r>
          </w:p>
        </w:tc>
        <w:tc>
          <w:tcPr>
            <w:tcW w:w="786" w:type="pct"/>
          </w:tcPr>
          <w:p w:rsidR="00697472" w:rsidRPr="00F06221" w:rsidRDefault="00697472" w:rsidP="0081150C">
            <w:pPr>
              <w:pStyle w:val="Tabletext"/>
              <w:keepNext/>
              <w:jc w:val="center"/>
              <w:rPr>
                <w:color w:val="000000"/>
                <w:szCs w:val="24"/>
              </w:rPr>
            </w:pPr>
            <w:r>
              <w:rPr>
                <w:color w:val="000000"/>
                <w:szCs w:val="24"/>
              </w:rPr>
              <w:t>145 (46.3%)</w:t>
            </w:r>
          </w:p>
        </w:tc>
        <w:tc>
          <w:tcPr>
            <w:tcW w:w="785" w:type="pct"/>
          </w:tcPr>
          <w:p w:rsidR="00697472" w:rsidRPr="00F06221" w:rsidRDefault="00697472" w:rsidP="0081150C">
            <w:pPr>
              <w:pStyle w:val="Tabletext"/>
              <w:keepNext/>
              <w:jc w:val="center"/>
              <w:rPr>
                <w:color w:val="000000"/>
                <w:szCs w:val="24"/>
              </w:rPr>
            </w:pPr>
            <w:r>
              <w:rPr>
                <w:color w:val="000000"/>
                <w:szCs w:val="24"/>
              </w:rPr>
              <w:t>61 (19.5%)</w:t>
            </w:r>
          </w:p>
        </w:tc>
        <w:tc>
          <w:tcPr>
            <w:tcW w:w="818"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Hepatic</w:t>
            </w:r>
          </w:p>
        </w:tc>
        <w:tc>
          <w:tcPr>
            <w:tcW w:w="786" w:type="pct"/>
          </w:tcPr>
          <w:p w:rsidR="00697472" w:rsidRPr="00F06221" w:rsidRDefault="00697472" w:rsidP="0081150C">
            <w:pPr>
              <w:pStyle w:val="Tabletext"/>
              <w:keepNext/>
              <w:jc w:val="center"/>
              <w:rPr>
                <w:color w:val="000000"/>
                <w:szCs w:val="24"/>
              </w:rPr>
            </w:pPr>
            <w:r>
              <w:rPr>
                <w:color w:val="000000"/>
                <w:szCs w:val="24"/>
              </w:rPr>
              <w:t>95 (30.4%)</w:t>
            </w:r>
          </w:p>
        </w:tc>
        <w:tc>
          <w:tcPr>
            <w:tcW w:w="785" w:type="pct"/>
          </w:tcPr>
          <w:p w:rsidR="00697472" w:rsidRPr="00F06221" w:rsidRDefault="00697472" w:rsidP="0081150C">
            <w:pPr>
              <w:pStyle w:val="Tabletext"/>
              <w:keepNext/>
              <w:jc w:val="center"/>
              <w:rPr>
                <w:color w:val="000000"/>
                <w:szCs w:val="24"/>
              </w:rPr>
            </w:pPr>
            <w:r>
              <w:rPr>
                <w:color w:val="000000"/>
                <w:szCs w:val="24"/>
              </w:rPr>
              <w:t>40 (12.8%)</w:t>
            </w:r>
          </w:p>
        </w:tc>
        <w:tc>
          <w:tcPr>
            <w:tcW w:w="818"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Pulmonary</w:t>
            </w:r>
          </w:p>
        </w:tc>
        <w:tc>
          <w:tcPr>
            <w:tcW w:w="786" w:type="pct"/>
          </w:tcPr>
          <w:p w:rsidR="00697472" w:rsidRPr="00F06221" w:rsidRDefault="00697472" w:rsidP="0081150C">
            <w:pPr>
              <w:pStyle w:val="Tabletext"/>
              <w:keepNext/>
              <w:jc w:val="center"/>
              <w:rPr>
                <w:color w:val="000000"/>
                <w:szCs w:val="24"/>
              </w:rPr>
            </w:pPr>
            <w:r>
              <w:rPr>
                <w:color w:val="000000"/>
                <w:szCs w:val="24"/>
              </w:rPr>
              <w:t>22 (7.0%)</w:t>
            </w:r>
          </w:p>
        </w:tc>
        <w:tc>
          <w:tcPr>
            <w:tcW w:w="785" w:type="pct"/>
          </w:tcPr>
          <w:p w:rsidR="00697472" w:rsidRPr="00F06221" w:rsidRDefault="00697472" w:rsidP="0081150C">
            <w:pPr>
              <w:pStyle w:val="Tabletext"/>
              <w:keepNext/>
              <w:jc w:val="center"/>
              <w:rPr>
                <w:color w:val="000000"/>
                <w:szCs w:val="24"/>
              </w:rPr>
            </w:pPr>
            <w:r>
              <w:rPr>
                <w:color w:val="000000"/>
                <w:szCs w:val="24"/>
              </w:rPr>
              <w:t>7 (2.2%)</w:t>
            </w:r>
          </w:p>
        </w:tc>
        <w:tc>
          <w:tcPr>
            <w:tcW w:w="818"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776171" w:rsidRDefault="00461CF7" w:rsidP="0081150C">
            <w:pPr>
              <w:pStyle w:val="Tabletext"/>
              <w:keepNext/>
              <w:jc w:val="center"/>
              <w:rPr>
                <w:color w:val="000000"/>
                <w:szCs w:val="24"/>
              </w:rPr>
            </w:pPr>
            <w:r>
              <w:rPr>
                <w:color w:val="000000"/>
                <w:szCs w:val="24"/>
              </w:rPr>
              <w: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Renal</w:t>
            </w:r>
          </w:p>
        </w:tc>
        <w:tc>
          <w:tcPr>
            <w:tcW w:w="786" w:type="pct"/>
          </w:tcPr>
          <w:p w:rsidR="00697472" w:rsidRDefault="00697472" w:rsidP="0081150C">
            <w:pPr>
              <w:pStyle w:val="Tabletext"/>
              <w:keepNext/>
              <w:jc w:val="center"/>
              <w:rPr>
                <w:color w:val="000000"/>
                <w:szCs w:val="24"/>
              </w:rPr>
            </w:pPr>
            <w:r>
              <w:rPr>
                <w:color w:val="000000"/>
                <w:szCs w:val="24"/>
              </w:rPr>
              <w:t>17 (5.4%)</w:t>
            </w:r>
          </w:p>
        </w:tc>
        <w:tc>
          <w:tcPr>
            <w:tcW w:w="785" w:type="pct"/>
          </w:tcPr>
          <w:p w:rsidR="00697472" w:rsidRDefault="00697472" w:rsidP="0081150C">
            <w:pPr>
              <w:pStyle w:val="Tabletext"/>
              <w:keepNext/>
              <w:jc w:val="center"/>
              <w:rPr>
                <w:color w:val="000000"/>
                <w:szCs w:val="24"/>
              </w:rPr>
            </w:pPr>
            <w:r>
              <w:rPr>
                <w:color w:val="000000"/>
                <w:szCs w:val="24"/>
              </w:rPr>
              <w:t>10 (3.2%)</w:t>
            </w:r>
          </w:p>
        </w:tc>
        <w:tc>
          <w:tcPr>
            <w:tcW w:w="818" w:type="pct"/>
            <w:shd w:val="clear" w:color="auto" w:fill="auto"/>
            <w:noWrap/>
          </w:tcPr>
          <w:p w:rsidR="00697472" w:rsidRPr="00F0622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F06221" w:rsidRDefault="00461CF7" w:rsidP="0081150C">
            <w:pPr>
              <w:pStyle w:val="Tabletext"/>
              <w:keepNext/>
              <w:jc w:val="center"/>
              <w:rPr>
                <w:color w:val="000000"/>
                <w:szCs w:val="24"/>
              </w:rPr>
            </w:pPr>
            <w:r>
              <w:rPr>
                <w:color w:val="000000"/>
                <w:szCs w:val="24"/>
              </w:rPr>
              <w:t>-</w:t>
            </w:r>
          </w:p>
        </w:tc>
      </w:tr>
      <w:tr w:rsidR="00697472" w:rsidRPr="003E2C40" w:rsidTr="00165EE5">
        <w:tblPrEx>
          <w:tblCellMar>
            <w:left w:w="108" w:type="dxa"/>
            <w:right w:w="108" w:type="dxa"/>
          </w:tblCellMar>
          <w:tblLook w:val="04A0" w:firstRow="1" w:lastRow="0" w:firstColumn="1" w:lastColumn="0" w:noHBand="0" w:noVBand="1"/>
        </w:tblPrEx>
        <w:tc>
          <w:tcPr>
            <w:tcW w:w="1824" w:type="pct"/>
            <w:shd w:val="clear" w:color="auto" w:fill="auto"/>
            <w:noWrap/>
            <w:vAlign w:val="bottom"/>
          </w:tcPr>
          <w:p w:rsidR="00697472" w:rsidRPr="00D73511" w:rsidRDefault="00697472" w:rsidP="0081150C">
            <w:pPr>
              <w:pStyle w:val="Tabletext"/>
              <w:keepNext/>
              <w:ind w:firstLine="204"/>
              <w:rPr>
                <w:color w:val="000000"/>
                <w:lang w:val="en-US"/>
              </w:rPr>
            </w:pPr>
            <w:r w:rsidRPr="00D73511">
              <w:rPr>
                <w:color w:val="000000"/>
                <w:lang w:val="en-US"/>
              </w:rPr>
              <w:t>Skin</w:t>
            </w:r>
          </w:p>
        </w:tc>
        <w:tc>
          <w:tcPr>
            <w:tcW w:w="786" w:type="pct"/>
          </w:tcPr>
          <w:p w:rsidR="00697472" w:rsidRDefault="00697472" w:rsidP="0081150C">
            <w:pPr>
              <w:pStyle w:val="Tabletext"/>
              <w:keepNext/>
              <w:jc w:val="center"/>
              <w:rPr>
                <w:color w:val="000000"/>
                <w:szCs w:val="24"/>
              </w:rPr>
            </w:pPr>
            <w:r>
              <w:rPr>
                <w:color w:val="000000"/>
                <w:szCs w:val="24"/>
              </w:rPr>
              <w:t>185 (59.1%)</w:t>
            </w:r>
          </w:p>
        </w:tc>
        <w:tc>
          <w:tcPr>
            <w:tcW w:w="785" w:type="pct"/>
          </w:tcPr>
          <w:p w:rsidR="00697472" w:rsidRDefault="00697472" w:rsidP="0081150C">
            <w:pPr>
              <w:pStyle w:val="Tabletext"/>
              <w:keepNext/>
              <w:jc w:val="center"/>
              <w:rPr>
                <w:color w:val="000000"/>
                <w:szCs w:val="24"/>
              </w:rPr>
            </w:pPr>
            <w:r>
              <w:rPr>
                <w:color w:val="000000"/>
                <w:szCs w:val="24"/>
              </w:rPr>
              <w:t>167 (53.4%)</w:t>
            </w:r>
          </w:p>
        </w:tc>
        <w:tc>
          <w:tcPr>
            <w:tcW w:w="818" w:type="pct"/>
            <w:shd w:val="clear" w:color="auto" w:fill="auto"/>
            <w:noWrap/>
          </w:tcPr>
          <w:p w:rsidR="00697472" w:rsidRPr="00F06221" w:rsidRDefault="00461CF7" w:rsidP="0081150C">
            <w:pPr>
              <w:pStyle w:val="Tabletext"/>
              <w:keepNext/>
              <w:jc w:val="center"/>
              <w:rPr>
                <w:color w:val="000000"/>
                <w:szCs w:val="24"/>
              </w:rPr>
            </w:pPr>
            <w:r>
              <w:rPr>
                <w:color w:val="000000"/>
                <w:szCs w:val="24"/>
              </w:rPr>
              <w:t>-</w:t>
            </w:r>
          </w:p>
        </w:tc>
        <w:tc>
          <w:tcPr>
            <w:tcW w:w="787" w:type="pct"/>
            <w:shd w:val="clear" w:color="auto" w:fill="auto"/>
            <w:noWrap/>
          </w:tcPr>
          <w:p w:rsidR="00697472" w:rsidRPr="00F06221" w:rsidRDefault="00461CF7" w:rsidP="0081150C">
            <w:pPr>
              <w:pStyle w:val="Tabletext"/>
              <w:keepNext/>
              <w:jc w:val="center"/>
              <w:rPr>
                <w:color w:val="000000"/>
                <w:szCs w:val="24"/>
              </w:rPr>
            </w:pPr>
            <w:r>
              <w:rPr>
                <w:color w:val="000000"/>
                <w:szCs w:val="24"/>
              </w:rPr>
              <w:t>-</w:t>
            </w:r>
          </w:p>
        </w:tc>
      </w:tr>
    </w:tbl>
    <w:p w:rsidR="00697472" w:rsidRDefault="00697472" w:rsidP="00697472">
      <w:pPr>
        <w:pStyle w:val="TableFooter"/>
      </w:pPr>
      <w:r>
        <w:t>AE = adverse event</w:t>
      </w:r>
      <w:r w:rsidR="00B376C2">
        <w:t>;</w:t>
      </w:r>
      <w:r w:rsidR="00285849">
        <w:t xml:space="preserve"> IPI = </w:t>
      </w:r>
      <w:proofErr w:type="spellStart"/>
      <w:r w:rsidR="00285849">
        <w:t>ipilimumab</w:t>
      </w:r>
      <w:proofErr w:type="spellEnd"/>
      <w:r w:rsidR="00285849">
        <w:t xml:space="preserve">; NIVO = </w:t>
      </w:r>
      <w:proofErr w:type="spellStart"/>
      <w:r w:rsidR="00285849">
        <w:t>nivolumab</w:t>
      </w:r>
      <w:proofErr w:type="spellEnd"/>
      <w:r w:rsidR="00285849">
        <w:t>;</w:t>
      </w:r>
      <w:r w:rsidR="00B376C2">
        <w:t xml:space="preserve"> NR = not reported.</w:t>
      </w:r>
    </w:p>
    <w:p w:rsidR="00697472" w:rsidRPr="00DE0AA3" w:rsidRDefault="00697472" w:rsidP="00697472">
      <w:pPr>
        <w:pStyle w:val="TableFooter"/>
      </w:pPr>
      <w:proofErr w:type="gramStart"/>
      <w:r>
        <w:rPr>
          <w:vertAlign w:val="superscript"/>
        </w:rPr>
        <w:t>a</w:t>
      </w:r>
      <w:proofErr w:type="gramEnd"/>
      <w:r>
        <w:t xml:space="preserve"> Data from the February 2015 database lock</w:t>
      </w:r>
    </w:p>
    <w:p w:rsidR="00697472" w:rsidRDefault="00697472" w:rsidP="00697472">
      <w:pPr>
        <w:pStyle w:val="TableFooter"/>
      </w:pPr>
      <w:r>
        <w:t xml:space="preserve">Source: Table 37, p 90 of the resubmission; </w:t>
      </w:r>
      <w:r w:rsidRPr="00942094">
        <w:t>p162 CSR Binder 2, Attachment 12b to the resubmission</w:t>
      </w:r>
      <w:r>
        <w:t>.</w:t>
      </w:r>
    </w:p>
    <w:p w:rsidR="00697472" w:rsidRPr="004E76B7" w:rsidRDefault="00697472" w:rsidP="003235AE">
      <w:pPr>
        <w:pStyle w:val="ListParagraph"/>
        <w:widowControl/>
        <w:numPr>
          <w:ilvl w:val="1"/>
          <w:numId w:val="2"/>
        </w:numPr>
        <w:spacing w:before="120"/>
      </w:pPr>
      <w:r w:rsidRPr="004E76B7">
        <w:t>The updated safety data were consistent with those presented in the original submission (no new safety data were presented in the March 2017 resubmission).</w:t>
      </w:r>
    </w:p>
    <w:p w:rsidR="00697472" w:rsidRPr="004E76B7" w:rsidRDefault="00697472" w:rsidP="00EF1D65">
      <w:pPr>
        <w:pStyle w:val="ListParagraph"/>
        <w:widowControl/>
        <w:numPr>
          <w:ilvl w:val="1"/>
          <w:numId w:val="2"/>
        </w:numPr>
      </w:pPr>
      <w:r w:rsidRPr="004E76B7">
        <w:t xml:space="preserve">In Long 2018, of patients with asymptomatic, untreated melanoma brain metastases, Grade 3 or 4 treatment related AEs occurred in 19/35 (54%) patients receiving NIVO+IPI (Cohort A) and 4/25 (16%) receiving </w:t>
      </w:r>
      <w:proofErr w:type="spellStart"/>
      <w:r w:rsidRPr="004E76B7">
        <w:t>nivolumab</w:t>
      </w:r>
      <w:proofErr w:type="spellEnd"/>
      <w:r w:rsidRPr="004E76B7">
        <w:t xml:space="preserve"> monotherapy (Cohort B); 2/16 (13%) of patients with melanoma brain metastases with poor prognostic features experienced Grade 3 or 4 AEs related to </w:t>
      </w:r>
      <w:proofErr w:type="spellStart"/>
      <w:r w:rsidRPr="004E76B7">
        <w:t>nivolumab</w:t>
      </w:r>
      <w:proofErr w:type="spellEnd"/>
      <w:r w:rsidRPr="004E76B7">
        <w:t xml:space="preserve"> monotherapy.</w:t>
      </w:r>
    </w:p>
    <w:p w:rsidR="00697472" w:rsidRPr="00517DB7" w:rsidRDefault="00697472" w:rsidP="00EF1D65">
      <w:pPr>
        <w:pStyle w:val="ListParagraph"/>
        <w:widowControl/>
        <w:numPr>
          <w:ilvl w:val="1"/>
          <w:numId w:val="2"/>
        </w:numPr>
      </w:pPr>
      <w:r w:rsidRPr="004E76B7">
        <w:rPr>
          <w:bCs/>
          <w:lang w:val="en-GB"/>
        </w:rPr>
        <w:t xml:space="preserve">The PBAC </w:t>
      </w:r>
      <w:r w:rsidR="00517DB7">
        <w:rPr>
          <w:bCs/>
          <w:lang w:val="en-GB"/>
        </w:rPr>
        <w:t>again</w:t>
      </w:r>
      <w:r w:rsidR="00517DB7" w:rsidRPr="004E76B7">
        <w:rPr>
          <w:bCs/>
          <w:lang w:val="en-GB"/>
        </w:rPr>
        <w:t xml:space="preserve"> </w:t>
      </w:r>
      <w:r w:rsidRPr="004E76B7">
        <w:rPr>
          <w:bCs/>
          <w:lang w:val="en-GB"/>
        </w:rPr>
        <w:t xml:space="preserve">considered that combination treatment with </w:t>
      </w:r>
      <w:r w:rsidR="00940EEB">
        <w:rPr>
          <w:bCs/>
          <w:lang w:val="en-GB"/>
        </w:rPr>
        <w:t>NIVO+IPI</w:t>
      </w:r>
      <w:r w:rsidRPr="004E76B7">
        <w:rPr>
          <w:bCs/>
          <w:lang w:val="en-GB"/>
        </w:rPr>
        <w:t xml:space="preserve"> has a significantly inferior safety profile compared to pembrolizumab monotherapy, </w:t>
      </w:r>
      <w:proofErr w:type="spellStart"/>
      <w:r w:rsidR="00461CF7">
        <w:rPr>
          <w:bCs/>
          <w:lang w:val="en-GB"/>
        </w:rPr>
        <w:t>nivolumab</w:t>
      </w:r>
      <w:proofErr w:type="spellEnd"/>
      <w:r w:rsidR="00461CF7">
        <w:rPr>
          <w:bCs/>
          <w:lang w:val="en-GB"/>
        </w:rPr>
        <w:t xml:space="preserve"> </w:t>
      </w:r>
      <w:r w:rsidRPr="004E76B7">
        <w:rPr>
          <w:bCs/>
          <w:lang w:val="en-GB"/>
        </w:rPr>
        <w:t xml:space="preserve">monotherapy or </w:t>
      </w:r>
      <w:proofErr w:type="spellStart"/>
      <w:r w:rsidRPr="004E76B7">
        <w:rPr>
          <w:bCs/>
          <w:lang w:val="en-GB"/>
        </w:rPr>
        <w:t>ipilimumab</w:t>
      </w:r>
      <w:proofErr w:type="spellEnd"/>
      <w:r w:rsidRPr="004E76B7">
        <w:rPr>
          <w:bCs/>
          <w:lang w:val="en-GB"/>
        </w:rPr>
        <w:t xml:space="preserve"> monotherapy. The PBAC noted that there were </w:t>
      </w:r>
      <w:r w:rsidR="006459AC">
        <w:rPr>
          <w:bCs/>
          <w:lang w:val="en-GB"/>
        </w:rPr>
        <w:t>limited new</w:t>
      </w:r>
      <w:r w:rsidR="00517DB7">
        <w:rPr>
          <w:bCs/>
          <w:lang w:val="en-GB"/>
        </w:rPr>
        <w:t xml:space="preserve"> safety data presented in the resubmission</w:t>
      </w:r>
      <w:r w:rsidR="006459AC">
        <w:rPr>
          <w:bCs/>
          <w:lang w:val="en-GB"/>
        </w:rPr>
        <w:t xml:space="preserve">, and reiterated that there were </w:t>
      </w:r>
      <w:r w:rsidRPr="004E76B7">
        <w:rPr>
          <w:bCs/>
          <w:lang w:val="en-GB"/>
        </w:rPr>
        <w:t xml:space="preserve">significantly higher rates of serious AEs with </w:t>
      </w:r>
      <w:r w:rsidR="00940EEB">
        <w:rPr>
          <w:bCs/>
          <w:lang w:val="en-GB"/>
        </w:rPr>
        <w:t>NIVO+IPI</w:t>
      </w:r>
      <w:r w:rsidRPr="004E76B7">
        <w:rPr>
          <w:bCs/>
          <w:lang w:val="en-GB"/>
        </w:rPr>
        <w:t xml:space="preserve"> combination therapy compared to </w:t>
      </w:r>
      <w:proofErr w:type="spellStart"/>
      <w:r w:rsidR="00461CF7">
        <w:rPr>
          <w:bCs/>
          <w:lang w:val="en-GB"/>
        </w:rPr>
        <w:t>nivolumab</w:t>
      </w:r>
      <w:proofErr w:type="spellEnd"/>
      <w:r w:rsidR="00461CF7">
        <w:rPr>
          <w:bCs/>
          <w:lang w:val="en-GB"/>
        </w:rPr>
        <w:t xml:space="preserve"> </w:t>
      </w:r>
      <w:r w:rsidRPr="004E76B7">
        <w:rPr>
          <w:bCs/>
          <w:lang w:val="en-GB"/>
        </w:rPr>
        <w:t>monotherap</w:t>
      </w:r>
      <w:r w:rsidR="006459AC">
        <w:rPr>
          <w:bCs/>
          <w:lang w:val="en-GB"/>
        </w:rPr>
        <w:t xml:space="preserve">y at </w:t>
      </w:r>
      <w:r w:rsidR="003D0B3F">
        <w:rPr>
          <w:bCs/>
          <w:lang w:val="en-GB"/>
        </w:rPr>
        <w:t>nine</w:t>
      </w:r>
      <w:r w:rsidR="006459AC">
        <w:rPr>
          <w:bCs/>
          <w:lang w:val="en-GB"/>
        </w:rPr>
        <w:t xml:space="preserve"> months</w:t>
      </w:r>
      <w:r w:rsidRPr="004E76B7">
        <w:rPr>
          <w:bCs/>
          <w:lang w:val="en-GB"/>
        </w:rPr>
        <w:t xml:space="preserve">, with the combination treatment having, for example, an odds ratio of 6.27 (95% CI: 4.42, 8.89) for any severe AE over </w:t>
      </w:r>
      <w:proofErr w:type="spellStart"/>
      <w:r w:rsidRPr="004E76B7">
        <w:rPr>
          <w:bCs/>
          <w:lang w:val="en-GB"/>
        </w:rPr>
        <w:t>nivolumab</w:t>
      </w:r>
      <w:proofErr w:type="spellEnd"/>
      <w:r w:rsidRPr="004E76B7">
        <w:rPr>
          <w:bCs/>
          <w:lang w:val="en-GB"/>
        </w:rPr>
        <w:t xml:space="preserve"> monotherapy, and an odds ratio for discontinuations due to drug-related AEs of 6.90 (95% CI: 4.32, 11.01) over </w:t>
      </w:r>
      <w:proofErr w:type="spellStart"/>
      <w:r w:rsidRPr="004E76B7">
        <w:rPr>
          <w:bCs/>
          <w:lang w:val="en-GB"/>
        </w:rPr>
        <w:t>nivolumab</w:t>
      </w:r>
      <w:proofErr w:type="spellEnd"/>
      <w:r w:rsidRPr="004E76B7">
        <w:rPr>
          <w:bCs/>
          <w:lang w:val="en-GB"/>
        </w:rPr>
        <w:t xml:space="preserve"> monotherapy. The PBAC was also concerned by early reports of endocrine toxicity, with the possibility of irreversible diabetes (paragraph 7.5, 5.10 </w:t>
      </w:r>
      <w:proofErr w:type="spellStart"/>
      <w:r w:rsidRPr="004E76B7">
        <w:rPr>
          <w:bCs/>
          <w:lang w:val="en-GB"/>
        </w:rPr>
        <w:t>nivolumab</w:t>
      </w:r>
      <w:proofErr w:type="spellEnd"/>
      <w:r w:rsidRPr="004E76B7">
        <w:rPr>
          <w:bCs/>
          <w:lang w:val="en-GB"/>
        </w:rPr>
        <w:t xml:space="preserve"> plus </w:t>
      </w:r>
      <w:proofErr w:type="spellStart"/>
      <w:r w:rsidRPr="004E76B7">
        <w:rPr>
          <w:bCs/>
          <w:lang w:val="en-GB"/>
        </w:rPr>
        <w:t>ipilimumab</w:t>
      </w:r>
      <w:proofErr w:type="spellEnd"/>
      <w:r w:rsidRPr="004E76B7">
        <w:rPr>
          <w:bCs/>
          <w:lang w:val="en-GB"/>
        </w:rPr>
        <w:t xml:space="preserve"> PSD, November 2015 PBAC meeting).</w:t>
      </w:r>
    </w:p>
    <w:p w:rsidR="00517DB7" w:rsidRPr="004E76B7" w:rsidRDefault="00517DB7" w:rsidP="00EF1D65">
      <w:pPr>
        <w:pStyle w:val="ListParagraph"/>
        <w:widowControl/>
        <w:numPr>
          <w:ilvl w:val="1"/>
          <w:numId w:val="2"/>
        </w:numPr>
      </w:pPr>
      <w:r>
        <w:rPr>
          <w:bCs/>
          <w:lang w:val="en-GB"/>
        </w:rPr>
        <w:t xml:space="preserve">The PBAC acknowledged that clinicians were becoming better versed in treating the adverse events, particularly in the urban setting, but noted that safety in the more rural and remote settings </w:t>
      </w:r>
      <w:r w:rsidR="001A1CE8">
        <w:rPr>
          <w:bCs/>
          <w:lang w:val="en-GB"/>
        </w:rPr>
        <w:t xml:space="preserve">and private hospitals </w:t>
      </w:r>
      <w:r>
        <w:rPr>
          <w:bCs/>
          <w:lang w:val="en-GB"/>
        </w:rPr>
        <w:t xml:space="preserve">remained a concern. The PBAC noted that there was a need for </w:t>
      </w:r>
      <w:r w:rsidR="001A1CE8">
        <w:rPr>
          <w:bCs/>
          <w:lang w:val="en-GB"/>
        </w:rPr>
        <w:t xml:space="preserve">improved </w:t>
      </w:r>
      <w:r>
        <w:rPr>
          <w:bCs/>
          <w:lang w:val="en-GB"/>
        </w:rPr>
        <w:t xml:space="preserve">access to </w:t>
      </w:r>
      <w:r w:rsidR="00B433BE">
        <w:rPr>
          <w:bCs/>
          <w:lang w:val="en-GB"/>
        </w:rPr>
        <w:t xml:space="preserve">high-cost </w:t>
      </w:r>
      <w:r>
        <w:rPr>
          <w:bCs/>
          <w:lang w:val="en-GB"/>
        </w:rPr>
        <w:t>rescue therapies</w:t>
      </w:r>
      <w:r w:rsidR="001A1CE8" w:rsidRPr="001A1CE8">
        <w:rPr>
          <w:bCs/>
          <w:lang w:val="en-GB"/>
        </w:rPr>
        <w:t xml:space="preserve"> </w:t>
      </w:r>
      <w:r w:rsidR="001A1CE8">
        <w:rPr>
          <w:bCs/>
          <w:lang w:val="en-GB"/>
        </w:rPr>
        <w:t xml:space="preserve">in these </w:t>
      </w:r>
      <w:r w:rsidR="001A1CE8">
        <w:rPr>
          <w:bCs/>
          <w:lang w:val="en-GB"/>
        </w:rPr>
        <w:lastRenderedPageBreak/>
        <w:t>settings</w:t>
      </w:r>
      <w:r>
        <w:rPr>
          <w:bCs/>
          <w:lang w:val="en-GB"/>
        </w:rPr>
        <w:t>, for example infliximab for treatment-induced colitis</w:t>
      </w:r>
      <w:r w:rsidR="001A1CE8">
        <w:rPr>
          <w:bCs/>
          <w:lang w:val="en-GB"/>
        </w:rPr>
        <w:t xml:space="preserve"> which is not currently PBS-funded</w:t>
      </w:r>
      <w:r w:rsidR="00B433BE">
        <w:rPr>
          <w:bCs/>
          <w:lang w:val="en-GB"/>
        </w:rPr>
        <w:t xml:space="preserve"> </w:t>
      </w:r>
      <w:r w:rsidR="00930161">
        <w:rPr>
          <w:bCs/>
          <w:lang w:val="en-GB"/>
        </w:rPr>
        <w:t xml:space="preserve">for this indication </w:t>
      </w:r>
      <w:proofErr w:type="gramStart"/>
      <w:r w:rsidR="00B433BE">
        <w:rPr>
          <w:bCs/>
          <w:lang w:val="en-GB"/>
        </w:rPr>
        <w:t>nor</w:t>
      </w:r>
      <w:proofErr w:type="gramEnd"/>
      <w:r w:rsidR="00B433BE">
        <w:rPr>
          <w:bCs/>
          <w:lang w:val="en-GB"/>
        </w:rPr>
        <w:t xml:space="preserve"> routinely available on hospital formula</w:t>
      </w:r>
      <w:r w:rsidR="007D6138">
        <w:rPr>
          <w:bCs/>
          <w:lang w:val="en-GB"/>
        </w:rPr>
        <w:t>r</w:t>
      </w:r>
      <w:r w:rsidR="00B433BE">
        <w:rPr>
          <w:bCs/>
          <w:lang w:val="en-GB"/>
        </w:rPr>
        <w:t>ies</w:t>
      </w:r>
      <w:r>
        <w:rPr>
          <w:bCs/>
          <w:lang w:val="en-GB"/>
        </w:rPr>
        <w:t>.</w:t>
      </w:r>
    </w:p>
    <w:p w:rsidR="00697472" w:rsidRPr="00AB44F5" w:rsidRDefault="00697472" w:rsidP="00AB44F5">
      <w:pPr>
        <w:pStyle w:val="Heading2"/>
        <w:keepNext/>
        <w:spacing w:before="120" w:after="120"/>
        <w:rPr>
          <w:rFonts w:asciiTheme="minorHAnsi" w:hAnsiTheme="minorHAnsi"/>
          <w:bCs/>
          <w:szCs w:val="28"/>
        </w:rPr>
      </w:pPr>
      <w:bookmarkStart w:id="10" w:name="_Toc514158494"/>
      <w:r w:rsidRPr="00AB44F5">
        <w:rPr>
          <w:rFonts w:asciiTheme="minorHAnsi" w:hAnsiTheme="minorHAnsi"/>
          <w:bCs/>
          <w:szCs w:val="28"/>
        </w:rPr>
        <w:t>Benefits/harms</w:t>
      </w:r>
      <w:bookmarkEnd w:id="10"/>
    </w:p>
    <w:p w:rsidR="00697472" w:rsidRPr="004E76B7" w:rsidRDefault="00697472" w:rsidP="00EF1D65">
      <w:pPr>
        <w:pStyle w:val="ListParagraph"/>
        <w:widowControl/>
        <w:numPr>
          <w:ilvl w:val="1"/>
          <w:numId w:val="2"/>
        </w:numPr>
      </w:pPr>
      <w:r w:rsidRPr="004E76B7">
        <w:t xml:space="preserve">A summary of the comparative benefits and harms for NIVO+IPI versus </w:t>
      </w:r>
      <w:proofErr w:type="spellStart"/>
      <w:r w:rsidRPr="004E76B7">
        <w:t>nivolumab</w:t>
      </w:r>
      <w:proofErr w:type="spellEnd"/>
      <w:r w:rsidRPr="004E76B7">
        <w:t xml:space="preserve"> monotherapy in treatment naïve patients is presented in the table below.</w:t>
      </w:r>
    </w:p>
    <w:p w:rsidR="00697472" w:rsidRPr="00C30506" w:rsidRDefault="00697472" w:rsidP="00697472">
      <w:pPr>
        <w:pStyle w:val="Caption"/>
        <w:keepNext/>
        <w:rPr>
          <w:rStyle w:val="CommentReference"/>
          <w:b/>
        </w:rPr>
      </w:pPr>
      <w:r w:rsidRPr="00C30506">
        <w:rPr>
          <w:rStyle w:val="CommentReference"/>
          <w:b/>
        </w:rPr>
        <w:t xml:space="preserve">Table </w:t>
      </w:r>
      <w:r w:rsidR="00622B9E">
        <w:rPr>
          <w:rStyle w:val="CommentReference"/>
          <w:b/>
          <w:noProof/>
        </w:rPr>
        <w:t>9</w:t>
      </w:r>
      <w:r w:rsidR="00026B24">
        <w:rPr>
          <w:rStyle w:val="CommentReference"/>
          <w:b/>
        </w:rPr>
        <w:t xml:space="preserve">: </w:t>
      </w:r>
      <w:r w:rsidRPr="00C30506">
        <w:rPr>
          <w:rStyle w:val="CommentReference"/>
          <w:b/>
        </w:rPr>
        <w:t xml:space="preserve">Summary of comparative benefits and harms for NIVO+IPI and </w:t>
      </w:r>
      <w:proofErr w:type="spellStart"/>
      <w:r w:rsidRPr="00C30506">
        <w:rPr>
          <w:rStyle w:val="CommentReference"/>
          <w:b/>
        </w:rPr>
        <w:t>nivolumab</w:t>
      </w:r>
      <w:proofErr w:type="spellEnd"/>
      <w:r w:rsidRPr="00C30506">
        <w:rPr>
          <w:rStyle w:val="CommentReference"/>
          <w:b/>
        </w:rPr>
        <w:t xml:space="preserve"> monotherapy</w:t>
      </w:r>
      <w:r w:rsidR="00B376C2">
        <w:rPr>
          <w:rStyle w:val="CommentReference"/>
          <w:b/>
        </w:rPr>
        <w:t>*</w:t>
      </w:r>
      <w:r w:rsidRPr="00C30506">
        <w:rPr>
          <w:rStyle w:val="CommentReference"/>
          <w:b/>
        </w:rPr>
        <w:t xml:space="preserve"> – CA209067</w:t>
      </w:r>
    </w:p>
    <w:tbl>
      <w:tblPr>
        <w:tblStyle w:val="TableGrid"/>
        <w:tblW w:w="5000" w:type="pct"/>
        <w:tblCellMar>
          <w:left w:w="28" w:type="dxa"/>
          <w:right w:w="28" w:type="dxa"/>
        </w:tblCellMar>
        <w:tblLook w:val="04A0" w:firstRow="1" w:lastRow="0" w:firstColumn="1" w:lastColumn="0" w:noHBand="0" w:noVBand="1"/>
        <w:tblCaption w:val="Table 9: Summary of comparative benefits and harms for NIVO+IPI and nivolumab monotherapy* – CA209067"/>
      </w:tblPr>
      <w:tblGrid>
        <w:gridCol w:w="1560"/>
        <w:gridCol w:w="632"/>
        <w:gridCol w:w="510"/>
        <w:gridCol w:w="1134"/>
        <w:gridCol w:w="144"/>
        <w:gridCol w:w="1384"/>
        <w:gridCol w:w="218"/>
        <w:gridCol w:w="1275"/>
        <w:gridCol w:w="469"/>
        <w:gridCol w:w="743"/>
        <w:gridCol w:w="1014"/>
      </w:tblGrid>
      <w:tr w:rsidR="00697472" w:rsidRPr="00E2771E" w:rsidTr="009716C6">
        <w:trPr>
          <w:tblHeader/>
        </w:trPr>
        <w:tc>
          <w:tcPr>
            <w:tcW w:w="5000" w:type="pct"/>
            <w:gridSpan w:val="11"/>
            <w:shd w:val="clear" w:color="auto" w:fill="auto"/>
            <w:vAlign w:val="center"/>
          </w:tcPr>
          <w:p w:rsidR="00697472" w:rsidRPr="00E2771E" w:rsidRDefault="00B376C2" w:rsidP="00B376C2">
            <w:pPr>
              <w:rPr>
                <w:rFonts w:ascii="Arial Narrow" w:hAnsi="Arial Narrow"/>
                <w:b/>
                <w:color w:val="000000"/>
                <w:sz w:val="20"/>
                <w:szCs w:val="18"/>
              </w:rPr>
            </w:pPr>
            <w:r>
              <w:rPr>
                <w:rFonts w:ascii="Arial Narrow" w:hAnsi="Arial Narrow"/>
                <w:b/>
                <w:color w:val="000000"/>
                <w:sz w:val="20"/>
                <w:szCs w:val="18"/>
              </w:rPr>
              <w:t>Benefit – PFS</w:t>
            </w:r>
          </w:p>
        </w:tc>
      </w:tr>
      <w:tr w:rsidR="00697472" w:rsidRPr="00E2771E" w:rsidTr="00165EE5">
        <w:tc>
          <w:tcPr>
            <w:tcW w:w="1207" w:type="pct"/>
            <w:gridSpan w:val="2"/>
            <w:shd w:val="clear" w:color="auto" w:fill="auto"/>
            <w:vAlign w:val="center"/>
          </w:tcPr>
          <w:p w:rsidR="00697472" w:rsidRPr="00E2771E" w:rsidRDefault="00697472" w:rsidP="00B44EA5">
            <w:pPr>
              <w:jc w:val="center"/>
              <w:rPr>
                <w:rFonts w:ascii="Arial Narrow" w:hAnsi="Arial Narrow"/>
                <w:color w:val="000000"/>
                <w:sz w:val="20"/>
                <w:szCs w:val="18"/>
              </w:rPr>
            </w:pPr>
          </w:p>
        </w:tc>
        <w:tc>
          <w:tcPr>
            <w:tcW w:w="905" w:type="pct"/>
            <w:gridSpan w:val="2"/>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NIVO+IPI</w:t>
            </w:r>
          </w:p>
        </w:tc>
        <w:tc>
          <w:tcPr>
            <w:tcW w:w="841" w:type="pct"/>
            <w:gridSpan w:val="2"/>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w:t>
            </w:r>
          </w:p>
        </w:tc>
        <w:tc>
          <w:tcPr>
            <w:tcW w:w="1080" w:type="pct"/>
            <w:gridSpan w:val="3"/>
            <w:vAlign w:val="center"/>
          </w:tcPr>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Pr>
                <w:rFonts w:ascii="Arial Narrow" w:hAnsi="Arial Narrow"/>
                <w:b/>
                <w:color w:val="000000"/>
                <w:sz w:val="20"/>
                <w:szCs w:val="18"/>
              </w:rPr>
              <w:t>d</w:t>
            </w:r>
            <w:r w:rsidRPr="00E2771E">
              <w:rPr>
                <w:rFonts w:ascii="Arial Narrow" w:hAnsi="Arial Narrow"/>
                <w:b/>
                <w:color w:val="000000"/>
                <w:sz w:val="20"/>
                <w:szCs w:val="18"/>
              </w:rPr>
              <w:t>ifference</w:t>
            </w:r>
          </w:p>
        </w:tc>
        <w:tc>
          <w:tcPr>
            <w:tcW w:w="967" w:type="pct"/>
            <w:gridSpan w:val="2"/>
            <w:vAlign w:val="center"/>
          </w:tcPr>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697472" w:rsidRPr="00E2771E" w:rsidTr="00165EE5">
        <w:tc>
          <w:tcPr>
            <w:tcW w:w="1207" w:type="pct"/>
            <w:gridSpan w:val="2"/>
            <w:shd w:val="clear" w:color="auto" w:fill="auto"/>
          </w:tcPr>
          <w:p w:rsidR="00697472" w:rsidRPr="00E2771E" w:rsidRDefault="00697472" w:rsidP="00B44EA5">
            <w:pPr>
              <w:jc w:val="left"/>
              <w:rPr>
                <w:rFonts w:ascii="Arial Narrow" w:hAnsi="Arial Narrow"/>
                <w:color w:val="000000"/>
                <w:sz w:val="20"/>
                <w:szCs w:val="18"/>
              </w:rPr>
            </w:pPr>
            <w:r>
              <w:rPr>
                <w:rFonts w:ascii="Arial Narrow" w:hAnsi="Arial Narrow"/>
                <w:color w:val="000000"/>
                <w:sz w:val="20"/>
                <w:szCs w:val="18"/>
              </w:rPr>
              <w:t xml:space="preserve">Progressed </w:t>
            </w:r>
            <w:r w:rsidR="001D09CC">
              <w:rPr>
                <w:rFonts w:ascii="Arial Narrow" w:hAnsi="Arial Narrow"/>
                <w:color w:val="000000"/>
                <w:sz w:val="20"/>
                <w:szCs w:val="18"/>
              </w:rPr>
              <w:t>or died</w:t>
            </w:r>
          </w:p>
        </w:tc>
        <w:tc>
          <w:tcPr>
            <w:tcW w:w="905" w:type="pct"/>
            <w:gridSpan w:val="2"/>
          </w:tcPr>
          <w:p w:rsidR="00697472" w:rsidRPr="00E2771E" w:rsidRDefault="00697472" w:rsidP="00B44EA5">
            <w:pPr>
              <w:jc w:val="center"/>
              <w:rPr>
                <w:rFonts w:ascii="Arial Narrow" w:hAnsi="Arial Narrow"/>
                <w:sz w:val="20"/>
              </w:rPr>
            </w:pPr>
            <w:r>
              <w:rPr>
                <w:rFonts w:ascii="Arial Narrow" w:hAnsi="Arial Narrow"/>
                <w:sz w:val="20"/>
              </w:rPr>
              <w:t>179</w:t>
            </w:r>
            <w:r w:rsidRPr="00E2771E">
              <w:rPr>
                <w:rFonts w:ascii="Arial Narrow" w:hAnsi="Arial Narrow"/>
                <w:sz w:val="20"/>
              </w:rPr>
              <w:t>/</w:t>
            </w:r>
            <w:r>
              <w:rPr>
                <w:rFonts w:ascii="Arial Narrow" w:hAnsi="Arial Narrow"/>
                <w:sz w:val="20"/>
              </w:rPr>
              <w:t>314 (57.0%)</w:t>
            </w:r>
          </w:p>
        </w:tc>
        <w:tc>
          <w:tcPr>
            <w:tcW w:w="841" w:type="pct"/>
            <w:gridSpan w:val="2"/>
          </w:tcPr>
          <w:p w:rsidR="00697472" w:rsidRPr="00E2771E" w:rsidRDefault="00697472" w:rsidP="00B44EA5">
            <w:pPr>
              <w:jc w:val="center"/>
              <w:rPr>
                <w:rFonts w:ascii="Arial Narrow" w:hAnsi="Arial Narrow"/>
                <w:sz w:val="20"/>
              </w:rPr>
            </w:pPr>
            <w:r>
              <w:rPr>
                <w:rFonts w:ascii="Arial Narrow" w:hAnsi="Arial Narrow"/>
                <w:sz w:val="20"/>
              </w:rPr>
              <w:t>199</w:t>
            </w:r>
            <w:r w:rsidRPr="00E2771E">
              <w:rPr>
                <w:rFonts w:ascii="Arial Narrow" w:hAnsi="Arial Narrow"/>
                <w:sz w:val="20"/>
              </w:rPr>
              <w:t>/</w:t>
            </w:r>
            <w:r>
              <w:rPr>
                <w:rFonts w:ascii="Arial Narrow" w:hAnsi="Arial Narrow"/>
                <w:sz w:val="20"/>
              </w:rPr>
              <w:t>316</w:t>
            </w:r>
            <w:r w:rsidRPr="00E2771E">
              <w:rPr>
                <w:rFonts w:ascii="Arial Narrow" w:hAnsi="Arial Narrow"/>
                <w:sz w:val="20"/>
              </w:rPr>
              <w:t xml:space="preserve"> </w:t>
            </w:r>
            <w:r>
              <w:rPr>
                <w:rFonts w:ascii="Arial Narrow" w:hAnsi="Arial Narrow"/>
                <w:sz w:val="20"/>
              </w:rPr>
              <w:t>(63.0%)</w:t>
            </w:r>
          </w:p>
        </w:tc>
        <w:tc>
          <w:tcPr>
            <w:tcW w:w="1080" w:type="pct"/>
            <w:gridSpan w:val="3"/>
            <w:vAlign w:val="center"/>
          </w:tcPr>
          <w:p w:rsidR="00697472" w:rsidRPr="00E2771E" w:rsidRDefault="00697472" w:rsidP="00B44EA5">
            <w:pPr>
              <w:jc w:val="center"/>
              <w:rPr>
                <w:rFonts w:ascii="Arial Narrow" w:hAnsi="Arial Narrow"/>
                <w:color w:val="000000"/>
                <w:sz w:val="20"/>
                <w:szCs w:val="18"/>
              </w:rPr>
            </w:pPr>
            <w:r w:rsidRPr="00E2771E">
              <w:rPr>
                <w:rFonts w:ascii="Arial Narrow" w:hAnsi="Arial Narrow"/>
                <w:color w:val="000000"/>
                <w:sz w:val="20"/>
                <w:szCs w:val="18"/>
              </w:rPr>
              <w:t>-</w:t>
            </w:r>
          </w:p>
        </w:tc>
        <w:tc>
          <w:tcPr>
            <w:tcW w:w="967"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sz w:val="20"/>
              </w:rPr>
              <w:t>0.78 (0.64, 0.96)</w:t>
            </w:r>
          </w:p>
        </w:tc>
      </w:tr>
      <w:tr w:rsidR="00697472" w:rsidRPr="00E2771E" w:rsidTr="00165EE5">
        <w:tc>
          <w:tcPr>
            <w:tcW w:w="1207" w:type="pct"/>
            <w:gridSpan w:val="2"/>
            <w:shd w:val="clear" w:color="auto" w:fill="auto"/>
            <w:vAlign w:val="center"/>
          </w:tcPr>
          <w:p w:rsidR="00697472" w:rsidRPr="00E2771E" w:rsidRDefault="00697472" w:rsidP="00B44EA5">
            <w:pPr>
              <w:rPr>
                <w:rFonts w:ascii="Arial Narrow" w:hAnsi="Arial Narrow"/>
                <w:color w:val="000000"/>
                <w:sz w:val="20"/>
                <w:szCs w:val="18"/>
              </w:rPr>
            </w:pPr>
            <w:r w:rsidRPr="00E2771E">
              <w:rPr>
                <w:rFonts w:ascii="Arial Narrow" w:hAnsi="Arial Narrow"/>
                <w:color w:val="000000"/>
                <w:sz w:val="20"/>
                <w:szCs w:val="18"/>
              </w:rPr>
              <w:t xml:space="preserve">Median </w:t>
            </w:r>
            <w:r>
              <w:rPr>
                <w:rFonts w:ascii="Arial Narrow" w:hAnsi="Arial Narrow"/>
                <w:color w:val="000000"/>
                <w:sz w:val="20"/>
                <w:szCs w:val="18"/>
              </w:rPr>
              <w:t xml:space="preserve">PFS </w:t>
            </w:r>
            <w:r w:rsidRPr="00E2771E">
              <w:rPr>
                <w:rFonts w:ascii="Arial Narrow" w:hAnsi="Arial Narrow"/>
                <w:color w:val="000000"/>
                <w:sz w:val="20"/>
                <w:szCs w:val="18"/>
              </w:rPr>
              <w:t>(m</w:t>
            </w:r>
            <w:r>
              <w:rPr>
                <w:rFonts w:ascii="Arial Narrow" w:hAnsi="Arial Narrow"/>
                <w:color w:val="000000"/>
                <w:sz w:val="20"/>
                <w:szCs w:val="18"/>
              </w:rPr>
              <w:t>on</w:t>
            </w:r>
            <w:r w:rsidRPr="00E2771E">
              <w:rPr>
                <w:rFonts w:ascii="Arial Narrow" w:hAnsi="Arial Narrow"/>
                <w:color w:val="000000"/>
                <w:sz w:val="20"/>
                <w:szCs w:val="18"/>
              </w:rPr>
              <w:t>ths)</w:t>
            </w:r>
          </w:p>
        </w:tc>
        <w:tc>
          <w:tcPr>
            <w:tcW w:w="905" w:type="pct"/>
            <w:gridSpan w:val="2"/>
          </w:tcPr>
          <w:p w:rsidR="00697472" w:rsidRPr="00E2771E" w:rsidRDefault="00697472" w:rsidP="00B44EA5">
            <w:pPr>
              <w:jc w:val="center"/>
              <w:rPr>
                <w:rFonts w:ascii="Arial Narrow" w:hAnsi="Arial Narrow"/>
                <w:sz w:val="20"/>
              </w:rPr>
            </w:pPr>
            <w:r>
              <w:rPr>
                <w:rFonts w:ascii="Arial Narrow" w:hAnsi="Arial Narrow"/>
                <w:sz w:val="20"/>
              </w:rPr>
              <w:t>11.5 (8.7, 19.3)</w:t>
            </w:r>
          </w:p>
        </w:tc>
        <w:tc>
          <w:tcPr>
            <w:tcW w:w="841" w:type="pct"/>
            <w:gridSpan w:val="2"/>
          </w:tcPr>
          <w:p w:rsidR="00697472" w:rsidRPr="00E2771E" w:rsidRDefault="00697472" w:rsidP="00B44EA5">
            <w:pPr>
              <w:jc w:val="center"/>
              <w:rPr>
                <w:rFonts w:ascii="Arial Narrow" w:hAnsi="Arial Narrow"/>
                <w:sz w:val="20"/>
              </w:rPr>
            </w:pPr>
            <w:r>
              <w:rPr>
                <w:rFonts w:ascii="Arial Narrow" w:hAnsi="Arial Narrow"/>
                <w:sz w:val="20"/>
              </w:rPr>
              <w:t>6.9 (5.1, 9.7)</w:t>
            </w:r>
          </w:p>
        </w:tc>
        <w:tc>
          <w:tcPr>
            <w:tcW w:w="1080" w:type="pct"/>
            <w:gridSpan w:val="3"/>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4.6</w:t>
            </w:r>
          </w:p>
        </w:tc>
        <w:tc>
          <w:tcPr>
            <w:tcW w:w="967" w:type="pct"/>
            <w:gridSpan w:val="2"/>
            <w:vAlign w:val="center"/>
          </w:tcPr>
          <w:p w:rsidR="00697472" w:rsidRPr="00E2771E" w:rsidRDefault="00697472" w:rsidP="00B44EA5">
            <w:pPr>
              <w:jc w:val="center"/>
              <w:rPr>
                <w:rFonts w:ascii="Arial Narrow" w:hAnsi="Arial Narrow"/>
                <w:color w:val="000000"/>
                <w:sz w:val="20"/>
                <w:szCs w:val="18"/>
              </w:rPr>
            </w:pPr>
            <w:r w:rsidRPr="00E2771E">
              <w:rPr>
                <w:rFonts w:ascii="Arial Narrow" w:hAnsi="Arial Narrow"/>
                <w:color w:val="000000"/>
                <w:sz w:val="20"/>
                <w:szCs w:val="18"/>
              </w:rPr>
              <w:t>-</w:t>
            </w:r>
          </w:p>
        </w:tc>
      </w:tr>
      <w:tr w:rsidR="00697472" w:rsidRPr="00E2771E" w:rsidTr="00165EE5">
        <w:tc>
          <w:tcPr>
            <w:tcW w:w="5000" w:type="pct"/>
            <w:gridSpan w:val="11"/>
            <w:shd w:val="clear" w:color="auto" w:fill="auto"/>
            <w:vAlign w:val="center"/>
          </w:tcPr>
          <w:p w:rsidR="00697472" w:rsidRPr="00E2771E" w:rsidRDefault="00697472" w:rsidP="00B44EA5">
            <w:pPr>
              <w:rPr>
                <w:rFonts w:ascii="Arial Narrow" w:hAnsi="Arial Narrow"/>
                <w:b/>
                <w:color w:val="000000"/>
                <w:sz w:val="20"/>
                <w:szCs w:val="18"/>
              </w:rPr>
            </w:pPr>
            <w:r>
              <w:rPr>
                <w:rFonts w:ascii="Arial Narrow" w:hAnsi="Arial Narrow"/>
                <w:b/>
                <w:color w:val="000000"/>
                <w:sz w:val="20"/>
                <w:szCs w:val="18"/>
              </w:rPr>
              <w:t>Benefit – O</w:t>
            </w:r>
            <w:r w:rsidR="00B376C2">
              <w:rPr>
                <w:rFonts w:ascii="Arial Narrow" w:hAnsi="Arial Narrow"/>
                <w:b/>
                <w:color w:val="000000"/>
                <w:sz w:val="20"/>
                <w:szCs w:val="18"/>
              </w:rPr>
              <w:t>S</w:t>
            </w:r>
          </w:p>
        </w:tc>
      </w:tr>
      <w:tr w:rsidR="00697472" w:rsidRPr="00E2771E" w:rsidTr="00165EE5">
        <w:tc>
          <w:tcPr>
            <w:tcW w:w="1207" w:type="pct"/>
            <w:gridSpan w:val="2"/>
            <w:shd w:val="clear" w:color="auto" w:fill="auto"/>
          </w:tcPr>
          <w:p w:rsidR="00697472" w:rsidRPr="00E2771E" w:rsidRDefault="00697472" w:rsidP="00B44EA5">
            <w:pPr>
              <w:jc w:val="left"/>
              <w:rPr>
                <w:rFonts w:ascii="Arial Narrow" w:hAnsi="Arial Narrow"/>
                <w:color w:val="000000"/>
                <w:sz w:val="20"/>
                <w:szCs w:val="18"/>
              </w:rPr>
            </w:pPr>
            <w:r>
              <w:rPr>
                <w:rFonts w:ascii="Arial Narrow" w:hAnsi="Arial Narrow"/>
                <w:color w:val="000000"/>
                <w:sz w:val="20"/>
                <w:szCs w:val="18"/>
              </w:rPr>
              <w:t xml:space="preserve">Death </w:t>
            </w:r>
          </w:p>
        </w:tc>
        <w:tc>
          <w:tcPr>
            <w:tcW w:w="905" w:type="pct"/>
            <w:gridSpan w:val="2"/>
          </w:tcPr>
          <w:p w:rsidR="00697472" w:rsidRPr="00E2771E" w:rsidRDefault="00697472" w:rsidP="00B44EA5">
            <w:pPr>
              <w:jc w:val="center"/>
              <w:rPr>
                <w:rFonts w:ascii="Arial Narrow" w:hAnsi="Arial Narrow"/>
                <w:sz w:val="20"/>
              </w:rPr>
            </w:pPr>
            <w:r>
              <w:rPr>
                <w:rFonts w:ascii="Arial Narrow" w:hAnsi="Arial Narrow"/>
                <w:sz w:val="20"/>
              </w:rPr>
              <w:t>139</w:t>
            </w:r>
            <w:r w:rsidRPr="00E2771E">
              <w:rPr>
                <w:rFonts w:ascii="Arial Narrow" w:hAnsi="Arial Narrow"/>
                <w:sz w:val="20"/>
              </w:rPr>
              <w:t>/</w:t>
            </w:r>
            <w:r>
              <w:rPr>
                <w:rFonts w:ascii="Arial Narrow" w:hAnsi="Arial Narrow"/>
                <w:sz w:val="20"/>
              </w:rPr>
              <w:t>314 (44.3%)</w:t>
            </w:r>
          </w:p>
        </w:tc>
        <w:tc>
          <w:tcPr>
            <w:tcW w:w="841" w:type="pct"/>
            <w:gridSpan w:val="2"/>
          </w:tcPr>
          <w:p w:rsidR="00697472" w:rsidRPr="00E2771E" w:rsidRDefault="00697472" w:rsidP="00B44EA5">
            <w:pPr>
              <w:jc w:val="center"/>
              <w:rPr>
                <w:rFonts w:ascii="Arial Narrow" w:hAnsi="Arial Narrow"/>
                <w:sz w:val="20"/>
              </w:rPr>
            </w:pPr>
            <w:r>
              <w:rPr>
                <w:rFonts w:ascii="Arial Narrow" w:hAnsi="Arial Narrow"/>
                <w:sz w:val="20"/>
              </w:rPr>
              <w:t>158</w:t>
            </w:r>
            <w:r w:rsidRPr="00E2771E">
              <w:rPr>
                <w:rFonts w:ascii="Arial Narrow" w:hAnsi="Arial Narrow"/>
                <w:sz w:val="20"/>
              </w:rPr>
              <w:t>/</w:t>
            </w:r>
            <w:r>
              <w:rPr>
                <w:rFonts w:ascii="Arial Narrow" w:hAnsi="Arial Narrow"/>
                <w:sz w:val="20"/>
              </w:rPr>
              <w:t>316</w:t>
            </w:r>
            <w:r w:rsidRPr="00E2771E">
              <w:rPr>
                <w:rFonts w:ascii="Arial Narrow" w:hAnsi="Arial Narrow"/>
                <w:sz w:val="20"/>
              </w:rPr>
              <w:t xml:space="preserve"> </w:t>
            </w:r>
            <w:r>
              <w:rPr>
                <w:rFonts w:ascii="Arial Narrow" w:hAnsi="Arial Narrow"/>
                <w:sz w:val="20"/>
              </w:rPr>
              <w:t>(50.0%)</w:t>
            </w:r>
          </w:p>
        </w:tc>
        <w:tc>
          <w:tcPr>
            <w:tcW w:w="1080" w:type="pct"/>
            <w:gridSpan w:val="3"/>
            <w:vAlign w:val="center"/>
          </w:tcPr>
          <w:p w:rsidR="00697472" w:rsidRPr="00E2771E" w:rsidRDefault="00697472" w:rsidP="00B44EA5">
            <w:pPr>
              <w:jc w:val="center"/>
              <w:rPr>
                <w:rFonts w:ascii="Arial Narrow" w:hAnsi="Arial Narrow"/>
                <w:color w:val="000000"/>
                <w:sz w:val="20"/>
                <w:szCs w:val="18"/>
              </w:rPr>
            </w:pPr>
            <w:r w:rsidRPr="00E2771E">
              <w:rPr>
                <w:rFonts w:ascii="Arial Narrow" w:hAnsi="Arial Narrow"/>
                <w:color w:val="000000"/>
                <w:sz w:val="20"/>
                <w:szCs w:val="18"/>
              </w:rPr>
              <w:t>-</w:t>
            </w:r>
          </w:p>
        </w:tc>
        <w:tc>
          <w:tcPr>
            <w:tcW w:w="967"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sz w:val="20"/>
              </w:rPr>
              <w:t>0.85 (0.68, 1.07)</w:t>
            </w:r>
          </w:p>
        </w:tc>
      </w:tr>
      <w:tr w:rsidR="00697472" w:rsidRPr="00E2771E" w:rsidTr="00165EE5">
        <w:tc>
          <w:tcPr>
            <w:tcW w:w="1207" w:type="pct"/>
            <w:gridSpan w:val="2"/>
            <w:shd w:val="clear" w:color="auto" w:fill="auto"/>
            <w:vAlign w:val="center"/>
          </w:tcPr>
          <w:p w:rsidR="00697472" w:rsidRPr="00E2771E" w:rsidRDefault="00697472" w:rsidP="00B44EA5">
            <w:pPr>
              <w:rPr>
                <w:rFonts w:ascii="Arial Narrow" w:hAnsi="Arial Narrow"/>
                <w:color w:val="000000"/>
                <w:sz w:val="20"/>
                <w:szCs w:val="18"/>
              </w:rPr>
            </w:pPr>
            <w:r w:rsidRPr="00E2771E">
              <w:rPr>
                <w:rFonts w:ascii="Arial Narrow" w:hAnsi="Arial Narrow"/>
                <w:color w:val="000000"/>
                <w:sz w:val="20"/>
                <w:szCs w:val="18"/>
              </w:rPr>
              <w:t xml:space="preserve">Median </w:t>
            </w:r>
            <w:r>
              <w:rPr>
                <w:rFonts w:ascii="Arial Narrow" w:hAnsi="Arial Narrow"/>
                <w:color w:val="000000"/>
                <w:sz w:val="20"/>
                <w:szCs w:val="18"/>
              </w:rPr>
              <w:t xml:space="preserve">OS </w:t>
            </w:r>
            <w:r w:rsidRPr="00E2771E">
              <w:rPr>
                <w:rFonts w:ascii="Arial Narrow" w:hAnsi="Arial Narrow"/>
                <w:color w:val="000000"/>
                <w:sz w:val="20"/>
                <w:szCs w:val="18"/>
              </w:rPr>
              <w:t>(m</w:t>
            </w:r>
            <w:r>
              <w:rPr>
                <w:rFonts w:ascii="Arial Narrow" w:hAnsi="Arial Narrow"/>
                <w:color w:val="000000"/>
                <w:sz w:val="20"/>
                <w:szCs w:val="18"/>
              </w:rPr>
              <w:t>on</w:t>
            </w:r>
            <w:r w:rsidRPr="00E2771E">
              <w:rPr>
                <w:rFonts w:ascii="Arial Narrow" w:hAnsi="Arial Narrow"/>
                <w:color w:val="000000"/>
                <w:sz w:val="20"/>
                <w:szCs w:val="18"/>
              </w:rPr>
              <w:t>ths)</w:t>
            </w:r>
          </w:p>
        </w:tc>
        <w:tc>
          <w:tcPr>
            <w:tcW w:w="905" w:type="pct"/>
            <w:gridSpan w:val="2"/>
          </w:tcPr>
          <w:p w:rsidR="00697472" w:rsidRPr="00E2771E" w:rsidRDefault="00697472" w:rsidP="00B44EA5">
            <w:pPr>
              <w:jc w:val="center"/>
              <w:rPr>
                <w:rFonts w:ascii="Arial Narrow" w:hAnsi="Arial Narrow"/>
                <w:sz w:val="20"/>
              </w:rPr>
            </w:pPr>
            <w:r>
              <w:rPr>
                <w:rFonts w:ascii="Arial Narrow" w:hAnsi="Arial Narrow"/>
                <w:sz w:val="20"/>
              </w:rPr>
              <w:t>NA (38.18, NA)</w:t>
            </w:r>
          </w:p>
        </w:tc>
        <w:tc>
          <w:tcPr>
            <w:tcW w:w="841" w:type="pct"/>
            <w:gridSpan w:val="2"/>
          </w:tcPr>
          <w:p w:rsidR="00697472" w:rsidRPr="00E2771E" w:rsidRDefault="00697472" w:rsidP="00B44EA5">
            <w:pPr>
              <w:jc w:val="center"/>
              <w:rPr>
                <w:rFonts w:ascii="Arial Narrow" w:hAnsi="Arial Narrow"/>
                <w:sz w:val="20"/>
              </w:rPr>
            </w:pPr>
            <w:r>
              <w:rPr>
                <w:rFonts w:ascii="Arial Narrow" w:hAnsi="Arial Narrow"/>
                <w:sz w:val="20"/>
              </w:rPr>
              <w:t>37.59 (29.08, NA)</w:t>
            </w:r>
          </w:p>
        </w:tc>
        <w:tc>
          <w:tcPr>
            <w:tcW w:w="1080" w:type="pct"/>
            <w:gridSpan w:val="3"/>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w:t>
            </w:r>
          </w:p>
        </w:tc>
        <w:tc>
          <w:tcPr>
            <w:tcW w:w="967" w:type="pct"/>
            <w:gridSpan w:val="2"/>
            <w:vAlign w:val="center"/>
          </w:tcPr>
          <w:p w:rsidR="00697472" w:rsidRPr="00E2771E" w:rsidRDefault="00697472" w:rsidP="00B44EA5">
            <w:pPr>
              <w:jc w:val="center"/>
              <w:rPr>
                <w:rFonts w:ascii="Arial Narrow" w:hAnsi="Arial Narrow"/>
                <w:color w:val="000000"/>
                <w:sz w:val="20"/>
                <w:szCs w:val="18"/>
              </w:rPr>
            </w:pPr>
            <w:r w:rsidRPr="00E2771E">
              <w:rPr>
                <w:rFonts w:ascii="Arial Narrow" w:hAnsi="Arial Narrow"/>
                <w:color w:val="000000"/>
                <w:sz w:val="20"/>
                <w:szCs w:val="18"/>
              </w:rPr>
              <w:t>-</w:t>
            </w:r>
          </w:p>
        </w:tc>
      </w:tr>
      <w:tr w:rsidR="00697472" w:rsidRPr="00E2771E" w:rsidTr="00165EE5">
        <w:tc>
          <w:tcPr>
            <w:tcW w:w="5000" w:type="pct"/>
            <w:gridSpan w:val="11"/>
            <w:tcBorders>
              <w:top w:val="double" w:sz="4" w:space="0" w:color="auto"/>
            </w:tcBorders>
            <w:shd w:val="clear" w:color="auto" w:fill="auto"/>
            <w:vAlign w:val="center"/>
          </w:tcPr>
          <w:p w:rsidR="00697472" w:rsidRPr="00E2771E" w:rsidRDefault="00697472" w:rsidP="00B44EA5">
            <w:pPr>
              <w:rPr>
                <w:rFonts w:ascii="Arial Narrow" w:hAnsi="Arial Narrow"/>
                <w:b/>
                <w:color w:val="000000"/>
                <w:sz w:val="20"/>
                <w:szCs w:val="18"/>
              </w:rPr>
            </w:pPr>
            <w:r>
              <w:rPr>
                <w:rFonts w:ascii="Arial Narrow" w:hAnsi="Arial Narrow"/>
                <w:b/>
                <w:color w:val="000000"/>
                <w:sz w:val="20"/>
                <w:szCs w:val="18"/>
              </w:rPr>
              <w:t>Harms</w:t>
            </w:r>
          </w:p>
        </w:tc>
      </w:tr>
      <w:tr w:rsidR="00697472" w:rsidRPr="00E2771E" w:rsidTr="00165EE5">
        <w:trPr>
          <w:trHeight w:val="70"/>
        </w:trPr>
        <w:tc>
          <w:tcPr>
            <w:tcW w:w="859" w:type="pct"/>
            <w:vMerge w:val="restart"/>
            <w:shd w:val="clear" w:color="auto" w:fill="auto"/>
            <w:vAlign w:val="center"/>
          </w:tcPr>
          <w:p w:rsidR="00697472" w:rsidRPr="00E2771E" w:rsidRDefault="00697472" w:rsidP="00B44EA5">
            <w:pPr>
              <w:rPr>
                <w:rFonts w:ascii="Arial Narrow" w:hAnsi="Arial Narrow"/>
                <w:b/>
                <w:color w:val="000000"/>
                <w:sz w:val="20"/>
                <w:szCs w:val="18"/>
              </w:rPr>
            </w:pPr>
          </w:p>
        </w:tc>
        <w:tc>
          <w:tcPr>
            <w:tcW w:w="629" w:type="pct"/>
            <w:gridSpan w:val="2"/>
            <w:vMerge w:val="restart"/>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NIVO+IPI</w:t>
            </w:r>
          </w:p>
        </w:tc>
        <w:tc>
          <w:tcPr>
            <w:tcW w:w="703" w:type="pct"/>
            <w:gridSpan w:val="2"/>
            <w:vMerge w:val="restart"/>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w:t>
            </w:r>
          </w:p>
        </w:tc>
        <w:tc>
          <w:tcPr>
            <w:tcW w:w="882" w:type="pct"/>
            <w:gridSpan w:val="2"/>
            <w:vMerge w:val="restart"/>
            <w:vAlign w:val="center"/>
          </w:tcPr>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RR</w:t>
            </w:r>
          </w:p>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69" w:type="pct"/>
            <w:gridSpan w:val="3"/>
            <w:vAlign w:val="center"/>
          </w:tcPr>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Event rate/100 patients</w:t>
            </w:r>
          </w:p>
        </w:tc>
        <w:tc>
          <w:tcPr>
            <w:tcW w:w="558" w:type="pct"/>
            <w:vMerge w:val="restart"/>
            <w:vAlign w:val="center"/>
          </w:tcPr>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RD</w:t>
            </w:r>
          </w:p>
          <w:p w:rsidR="00697472" w:rsidRPr="00E2771E" w:rsidRDefault="00697472" w:rsidP="00B44EA5">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697472" w:rsidRPr="00E2771E" w:rsidTr="00165EE5">
        <w:trPr>
          <w:trHeight w:val="189"/>
        </w:trPr>
        <w:tc>
          <w:tcPr>
            <w:tcW w:w="859" w:type="pct"/>
            <w:vMerge/>
            <w:shd w:val="clear" w:color="auto" w:fill="auto"/>
            <w:vAlign w:val="center"/>
          </w:tcPr>
          <w:p w:rsidR="00697472" w:rsidRPr="00E2771E" w:rsidRDefault="00697472" w:rsidP="00B44EA5">
            <w:pPr>
              <w:rPr>
                <w:rFonts w:ascii="Arial Narrow" w:hAnsi="Arial Narrow"/>
                <w:b/>
                <w:color w:val="000000"/>
                <w:sz w:val="20"/>
                <w:szCs w:val="18"/>
              </w:rPr>
            </w:pPr>
          </w:p>
        </w:tc>
        <w:tc>
          <w:tcPr>
            <w:tcW w:w="629" w:type="pct"/>
            <w:gridSpan w:val="2"/>
            <w:vMerge/>
            <w:vAlign w:val="center"/>
          </w:tcPr>
          <w:p w:rsidR="00697472" w:rsidRPr="00E2771E" w:rsidRDefault="00697472" w:rsidP="00B44EA5">
            <w:pPr>
              <w:jc w:val="center"/>
              <w:rPr>
                <w:rFonts w:ascii="Arial Narrow" w:hAnsi="Arial Narrow"/>
                <w:b/>
                <w:color w:val="000000"/>
                <w:sz w:val="20"/>
                <w:szCs w:val="18"/>
              </w:rPr>
            </w:pPr>
          </w:p>
        </w:tc>
        <w:tc>
          <w:tcPr>
            <w:tcW w:w="703" w:type="pct"/>
            <w:gridSpan w:val="2"/>
            <w:vMerge/>
            <w:vAlign w:val="center"/>
          </w:tcPr>
          <w:p w:rsidR="00697472" w:rsidRPr="00E2771E" w:rsidRDefault="00697472" w:rsidP="00B44EA5">
            <w:pPr>
              <w:jc w:val="center"/>
              <w:rPr>
                <w:rFonts w:ascii="Arial Narrow" w:hAnsi="Arial Narrow"/>
                <w:b/>
                <w:color w:val="000000"/>
                <w:sz w:val="20"/>
                <w:szCs w:val="18"/>
              </w:rPr>
            </w:pPr>
          </w:p>
        </w:tc>
        <w:tc>
          <w:tcPr>
            <w:tcW w:w="882" w:type="pct"/>
            <w:gridSpan w:val="2"/>
            <w:vMerge/>
            <w:vAlign w:val="center"/>
          </w:tcPr>
          <w:p w:rsidR="00697472" w:rsidRPr="00E2771E" w:rsidRDefault="00697472" w:rsidP="00B44EA5">
            <w:pPr>
              <w:jc w:val="center"/>
              <w:rPr>
                <w:rFonts w:ascii="Arial Narrow" w:hAnsi="Arial Narrow"/>
                <w:b/>
                <w:color w:val="000000"/>
                <w:sz w:val="20"/>
                <w:szCs w:val="18"/>
              </w:rPr>
            </w:pPr>
          </w:p>
        </w:tc>
        <w:tc>
          <w:tcPr>
            <w:tcW w:w="702" w:type="pct"/>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NIVO+IPI</w:t>
            </w:r>
          </w:p>
        </w:tc>
        <w:tc>
          <w:tcPr>
            <w:tcW w:w="667" w:type="pct"/>
            <w:gridSpan w:val="2"/>
            <w:vAlign w:val="center"/>
          </w:tcPr>
          <w:p w:rsidR="00697472" w:rsidRPr="00E2771E" w:rsidRDefault="00697472" w:rsidP="00B44EA5">
            <w:pPr>
              <w:jc w:val="center"/>
              <w:rPr>
                <w:rFonts w:ascii="Arial Narrow" w:hAnsi="Arial Narrow"/>
                <w:b/>
                <w:color w:val="000000"/>
                <w:sz w:val="20"/>
                <w:szCs w:val="18"/>
              </w:rPr>
            </w:pPr>
            <w:r>
              <w:rPr>
                <w:rFonts w:ascii="Arial Narrow" w:hAnsi="Arial Narrow"/>
                <w:b/>
                <w:color w:val="000000"/>
                <w:sz w:val="20"/>
                <w:szCs w:val="18"/>
              </w:rPr>
              <w:t>NIVO</w:t>
            </w:r>
          </w:p>
        </w:tc>
        <w:tc>
          <w:tcPr>
            <w:tcW w:w="558" w:type="pct"/>
            <w:vMerge/>
            <w:vAlign w:val="center"/>
          </w:tcPr>
          <w:p w:rsidR="00697472" w:rsidRPr="00E2771E" w:rsidRDefault="00697472" w:rsidP="00B44EA5">
            <w:pPr>
              <w:jc w:val="center"/>
              <w:rPr>
                <w:rFonts w:ascii="Arial Narrow" w:hAnsi="Arial Narrow"/>
                <w:b/>
                <w:color w:val="000000"/>
                <w:sz w:val="20"/>
                <w:szCs w:val="18"/>
              </w:rPr>
            </w:pPr>
          </w:p>
        </w:tc>
      </w:tr>
      <w:tr w:rsidR="00697472" w:rsidRPr="00E2771E" w:rsidTr="00165EE5">
        <w:tc>
          <w:tcPr>
            <w:tcW w:w="5000" w:type="pct"/>
            <w:gridSpan w:val="11"/>
            <w:shd w:val="clear" w:color="auto" w:fill="auto"/>
            <w:vAlign w:val="center"/>
          </w:tcPr>
          <w:p w:rsidR="00697472" w:rsidRPr="00E2771E" w:rsidRDefault="00697472" w:rsidP="00B44EA5">
            <w:pPr>
              <w:rPr>
                <w:rFonts w:ascii="Arial Narrow" w:hAnsi="Arial Narrow"/>
                <w:b/>
                <w:color w:val="000000"/>
                <w:sz w:val="20"/>
                <w:szCs w:val="18"/>
              </w:rPr>
            </w:pPr>
            <w:r>
              <w:rPr>
                <w:rFonts w:ascii="Arial Narrow" w:hAnsi="Arial Narrow"/>
                <w:b/>
                <w:color w:val="000000"/>
                <w:sz w:val="20"/>
                <w:szCs w:val="18"/>
              </w:rPr>
              <w:t>Study-drug related A</w:t>
            </w:r>
            <w:r w:rsidR="00B376C2">
              <w:rPr>
                <w:rFonts w:ascii="Arial Narrow" w:hAnsi="Arial Narrow"/>
                <w:b/>
                <w:color w:val="000000"/>
                <w:sz w:val="20"/>
                <w:szCs w:val="18"/>
              </w:rPr>
              <w:t>Es</w:t>
            </w:r>
          </w:p>
        </w:tc>
      </w:tr>
      <w:tr w:rsidR="00697472" w:rsidRPr="00E2771E" w:rsidTr="00165EE5">
        <w:tc>
          <w:tcPr>
            <w:tcW w:w="859" w:type="pct"/>
            <w:shd w:val="clear" w:color="auto" w:fill="auto"/>
          </w:tcPr>
          <w:p w:rsidR="00697472" w:rsidRPr="00E2771E" w:rsidRDefault="00697472" w:rsidP="00B44EA5">
            <w:pPr>
              <w:jc w:val="left"/>
              <w:rPr>
                <w:rFonts w:ascii="Arial Narrow" w:hAnsi="Arial Narrow"/>
                <w:color w:val="000000"/>
                <w:sz w:val="20"/>
                <w:szCs w:val="18"/>
              </w:rPr>
            </w:pPr>
            <w:r>
              <w:rPr>
                <w:rFonts w:ascii="Arial Narrow" w:hAnsi="Arial Narrow"/>
                <w:color w:val="000000"/>
                <w:sz w:val="20"/>
                <w:szCs w:val="18"/>
              </w:rPr>
              <w:t>AE leading to discontinuation</w:t>
            </w:r>
          </w:p>
        </w:tc>
        <w:tc>
          <w:tcPr>
            <w:tcW w:w="629"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123</w:t>
            </w:r>
            <w:r w:rsidRPr="00E2771E">
              <w:rPr>
                <w:rFonts w:ascii="Arial Narrow" w:hAnsi="Arial Narrow"/>
                <w:color w:val="000000"/>
                <w:sz w:val="20"/>
                <w:szCs w:val="18"/>
              </w:rPr>
              <w:t>/</w:t>
            </w:r>
            <w:r>
              <w:rPr>
                <w:rFonts w:ascii="Arial Narrow" w:hAnsi="Arial Narrow"/>
                <w:color w:val="000000"/>
                <w:sz w:val="20"/>
                <w:szCs w:val="18"/>
              </w:rPr>
              <w:t>313 (39%)</w:t>
            </w:r>
          </w:p>
        </w:tc>
        <w:tc>
          <w:tcPr>
            <w:tcW w:w="703"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37</w:t>
            </w:r>
            <w:r w:rsidRPr="00E2771E">
              <w:rPr>
                <w:rFonts w:ascii="Arial Narrow" w:hAnsi="Arial Narrow"/>
                <w:color w:val="000000"/>
                <w:sz w:val="20"/>
                <w:szCs w:val="18"/>
              </w:rPr>
              <w:t>/</w:t>
            </w:r>
            <w:r>
              <w:rPr>
                <w:rFonts w:ascii="Arial Narrow" w:hAnsi="Arial Narrow"/>
                <w:color w:val="000000"/>
                <w:sz w:val="20"/>
                <w:szCs w:val="18"/>
              </w:rPr>
              <w:t>313</w:t>
            </w:r>
            <w:r>
              <w:rPr>
                <w:rFonts w:ascii="Arial Narrow" w:hAnsi="Arial Narrow"/>
                <w:color w:val="000000"/>
                <w:sz w:val="20"/>
                <w:szCs w:val="18"/>
              </w:rPr>
              <w:br/>
              <w:t>(12%)</w:t>
            </w:r>
          </w:p>
        </w:tc>
        <w:tc>
          <w:tcPr>
            <w:tcW w:w="882"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3.32</w:t>
            </w:r>
          </w:p>
          <w:p w:rsidR="00697472" w:rsidRPr="00E2771E" w:rsidRDefault="00697472" w:rsidP="00B44EA5">
            <w:pPr>
              <w:jc w:val="center"/>
              <w:rPr>
                <w:rFonts w:ascii="Arial Narrow" w:hAnsi="Arial Narrow"/>
                <w:color w:val="000000"/>
                <w:sz w:val="20"/>
                <w:szCs w:val="18"/>
              </w:rPr>
            </w:pPr>
            <w:r w:rsidRPr="00E2771E">
              <w:rPr>
                <w:rFonts w:ascii="Arial Narrow" w:hAnsi="Arial Narrow"/>
                <w:color w:val="000000"/>
                <w:sz w:val="20"/>
                <w:szCs w:val="18"/>
              </w:rPr>
              <w:t>(</w:t>
            </w:r>
            <w:r>
              <w:rPr>
                <w:rFonts w:ascii="Arial Narrow" w:hAnsi="Arial Narrow"/>
                <w:color w:val="000000"/>
                <w:sz w:val="20"/>
                <w:szCs w:val="18"/>
              </w:rPr>
              <w:t>2.38</w:t>
            </w:r>
            <w:r w:rsidRPr="00E2771E">
              <w:rPr>
                <w:rFonts w:ascii="Arial Narrow" w:hAnsi="Arial Narrow"/>
                <w:color w:val="000000"/>
                <w:sz w:val="20"/>
                <w:szCs w:val="18"/>
              </w:rPr>
              <w:t xml:space="preserve">, </w:t>
            </w:r>
            <w:r>
              <w:rPr>
                <w:rFonts w:ascii="Arial Narrow" w:hAnsi="Arial Narrow"/>
                <w:color w:val="000000"/>
                <w:sz w:val="20"/>
                <w:szCs w:val="18"/>
              </w:rPr>
              <w:t>4.64</w:t>
            </w:r>
            <w:r w:rsidRPr="00E2771E">
              <w:rPr>
                <w:rFonts w:ascii="Arial Narrow" w:hAnsi="Arial Narrow"/>
                <w:color w:val="000000"/>
                <w:sz w:val="20"/>
                <w:szCs w:val="18"/>
              </w:rPr>
              <w:t>)</w:t>
            </w:r>
          </w:p>
        </w:tc>
        <w:tc>
          <w:tcPr>
            <w:tcW w:w="702" w:type="pct"/>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39</w:t>
            </w:r>
          </w:p>
        </w:tc>
        <w:tc>
          <w:tcPr>
            <w:tcW w:w="667" w:type="pct"/>
            <w:gridSpan w:val="2"/>
            <w:vAlign w:val="center"/>
          </w:tcPr>
          <w:p w:rsidR="00697472" w:rsidRPr="00E2771E" w:rsidRDefault="00697472" w:rsidP="00B44EA5">
            <w:pPr>
              <w:jc w:val="center"/>
              <w:rPr>
                <w:rFonts w:ascii="Arial Narrow" w:hAnsi="Arial Narrow"/>
                <w:color w:val="000000"/>
                <w:sz w:val="20"/>
                <w:szCs w:val="18"/>
              </w:rPr>
            </w:pPr>
            <w:r>
              <w:rPr>
                <w:rFonts w:ascii="Arial Narrow" w:hAnsi="Arial Narrow"/>
                <w:color w:val="000000"/>
                <w:sz w:val="20"/>
                <w:szCs w:val="18"/>
              </w:rPr>
              <w:t>12</w:t>
            </w:r>
          </w:p>
        </w:tc>
        <w:tc>
          <w:tcPr>
            <w:tcW w:w="558" w:type="pct"/>
            <w:vAlign w:val="center"/>
          </w:tcPr>
          <w:p w:rsidR="00697472" w:rsidRPr="00AE02F5" w:rsidRDefault="00697472" w:rsidP="00B44EA5">
            <w:pPr>
              <w:jc w:val="center"/>
              <w:rPr>
                <w:rFonts w:ascii="Arial Narrow" w:hAnsi="Arial Narrow"/>
                <w:color w:val="000000"/>
                <w:sz w:val="20"/>
                <w:szCs w:val="18"/>
              </w:rPr>
            </w:pPr>
            <w:r w:rsidRPr="00AE02F5">
              <w:rPr>
                <w:rFonts w:ascii="Arial Narrow" w:hAnsi="Arial Narrow"/>
                <w:color w:val="000000"/>
                <w:sz w:val="20"/>
                <w:szCs w:val="18"/>
              </w:rPr>
              <w:t>0.27</w:t>
            </w:r>
          </w:p>
          <w:p w:rsidR="00697472" w:rsidRPr="00AE02F5" w:rsidRDefault="00697472" w:rsidP="00B44EA5">
            <w:pPr>
              <w:jc w:val="center"/>
              <w:rPr>
                <w:rFonts w:ascii="Arial Narrow" w:hAnsi="Arial Narrow"/>
                <w:color w:val="000000"/>
                <w:sz w:val="20"/>
                <w:szCs w:val="18"/>
              </w:rPr>
            </w:pPr>
            <w:r w:rsidRPr="00AE02F5">
              <w:rPr>
                <w:rFonts w:ascii="Arial Narrow" w:hAnsi="Arial Narrow"/>
                <w:color w:val="000000"/>
                <w:sz w:val="20"/>
                <w:szCs w:val="18"/>
              </w:rPr>
              <w:t>(0.21, 0.34)</w:t>
            </w:r>
          </w:p>
        </w:tc>
      </w:tr>
    </w:tbl>
    <w:p w:rsidR="00697472" w:rsidRDefault="00697472" w:rsidP="00697472">
      <w:pPr>
        <w:pStyle w:val="TableFooter"/>
        <w:ind w:left="-14"/>
      </w:pPr>
      <w:r>
        <w:t xml:space="preserve">AE = adverse event; CI = confidence interval; HR = hazard ratio; IPI = </w:t>
      </w:r>
      <w:proofErr w:type="spellStart"/>
      <w:r>
        <w:t>ipilimumab</w:t>
      </w:r>
      <w:proofErr w:type="spellEnd"/>
      <w:r>
        <w:t>;</w:t>
      </w:r>
      <w:r w:rsidRPr="0072416F">
        <w:t xml:space="preserve"> </w:t>
      </w:r>
      <w:r>
        <w:t xml:space="preserve">NA = not available; NIVO = </w:t>
      </w:r>
      <w:proofErr w:type="spellStart"/>
      <w:r>
        <w:t>nivolumab</w:t>
      </w:r>
      <w:proofErr w:type="spellEnd"/>
      <w:r>
        <w:t xml:space="preserve">; OS = overall survival; PFS = progression free survival; </w:t>
      </w:r>
      <w:r w:rsidRPr="0072416F">
        <w:t>RD = risk difference; RR = risk ratio</w:t>
      </w:r>
      <w:r>
        <w:t>.</w:t>
      </w:r>
    </w:p>
    <w:p w:rsidR="00B376C2" w:rsidRPr="0072416F" w:rsidRDefault="00B376C2" w:rsidP="00697472">
      <w:pPr>
        <w:pStyle w:val="TableFooter"/>
        <w:ind w:left="-14"/>
      </w:pPr>
      <w:r>
        <w:t>* Minimum follow-up 36 months.</w:t>
      </w:r>
    </w:p>
    <w:p w:rsidR="00697472" w:rsidRPr="0072416F" w:rsidRDefault="00697472" w:rsidP="00697472">
      <w:pPr>
        <w:pStyle w:val="TableFooter"/>
        <w:ind w:left="-14"/>
      </w:pPr>
      <w:r w:rsidRPr="00942094">
        <w:t>Source: Compiled during the evaluation based on Section 2.5 of the</w:t>
      </w:r>
      <w:r>
        <w:t xml:space="preserve"> resubmission</w:t>
      </w:r>
    </w:p>
    <w:p w:rsidR="00235579" w:rsidRPr="004E76B7" w:rsidRDefault="00697472" w:rsidP="003235AE">
      <w:pPr>
        <w:widowControl/>
        <w:numPr>
          <w:ilvl w:val="1"/>
          <w:numId w:val="2"/>
        </w:numPr>
        <w:spacing w:before="120"/>
        <w:contextualSpacing/>
      </w:pPr>
      <w:r w:rsidRPr="004E76B7">
        <w:t xml:space="preserve">On the basis of the direct evidence presented in the resubmission, there would be approximately 4.6 months increase in median progression-free survival in patients treated with NIVO+IPI in comparison with </w:t>
      </w:r>
      <w:proofErr w:type="spellStart"/>
      <w:r w:rsidRPr="004E76B7">
        <w:t>nivolumab</w:t>
      </w:r>
      <w:proofErr w:type="spellEnd"/>
      <w:r w:rsidRPr="004E76B7">
        <w:t xml:space="preserve"> monotherapy in the first-line setting, over a minimum 36 months follow-up. There would be no improvement in overall survival between these two groups, although the OS data were immature and the trial was not adequately powered for this comparison. For every 100 patients treated with NIVO+IPI in comparison to </w:t>
      </w:r>
      <w:proofErr w:type="spellStart"/>
      <w:r w:rsidRPr="004E76B7">
        <w:t>nivolumab</w:t>
      </w:r>
      <w:proofErr w:type="spellEnd"/>
      <w:r w:rsidRPr="004E76B7">
        <w:t xml:space="preserve"> monotherapy:</w:t>
      </w:r>
      <w:r w:rsidR="004B34EC" w:rsidRPr="004E76B7">
        <w:t xml:space="preserve"> </w:t>
      </w:r>
    </w:p>
    <w:p w:rsidR="00697472" w:rsidRPr="004E76B7" w:rsidRDefault="00697472" w:rsidP="001422C9">
      <w:pPr>
        <w:pStyle w:val="ListParagraph"/>
        <w:widowControl/>
        <w:numPr>
          <w:ilvl w:val="0"/>
          <w:numId w:val="15"/>
        </w:numPr>
        <w:ind w:left="1276"/>
        <w:contextualSpacing/>
      </w:pPr>
      <w:proofErr w:type="gramStart"/>
      <w:r w:rsidRPr="004E76B7">
        <w:t>approximately</w:t>
      </w:r>
      <w:proofErr w:type="gramEnd"/>
      <w:r w:rsidRPr="004E76B7">
        <w:t xml:space="preserve"> 27 additional patients would experience a treatment-related AE leading to discontinuation of treatment over a minimum duration of follow-up of 36 months.</w:t>
      </w:r>
    </w:p>
    <w:p w:rsidR="00697472" w:rsidRPr="00AB44F5" w:rsidRDefault="00697472" w:rsidP="00AB44F5">
      <w:pPr>
        <w:pStyle w:val="Heading2"/>
        <w:keepNext/>
        <w:spacing w:before="120" w:after="120"/>
        <w:rPr>
          <w:rFonts w:asciiTheme="minorHAnsi" w:hAnsiTheme="minorHAnsi"/>
          <w:bCs/>
          <w:szCs w:val="28"/>
        </w:rPr>
      </w:pPr>
      <w:bookmarkStart w:id="11" w:name="_Toc514158495"/>
      <w:r w:rsidRPr="00AB44F5">
        <w:rPr>
          <w:rFonts w:asciiTheme="minorHAnsi" w:hAnsiTheme="minorHAnsi"/>
          <w:bCs/>
          <w:szCs w:val="28"/>
        </w:rPr>
        <w:t>Clinical claim</w:t>
      </w:r>
      <w:bookmarkEnd w:id="11"/>
    </w:p>
    <w:p w:rsidR="00697472" w:rsidRPr="004E76B7" w:rsidRDefault="00697472" w:rsidP="00716CF7">
      <w:pPr>
        <w:pStyle w:val="ListParagraph"/>
        <w:widowControl/>
        <w:numPr>
          <w:ilvl w:val="1"/>
          <w:numId w:val="2"/>
        </w:numPr>
      </w:pPr>
      <w:r w:rsidRPr="004E76B7">
        <w:t xml:space="preserve">The </w:t>
      </w:r>
      <w:r w:rsidR="00E1282A">
        <w:t xml:space="preserve">PBAC noted that the </w:t>
      </w:r>
      <w:r w:rsidRPr="004E76B7">
        <w:t xml:space="preserve">resubmission </w:t>
      </w:r>
      <w:r w:rsidR="00E1282A">
        <w:t xml:space="preserve">presented </w:t>
      </w:r>
      <w:r w:rsidR="00BB57A0">
        <w:t xml:space="preserve">a similar </w:t>
      </w:r>
      <w:r w:rsidR="00E1282A">
        <w:t>clinical claim</w:t>
      </w:r>
      <w:r w:rsidR="00BB57A0">
        <w:t xml:space="preserve"> to the previous submissions</w:t>
      </w:r>
      <w:r w:rsidR="00E1282A">
        <w:t xml:space="preserve">, </w:t>
      </w:r>
      <w:r w:rsidR="00E1282A" w:rsidRPr="004E76B7">
        <w:t>describ</w:t>
      </w:r>
      <w:r w:rsidR="00E1282A">
        <w:t>ing</w:t>
      </w:r>
      <w:r w:rsidR="00E1282A" w:rsidRPr="004E76B7">
        <w:t xml:space="preserve"> </w:t>
      </w:r>
      <w:r w:rsidRPr="004E76B7">
        <w:t xml:space="preserve">NIVO+IPI as superior in terms of PFS and </w:t>
      </w:r>
      <w:r w:rsidR="009C0365" w:rsidRPr="004E76B7">
        <w:t>objective response rate (</w:t>
      </w:r>
      <w:r w:rsidRPr="004E76B7">
        <w:t>ORR</w:t>
      </w:r>
      <w:r w:rsidR="009C0365" w:rsidRPr="004E76B7">
        <w:t>)</w:t>
      </w:r>
      <w:r w:rsidRPr="004E76B7">
        <w:t xml:space="preserve"> compared with </w:t>
      </w:r>
      <w:proofErr w:type="spellStart"/>
      <w:r w:rsidRPr="004E76B7">
        <w:t>nivolumab</w:t>
      </w:r>
      <w:proofErr w:type="spellEnd"/>
      <w:r w:rsidRPr="004E76B7">
        <w:t xml:space="preserve"> monotherapy, with an increasing positive trend in OS advantage over time, and inferior in terms of safety compared to </w:t>
      </w:r>
      <w:proofErr w:type="spellStart"/>
      <w:r w:rsidRPr="004E76B7">
        <w:t>nivolumab</w:t>
      </w:r>
      <w:proofErr w:type="spellEnd"/>
      <w:r w:rsidRPr="004E76B7">
        <w:t xml:space="preserve"> monotherapy</w:t>
      </w:r>
      <w:r w:rsidR="009E3FED" w:rsidRPr="004E76B7">
        <w:t xml:space="preserve"> within the </w:t>
      </w:r>
      <w:r w:rsidR="00DB0760" w:rsidRPr="004E76B7">
        <w:t>induction period</w:t>
      </w:r>
      <w:r w:rsidR="009E3FED" w:rsidRPr="004E76B7">
        <w:t>, with manageable adverse events</w:t>
      </w:r>
      <w:r w:rsidRPr="004E76B7">
        <w:t>.</w:t>
      </w:r>
      <w:r w:rsidR="00716CF7" w:rsidRPr="004E76B7">
        <w:t xml:space="preserve"> </w:t>
      </w:r>
      <w:r w:rsidRPr="004E76B7">
        <w:t xml:space="preserve">The </w:t>
      </w:r>
      <w:r w:rsidR="00BB57A0">
        <w:t xml:space="preserve">PBAC considered that the </w:t>
      </w:r>
      <w:r w:rsidRPr="004E76B7">
        <w:t xml:space="preserve">updated data from CA209067 were very similar to those presented in the previous resubmission and did not alter the conclusions regarding the comparative effectiveness and safety of NIVO+IPI compared with </w:t>
      </w:r>
      <w:proofErr w:type="spellStart"/>
      <w:r w:rsidRPr="004E76B7">
        <w:t>nivolumab</w:t>
      </w:r>
      <w:proofErr w:type="spellEnd"/>
      <w:r w:rsidRPr="004E76B7">
        <w:t xml:space="preserve"> monotherapy.</w:t>
      </w:r>
      <w:r w:rsidR="00461CF7">
        <w:t xml:space="preserve"> </w:t>
      </w:r>
    </w:p>
    <w:p w:rsidR="00697472" w:rsidRPr="004E76B7" w:rsidRDefault="00697472" w:rsidP="00EF1D65">
      <w:pPr>
        <w:pStyle w:val="ListParagraph"/>
        <w:widowControl/>
        <w:numPr>
          <w:ilvl w:val="1"/>
          <w:numId w:val="2"/>
        </w:numPr>
      </w:pPr>
      <w:r w:rsidRPr="004E76B7">
        <w:lastRenderedPageBreak/>
        <w:t>The data presented in the resubmission did not adequately support a claim of superior comparative effectiveness in the proposed PBS population:</w:t>
      </w:r>
    </w:p>
    <w:p w:rsidR="001F3838" w:rsidRPr="004E76B7" w:rsidRDefault="001F3838" w:rsidP="001422C9">
      <w:pPr>
        <w:pStyle w:val="ListParagraph"/>
        <w:widowControl/>
        <w:numPr>
          <w:ilvl w:val="0"/>
          <w:numId w:val="14"/>
        </w:numPr>
        <w:spacing w:after="0"/>
        <w:ind w:left="993" w:hanging="284"/>
        <w:rPr>
          <w:color w:val="000000" w:themeColor="text1"/>
        </w:rPr>
      </w:pPr>
      <w:r w:rsidRPr="004E76B7">
        <w:rPr>
          <w:color w:val="000000" w:themeColor="text1"/>
        </w:rPr>
        <w:t xml:space="preserve">The </w:t>
      </w:r>
      <w:r w:rsidR="00F032AA" w:rsidRPr="004E76B7">
        <w:rPr>
          <w:color w:val="000000" w:themeColor="text1"/>
        </w:rPr>
        <w:t>re</w:t>
      </w:r>
      <w:r w:rsidRPr="004E76B7">
        <w:rPr>
          <w:color w:val="000000" w:themeColor="text1"/>
        </w:rPr>
        <w:t xml:space="preserve">submission did not provide any evidence for the comparative effectiveness of second-line NIVO+IPI versus second-line </w:t>
      </w:r>
      <w:proofErr w:type="spellStart"/>
      <w:r w:rsidRPr="004E76B7">
        <w:rPr>
          <w:color w:val="000000" w:themeColor="text1"/>
        </w:rPr>
        <w:t>nivolumab</w:t>
      </w:r>
      <w:proofErr w:type="spellEnd"/>
      <w:r w:rsidRPr="004E76B7">
        <w:rPr>
          <w:color w:val="000000" w:themeColor="text1"/>
        </w:rPr>
        <w:t xml:space="preserve"> monotherapy in patients with BRAF </w:t>
      </w:r>
      <w:r w:rsidR="00D36853" w:rsidRPr="004E76B7">
        <w:rPr>
          <w:color w:val="000000" w:themeColor="text1"/>
        </w:rPr>
        <w:t>mutant type</w:t>
      </w:r>
      <w:r w:rsidRPr="004E76B7">
        <w:rPr>
          <w:color w:val="000000" w:themeColor="text1"/>
        </w:rPr>
        <w:t xml:space="preserve"> melanoma who have progressed following BRAF±MEK inhibitor therapy;</w:t>
      </w:r>
    </w:p>
    <w:p w:rsidR="00EF1D65" w:rsidRPr="004E76B7" w:rsidRDefault="00697472" w:rsidP="001422C9">
      <w:pPr>
        <w:pStyle w:val="ListParagraph"/>
        <w:widowControl/>
        <w:numPr>
          <w:ilvl w:val="0"/>
          <w:numId w:val="14"/>
        </w:numPr>
        <w:spacing w:after="0"/>
        <w:ind w:left="993" w:hanging="284"/>
        <w:rPr>
          <w:color w:val="000000" w:themeColor="text1"/>
        </w:rPr>
      </w:pPr>
      <w:r w:rsidRPr="004E76B7">
        <w:t xml:space="preserve">The updated data from CA209067 failed to demonstrate a statistically significant difference in OS with first-line NIVO+IPI compared with first-line </w:t>
      </w:r>
      <w:proofErr w:type="spellStart"/>
      <w:r w:rsidRPr="004E76B7">
        <w:t>nivolumab</w:t>
      </w:r>
      <w:proofErr w:type="spellEnd"/>
      <w:r w:rsidRPr="004E76B7">
        <w:t xml:space="preserve"> monotherapy (HR </w:t>
      </w:r>
      <w:r w:rsidR="00C63EC8">
        <w:t xml:space="preserve">= </w:t>
      </w:r>
      <w:r w:rsidRPr="004E76B7">
        <w:t>0.85; 95% CI: 0.68, 1.07), although the trial was not adequately powered for this comparison;</w:t>
      </w:r>
    </w:p>
    <w:p w:rsidR="00B376C2" w:rsidRPr="00BB57A0" w:rsidRDefault="00B376C2" w:rsidP="001422C9">
      <w:pPr>
        <w:pStyle w:val="ListParagraph"/>
        <w:widowControl/>
        <w:numPr>
          <w:ilvl w:val="1"/>
          <w:numId w:val="14"/>
        </w:numPr>
        <w:spacing w:after="0"/>
        <w:rPr>
          <w:color w:val="000000" w:themeColor="text1"/>
        </w:rPr>
      </w:pPr>
      <w:r w:rsidRPr="004E76B7">
        <w:t xml:space="preserve">There was no evidence of any </w:t>
      </w:r>
      <w:r w:rsidR="00FB0B09" w:rsidRPr="004E76B7">
        <w:t xml:space="preserve">additional </w:t>
      </w:r>
      <w:r w:rsidRPr="004E76B7">
        <w:t xml:space="preserve">OS </w:t>
      </w:r>
      <w:r w:rsidR="00BA7A0D" w:rsidRPr="00BB57A0">
        <w:t xml:space="preserve">or PFS </w:t>
      </w:r>
      <w:r w:rsidRPr="00BB57A0">
        <w:t xml:space="preserve">benefit with NIVO+IPI </w:t>
      </w:r>
      <w:r w:rsidR="00FB0B09" w:rsidRPr="00BB57A0">
        <w:t>compared with</w:t>
      </w:r>
      <w:r w:rsidRPr="00BB57A0">
        <w:t xml:space="preserve"> </w:t>
      </w:r>
      <w:proofErr w:type="spellStart"/>
      <w:r w:rsidRPr="00BB57A0">
        <w:t>nivolumab</w:t>
      </w:r>
      <w:proofErr w:type="spellEnd"/>
      <w:r w:rsidRPr="00BB57A0">
        <w:t xml:space="preserve"> monotherapy in patients with BRAF wild type melanoma (</w:t>
      </w:r>
      <w:r w:rsidR="00BA7A0D" w:rsidRPr="00BB57A0">
        <w:t xml:space="preserve">OS </w:t>
      </w:r>
      <w:r w:rsidRPr="00BB57A0">
        <w:t xml:space="preserve">HR </w:t>
      </w:r>
      <w:r w:rsidR="00C63EC8">
        <w:t xml:space="preserve">= </w:t>
      </w:r>
      <w:r w:rsidRPr="00BB57A0">
        <w:t>0.94; 95% CI: 0.72, 1.22;</w:t>
      </w:r>
      <w:r w:rsidR="00BA7A0D" w:rsidRPr="00BB57A0">
        <w:t xml:space="preserve"> PFS HR </w:t>
      </w:r>
      <w:r w:rsidR="00C63EC8">
        <w:t xml:space="preserve">= </w:t>
      </w:r>
      <w:r w:rsidR="00BA7A0D" w:rsidRPr="00BB57A0">
        <w:t>0.89; 95% CI 0.70, 1.14);</w:t>
      </w:r>
    </w:p>
    <w:p w:rsidR="00BA7A0D" w:rsidRPr="00C422CE" w:rsidRDefault="00BA7A0D" w:rsidP="001422C9">
      <w:pPr>
        <w:pStyle w:val="ListParagraph"/>
        <w:widowControl/>
        <w:numPr>
          <w:ilvl w:val="1"/>
          <w:numId w:val="14"/>
        </w:numPr>
        <w:spacing w:after="0"/>
        <w:rPr>
          <w:color w:val="000000" w:themeColor="text1"/>
        </w:rPr>
      </w:pPr>
      <w:r w:rsidRPr="00C422CE">
        <w:t>The PSCR reiterated that CA209067 was not statistically powered to make a formal comparison between NIVO+IPI and NIVO monotherapy in the total population or a BRAF subgroup. It presented a post-hoc assessment</w:t>
      </w:r>
      <w:r w:rsidR="00550D1C" w:rsidRPr="00C422CE">
        <w:rPr>
          <w:rStyle w:val="FootnoteReference"/>
        </w:rPr>
        <w:footnoteReference w:id="3"/>
      </w:r>
      <w:r w:rsidRPr="00C422CE">
        <w:t xml:space="preserve"> indicating that BRAF mutant patients across regions (n=102), as well as BRAF wildtype patients in the US</w:t>
      </w:r>
      <w:r w:rsidR="00C63EC8">
        <w:t>A</w:t>
      </w:r>
      <w:r w:rsidRPr="00C422CE">
        <w:t xml:space="preserve"> (n=26) demonstrated OS benefit consistent with the ITT population (n=313) for the NIVO+IPI arm relative to the NIVO arm. A similar OS benefit was not observed in the EU population in BRAF wildtype patients (n=123). It postulated that the EU BRAF wildtype patients had a higher baseline burden of disease (M1c, elevated LDH, and larger tumour size) and were mor</w:t>
      </w:r>
      <w:r w:rsidR="00C63EC8">
        <w:t>e likely to have received only one</w:t>
      </w:r>
      <w:r w:rsidRPr="00C422CE">
        <w:t xml:space="preserve"> dose of NIVO+IPI relative to the overall study population. Early deaths</w:t>
      </w:r>
      <w:r w:rsidR="00550D1C" w:rsidRPr="00C422CE">
        <w:t xml:space="preserve"> in the EU patients with BRAF wildtype</w:t>
      </w:r>
      <w:r w:rsidRPr="00C422CE">
        <w:t xml:space="preserve"> tumours may be attributed to the combination of poor prognostic factors and insufficient time to benefit from therapy. The large relative contribution o</w:t>
      </w:r>
      <w:r w:rsidR="00550D1C" w:rsidRPr="00C422CE">
        <w:t>f the EU patients to the BRAF wildtype</w:t>
      </w:r>
      <w:r w:rsidRPr="00C422CE">
        <w:t xml:space="preserve"> subgroup (123/212, 57%) may have skewed th</w:t>
      </w:r>
      <w:r w:rsidR="00550D1C" w:rsidRPr="00C422CE">
        <w:t>e overall results in the BRAF wildtype</w:t>
      </w:r>
      <w:r w:rsidRPr="00C422CE">
        <w:t xml:space="preserve"> subgroup.</w:t>
      </w:r>
    </w:p>
    <w:p w:rsidR="00550D1C" w:rsidRPr="00C422CE" w:rsidRDefault="00550D1C" w:rsidP="008F7623">
      <w:pPr>
        <w:pStyle w:val="ListParagraph"/>
        <w:widowControl/>
        <w:numPr>
          <w:ilvl w:val="1"/>
          <w:numId w:val="14"/>
        </w:numPr>
        <w:rPr>
          <w:lang w:val="en-US"/>
        </w:rPr>
      </w:pPr>
      <w:r w:rsidRPr="00C422CE">
        <w:t>The ESC noted that</w:t>
      </w:r>
      <w:r w:rsidRPr="00C422CE">
        <w:rPr>
          <w:lang w:val="en-US"/>
        </w:rPr>
        <w:t xml:space="preserve"> the PSCR did not provide details on how the assessment was conducted and the results could not be validated. The ESC was concerned that these were post hoc subgroup analyses, and </w:t>
      </w:r>
      <w:proofErr w:type="spellStart"/>
      <w:r w:rsidRPr="00C422CE">
        <w:rPr>
          <w:lang w:val="en-US"/>
        </w:rPr>
        <w:t>randomisation</w:t>
      </w:r>
      <w:proofErr w:type="spellEnd"/>
      <w:r w:rsidRPr="00C422CE">
        <w:rPr>
          <w:lang w:val="en-US"/>
        </w:rPr>
        <w:t xml:space="preserve"> did not appear to be stratified by region. As the baseline demographic and disease characteristics of the patients in each subgroup were not provided, it was not possible to assess </w:t>
      </w:r>
      <w:r w:rsidR="001178E8" w:rsidRPr="00C422CE">
        <w:rPr>
          <w:lang w:val="en-US"/>
        </w:rPr>
        <w:t xml:space="preserve">whether </w:t>
      </w:r>
      <w:r w:rsidRPr="00C422CE">
        <w:rPr>
          <w:lang w:val="en-US"/>
        </w:rPr>
        <w:t>other factors may have been contributing to the potential difference in outcomes across regions. Furthermore, as the PSCR did not provide a comparison of the disease characteristics of the proposed Australian population with those in the EU and US</w:t>
      </w:r>
      <w:r w:rsidR="00C63EC8">
        <w:rPr>
          <w:lang w:val="en-US"/>
        </w:rPr>
        <w:t>A</w:t>
      </w:r>
      <w:r w:rsidRPr="00C422CE">
        <w:rPr>
          <w:lang w:val="en-US"/>
        </w:rPr>
        <w:t xml:space="preserve"> subgroups in the trial, it was not possible to assess whether Australian patients are likely to </w:t>
      </w:r>
      <w:r w:rsidRPr="00C422CE">
        <w:rPr>
          <w:lang w:val="en-US"/>
        </w:rPr>
        <w:lastRenderedPageBreak/>
        <w:t>be more similar, on average, to the US</w:t>
      </w:r>
      <w:r w:rsidR="00C63EC8">
        <w:rPr>
          <w:lang w:val="en-US"/>
        </w:rPr>
        <w:t>A</w:t>
      </w:r>
      <w:r w:rsidRPr="00C422CE">
        <w:rPr>
          <w:lang w:val="en-US"/>
        </w:rPr>
        <w:t xml:space="preserve"> or the EU patients in the trial in terms of disease stage at initiation of treatment.</w:t>
      </w:r>
    </w:p>
    <w:p w:rsidR="00E31A41" w:rsidRPr="00C422CE" w:rsidRDefault="00697472" w:rsidP="00E31A41">
      <w:pPr>
        <w:pStyle w:val="ListParagraph"/>
        <w:widowControl/>
        <w:numPr>
          <w:ilvl w:val="0"/>
          <w:numId w:val="14"/>
        </w:numPr>
        <w:spacing w:after="120"/>
        <w:ind w:left="993" w:hanging="284"/>
        <w:rPr>
          <w:lang w:val="en-US"/>
        </w:rPr>
      </w:pPr>
      <w:r w:rsidRPr="00C422CE">
        <w:t xml:space="preserve">There was no clinical evidence that NIVO+IPI confers any benefit over </w:t>
      </w:r>
      <w:proofErr w:type="spellStart"/>
      <w:r w:rsidRPr="00C422CE">
        <w:t>nivolumab</w:t>
      </w:r>
      <w:proofErr w:type="spellEnd"/>
      <w:r w:rsidRPr="00C422CE">
        <w:t xml:space="preserve"> monotherapy in terms of quality of life</w:t>
      </w:r>
      <w:r w:rsidR="001F3838" w:rsidRPr="00C422CE">
        <w:t>, while it was associated with clinically meaningful deterioration in some measures</w:t>
      </w:r>
      <w:r w:rsidR="00E31A41" w:rsidRPr="00C422CE">
        <w:t xml:space="preserve">. </w:t>
      </w:r>
      <w:r w:rsidR="00C6468C" w:rsidRPr="00C422CE">
        <w:t xml:space="preserve">The PSCR reiterated </w:t>
      </w:r>
      <w:r w:rsidR="00E31A41" w:rsidRPr="00C422CE">
        <w:t>that the submission did not claim that NIVO+IPI confer</w:t>
      </w:r>
      <w:r w:rsidR="00531290" w:rsidRPr="00C422CE">
        <w:t>red</w:t>
      </w:r>
      <w:r w:rsidR="00E31A41" w:rsidRPr="00C422CE">
        <w:t xml:space="preserve"> any benefit over </w:t>
      </w:r>
      <w:proofErr w:type="spellStart"/>
      <w:r w:rsidR="00E31A41" w:rsidRPr="00C422CE">
        <w:t>nivolumab</w:t>
      </w:r>
      <w:proofErr w:type="spellEnd"/>
      <w:r w:rsidR="00E31A41" w:rsidRPr="00C422CE">
        <w:t xml:space="preserve"> monotherapy in terms of quality of life. The ESC considered that in </w:t>
      </w:r>
      <w:r w:rsidR="00E31A41" w:rsidRPr="00C422CE">
        <w:rPr>
          <w:lang w:val="en-US"/>
        </w:rPr>
        <w:t xml:space="preserve">the absence of evidence of any improvement in </w:t>
      </w:r>
      <w:proofErr w:type="spellStart"/>
      <w:r w:rsidR="00C63EC8">
        <w:rPr>
          <w:lang w:val="en-US"/>
        </w:rPr>
        <w:t>QoL</w:t>
      </w:r>
      <w:proofErr w:type="spellEnd"/>
      <w:r w:rsidR="00D3265D" w:rsidRPr="00C422CE">
        <w:rPr>
          <w:lang w:val="en-US"/>
        </w:rPr>
        <w:t xml:space="preserve"> or </w:t>
      </w:r>
      <w:r w:rsidR="00C63EC8">
        <w:rPr>
          <w:lang w:val="en-US"/>
        </w:rPr>
        <w:t>OS</w:t>
      </w:r>
      <w:r w:rsidR="00E31A41" w:rsidRPr="00C422CE">
        <w:rPr>
          <w:lang w:val="en-US"/>
        </w:rPr>
        <w:t xml:space="preserve">, the clinical </w:t>
      </w:r>
      <w:r w:rsidR="00D3265D" w:rsidRPr="00C422CE">
        <w:rPr>
          <w:lang w:val="en-US"/>
        </w:rPr>
        <w:t>importance</w:t>
      </w:r>
      <w:r w:rsidR="00E31A41" w:rsidRPr="00C422CE">
        <w:rPr>
          <w:lang w:val="en-US"/>
        </w:rPr>
        <w:t xml:space="preserve"> of a gain in median PFS of 4.6 months is unclear.</w:t>
      </w:r>
      <w:r w:rsidR="00AE02F5" w:rsidRPr="00C422CE">
        <w:rPr>
          <w:lang w:val="en-US"/>
        </w:rPr>
        <w:t xml:space="preserve"> The ESC advised that this was an important consideration given that the NIVO+IPI group did report clinically meaningful deterioration (role functioning, fatigue and appetite loss) over 7 – 115 weeks (refer to paragraph 6.16 above).</w:t>
      </w:r>
    </w:p>
    <w:p w:rsidR="00C6468C" w:rsidRPr="00C422CE" w:rsidRDefault="00D3265D" w:rsidP="00EF1D65">
      <w:pPr>
        <w:pStyle w:val="ListParagraph"/>
        <w:widowControl/>
        <w:numPr>
          <w:ilvl w:val="1"/>
          <w:numId w:val="2"/>
        </w:numPr>
      </w:pPr>
      <w:r w:rsidRPr="00C422CE">
        <w:t xml:space="preserve">The </w:t>
      </w:r>
      <w:r w:rsidR="00246FC6">
        <w:t>p</w:t>
      </w:r>
      <w:r w:rsidR="0004736D">
        <w:t xml:space="preserve">re-PBAC response and </w:t>
      </w:r>
      <w:r w:rsidRPr="00C422CE">
        <w:t xml:space="preserve">PSCR also reiterated </w:t>
      </w:r>
      <w:r w:rsidR="00C6468C" w:rsidRPr="00C422CE">
        <w:t xml:space="preserve">that the </w:t>
      </w:r>
      <w:r w:rsidR="00F860EF">
        <w:t>re</w:t>
      </w:r>
      <w:r w:rsidR="00C6468C" w:rsidRPr="00C422CE">
        <w:t>submission</w:t>
      </w:r>
      <w:r w:rsidR="00BA7A0D" w:rsidRPr="00C422CE">
        <w:t>, despite claiming that NIVO+IPI is superior in te</w:t>
      </w:r>
      <w:r w:rsidR="00E31A41" w:rsidRPr="00C422CE">
        <w:t xml:space="preserve">rms of efficacy compared to </w:t>
      </w:r>
      <w:proofErr w:type="spellStart"/>
      <w:r w:rsidR="00E31A41" w:rsidRPr="00C422CE">
        <w:t>nivolumab</w:t>
      </w:r>
      <w:proofErr w:type="spellEnd"/>
      <w:r w:rsidR="00BA7A0D" w:rsidRPr="00C422CE">
        <w:t xml:space="preserve"> monotherapy,</w:t>
      </w:r>
      <w:r w:rsidR="00C6468C" w:rsidRPr="00C422CE">
        <w:t xml:space="preserve"> did not claim any efficacy advantages in the economic evaluation.</w:t>
      </w:r>
      <w:r w:rsidR="0004736D">
        <w:t xml:space="preserve"> </w:t>
      </w:r>
      <w:r w:rsidR="00C6468C" w:rsidRPr="00C422CE">
        <w:t xml:space="preserve"> </w:t>
      </w:r>
    </w:p>
    <w:p w:rsidR="0004736D" w:rsidRDefault="0004736D" w:rsidP="00EF1D65">
      <w:pPr>
        <w:pStyle w:val="ListParagraph"/>
        <w:widowControl/>
        <w:numPr>
          <w:ilvl w:val="1"/>
          <w:numId w:val="2"/>
        </w:numPr>
      </w:pPr>
      <w:r>
        <w:t xml:space="preserve">As per its previous considerations, the PBAC </w:t>
      </w:r>
      <w:r w:rsidR="00E701EF">
        <w:t>reiterated</w:t>
      </w:r>
      <w:r>
        <w:t xml:space="preserve"> </w:t>
      </w:r>
      <w:r w:rsidRPr="004E76B7">
        <w:rPr>
          <w:color w:val="000000" w:themeColor="text1"/>
        </w:rPr>
        <w:t xml:space="preserve">that NIVO+IPI combination therapy </w:t>
      </w:r>
      <w:r w:rsidR="00E701EF">
        <w:rPr>
          <w:color w:val="000000" w:themeColor="text1"/>
        </w:rPr>
        <w:t>demonstrated superior comparative effectiveness in terms of a gain in PFS</w:t>
      </w:r>
      <w:r w:rsidR="009E5CB7">
        <w:rPr>
          <w:color w:val="000000" w:themeColor="text1"/>
        </w:rPr>
        <w:t xml:space="preserve">. The PBAC </w:t>
      </w:r>
      <w:r w:rsidR="00C47119">
        <w:rPr>
          <w:color w:val="000000" w:themeColor="text1"/>
        </w:rPr>
        <w:t>considered the clinical significance of</w:t>
      </w:r>
      <w:r w:rsidR="00BB57A0" w:rsidRPr="004E76B7">
        <w:rPr>
          <w:color w:val="000000" w:themeColor="text1"/>
        </w:rPr>
        <w:t xml:space="preserve"> th</w:t>
      </w:r>
      <w:r w:rsidR="009E5CB7">
        <w:rPr>
          <w:color w:val="000000" w:themeColor="text1"/>
        </w:rPr>
        <w:t>e</w:t>
      </w:r>
      <w:r w:rsidR="00BB57A0" w:rsidRPr="004E76B7">
        <w:rPr>
          <w:color w:val="000000" w:themeColor="text1"/>
        </w:rPr>
        <w:t xml:space="preserve"> gain in PFS </w:t>
      </w:r>
      <w:r w:rsidR="00C47119">
        <w:rPr>
          <w:color w:val="000000" w:themeColor="text1"/>
        </w:rPr>
        <w:t>to be uncertain in terms of improved</w:t>
      </w:r>
      <w:r w:rsidR="00BB57A0" w:rsidRPr="004E76B7">
        <w:rPr>
          <w:color w:val="000000" w:themeColor="text1"/>
        </w:rPr>
        <w:t xml:space="preserve"> </w:t>
      </w:r>
      <w:proofErr w:type="spellStart"/>
      <w:r w:rsidR="00C63EC8">
        <w:rPr>
          <w:color w:val="000000" w:themeColor="text1"/>
        </w:rPr>
        <w:t>QoL</w:t>
      </w:r>
      <w:proofErr w:type="spellEnd"/>
      <w:r w:rsidR="00BB57A0" w:rsidRPr="004E76B7">
        <w:rPr>
          <w:color w:val="000000" w:themeColor="text1"/>
        </w:rPr>
        <w:t xml:space="preserve"> or predicting any effect on OS</w:t>
      </w:r>
      <w:r w:rsidR="009E5CB7">
        <w:rPr>
          <w:color w:val="000000" w:themeColor="text1"/>
        </w:rPr>
        <w:t>; however, noted that the trial was not powered for the OS comparison</w:t>
      </w:r>
      <w:r>
        <w:rPr>
          <w:color w:val="000000" w:themeColor="text1"/>
        </w:rPr>
        <w:t>.</w:t>
      </w:r>
      <w:r w:rsidR="00BB57A0">
        <w:rPr>
          <w:color w:val="000000" w:themeColor="text1"/>
        </w:rPr>
        <w:t xml:space="preserve"> </w:t>
      </w:r>
    </w:p>
    <w:p w:rsidR="00697472" w:rsidRDefault="0004736D" w:rsidP="00EF1D65">
      <w:pPr>
        <w:pStyle w:val="ListParagraph"/>
        <w:widowControl/>
        <w:numPr>
          <w:ilvl w:val="1"/>
          <w:numId w:val="2"/>
        </w:numPr>
      </w:pPr>
      <w:r>
        <w:t>As per its previous considerations, t</w:t>
      </w:r>
      <w:r w:rsidR="00697472" w:rsidRPr="004E76B7">
        <w:t xml:space="preserve">he PBAC considered that the claim of inferior comparative safety was reasonable, noting that there were significantly higher rates of serious AEs with NIVO+IPI combination therapy compared with </w:t>
      </w:r>
      <w:proofErr w:type="spellStart"/>
      <w:r w:rsidR="00697472" w:rsidRPr="004E76B7">
        <w:t>nivolumab</w:t>
      </w:r>
      <w:proofErr w:type="spellEnd"/>
      <w:r w:rsidR="00697472" w:rsidRPr="004E76B7">
        <w:t xml:space="preserve"> monotherapy.</w:t>
      </w:r>
    </w:p>
    <w:p w:rsidR="00B60939" w:rsidRPr="00AB44F5" w:rsidRDefault="00B60939" w:rsidP="00AB44F5">
      <w:pPr>
        <w:pStyle w:val="Heading2"/>
        <w:keepNext/>
        <w:spacing w:before="120" w:after="120"/>
        <w:rPr>
          <w:rFonts w:asciiTheme="minorHAnsi" w:hAnsiTheme="minorHAnsi"/>
          <w:bCs/>
          <w:szCs w:val="28"/>
        </w:rPr>
      </w:pPr>
      <w:bookmarkStart w:id="12" w:name="_Toc514158496"/>
      <w:r w:rsidRPr="00AB44F5">
        <w:rPr>
          <w:rFonts w:asciiTheme="minorHAnsi" w:hAnsiTheme="minorHAnsi"/>
          <w:bCs/>
          <w:szCs w:val="28"/>
        </w:rPr>
        <w:t>Economic analysis</w:t>
      </w:r>
      <w:bookmarkEnd w:id="12"/>
      <w:r w:rsidR="00491B3A" w:rsidRPr="00AB44F5">
        <w:rPr>
          <w:rFonts w:asciiTheme="minorHAnsi" w:hAnsiTheme="minorHAnsi"/>
          <w:bCs/>
          <w:szCs w:val="28"/>
        </w:rPr>
        <w:t xml:space="preserve"> </w:t>
      </w:r>
    </w:p>
    <w:p w:rsidR="002D4D49" w:rsidRDefault="002D4D49" w:rsidP="002D4D49">
      <w:pPr>
        <w:pStyle w:val="ListParagraph"/>
        <w:widowControl/>
        <w:numPr>
          <w:ilvl w:val="1"/>
          <w:numId w:val="2"/>
        </w:numPr>
      </w:pPr>
      <w:r w:rsidRPr="004E76B7">
        <w:t xml:space="preserve">The resubmission presented a cost-analysis, largely based on CA209067, including the cost of managing </w:t>
      </w:r>
      <w:r w:rsidR="00C63EC8">
        <w:t>AE</w:t>
      </w:r>
      <w:r w:rsidRPr="004E76B7">
        <w:t xml:space="preserve">s, drug administration cost and the cost of subsequent therapies over a 3-year time horizon. A threshold analysis was performed to derive the proposed effective price for NIVO+IPI combination therapy, such that the total cost of treating a patient with NIVO+IPI (including subsequent therapies) was equal to the total cost of treating a patient with </w:t>
      </w:r>
      <w:proofErr w:type="spellStart"/>
      <w:r w:rsidRPr="004E76B7">
        <w:t>nivolumab</w:t>
      </w:r>
      <w:proofErr w:type="spellEnd"/>
      <w:r w:rsidRPr="004E76B7">
        <w:t xml:space="preserve"> monotherapy.</w:t>
      </w:r>
    </w:p>
    <w:p w:rsidR="00DE7545" w:rsidRPr="00C422CE" w:rsidRDefault="00622B9E" w:rsidP="00DE7545">
      <w:pPr>
        <w:pStyle w:val="ListParagraph"/>
        <w:widowControl/>
        <w:numPr>
          <w:ilvl w:val="1"/>
          <w:numId w:val="2"/>
        </w:numPr>
      </w:pPr>
      <w:r>
        <w:t>The PBAC considered that d</w:t>
      </w:r>
      <w:r w:rsidR="009C0365" w:rsidRPr="004E76B7">
        <w:t>ue</w:t>
      </w:r>
      <w:r w:rsidR="00DE7545" w:rsidRPr="004E76B7">
        <w:t xml:space="preserve"> to the subsidisation cap currently applying to PD-1 inhibitor monotherapies for melanoma, the cost-analysis, as performed in the resubmission, would not result in zero or negligible financial implications to the </w:t>
      </w:r>
      <w:r w:rsidR="00335EB0" w:rsidRPr="004E76B7">
        <w:t>Australian Government</w:t>
      </w:r>
      <w:r w:rsidR="00DE7545" w:rsidRPr="004E76B7">
        <w:t xml:space="preserve"> health budget, </w:t>
      </w:r>
      <w:r w:rsidR="002D4D49">
        <w:t>and thus was not a</w:t>
      </w:r>
      <w:r w:rsidR="00DE7545" w:rsidRPr="004E76B7">
        <w:t xml:space="preserve"> cost-minimisation analysis</w:t>
      </w:r>
      <w:r w:rsidR="002D4D49">
        <w:t xml:space="preserve"> as claimed by the resubmission</w:t>
      </w:r>
      <w:r w:rsidR="00DE7545" w:rsidRPr="004E76B7">
        <w:t xml:space="preserve">. The resubmission indicated that the sponsor was unwilling for NIVO+IPI to be included in the current subsidisation cap for PD-1 inhibitor monotherapies for melanoma. In this scenario, the cost offsets resulting from substitution of NIVO+IPI for PD-1 inhibitor monotherapy, as applied in the </w:t>
      </w:r>
      <w:r w:rsidR="003965B9">
        <w:t xml:space="preserve">submission’s </w:t>
      </w:r>
      <w:r w:rsidR="00DE7545" w:rsidRPr="004E76B7">
        <w:t>cost-an</w:t>
      </w:r>
      <w:r w:rsidR="00970D9D" w:rsidRPr="004E76B7">
        <w:t>alysis</w:t>
      </w:r>
      <w:r w:rsidR="00B376C2" w:rsidRPr="004E76B7">
        <w:t xml:space="preserve"> (and in the financial estimates)</w:t>
      </w:r>
      <w:r w:rsidR="00970D9D" w:rsidRPr="004E76B7">
        <w:t xml:space="preserve">, would not be realised. </w:t>
      </w:r>
      <w:r>
        <w:t>The PBAC noted that o</w:t>
      </w:r>
      <w:r w:rsidR="00DE7545" w:rsidRPr="004E76B7">
        <w:t>ver the period 1 September 2016 to 31 August 2017</w:t>
      </w:r>
      <w:r w:rsidR="00B376C2" w:rsidRPr="004E76B7">
        <w:t>,</w:t>
      </w:r>
      <w:r w:rsidR="00DE7545" w:rsidRPr="004E76B7">
        <w:t xml:space="preserve"> the total </w:t>
      </w:r>
      <w:r w:rsidR="00DE7545" w:rsidRPr="004E76B7">
        <w:lastRenderedPageBreak/>
        <w:t>Commonwealth expenditure on PD-1 inhibitor monotherapy for melanoma, before application of the cap</w:t>
      </w:r>
      <w:r w:rsidR="00970D9D" w:rsidRPr="004E76B7">
        <w:t>,</w:t>
      </w:r>
      <w:r w:rsidR="00DE7545" w:rsidRPr="004E76B7">
        <w:t xml:space="preserve"> was greater than $</w:t>
      </w:r>
      <w:r w:rsidR="009B40DA">
        <w:t>100</w:t>
      </w:r>
      <w:r w:rsidR="009B40DA" w:rsidRPr="004E76B7">
        <w:t xml:space="preserve"> </w:t>
      </w:r>
      <w:r w:rsidR="00DE7545" w:rsidRPr="004E76B7">
        <w:t>million , but was capped at $</w:t>
      </w:r>
      <w:r w:rsidR="009B40DA">
        <w:t>60 - $100 million</w:t>
      </w:r>
      <w:r w:rsidR="00DE7545" w:rsidRPr="004E76B7">
        <w:t xml:space="preserve"> (i.e. more than </w:t>
      </w:r>
      <w:r w:rsidR="00E94B3A">
        <w:rPr>
          <w:noProof/>
          <w:color w:val="000000"/>
          <w:highlight w:val="black"/>
        </w:rPr>
        <w:t>'''''</w:t>
      </w:r>
      <w:r w:rsidR="00DE7545" w:rsidRPr="004E76B7">
        <w:t xml:space="preserve">% of </w:t>
      </w:r>
      <w:proofErr w:type="spellStart"/>
      <w:r w:rsidR="00DE7545" w:rsidRPr="004E76B7">
        <w:t>nivolumab</w:t>
      </w:r>
      <w:proofErr w:type="spellEnd"/>
      <w:r w:rsidR="00DE7545" w:rsidRPr="004E76B7">
        <w:t xml:space="preserve"> monothe</w:t>
      </w:r>
      <w:r w:rsidR="00B376C2" w:rsidRPr="004E76B7">
        <w:t>rapy scripts currently incur no</w:t>
      </w:r>
      <w:r w:rsidR="00DE7545" w:rsidRPr="004E76B7">
        <w:t xml:space="preserve"> cost to the Government). Therefore, the total cost for PD-1 inhibitor monotherapy for melanoma would remain constant until utilisation of monotherapy dropped below the monotherapy subsidisation cap, and the cost to the PBS for NIVO+IPI would be additional to this.</w:t>
      </w:r>
      <w:r w:rsidR="00BA1C13">
        <w:t xml:space="preserve"> </w:t>
      </w:r>
      <w:r w:rsidR="000E7839" w:rsidRPr="00C422CE">
        <w:t xml:space="preserve">The </w:t>
      </w:r>
      <w:r>
        <w:t xml:space="preserve">PBAC and </w:t>
      </w:r>
      <w:r w:rsidR="000E7839" w:rsidRPr="00C422CE">
        <w:t xml:space="preserve">ESC noted that the resubmission requested separate item numbers for </w:t>
      </w:r>
      <w:proofErr w:type="spellStart"/>
      <w:r w:rsidR="000E7839" w:rsidRPr="00C422CE">
        <w:t>nivolumab</w:t>
      </w:r>
      <w:proofErr w:type="spellEnd"/>
      <w:r w:rsidR="000E7839" w:rsidRPr="00C422CE">
        <w:t xml:space="preserve"> and </w:t>
      </w:r>
      <w:proofErr w:type="spellStart"/>
      <w:r w:rsidR="000E7839" w:rsidRPr="00C422CE">
        <w:t>ipilimumab</w:t>
      </w:r>
      <w:proofErr w:type="spellEnd"/>
      <w:r w:rsidR="000E7839" w:rsidRPr="00C422CE">
        <w:t xml:space="preserve"> when used in combination (NIVO+IPI) from those used to denote the PBS listings for </w:t>
      </w:r>
      <w:proofErr w:type="spellStart"/>
      <w:r w:rsidR="000E7839" w:rsidRPr="00C422CE">
        <w:t>nivolumab</w:t>
      </w:r>
      <w:proofErr w:type="spellEnd"/>
      <w:r w:rsidR="000E7839" w:rsidRPr="00C422CE">
        <w:t xml:space="preserve"> monotherapy and </w:t>
      </w:r>
      <w:proofErr w:type="spellStart"/>
      <w:r w:rsidR="000E7839" w:rsidRPr="00C422CE">
        <w:t>ipilimumab</w:t>
      </w:r>
      <w:proofErr w:type="spellEnd"/>
      <w:r w:rsidR="000E7839" w:rsidRPr="00C422CE">
        <w:t xml:space="preserve"> monotherapy, to assist with tracking and reconciling the rebate payable to the Commonwealth. </w:t>
      </w:r>
      <w:r w:rsidR="00BA1C13" w:rsidRPr="00C422CE">
        <w:t xml:space="preserve">The </w:t>
      </w:r>
      <w:r w:rsidR="008F6670">
        <w:t xml:space="preserve">PBAC and </w:t>
      </w:r>
      <w:r w:rsidR="00BA1C13" w:rsidRPr="00C422CE">
        <w:t xml:space="preserve">ESC considered that the application of </w:t>
      </w:r>
      <w:proofErr w:type="spellStart"/>
      <w:r w:rsidR="00BA1C13" w:rsidRPr="00C422CE">
        <w:t>nivolumab</w:t>
      </w:r>
      <w:proofErr w:type="spellEnd"/>
      <w:r w:rsidR="00BA1C13" w:rsidRPr="00C422CE">
        <w:t xml:space="preserve"> cost offsets in the cost analysis (and financial analysis) were not appropriate</w:t>
      </w:r>
      <w:r w:rsidR="000E7839" w:rsidRPr="00C422CE">
        <w:t xml:space="preserve"> in the scenario of separate </w:t>
      </w:r>
      <w:r w:rsidR="00F834C9" w:rsidRPr="00C422CE">
        <w:t xml:space="preserve">subsidisation </w:t>
      </w:r>
      <w:r w:rsidR="000E7839" w:rsidRPr="00C422CE">
        <w:t>caps</w:t>
      </w:r>
      <w:r w:rsidR="00BA1C13" w:rsidRPr="00C422CE">
        <w:t xml:space="preserve">. </w:t>
      </w:r>
    </w:p>
    <w:p w:rsidR="00CC4477" w:rsidRPr="00A032FA" w:rsidRDefault="009C4622" w:rsidP="00927F70">
      <w:pPr>
        <w:pStyle w:val="ListParagraph"/>
        <w:widowControl/>
        <w:numPr>
          <w:ilvl w:val="1"/>
          <w:numId w:val="2"/>
        </w:numPr>
        <w:rPr>
          <w:rFonts w:asciiTheme="minorHAnsi" w:hAnsiTheme="minorHAnsi"/>
          <w:b/>
          <w:bCs/>
          <w:sz w:val="20"/>
          <w:szCs w:val="20"/>
        </w:rPr>
      </w:pPr>
      <w:r w:rsidRPr="00A032FA">
        <w:rPr>
          <w:rFonts w:asciiTheme="minorHAnsi" w:hAnsiTheme="minorHAnsi"/>
        </w:rPr>
        <w:t xml:space="preserve">The doses for NIVO+IPI and </w:t>
      </w:r>
      <w:proofErr w:type="spellStart"/>
      <w:r w:rsidRPr="00A032FA">
        <w:rPr>
          <w:rFonts w:asciiTheme="minorHAnsi" w:hAnsiTheme="minorHAnsi"/>
        </w:rPr>
        <w:t>nivolumab</w:t>
      </w:r>
      <w:proofErr w:type="spellEnd"/>
      <w:r w:rsidRPr="00A032FA">
        <w:rPr>
          <w:rFonts w:asciiTheme="minorHAnsi" w:hAnsiTheme="minorHAnsi"/>
        </w:rPr>
        <w:t xml:space="preserve"> monotherapy were </w:t>
      </w:r>
      <w:r w:rsidR="00171D41" w:rsidRPr="00A032FA">
        <w:rPr>
          <w:rFonts w:asciiTheme="minorHAnsi" w:hAnsiTheme="minorHAnsi"/>
        </w:rPr>
        <w:t xml:space="preserve">assumed to be the trial-based doses, i.e. </w:t>
      </w:r>
      <w:r w:rsidRPr="00A032FA">
        <w:rPr>
          <w:rFonts w:asciiTheme="minorHAnsi" w:hAnsiTheme="minorHAnsi"/>
        </w:rPr>
        <w:t>the mean number of doses received in the corresponding treatment arms of CA209067</w:t>
      </w:r>
      <w:r w:rsidR="00171D41" w:rsidRPr="00A032FA">
        <w:rPr>
          <w:rFonts w:asciiTheme="minorHAnsi" w:hAnsiTheme="minorHAnsi"/>
        </w:rPr>
        <w:t xml:space="preserve"> over the 3 years of follow-up</w:t>
      </w:r>
      <w:r w:rsidRPr="00A032FA">
        <w:rPr>
          <w:rFonts w:asciiTheme="minorHAnsi" w:hAnsiTheme="minorHAnsi"/>
        </w:rPr>
        <w:t xml:space="preserve">. The numbers of doses of NIVO+IPI and </w:t>
      </w:r>
      <w:proofErr w:type="spellStart"/>
      <w:r w:rsidRPr="00A032FA">
        <w:rPr>
          <w:rFonts w:asciiTheme="minorHAnsi" w:hAnsiTheme="minorHAnsi"/>
        </w:rPr>
        <w:t>nivolumab</w:t>
      </w:r>
      <w:proofErr w:type="spellEnd"/>
      <w:r w:rsidRPr="00A032FA">
        <w:rPr>
          <w:rFonts w:asciiTheme="minorHAnsi" w:hAnsiTheme="minorHAnsi"/>
        </w:rPr>
        <w:t xml:space="preserve"> monotherapy received in CA209067 are presented in the table below.</w:t>
      </w:r>
      <w:r w:rsidR="008F6670">
        <w:rPr>
          <w:rFonts w:asciiTheme="minorHAnsi" w:hAnsiTheme="minorHAnsi"/>
        </w:rPr>
        <w:t xml:space="preserve"> </w:t>
      </w:r>
    </w:p>
    <w:p w:rsidR="009C4622" w:rsidRDefault="009C4622" w:rsidP="009C4622">
      <w:pPr>
        <w:pStyle w:val="Caption"/>
        <w:keepNext/>
      </w:pPr>
      <w:r>
        <w:t xml:space="preserve">Table </w:t>
      </w:r>
      <w:r w:rsidR="00622B9E">
        <w:rPr>
          <w:noProof/>
        </w:rPr>
        <w:t>10</w:t>
      </w:r>
      <w:r>
        <w:t>: Number of doses received in CA209067 (ITT population)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463"/>
        <w:gridCol w:w="2518"/>
        <w:gridCol w:w="2364"/>
      </w:tblGrid>
      <w:tr w:rsidR="008F6670" w:rsidRPr="001914A4" w:rsidTr="00B3185E">
        <w:trPr>
          <w:trHeight w:val="181"/>
        </w:trPr>
        <w:tc>
          <w:tcPr>
            <w:tcW w:w="980" w:type="pct"/>
            <w:shd w:val="clear" w:color="auto" w:fill="FFFFFF" w:themeFill="background1"/>
            <w:noWrap/>
            <w:vAlign w:val="center"/>
          </w:tcPr>
          <w:p w:rsidR="008F6670" w:rsidRPr="001914A4" w:rsidRDefault="008F6670" w:rsidP="00515838">
            <w:pPr>
              <w:pStyle w:val="Tabletext"/>
              <w:rPr>
                <w:rFonts w:eastAsia="Calibri"/>
                <w:b/>
              </w:rPr>
            </w:pPr>
          </w:p>
        </w:tc>
        <w:tc>
          <w:tcPr>
            <w:tcW w:w="2725" w:type="pct"/>
            <w:gridSpan w:val="2"/>
            <w:shd w:val="clear" w:color="auto" w:fill="FFFFFF" w:themeFill="background1"/>
            <w:noWrap/>
            <w:vAlign w:val="center"/>
          </w:tcPr>
          <w:p w:rsidR="008F6670" w:rsidRPr="001914A4" w:rsidRDefault="008F6670" w:rsidP="00515838">
            <w:pPr>
              <w:pStyle w:val="Tabletext"/>
              <w:jc w:val="center"/>
              <w:rPr>
                <w:rFonts w:eastAsia="Calibri"/>
                <w:b/>
              </w:rPr>
            </w:pPr>
            <w:r>
              <w:rPr>
                <w:rFonts w:eastAsia="Calibri"/>
                <w:b/>
              </w:rPr>
              <w:t>NIVO+IPI</w:t>
            </w:r>
          </w:p>
        </w:tc>
        <w:tc>
          <w:tcPr>
            <w:tcW w:w="1295" w:type="pct"/>
            <w:vMerge w:val="restart"/>
            <w:shd w:val="clear" w:color="auto" w:fill="FFFFFF" w:themeFill="background1"/>
            <w:noWrap/>
            <w:vAlign w:val="center"/>
          </w:tcPr>
          <w:p w:rsidR="008F6670" w:rsidRPr="001914A4" w:rsidRDefault="008F6670" w:rsidP="00515838">
            <w:pPr>
              <w:pStyle w:val="Tabletext"/>
              <w:jc w:val="center"/>
              <w:rPr>
                <w:rFonts w:eastAsia="Calibri"/>
                <w:b/>
              </w:rPr>
            </w:pPr>
            <w:proofErr w:type="spellStart"/>
            <w:r>
              <w:rPr>
                <w:rFonts w:eastAsia="Calibri"/>
                <w:b/>
              </w:rPr>
              <w:t>Nivolumab</w:t>
            </w:r>
            <w:proofErr w:type="spellEnd"/>
            <w:r>
              <w:rPr>
                <w:rFonts w:eastAsia="Calibri"/>
                <w:b/>
              </w:rPr>
              <w:t xml:space="preserve"> monotherapy</w:t>
            </w:r>
          </w:p>
        </w:tc>
      </w:tr>
      <w:tr w:rsidR="008F6670" w:rsidRPr="001914A4" w:rsidTr="00B3185E">
        <w:trPr>
          <w:trHeight w:val="85"/>
        </w:trPr>
        <w:tc>
          <w:tcPr>
            <w:tcW w:w="980" w:type="pct"/>
            <w:shd w:val="clear" w:color="auto" w:fill="FFFFFF" w:themeFill="background1"/>
            <w:noWrap/>
            <w:vAlign w:val="center"/>
            <w:hideMark/>
          </w:tcPr>
          <w:p w:rsidR="008F6670" w:rsidRPr="001914A4" w:rsidRDefault="008F6670" w:rsidP="00515838">
            <w:pPr>
              <w:pStyle w:val="Tabletext"/>
              <w:rPr>
                <w:rFonts w:eastAsia="Calibri"/>
                <w:b/>
              </w:rPr>
            </w:pPr>
            <w:r w:rsidRPr="001914A4">
              <w:rPr>
                <w:rFonts w:eastAsia="Calibri"/>
                <w:b/>
              </w:rPr>
              <w:t>No. of doses</w:t>
            </w:r>
          </w:p>
        </w:tc>
        <w:tc>
          <w:tcPr>
            <w:tcW w:w="1348" w:type="pct"/>
            <w:shd w:val="clear" w:color="auto" w:fill="FFFFFF" w:themeFill="background1"/>
            <w:noWrap/>
            <w:vAlign w:val="center"/>
          </w:tcPr>
          <w:p w:rsidR="008F6670" w:rsidRPr="001914A4" w:rsidRDefault="008F6670" w:rsidP="00515838">
            <w:pPr>
              <w:pStyle w:val="Tabletext"/>
              <w:jc w:val="center"/>
              <w:rPr>
                <w:rFonts w:eastAsia="Calibri"/>
                <w:b/>
              </w:rPr>
            </w:pPr>
            <w:proofErr w:type="spellStart"/>
            <w:r>
              <w:rPr>
                <w:rFonts w:eastAsia="Calibri"/>
                <w:b/>
              </w:rPr>
              <w:t>N</w:t>
            </w:r>
            <w:r w:rsidRPr="001914A4">
              <w:rPr>
                <w:rFonts w:eastAsia="Calibri"/>
                <w:b/>
              </w:rPr>
              <w:t>ivolumab</w:t>
            </w:r>
            <w:proofErr w:type="spellEnd"/>
          </w:p>
        </w:tc>
        <w:tc>
          <w:tcPr>
            <w:tcW w:w="1378" w:type="pct"/>
            <w:shd w:val="clear" w:color="auto" w:fill="FFFFFF" w:themeFill="background1"/>
            <w:noWrap/>
            <w:vAlign w:val="center"/>
          </w:tcPr>
          <w:p w:rsidR="008F6670" w:rsidRPr="001914A4" w:rsidRDefault="008F6670" w:rsidP="00515838">
            <w:pPr>
              <w:pStyle w:val="Tabletext"/>
              <w:jc w:val="center"/>
              <w:rPr>
                <w:rFonts w:eastAsia="Calibri"/>
                <w:b/>
              </w:rPr>
            </w:pPr>
            <w:r>
              <w:rPr>
                <w:rFonts w:eastAsia="Calibri"/>
                <w:b/>
              </w:rPr>
              <w:t>Ip</w:t>
            </w:r>
            <w:r w:rsidRPr="001914A4">
              <w:rPr>
                <w:rFonts w:eastAsia="Calibri"/>
                <w:b/>
              </w:rPr>
              <w:t>ilimumab</w:t>
            </w:r>
          </w:p>
        </w:tc>
        <w:tc>
          <w:tcPr>
            <w:tcW w:w="1295" w:type="pct"/>
            <w:vMerge/>
            <w:shd w:val="clear" w:color="auto" w:fill="FFFFFF" w:themeFill="background1"/>
            <w:noWrap/>
            <w:vAlign w:val="center"/>
          </w:tcPr>
          <w:p w:rsidR="008F6670" w:rsidRPr="001914A4" w:rsidRDefault="008F6670" w:rsidP="00515838">
            <w:pPr>
              <w:pStyle w:val="Tabletext"/>
              <w:jc w:val="center"/>
              <w:rPr>
                <w:rFonts w:eastAsia="Calibri"/>
                <w:b/>
              </w:rPr>
            </w:pPr>
          </w:p>
        </w:tc>
      </w:tr>
      <w:tr w:rsidR="009C4622" w:rsidRPr="00871A0C" w:rsidTr="0081150C">
        <w:trPr>
          <w:trHeight w:val="260"/>
        </w:trPr>
        <w:tc>
          <w:tcPr>
            <w:tcW w:w="980" w:type="pct"/>
            <w:shd w:val="clear" w:color="auto" w:fill="auto"/>
            <w:noWrap/>
            <w:vAlign w:val="center"/>
            <w:hideMark/>
          </w:tcPr>
          <w:p w:rsidR="009C4622" w:rsidRPr="00871A0C" w:rsidRDefault="009C4622" w:rsidP="00515838">
            <w:pPr>
              <w:pStyle w:val="Tabletext"/>
              <w:rPr>
                <w:rFonts w:eastAsia="Calibri"/>
              </w:rPr>
            </w:pPr>
            <w:r w:rsidRPr="00871A0C">
              <w:rPr>
                <w:rFonts w:eastAsia="Calibri"/>
              </w:rPr>
              <w:t>1</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t>29 (9.3%)</w:t>
            </w:r>
          </w:p>
        </w:tc>
        <w:tc>
          <w:tcPr>
            <w:tcW w:w="1378" w:type="pct"/>
            <w:shd w:val="clear" w:color="auto" w:fill="auto"/>
            <w:noWrap/>
            <w:vAlign w:val="center"/>
          </w:tcPr>
          <w:p w:rsidR="009C4622" w:rsidRPr="00871A0C" w:rsidRDefault="009C4622" w:rsidP="00515838">
            <w:pPr>
              <w:pStyle w:val="Tabletext"/>
              <w:jc w:val="center"/>
              <w:rPr>
                <w:rFonts w:eastAsia="Calibri"/>
              </w:rPr>
            </w:pPr>
            <w:r w:rsidRPr="00871A0C">
              <w:t>30 (9.6%)</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t>9 (2.9%)</w:t>
            </w:r>
          </w:p>
        </w:tc>
      </w:tr>
      <w:tr w:rsidR="009C4622" w:rsidRPr="00871A0C" w:rsidTr="0081150C">
        <w:trPr>
          <w:trHeight w:val="240"/>
        </w:trPr>
        <w:tc>
          <w:tcPr>
            <w:tcW w:w="980" w:type="pct"/>
            <w:shd w:val="clear" w:color="auto" w:fill="auto"/>
            <w:noWrap/>
            <w:vAlign w:val="center"/>
            <w:hideMark/>
          </w:tcPr>
          <w:p w:rsidR="009C4622" w:rsidRPr="00871A0C" w:rsidRDefault="009C4622" w:rsidP="00515838">
            <w:pPr>
              <w:pStyle w:val="Tabletext"/>
              <w:rPr>
                <w:rFonts w:eastAsia="Calibri"/>
              </w:rPr>
            </w:pPr>
            <w:r w:rsidRPr="00871A0C">
              <w:rPr>
                <w:rFonts w:eastAsia="Calibri"/>
              </w:rPr>
              <w:t>2</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t>59 (18.8%)</w:t>
            </w:r>
          </w:p>
        </w:tc>
        <w:tc>
          <w:tcPr>
            <w:tcW w:w="1378" w:type="pct"/>
            <w:shd w:val="clear" w:color="auto" w:fill="auto"/>
            <w:noWrap/>
            <w:vAlign w:val="center"/>
          </w:tcPr>
          <w:p w:rsidR="009C4622" w:rsidRPr="00871A0C" w:rsidRDefault="009C4622" w:rsidP="00515838">
            <w:pPr>
              <w:pStyle w:val="Tabletext"/>
              <w:jc w:val="center"/>
              <w:rPr>
                <w:rFonts w:eastAsia="Calibri"/>
              </w:rPr>
            </w:pPr>
            <w:r w:rsidRPr="00871A0C">
              <w:t>60 (19.2%)</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t>8 (2.6%)</w:t>
            </w:r>
          </w:p>
        </w:tc>
      </w:tr>
      <w:tr w:rsidR="009C4622" w:rsidRPr="00871A0C" w:rsidTr="0081150C">
        <w:trPr>
          <w:trHeight w:val="255"/>
        </w:trPr>
        <w:tc>
          <w:tcPr>
            <w:tcW w:w="980" w:type="pct"/>
            <w:shd w:val="clear" w:color="auto" w:fill="auto"/>
            <w:noWrap/>
            <w:vAlign w:val="center"/>
          </w:tcPr>
          <w:p w:rsidR="009C4622" w:rsidRPr="00871A0C" w:rsidRDefault="009C4622" w:rsidP="00515838">
            <w:pPr>
              <w:pStyle w:val="Tabletext"/>
              <w:rPr>
                <w:rFonts w:eastAsia="Calibri"/>
              </w:rPr>
            </w:pPr>
            <w:r w:rsidRPr="00871A0C">
              <w:rPr>
                <w:rFonts w:eastAsia="Calibri"/>
              </w:rPr>
              <w:t>3</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t>42 (13.4%)</w:t>
            </w:r>
          </w:p>
        </w:tc>
        <w:tc>
          <w:tcPr>
            <w:tcW w:w="1378" w:type="pct"/>
            <w:shd w:val="clear" w:color="auto" w:fill="auto"/>
            <w:noWrap/>
            <w:vAlign w:val="center"/>
          </w:tcPr>
          <w:p w:rsidR="009C4622" w:rsidRPr="00871A0C" w:rsidRDefault="009C4622" w:rsidP="00515838">
            <w:pPr>
              <w:pStyle w:val="Tabletext"/>
              <w:jc w:val="center"/>
              <w:rPr>
                <w:rFonts w:eastAsia="Calibri"/>
              </w:rPr>
            </w:pPr>
            <w:r w:rsidRPr="00871A0C">
              <w:t>45 (14.4%)</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t>18 (5.8%)</w:t>
            </w:r>
          </w:p>
        </w:tc>
      </w:tr>
      <w:tr w:rsidR="009C4622" w:rsidRPr="00871A0C" w:rsidTr="0081150C">
        <w:trPr>
          <w:trHeight w:val="234"/>
        </w:trPr>
        <w:tc>
          <w:tcPr>
            <w:tcW w:w="980" w:type="pct"/>
            <w:shd w:val="clear" w:color="auto" w:fill="auto"/>
            <w:noWrap/>
            <w:vAlign w:val="center"/>
          </w:tcPr>
          <w:p w:rsidR="009C4622" w:rsidRPr="00871A0C" w:rsidRDefault="009C4622" w:rsidP="00515838">
            <w:pPr>
              <w:pStyle w:val="Tabletext"/>
              <w:rPr>
                <w:rFonts w:eastAsia="Calibri"/>
              </w:rPr>
            </w:pPr>
            <w:r w:rsidRPr="00871A0C">
              <w:rPr>
                <w:rFonts w:eastAsia="Calibri"/>
              </w:rPr>
              <w:t>4</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t>36 (11.5%)</w:t>
            </w:r>
          </w:p>
        </w:tc>
        <w:tc>
          <w:tcPr>
            <w:tcW w:w="1378" w:type="pct"/>
            <w:shd w:val="clear" w:color="auto" w:fill="auto"/>
            <w:noWrap/>
            <w:vAlign w:val="center"/>
          </w:tcPr>
          <w:p w:rsidR="009C4622" w:rsidRPr="00871A0C" w:rsidRDefault="009C4622" w:rsidP="00515838">
            <w:pPr>
              <w:pStyle w:val="Tabletext"/>
              <w:jc w:val="center"/>
              <w:rPr>
                <w:rFonts w:eastAsia="Calibri"/>
              </w:rPr>
            </w:pPr>
            <w:r w:rsidRPr="00871A0C">
              <w:t>178 (56.9%)</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t>11 (3.5%)</w:t>
            </w:r>
          </w:p>
        </w:tc>
      </w:tr>
      <w:tr w:rsidR="009C4622" w:rsidRPr="00871A0C" w:rsidTr="00B3185E">
        <w:trPr>
          <w:trHeight w:val="58"/>
        </w:trPr>
        <w:tc>
          <w:tcPr>
            <w:tcW w:w="980" w:type="pct"/>
            <w:shd w:val="clear" w:color="auto" w:fill="auto"/>
            <w:noWrap/>
            <w:vAlign w:val="center"/>
          </w:tcPr>
          <w:p w:rsidR="009C4622" w:rsidRPr="00871A0C" w:rsidRDefault="009C4622" w:rsidP="00515838">
            <w:pPr>
              <w:pStyle w:val="Tabletext"/>
              <w:rPr>
                <w:rFonts w:eastAsia="Calibri"/>
              </w:rPr>
            </w:pPr>
            <w:r w:rsidRPr="00871A0C">
              <w:rPr>
                <w:rFonts w:eastAsia="Calibri"/>
              </w:rPr>
              <w:t>&gt;4</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rPr>
                <w:rFonts w:eastAsia="Calibri"/>
              </w:rPr>
              <w:t>147 (47.0%)</w:t>
            </w:r>
          </w:p>
        </w:tc>
        <w:tc>
          <w:tcPr>
            <w:tcW w:w="1378" w:type="pct"/>
            <w:shd w:val="clear" w:color="auto" w:fill="auto"/>
            <w:noWrap/>
            <w:vAlign w:val="center"/>
          </w:tcPr>
          <w:p w:rsidR="009C4622" w:rsidRPr="00871A0C" w:rsidRDefault="009C4622" w:rsidP="001E7EF9">
            <w:pPr>
              <w:pStyle w:val="Tabletext"/>
              <w:jc w:val="center"/>
              <w:rPr>
                <w:rFonts w:eastAsia="Calibri"/>
              </w:rPr>
            </w:pPr>
            <w:r w:rsidRPr="00871A0C">
              <w:rPr>
                <w:rFonts w:eastAsia="Calibri"/>
              </w:rPr>
              <w:t xml:space="preserve">0 </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rPr>
                <w:rFonts w:eastAsia="Calibri"/>
              </w:rPr>
              <w:t>267 (85.3%)</w:t>
            </w:r>
          </w:p>
        </w:tc>
      </w:tr>
      <w:tr w:rsidR="009C4622" w:rsidRPr="00871A0C" w:rsidTr="0081150C">
        <w:trPr>
          <w:trHeight w:val="197"/>
        </w:trPr>
        <w:tc>
          <w:tcPr>
            <w:tcW w:w="980" w:type="pct"/>
            <w:shd w:val="clear" w:color="auto" w:fill="auto"/>
            <w:noWrap/>
            <w:vAlign w:val="center"/>
          </w:tcPr>
          <w:p w:rsidR="009C4622" w:rsidRPr="00871A0C" w:rsidRDefault="009C4622" w:rsidP="00515838">
            <w:pPr>
              <w:pStyle w:val="Tabletext"/>
              <w:rPr>
                <w:rFonts w:eastAsia="Calibri"/>
              </w:rPr>
            </w:pPr>
            <w:r w:rsidRPr="00871A0C">
              <w:rPr>
                <w:rFonts w:eastAsia="Calibri"/>
              </w:rPr>
              <w:t>N (total)</w:t>
            </w:r>
          </w:p>
        </w:tc>
        <w:tc>
          <w:tcPr>
            <w:tcW w:w="1348" w:type="pct"/>
            <w:shd w:val="clear" w:color="auto" w:fill="auto"/>
            <w:noWrap/>
            <w:vAlign w:val="center"/>
          </w:tcPr>
          <w:p w:rsidR="009C4622" w:rsidRPr="00871A0C" w:rsidRDefault="009C4622" w:rsidP="00515838">
            <w:pPr>
              <w:pStyle w:val="Tabletext"/>
              <w:jc w:val="center"/>
              <w:rPr>
                <w:rFonts w:eastAsia="Calibri"/>
              </w:rPr>
            </w:pPr>
            <w:r w:rsidRPr="00871A0C">
              <w:rPr>
                <w:rFonts w:eastAsia="Calibri"/>
              </w:rPr>
              <w:t>313 (100.0%)</w:t>
            </w:r>
          </w:p>
        </w:tc>
        <w:tc>
          <w:tcPr>
            <w:tcW w:w="1378" w:type="pct"/>
            <w:shd w:val="clear" w:color="auto" w:fill="auto"/>
            <w:noWrap/>
            <w:vAlign w:val="center"/>
          </w:tcPr>
          <w:p w:rsidR="009C4622" w:rsidRPr="00871A0C" w:rsidRDefault="009C4622" w:rsidP="00515838">
            <w:pPr>
              <w:pStyle w:val="Tabletext"/>
              <w:jc w:val="center"/>
              <w:rPr>
                <w:rFonts w:eastAsia="Calibri"/>
              </w:rPr>
            </w:pPr>
            <w:r w:rsidRPr="00871A0C">
              <w:rPr>
                <w:rFonts w:eastAsia="Calibri"/>
              </w:rPr>
              <w:t>313 (100.0%)</w:t>
            </w:r>
          </w:p>
        </w:tc>
        <w:tc>
          <w:tcPr>
            <w:tcW w:w="1295" w:type="pct"/>
            <w:shd w:val="clear" w:color="auto" w:fill="auto"/>
            <w:noWrap/>
            <w:vAlign w:val="center"/>
          </w:tcPr>
          <w:p w:rsidR="009C4622" w:rsidRPr="00871A0C" w:rsidRDefault="009C4622" w:rsidP="00515838">
            <w:pPr>
              <w:pStyle w:val="Tabletext"/>
              <w:jc w:val="center"/>
              <w:rPr>
                <w:rFonts w:eastAsia="Calibri"/>
              </w:rPr>
            </w:pPr>
            <w:r w:rsidRPr="00871A0C">
              <w:rPr>
                <w:rFonts w:eastAsia="Calibri"/>
              </w:rPr>
              <w:t>313 (100.0%)</w:t>
            </w:r>
          </w:p>
        </w:tc>
      </w:tr>
      <w:tr w:rsidR="009C4622" w:rsidRPr="00871A0C" w:rsidTr="0081150C">
        <w:trPr>
          <w:trHeight w:val="197"/>
        </w:trPr>
        <w:tc>
          <w:tcPr>
            <w:tcW w:w="980" w:type="pct"/>
            <w:shd w:val="clear" w:color="auto" w:fill="auto"/>
            <w:noWrap/>
            <w:vAlign w:val="center"/>
          </w:tcPr>
          <w:p w:rsidR="009C4622" w:rsidRPr="00A5192D" w:rsidRDefault="009C4622" w:rsidP="00515838">
            <w:pPr>
              <w:pStyle w:val="Tabletext"/>
              <w:rPr>
                <w:rFonts w:eastAsia="Calibri"/>
                <w:b/>
              </w:rPr>
            </w:pPr>
            <w:r w:rsidRPr="00A5192D">
              <w:rPr>
                <w:rFonts w:eastAsia="Calibri"/>
                <w:b/>
              </w:rPr>
              <w:t>Mean no. of doses</w:t>
            </w:r>
          </w:p>
        </w:tc>
        <w:tc>
          <w:tcPr>
            <w:tcW w:w="1348" w:type="pct"/>
            <w:shd w:val="clear" w:color="auto" w:fill="auto"/>
            <w:noWrap/>
            <w:vAlign w:val="center"/>
          </w:tcPr>
          <w:p w:rsidR="009C4622" w:rsidRPr="00A5192D" w:rsidRDefault="009C4622" w:rsidP="00515838">
            <w:pPr>
              <w:pStyle w:val="Tabletext"/>
              <w:jc w:val="center"/>
              <w:rPr>
                <w:rFonts w:eastAsia="Calibri"/>
                <w:b/>
              </w:rPr>
            </w:pPr>
            <w:r w:rsidRPr="00A5192D">
              <w:rPr>
                <w:rFonts w:eastAsia="Calibri"/>
                <w:b/>
              </w:rPr>
              <w:t>20.7 infusions</w:t>
            </w:r>
          </w:p>
        </w:tc>
        <w:tc>
          <w:tcPr>
            <w:tcW w:w="1378" w:type="pct"/>
            <w:shd w:val="clear" w:color="auto" w:fill="auto"/>
            <w:noWrap/>
            <w:vAlign w:val="center"/>
          </w:tcPr>
          <w:p w:rsidR="009C4622" w:rsidRPr="00A5192D" w:rsidRDefault="009C4622" w:rsidP="00515838">
            <w:pPr>
              <w:pStyle w:val="Tabletext"/>
              <w:jc w:val="center"/>
              <w:rPr>
                <w:rFonts w:eastAsia="Calibri"/>
                <w:b/>
              </w:rPr>
            </w:pPr>
            <w:r>
              <w:rPr>
                <w:rFonts w:eastAsia="Calibri"/>
                <w:b/>
              </w:rPr>
              <w:t>3.2</w:t>
            </w:r>
            <w:r w:rsidRPr="00A5192D">
              <w:rPr>
                <w:rFonts w:eastAsia="Calibri"/>
                <w:b/>
              </w:rPr>
              <w:t xml:space="preserve"> infusions</w:t>
            </w:r>
          </w:p>
        </w:tc>
        <w:tc>
          <w:tcPr>
            <w:tcW w:w="1295" w:type="pct"/>
            <w:shd w:val="clear" w:color="auto" w:fill="auto"/>
            <w:noWrap/>
            <w:vAlign w:val="center"/>
          </w:tcPr>
          <w:p w:rsidR="009C4622" w:rsidRPr="00A5192D" w:rsidRDefault="009C4622" w:rsidP="00515838">
            <w:pPr>
              <w:pStyle w:val="Tabletext"/>
              <w:jc w:val="center"/>
              <w:rPr>
                <w:rFonts w:eastAsia="Calibri"/>
                <w:b/>
              </w:rPr>
            </w:pPr>
            <w:r>
              <w:rPr>
                <w:rFonts w:eastAsia="Calibri"/>
                <w:b/>
              </w:rPr>
              <w:t>30.5</w:t>
            </w:r>
            <w:r w:rsidRPr="00A5192D">
              <w:rPr>
                <w:rFonts w:eastAsia="Calibri"/>
                <w:b/>
              </w:rPr>
              <w:t xml:space="preserve"> infusions</w:t>
            </w:r>
          </w:p>
        </w:tc>
      </w:tr>
      <w:tr w:rsidR="009C4622" w:rsidRPr="00871A0C" w:rsidTr="0081150C">
        <w:trPr>
          <w:trHeight w:val="197"/>
        </w:trPr>
        <w:tc>
          <w:tcPr>
            <w:tcW w:w="980" w:type="pct"/>
            <w:shd w:val="clear" w:color="auto" w:fill="auto"/>
            <w:noWrap/>
            <w:vAlign w:val="center"/>
          </w:tcPr>
          <w:p w:rsidR="009C4622" w:rsidRPr="00871A0C" w:rsidRDefault="009C4622" w:rsidP="00515838">
            <w:pPr>
              <w:pStyle w:val="Tabletext"/>
              <w:ind w:left="142"/>
              <w:rPr>
                <w:rFonts w:eastAsia="Calibri"/>
              </w:rPr>
            </w:pPr>
            <w:r>
              <w:rPr>
                <w:rFonts w:eastAsia="Calibri"/>
              </w:rPr>
              <w:t>Induction phase</w:t>
            </w:r>
          </w:p>
        </w:tc>
        <w:tc>
          <w:tcPr>
            <w:tcW w:w="1348" w:type="pct"/>
            <w:shd w:val="clear" w:color="auto" w:fill="auto"/>
            <w:noWrap/>
            <w:vAlign w:val="center"/>
          </w:tcPr>
          <w:p w:rsidR="009C4622" w:rsidRPr="00871A0C" w:rsidRDefault="009C4622" w:rsidP="00515838">
            <w:pPr>
              <w:pStyle w:val="Tabletext"/>
              <w:jc w:val="center"/>
              <w:rPr>
                <w:rFonts w:eastAsia="Calibri"/>
              </w:rPr>
            </w:pPr>
            <w:r>
              <w:rPr>
                <w:rFonts w:eastAsia="Calibri"/>
              </w:rPr>
              <w:t>3.2 infusions</w:t>
            </w:r>
          </w:p>
        </w:tc>
        <w:tc>
          <w:tcPr>
            <w:tcW w:w="1378" w:type="pct"/>
            <w:shd w:val="clear" w:color="auto" w:fill="auto"/>
            <w:noWrap/>
            <w:vAlign w:val="center"/>
          </w:tcPr>
          <w:p w:rsidR="009C4622" w:rsidRPr="00871A0C" w:rsidRDefault="009C4622" w:rsidP="00515838">
            <w:pPr>
              <w:pStyle w:val="Tabletext"/>
              <w:jc w:val="center"/>
              <w:rPr>
                <w:rFonts w:eastAsia="Calibri"/>
              </w:rPr>
            </w:pPr>
            <w:r>
              <w:rPr>
                <w:rFonts w:eastAsia="Calibri"/>
              </w:rPr>
              <w:t>3.2 infusions</w:t>
            </w:r>
          </w:p>
        </w:tc>
        <w:tc>
          <w:tcPr>
            <w:tcW w:w="1295" w:type="pct"/>
            <w:shd w:val="clear" w:color="auto" w:fill="auto"/>
            <w:noWrap/>
            <w:vAlign w:val="center"/>
          </w:tcPr>
          <w:p w:rsidR="009C4622" w:rsidRPr="00871A0C" w:rsidRDefault="009C4622" w:rsidP="00515838">
            <w:pPr>
              <w:pStyle w:val="Tabletext"/>
              <w:jc w:val="center"/>
              <w:rPr>
                <w:rFonts w:eastAsia="Calibri"/>
              </w:rPr>
            </w:pPr>
            <w:r>
              <w:rPr>
                <w:rFonts w:eastAsia="Calibri"/>
              </w:rPr>
              <w:t>NA</w:t>
            </w:r>
          </w:p>
        </w:tc>
      </w:tr>
      <w:tr w:rsidR="009C4622" w:rsidRPr="00871A0C" w:rsidTr="0081150C">
        <w:trPr>
          <w:trHeight w:val="197"/>
        </w:trPr>
        <w:tc>
          <w:tcPr>
            <w:tcW w:w="980" w:type="pct"/>
            <w:shd w:val="clear" w:color="auto" w:fill="auto"/>
            <w:noWrap/>
            <w:vAlign w:val="center"/>
          </w:tcPr>
          <w:p w:rsidR="009C4622" w:rsidRPr="00871A0C" w:rsidRDefault="009C4622" w:rsidP="00515838">
            <w:pPr>
              <w:pStyle w:val="Tabletext"/>
              <w:ind w:left="142"/>
              <w:rPr>
                <w:rFonts w:eastAsia="Calibri"/>
              </w:rPr>
            </w:pPr>
            <w:r>
              <w:rPr>
                <w:rFonts w:eastAsia="Calibri"/>
              </w:rPr>
              <w:t>Maintenance phase</w:t>
            </w:r>
          </w:p>
        </w:tc>
        <w:tc>
          <w:tcPr>
            <w:tcW w:w="1348" w:type="pct"/>
            <w:shd w:val="clear" w:color="auto" w:fill="auto"/>
            <w:noWrap/>
            <w:vAlign w:val="center"/>
          </w:tcPr>
          <w:p w:rsidR="009C4622" w:rsidRPr="00871A0C" w:rsidRDefault="009C4622" w:rsidP="00515838">
            <w:pPr>
              <w:pStyle w:val="Tabletext"/>
              <w:jc w:val="center"/>
              <w:rPr>
                <w:rFonts w:eastAsia="Calibri"/>
              </w:rPr>
            </w:pPr>
            <w:r>
              <w:rPr>
                <w:rFonts w:eastAsia="Calibri"/>
              </w:rPr>
              <w:t>17.5 infusions</w:t>
            </w:r>
          </w:p>
        </w:tc>
        <w:tc>
          <w:tcPr>
            <w:tcW w:w="1378" w:type="pct"/>
            <w:shd w:val="clear" w:color="auto" w:fill="auto"/>
            <w:noWrap/>
            <w:vAlign w:val="center"/>
          </w:tcPr>
          <w:p w:rsidR="009C4622" w:rsidRPr="00871A0C" w:rsidRDefault="009C4622" w:rsidP="00515838">
            <w:pPr>
              <w:pStyle w:val="Tabletext"/>
              <w:jc w:val="center"/>
              <w:rPr>
                <w:rFonts w:eastAsia="Calibri"/>
              </w:rPr>
            </w:pPr>
            <w:r>
              <w:rPr>
                <w:rFonts w:eastAsia="Calibri"/>
              </w:rPr>
              <w:t>NA</w:t>
            </w:r>
          </w:p>
        </w:tc>
        <w:tc>
          <w:tcPr>
            <w:tcW w:w="1295" w:type="pct"/>
            <w:shd w:val="clear" w:color="auto" w:fill="auto"/>
            <w:noWrap/>
            <w:vAlign w:val="center"/>
          </w:tcPr>
          <w:p w:rsidR="009C4622" w:rsidRPr="00871A0C" w:rsidRDefault="009C4622" w:rsidP="00515838">
            <w:pPr>
              <w:pStyle w:val="Tabletext"/>
              <w:jc w:val="center"/>
              <w:rPr>
                <w:rFonts w:eastAsia="Calibri"/>
              </w:rPr>
            </w:pPr>
            <w:r>
              <w:rPr>
                <w:rFonts w:eastAsia="Calibri"/>
              </w:rPr>
              <w:t>NA</w:t>
            </w:r>
          </w:p>
        </w:tc>
      </w:tr>
    </w:tbl>
    <w:p w:rsidR="009C4622" w:rsidRPr="00942094" w:rsidRDefault="009C4622" w:rsidP="009C4622">
      <w:pPr>
        <w:pStyle w:val="TableFooter"/>
      </w:pPr>
      <w:r>
        <w:t xml:space="preserve">IPI = </w:t>
      </w:r>
      <w:proofErr w:type="spellStart"/>
      <w:r>
        <w:t>ipilimumab</w:t>
      </w:r>
      <w:proofErr w:type="spellEnd"/>
      <w:r>
        <w:t xml:space="preserve">; </w:t>
      </w:r>
      <w:r w:rsidR="00E81C39">
        <w:t>ITT = intention to treat</w:t>
      </w:r>
      <w:r w:rsidR="00E81C39" w:rsidRPr="00942094">
        <w:t xml:space="preserve">; </w:t>
      </w:r>
      <w:r w:rsidRPr="00942094">
        <w:t xml:space="preserve">NA = not applicable; NIVO = </w:t>
      </w:r>
      <w:proofErr w:type="spellStart"/>
      <w:r w:rsidRPr="00942094">
        <w:t>nivolumab</w:t>
      </w:r>
      <w:proofErr w:type="spellEnd"/>
      <w:r w:rsidRPr="00942094">
        <w:t xml:space="preserve"> </w:t>
      </w:r>
    </w:p>
    <w:p w:rsidR="009C4622" w:rsidRPr="00942094" w:rsidRDefault="009C4622" w:rsidP="009C4622">
      <w:pPr>
        <w:pStyle w:val="TableFooter"/>
      </w:pPr>
      <w:r w:rsidRPr="00942094">
        <w:t xml:space="preserve">Note: In the induction phase of CA209067, the mean number of </w:t>
      </w:r>
      <w:proofErr w:type="spellStart"/>
      <w:r w:rsidRPr="00942094">
        <w:t>nivolumab</w:t>
      </w:r>
      <w:proofErr w:type="spellEnd"/>
      <w:r w:rsidRPr="00942094">
        <w:t xml:space="preserve"> doses was 3.21 and the mean number of </w:t>
      </w:r>
      <w:proofErr w:type="spellStart"/>
      <w:r w:rsidRPr="00942094">
        <w:t>ipilimumab</w:t>
      </w:r>
      <w:proofErr w:type="spellEnd"/>
      <w:r w:rsidRPr="00942094">
        <w:t xml:space="preserve"> doses was 3.19 (3. </w:t>
      </w:r>
      <w:proofErr w:type="gramStart"/>
      <w:r w:rsidRPr="00942094">
        <w:t>Drug Costs.</w:t>
      </w:r>
      <w:proofErr w:type="gramEnd"/>
      <w:r w:rsidRPr="00942094">
        <w:t xml:space="preserve"> </w:t>
      </w:r>
      <w:proofErr w:type="gramStart"/>
      <w:r w:rsidRPr="00942094">
        <w:t>Appendix 1_Section 3 model_NIVO+IPI_mMEL.xlsm).</w:t>
      </w:r>
      <w:proofErr w:type="gramEnd"/>
    </w:p>
    <w:p w:rsidR="009C4622" w:rsidRPr="001914A4" w:rsidRDefault="009C4622" w:rsidP="009C4622">
      <w:pPr>
        <w:pStyle w:val="TableFooter"/>
      </w:pPr>
      <w:r w:rsidRPr="00942094">
        <w:t>Source: Table 60, p130 of the resubmission</w:t>
      </w:r>
    </w:p>
    <w:p w:rsidR="002964F3" w:rsidRPr="008F6670" w:rsidRDefault="002F764C" w:rsidP="003235AE">
      <w:pPr>
        <w:pStyle w:val="ListParagraph"/>
        <w:widowControl/>
        <w:numPr>
          <w:ilvl w:val="1"/>
          <w:numId w:val="2"/>
        </w:numPr>
        <w:spacing w:before="120"/>
      </w:pPr>
      <w:r w:rsidRPr="004E76B7">
        <w:t xml:space="preserve">The resubmission included discontinuations in the estimation of the </w:t>
      </w:r>
      <w:proofErr w:type="spellStart"/>
      <w:r w:rsidRPr="004E76B7">
        <w:t>equi</w:t>
      </w:r>
      <w:proofErr w:type="spellEnd"/>
      <w:r w:rsidRPr="004E76B7">
        <w:t xml:space="preserve">-effective doses of NIVO+IPI and </w:t>
      </w:r>
      <w:proofErr w:type="spellStart"/>
      <w:r w:rsidRPr="004E76B7">
        <w:t>nivolumab</w:t>
      </w:r>
      <w:proofErr w:type="spellEnd"/>
      <w:r w:rsidRPr="004E76B7">
        <w:t xml:space="preserve"> monotherapy. As a result of the high rate of discontinuations associated with the increased toxicity of NIVO+IPI combination therapy, the duration of therapy with NIVO+IPI applied in the </w:t>
      </w:r>
      <w:r w:rsidR="00515838" w:rsidRPr="004E76B7">
        <w:t>cost-</w:t>
      </w:r>
      <w:r w:rsidRPr="004E76B7">
        <w:t xml:space="preserve">analysis was shorter than the duration of treatment with </w:t>
      </w:r>
      <w:proofErr w:type="spellStart"/>
      <w:r w:rsidRPr="004E76B7">
        <w:t>nivolumab</w:t>
      </w:r>
      <w:proofErr w:type="spellEnd"/>
      <w:r w:rsidRPr="004E76B7">
        <w:t xml:space="preserve">, despite a claim of superiority in terms of PFS. This resulted in higher costs per vial of </w:t>
      </w:r>
      <w:proofErr w:type="spellStart"/>
      <w:r w:rsidRPr="004E76B7">
        <w:t>nivolumab</w:t>
      </w:r>
      <w:proofErr w:type="spellEnd"/>
      <w:r w:rsidRPr="004E76B7">
        <w:t xml:space="preserve"> and </w:t>
      </w:r>
      <w:proofErr w:type="spellStart"/>
      <w:r w:rsidRPr="004E76B7">
        <w:t>ipilimumab</w:t>
      </w:r>
      <w:proofErr w:type="spellEnd"/>
      <w:r w:rsidRPr="004E76B7">
        <w:t>, when used in combination therapy, than if the duration of treatment had been based on the mean PFS</w:t>
      </w:r>
      <w:r w:rsidR="00293E1B" w:rsidRPr="004E76B7">
        <w:t xml:space="preserve"> (i.e. the full course of treatment)</w:t>
      </w:r>
      <w:r w:rsidR="000E7839" w:rsidRPr="000E7839">
        <w:rPr>
          <w:i/>
        </w:rPr>
        <w:t xml:space="preserve"> </w:t>
      </w:r>
      <w:r w:rsidR="000E7839" w:rsidRPr="00C422CE">
        <w:t xml:space="preserve">or if the treatment duration of </w:t>
      </w:r>
      <w:proofErr w:type="spellStart"/>
      <w:r w:rsidR="000E7839" w:rsidRPr="00C422CE">
        <w:t>nivolumab</w:t>
      </w:r>
      <w:proofErr w:type="spellEnd"/>
      <w:r w:rsidR="000E7839" w:rsidRPr="00C422CE">
        <w:t xml:space="preserve"> had been assumed to be the same when used in combination and monotherapy</w:t>
      </w:r>
      <w:r w:rsidRPr="00C422CE">
        <w:t xml:space="preserve">. </w:t>
      </w:r>
      <w:r w:rsidR="008A4BA5" w:rsidRPr="00C422CE">
        <w:t xml:space="preserve">The </w:t>
      </w:r>
      <w:r w:rsidR="006A15FB" w:rsidRPr="00C422CE">
        <w:t>ESC</w:t>
      </w:r>
      <w:r w:rsidR="008A4BA5" w:rsidRPr="00C422CE">
        <w:t xml:space="preserve"> noted</w:t>
      </w:r>
      <w:r w:rsidR="006A15FB" w:rsidRPr="00C422CE">
        <w:t xml:space="preserve"> </w:t>
      </w:r>
      <w:r w:rsidR="00DB124A" w:rsidRPr="00C422CE">
        <w:t>that although it was not explicitly stated in the trial protocol</w:t>
      </w:r>
      <w:r w:rsidR="00380763" w:rsidRPr="00C422CE">
        <w:t>,</w:t>
      </w:r>
      <w:r w:rsidR="006A15FB" w:rsidRPr="00C422CE">
        <w:t xml:space="preserve"> </w:t>
      </w:r>
      <w:r w:rsidR="00380763" w:rsidRPr="00C422CE">
        <w:t xml:space="preserve">nearly all </w:t>
      </w:r>
      <w:r w:rsidR="006A15FB" w:rsidRPr="00C422CE">
        <w:t>patients</w:t>
      </w:r>
      <w:r w:rsidR="00380763" w:rsidRPr="00C422CE">
        <w:t xml:space="preserve"> who discontinued </w:t>
      </w:r>
      <w:proofErr w:type="spellStart"/>
      <w:r w:rsidR="00551924">
        <w:t>ipilimumab</w:t>
      </w:r>
      <w:proofErr w:type="spellEnd"/>
      <w:r w:rsidR="00551924" w:rsidRPr="00C422CE">
        <w:t xml:space="preserve"> </w:t>
      </w:r>
      <w:r w:rsidR="00380763" w:rsidRPr="00C422CE">
        <w:t xml:space="preserve">also discontinued </w:t>
      </w:r>
      <w:proofErr w:type="spellStart"/>
      <w:r w:rsidR="00551924">
        <w:t>nivolumab</w:t>
      </w:r>
      <w:proofErr w:type="spellEnd"/>
      <w:r w:rsidR="00551924" w:rsidRPr="00C422CE">
        <w:t xml:space="preserve"> </w:t>
      </w:r>
      <w:r w:rsidR="00380763" w:rsidRPr="00C422CE">
        <w:t xml:space="preserve">(see Table 10) and this contributed to the reduced </w:t>
      </w:r>
      <w:proofErr w:type="spellStart"/>
      <w:r w:rsidR="00551924">
        <w:lastRenderedPageBreak/>
        <w:t>nivolumab</w:t>
      </w:r>
      <w:proofErr w:type="spellEnd"/>
      <w:r w:rsidR="00551924" w:rsidRPr="00C422CE">
        <w:t xml:space="preserve"> </w:t>
      </w:r>
      <w:r w:rsidR="00380763" w:rsidRPr="00C422CE">
        <w:t xml:space="preserve">treatment duration in the combination arm compared with the monotherapy arm. </w:t>
      </w:r>
      <w:r w:rsidR="002318DD" w:rsidRPr="00C422CE">
        <w:t xml:space="preserve">Although it is recommended in the PI for </w:t>
      </w:r>
      <w:proofErr w:type="spellStart"/>
      <w:r w:rsidR="002318DD" w:rsidRPr="00C422CE">
        <w:t>nivolumab</w:t>
      </w:r>
      <w:proofErr w:type="spellEnd"/>
      <w:r w:rsidR="002318DD" w:rsidRPr="00C422CE">
        <w:t xml:space="preserve"> that if either agent is withheld, the other agent should also be withheld, t</w:t>
      </w:r>
      <w:r w:rsidR="00DD616C" w:rsidRPr="00C422CE">
        <w:t xml:space="preserve">he ESC considered this is unlikely to reflect how the combination would be used in clinical practice as patients who experience toxicity are likely to discontinue the </w:t>
      </w:r>
      <w:proofErr w:type="spellStart"/>
      <w:r w:rsidR="00551924">
        <w:t>ipilimumab</w:t>
      </w:r>
      <w:proofErr w:type="spellEnd"/>
      <w:r w:rsidR="00551924" w:rsidRPr="00C422CE">
        <w:t xml:space="preserve"> </w:t>
      </w:r>
      <w:r w:rsidR="00DD616C" w:rsidRPr="00C422CE">
        <w:t xml:space="preserve">but remain on the </w:t>
      </w:r>
      <w:proofErr w:type="spellStart"/>
      <w:r w:rsidR="00551924">
        <w:t>nivolumab</w:t>
      </w:r>
      <w:proofErr w:type="spellEnd"/>
      <w:r w:rsidR="00DD616C" w:rsidRPr="00C422CE">
        <w:t xml:space="preserve">. </w:t>
      </w:r>
      <w:r w:rsidR="00270636" w:rsidRPr="00C422CE">
        <w:t xml:space="preserve">The ESC was concerned that in this scenario, and particularly as the submission proposed a separate item number for </w:t>
      </w:r>
      <w:proofErr w:type="spellStart"/>
      <w:r w:rsidR="00270636" w:rsidRPr="00C422CE">
        <w:t>nivolumab</w:t>
      </w:r>
      <w:proofErr w:type="spellEnd"/>
      <w:r w:rsidR="00270636" w:rsidRPr="00C422CE">
        <w:t xml:space="preserve"> monotherapy in the continuing phase, the Commonwealth will incur the cost of </w:t>
      </w:r>
      <w:proofErr w:type="spellStart"/>
      <w:r w:rsidR="00270636" w:rsidRPr="00C422CE">
        <w:t>nivolumab</w:t>
      </w:r>
      <w:proofErr w:type="spellEnd"/>
      <w:r w:rsidR="00270636" w:rsidRPr="00C422CE">
        <w:t xml:space="preserve"> monotherapy</w:t>
      </w:r>
      <w:r w:rsidR="00510A86" w:rsidRPr="00C422CE">
        <w:t xml:space="preserve"> (</w:t>
      </w:r>
      <w:r w:rsidR="001178E8" w:rsidRPr="00C422CE">
        <w:t>at a higher unit cost</w:t>
      </w:r>
      <w:r w:rsidR="00510A86" w:rsidRPr="00C422CE">
        <w:t xml:space="preserve">); this use </w:t>
      </w:r>
      <w:r w:rsidR="00270636" w:rsidRPr="00C422CE">
        <w:t xml:space="preserve">is </w:t>
      </w:r>
      <w:r w:rsidR="00510A86" w:rsidRPr="00C422CE">
        <w:t xml:space="preserve">currently </w:t>
      </w:r>
      <w:r w:rsidR="00E94B3A">
        <w:rPr>
          <w:noProof/>
          <w:color w:val="000000"/>
          <w:highlight w:val="black"/>
        </w:rPr>
        <w:t xml:space="preserve">'''''''' '''''''''''''' </w:t>
      </w:r>
      <w:r w:rsidR="00270636" w:rsidRPr="00C422CE">
        <w:t xml:space="preserve">under the current </w:t>
      </w:r>
      <w:r w:rsidR="00551924">
        <w:t>Risk Share Arrangement (RSA)</w:t>
      </w:r>
      <w:r w:rsidR="00551924" w:rsidRPr="00C422CE">
        <w:t xml:space="preserve"> </w:t>
      </w:r>
      <w:r w:rsidR="00270636" w:rsidRPr="00C422CE">
        <w:t xml:space="preserve">for </w:t>
      </w:r>
      <w:proofErr w:type="spellStart"/>
      <w:r w:rsidR="00270636" w:rsidRPr="00C422CE">
        <w:t>nivolumab</w:t>
      </w:r>
      <w:proofErr w:type="spellEnd"/>
      <w:r w:rsidR="00270636" w:rsidRPr="00C422CE">
        <w:t xml:space="preserve"> for utilisation above the agreed annual expenditure caps. This is because</w:t>
      </w:r>
      <w:r w:rsidR="00DD616C" w:rsidRPr="00C422CE">
        <w:t xml:space="preserve">, in clinical practice it is likely that the average duration of </w:t>
      </w:r>
      <w:proofErr w:type="spellStart"/>
      <w:r w:rsidR="00551924">
        <w:t>nivolumab</w:t>
      </w:r>
      <w:proofErr w:type="spellEnd"/>
      <w:r w:rsidR="00551924" w:rsidRPr="00C422CE">
        <w:t xml:space="preserve"> </w:t>
      </w:r>
      <w:r w:rsidR="00DD616C" w:rsidRPr="00C422CE">
        <w:t xml:space="preserve">treatment when used in combination with </w:t>
      </w:r>
      <w:proofErr w:type="spellStart"/>
      <w:r w:rsidR="00551924">
        <w:t>ipilimumab</w:t>
      </w:r>
      <w:proofErr w:type="spellEnd"/>
      <w:r w:rsidR="00551924" w:rsidRPr="00C422CE">
        <w:t xml:space="preserve"> </w:t>
      </w:r>
      <w:r w:rsidR="00DD616C" w:rsidRPr="00C422CE">
        <w:t xml:space="preserve">will be substantially longer than observed in the trial and more consistent with that observed for </w:t>
      </w:r>
      <w:proofErr w:type="spellStart"/>
      <w:r w:rsidR="00551924">
        <w:t>nivolumab</w:t>
      </w:r>
      <w:proofErr w:type="spellEnd"/>
      <w:r w:rsidR="00551924" w:rsidRPr="00C422CE">
        <w:t xml:space="preserve"> </w:t>
      </w:r>
      <w:r w:rsidR="00DD616C" w:rsidRPr="00C422CE">
        <w:t>monotherapy.</w:t>
      </w:r>
      <w:r w:rsidR="006A15FB">
        <w:rPr>
          <w:i/>
        </w:rPr>
        <w:t xml:space="preserve"> </w:t>
      </w:r>
      <w:r w:rsidR="008A4BA5">
        <w:rPr>
          <w:i/>
        </w:rPr>
        <w:t xml:space="preserve"> </w:t>
      </w:r>
      <w:r w:rsidR="00E66FAD" w:rsidRPr="008F6670">
        <w:t>T</w:t>
      </w:r>
      <w:r w:rsidR="00246FC6">
        <w:t>he p</w:t>
      </w:r>
      <w:r w:rsidR="00E66FAD" w:rsidRPr="008F6670">
        <w:t xml:space="preserve">re-PBAC response </w:t>
      </w:r>
      <w:r w:rsidR="008F6670">
        <w:t xml:space="preserve">did not agree that patients receiving NIVO+IPI would receive equivalent doses to those on </w:t>
      </w:r>
      <w:proofErr w:type="spellStart"/>
      <w:r w:rsidR="00551924">
        <w:t>nivolumab</w:t>
      </w:r>
      <w:proofErr w:type="spellEnd"/>
      <w:r w:rsidR="008F6670">
        <w:t xml:space="preserve"> monotherapy</w:t>
      </w:r>
      <w:r w:rsidR="00E701EF">
        <w:t xml:space="preserve">, </w:t>
      </w:r>
      <w:r w:rsidR="00E66FAD" w:rsidRPr="008F6670">
        <w:t>re-assert</w:t>
      </w:r>
      <w:r w:rsidR="00E701EF">
        <w:t>ing</w:t>
      </w:r>
      <w:r w:rsidR="00E66FAD" w:rsidRPr="008F6670">
        <w:t xml:space="preserve"> </w:t>
      </w:r>
      <w:r w:rsidR="008F6670">
        <w:t xml:space="preserve">that </w:t>
      </w:r>
      <w:r w:rsidR="00E66FAD" w:rsidRPr="008F6670">
        <w:t>patients w</w:t>
      </w:r>
      <w:r w:rsidR="008F6670">
        <w:t xml:space="preserve">ould </w:t>
      </w:r>
      <w:r w:rsidR="00E66FAD" w:rsidRPr="008F6670">
        <w:t>cease all treatment even if toxicity was rel</w:t>
      </w:r>
      <w:r w:rsidR="00E701EF">
        <w:t>a</w:t>
      </w:r>
      <w:r w:rsidR="00E66FAD" w:rsidRPr="008F6670">
        <w:t xml:space="preserve">ted to </w:t>
      </w:r>
      <w:proofErr w:type="spellStart"/>
      <w:r w:rsidR="00551924">
        <w:t>ipilimumab</w:t>
      </w:r>
      <w:proofErr w:type="spellEnd"/>
      <w:r w:rsidR="00E66FAD" w:rsidRPr="008F6670">
        <w:t xml:space="preserve"> only.</w:t>
      </w:r>
      <w:r w:rsidR="003070FF">
        <w:t xml:space="preserve"> The PBAC considered the duration of </w:t>
      </w:r>
      <w:proofErr w:type="spellStart"/>
      <w:r w:rsidR="003070FF">
        <w:t>nivolumab</w:t>
      </w:r>
      <w:proofErr w:type="spellEnd"/>
      <w:r w:rsidR="003070FF">
        <w:t xml:space="preserve"> treatment when used in combination with </w:t>
      </w:r>
      <w:proofErr w:type="spellStart"/>
      <w:r w:rsidR="003070FF">
        <w:t>ipilimumab</w:t>
      </w:r>
      <w:proofErr w:type="spellEnd"/>
      <w:r w:rsidR="003070FF">
        <w:t xml:space="preserve"> to be uncertain.</w:t>
      </w:r>
      <w:r w:rsidR="00E66FAD" w:rsidRPr="008F6670">
        <w:t xml:space="preserve"> </w:t>
      </w:r>
    </w:p>
    <w:p w:rsidR="0060546E" w:rsidRPr="00F4173B" w:rsidRDefault="002964F3" w:rsidP="0060546E">
      <w:pPr>
        <w:pStyle w:val="ListParagraph"/>
        <w:widowControl/>
        <w:numPr>
          <w:ilvl w:val="1"/>
          <w:numId w:val="2"/>
        </w:numPr>
      </w:pPr>
      <w:r w:rsidRPr="004E76B7">
        <w:t>The results of the cost analysis are summarised below.</w:t>
      </w:r>
      <w:r w:rsidR="00763F67">
        <w:t xml:space="preserve"> </w:t>
      </w:r>
      <w:r w:rsidR="00246FC6">
        <w:t>Updated costs presented in the p</w:t>
      </w:r>
      <w:r w:rsidR="00763F67">
        <w:t xml:space="preserve">re-PBAC response are </w:t>
      </w:r>
      <w:r w:rsidR="0060546E">
        <w:t xml:space="preserve">explained in more detail below (paragraph </w:t>
      </w:r>
      <w:r w:rsidR="00DC3648" w:rsidRPr="0081150C">
        <w:t>6.45</w:t>
      </w:r>
      <w:r w:rsidR="0081150C" w:rsidRPr="0081150C">
        <w:t xml:space="preserve"> </w:t>
      </w:r>
      <w:r w:rsidR="0060546E" w:rsidRPr="0081150C">
        <w:t xml:space="preserve">and Figure </w:t>
      </w:r>
      <w:r w:rsidR="003D14B9" w:rsidRPr="0081150C">
        <w:t>1</w:t>
      </w:r>
      <w:r w:rsidR="0060546E">
        <w:t>)</w:t>
      </w:r>
    </w:p>
    <w:p w:rsidR="002964F3" w:rsidRDefault="002964F3" w:rsidP="003534E2">
      <w:pPr>
        <w:pStyle w:val="Caption"/>
        <w:keepNext/>
      </w:pPr>
      <w:r>
        <w:lastRenderedPageBreak/>
        <w:t xml:space="preserve">Table </w:t>
      </w:r>
      <w:r w:rsidR="00622B9E">
        <w:rPr>
          <w:noProof/>
        </w:rPr>
        <w:t>11</w:t>
      </w:r>
      <w:r>
        <w:t>: Cost calculation – Australian adjusted analysis (with consideration of the PD-1 inhibitor subsidisation cap)</w:t>
      </w:r>
    </w:p>
    <w:tbl>
      <w:tblPr>
        <w:tblStyle w:val="TableGrid"/>
        <w:tblW w:w="0" w:type="auto"/>
        <w:tblInd w:w="108" w:type="dxa"/>
        <w:tblLook w:val="04A0" w:firstRow="1" w:lastRow="0" w:firstColumn="1" w:lastColumn="0" w:noHBand="0" w:noVBand="1"/>
        <w:tblCaption w:val="Table 11: Cost calculation – Australian adjusted analysis (with consideration of the PD-1 inhibitor subsidisation cap)"/>
      </w:tblPr>
      <w:tblGrid>
        <w:gridCol w:w="5529"/>
        <w:gridCol w:w="1842"/>
        <w:gridCol w:w="1764"/>
      </w:tblGrid>
      <w:tr w:rsidR="002964F3" w:rsidRPr="00871A0C" w:rsidTr="009716C6">
        <w:trPr>
          <w:trHeight w:val="20"/>
          <w:tblHeader/>
        </w:trPr>
        <w:tc>
          <w:tcPr>
            <w:tcW w:w="9135" w:type="dxa"/>
            <w:gridSpan w:val="3"/>
            <w:noWrap/>
            <w:vAlign w:val="center"/>
            <w:hideMark/>
          </w:tcPr>
          <w:p w:rsidR="002964F3" w:rsidRPr="00871A0C" w:rsidRDefault="002964F3" w:rsidP="003534E2">
            <w:pPr>
              <w:pStyle w:val="Tabletext"/>
              <w:keepNext/>
            </w:pPr>
            <w:proofErr w:type="spellStart"/>
            <w:r w:rsidRPr="00471767">
              <w:rPr>
                <w:b/>
              </w:rPr>
              <w:t>Nivolumab</w:t>
            </w:r>
            <w:proofErr w:type="spellEnd"/>
            <w:r w:rsidRPr="00471767">
              <w:rPr>
                <w:b/>
              </w:rPr>
              <w:t xml:space="preserve"> monotherapy costs</w:t>
            </w:r>
          </w:p>
        </w:tc>
      </w:tr>
      <w:tr w:rsidR="002964F3" w:rsidRPr="00871A0C" w:rsidTr="0081150C">
        <w:trPr>
          <w:trHeight w:val="20"/>
        </w:trPr>
        <w:tc>
          <w:tcPr>
            <w:tcW w:w="5529" w:type="dxa"/>
            <w:noWrap/>
            <w:vAlign w:val="center"/>
          </w:tcPr>
          <w:p w:rsidR="002964F3" w:rsidRPr="00871A0C" w:rsidRDefault="002964F3" w:rsidP="003534E2">
            <w:pPr>
              <w:pStyle w:val="Tabletext"/>
              <w:keepNext/>
              <w:ind w:left="284"/>
            </w:pPr>
            <w:r>
              <w:t xml:space="preserve">Drug cost: </w:t>
            </w:r>
            <w:proofErr w:type="spellStart"/>
            <w:r>
              <w:t>nivolumab</w:t>
            </w:r>
            <w:proofErr w:type="spellEnd"/>
            <w:r>
              <w:t xml:space="preserve"> (</w:t>
            </w:r>
            <w:r w:rsidR="0023740F">
              <w:t xml:space="preserve">estimated capped </w:t>
            </w:r>
            <w:r>
              <w:t>EMP)</w:t>
            </w:r>
          </w:p>
        </w:tc>
        <w:tc>
          <w:tcPr>
            <w:tcW w:w="3606" w:type="dxa"/>
            <w:gridSpan w:val="2"/>
            <w:noWrap/>
            <w:vAlign w:val="center"/>
          </w:tcPr>
          <w:p w:rsidR="002964F3" w:rsidRPr="00871A0C" w:rsidRDefault="002964F3" w:rsidP="003534E2">
            <w:pPr>
              <w:pStyle w:val="Tabletext"/>
              <w:keepNext/>
              <w:jc w:val="center"/>
            </w:pPr>
            <w:r>
              <w:t>$</w:t>
            </w:r>
            <w:r w:rsidR="00E94B3A">
              <w:rPr>
                <w:noProof/>
                <w:color w:val="000000"/>
                <w:highlight w:val="black"/>
              </w:rPr>
              <w:t>''''''''''''''''''</w:t>
            </w:r>
            <w:r>
              <w:t>*</w:t>
            </w:r>
          </w:p>
        </w:tc>
      </w:tr>
      <w:tr w:rsidR="002964F3" w:rsidRPr="00871A0C" w:rsidTr="0081150C">
        <w:trPr>
          <w:trHeight w:val="20"/>
        </w:trPr>
        <w:tc>
          <w:tcPr>
            <w:tcW w:w="5529" w:type="dxa"/>
            <w:noWrap/>
            <w:vAlign w:val="center"/>
          </w:tcPr>
          <w:p w:rsidR="002964F3" w:rsidRDefault="002964F3" w:rsidP="003534E2">
            <w:pPr>
              <w:pStyle w:val="Tabletext"/>
              <w:keepNext/>
              <w:ind w:left="284"/>
            </w:pPr>
            <w:r>
              <w:t>Additional costs</w:t>
            </w:r>
          </w:p>
        </w:tc>
        <w:tc>
          <w:tcPr>
            <w:tcW w:w="3606" w:type="dxa"/>
            <w:gridSpan w:val="2"/>
            <w:noWrap/>
            <w:vAlign w:val="center"/>
          </w:tcPr>
          <w:p w:rsidR="002964F3" w:rsidRDefault="002964F3" w:rsidP="003534E2">
            <w:pPr>
              <w:pStyle w:val="Tabletext"/>
              <w:keepNext/>
              <w:jc w:val="center"/>
            </w:pPr>
            <w:r>
              <w:t>$</w:t>
            </w:r>
            <w:r w:rsidR="00E94B3A">
              <w:rPr>
                <w:noProof/>
                <w:color w:val="000000"/>
                <w:highlight w:val="black"/>
              </w:rPr>
              <w:t>''''''''''''''''</w:t>
            </w:r>
            <w:r>
              <w:t>**</w:t>
            </w:r>
          </w:p>
        </w:tc>
      </w:tr>
      <w:tr w:rsidR="002964F3" w:rsidRPr="00471767" w:rsidTr="0081150C">
        <w:trPr>
          <w:trHeight w:val="20"/>
        </w:trPr>
        <w:tc>
          <w:tcPr>
            <w:tcW w:w="5529" w:type="dxa"/>
            <w:noWrap/>
            <w:vAlign w:val="center"/>
          </w:tcPr>
          <w:p w:rsidR="002964F3" w:rsidRPr="00471767" w:rsidRDefault="002964F3" w:rsidP="003534E2">
            <w:pPr>
              <w:pStyle w:val="Tabletext"/>
              <w:keepNext/>
            </w:pPr>
            <w:r w:rsidRPr="00471767">
              <w:t xml:space="preserve">Total cost </w:t>
            </w:r>
            <w:proofErr w:type="spellStart"/>
            <w:r w:rsidRPr="00471767">
              <w:t>nivolumab</w:t>
            </w:r>
            <w:proofErr w:type="spellEnd"/>
            <w:r w:rsidRPr="00471767">
              <w:t xml:space="preserve"> monotherapy</w:t>
            </w:r>
            <w:r>
              <w:t xml:space="preserve"> </w:t>
            </w:r>
            <w:r w:rsidRPr="00E81C39">
              <w:rPr>
                <w:b/>
              </w:rPr>
              <w:t>(A)</w:t>
            </w:r>
          </w:p>
        </w:tc>
        <w:tc>
          <w:tcPr>
            <w:tcW w:w="3606" w:type="dxa"/>
            <w:gridSpan w:val="2"/>
            <w:noWrap/>
            <w:vAlign w:val="center"/>
          </w:tcPr>
          <w:p w:rsidR="002964F3" w:rsidRPr="00471767" w:rsidRDefault="002964F3" w:rsidP="00453CDD">
            <w:pPr>
              <w:pStyle w:val="Tabletext"/>
              <w:keepNext/>
              <w:jc w:val="center"/>
              <w:rPr>
                <w:b/>
              </w:rPr>
            </w:pPr>
            <w:r w:rsidRPr="00471767">
              <w:rPr>
                <w:b/>
              </w:rPr>
              <w:t>$</w:t>
            </w:r>
            <w:r w:rsidR="00E94B3A">
              <w:rPr>
                <w:b/>
                <w:noProof/>
                <w:color w:val="000000"/>
                <w:highlight w:val="black"/>
              </w:rPr>
              <w:t>'''''''''''''</w:t>
            </w:r>
            <w:r w:rsidR="00E125EA">
              <w:rPr>
                <w:b/>
              </w:rPr>
              <w:t xml:space="preserve"> </w:t>
            </w:r>
          </w:p>
        </w:tc>
      </w:tr>
      <w:tr w:rsidR="00453CDD" w:rsidRPr="00471767" w:rsidTr="0081150C">
        <w:trPr>
          <w:trHeight w:val="20"/>
        </w:trPr>
        <w:tc>
          <w:tcPr>
            <w:tcW w:w="5529" w:type="dxa"/>
            <w:noWrap/>
            <w:vAlign w:val="center"/>
          </w:tcPr>
          <w:p w:rsidR="00453CDD" w:rsidRPr="00E85EED" w:rsidRDefault="00453CDD" w:rsidP="005963C6">
            <w:pPr>
              <w:pStyle w:val="Tabletext"/>
              <w:keepNext/>
            </w:pPr>
            <w:r w:rsidRPr="00E85EED">
              <w:t>Pre-PBAC response (3.2 doses of IPI per patient</w:t>
            </w:r>
            <w:r w:rsidR="0022230D" w:rsidRPr="00E85EED">
              <w:t>;</w:t>
            </w:r>
            <w:r w:rsidRPr="00E85EED">
              <w:t xml:space="preserve"> </w:t>
            </w:r>
            <w:r w:rsidR="005963C6" w:rsidRPr="00E85EED">
              <w:t>80</w:t>
            </w:r>
            <w:r w:rsidRPr="00E85EED">
              <w:t>% of NIVO patients receive IPI 2L</w:t>
            </w:r>
            <w:r w:rsidR="0022230D" w:rsidRPr="00E85EED">
              <w:t xml:space="preserve">, as compared to </w:t>
            </w:r>
            <w:r w:rsidR="005963C6" w:rsidRPr="00E85EED">
              <w:t>95</w:t>
            </w:r>
            <w:r w:rsidR="0022230D" w:rsidRPr="00E85EED">
              <w:t>%</w:t>
            </w:r>
            <w:r w:rsidRPr="00E85EED">
              <w:t xml:space="preserve">) </w:t>
            </w:r>
            <w:r w:rsidRPr="00E85EED">
              <w:rPr>
                <w:b/>
              </w:rPr>
              <w:t>(A</w:t>
            </w:r>
            <w:r w:rsidRPr="00E85EED">
              <w:rPr>
                <w:b/>
                <w:vertAlign w:val="superscript"/>
              </w:rPr>
              <w:t>†</w:t>
            </w:r>
            <w:r w:rsidRPr="00E85EED">
              <w:rPr>
                <w:b/>
              </w:rPr>
              <w:t>)</w:t>
            </w:r>
          </w:p>
        </w:tc>
        <w:tc>
          <w:tcPr>
            <w:tcW w:w="3606" w:type="dxa"/>
            <w:gridSpan w:val="2"/>
            <w:noWrap/>
            <w:vAlign w:val="center"/>
          </w:tcPr>
          <w:p w:rsidR="00453CDD" w:rsidRPr="00471767" w:rsidRDefault="00453CDD" w:rsidP="00453CDD">
            <w:pPr>
              <w:pStyle w:val="Tabletext"/>
              <w:keepNext/>
              <w:jc w:val="center"/>
              <w:rPr>
                <w:b/>
              </w:rPr>
            </w:pPr>
            <w:r>
              <w:rPr>
                <w:b/>
              </w:rPr>
              <w:t>$</w:t>
            </w:r>
            <w:r w:rsidR="00E94B3A">
              <w:rPr>
                <w:b/>
                <w:noProof/>
                <w:color w:val="000000"/>
                <w:highlight w:val="black"/>
              </w:rPr>
              <w:t>''''''''''''</w:t>
            </w:r>
          </w:p>
        </w:tc>
      </w:tr>
      <w:tr w:rsidR="002964F3" w:rsidRPr="00871A0C" w:rsidTr="0081150C">
        <w:trPr>
          <w:trHeight w:val="20"/>
        </w:trPr>
        <w:tc>
          <w:tcPr>
            <w:tcW w:w="9135" w:type="dxa"/>
            <w:gridSpan w:val="3"/>
            <w:noWrap/>
            <w:vAlign w:val="center"/>
          </w:tcPr>
          <w:p w:rsidR="002964F3" w:rsidRPr="00471767" w:rsidRDefault="002964F3" w:rsidP="003534E2">
            <w:pPr>
              <w:pStyle w:val="Tabletext"/>
              <w:keepNext/>
              <w:rPr>
                <w:b/>
              </w:rPr>
            </w:pPr>
            <w:r>
              <w:rPr>
                <w:b/>
              </w:rPr>
              <w:t>NIVO+IPI cost off sets</w:t>
            </w:r>
          </w:p>
        </w:tc>
      </w:tr>
      <w:tr w:rsidR="002964F3" w:rsidRPr="00871A0C" w:rsidTr="0081150C">
        <w:trPr>
          <w:trHeight w:val="20"/>
        </w:trPr>
        <w:tc>
          <w:tcPr>
            <w:tcW w:w="5529" w:type="dxa"/>
            <w:noWrap/>
            <w:vAlign w:val="center"/>
            <w:hideMark/>
          </w:tcPr>
          <w:p w:rsidR="002964F3" w:rsidRPr="00871A0C" w:rsidRDefault="002964F3" w:rsidP="003534E2">
            <w:pPr>
              <w:pStyle w:val="Tabletext"/>
              <w:keepNext/>
              <w:ind w:left="284"/>
            </w:pPr>
            <w:r>
              <w:t>NIVO+IPI</w:t>
            </w:r>
            <w:r w:rsidRPr="00871A0C">
              <w:t xml:space="preserve"> admin costs</w:t>
            </w:r>
          </w:p>
        </w:tc>
        <w:tc>
          <w:tcPr>
            <w:tcW w:w="3606" w:type="dxa"/>
            <w:gridSpan w:val="2"/>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noWrap/>
            <w:vAlign w:val="center"/>
            <w:hideMark/>
          </w:tcPr>
          <w:p w:rsidR="002964F3" w:rsidRPr="00871A0C" w:rsidRDefault="002964F3" w:rsidP="003534E2">
            <w:pPr>
              <w:pStyle w:val="Tabletext"/>
              <w:keepNext/>
              <w:ind w:left="284"/>
            </w:pPr>
            <w:r>
              <w:t>NIVO+IPI</w:t>
            </w:r>
            <w:r w:rsidRPr="00871A0C">
              <w:t xml:space="preserve"> subsequent therapy drug costs</w:t>
            </w:r>
          </w:p>
        </w:tc>
        <w:tc>
          <w:tcPr>
            <w:tcW w:w="3606" w:type="dxa"/>
            <w:gridSpan w:val="2"/>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noWrap/>
            <w:vAlign w:val="center"/>
            <w:hideMark/>
          </w:tcPr>
          <w:p w:rsidR="002964F3" w:rsidRPr="00871A0C" w:rsidRDefault="002964F3" w:rsidP="003534E2">
            <w:pPr>
              <w:pStyle w:val="Tabletext"/>
              <w:keepNext/>
              <w:ind w:left="284"/>
            </w:pPr>
            <w:r>
              <w:t>NIVO+IPI</w:t>
            </w:r>
            <w:r w:rsidRPr="00871A0C">
              <w:t xml:space="preserve"> subsequent therapy admin costs</w:t>
            </w:r>
          </w:p>
        </w:tc>
        <w:tc>
          <w:tcPr>
            <w:tcW w:w="3606" w:type="dxa"/>
            <w:gridSpan w:val="2"/>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noWrap/>
            <w:vAlign w:val="center"/>
            <w:hideMark/>
          </w:tcPr>
          <w:p w:rsidR="002964F3" w:rsidRPr="00871A0C" w:rsidRDefault="002964F3" w:rsidP="003534E2">
            <w:pPr>
              <w:pStyle w:val="Tabletext"/>
              <w:keepNext/>
              <w:ind w:left="284"/>
            </w:pPr>
            <w:r>
              <w:t>NIVO+IPI</w:t>
            </w:r>
            <w:r w:rsidRPr="00871A0C">
              <w:t xml:space="preserve"> AE costs</w:t>
            </w:r>
          </w:p>
        </w:tc>
        <w:tc>
          <w:tcPr>
            <w:tcW w:w="3606" w:type="dxa"/>
            <w:gridSpan w:val="2"/>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tcBorders>
              <w:bottom w:val="single" w:sz="4" w:space="0" w:color="auto"/>
            </w:tcBorders>
            <w:noWrap/>
            <w:vAlign w:val="center"/>
          </w:tcPr>
          <w:p w:rsidR="002964F3" w:rsidRDefault="002964F3" w:rsidP="003534E2">
            <w:pPr>
              <w:pStyle w:val="Tabletext"/>
              <w:keepNext/>
            </w:pPr>
            <w:r>
              <w:t xml:space="preserve">Total cost offsets </w:t>
            </w:r>
            <w:r w:rsidRPr="00E81C39">
              <w:rPr>
                <w:b/>
              </w:rPr>
              <w:t>(B)</w:t>
            </w:r>
          </w:p>
        </w:tc>
        <w:tc>
          <w:tcPr>
            <w:tcW w:w="3606" w:type="dxa"/>
            <w:gridSpan w:val="2"/>
            <w:tcBorders>
              <w:bottom w:val="single" w:sz="4" w:space="0" w:color="auto"/>
            </w:tcBorders>
            <w:noWrap/>
            <w:vAlign w:val="center"/>
          </w:tcPr>
          <w:p w:rsidR="002964F3" w:rsidRPr="00871A0C" w:rsidRDefault="002964F3" w:rsidP="003534E2">
            <w:pPr>
              <w:pStyle w:val="Tabletext"/>
              <w:keepNext/>
              <w:jc w:val="center"/>
            </w:pPr>
            <w:r>
              <w:t>$</w:t>
            </w:r>
            <w:r w:rsidR="00E94B3A">
              <w:rPr>
                <w:noProof/>
                <w:color w:val="000000"/>
                <w:highlight w:val="black"/>
              </w:rPr>
              <w:t>''''''''''''''</w:t>
            </w:r>
          </w:p>
        </w:tc>
      </w:tr>
      <w:tr w:rsidR="002964F3" w:rsidRPr="00471767" w:rsidTr="0081150C">
        <w:trPr>
          <w:trHeight w:val="20"/>
        </w:trPr>
        <w:tc>
          <w:tcPr>
            <w:tcW w:w="5529" w:type="dxa"/>
            <w:tcBorders>
              <w:bottom w:val="single" w:sz="4" w:space="0" w:color="auto"/>
            </w:tcBorders>
            <w:noWrap/>
            <w:vAlign w:val="center"/>
            <w:hideMark/>
          </w:tcPr>
          <w:p w:rsidR="002964F3" w:rsidRPr="00471767" w:rsidRDefault="002964F3" w:rsidP="003534E2">
            <w:pPr>
              <w:pStyle w:val="Tabletext"/>
              <w:keepNext/>
              <w:rPr>
                <w:b/>
              </w:rPr>
            </w:pPr>
            <w:r w:rsidRPr="00471767">
              <w:rPr>
                <w:b/>
              </w:rPr>
              <w:t>Cost-min NIVO+IPI drug costs</w:t>
            </w:r>
            <w:r>
              <w:rPr>
                <w:b/>
              </w:rPr>
              <w:t xml:space="preserve"> (A-B) (EMP)</w:t>
            </w:r>
          </w:p>
        </w:tc>
        <w:tc>
          <w:tcPr>
            <w:tcW w:w="3606" w:type="dxa"/>
            <w:gridSpan w:val="2"/>
            <w:tcBorders>
              <w:bottom w:val="single" w:sz="4" w:space="0" w:color="auto"/>
            </w:tcBorders>
            <w:noWrap/>
            <w:vAlign w:val="center"/>
            <w:hideMark/>
          </w:tcPr>
          <w:p w:rsidR="002964F3" w:rsidRPr="00471767" w:rsidRDefault="002964F3" w:rsidP="00453CDD">
            <w:pPr>
              <w:pStyle w:val="Tabletext"/>
              <w:keepNext/>
              <w:jc w:val="center"/>
              <w:rPr>
                <w:b/>
              </w:rPr>
            </w:pPr>
            <w:r w:rsidRPr="00471767">
              <w:rPr>
                <w:b/>
              </w:rPr>
              <w:t>$</w:t>
            </w:r>
            <w:r w:rsidR="00E94B3A">
              <w:rPr>
                <w:b/>
                <w:noProof/>
                <w:color w:val="000000"/>
                <w:highlight w:val="black"/>
              </w:rPr>
              <w:t>'''''''''''''</w:t>
            </w:r>
            <w:r w:rsidR="00E125EA">
              <w:rPr>
                <w:b/>
              </w:rPr>
              <w:t xml:space="preserve"> </w:t>
            </w:r>
          </w:p>
        </w:tc>
      </w:tr>
      <w:tr w:rsidR="00453CDD" w:rsidRPr="00471767" w:rsidTr="0081150C">
        <w:trPr>
          <w:trHeight w:val="20"/>
        </w:trPr>
        <w:tc>
          <w:tcPr>
            <w:tcW w:w="5529" w:type="dxa"/>
            <w:tcBorders>
              <w:bottom w:val="double" w:sz="4" w:space="0" w:color="auto"/>
            </w:tcBorders>
            <w:noWrap/>
            <w:vAlign w:val="center"/>
          </w:tcPr>
          <w:p w:rsidR="00453CDD" w:rsidRPr="00471767" w:rsidRDefault="00453CDD" w:rsidP="00453CDD">
            <w:pPr>
              <w:pStyle w:val="Tabletext"/>
              <w:keepNext/>
              <w:rPr>
                <w:b/>
              </w:rPr>
            </w:pPr>
            <w:r>
              <w:rPr>
                <w:b/>
              </w:rPr>
              <w:t>Pre-PBAC response (A</w:t>
            </w:r>
            <w:r w:rsidRPr="00453CDD">
              <w:rPr>
                <w:b/>
                <w:vertAlign w:val="superscript"/>
              </w:rPr>
              <w:t>†</w:t>
            </w:r>
            <w:r>
              <w:rPr>
                <w:b/>
              </w:rPr>
              <w:t>-B)</w:t>
            </w:r>
          </w:p>
        </w:tc>
        <w:tc>
          <w:tcPr>
            <w:tcW w:w="3606" w:type="dxa"/>
            <w:gridSpan w:val="2"/>
            <w:tcBorders>
              <w:bottom w:val="double" w:sz="4" w:space="0" w:color="auto"/>
            </w:tcBorders>
            <w:noWrap/>
            <w:vAlign w:val="center"/>
          </w:tcPr>
          <w:p w:rsidR="00453CDD" w:rsidRPr="00471767" w:rsidRDefault="00453CDD" w:rsidP="00453CDD">
            <w:pPr>
              <w:pStyle w:val="Tabletext"/>
              <w:keepNext/>
              <w:jc w:val="center"/>
              <w:rPr>
                <w:b/>
              </w:rPr>
            </w:pPr>
            <w:r>
              <w:rPr>
                <w:b/>
              </w:rPr>
              <w:t>$</w:t>
            </w:r>
            <w:r w:rsidR="00E94B3A">
              <w:rPr>
                <w:b/>
                <w:noProof/>
                <w:color w:val="000000"/>
                <w:highlight w:val="black"/>
              </w:rPr>
              <w:t>''''''''''''</w:t>
            </w:r>
          </w:p>
        </w:tc>
      </w:tr>
      <w:tr w:rsidR="002964F3" w:rsidRPr="00471767" w:rsidTr="0081150C">
        <w:trPr>
          <w:trHeight w:val="20"/>
        </w:trPr>
        <w:tc>
          <w:tcPr>
            <w:tcW w:w="9135" w:type="dxa"/>
            <w:gridSpan w:val="3"/>
            <w:tcBorders>
              <w:top w:val="double" w:sz="4" w:space="0" w:color="auto"/>
            </w:tcBorders>
            <w:noWrap/>
            <w:vAlign w:val="center"/>
          </w:tcPr>
          <w:p w:rsidR="002964F3" w:rsidRPr="00471767" w:rsidRDefault="002964F3" w:rsidP="003534E2">
            <w:pPr>
              <w:pStyle w:val="Tabletext"/>
              <w:keepNext/>
              <w:rPr>
                <w:b/>
              </w:rPr>
            </w:pPr>
            <w:r>
              <w:rPr>
                <w:b/>
              </w:rPr>
              <w:t xml:space="preserve">Calculation of prices per vial for NIVO+IPI </w:t>
            </w:r>
          </w:p>
        </w:tc>
      </w:tr>
      <w:tr w:rsidR="002964F3" w:rsidRPr="00871A0C" w:rsidTr="0081150C">
        <w:trPr>
          <w:trHeight w:val="20"/>
        </w:trPr>
        <w:tc>
          <w:tcPr>
            <w:tcW w:w="5529" w:type="dxa"/>
            <w:vMerge w:val="restart"/>
            <w:noWrap/>
            <w:vAlign w:val="center"/>
            <w:hideMark/>
          </w:tcPr>
          <w:p w:rsidR="002964F3" w:rsidRPr="00871A0C" w:rsidRDefault="002964F3" w:rsidP="003534E2">
            <w:pPr>
              <w:pStyle w:val="Tabletext"/>
              <w:keepNext/>
            </w:pPr>
            <w:r>
              <w:t>Duration of therapy</w:t>
            </w:r>
            <w:r w:rsidRPr="00871A0C">
              <w:t xml:space="preserve"> (infusions)</w:t>
            </w:r>
          </w:p>
        </w:tc>
        <w:tc>
          <w:tcPr>
            <w:tcW w:w="1842" w:type="dxa"/>
            <w:noWrap/>
            <w:vAlign w:val="center"/>
            <w:hideMark/>
          </w:tcPr>
          <w:p w:rsidR="002964F3" w:rsidRPr="00871A0C" w:rsidRDefault="002964F3" w:rsidP="003534E2">
            <w:pPr>
              <w:pStyle w:val="Tabletext"/>
              <w:keepNext/>
              <w:jc w:val="center"/>
            </w:pPr>
            <w:r w:rsidRPr="00871A0C">
              <w:t>Induction</w:t>
            </w:r>
          </w:p>
        </w:tc>
        <w:tc>
          <w:tcPr>
            <w:tcW w:w="1764" w:type="dxa"/>
            <w:noWrap/>
            <w:vAlign w:val="center"/>
            <w:hideMark/>
          </w:tcPr>
          <w:p w:rsidR="002964F3" w:rsidRPr="00871A0C" w:rsidRDefault="002964F3" w:rsidP="003534E2">
            <w:pPr>
              <w:pStyle w:val="Tabletext"/>
              <w:keepNext/>
              <w:jc w:val="center"/>
            </w:pPr>
            <w:r w:rsidRPr="00871A0C">
              <w:t>3.21</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1842" w:type="dxa"/>
            <w:noWrap/>
            <w:vAlign w:val="center"/>
            <w:hideMark/>
          </w:tcPr>
          <w:p w:rsidR="002964F3" w:rsidRPr="00871A0C" w:rsidRDefault="002964F3" w:rsidP="003534E2">
            <w:pPr>
              <w:pStyle w:val="Tabletext"/>
              <w:keepNext/>
              <w:jc w:val="center"/>
            </w:pPr>
            <w:r w:rsidRPr="00871A0C">
              <w:t>Maintenance</w:t>
            </w:r>
          </w:p>
        </w:tc>
        <w:tc>
          <w:tcPr>
            <w:tcW w:w="1764" w:type="dxa"/>
            <w:noWrap/>
            <w:vAlign w:val="center"/>
            <w:hideMark/>
          </w:tcPr>
          <w:p w:rsidR="002964F3" w:rsidRPr="00871A0C" w:rsidRDefault="002964F3" w:rsidP="003534E2">
            <w:pPr>
              <w:pStyle w:val="Tabletext"/>
              <w:keepNext/>
              <w:jc w:val="center"/>
            </w:pPr>
            <w:r w:rsidRPr="00871A0C">
              <w:t>17.49</w:t>
            </w:r>
          </w:p>
        </w:tc>
      </w:tr>
      <w:tr w:rsidR="002964F3" w:rsidRPr="00871A0C" w:rsidTr="0081150C">
        <w:trPr>
          <w:trHeight w:val="20"/>
        </w:trPr>
        <w:tc>
          <w:tcPr>
            <w:tcW w:w="5529" w:type="dxa"/>
            <w:vMerge w:val="restart"/>
            <w:noWrap/>
            <w:vAlign w:val="center"/>
            <w:hideMark/>
          </w:tcPr>
          <w:p w:rsidR="002964F3" w:rsidRPr="00B84816" w:rsidRDefault="002964F3" w:rsidP="003534E2">
            <w:pPr>
              <w:pStyle w:val="Tabletext"/>
              <w:keepNext/>
              <w:rPr>
                <w:vertAlign w:val="superscript"/>
              </w:rPr>
            </w:pPr>
            <w:r w:rsidRPr="00871A0C">
              <w:t>Mean dose/infusion (including wastage)</w:t>
            </w:r>
            <w:r>
              <w:rPr>
                <w:vertAlign w:val="superscript"/>
              </w:rPr>
              <w:t>a</w:t>
            </w:r>
          </w:p>
        </w:tc>
        <w:tc>
          <w:tcPr>
            <w:tcW w:w="3606" w:type="dxa"/>
            <w:gridSpan w:val="2"/>
            <w:noWrap/>
            <w:vAlign w:val="center"/>
            <w:hideMark/>
          </w:tcPr>
          <w:p w:rsidR="002964F3" w:rsidRPr="00871A0C" w:rsidRDefault="002964F3" w:rsidP="003534E2">
            <w:pPr>
              <w:pStyle w:val="Tabletext"/>
              <w:keepNext/>
              <w:jc w:val="center"/>
            </w:pPr>
            <w:r w:rsidRPr="00871A0C">
              <w:t>Induction</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3606" w:type="dxa"/>
            <w:gridSpan w:val="2"/>
            <w:vAlign w:val="center"/>
            <w:hideMark/>
          </w:tcPr>
          <w:p w:rsidR="002964F3" w:rsidRPr="00871A0C" w:rsidRDefault="002964F3" w:rsidP="003534E2">
            <w:pPr>
              <w:pStyle w:val="Tabletext"/>
              <w:keepNext/>
              <w:jc w:val="center"/>
            </w:pPr>
            <w:r w:rsidRPr="00871A0C">
              <w:t>NIVO = 100mg</w:t>
            </w:r>
          </w:p>
          <w:p w:rsidR="002964F3" w:rsidRPr="00871A0C" w:rsidRDefault="002964F3" w:rsidP="003534E2">
            <w:pPr>
              <w:pStyle w:val="Tabletext"/>
              <w:keepNext/>
              <w:jc w:val="center"/>
            </w:pPr>
            <w:r w:rsidRPr="00871A0C">
              <w:t>IPI = 250mg</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3606" w:type="dxa"/>
            <w:gridSpan w:val="2"/>
            <w:noWrap/>
            <w:vAlign w:val="center"/>
            <w:hideMark/>
          </w:tcPr>
          <w:p w:rsidR="002964F3" w:rsidRPr="00871A0C" w:rsidRDefault="002964F3" w:rsidP="003534E2">
            <w:pPr>
              <w:pStyle w:val="Tabletext"/>
              <w:keepNext/>
              <w:jc w:val="center"/>
            </w:pPr>
            <w:r w:rsidRPr="00871A0C">
              <w:t>Maintenance</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3606" w:type="dxa"/>
            <w:gridSpan w:val="2"/>
            <w:noWrap/>
            <w:vAlign w:val="center"/>
            <w:hideMark/>
          </w:tcPr>
          <w:p w:rsidR="002964F3" w:rsidRPr="00871A0C" w:rsidRDefault="002964F3" w:rsidP="003534E2">
            <w:pPr>
              <w:pStyle w:val="Tabletext"/>
              <w:keepNext/>
              <w:jc w:val="center"/>
            </w:pPr>
            <w:r w:rsidRPr="00871A0C">
              <w:t>NIVO = 260mg</w:t>
            </w:r>
          </w:p>
        </w:tc>
      </w:tr>
      <w:tr w:rsidR="002964F3" w:rsidRPr="00871A0C" w:rsidTr="0081150C">
        <w:trPr>
          <w:trHeight w:val="20"/>
        </w:trPr>
        <w:tc>
          <w:tcPr>
            <w:tcW w:w="5529" w:type="dxa"/>
            <w:vMerge w:val="restart"/>
            <w:noWrap/>
            <w:vAlign w:val="center"/>
            <w:hideMark/>
          </w:tcPr>
          <w:p w:rsidR="002964F3" w:rsidRPr="00871A0C" w:rsidRDefault="002964F3" w:rsidP="003534E2">
            <w:pPr>
              <w:pStyle w:val="Tabletext"/>
              <w:keepNext/>
            </w:pPr>
            <w:r w:rsidRPr="00871A0C">
              <w:t>Proposed price per vial (</w:t>
            </w:r>
            <w:r w:rsidR="0023740F">
              <w:t xml:space="preserve">effective </w:t>
            </w:r>
            <w:r w:rsidRPr="00871A0C">
              <w:t>EMP)</w:t>
            </w:r>
          </w:p>
        </w:tc>
        <w:tc>
          <w:tcPr>
            <w:tcW w:w="1842" w:type="dxa"/>
            <w:noWrap/>
            <w:vAlign w:val="center"/>
            <w:hideMark/>
          </w:tcPr>
          <w:p w:rsidR="002964F3" w:rsidRPr="00871A0C" w:rsidRDefault="002964F3" w:rsidP="003534E2">
            <w:pPr>
              <w:pStyle w:val="Tabletext"/>
              <w:keepNext/>
              <w:jc w:val="center"/>
            </w:pPr>
            <w:r w:rsidRPr="00871A0C">
              <w:t>NIVO 40mg</w:t>
            </w:r>
          </w:p>
        </w:tc>
        <w:tc>
          <w:tcPr>
            <w:tcW w:w="1764" w:type="dxa"/>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1842" w:type="dxa"/>
            <w:noWrap/>
            <w:vAlign w:val="center"/>
            <w:hideMark/>
          </w:tcPr>
          <w:p w:rsidR="002964F3" w:rsidRPr="00871A0C" w:rsidRDefault="002964F3" w:rsidP="003534E2">
            <w:pPr>
              <w:pStyle w:val="Tabletext"/>
              <w:keepNext/>
              <w:jc w:val="center"/>
            </w:pPr>
            <w:r w:rsidRPr="00871A0C">
              <w:t>NIVO 100mg</w:t>
            </w:r>
          </w:p>
        </w:tc>
        <w:tc>
          <w:tcPr>
            <w:tcW w:w="1764" w:type="dxa"/>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1842" w:type="dxa"/>
            <w:noWrap/>
            <w:vAlign w:val="center"/>
            <w:hideMark/>
          </w:tcPr>
          <w:p w:rsidR="002964F3" w:rsidRPr="00871A0C" w:rsidRDefault="002964F3" w:rsidP="003534E2">
            <w:pPr>
              <w:pStyle w:val="Tabletext"/>
              <w:keepNext/>
              <w:jc w:val="center"/>
            </w:pPr>
            <w:r w:rsidRPr="00871A0C">
              <w:t>IPI 50mg</w:t>
            </w:r>
          </w:p>
        </w:tc>
        <w:tc>
          <w:tcPr>
            <w:tcW w:w="1764" w:type="dxa"/>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871A0C" w:rsidTr="0081150C">
        <w:trPr>
          <w:trHeight w:val="20"/>
        </w:trPr>
        <w:tc>
          <w:tcPr>
            <w:tcW w:w="5529" w:type="dxa"/>
            <w:vMerge/>
            <w:vAlign w:val="center"/>
            <w:hideMark/>
          </w:tcPr>
          <w:p w:rsidR="002964F3" w:rsidRPr="00871A0C" w:rsidRDefault="002964F3" w:rsidP="003534E2">
            <w:pPr>
              <w:pStyle w:val="Tabletext"/>
              <w:keepNext/>
            </w:pPr>
          </w:p>
        </w:tc>
        <w:tc>
          <w:tcPr>
            <w:tcW w:w="1842" w:type="dxa"/>
            <w:noWrap/>
            <w:vAlign w:val="center"/>
            <w:hideMark/>
          </w:tcPr>
          <w:p w:rsidR="002964F3" w:rsidRPr="00871A0C" w:rsidRDefault="002964F3" w:rsidP="003534E2">
            <w:pPr>
              <w:pStyle w:val="Tabletext"/>
              <w:keepNext/>
              <w:jc w:val="center"/>
            </w:pPr>
            <w:r w:rsidRPr="00871A0C">
              <w:t>IPI 200mg</w:t>
            </w:r>
          </w:p>
        </w:tc>
        <w:tc>
          <w:tcPr>
            <w:tcW w:w="1764" w:type="dxa"/>
            <w:noWrap/>
            <w:vAlign w:val="center"/>
            <w:hideMark/>
          </w:tcPr>
          <w:p w:rsidR="002964F3" w:rsidRPr="00871A0C" w:rsidRDefault="002964F3" w:rsidP="003534E2">
            <w:pPr>
              <w:pStyle w:val="Tabletext"/>
              <w:keepNext/>
              <w:jc w:val="center"/>
            </w:pPr>
            <w:r w:rsidRPr="00871A0C">
              <w:t>$</w:t>
            </w:r>
            <w:r w:rsidR="00E94B3A">
              <w:rPr>
                <w:noProof/>
                <w:color w:val="000000"/>
                <w:highlight w:val="black"/>
              </w:rPr>
              <w:t>'''''''''''''''''''''''</w:t>
            </w:r>
          </w:p>
        </w:tc>
      </w:tr>
      <w:tr w:rsidR="002964F3" w:rsidRPr="003E39A7" w:rsidTr="0081150C">
        <w:trPr>
          <w:trHeight w:val="20"/>
        </w:trPr>
        <w:tc>
          <w:tcPr>
            <w:tcW w:w="5529" w:type="dxa"/>
            <w:noWrap/>
            <w:vAlign w:val="center"/>
            <w:hideMark/>
          </w:tcPr>
          <w:p w:rsidR="002964F3" w:rsidRPr="00B84816" w:rsidRDefault="002964F3" w:rsidP="003534E2">
            <w:pPr>
              <w:pStyle w:val="Tabletext"/>
              <w:keepNext/>
              <w:rPr>
                <w:vertAlign w:val="superscript"/>
              </w:rPr>
            </w:pPr>
            <w:r w:rsidRPr="00871A0C">
              <w:t xml:space="preserve">Total </w:t>
            </w:r>
            <w:r>
              <w:t>NIVO+IPI</w:t>
            </w:r>
            <w:r w:rsidRPr="00871A0C">
              <w:t xml:space="preserve"> drug costs</w:t>
            </w:r>
            <w:r>
              <w:t xml:space="preserve"> (</w:t>
            </w:r>
            <w:r w:rsidR="0023740F">
              <w:t xml:space="preserve">effective </w:t>
            </w:r>
            <w:r>
              <w:t>EMP)</w:t>
            </w:r>
          </w:p>
        </w:tc>
        <w:tc>
          <w:tcPr>
            <w:tcW w:w="3606" w:type="dxa"/>
            <w:gridSpan w:val="2"/>
            <w:noWrap/>
            <w:vAlign w:val="center"/>
            <w:hideMark/>
          </w:tcPr>
          <w:p w:rsidR="002964F3" w:rsidRPr="003E39A7" w:rsidRDefault="002964F3" w:rsidP="003534E2">
            <w:pPr>
              <w:pStyle w:val="Tabletext"/>
              <w:keepNext/>
              <w:jc w:val="center"/>
              <w:rPr>
                <w:vertAlign w:val="superscript"/>
                <w:lang w:val="es-ES"/>
              </w:rPr>
            </w:pPr>
            <w:proofErr w:type="spellStart"/>
            <w:r w:rsidRPr="003E39A7">
              <w:rPr>
                <w:lang w:val="es-ES"/>
              </w:rPr>
              <w:t>Nivolumab</w:t>
            </w:r>
            <w:proofErr w:type="spellEnd"/>
            <w:r w:rsidRPr="003E39A7">
              <w:rPr>
                <w:lang w:val="es-ES"/>
              </w:rPr>
              <w:t>: $</w:t>
            </w:r>
            <w:r w:rsidR="00E94B3A">
              <w:rPr>
                <w:noProof/>
                <w:color w:val="000000"/>
                <w:highlight w:val="black"/>
                <w:lang w:val="es-ES"/>
              </w:rPr>
              <w:t>'''''''''''''''</w:t>
            </w:r>
            <w:r w:rsidRPr="003E39A7">
              <w:rPr>
                <w:vertAlign w:val="superscript"/>
                <w:lang w:val="es-ES"/>
              </w:rPr>
              <w:t>b</w:t>
            </w:r>
          </w:p>
          <w:p w:rsidR="002964F3" w:rsidRPr="003E39A7" w:rsidRDefault="002964F3" w:rsidP="003534E2">
            <w:pPr>
              <w:pStyle w:val="Tabletext"/>
              <w:keepNext/>
              <w:jc w:val="center"/>
              <w:rPr>
                <w:vertAlign w:val="superscript"/>
                <w:lang w:val="es-ES"/>
              </w:rPr>
            </w:pPr>
            <w:proofErr w:type="spellStart"/>
            <w:r w:rsidRPr="003E39A7">
              <w:rPr>
                <w:lang w:val="es-ES"/>
              </w:rPr>
              <w:t>Ipilimumab</w:t>
            </w:r>
            <w:proofErr w:type="spellEnd"/>
            <w:r w:rsidRPr="003E39A7">
              <w:rPr>
                <w:lang w:val="es-ES"/>
              </w:rPr>
              <w:t>: $</w:t>
            </w:r>
            <w:r w:rsidR="00E94B3A">
              <w:rPr>
                <w:noProof/>
                <w:color w:val="000000"/>
                <w:highlight w:val="black"/>
                <w:lang w:val="es-ES"/>
              </w:rPr>
              <w:t>''''''''''''''''</w:t>
            </w:r>
            <w:r w:rsidRPr="003E39A7">
              <w:rPr>
                <w:vertAlign w:val="superscript"/>
                <w:lang w:val="es-ES"/>
              </w:rPr>
              <w:t>c</w:t>
            </w:r>
          </w:p>
          <w:p w:rsidR="002964F3" w:rsidRPr="003E39A7" w:rsidRDefault="002964F3" w:rsidP="003534E2">
            <w:pPr>
              <w:pStyle w:val="Tabletext"/>
              <w:keepNext/>
              <w:jc w:val="center"/>
              <w:rPr>
                <w:b/>
                <w:lang w:val="es-ES"/>
              </w:rPr>
            </w:pPr>
            <w:r w:rsidRPr="003E39A7">
              <w:rPr>
                <w:b/>
                <w:lang w:val="es-ES"/>
              </w:rPr>
              <w:t>NIVO+IPI: $</w:t>
            </w:r>
            <w:r w:rsidR="00E94B3A">
              <w:rPr>
                <w:b/>
                <w:noProof/>
                <w:color w:val="000000"/>
                <w:highlight w:val="black"/>
                <w:lang w:val="es-ES"/>
              </w:rPr>
              <w:t>''''''''''''</w:t>
            </w:r>
          </w:p>
        </w:tc>
      </w:tr>
    </w:tbl>
    <w:p w:rsidR="002964F3" w:rsidRPr="00942094" w:rsidRDefault="00453CDD" w:rsidP="002964F3">
      <w:pPr>
        <w:pStyle w:val="TableFooter"/>
      </w:pPr>
      <w:r>
        <w:t xml:space="preserve">2L = second-line; </w:t>
      </w:r>
      <w:r w:rsidR="00E81C39">
        <w:t xml:space="preserve">AE = adverse event; </w:t>
      </w:r>
      <w:r w:rsidR="002964F3">
        <w:t>EMP = Ex-manufacturer price;</w:t>
      </w:r>
      <w:r w:rsidR="002964F3" w:rsidRPr="00D1508E">
        <w:t xml:space="preserve"> </w:t>
      </w:r>
      <w:r w:rsidR="002964F3">
        <w:t xml:space="preserve">IPI = </w:t>
      </w:r>
      <w:proofErr w:type="spellStart"/>
      <w:r w:rsidR="002964F3" w:rsidRPr="00942094">
        <w:t>ipilimumab</w:t>
      </w:r>
      <w:proofErr w:type="spellEnd"/>
      <w:r w:rsidR="002964F3" w:rsidRPr="00942094">
        <w:t xml:space="preserve">; NIVO = </w:t>
      </w:r>
      <w:proofErr w:type="spellStart"/>
      <w:r w:rsidR="002964F3" w:rsidRPr="00942094">
        <w:t>nivolumab</w:t>
      </w:r>
      <w:proofErr w:type="spellEnd"/>
      <w:r w:rsidR="00E81C39" w:rsidRPr="00942094">
        <w:t xml:space="preserve">; </w:t>
      </w:r>
      <w:r>
        <w:t xml:space="preserve">PBAC = Pharmaceutical Benefits Advisory Committee; </w:t>
      </w:r>
      <w:r w:rsidR="00E81C39" w:rsidRPr="00942094">
        <w:t>PD-1 = programmed cell death 1</w:t>
      </w:r>
    </w:p>
    <w:p w:rsidR="002964F3" w:rsidRPr="00942094" w:rsidRDefault="002964F3" w:rsidP="002964F3">
      <w:pPr>
        <w:pStyle w:val="TableFooter"/>
      </w:pPr>
      <w:r w:rsidRPr="00942094">
        <w:rPr>
          <w:vertAlign w:val="superscript"/>
        </w:rPr>
        <w:t>*</w:t>
      </w:r>
      <w:r w:rsidRPr="00942094">
        <w:t xml:space="preserve"> This is calculated assuming a mean body weight of 80.6kg and the number of infusions of 10.96, which was derived from the capped dispensed price per course per patient (see </w:t>
      </w:r>
      <w:r w:rsidR="003A17B1">
        <w:t>Table 13</w:t>
      </w:r>
      <w:r w:rsidR="000202A0" w:rsidRPr="00942094">
        <w:t xml:space="preserve"> </w:t>
      </w:r>
      <w:r w:rsidRPr="00942094">
        <w:t>for details)</w:t>
      </w:r>
      <w:r w:rsidR="00970D9D" w:rsidRPr="00942094">
        <w:t xml:space="preserve">. </w:t>
      </w:r>
    </w:p>
    <w:p w:rsidR="002964F3" w:rsidRPr="00D25C47" w:rsidRDefault="002964F3" w:rsidP="002964F3">
      <w:pPr>
        <w:pStyle w:val="TableFooter"/>
      </w:pPr>
      <w:r w:rsidRPr="00942094">
        <w:t xml:space="preserve">** </w:t>
      </w:r>
      <w:r w:rsidR="0028220C" w:rsidRPr="00942094">
        <w:t>Costs</w:t>
      </w:r>
      <w:r w:rsidRPr="00942094">
        <w:t xml:space="preserve"> of administration, managing adverse events and subsequent</w:t>
      </w:r>
      <w:r>
        <w:t xml:space="preserve"> therapies</w:t>
      </w:r>
    </w:p>
    <w:p w:rsidR="00867700" w:rsidRDefault="002964F3" w:rsidP="002964F3">
      <w:pPr>
        <w:pStyle w:val="TableFooter"/>
      </w:pPr>
      <w:proofErr w:type="spellStart"/>
      <w:proofErr w:type="gramStart"/>
      <w:r>
        <w:rPr>
          <w:vertAlign w:val="superscript"/>
        </w:rPr>
        <w:t>a</w:t>
      </w:r>
      <w:proofErr w:type="spellEnd"/>
      <w:proofErr w:type="gramEnd"/>
      <w:r>
        <w:t xml:space="preserve"> Assuming average weight of 80.8 kg</w:t>
      </w:r>
      <w:r w:rsidR="00867700">
        <w:t xml:space="preserve">. </w:t>
      </w:r>
    </w:p>
    <w:p w:rsidR="002964F3" w:rsidRPr="00013BE0" w:rsidRDefault="00867700" w:rsidP="002964F3">
      <w:pPr>
        <w:pStyle w:val="TableFooter"/>
      </w:pPr>
      <w:r w:rsidRPr="00013BE0">
        <w:t xml:space="preserve">Note: the resubmission used the average weight of patients in the NIVO+IPI arm of CA209067 to calculate the cost of NIVO+IPI. An average weight of 80.6 kg (the average weight in the </w:t>
      </w:r>
      <w:proofErr w:type="spellStart"/>
      <w:r w:rsidRPr="00013BE0">
        <w:t>nivolumab</w:t>
      </w:r>
      <w:proofErr w:type="spellEnd"/>
      <w:r w:rsidRPr="00013BE0">
        <w:t xml:space="preserve"> monotherapy arm of CA209067) was used to calculate the cost of </w:t>
      </w:r>
      <w:proofErr w:type="spellStart"/>
      <w:r w:rsidRPr="00013BE0">
        <w:t>nivolumab</w:t>
      </w:r>
      <w:proofErr w:type="spellEnd"/>
      <w:r w:rsidRPr="00013BE0">
        <w:t xml:space="preserve"> monotherapy. This discrepancy did not affect the combination of vials required to supply the mean dose.</w:t>
      </w:r>
    </w:p>
    <w:p w:rsidR="002964F3" w:rsidRPr="003E39A7" w:rsidRDefault="002964F3" w:rsidP="002964F3">
      <w:pPr>
        <w:pStyle w:val="TableFooter"/>
        <w:rPr>
          <w:lang w:val="fr-FR"/>
        </w:rPr>
      </w:pPr>
      <w:proofErr w:type="gramStart"/>
      <w:r w:rsidRPr="003E39A7">
        <w:rPr>
          <w:vertAlign w:val="superscript"/>
          <w:lang w:val="fr-FR"/>
        </w:rPr>
        <w:t>b</w:t>
      </w:r>
      <w:proofErr w:type="gramEnd"/>
      <w:r w:rsidRPr="003E39A7">
        <w:rPr>
          <w:vertAlign w:val="superscript"/>
          <w:lang w:val="fr-FR"/>
        </w:rPr>
        <w:t xml:space="preserve">  </w:t>
      </w:r>
      <w:proofErr w:type="spellStart"/>
      <w:r w:rsidRPr="003E39A7">
        <w:rPr>
          <w:lang w:val="fr-FR"/>
        </w:rPr>
        <w:t>Nivolumab</w:t>
      </w:r>
      <w:proofErr w:type="spellEnd"/>
      <w:r w:rsidRPr="003E39A7">
        <w:rPr>
          <w:lang w:val="fr-FR"/>
        </w:rPr>
        <w:t xml:space="preserve">: 1 x 100 mg </w:t>
      </w:r>
      <w:proofErr w:type="spellStart"/>
      <w:r w:rsidRPr="003E39A7">
        <w:rPr>
          <w:lang w:val="fr-FR"/>
        </w:rPr>
        <w:t>vial</w:t>
      </w:r>
      <w:proofErr w:type="spellEnd"/>
      <w:r w:rsidRPr="003E39A7">
        <w:rPr>
          <w:lang w:val="fr-FR"/>
        </w:rPr>
        <w:t xml:space="preserve"> x 3.21 infusions (induction) plus (1 x 100 mg </w:t>
      </w:r>
      <w:proofErr w:type="spellStart"/>
      <w:r w:rsidRPr="003E39A7">
        <w:rPr>
          <w:lang w:val="fr-FR"/>
        </w:rPr>
        <w:t>vial</w:t>
      </w:r>
      <w:proofErr w:type="spellEnd"/>
      <w:r w:rsidRPr="003E39A7">
        <w:rPr>
          <w:lang w:val="fr-FR"/>
        </w:rPr>
        <w:t xml:space="preserve"> + 4 x 40 mg </w:t>
      </w:r>
      <w:proofErr w:type="spellStart"/>
      <w:r w:rsidRPr="003E39A7">
        <w:rPr>
          <w:lang w:val="fr-FR"/>
        </w:rPr>
        <w:t>vials</w:t>
      </w:r>
      <w:proofErr w:type="spellEnd"/>
      <w:r w:rsidRPr="003E39A7">
        <w:rPr>
          <w:lang w:val="fr-FR"/>
        </w:rPr>
        <w:t>) x 17.49 infusions (maintenance)</w:t>
      </w:r>
    </w:p>
    <w:p w:rsidR="002964F3" w:rsidRPr="00157D74" w:rsidRDefault="002964F3" w:rsidP="002964F3">
      <w:pPr>
        <w:pStyle w:val="TableFooter"/>
      </w:pPr>
      <w:proofErr w:type="gramStart"/>
      <w:r>
        <w:rPr>
          <w:vertAlign w:val="superscript"/>
        </w:rPr>
        <w:t>c</w:t>
      </w:r>
      <w:proofErr w:type="gramEnd"/>
      <w:r>
        <w:t xml:space="preserve"> Ipilimumab: (1 x 200 mg vial + 1 x 50 mg vial) x 3.21 infusions</w:t>
      </w:r>
    </w:p>
    <w:p w:rsidR="002964F3" w:rsidRDefault="002964F3" w:rsidP="002964F3">
      <w:pPr>
        <w:pStyle w:val="TableFooter"/>
      </w:pPr>
      <w:r>
        <w:t>Source: Table 74, p143 of the resubmission</w:t>
      </w:r>
    </w:p>
    <w:p w:rsidR="002964F3" w:rsidRDefault="002964F3" w:rsidP="003235AE">
      <w:pPr>
        <w:pStyle w:val="ListParagraph"/>
        <w:widowControl/>
        <w:numPr>
          <w:ilvl w:val="1"/>
          <w:numId w:val="2"/>
        </w:numPr>
        <w:spacing w:before="120"/>
      </w:pPr>
      <w:r w:rsidRPr="004E76B7">
        <w:t>Based on the calculation presented in the resubmission</w:t>
      </w:r>
      <w:r w:rsidR="0022230D">
        <w:t xml:space="preserve"> (and updated in the </w:t>
      </w:r>
      <w:r w:rsidR="00246FC6">
        <w:t>p</w:t>
      </w:r>
      <w:r w:rsidR="0022230D">
        <w:t>re-PBAC response)</w:t>
      </w:r>
      <w:r w:rsidRPr="004E76B7">
        <w:t>, the estimated cost per course per patient, based on the ex-manufacturer price, for NIVO+IPI would be $</w:t>
      </w:r>
      <w:r w:rsidR="00E94B3A">
        <w:rPr>
          <w:noProof/>
          <w:color w:val="000000"/>
          <w:highlight w:val="black"/>
        </w:rPr>
        <w:t>''''''''''''''</w:t>
      </w:r>
      <w:r w:rsidR="0022230D">
        <w:t xml:space="preserve"> ($</w:t>
      </w:r>
      <w:r w:rsidR="00E94B3A">
        <w:rPr>
          <w:noProof/>
          <w:color w:val="000000"/>
          <w:highlight w:val="black"/>
        </w:rPr>
        <w:t>'''''''''''''</w:t>
      </w:r>
      <w:r w:rsidR="0022230D">
        <w:t>)</w:t>
      </w:r>
      <w:r w:rsidRPr="004E76B7">
        <w:t xml:space="preserve"> compared with $</w:t>
      </w:r>
      <w:r w:rsidR="00E94B3A">
        <w:rPr>
          <w:noProof/>
          <w:color w:val="000000"/>
          <w:highlight w:val="black"/>
        </w:rPr>
        <w:t>''''''''''''''</w:t>
      </w:r>
      <w:r w:rsidRPr="004E76B7">
        <w:t xml:space="preserve"> for </w:t>
      </w:r>
      <w:proofErr w:type="spellStart"/>
      <w:r w:rsidRPr="004E76B7">
        <w:t>nivolumab</w:t>
      </w:r>
      <w:proofErr w:type="spellEnd"/>
      <w:r w:rsidRPr="004E76B7">
        <w:t xml:space="preserve"> monotherapy. The incremental cost per course for NIVO+IPI compared with </w:t>
      </w:r>
      <w:proofErr w:type="spellStart"/>
      <w:r w:rsidRPr="004E76B7">
        <w:t>nivolumab</w:t>
      </w:r>
      <w:proofErr w:type="spellEnd"/>
      <w:r w:rsidRPr="004E76B7">
        <w:t xml:space="preserve"> monotherapy was largely offset by the additional cost associated with </w:t>
      </w:r>
      <w:proofErr w:type="spellStart"/>
      <w:r w:rsidRPr="004E76B7">
        <w:t>ipilimumab</w:t>
      </w:r>
      <w:proofErr w:type="spellEnd"/>
      <w:r w:rsidRPr="004E76B7">
        <w:t xml:space="preserve"> monotherapy in patients who have progressed following </w:t>
      </w:r>
      <w:proofErr w:type="spellStart"/>
      <w:r w:rsidRPr="004E76B7">
        <w:t>nivolumab</w:t>
      </w:r>
      <w:proofErr w:type="spellEnd"/>
      <w:r w:rsidRPr="004E76B7">
        <w:t xml:space="preserve"> monotherapy. Both the proportion of patients likely to receive </w:t>
      </w:r>
      <w:proofErr w:type="spellStart"/>
      <w:r w:rsidRPr="004E76B7">
        <w:t>ipilimumab</w:t>
      </w:r>
      <w:proofErr w:type="spellEnd"/>
      <w:r w:rsidRPr="004E76B7">
        <w:t xml:space="preserve"> subsequent to PD-1 inhibitor monotherapy and the mean number of doses they are likely to receive are uncertain, and therefore the cost offsets from </w:t>
      </w:r>
      <w:r w:rsidRPr="004E76B7">
        <w:lastRenderedPageBreak/>
        <w:t xml:space="preserve">subsequent therapies in the </w:t>
      </w:r>
      <w:proofErr w:type="spellStart"/>
      <w:r w:rsidRPr="004E76B7">
        <w:t>nivolumab</w:t>
      </w:r>
      <w:proofErr w:type="spellEnd"/>
      <w:r w:rsidRPr="004E76B7">
        <w:t xml:space="preserve"> monotherapy arm are subject to substantial uncertain</w:t>
      </w:r>
      <w:r w:rsidR="00C7315C" w:rsidRPr="004E76B7">
        <w:t>ty</w:t>
      </w:r>
      <w:r w:rsidRPr="004E76B7">
        <w:t>.</w:t>
      </w:r>
    </w:p>
    <w:p w:rsidR="00B50F67" w:rsidRPr="00C422CE" w:rsidRDefault="00B50F67" w:rsidP="002964F3">
      <w:pPr>
        <w:pStyle w:val="ListParagraph"/>
        <w:widowControl/>
        <w:numPr>
          <w:ilvl w:val="1"/>
          <w:numId w:val="2"/>
        </w:numPr>
      </w:pPr>
      <w:r w:rsidRPr="00C422CE">
        <w:t xml:space="preserve">The </w:t>
      </w:r>
      <w:r w:rsidR="0022230D">
        <w:t xml:space="preserve">PBAC and </w:t>
      </w:r>
      <w:r w:rsidRPr="00C422CE">
        <w:t xml:space="preserve">ESC noted the additional costs associated with NIVO+IPI and </w:t>
      </w:r>
      <w:proofErr w:type="spellStart"/>
      <w:r w:rsidRPr="00C422CE">
        <w:t>nivolumab</w:t>
      </w:r>
      <w:proofErr w:type="spellEnd"/>
      <w:r w:rsidRPr="00C422CE">
        <w:t xml:space="preserve"> monotherapy over the 3 year time horizon of the cost analysis in the comparison below</w:t>
      </w:r>
      <w:r w:rsidR="00246FC6">
        <w:t xml:space="preserve"> (and those presented in the p</w:t>
      </w:r>
      <w:r w:rsidR="0022230D">
        <w:t>re-PBAC response)</w:t>
      </w:r>
      <w:r w:rsidRPr="00C422CE">
        <w:t>.</w:t>
      </w:r>
    </w:p>
    <w:p w:rsidR="00B50F67" w:rsidRPr="003D14B9" w:rsidRDefault="00B50F67" w:rsidP="00B50F67">
      <w:pPr>
        <w:pStyle w:val="Caption"/>
      </w:pPr>
      <w:bookmarkStart w:id="13" w:name="_Ref512602176"/>
      <w:r w:rsidRPr="003D14B9">
        <w:t xml:space="preserve">Table </w:t>
      </w:r>
      <w:bookmarkEnd w:id="13"/>
      <w:r w:rsidRPr="003D14B9">
        <w:t>12: Comparison of additional costs and cost offsets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968"/>
        <w:gridCol w:w="1643"/>
        <w:gridCol w:w="1765"/>
        <w:gridCol w:w="1760"/>
      </w:tblGrid>
      <w:tr w:rsidR="00B50F67" w:rsidRPr="003D14B9" w:rsidTr="0081150C">
        <w:trPr>
          <w:trHeight w:val="20"/>
        </w:trPr>
        <w:tc>
          <w:tcPr>
            <w:tcW w:w="2172" w:type="pct"/>
            <w:shd w:val="clear" w:color="auto" w:fill="FFFFFF" w:themeFill="background1"/>
            <w:vAlign w:val="center"/>
            <w:hideMark/>
          </w:tcPr>
          <w:p w:rsidR="00B50F67" w:rsidRPr="003D14B9" w:rsidRDefault="00B50F67" w:rsidP="00D45936">
            <w:pPr>
              <w:pStyle w:val="Tabletext"/>
              <w:rPr>
                <w:b/>
              </w:rPr>
            </w:pPr>
            <w:r w:rsidRPr="003D14B9">
              <w:rPr>
                <w:b/>
              </w:rPr>
              <w:t>Cost category</w:t>
            </w:r>
          </w:p>
        </w:tc>
        <w:tc>
          <w:tcPr>
            <w:tcW w:w="899" w:type="pct"/>
            <w:shd w:val="clear" w:color="auto" w:fill="FFFFFF" w:themeFill="background1"/>
            <w:vAlign w:val="center"/>
            <w:hideMark/>
          </w:tcPr>
          <w:p w:rsidR="00B50F67" w:rsidRPr="003D14B9" w:rsidRDefault="00B50F67" w:rsidP="00D45936">
            <w:pPr>
              <w:pStyle w:val="Tabletext"/>
              <w:jc w:val="center"/>
              <w:rPr>
                <w:b/>
              </w:rPr>
            </w:pPr>
            <w:r w:rsidRPr="003D14B9">
              <w:rPr>
                <w:b/>
              </w:rPr>
              <w:t>NIVO+IPI</w:t>
            </w:r>
          </w:p>
        </w:tc>
        <w:tc>
          <w:tcPr>
            <w:tcW w:w="966" w:type="pct"/>
            <w:shd w:val="clear" w:color="auto" w:fill="FFFFFF" w:themeFill="background1"/>
            <w:vAlign w:val="center"/>
            <w:hideMark/>
          </w:tcPr>
          <w:p w:rsidR="00B50F67" w:rsidRPr="003D14B9" w:rsidRDefault="00B50F67" w:rsidP="00D45936">
            <w:pPr>
              <w:pStyle w:val="Tabletext"/>
              <w:jc w:val="center"/>
              <w:rPr>
                <w:b/>
              </w:rPr>
            </w:pPr>
            <w:proofErr w:type="spellStart"/>
            <w:r w:rsidRPr="003D14B9">
              <w:rPr>
                <w:b/>
              </w:rPr>
              <w:t>Nivolumab</w:t>
            </w:r>
            <w:proofErr w:type="spellEnd"/>
            <w:r w:rsidRPr="003D14B9">
              <w:rPr>
                <w:b/>
              </w:rPr>
              <w:t xml:space="preserve"> monotherapy</w:t>
            </w:r>
          </w:p>
        </w:tc>
        <w:tc>
          <w:tcPr>
            <w:tcW w:w="963" w:type="pct"/>
            <w:shd w:val="clear" w:color="auto" w:fill="FFFFFF" w:themeFill="background1"/>
            <w:vAlign w:val="center"/>
          </w:tcPr>
          <w:p w:rsidR="00B50F67" w:rsidRPr="003D14B9" w:rsidRDefault="00B50F67" w:rsidP="00D45936">
            <w:pPr>
              <w:pStyle w:val="Tabletext"/>
              <w:jc w:val="center"/>
              <w:rPr>
                <w:b/>
              </w:rPr>
            </w:pPr>
            <w:r w:rsidRPr="003D14B9">
              <w:rPr>
                <w:b/>
              </w:rPr>
              <w:t>Difference</w:t>
            </w:r>
          </w:p>
        </w:tc>
      </w:tr>
      <w:tr w:rsidR="00B50F67" w:rsidRPr="003D14B9" w:rsidTr="0081150C">
        <w:trPr>
          <w:trHeight w:val="20"/>
        </w:trPr>
        <w:tc>
          <w:tcPr>
            <w:tcW w:w="2172" w:type="pct"/>
            <w:shd w:val="clear" w:color="auto" w:fill="FFFFFF" w:themeFill="background1"/>
            <w:vAlign w:val="center"/>
            <w:hideMark/>
          </w:tcPr>
          <w:p w:rsidR="00B50F67" w:rsidRPr="003D14B9" w:rsidRDefault="00B50F67" w:rsidP="00D45936">
            <w:pPr>
              <w:pStyle w:val="Tabletext"/>
            </w:pPr>
            <w:r w:rsidRPr="003D14B9">
              <w:t>Admin costs for NIVO+IPI and NIVO monotherapy</w:t>
            </w:r>
          </w:p>
        </w:tc>
        <w:tc>
          <w:tcPr>
            <w:tcW w:w="899" w:type="pct"/>
            <w:tcBorders>
              <w:top w:val="nil"/>
              <w:left w:val="single" w:sz="4" w:space="0" w:color="auto"/>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6"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3"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r>
      <w:tr w:rsidR="00B50F67" w:rsidRPr="003D14B9" w:rsidTr="0081150C">
        <w:trPr>
          <w:trHeight w:val="20"/>
        </w:trPr>
        <w:tc>
          <w:tcPr>
            <w:tcW w:w="2172" w:type="pct"/>
            <w:shd w:val="clear" w:color="auto" w:fill="FFFFFF" w:themeFill="background1"/>
            <w:vAlign w:val="center"/>
            <w:hideMark/>
          </w:tcPr>
          <w:p w:rsidR="00B50F67" w:rsidRPr="003D14B9" w:rsidRDefault="00B50F67" w:rsidP="00D45936">
            <w:pPr>
              <w:pStyle w:val="Tabletext"/>
            </w:pPr>
            <w:r w:rsidRPr="003D14B9">
              <w:t>Drug costs: Subsequent therapy</w:t>
            </w:r>
          </w:p>
        </w:tc>
        <w:tc>
          <w:tcPr>
            <w:tcW w:w="899" w:type="pct"/>
            <w:tcBorders>
              <w:top w:val="nil"/>
              <w:left w:val="single" w:sz="4" w:space="0" w:color="auto"/>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6"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3"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r>
      <w:tr w:rsidR="00B50F67" w:rsidRPr="003D14B9" w:rsidTr="0081150C">
        <w:trPr>
          <w:trHeight w:val="20"/>
        </w:trPr>
        <w:tc>
          <w:tcPr>
            <w:tcW w:w="2172" w:type="pct"/>
            <w:shd w:val="clear" w:color="auto" w:fill="FFFFFF" w:themeFill="background1"/>
            <w:vAlign w:val="center"/>
            <w:hideMark/>
          </w:tcPr>
          <w:p w:rsidR="00B50F67" w:rsidRPr="003D14B9" w:rsidRDefault="00B50F67" w:rsidP="00D45936">
            <w:pPr>
              <w:pStyle w:val="Tabletext"/>
            </w:pPr>
            <w:r w:rsidRPr="003D14B9">
              <w:t>Admin costs: Subsequent therapy</w:t>
            </w:r>
          </w:p>
        </w:tc>
        <w:tc>
          <w:tcPr>
            <w:tcW w:w="899" w:type="pct"/>
            <w:tcBorders>
              <w:top w:val="nil"/>
              <w:left w:val="single" w:sz="4" w:space="0" w:color="auto"/>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6"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3"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r>
      <w:tr w:rsidR="00B50F67" w:rsidRPr="003D14B9" w:rsidTr="0081150C">
        <w:trPr>
          <w:trHeight w:val="20"/>
        </w:trPr>
        <w:tc>
          <w:tcPr>
            <w:tcW w:w="2172" w:type="pct"/>
            <w:shd w:val="clear" w:color="auto" w:fill="FFFFFF" w:themeFill="background1"/>
            <w:vAlign w:val="center"/>
            <w:hideMark/>
          </w:tcPr>
          <w:p w:rsidR="00B50F67" w:rsidRPr="003D14B9" w:rsidRDefault="00B50F67" w:rsidP="00D45936">
            <w:pPr>
              <w:pStyle w:val="Tabletext"/>
            </w:pPr>
            <w:r w:rsidRPr="003D14B9">
              <w:t>Adverse event costs</w:t>
            </w:r>
          </w:p>
        </w:tc>
        <w:tc>
          <w:tcPr>
            <w:tcW w:w="899" w:type="pct"/>
            <w:tcBorders>
              <w:top w:val="nil"/>
              <w:left w:val="single" w:sz="4" w:space="0" w:color="auto"/>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6"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c>
          <w:tcPr>
            <w:tcW w:w="963"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pPr>
            <w:r w:rsidRPr="003D14B9">
              <w:t>$</w:t>
            </w:r>
            <w:r w:rsidR="00E94B3A">
              <w:rPr>
                <w:noProof/>
                <w:color w:val="000000"/>
                <w:highlight w:val="black"/>
              </w:rPr>
              <w:t>''''''''''''</w:t>
            </w:r>
          </w:p>
        </w:tc>
      </w:tr>
      <w:tr w:rsidR="00B50F67" w:rsidRPr="003D14B9" w:rsidTr="0081150C">
        <w:trPr>
          <w:trHeight w:val="20"/>
        </w:trPr>
        <w:tc>
          <w:tcPr>
            <w:tcW w:w="2172" w:type="pct"/>
            <w:shd w:val="clear" w:color="auto" w:fill="FFFFFF" w:themeFill="background1"/>
            <w:vAlign w:val="center"/>
          </w:tcPr>
          <w:p w:rsidR="00B50F67" w:rsidRPr="003D14B9" w:rsidRDefault="00B50F67" w:rsidP="00D45936">
            <w:pPr>
              <w:pStyle w:val="Tabletext"/>
              <w:rPr>
                <w:b/>
              </w:rPr>
            </w:pPr>
            <w:r w:rsidRPr="003D14B9">
              <w:rPr>
                <w:b/>
              </w:rPr>
              <w:t>Total costs</w:t>
            </w:r>
          </w:p>
        </w:tc>
        <w:tc>
          <w:tcPr>
            <w:tcW w:w="899" w:type="pct"/>
            <w:tcBorders>
              <w:top w:val="nil"/>
              <w:left w:val="single" w:sz="4" w:space="0" w:color="auto"/>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rPr>
                <w:b/>
              </w:rPr>
            </w:pPr>
            <w:r w:rsidRPr="003D14B9">
              <w:rPr>
                <w:b/>
              </w:rPr>
              <w:t>$</w:t>
            </w:r>
            <w:r w:rsidR="00E94B3A">
              <w:rPr>
                <w:b/>
                <w:noProof/>
                <w:color w:val="000000"/>
                <w:highlight w:val="black"/>
              </w:rPr>
              <w:t>''''''''''</w:t>
            </w:r>
          </w:p>
        </w:tc>
        <w:tc>
          <w:tcPr>
            <w:tcW w:w="966"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rPr>
                <w:b/>
              </w:rPr>
            </w:pPr>
            <w:r w:rsidRPr="003D14B9">
              <w:rPr>
                <w:b/>
              </w:rPr>
              <w:t>$</w:t>
            </w:r>
            <w:r w:rsidR="00E94B3A">
              <w:rPr>
                <w:b/>
                <w:noProof/>
                <w:color w:val="000000"/>
                <w:highlight w:val="black"/>
              </w:rPr>
              <w:t>'''''''''''''''</w:t>
            </w:r>
          </w:p>
        </w:tc>
        <w:tc>
          <w:tcPr>
            <w:tcW w:w="963" w:type="pct"/>
            <w:tcBorders>
              <w:top w:val="nil"/>
              <w:left w:val="nil"/>
              <w:bottom w:val="single" w:sz="4" w:space="0" w:color="auto"/>
              <w:right w:val="single" w:sz="4" w:space="0" w:color="auto"/>
            </w:tcBorders>
            <w:shd w:val="clear" w:color="auto" w:fill="FFFFFF" w:themeFill="background1"/>
            <w:vAlign w:val="center"/>
          </w:tcPr>
          <w:p w:rsidR="00B50F67" w:rsidRPr="003D14B9" w:rsidRDefault="00B50F67" w:rsidP="00D45936">
            <w:pPr>
              <w:pStyle w:val="Tabletext"/>
              <w:ind w:right="201"/>
              <w:jc w:val="right"/>
              <w:rPr>
                <w:b/>
              </w:rPr>
            </w:pPr>
            <w:r w:rsidRPr="003D14B9">
              <w:rPr>
                <w:b/>
              </w:rPr>
              <w:t>-$</w:t>
            </w:r>
            <w:r w:rsidR="00E94B3A">
              <w:rPr>
                <w:b/>
                <w:noProof/>
                <w:color w:val="000000"/>
                <w:highlight w:val="black"/>
              </w:rPr>
              <w:t>''''''''''''''</w:t>
            </w:r>
          </w:p>
        </w:tc>
      </w:tr>
      <w:tr w:rsidR="0022230D" w:rsidRPr="003D14B9" w:rsidTr="0081150C">
        <w:trPr>
          <w:trHeight w:val="20"/>
        </w:trPr>
        <w:tc>
          <w:tcPr>
            <w:tcW w:w="2172" w:type="pct"/>
            <w:shd w:val="clear" w:color="auto" w:fill="FFFFFF" w:themeFill="background1"/>
            <w:vAlign w:val="center"/>
          </w:tcPr>
          <w:p w:rsidR="0022230D" w:rsidRPr="003D14B9" w:rsidRDefault="0022230D" w:rsidP="00D45936">
            <w:pPr>
              <w:pStyle w:val="Tabletext"/>
              <w:rPr>
                <w:b/>
              </w:rPr>
            </w:pPr>
            <w:r w:rsidRPr="003D14B9">
              <w:rPr>
                <w:b/>
              </w:rPr>
              <w:t>Pre-PBAC response</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30D" w:rsidRPr="003D14B9" w:rsidRDefault="0022230D" w:rsidP="00D45936">
            <w:pPr>
              <w:pStyle w:val="Tabletext"/>
              <w:ind w:right="201"/>
              <w:jc w:val="right"/>
              <w:rPr>
                <w:b/>
              </w:rPr>
            </w:pPr>
            <w:r w:rsidRPr="003D14B9">
              <w:rPr>
                <w:b/>
              </w:rPr>
              <w:t>$</w:t>
            </w:r>
            <w:r w:rsidR="00E94B3A">
              <w:rPr>
                <w:b/>
                <w:noProof/>
                <w:color w:val="000000"/>
                <w:highlight w:val="black"/>
              </w:rPr>
              <w:t>'''''''''''</w:t>
            </w:r>
          </w:p>
        </w:tc>
        <w:tc>
          <w:tcPr>
            <w:tcW w:w="966" w:type="pct"/>
            <w:tcBorders>
              <w:top w:val="single" w:sz="4" w:space="0" w:color="auto"/>
              <w:left w:val="nil"/>
              <w:bottom w:val="single" w:sz="4" w:space="0" w:color="auto"/>
              <w:right w:val="single" w:sz="4" w:space="0" w:color="auto"/>
            </w:tcBorders>
            <w:shd w:val="clear" w:color="auto" w:fill="FFFFFF" w:themeFill="background1"/>
            <w:vAlign w:val="center"/>
          </w:tcPr>
          <w:p w:rsidR="0022230D" w:rsidRPr="003D14B9" w:rsidRDefault="0022230D" w:rsidP="00D45936">
            <w:pPr>
              <w:pStyle w:val="Tabletext"/>
              <w:ind w:right="201"/>
              <w:jc w:val="right"/>
              <w:rPr>
                <w:b/>
              </w:rPr>
            </w:pPr>
            <w:r w:rsidRPr="003D14B9">
              <w:rPr>
                <w:b/>
              </w:rPr>
              <w:t>$</w:t>
            </w:r>
            <w:r w:rsidR="00E94B3A">
              <w:rPr>
                <w:b/>
                <w:noProof/>
                <w:color w:val="000000"/>
                <w:highlight w:val="black"/>
              </w:rPr>
              <w:t>'''''''''''''</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tcPr>
          <w:p w:rsidR="0022230D" w:rsidRPr="003D14B9" w:rsidRDefault="0022230D" w:rsidP="00D45936">
            <w:pPr>
              <w:pStyle w:val="Tabletext"/>
              <w:ind w:right="201"/>
              <w:jc w:val="right"/>
              <w:rPr>
                <w:b/>
              </w:rPr>
            </w:pPr>
            <w:r w:rsidRPr="003D14B9">
              <w:rPr>
                <w:b/>
              </w:rPr>
              <w:t>-$</w:t>
            </w:r>
            <w:r w:rsidR="00E94B3A">
              <w:rPr>
                <w:b/>
                <w:noProof/>
                <w:color w:val="000000"/>
                <w:highlight w:val="black"/>
              </w:rPr>
              <w:t>''''''''''''</w:t>
            </w:r>
          </w:p>
        </w:tc>
      </w:tr>
    </w:tbl>
    <w:p w:rsidR="00B50F67" w:rsidRPr="001E7EF9" w:rsidRDefault="00B50F67" w:rsidP="00B50F67">
      <w:pPr>
        <w:pStyle w:val="TableFooter"/>
      </w:pPr>
      <w:r w:rsidRPr="001E7EF9">
        <w:t xml:space="preserve">IPI = </w:t>
      </w:r>
      <w:proofErr w:type="spellStart"/>
      <w:r w:rsidRPr="001E7EF9">
        <w:t>ipilimumab</w:t>
      </w:r>
      <w:proofErr w:type="spellEnd"/>
      <w:r w:rsidRPr="001E7EF9">
        <w:t xml:space="preserve">; NIVO = </w:t>
      </w:r>
      <w:proofErr w:type="spellStart"/>
      <w:r w:rsidRPr="001E7EF9">
        <w:t>nivolumab</w:t>
      </w:r>
      <w:proofErr w:type="spellEnd"/>
      <w:r w:rsidR="001E7EF9">
        <w:t>; PBAC = Pharmaceutical Benefits Advisory Committee</w:t>
      </w:r>
    </w:p>
    <w:p w:rsidR="00B50F67" w:rsidRPr="00B50F67" w:rsidRDefault="00B50F67" w:rsidP="00B50F67">
      <w:pPr>
        <w:pStyle w:val="TableFooter"/>
        <w:rPr>
          <w:i/>
        </w:rPr>
      </w:pPr>
      <w:r w:rsidRPr="001E7EF9">
        <w:t>Source: Table 73, p142 of the resubmission; Excel workbook ‘Appendix 1_Section3 model_NIVO+IPI_mMEL.xlsm’</w:t>
      </w:r>
    </w:p>
    <w:p w:rsidR="00B50F67" w:rsidRPr="00C422CE" w:rsidRDefault="00B50F67" w:rsidP="003235AE">
      <w:pPr>
        <w:pStyle w:val="ListParagraph"/>
        <w:widowControl/>
        <w:numPr>
          <w:ilvl w:val="1"/>
          <w:numId w:val="2"/>
        </w:numPr>
        <w:spacing w:before="120"/>
        <w:rPr>
          <w:lang w:val="en-US"/>
        </w:rPr>
      </w:pPr>
      <w:r w:rsidRPr="00C422CE">
        <w:rPr>
          <w:lang w:val="en-US"/>
        </w:rPr>
        <w:t xml:space="preserve">The </w:t>
      </w:r>
      <w:r w:rsidR="0022230D">
        <w:rPr>
          <w:lang w:val="en-US"/>
        </w:rPr>
        <w:t xml:space="preserve">PBAC and </w:t>
      </w:r>
      <w:r w:rsidRPr="00C422CE">
        <w:rPr>
          <w:lang w:val="en-US"/>
        </w:rPr>
        <w:t xml:space="preserve">ESC noted that the majority of cost offsets applied in the cost analysis </w:t>
      </w:r>
      <w:r w:rsidR="00D45936" w:rsidRPr="00C422CE">
        <w:rPr>
          <w:lang w:val="en-US"/>
        </w:rPr>
        <w:t>were</w:t>
      </w:r>
      <w:r w:rsidRPr="00C422CE">
        <w:rPr>
          <w:lang w:val="en-US"/>
        </w:rPr>
        <w:t xml:space="preserve"> due to the cost of subsequent drug therapy, as assumed by the resubmission. </w:t>
      </w:r>
      <w:r w:rsidR="00F91053" w:rsidRPr="00C422CE">
        <w:rPr>
          <w:lang w:val="en-US"/>
        </w:rPr>
        <w:t xml:space="preserve">As detailed above, this was </w:t>
      </w:r>
      <w:r w:rsidR="0022230D">
        <w:rPr>
          <w:lang w:val="en-US"/>
        </w:rPr>
        <w:t>considered to</w:t>
      </w:r>
      <w:r w:rsidR="00F91053" w:rsidRPr="00C422CE">
        <w:rPr>
          <w:lang w:val="en-US"/>
        </w:rPr>
        <w:t xml:space="preserve"> </w:t>
      </w:r>
      <w:proofErr w:type="spellStart"/>
      <w:r w:rsidR="00F91053" w:rsidRPr="00C422CE">
        <w:rPr>
          <w:lang w:val="en-US"/>
        </w:rPr>
        <w:t>favour</w:t>
      </w:r>
      <w:proofErr w:type="spellEnd"/>
      <w:r w:rsidR="00F91053" w:rsidRPr="00C422CE">
        <w:rPr>
          <w:lang w:val="en-US"/>
        </w:rPr>
        <w:t xml:space="preserve"> NIVO+IPI. </w:t>
      </w:r>
    </w:p>
    <w:p w:rsidR="005963C6" w:rsidRPr="005963C6" w:rsidRDefault="007B45AE" w:rsidP="007B45AE">
      <w:pPr>
        <w:pStyle w:val="ListParagraph"/>
        <w:widowControl/>
        <w:numPr>
          <w:ilvl w:val="1"/>
          <w:numId w:val="2"/>
        </w:numPr>
        <w:rPr>
          <w:lang w:val="en-US"/>
        </w:rPr>
      </w:pPr>
      <w:r w:rsidRPr="00C422CE">
        <w:t xml:space="preserve">The PSCR argued </w:t>
      </w:r>
      <w:r w:rsidRPr="00C422CE">
        <w:rPr>
          <w:lang w:val="en-US"/>
        </w:rPr>
        <w:t xml:space="preserve">that the use of trial data to inform the economic evaluation, including the proportion of patients likely to receive subsequent therapy and the mean duration of therapy, </w:t>
      </w:r>
      <w:r w:rsidR="0022230D">
        <w:rPr>
          <w:lang w:val="en-US"/>
        </w:rPr>
        <w:t>wa</w:t>
      </w:r>
      <w:r w:rsidRPr="00C422CE">
        <w:rPr>
          <w:lang w:val="en-US"/>
        </w:rPr>
        <w:t xml:space="preserve">s reasonable and appropriate. The ESC noted that in the cost analysis presented by the submission, </w:t>
      </w:r>
      <w:r w:rsidRPr="00C422CE">
        <w:t xml:space="preserve">the proportion of patients who were assumed to receive subsequent therapy </w:t>
      </w:r>
      <w:r w:rsidR="005963C6">
        <w:t xml:space="preserve">(45.9%) </w:t>
      </w:r>
      <w:r w:rsidRPr="00C422CE">
        <w:t xml:space="preserve">was based on the trial data. However, the percentage of patients receiving subsequent therapy following progression on </w:t>
      </w:r>
      <w:proofErr w:type="spellStart"/>
      <w:r w:rsidRPr="00C422CE">
        <w:t>nivolumab</w:t>
      </w:r>
      <w:proofErr w:type="spellEnd"/>
      <w:r w:rsidRPr="00C422CE">
        <w:t xml:space="preserve"> monotherapy who were assumed to receive </w:t>
      </w:r>
      <w:proofErr w:type="spellStart"/>
      <w:r w:rsidRPr="00C422CE">
        <w:t>ipilimumab</w:t>
      </w:r>
      <w:proofErr w:type="spellEnd"/>
      <w:r w:rsidRPr="00C422CE">
        <w:t xml:space="preserve"> (95%) was based on expert opinion. In CA209067, only 61% of patients who received subsequent therapy following </w:t>
      </w:r>
      <w:proofErr w:type="spellStart"/>
      <w:r w:rsidRPr="00C422CE">
        <w:t>nivolumab</w:t>
      </w:r>
      <w:proofErr w:type="spellEnd"/>
      <w:r w:rsidRPr="00C422CE">
        <w:t xml:space="preserve"> monotherapy received </w:t>
      </w:r>
      <w:proofErr w:type="spellStart"/>
      <w:r w:rsidRPr="00C422CE">
        <w:t>ipilimumab</w:t>
      </w:r>
      <w:proofErr w:type="spellEnd"/>
      <w:r w:rsidRPr="00C422CE">
        <w:t xml:space="preserve">. </w:t>
      </w:r>
      <w:r w:rsidR="00246FC6">
        <w:t>In the p</w:t>
      </w:r>
      <w:r w:rsidR="005963C6">
        <w:t xml:space="preserve">re-PBAC </w:t>
      </w:r>
      <w:proofErr w:type="gramStart"/>
      <w:r w:rsidR="005963C6">
        <w:t>response ,</w:t>
      </w:r>
      <w:proofErr w:type="gramEnd"/>
      <w:r w:rsidR="005963C6">
        <w:t xml:space="preserve"> the sponsor stated that recent analysis of PBS data from the period January 2013 to July 2017, found that 80% of patients sequencing to second-line therapy after a PD</w:t>
      </w:r>
      <w:r w:rsidR="00551924">
        <w:t xml:space="preserve">-1 monotherapy received </w:t>
      </w:r>
      <w:proofErr w:type="spellStart"/>
      <w:r w:rsidR="00551924">
        <w:t>ipilimumab</w:t>
      </w:r>
      <w:proofErr w:type="spellEnd"/>
      <w:r w:rsidR="005963C6">
        <w:t xml:space="preserve">. </w:t>
      </w:r>
    </w:p>
    <w:p w:rsidR="007B45AE" w:rsidRPr="0060546E" w:rsidRDefault="007B45AE" w:rsidP="007B45AE">
      <w:pPr>
        <w:pStyle w:val="ListParagraph"/>
        <w:widowControl/>
        <w:numPr>
          <w:ilvl w:val="1"/>
          <w:numId w:val="2"/>
        </w:numPr>
        <w:rPr>
          <w:lang w:val="en-US"/>
        </w:rPr>
      </w:pPr>
      <w:r w:rsidRPr="00C422CE">
        <w:rPr>
          <w:lang w:val="en-US"/>
        </w:rPr>
        <w:t xml:space="preserve">It was not clear whether the mean number of doses of </w:t>
      </w:r>
      <w:proofErr w:type="spellStart"/>
      <w:r w:rsidRPr="00C422CE">
        <w:rPr>
          <w:lang w:val="en-US"/>
        </w:rPr>
        <w:t>ipilimumab</w:t>
      </w:r>
      <w:proofErr w:type="spellEnd"/>
      <w:r w:rsidRPr="00C422CE">
        <w:rPr>
          <w:lang w:val="en-US"/>
        </w:rPr>
        <w:t xml:space="preserve">, when used subsequent to </w:t>
      </w:r>
      <w:proofErr w:type="spellStart"/>
      <w:r w:rsidRPr="00C422CE">
        <w:rPr>
          <w:lang w:val="en-US"/>
        </w:rPr>
        <w:t>nivolumab</w:t>
      </w:r>
      <w:proofErr w:type="spellEnd"/>
      <w:r w:rsidRPr="00C422CE">
        <w:rPr>
          <w:lang w:val="en-US"/>
        </w:rPr>
        <w:t xml:space="preserve"> monotherapy</w:t>
      </w:r>
      <w:r w:rsidR="005963C6">
        <w:rPr>
          <w:lang w:val="en-US"/>
        </w:rPr>
        <w:t xml:space="preserve"> (3.2 in the resubmission)</w:t>
      </w:r>
      <w:r w:rsidRPr="00C422CE">
        <w:rPr>
          <w:lang w:val="en-US"/>
        </w:rPr>
        <w:t xml:space="preserve">, was sourced from trial MDX010-020 (Hodi 2010) (as claimed in the main body of the resubmission) or was assumed to be the same as the mean number of doses of </w:t>
      </w:r>
      <w:proofErr w:type="spellStart"/>
      <w:r w:rsidRPr="00C422CE">
        <w:rPr>
          <w:lang w:val="en-US"/>
        </w:rPr>
        <w:t>ipilimumab</w:t>
      </w:r>
      <w:proofErr w:type="spellEnd"/>
      <w:r w:rsidRPr="00C422CE">
        <w:rPr>
          <w:lang w:val="en-US"/>
        </w:rPr>
        <w:t xml:space="preserve"> received in the NIVO+IPI arm of CA209067 (as indicated in the Excel workbook for Section 3). MDX010-020 assessed the effectiveness of </w:t>
      </w:r>
      <w:proofErr w:type="spellStart"/>
      <w:r w:rsidRPr="00C422CE">
        <w:rPr>
          <w:lang w:val="en-US"/>
        </w:rPr>
        <w:t>ipilimumab</w:t>
      </w:r>
      <w:proofErr w:type="spellEnd"/>
      <w:r w:rsidRPr="00C422CE">
        <w:rPr>
          <w:lang w:val="en-US"/>
        </w:rPr>
        <w:t xml:space="preserve"> in patients with metastatic melanoma who had relapsed, failed, or were not able to tolerate at least one or more prior treatment regimens (these treatments did not include PD-1 inhibitors), and was of limited applicability to the proposed PBS population. Similarly, the applicability of the mean number of doses of </w:t>
      </w:r>
      <w:proofErr w:type="spellStart"/>
      <w:r w:rsidRPr="00C422CE">
        <w:rPr>
          <w:lang w:val="en-US"/>
        </w:rPr>
        <w:t>ipilimumab</w:t>
      </w:r>
      <w:proofErr w:type="spellEnd"/>
      <w:r w:rsidRPr="00C422CE">
        <w:rPr>
          <w:lang w:val="en-US"/>
        </w:rPr>
        <w:t xml:space="preserve"> from CA209067, in which it was used as first line therapy in combination with </w:t>
      </w:r>
      <w:proofErr w:type="spellStart"/>
      <w:r w:rsidRPr="00C422CE">
        <w:rPr>
          <w:lang w:val="en-US"/>
        </w:rPr>
        <w:t>nivolumab</w:t>
      </w:r>
      <w:proofErr w:type="spellEnd"/>
      <w:r w:rsidRPr="00C422CE">
        <w:rPr>
          <w:lang w:val="en-US"/>
        </w:rPr>
        <w:t xml:space="preserve">, to use as second/third line monotherapy following progression on PD-1 inhibitor monotherapy was also uncertain. The ESC therefore considered that </w:t>
      </w:r>
      <w:r w:rsidRPr="00C422CE">
        <w:t xml:space="preserve">the extent of utilisation of </w:t>
      </w:r>
      <w:proofErr w:type="spellStart"/>
      <w:r w:rsidRPr="00C422CE">
        <w:t>ipilimumab</w:t>
      </w:r>
      <w:proofErr w:type="spellEnd"/>
      <w:r w:rsidRPr="00C422CE">
        <w:t xml:space="preserve"> </w:t>
      </w:r>
      <w:r w:rsidRPr="00C422CE">
        <w:lastRenderedPageBreak/>
        <w:t xml:space="preserve">in patients who have progressed following </w:t>
      </w:r>
      <w:proofErr w:type="spellStart"/>
      <w:r w:rsidRPr="00C422CE">
        <w:t>nivolumab</w:t>
      </w:r>
      <w:proofErr w:type="spellEnd"/>
      <w:r w:rsidRPr="00C422CE">
        <w:t xml:space="preserve"> monotherapy was a source of </w:t>
      </w:r>
      <w:r w:rsidR="00510A86" w:rsidRPr="00C422CE">
        <w:t xml:space="preserve">significant </w:t>
      </w:r>
      <w:r w:rsidRPr="00C422CE">
        <w:t>uncertainty in the economic analysis</w:t>
      </w:r>
      <w:r w:rsidR="005963C6">
        <w:t xml:space="preserve"> and </w:t>
      </w:r>
      <w:r w:rsidR="005F3E11">
        <w:t xml:space="preserve">explored the sensitivity of the analysis to the number of </w:t>
      </w:r>
      <w:proofErr w:type="spellStart"/>
      <w:r w:rsidR="005F3E11">
        <w:t>ipilimumab</w:t>
      </w:r>
      <w:proofErr w:type="spellEnd"/>
      <w:r w:rsidR="005F3E11">
        <w:t xml:space="preserve"> doses by </w:t>
      </w:r>
      <w:r w:rsidR="005963C6">
        <w:t xml:space="preserve">reducing </w:t>
      </w:r>
      <w:r w:rsidR="005F3E11">
        <w:t>it</w:t>
      </w:r>
      <w:r w:rsidR="00246FC6">
        <w:t xml:space="preserve"> from 3.2 to 1.6. In the p</w:t>
      </w:r>
      <w:r w:rsidR="005963C6">
        <w:t xml:space="preserve">re-PBAC response, </w:t>
      </w:r>
      <w:r w:rsidR="00763F67">
        <w:t xml:space="preserve">it was stated that the dosing of </w:t>
      </w:r>
      <w:proofErr w:type="spellStart"/>
      <w:r w:rsidR="00551924">
        <w:t>ipilimumab</w:t>
      </w:r>
      <w:proofErr w:type="spellEnd"/>
      <w:r w:rsidR="00763F67">
        <w:t xml:space="preserve"> was based on the 3 year trial data from CA209067. It was also</w:t>
      </w:r>
      <w:r w:rsidR="005963C6">
        <w:t xml:space="preserve"> noted that in the DUSC utilisation report</w:t>
      </w:r>
      <w:r w:rsidR="00763F67">
        <w:t xml:space="preserve"> on medicines for the treatment of melanoma</w:t>
      </w:r>
      <w:r w:rsidR="005963C6">
        <w:t xml:space="preserve">, patients received 68 days of treatment </w:t>
      </w:r>
      <w:r w:rsidR="00763F67">
        <w:t xml:space="preserve">with </w:t>
      </w:r>
      <w:proofErr w:type="spellStart"/>
      <w:r w:rsidR="00551924">
        <w:t>ipilimumab</w:t>
      </w:r>
      <w:proofErr w:type="spellEnd"/>
      <w:r w:rsidR="00763F67">
        <w:t xml:space="preserve">, </w:t>
      </w:r>
      <w:r w:rsidR="005963C6">
        <w:t>second-line after pembrolizumab (dosing is at 21 day intervals, which equates to 3.2 doses</w:t>
      </w:r>
      <w:r w:rsidR="00763F67">
        <w:t>, supporting the data from the trial</w:t>
      </w:r>
      <w:r w:rsidR="005963C6">
        <w:t>)</w:t>
      </w:r>
      <w:r w:rsidR="00763F67">
        <w:t>.</w:t>
      </w:r>
    </w:p>
    <w:p w:rsidR="0060546E" w:rsidRPr="00763F67" w:rsidRDefault="00246FC6" w:rsidP="007B45AE">
      <w:pPr>
        <w:pStyle w:val="ListParagraph"/>
        <w:widowControl/>
        <w:numPr>
          <w:ilvl w:val="1"/>
          <w:numId w:val="2"/>
        </w:numPr>
        <w:rPr>
          <w:lang w:val="en-US"/>
        </w:rPr>
      </w:pPr>
      <w:r>
        <w:rPr>
          <w:lang w:val="en-US"/>
        </w:rPr>
        <w:t>The p</w:t>
      </w:r>
      <w:r w:rsidR="0060546E">
        <w:rPr>
          <w:lang w:val="en-US"/>
        </w:rPr>
        <w:t>re-PBAC response proposed a new cost-analysis, as presented below.</w:t>
      </w:r>
    </w:p>
    <w:p w:rsidR="00763F67" w:rsidRPr="00763F67" w:rsidRDefault="00763F67" w:rsidP="00763F67">
      <w:pPr>
        <w:pStyle w:val="Tableheading0"/>
        <w:rPr>
          <w:rStyle w:val="TableheadingChar"/>
          <w:b/>
        </w:rPr>
      </w:pPr>
      <w:r w:rsidRPr="00763F67">
        <w:rPr>
          <w:rStyle w:val="TableheadingChar"/>
          <w:b/>
        </w:rPr>
        <w:t xml:space="preserve">Figure </w:t>
      </w:r>
      <w:r w:rsidR="003D14B9">
        <w:rPr>
          <w:rStyle w:val="TableheadingChar"/>
          <w:b/>
        </w:rPr>
        <w:t>1</w:t>
      </w:r>
      <w:r w:rsidRPr="00763F67">
        <w:rPr>
          <w:rStyle w:val="TableheadingChar"/>
          <w:b/>
        </w:rPr>
        <w:t>: A comparison of cost calculations (Ju</w:t>
      </w:r>
      <w:r w:rsidR="00246FC6">
        <w:rPr>
          <w:rStyle w:val="TableheadingChar"/>
          <w:b/>
        </w:rPr>
        <w:t>ly 2018 resubmission; ESC; and p</w:t>
      </w:r>
      <w:r w:rsidRPr="00763F67">
        <w:rPr>
          <w:rStyle w:val="TableheadingChar"/>
          <w:b/>
        </w:rPr>
        <w:t>re-PBAC response)</w:t>
      </w:r>
    </w:p>
    <w:p w:rsidR="00763F67" w:rsidRDefault="00E94B3A" w:rsidP="00763F67">
      <w:pPr>
        <w:pStyle w:val="TableFooter"/>
      </w:pPr>
      <w:r>
        <w:rPr>
          <w:noProof/>
          <w:snapToGrid/>
          <w:lang w:eastAsia="en-AU"/>
        </w:rPr>
        <w:drawing>
          <wp:inline distT="0" distB="0" distL="0" distR="0">
            <wp:extent cx="5810250" cy="2590800"/>
            <wp:effectExtent l="0" t="0" r="0" b="0"/>
            <wp:docPr id="1" name="Picture 1" title="Figure 1: A comparison of cost calculations (July 2018 resubmission; ESC; and pre-PBAC respon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0250" cy="2590800"/>
                    </a:xfrm>
                    <a:prstGeom prst="rect">
                      <a:avLst/>
                    </a:prstGeom>
                  </pic:spPr>
                </pic:pic>
              </a:graphicData>
            </a:graphic>
          </wp:inline>
        </w:drawing>
      </w:r>
      <w:r w:rsidR="003232A6">
        <w:t>BMS</w:t>
      </w:r>
      <w:r w:rsidR="00763F67">
        <w:t xml:space="preserve"> = Bristol Myers Squibb; DUSC = Drug Utilisation Sub-Committee; ESC = Economic Sub-Committee; IPI = </w:t>
      </w:r>
      <w:proofErr w:type="spellStart"/>
      <w:r w:rsidR="00763F67">
        <w:t>ipilimumab</w:t>
      </w:r>
      <w:proofErr w:type="spellEnd"/>
      <w:r w:rsidR="00763F67">
        <w:t xml:space="preserve">; NIVO = </w:t>
      </w:r>
      <w:proofErr w:type="spellStart"/>
      <w:r w:rsidR="00763F67">
        <w:t>nivolumab</w:t>
      </w:r>
      <w:proofErr w:type="spellEnd"/>
      <w:r w:rsidR="00763F67">
        <w:t>; PBAC = Pharmaceutical Benefits Advisory Committee</w:t>
      </w:r>
    </w:p>
    <w:p w:rsidR="00763F67" w:rsidRDefault="00246FC6" w:rsidP="00763F67">
      <w:pPr>
        <w:pStyle w:val="TableFooter"/>
        <w:rPr>
          <w:lang w:val="en-US"/>
        </w:rPr>
      </w:pPr>
      <w:r>
        <w:t>Source: Figure 1, p2 p</w:t>
      </w:r>
      <w:r w:rsidR="00763F67">
        <w:t>re-PBAC response</w:t>
      </w:r>
    </w:p>
    <w:p w:rsidR="002964F3" w:rsidRPr="00C422CE" w:rsidRDefault="002964F3" w:rsidP="003235AE">
      <w:pPr>
        <w:pStyle w:val="ListParagraph"/>
        <w:widowControl/>
        <w:numPr>
          <w:ilvl w:val="1"/>
          <w:numId w:val="2"/>
        </w:numPr>
        <w:spacing w:before="120"/>
      </w:pPr>
      <w:r w:rsidRPr="00C422CE">
        <w:t xml:space="preserve">In deriving the cost of NIVO+IPI, the resubmission has assumed that the average number of doses of both </w:t>
      </w:r>
      <w:proofErr w:type="spellStart"/>
      <w:r w:rsidRPr="00C422CE">
        <w:t>nivolumab</w:t>
      </w:r>
      <w:proofErr w:type="spellEnd"/>
      <w:r w:rsidRPr="00C422CE">
        <w:t xml:space="preserve"> and </w:t>
      </w:r>
      <w:proofErr w:type="spellStart"/>
      <w:r w:rsidRPr="00C422CE">
        <w:t>ipilimumab</w:t>
      </w:r>
      <w:proofErr w:type="spellEnd"/>
      <w:r w:rsidRPr="00C422CE">
        <w:t>, as part of combination therapy from the trial</w:t>
      </w:r>
      <w:r w:rsidR="00970D9D" w:rsidRPr="00C422CE">
        <w:t>,</w:t>
      </w:r>
      <w:r w:rsidRPr="00C422CE">
        <w:t xml:space="preserve"> is applicable to both patients with BRAF wild type melanoma receiving first line NIVO+IPI and patients with BRAF mutant type melanoma who would receive NIVO+IPI second line following first line therapy with a BRAF±MEK inhibitor. No justification was given for this assumption.</w:t>
      </w:r>
    </w:p>
    <w:p w:rsidR="00F834C9" w:rsidRPr="00C422CE" w:rsidRDefault="00147B60" w:rsidP="002964F3">
      <w:pPr>
        <w:pStyle w:val="ListParagraph"/>
        <w:widowControl/>
        <w:numPr>
          <w:ilvl w:val="1"/>
          <w:numId w:val="2"/>
        </w:numPr>
      </w:pPr>
      <w:r w:rsidRPr="00C422CE">
        <w:t xml:space="preserve">The ESC noted no explanation was provided in the submission for the distribution of the total cost of NIVO+IPI between </w:t>
      </w:r>
      <w:proofErr w:type="spellStart"/>
      <w:r w:rsidRPr="00C422CE">
        <w:t>nivolumab</w:t>
      </w:r>
      <w:proofErr w:type="spellEnd"/>
      <w:r w:rsidRPr="00C422CE">
        <w:t xml:space="preserve"> and </w:t>
      </w:r>
      <w:proofErr w:type="spellStart"/>
      <w:r w:rsidRPr="00C422CE">
        <w:t>ipilimumab</w:t>
      </w:r>
      <w:proofErr w:type="spellEnd"/>
      <w:r w:rsidRPr="00C422CE">
        <w:t>.</w:t>
      </w:r>
      <w:r w:rsidR="001154A0" w:rsidRPr="00C422CE">
        <w:t xml:space="preserve"> </w:t>
      </w:r>
      <w:r w:rsidRPr="00C422CE">
        <w:t xml:space="preserve">For the combination arm, the cost for 20.7 (3.21 induction and 17.49 maintenance) infusions of </w:t>
      </w:r>
      <w:proofErr w:type="spellStart"/>
      <w:r w:rsidRPr="00C422CE">
        <w:t>nivolumab</w:t>
      </w:r>
      <w:proofErr w:type="spellEnd"/>
      <w:r w:rsidRPr="00C422CE">
        <w:t xml:space="preserve"> was $</w:t>
      </w:r>
      <w:r w:rsidR="00E94B3A">
        <w:rPr>
          <w:noProof/>
          <w:color w:val="000000"/>
          <w:highlight w:val="black"/>
        </w:rPr>
        <w:t>'''''''''''''</w:t>
      </w:r>
      <w:r w:rsidRPr="00C422CE">
        <w:t xml:space="preserve"> (</w:t>
      </w:r>
      <w:r w:rsidR="00D45936" w:rsidRPr="00C422CE">
        <w:t>$</w:t>
      </w:r>
      <w:r w:rsidR="00E94B3A">
        <w:rPr>
          <w:noProof/>
          <w:color w:val="000000"/>
          <w:highlight w:val="black"/>
        </w:rPr>
        <w:t>''''''''''</w:t>
      </w:r>
      <w:r w:rsidR="00D45936" w:rsidRPr="00C422CE">
        <w:t xml:space="preserve"> per induction infusion; </w:t>
      </w:r>
      <w:r w:rsidRPr="00C422CE">
        <w:t>$</w:t>
      </w:r>
      <w:r w:rsidR="00E94B3A">
        <w:rPr>
          <w:noProof/>
          <w:color w:val="000000"/>
          <w:highlight w:val="black"/>
        </w:rPr>
        <w:t xml:space="preserve">'''''''''' </w:t>
      </w:r>
      <w:r w:rsidRPr="00C422CE">
        <w:t>per</w:t>
      </w:r>
      <w:r w:rsidR="00D45936" w:rsidRPr="00C422CE">
        <w:t xml:space="preserve"> maintenance</w:t>
      </w:r>
      <w:r w:rsidRPr="00C422CE">
        <w:t xml:space="preserve"> infusion) and for 3.21 infusions of </w:t>
      </w:r>
      <w:proofErr w:type="spellStart"/>
      <w:r w:rsidRPr="00C422CE">
        <w:t>ipilimumab</w:t>
      </w:r>
      <w:proofErr w:type="spellEnd"/>
      <w:r w:rsidRPr="00C422CE">
        <w:t xml:space="preserve"> was $</w:t>
      </w:r>
      <w:r w:rsidR="00E94B3A">
        <w:rPr>
          <w:noProof/>
          <w:color w:val="000000"/>
          <w:highlight w:val="black"/>
        </w:rPr>
        <w:t>''''''''''''</w:t>
      </w:r>
      <w:r w:rsidRPr="00C422CE">
        <w:t xml:space="preserve"> ($</w:t>
      </w:r>
      <w:r w:rsidR="00E94B3A">
        <w:rPr>
          <w:noProof/>
          <w:color w:val="000000"/>
          <w:highlight w:val="black"/>
        </w:rPr>
        <w:t>'''''''''''</w:t>
      </w:r>
      <w:r w:rsidRPr="00C422CE">
        <w:t xml:space="preserve"> per infusion)</w:t>
      </w:r>
      <w:r w:rsidR="001154A0" w:rsidRPr="00C422CE">
        <w:t>, resulting in a total cost of $</w:t>
      </w:r>
      <w:r w:rsidR="00E94B3A">
        <w:rPr>
          <w:noProof/>
          <w:color w:val="000000"/>
          <w:highlight w:val="black"/>
        </w:rPr>
        <w:t>''''''''''''</w:t>
      </w:r>
      <w:r w:rsidRPr="00C422CE">
        <w:t xml:space="preserve">. For the monotherapy arm, the cost for 30.5 infusions of </w:t>
      </w:r>
      <w:proofErr w:type="spellStart"/>
      <w:r w:rsidRPr="00C422CE">
        <w:t>nivolumab</w:t>
      </w:r>
      <w:proofErr w:type="spellEnd"/>
      <w:r w:rsidRPr="00C422CE">
        <w:t xml:space="preserve"> was $</w:t>
      </w:r>
      <w:r w:rsidR="00E94B3A">
        <w:rPr>
          <w:noProof/>
          <w:color w:val="000000"/>
          <w:highlight w:val="black"/>
        </w:rPr>
        <w:t>'''''''''''''</w:t>
      </w:r>
      <w:r w:rsidRPr="00C422CE">
        <w:t xml:space="preserve"> ($</w:t>
      </w:r>
      <w:r w:rsidR="00E94B3A">
        <w:rPr>
          <w:noProof/>
          <w:color w:val="000000"/>
          <w:highlight w:val="black"/>
        </w:rPr>
        <w:t>''''''''''</w:t>
      </w:r>
      <w:r w:rsidRPr="00C422CE">
        <w:t xml:space="preserve"> per infusion). </w:t>
      </w:r>
      <w:r w:rsidR="00D45936" w:rsidRPr="00C422CE">
        <w:t>Alt</w:t>
      </w:r>
      <w:r w:rsidR="006630C1" w:rsidRPr="00C422CE">
        <w:t>h</w:t>
      </w:r>
      <w:r w:rsidR="00D45936" w:rsidRPr="00C422CE">
        <w:t>ough not a matter for PBAC consideration, t</w:t>
      </w:r>
      <w:r w:rsidRPr="00C422CE">
        <w:t xml:space="preserve">he distribution of the total cost of NIVO+IPI between </w:t>
      </w:r>
      <w:proofErr w:type="spellStart"/>
      <w:r w:rsidRPr="00C422CE">
        <w:t>nivolumab</w:t>
      </w:r>
      <w:proofErr w:type="spellEnd"/>
      <w:r w:rsidRPr="00C422CE">
        <w:t xml:space="preserve"> and </w:t>
      </w:r>
      <w:proofErr w:type="spellStart"/>
      <w:r w:rsidRPr="00C422CE">
        <w:t>ipilimumab</w:t>
      </w:r>
      <w:proofErr w:type="spellEnd"/>
      <w:r w:rsidRPr="00C422CE">
        <w:t xml:space="preserve"> </w:t>
      </w:r>
      <w:r w:rsidR="00F834C9" w:rsidRPr="00C422CE">
        <w:t xml:space="preserve">potentially </w:t>
      </w:r>
      <w:r w:rsidRPr="00C422CE">
        <w:t>has implications for</w:t>
      </w:r>
      <w:r w:rsidR="00F834C9" w:rsidRPr="00C422CE">
        <w:t xml:space="preserve"> subsidisation caps.</w:t>
      </w:r>
      <w:r w:rsidRPr="00C422CE">
        <w:t xml:space="preserve"> </w:t>
      </w:r>
    </w:p>
    <w:p w:rsidR="000639E8" w:rsidRPr="00C422CE" w:rsidRDefault="00F834C9" w:rsidP="006760EF">
      <w:pPr>
        <w:pStyle w:val="ListParagraph"/>
        <w:widowControl/>
        <w:numPr>
          <w:ilvl w:val="1"/>
          <w:numId w:val="2"/>
        </w:numPr>
      </w:pPr>
      <w:r w:rsidRPr="00C422CE">
        <w:lastRenderedPageBreak/>
        <w:t xml:space="preserve">The ESC further noted that if it is assumed that the number of </w:t>
      </w:r>
      <w:proofErr w:type="spellStart"/>
      <w:r w:rsidRPr="00C422CE">
        <w:t>nivolumab</w:t>
      </w:r>
      <w:proofErr w:type="spellEnd"/>
      <w:r w:rsidRPr="00C422CE">
        <w:t xml:space="preserve"> infusions is the same when used in combination and as monotherapy i</w:t>
      </w:r>
      <w:r w:rsidR="00E01D06" w:rsidRPr="00C422CE">
        <w:t>.</w:t>
      </w:r>
      <w:r w:rsidRPr="00C422CE">
        <w:t>e</w:t>
      </w:r>
      <w:r w:rsidR="00E01D06" w:rsidRPr="00C422CE">
        <w:t>.</w:t>
      </w:r>
      <w:r w:rsidRPr="00C422CE">
        <w:t xml:space="preserve"> 30.5 infusions, the total cost of NIVO+IPI would increase by $</w:t>
      </w:r>
      <w:r w:rsidR="00E94B3A">
        <w:rPr>
          <w:noProof/>
          <w:color w:val="000000"/>
          <w:highlight w:val="black"/>
        </w:rPr>
        <w:t>'''''''''''''</w:t>
      </w:r>
      <w:r w:rsidRPr="00C422CE">
        <w:t xml:space="preserve"> ((30.5-20.7) x $</w:t>
      </w:r>
      <w:r w:rsidR="00E94B3A">
        <w:rPr>
          <w:noProof/>
          <w:color w:val="000000"/>
          <w:highlight w:val="black"/>
        </w:rPr>
        <w:t>'''''''''''</w:t>
      </w:r>
      <w:r w:rsidR="006760EF" w:rsidRPr="00C422CE">
        <w:t>+ $</w:t>
      </w:r>
      <w:r w:rsidR="00E94B3A">
        <w:rPr>
          <w:noProof/>
          <w:color w:val="000000"/>
          <w:highlight w:val="black"/>
        </w:rPr>
        <w:t xml:space="preserve">''''''' </w:t>
      </w:r>
      <w:r w:rsidR="006760EF" w:rsidRPr="00C422CE">
        <w:t>additional administration costs</w:t>
      </w:r>
      <w:r w:rsidRPr="00C422CE">
        <w:t>)</w:t>
      </w:r>
      <w:r w:rsidR="00147B60" w:rsidRPr="00C422CE">
        <w:t xml:space="preserve"> </w:t>
      </w:r>
      <w:r w:rsidR="00106BE5" w:rsidRPr="00C422CE">
        <w:t>to</w:t>
      </w:r>
      <w:r w:rsidRPr="00C422CE">
        <w:t xml:space="preserve"> $</w:t>
      </w:r>
      <w:r w:rsidR="00E94B3A">
        <w:rPr>
          <w:noProof/>
          <w:color w:val="000000"/>
          <w:highlight w:val="black"/>
        </w:rPr>
        <w:t>''''''''''''''</w:t>
      </w:r>
      <w:r w:rsidRPr="00C422CE">
        <w:t xml:space="preserve"> compared with </w:t>
      </w:r>
      <w:r w:rsidR="00106BE5" w:rsidRPr="00C422CE">
        <w:t>the  base case cost of $</w:t>
      </w:r>
      <w:r w:rsidR="00E94B3A">
        <w:rPr>
          <w:noProof/>
          <w:color w:val="000000"/>
          <w:highlight w:val="black"/>
        </w:rPr>
        <w:t>''''''''''''''</w:t>
      </w:r>
      <w:r w:rsidRPr="00C422CE">
        <w:t>.</w:t>
      </w:r>
    </w:p>
    <w:p w:rsidR="00C25D9C" w:rsidRPr="003235AE" w:rsidRDefault="000F15AD" w:rsidP="003235AE">
      <w:pPr>
        <w:pStyle w:val="Heading2"/>
        <w:spacing w:before="120" w:after="120"/>
      </w:pPr>
      <w:bookmarkStart w:id="14" w:name="_Toc514158497"/>
      <w:r w:rsidRPr="003235AE">
        <w:t>Drug cost/patient/</w:t>
      </w:r>
      <w:r w:rsidR="00C25D9C" w:rsidRPr="003235AE">
        <w:t>cours</w:t>
      </w:r>
      <w:r w:rsidRPr="003235AE">
        <w:t>e</w:t>
      </w:r>
      <w:bookmarkEnd w:id="14"/>
      <w:r w:rsidR="003F6BC1" w:rsidRPr="003235AE">
        <w:t>: $</w:t>
      </w:r>
      <w:r w:rsidR="00E94B3A" w:rsidRPr="003235AE">
        <w:rPr>
          <w:noProof/>
          <w:color w:val="000000"/>
          <w:highlight w:val="black"/>
        </w:rPr>
        <w:t xml:space="preserve">''''''''''' </w:t>
      </w:r>
      <w:r w:rsidR="003F6BC1" w:rsidRPr="003235AE">
        <w:t>(dispensed effective price)</w:t>
      </w:r>
    </w:p>
    <w:p w:rsidR="000F15AD" w:rsidRPr="004E76B7" w:rsidRDefault="008463E1" w:rsidP="00447DA1">
      <w:pPr>
        <w:pStyle w:val="ListParagraph"/>
        <w:widowControl/>
        <w:numPr>
          <w:ilvl w:val="1"/>
          <w:numId w:val="2"/>
        </w:numPr>
      </w:pPr>
      <w:r w:rsidRPr="004E76B7">
        <w:t>The derivation of th</w:t>
      </w:r>
      <w:r w:rsidR="003F6BC1">
        <w:t xml:space="preserve">e </w:t>
      </w:r>
      <w:r w:rsidRPr="004E76B7">
        <w:t xml:space="preserve">cost </w:t>
      </w:r>
      <w:r w:rsidR="003F6BC1">
        <w:t xml:space="preserve">for NIVO+IPI </w:t>
      </w:r>
      <w:r w:rsidRPr="004E76B7">
        <w:t xml:space="preserve">is </w:t>
      </w:r>
      <w:r w:rsidR="00767982" w:rsidRPr="004E76B7">
        <w:t>presented</w:t>
      </w:r>
      <w:r w:rsidRPr="004E76B7">
        <w:t xml:space="preserve"> in </w:t>
      </w:r>
      <w:r w:rsidR="003D14B9">
        <w:t>the table below</w:t>
      </w:r>
      <w:r w:rsidRPr="004E76B7">
        <w:t>.</w:t>
      </w:r>
      <w:r w:rsidR="007A0956" w:rsidRPr="004E76B7">
        <w:t xml:space="preserve"> This was compared with an estimated capped </w:t>
      </w:r>
      <w:r w:rsidR="000E66CB" w:rsidRPr="004E76B7">
        <w:t>dispensed price</w:t>
      </w:r>
      <w:r w:rsidR="007A0956" w:rsidRPr="004E76B7">
        <w:t xml:space="preserve"> of $</w:t>
      </w:r>
      <w:r w:rsidR="00E94B3A">
        <w:rPr>
          <w:noProof/>
          <w:color w:val="000000"/>
          <w:highlight w:val="black"/>
        </w:rPr>
        <w:t>''''''''''''''</w:t>
      </w:r>
      <w:r w:rsidR="007A0956" w:rsidRPr="004E76B7">
        <w:t xml:space="preserve">/patient/course for </w:t>
      </w:r>
      <w:proofErr w:type="spellStart"/>
      <w:r w:rsidR="007A0956" w:rsidRPr="004E76B7">
        <w:t>nivolumab</w:t>
      </w:r>
      <w:proofErr w:type="spellEnd"/>
      <w:r w:rsidR="007A0956" w:rsidRPr="004E76B7">
        <w:t xml:space="preserve">, which was derived </w:t>
      </w:r>
      <w:r w:rsidR="00672BB0" w:rsidRPr="004E76B7">
        <w:t xml:space="preserve">in the resubmission </w:t>
      </w:r>
      <w:r w:rsidR="007A0956" w:rsidRPr="004E76B7">
        <w:t xml:space="preserve">from the </w:t>
      </w:r>
      <w:r w:rsidR="00672BB0" w:rsidRPr="004E76B7">
        <w:t xml:space="preserve">original </w:t>
      </w:r>
      <w:r w:rsidR="007A0956" w:rsidRPr="004E76B7">
        <w:t xml:space="preserve">Deed of Agreement for PD-1 inhibitor monotherapy for </w:t>
      </w:r>
      <w:proofErr w:type="spellStart"/>
      <w:r w:rsidR="007A0956" w:rsidRPr="004E76B7">
        <w:t>unresectable</w:t>
      </w:r>
      <w:proofErr w:type="spellEnd"/>
      <w:r w:rsidR="007A0956" w:rsidRPr="004E76B7">
        <w:t xml:space="preserve"> Stage III and Stage IV melanoma and the number of patients likely to be treated each year</w:t>
      </w:r>
      <w:r w:rsidR="00672BB0" w:rsidRPr="004E76B7">
        <w:t xml:space="preserve"> provided to the sponsor for the purposes of determining equivalent pricing between </w:t>
      </w:r>
      <w:proofErr w:type="spellStart"/>
      <w:r w:rsidR="00672BB0" w:rsidRPr="004E76B7">
        <w:t>nivolumab</w:t>
      </w:r>
      <w:proofErr w:type="spellEnd"/>
      <w:r w:rsidR="00672BB0" w:rsidRPr="004E76B7">
        <w:t xml:space="preserve"> monotherapy and pembrolizumab monotherapy. In the previous resubmission, the cost/patient/course of NIVO+IPI was estimated to be </w:t>
      </w:r>
      <w:r w:rsidR="00767982" w:rsidRPr="004E76B7">
        <w:t>$</w:t>
      </w:r>
      <w:r w:rsidR="00E94B3A">
        <w:rPr>
          <w:noProof/>
          <w:color w:val="000000"/>
          <w:highlight w:val="black"/>
        </w:rPr>
        <w:t>'''''''''''''''</w:t>
      </w:r>
      <w:r w:rsidR="00767982" w:rsidRPr="004E76B7">
        <w:t>, compared with $</w:t>
      </w:r>
      <w:r w:rsidR="00E94B3A">
        <w:rPr>
          <w:noProof/>
          <w:color w:val="000000"/>
          <w:highlight w:val="black"/>
        </w:rPr>
        <w:t>''''''''''''''</w:t>
      </w:r>
      <w:r w:rsidR="00767982" w:rsidRPr="004E76B7">
        <w:t xml:space="preserve"> for the sequential treatment with </w:t>
      </w:r>
      <w:proofErr w:type="spellStart"/>
      <w:r w:rsidR="00767982" w:rsidRPr="004E76B7">
        <w:t>nivolumab</w:t>
      </w:r>
      <w:proofErr w:type="spellEnd"/>
      <w:r w:rsidR="00767982" w:rsidRPr="004E76B7">
        <w:t xml:space="preserve"> monotherapy followed by </w:t>
      </w:r>
      <w:proofErr w:type="spellStart"/>
      <w:r w:rsidR="00767982" w:rsidRPr="004E76B7">
        <w:t>ipilimumab</w:t>
      </w:r>
      <w:proofErr w:type="spellEnd"/>
      <w:r w:rsidR="00767982" w:rsidRPr="004E76B7">
        <w:t xml:space="preserve"> monotherapy upon progression.</w:t>
      </w:r>
    </w:p>
    <w:p w:rsidR="00B52803" w:rsidRDefault="008463E1" w:rsidP="008463E1">
      <w:pPr>
        <w:pStyle w:val="Caption"/>
      </w:pPr>
      <w:bookmarkStart w:id="15" w:name="_Ref513107621"/>
      <w:r>
        <w:t xml:space="preserve">Table </w:t>
      </w:r>
      <w:bookmarkEnd w:id="15"/>
      <w:r w:rsidR="0034223E">
        <w:rPr>
          <w:noProof/>
        </w:rPr>
        <w:t>1</w:t>
      </w:r>
      <w:r w:rsidR="00A032FA">
        <w:t>3</w:t>
      </w:r>
      <w:r>
        <w:t xml:space="preserve">: Derivation of the average </w:t>
      </w:r>
      <w:r w:rsidR="005A52A7">
        <w:t xml:space="preserve">effective </w:t>
      </w:r>
      <w:r>
        <w:t>dispensed price per course per patient for NIVO+IPI</w:t>
      </w:r>
    </w:p>
    <w:tbl>
      <w:tblPr>
        <w:tblStyle w:val="TableGrid"/>
        <w:tblW w:w="4942" w:type="pct"/>
        <w:tblInd w:w="108" w:type="dxa"/>
        <w:tblLook w:val="04A0" w:firstRow="1" w:lastRow="0" w:firstColumn="1" w:lastColumn="0" w:noHBand="0" w:noVBand="1"/>
        <w:tblCaption w:val="Table 13: Derivation of the average effective dispensed price per course per patient for NIVO+IPI"/>
      </w:tblPr>
      <w:tblGrid>
        <w:gridCol w:w="2451"/>
        <w:gridCol w:w="2227"/>
        <w:gridCol w:w="2227"/>
        <w:gridCol w:w="2231"/>
      </w:tblGrid>
      <w:tr w:rsidR="00B52803" w:rsidRPr="006461E5" w:rsidTr="009716C6">
        <w:trPr>
          <w:tblHeader/>
        </w:trPr>
        <w:tc>
          <w:tcPr>
            <w:tcW w:w="1341" w:type="pct"/>
            <w:vMerge w:val="restart"/>
          </w:tcPr>
          <w:p w:rsidR="00B52803" w:rsidRPr="006461E5" w:rsidRDefault="00B52803" w:rsidP="003E39A7">
            <w:pPr>
              <w:pStyle w:val="Tabletext"/>
              <w:rPr>
                <w:b/>
              </w:rPr>
            </w:pPr>
          </w:p>
        </w:tc>
        <w:tc>
          <w:tcPr>
            <w:tcW w:w="1219" w:type="pct"/>
            <w:vMerge w:val="restart"/>
            <w:vAlign w:val="center"/>
          </w:tcPr>
          <w:p w:rsidR="00B52803" w:rsidRDefault="00B52803" w:rsidP="00E81C39">
            <w:pPr>
              <w:pStyle w:val="Tabletext"/>
              <w:jc w:val="center"/>
              <w:rPr>
                <w:b/>
              </w:rPr>
            </w:pPr>
            <w:r>
              <w:rPr>
                <w:b/>
              </w:rPr>
              <w:t>Ipilimumab</w:t>
            </w:r>
          </w:p>
        </w:tc>
        <w:tc>
          <w:tcPr>
            <w:tcW w:w="2440" w:type="pct"/>
            <w:gridSpan w:val="2"/>
            <w:vAlign w:val="center"/>
          </w:tcPr>
          <w:p w:rsidR="00B52803" w:rsidRPr="006461E5" w:rsidRDefault="00B52803" w:rsidP="00E81C39">
            <w:pPr>
              <w:pStyle w:val="Tabletext"/>
              <w:jc w:val="center"/>
              <w:rPr>
                <w:b/>
              </w:rPr>
            </w:pPr>
            <w:proofErr w:type="spellStart"/>
            <w:r>
              <w:rPr>
                <w:b/>
              </w:rPr>
              <w:t>Nivolumab</w:t>
            </w:r>
            <w:proofErr w:type="spellEnd"/>
          </w:p>
        </w:tc>
      </w:tr>
      <w:tr w:rsidR="00B52803" w:rsidRPr="006461E5" w:rsidTr="009716C6">
        <w:trPr>
          <w:tblHeader/>
        </w:trPr>
        <w:tc>
          <w:tcPr>
            <w:tcW w:w="1341" w:type="pct"/>
            <w:vMerge/>
          </w:tcPr>
          <w:p w:rsidR="00B52803" w:rsidRPr="006461E5" w:rsidRDefault="00B52803" w:rsidP="003E39A7">
            <w:pPr>
              <w:pStyle w:val="Tabletext"/>
              <w:rPr>
                <w:b/>
              </w:rPr>
            </w:pPr>
          </w:p>
        </w:tc>
        <w:tc>
          <w:tcPr>
            <w:tcW w:w="1219" w:type="pct"/>
            <w:vMerge/>
          </w:tcPr>
          <w:p w:rsidR="00B52803" w:rsidRDefault="00B52803" w:rsidP="003E39A7">
            <w:pPr>
              <w:pStyle w:val="Tabletext"/>
              <w:jc w:val="center"/>
              <w:rPr>
                <w:b/>
              </w:rPr>
            </w:pPr>
          </w:p>
        </w:tc>
        <w:tc>
          <w:tcPr>
            <w:tcW w:w="1219" w:type="pct"/>
            <w:vAlign w:val="center"/>
          </w:tcPr>
          <w:p w:rsidR="00B52803" w:rsidRDefault="00B52803" w:rsidP="00E81C39">
            <w:pPr>
              <w:pStyle w:val="Tabletext"/>
              <w:jc w:val="center"/>
              <w:rPr>
                <w:b/>
              </w:rPr>
            </w:pPr>
            <w:r>
              <w:rPr>
                <w:b/>
              </w:rPr>
              <w:t>Induction phase</w:t>
            </w:r>
          </w:p>
        </w:tc>
        <w:tc>
          <w:tcPr>
            <w:tcW w:w="1220" w:type="pct"/>
            <w:vAlign w:val="center"/>
          </w:tcPr>
          <w:p w:rsidR="00B52803" w:rsidRPr="006461E5" w:rsidRDefault="00B52803" w:rsidP="00E81C39">
            <w:pPr>
              <w:pStyle w:val="Tabletext"/>
              <w:jc w:val="center"/>
              <w:rPr>
                <w:b/>
              </w:rPr>
            </w:pPr>
            <w:r>
              <w:rPr>
                <w:b/>
              </w:rPr>
              <w:t>Maintenance phase</w:t>
            </w:r>
          </w:p>
        </w:tc>
      </w:tr>
      <w:tr w:rsidR="00B52803" w:rsidTr="0081150C">
        <w:tc>
          <w:tcPr>
            <w:tcW w:w="1341" w:type="pct"/>
          </w:tcPr>
          <w:p w:rsidR="00B52803" w:rsidRDefault="00B52803" w:rsidP="003E39A7">
            <w:pPr>
              <w:pStyle w:val="Tabletext"/>
            </w:pPr>
            <w:r>
              <w:t>Dose per infusion</w:t>
            </w:r>
          </w:p>
        </w:tc>
        <w:tc>
          <w:tcPr>
            <w:tcW w:w="1219" w:type="pct"/>
          </w:tcPr>
          <w:p w:rsidR="00B52803" w:rsidRDefault="00B52803" w:rsidP="003E39A7">
            <w:pPr>
              <w:pStyle w:val="Tabletext"/>
              <w:jc w:val="center"/>
            </w:pPr>
            <w:r>
              <w:t>3 mg/kg</w:t>
            </w:r>
          </w:p>
        </w:tc>
        <w:tc>
          <w:tcPr>
            <w:tcW w:w="1219" w:type="pct"/>
          </w:tcPr>
          <w:p w:rsidR="00B52803" w:rsidRDefault="00B52803" w:rsidP="003E39A7">
            <w:pPr>
              <w:pStyle w:val="Tabletext"/>
              <w:jc w:val="center"/>
            </w:pPr>
            <w:r>
              <w:t>1 mg/kg</w:t>
            </w:r>
          </w:p>
        </w:tc>
        <w:tc>
          <w:tcPr>
            <w:tcW w:w="1220" w:type="pct"/>
          </w:tcPr>
          <w:p w:rsidR="00B52803" w:rsidRDefault="00B52803" w:rsidP="003E39A7">
            <w:pPr>
              <w:pStyle w:val="Tabletext"/>
              <w:jc w:val="center"/>
            </w:pPr>
            <w:r>
              <w:t xml:space="preserve">3 mg/kg </w:t>
            </w:r>
          </w:p>
        </w:tc>
      </w:tr>
      <w:tr w:rsidR="00B52803" w:rsidTr="0081150C">
        <w:tc>
          <w:tcPr>
            <w:tcW w:w="1341" w:type="pct"/>
          </w:tcPr>
          <w:p w:rsidR="00B52803" w:rsidRDefault="00B52803" w:rsidP="003E39A7">
            <w:pPr>
              <w:pStyle w:val="Tabletext"/>
            </w:pPr>
            <w:r>
              <w:t>Mean body weight</w:t>
            </w:r>
          </w:p>
        </w:tc>
        <w:tc>
          <w:tcPr>
            <w:tcW w:w="1219" w:type="pct"/>
          </w:tcPr>
          <w:p w:rsidR="00B52803" w:rsidRDefault="00B52803" w:rsidP="003E39A7">
            <w:pPr>
              <w:pStyle w:val="Tabletext"/>
              <w:jc w:val="center"/>
            </w:pPr>
            <w:r>
              <w:t>80.8 kg</w:t>
            </w:r>
          </w:p>
        </w:tc>
        <w:tc>
          <w:tcPr>
            <w:tcW w:w="1219" w:type="pct"/>
          </w:tcPr>
          <w:p w:rsidR="00B52803" w:rsidRDefault="00B52803" w:rsidP="003E39A7">
            <w:pPr>
              <w:pStyle w:val="Tabletext"/>
              <w:jc w:val="center"/>
            </w:pPr>
            <w:r>
              <w:t>80.8 kg</w:t>
            </w:r>
          </w:p>
        </w:tc>
        <w:tc>
          <w:tcPr>
            <w:tcW w:w="1220" w:type="pct"/>
          </w:tcPr>
          <w:p w:rsidR="00B52803" w:rsidRDefault="00B52803" w:rsidP="003E39A7">
            <w:pPr>
              <w:pStyle w:val="Tabletext"/>
              <w:jc w:val="center"/>
            </w:pPr>
            <w:r>
              <w:t>80.8 kg</w:t>
            </w:r>
          </w:p>
        </w:tc>
      </w:tr>
      <w:tr w:rsidR="00B52803" w:rsidTr="0081150C">
        <w:tc>
          <w:tcPr>
            <w:tcW w:w="1341" w:type="pct"/>
          </w:tcPr>
          <w:p w:rsidR="00B52803" w:rsidRDefault="00B52803" w:rsidP="003E39A7">
            <w:pPr>
              <w:pStyle w:val="Tabletext"/>
            </w:pPr>
            <w:r>
              <w:t>Mean dose per infusion</w:t>
            </w:r>
          </w:p>
        </w:tc>
        <w:tc>
          <w:tcPr>
            <w:tcW w:w="1219" w:type="pct"/>
          </w:tcPr>
          <w:p w:rsidR="00B52803" w:rsidRDefault="00B52803" w:rsidP="003E39A7">
            <w:pPr>
              <w:pStyle w:val="Tabletext"/>
              <w:jc w:val="center"/>
            </w:pPr>
            <w:r>
              <w:t>242 mg</w:t>
            </w:r>
          </w:p>
        </w:tc>
        <w:tc>
          <w:tcPr>
            <w:tcW w:w="1219" w:type="pct"/>
          </w:tcPr>
          <w:p w:rsidR="00B52803" w:rsidRDefault="00B52803" w:rsidP="003E39A7">
            <w:pPr>
              <w:pStyle w:val="Tabletext"/>
              <w:jc w:val="center"/>
            </w:pPr>
            <w:r>
              <w:t>81 mg</w:t>
            </w:r>
          </w:p>
        </w:tc>
        <w:tc>
          <w:tcPr>
            <w:tcW w:w="1220" w:type="pct"/>
          </w:tcPr>
          <w:p w:rsidR="00B52803" w:rsidRDefault="00B52803" w:rsidP="003E39A7">
            <w:pPr>
              <w:pStyle w:val="Tabletext"/>
              <w:jc w:val="center"/>
            </w:pPr>
            <w:r>
              <w:t>242 mg</w:t>
            </w:r>
          </w:p>
        </w:tc>
      </w:tr>
      <w:tr w:rsidR="007F3CE5" w:rsidRPr="0081150C" w:rsidTr="0081150C">
        <w:tc>
          <w:tcPr>
            <w:tcW w:w="5000" w:type="pct"/>
            <w:gridSpan w:val="4"/>
          </w:tcPr>
          <w:p w:rsidR="007F3CE5" w:rsidRPr="0081150C" w:rsidRDefault="007F3CE5" w:rsidP="007F3CE5">
            <w:pPr>
              <w:pStyle w:val="Tabletext"/>
              <w:rPr>
                <w:b/>
              </w:rPr>
            </w:pPr>
            <w:r w:rsidRPr="0081150C">
              <w:rPr>
                <w:b/>
              </w:rPr>
              <w:t xml:space="preserve">Mean effective cost per infusion </w:t>
            </w:r>
          </w:p>
        </w:tc>
      </w:tr>
      <w:tr w:rsidR="00B52803" w:rsidTr="0081150C">
        <w:tc>
          <w:tcPr>
            <w:tcW w:w="1341" w:type="pct"/>
          </w:tcPr>
          <w:p w:rsidR="00B52803" w:rsidRDefault="00B52803" w:rsidP="003E39A7">
            <w:pPr>
              <w:pStyle w:val="Tabletext"/>
              <w:ind w:left="142"/>
            </w:pPr>
            <w:r>
              <w:t xml:space="preserve">Ex-manufacturer price </w:t>
            </w:r>
          </w:p>
        </w:tc>
        <w:tc>
          <w:tcPr>
            <w:tcW w:w="1219" w:type="pct"/>
          </w:tcPr>
          <w:p w:rsidR="00B52803" w:rsidRPr="00FC4EE6" w:rsidRDefault="00B52803" w:rsidP="00FC4EE6">
            <w:pPr>
              <w:pStyle w:val="Tabletext"/>
              <w:jc w:val="center"/>
              <w:rPr>
                <w:vertAlign w:val="superscript"/>
              </w:rPr>
            </w:pPr>
            <w:r>
              <w:t>$</w:t>
            </w:r>
            <w:r w:rsidR="00E94B3A">
              <w:rPr>
                <w:noProof/>
                <w:color w:val="000000"/>
                <w:highlight w:val="black"/>
              </w:rPr>
              <w:t>'''''''''''''''''''''''</w:t>
            </w:r>
            <w:r w:rsidR="00FC4EE6">
              <w:rPr>
                <w:vertAlign w:val="superscript"/>
              </w:rPr>
              <w:t>a</w:t>
            </w:r>
          </w:p>
        </w:tc>
        <w:tc>
          <w:tcPr>
            <w:tcW w:w="1219" w:type="pct"/>
          </w:tcPr>
          <w:p w:rsidR="00B52803" w:rsidRPr="00C56513" w:rsidRDefault="00B52803" w:rsidP="00FC4EE6">
            <w:pPr>
              <w:pStyle w:val="Tabletext"/>
              <w:jc w:val="center"/>
              <w:rPr>
                <w:vertAlign w:val="superscript"/>
              </w:rPr>
            </w:pPr>
            <w:r>
              <w:t>$</w:t>
            </w:r>
            <w:r w:rsidR="00E94B3A">
              <w:rPr>
                <w:noProof/>
                <w:color w:val="000000"/>
                <w:highlight w:val="black"/>
              </w:rPr>
              <w:t>'''''''''''''''''''</w:t>
            </w:r>
            <w:r w:rsidR="00C56513">
              <w:rPr>
                <w:vertAlign w:val="superscript"/>
              </w:rPr>
              <w:t>b</w:t>
            </w:r>
          </w:p>
        </w:tc>
        <w:tc>
          <w:tcPr>
            <w:tcW w:w="1220" w:type="pct"/>
          </w:tcPr>
          <w:p w:rsidR="00B52803" w:rsidRPr="00247760" w:rsidRDefault="00B52803" w:rsidP="003E39A7">
            <w:pPr>
              <w:pStyle w:val="Tabletext"/>
              <w:jc w:val="center"/>
              <w:rPr>
                <w:vertAlign w:val="superscript"/>
              </w:rPr>
            </w:pPr>
            <w:r>
              <w:t>$</w:t>
            </w:r>
            <w:r w:rsidR="00E94B3A">
              <w:rPr>
                <w:noProof/>
                <w:color w:val="000000"/>
                <w:highlight w:val="black"/>
              </w:rPr>
              <w:t>''''''''''''''''''''''</w:t>
            </w:r>
            <w:r w:rsidR="00C56513">
              <w:rPr>
                <w:vertAlign w:val="superscript"/>
              </w:rPr>
              <w:t>c</w:t>
            </w:r>
          </w:p>
        </w:tc>
      </w:tr>
      <w:tr w:rsidR="00B52803" w:rsidTr="0081150C">
        <w:tc>
          <w:tcPr>
            <w:tcW w:w="1341" w:type="pct"/>
          </w:tcPr>
          <w:p w:rsidR="00B52803" w:rsidRDefault="00B52803" w:rsidP="003E39A7">
            <w:pPr>
              <w:pStyle w:val="Tabletext"/>
              <w:ind w:left="142"/>
            </w:pPr>
            <w:r>
              <w:t xml:space="preserve">Dispensed price </w:t>
            </w:r>
          </w:p>
        </w:tc>
        <w:tc>
          <w:tcPr>
            <w:tcW w:w="1219" w:type="pct"/>
          </w:tcPr>
          <w:p w:rsidR="00B52803" w:rsidRPr="00B15867" w:rsidRDefault="007627EE" w:rsidP="003E39A7">
            <w:pPr>
              <w:pStyle w:val="Tabletext"/>
              <w:jc w:val="center"/>
              <w:rPr>
                <w:i/>
                <w:vertAlign w:val="superscript"/>
              </w:rPr>
            </w:pPr>
            <w:r w:rsidRPr="00B15867">
              <w:rPr>
                <w:i/>
              </w:rPr>
              <w:t>$</w:t>
            </w:r>
            <w:r w:rsidR="00E94B3A">
              <w:rPr>
                <w:i/>
                <w:noProof/>
                <w:color w:val="000000"/>
                <w:highlight w:val="black"/>
              </w:rPr>
              <w:t>'''''''''''''''''''''</w:t>
            </w:r>
            <w:r w:rsidR="00C56513" w:rsidRPr="00B15867">
              <w:rPr>
                <w:i/>
                <w:vertAlign w:val="superscript"/>
              </w:rPr>
              <w:t>d</w:t>
            </w:r>
          </w:p>
        </w:tc>
        <w:tc>
          <w:tcPr>
            <w:tcW w:w="1219" w:type="pct"/>
          </w:tcPr>
          <w:p w:rsidR="00B52803" w:rsidRPr="00B15867" w:rsidRDefault="007627EE" w:rsidP="003E39A7">
            <w:pPr>
              <w:pStyle w:val="Tabletext"/>
              <w:jc w:val="center"/>
              <w:rPr>
                <w:i/>
                <w:vertAlign w:val="superscript"/>
              </w:rPr>
            </w:pPr>
            <w:r w:rsidRPr="00B15867">
              <w:rPr>
                <w:i/>
              </w:rPr>
              <w:t>$</w:t>
            </w:r>
            <w:r w:rsidR="00E94B3A">
              <w:rPr>
                <w:i/>
                <w:noProof/>
                <w:color w:val="000000"/>
                <w:highlight w:val="black"/>
              </w:rPr>
              <w:t>'''''''''''''''''''</w:t>
            </w:r>
            <w:r w:rsidR="00C56513" w:rsidRPr="00B15867">
              <w:rPr>
                <w:i/>
                <w:vertAlign w:val="superscript"/>
              </w:rPr>
              <w:t>d</w:t>
            </w:r>
          </w:p>
        </w:tc>
        <w:tc>
          <w:tcPr>
            <w:tcW w:w="1220" w:type="pct"/>
          </w:tcPr>
          <w:p w:rsidR="00B52803" w:rsidRPr="00B15867" w:rsidRDefault="00C56513" w:rsidP="003E39A7">
            <w:pPr>
              <w:pStyle w:val="Tabletext"/>
              <w:jc w:val="center"/>
              <w:rPr>
                <w:i/>
                <w:vertAlign w:val="superscript"/>
              </w:rPr>
            </w:pPr>
            <w:r w:rsidRPr="00B15867">
              <w:rPr>
                <w:i/>
              </w:rPr>
              <w:t>$</w:t>
            </w:r>
            <w:r w:rsidR="00E94B3A">
              <w:rPr>
                <w:i/>
                <w:noProof/>
                <w:color w:val="000000"/>
                <w:highlight w:val="black"/>
              </w:rPr>
              <w:t>''''''''''''''''''''</w:t>
            </w:r>
            <w:r w:rsidRPr="00B15867">
              <w:rPr>
                <w:i/>
                <w:vertAlign w:val="superscript"/>
              </w:rPr>
              <w:t>d</w:t>
            </w:r>
          </w:p>
        </w:tc>
      </w:tr>
      <w:tr w:rsidR="00B52803" w:rsidTr="0081150C">
        <w:tc>
          <w:tcPr>
            <w:tcW w:w="1341" w:type="pct"/>
          </w:tcPr>
          <w:p w:rsidR="00B52803" w:rsidRDefault="00B52803" w:rsidP="003E39A7">
            <w:pPr>
              <w:pStyle w:val="Tabletext"/>
            </w:pPr>
            <w:r>
              <w:t>Number of infusions</w:t>
            </w:r>
          </w:p>
        </w:tc>
        <w:tc>
          <w:tcPr>
            <w:tcW w:w="1219" w:type="pct"/>
          </w:tcPr>
          <w:p w:rsidR="00B52803" w:rsidRDefault="00B52803" w:rsidP="003E39A7">
            <w:pPr>
              <w:pStyle w:val="Tabletext"/>
              <w:jc w:val="center"/>
            </w:pPr>
            <w:r>
              <w:t>3.2</w:t>
            </w:r>
            <w:r w:rsidR="00FC4EE6">
              <w:t>1</w:t>
            </w:r>
          </w:p>
        </w:tc>
        <w:tc>
          <w:tcPr>
            <w:tcW w:w="1219" w:type="pct"/>
          </w:tcPr>
          <w:p w:rsidR="00B52803" w:rsidRDefault="00B52803" w:rsidP="003E39A7">
            <w:pPr>
              <w:pStyle w:val="Tabletext"/>
              <w:jc w:val="center"/>
            </w:pPr>
            <w:r>
              <w:t>3.2</w:t>
            </w:r>
            <w:r w:rsidR="00FC4EE6">
              <w:t>1</w:t>
            </w:r>
          </w:p>
        </w:tc>
        <w:tc>
          <w:tcPr>
            <w:tcW w:w="1220" w:type="pct"/>
          </w:tcPr>
          <w:p w:rsidR="00B52803" w:rsidRDefault="00B52803" w:rsidP="003E39A7">
            <w:pPr>
              <w:pStyle w:val="Tabletext"/>
              <w:jc w:val="center"/>
            </w:pPr>
            <w:r>
              <w:t>17.49</w:t>
            </w:r>
          </w:p>
        </w:tc>
      </w:tr>
      <w:tr w:rsidR="00B52803" w:rsidTr="0081150C">
        <w:tc>
          <w:tcPr>
            <w:tcW w:w="1341" w:type="pct"/>
          </w:tcPr>
          <w:p w:rsidR="00B52803" w:rsidRDefault="00B52803" w:rsidP="003E39A7">
            <w:pPr>
              <w:pStyle w:val="Tabletext"/>
            </w:pPr>
            <w:r>
              <w:t>DP/course/patient</w:t>
            </w:r>
          </w:p>
        </w:tc>
        <w:tc>
          <w:tcPr>
            <w:tcW w:w="1219" w:type="pct"/>
          </w:tcPr>
          <w:p w:rsidR="00B52803" w:rsidRPr="007627EE" w:rsidRDefault="00B52803" w:rsidP="004E5D66">
            <w:pPr>
              <w:pStyle w:val="Tabletext"/>
              <w:jc w:val="center"/>
              <w:rPr>
                <w:i/>
              </w:rPr>
            </w:pPr>
            <w:r w:rsidRPr="007627EE">
              <w:rPr>
                <w:i/>
              </w:rPr>
              <w:t>$</w:t>
            </w:r>
            <w:r w:rsidR="00E94B3A">
              <w:rPr>
                <w:i/>
                <w:noProof/>
                <w:color w:val="000000"/>
                <w:highlight w:val="black"/>
              </w:rPr>
              <w:t>''''''''''''''''''</w:t>
            </w:r>
          </w:p>
        </w:tc>
        <w:tc>
          <w:tcPr>
            <w:tcW w:w="1219" w:type="pct"/>
          </w:tcPr>
          <w:p w:rsidR="00B52803" w:rsidRPr="007627EE" w:rsidRDefault="00B52803" w:rsidP="003E39A7">
            <w:pPr>
              <w:pStyle w:val="Tabletext"/>
              <w:jc w:val="center"/>
              <w:rPr>
                <w:i/>
              </w:rPr>
            </w:pPr>
            <w:r w:rsidRPr="007627EE">
              <w:rPr>
                <w:i/>
              </w:rPr>
              <w:t>$</w:t>
            </w:r>
            <w:r w:rsidR="00E94B3A">
              <w:rPr>
                <w:i/>
                <w:noProof/>
                <w:color w:val="000000"/>
                <w:highlight w:val="black"/>
              </w:rPr>
              <w:t>''''''''''''''</w:t>
            </w:r>
          </w:p>
        </w:tc>
        <w:tc>
          <w:tcPr>
            <w:tcW w:w="1220" w:type="pct"/>
          </w:tcPr>
          <w:p w:rsidR="00B52803" w:rsidRPr="007627EE" w:rsidRDefault="00C56513" w:rsidP="007627EE">
            <w:pPr>
              <w:pStyle w:val="Tabletext"/>
              <w:jc w:val="center"/>
              <w:rPr>
                <w:i/>
              </w:rPr>
            </w:pPr>
            <w:r w:rsidRPr="007627EE">
              <w:rPr>
                <w:i/>
              </w:rPr>
              <w:t>$</w:t>
            </w:r>
            <w:r w:rsidR="00E94B3A">
              <w:rPr>
                <w:i/>
                <w:noProof/>
                <w:color w:val="000000"/>
                <w:highlight w:val="black"/>
              </w:rPr>
              <w:t>''''''''''''''''</w:t>
            </w:r>
          </w:p>
        </w:tc>
      </w:tr>
      <w:tr w:rsidR="00B52803" w:rsidRPr="00EE5E11" w:rsidTr="0081150C">
        <w:tc>
          <w:tcPr>
            <w:tcW w:w="1341" w:type="pct"/>
            <w:vAlign w:val="center"/>
          </w:tcPr>
          <w:p w:rsidR="00B52803" w:rsidRPr="00EE5E11" w:rsidRDefault="00B52803" w:rsidP="00E81C39">
            <w:pPr>
              <w:pStyle w:val="Tabletext"/>
              <w:rPr>
                <w:b/>
              </w:rPr>
            </w:pPr>
            <w:r w:rsidRPr="00EE5E11">
              <w:rPr>
                <w:b/>
              </w:rPr>
              <w:t xml:space="preserve">Total </w:t>
            </w:r>
            <w:r w:rsidR="005A52A7">
              <w:rPr>
                <w:b/>
              </w:rPr>
              <w:t>effective dispensed price</w:t>
            </w:r>
            <w:r>
              <w:rPr>
                <w:b/>
              </w:rPr>
              <w:t>/course/patient</w:t>
            </w:r>
          </w:p>
        </w:tc>
        <w:tc>
          <w:tcPr>
            <w:tcW w:w="3659" w:type="pct"/>
            <w:gridSpan w:val="3"/>
          </w:tcPr>
          <w:p w:rsidR="00B52803" w:rsidRPr="007627EE" w:rsidRDefault="00F356E0" w:rsidP="003E39A7">
            <w:pPr>
              <w:pStyle w:val="Tabletext"/>
              <w:jc w:val="center"/>
              <w:rPr>
                <w:i/>
              </w:rPr>
            </w:pPr>
            <w:proofErr w:type="spellStart"/>
            <w:r>
              <w:t>Nivolumab</w:t>
            </w:r>
            <w:proofErr w:type="spellEnd"/>
            <w:r>
              <w:t xml:space="preserve">: </w:t>
            </w:r>
            <w:r w:rsidRPr="007627EE">
              <w:rPr>
                <w:i/>
              </w:rPr>
              <w:t>$</w:t>
            </w:r>
            <w:r w:rsidR="00E94B3A">
              <w:rPr>
                <w:i/>
                <w:noProof/>
                <w:color w:val="000000"/>
                <w:highlight w:val="black"/>
              </w:rPr>
              <w:t>'''''''''''''''</w:t>
            </w:r>
          </w:p>
          <w:p w:rsidR="00B52803" w:rsidRPr="00EE5E11" w:rsidRDefault="007627EE" w:rsidP="003E39A7">
            <w:pPr>
              <w:pStyle w:val="Tabletext"/>
              <w:jc w:val="center"/>
            </w:pPr>
            <w:r>
              <w:t xml:space="preserve">Ipilimumab: </w:t>
            </w:r>
            <w:r w:rsidRPr="007627EE">
              <w:rPr>
                <w:i/>
              </w:rPr>
              <w:t>$</w:t>
            </w:r>
            <w:r w:rsidR="00E94B3A">
              <w:rPr>
                <w:i/>
                <w:noProof/>
                <w:color w:val="000000"/>
                <w:highlight w:val="black"/>
              </w:rPr>
              <w:t>'''''''''''''''''</w:t>
            </w:r>
          </w:p>
          <w:p w:rsidR="00B52803" w:rsidRPr="00EE5E11" w:rsidRDefault="007627EE" w:rsidP="003E39A7">
            <w:pPr>
              <w:pStyle w:val="Tabletext"/>
              <w:jc w:val="center"/>
              <w:rPr>
                <w:b/>
              </w:rPr>
            </w:pPr>
            <w:r>
              <w:rPr>
                <w:b/>
              </w:rPr>
              <w:t xml:space="preserve">Total: </w:t>
            </w:r>
            <w:r w:rsidRPr="007627EE">
              <w:rPr>
                <w:b/>
                <w:i/>
              </w:rPr>
              <w:t>$</w:t>
            </w:r>
            <w:r w:rsidR="00E94B3A">
              <w:rPr>
                <w:b/>
                <w:i/>
                <w:noProof/>
                <w:color w:val="000000"/>
                <w:highlight w:val="black"/>
              </w:rPr>
              <w:t>''''''''''''</w:t>
            </w:r>
          </w:p>
        </w:tc>
      </w:tr>
    </w:tbl>
    <w:p w:rsidR="007635CE" w:rsidRDefault="00435610" w:rsidP="007635CE">
      <w:pPr>
        <w:pStyle w:val="TableFooter"/>
      </w:pPr>
      <w:r>
        <w:t>DP = dispensed price</w:t>
      </w:r>
      <w:r w:rsidR="001E7EF9">
        <w:t xml:space="preserve">; IPI = </w:t>
      </w:r>
      <w:proofErr w:type="spellStart"/>
      <w:r w:rsidR="001E7EF9">
        <w:t>ipilimumab</w:t>
      </w:r>
      <w:proofErr w:type="spellEnd"/>
      <w:r w:rsidR="001E7EF9">
        <w:t xml:space="preserve">; NIVO = </w:t>
      </w:r>
      <w:proofErr w:type="spellStart"/>
      <w:r w:rsidR="001E7EF9">
        <w:t>nivolumab</w:t>
      </w:r>
      <w:proofErr w:type="spellEnd"/>
    </w:p>
    <w:p w:rsidR="00FC4EE6" w:rsidRDefault="00F356E0" w:rsidP="00F356E0">
      <w:pPr>
        <w:pStyle w:val="TableFooter"/>
      </w:pPr>
      <w:proofErr w:type="gramStart"/>
      <w:r>
        <w:rPr>
          <w:vertAlign w:val="superscript"/>
        </w:rPr>
        <w:t>a</w:t>
      </w:r>
      <w:proofErr w:type="gramEnd"/>
      <w:r>
        <w:t xml:space="preserve"> </w:t>
      </w:r>
      <w:r w:rsidR="00C56513">
        <w:t>1 x 20</w:t>
      </w:r>
      <w:r w:rsidR="00FC4EE6">
        <w:t>0 mg vial at $</w:t>
      </w:r>
      <w:r w:rsidR="00E94B3A">
        <w:rPr>
          <w:noProof/>
          <w:color w:val="000000"/>
          <w:highlight w:val="black"/>
        </w:rPr>
        <w:t>''''''''''''''''''''''</w:t>
      </w:r>
      <w:r w:rsidR="00C56513">
        <w:t xml:space="preserve"> (ex-manufacturer) and 1 x 50 mg vial at $</w:t>
      </w:r>
      <w:r w:rsidR="00E94B3A">
        <w:rPr>
          <w:noProof/>
          <w:color w:val="000000"/>
          <w:highlight w:val="black"/>
        </w:rPr>
        <w:t>'''''''''''''''''''''</w:t>
      </w:r>
      <w:r w:rsidR="00C56513">
        <w:t xml:space="preserve"> per vial (ex-manufacturer).</w:t>
      </w:r>
    </w:p>
    <w:p w:rsidR="00C56513" w:rsidRPr="00C56513" w:rsidRDefault="00C56513" w:rsidP="00F356E0">
      <w:pPr>
        <w:pStyle w:val="TableFooter"/>
      </w:pPr>
      <w:proofErr w:type="gramStart"/>
      <w:r>
        <w:rPr>
          <w:vertAlign w:val="superscript"/>
        </w:rPr>
        <w:t>b</w:t>
      </w:r>
      <w:proofErr w:type="gramEnd"/>
      <w:r>
        <w:t xml:space="preserve"> 1 x 100 mg vial at $</w:t>
      </w:r>
      <w:r w:rsidR="00E94B3A">
        <w:rPr>
          <w:noProof/>
          <w:color w:val="000000"/>
          <w:highlight w:val="black"/>
        </w:rPr>
        <w:t>'''''''''''''''''''</w:t>
      </w:r>
      <w:r>
        <w:t xml:space="preserve"> per vial (ex-manufacturer)</w:t>
      </w:r>
    </w:p>
    <w:p w:rsidR="00F356E0" w:rsidRPr="00942094" w:rsidRDefault="00FC4EE6" w:rsidP="00F356E0">
      <w:pPr>
        <w:pStyle w:val="TableFooter"/>
      </w:pPr>
      <w:proofErr w:type="gramStart"/>
      <w:r>
        <w:rPr>
          <w:vertAlign w:val="superscript"/>
        </w:rPr>
        <w:t>c</w:t>
      </w:r>
      <w:proofErr w:type="gramEnd"/>
      <w:r>
        <w:rPr>
          <w:vertAlign w:val="superscript"/>
        </w:rPr>
        <w:t xml:space="preserve"> </w:t>
      </w:r>
      <w:r w:rsidR="00F356E0">
        <w:t>1 x 100 mg vial at $</w:t>
      </w:r>
      <w:r w:rsidR="00E94B3A">
        <w:rPr>
          <w:noProof/>
          <w:color w:val="000000"/>
          <w:highlight w:val="black"/>
        </w:rPr>
        <w:t>''''''''''''''''''''</w:t>
      </w:r>
      <w:r>
        <w:t xml:space="preserve"> </w:t>
      </w:r>
      <w:r w:rsidR="00C56513">
        <w:t xml:space="preserve">per vial </w:t>
      </w:r>
      <w:r w:rsidR="00F356E0">
        <w:t xml:space="preserve">(ex-manufacturer) </w:t>
      </w:r>
      <w:r w:rsidR="00F356E0" w:rsidRPr="00942094">
        <w:t>and 4 x 40 mg vial at $</w:t>
      </w:r>
      <w:r w:rsidR="00E94B3A">
        <w:rPr>
          <w:noProof/>
          <w:color w:val="000000"/>
          <w:highlight w:val="black"/>
        </w:rPr>
        <w:t>''''''''''''''''''</w:t>
      </w:r>
      <w:r w:rsidR="00F356E0" w:rsidRPr="00942094">
        <w:t xml:space="preserve"> </w:t>
      </w:r>
      <w:r w:rsidR="00C56513" w:rsidRPr="00942094">
        <w:t xml:space="preserve">per vial </w:t>
      </w:r>
      <w:r w:rsidR="00F356E0" w:rsidRPr="00942094">
        <w:t>(ex-manufacturer).</w:t>
      </w:r>
    </w:p>
    <w:p w:rsidR="00F356E0" w:rsidRDefault="00C56513" w:rsidP="00FC4EE6">
      <w:pPr>
        <w:pStyle w:val="TableFooter"/>
        <w:ind w:left="142" w:hanging="142"/>
      </w:pPr>
      <w:proofErr w:type="gramStart"/>
      <w:r w:rsidRPr="00942094">
        <w:rPr>
          <w:vertAlign w:val="superscript"/>
        </w:rPr>
        <w:t>d</w:t>
      </w:r>
      <w:proofErr w:type="gramEnd"/>
      <w:r w:rsidR="00F356E0" w:rsidRPr="00942094">
        <w:rPr>
          <w:vertAlign w:val="superscript"/>
        </w:rPr>
        <w:t xml:space="preserve"> </w:t>
      </w:r>
      <w:r w:rsidR="00F356E0" w:rsidRPr="00942094">
        <w:rPr>
          <w:i/>
        </w:rPr>
        <w:t xml:space="preserve">Assuming </w:t>
      </w:r>
      <w:proofErr w:type="spellStart"/>
      <w:r w:rsidR="00F356E0" w:rsidRPr="00942094">
        <w:rPr>
          <w:i/>
        </w:rPr>
        <w:t>public:private</w:t>
      </w:r>
      <w:proofErr w:type="spellEnd"/>
      <w:r w:rsidR="00F356E0" w:rsidRPr="00942094">
        <w:rPr>
          <w:i/>
        </w:rPr>
        <w:t xml:space="preserve"> split of </w:t>
      </w:r>
      <w:r w:rsidR="00E94B3A">
        <w:rPr>
          <w:i/>
          <w:noProof/>
          <w:color w:val="000000"/>
          <w:highlight w:val="black"/>
        </w:rPr>
        <w:t>'''''''''</w:t>
      </w:r>
      <w:r w:rsidR="00F356E0" w:rsidRPr="00942094">
        <w:rPr>
          <w:i/>
        </w:rPr>
        <w:t>%:</w:t>
      </w:r>
      <w:r w:rsidR="00E94B3A">
        <w:rPr>
          <w:i/>
          <w:noProof/>
          <w:color w:val="000000"/>
          <w:highlight w:val="black"/>
        </w:rPr>
        <w:t>'''''''''''</w:t>
      </w:r>
      <w:r w:rsidR="00F356E0" w:rsidRPr="00942094">
        <w:rPr>
          <w:i/>
        </w:rPr>
        <w:t>%</w:t>
      </w:r>
      <w:r w:rsidR="007627EE" w:rsidRPr="00942094">
        <w:rPr>
          <w:i/>
        </w:rPr>
        <w:t xml:space="preserve"> (as in Section 4 of the resubmission)</w:t>
      </w:r>
      <w:r w:rsidR="00FC4EE6" w:rsidRPr="00942094">
        <w:rPr>
          <w:i/>
        </w:rPr>
        <w:t xml:space="preserve">; </w:t>
      </w:r>
      <w:r w:rsidR="007627EE" w:rsidRPr="00942094">
        <w:rPr>
          <w:i/>
        </w:rPr>
        <w:t>d</w:t>
      </w:r>
      <w:r w:rsidR="00FC4EE6" w:rsidRPr="00942094">
        <w:rPr>
          <w:i/>
        </w:rPr>
        <w:t>istribution fee $26.28, diluent fee $5.21, preparation fee $103.83, ready prepared dispensing fee $7.15.</w:t>
      </w:r>
      <w:r w:rsidR="00B90595" w:rsidRPr="00942094">
        <w:rPr>
          <w:i/>
        </w:rPr>
        <w:t xml:space="preserve"> Note: the resubmission </w:t>
      </w:r>
      <w:r w:rsidR="00A032FA">
        <w:rPr>
          <w:i/>
        </w:rPr>
        <w:t xml:space="preserve">assumed a </w:t>
      </w:r>
      <w:proofErr w:type="spellStart"/>
      <w:r w:rsidR="00A032FA">
        <w:rPr>
          <w:i/>
        </w:rPr>
        <w:t>public</w:t>
      </w:r>
      <w:proofErr w:type="gramStart"/>
      <w:r w:rsidR="00A032FA">
        <w:rPr>
          <w:i/>
        </w:rPr>
        <w:t>:private</w:t>
      </w:r>
      <w:proofErr w:type="spellEnd"/>
      <w:proofErr w:type="gramEnd"/>
      <w:r w:rsidR="00A032FA">
        <w:rPr>
          <w:i/>
        </w:rPr>
        <w:t xml:space="preserve"> split of </w:t>
      </w:r>
      <w:r w:rsidR="00E94B3A">
        <w:rPr>
          <w:i/>
          <w:noProof/>
          <w:color w:val="000000"/>
          <w:highlight w:val="black"/>
        </w:rPr>
        <w:t>''''''''''</w:t>
      </w:r>
      <w:r w:rsidR="00A032FA">
        <w:rPr>
          <w:i/>
        </w:rPr>
        <w:t>%:</w:t>
      </w:r>
      <w:r w:rsidR="00E94B3A">
        <w:rPr>
          <w:i/>
          <w:noProof/>
          <w:color w:val="000000"/>
          <w:highlight w:val="black"/>
        </w:rPr>
        <w:t>''''''''''</w:t>
      </w:r>
      <w:r w:rsidR="00A032FA">
        <w:rPr>
          <w:i/>
        </w:rPr>
        <w:t xml:space="preserve">% in the economic analysis and </w:t>
      </w:r>
      <w:r w:rsidR="00B90595" w:rsidRPr="00942094">
        <w:rPr>
          <w:i/>
        </w:rPr>
        <w:t xml:space="preserve">used a preparation fee of $83.83 in </w:t>
      </w:r>
      <w:r w:rsidR="00A032FA">
        <w:rPr>
          <w:i/>
        </w:rPr>
        <w:t xml:space="preserve">both </w:t>
      </w:r>
      <w:r w:rsidR="00B90595" w:rsidRPr="00942094">
        <w:rPr>
          <w:i/>
        </w:rPr>
        <w:t xml:space="preserve">the economic </w:t>
      </w:r>
      <w:r w:rsidR="003142AA" w:rsidRPr="00942094">
        <w:rPr>
          <w:i/>
        </w:rPr>
        <w:t xml:space="preserve">analysis </w:t>
      </w:r>
      <w:r w:rsidR="00B90595" w:rsidRPr="00942094">
        <w:rPr>
          <w:i/>
        </w:rPr>
        <w:t xml:space="preserve">and </w:t>
      </w:r>
      <w:r w:rsidR="003142AA" w:rsidRPr="00942094">
        <w:rPr>
          <w:i/>
        </w:rPr>
        <w:t xml:space="preserve">the </w:t>
      </w:r>
      <w:r w:rsidR="00B90595" w:rsidRPr="00942094">
        <w:rPr>
          <w:i/>
        </w:rPr>
        <w:t>financial estimates.</w:t>
      </w:r>
    </w:p>
    <w:p w:rsidR="007627EE" w:rsidRPr="007627EE" w:rsidRDefault="007627EE" w:rsidP="00FC4EE6">
      <w:pPr>
        <w:pStyle w:val="TableFooter"/>
        <w:ind w:left="142" w:hanging="142"/>
        <w:rPr>
          <w:i/>
        </w:rPr>
      </w:pPr>
      <w:r>
        <w:rPr>
          <w:i/>
        </w:rPr>
        <w:t>Figures in italics were calculated during the evaluation.</w:t>
      </w:r>
    </w:p>
    <w:p w:rsidR="004E5D66" w:rsidRDefault="007627EE" w:rsidP="004E5D66">
      <w:pPr>
        <w:pStyle w:val="TableFooter"/>
      </w:pPr>
      <w:r>
        <w:t>Source: Tables 81-83,</w:t>
      </w:r>
      <w:r w:rsidR="004E5D66">
        <w:t xml:space="preserve"> p</w:t>
      </w:r>
      <w:r>
        <w:t>p</w:t>
      </w:r>
      <w:r w:rsidR="004E5D66">
        <w:t>1</w:t>
      </w:r>
      <w:r>
        <w:t>53-4</w:t>
      </w:r>
      <w:r w:rsidR="004E5D66">
        <w:t xml:space="preserve"> of the resubmission</w:t>
      </w:r>
      <w:r w:rsidR="00414108">
        <w:t>;</w:t>
      </w:r>
      <w:r w:rsidR="00414108" w:rsidRPr="00414108">
        <w:t xml:space="preserve"> </w:t>
      </w:r>
      <w:r w:rsidR="00414108">
        <w:t>Spreadsheet 3</w:t>
      </w:r>
      <w:r w:rsidR="00B15867">
        <w:t xml:space="preserve">c.Impact – </w:t>
      </w:r>
      <w:proofErr w:type="spellStart"/>
      <w:r w:rsidR="00B15867">
        <w:t>EFF</w:t>
      </w:r>
      <w:proofErr w:type="gramStart"/>
      <w:r w:rsidR="00B15867">
        <w:t>,Excel</w:t>
      </w:r>
      <w:proofErr w:type="spellEnd"/>
      <w:proofErr w:type="gramEnd"/>
      <w:r w:rsidR="00B15867">
        <w:t xml:space="preserve"> </w:t>
      </w:r>
      <w:r w:rsidR="00414108">
        <w:t xml:space="preserve">book ‘Appendix </w:t>
      </w:r>
      <w:r w:rsidR="00B15867">
        <w:t>2</w:t>
      </w:r>
      <w:r w:rsidR="00414108">
        <w:t>_</w:t>
      </w:r>
      <w:r w:rsidR="00B15867">
        <w:t>BIM_NIVO+IPI.</w:t>
      </w:r>
      <w:r w:rsidR="00414108">
        <w:t>xlsm’</w:t>
      </w:r>
    </w:p>
    <w:p w:rsidR="00C422CE" w:rsidRPr="00C9624D" w:rsidRDefault="00C422CE" w:rsidP="00AB44F5">
      <w:pPr>
        <w:pStyle w:val="Heading2"/>
        <w:keepNext/>
        <w:spacing w:before="120" w:after="120"/>
      </w:pPr>
      <w:bookmarkStart w:id="16" w:name="_Toc514158499"/>
      <w:bookmarkStart w:id="17" w:name="_Toc514158498"/>
      <w:r w:rsidRPr="00AB44F5">
        <w:rPr>
          <w:rFonts w:asciiTheme="minorHAnsi" w:hAnsiTheme="minorHAnsi"/>
          <w:bCs/>
          <w:szCs w:val="28"/>
        </w:rPr>
        <w:t>Estimated PBS usage &amp; financial implications</w:t>
      </w:r>
      <w:bookmarkEnd w:id="17"/>
    </w:p>
    <w:p w:rsidR="00C422CE" w:rsidRDefault="00C422CE" w:rsidP="00C422CE">
      <w:pPr>
        <w:pStyle w:val="ListParagraph"/>
        <w:widowControl/>
        <w:numPr>
          <w:ilvl w:val="1"/>
          <w:numId w:val="2"/>
        </w:numPr>
      </w:pPr>
      <w:r>
        <w:t>This resubmission w</w:t>
      </w:r>
      <w:r w:rsidR="003F6BC1">
        <w:t>as</w:t>
      </w:r>
      <w:r>
        <w:t xml:space="preserve"> considered by DUSC. The resubmission presented a new financial analysis reflecting the change in the proposed population and the nominated comparator, and using different PBS data to estimate the eligible population from that used in the previous resubmission. </w:t>
      </w:r>
    </w:p>
    <w:p w:rsidR="00C422CE" w:rsidRDefault="00C422CE" w:rsidP="00C422CE">
      <w:pPr>
        <w:pStyle w:val="ListParagraph"/>
        <w:widowControl/>
        <w:numPr>
          <w:ilvl w:val="1"/>
          <w:numId w:val="2"/>
        </w:numPr>
      </w:pPr>
      <w:r>
        <w:t xml:space="preserve">The resubmission used a mixed epidemiological approach to estimate the eligible population, based on 100% PBS data for patients initiating PBS-subsidised treatment </w:t>
      </w:r>
      <w:r>
        <w:lastRenderedPageBreak/>
        <w:t xml:space="preserve">for first line treatment of </w:t>
      </w:r>
      <w:proofErr w:type="spellStart"/>
      <w:r>
        <w:t>unresectable</w:t>
      </w:r>
      <w:proofErr w:type="spellEnd"/>
      <w:r>
        <w:t xml:space="preserve"> Stage III or Stage IV melanoma (BRAF inhibitors, </w:t>
      </w:r>
      <w:proofErr w:type="spellStart"/>
      <w:r>
        <w:t>ipilimumab</w:t>
      </w:r>
      <w:proofErr w:type="spellEnd"/>
      <w:r>
        <w:t xml:space="preserve">, PD-1 inhibitor or </w:t>
      </w:r>
      <w:proofErr w:type="spellStart"/>
      <w:r>
        <w:t>fotemustine</w:t>
      </w:r>
      <w:proofErr w:type="spellEnd"/>
      <w:r>
        <w:t xml:space="preserve">). The </w:t>
      </w:r>
      <w:r w:rsidRPr="00C53E49">
        <w:t>proportion of patients assumed to receive each treatment option, at each line of therapy,</w:t>
      </w:r>
      <w:r>
        <w:t xml:space="preserve"> was</w:t>
      </w:r>
      <w:r w:rsidRPr="00C53E49">
        <w:t xml:space="preserve"> based on expert opinion.</w:t>
      </w:r>
      <w:r>
        <w:t xml:space="preserve">  The </w:t>
      </w:r>
      <w:r w:rsidR="006B4712">
        <w:t>PBAC</w:t>
      </w:r>
      <w:r>
        <w:t xml:space="preserve"> noted that up to </w:t>
      </w:r>
      <w:r w:rsidR="00EE7F6E" w:rsidRPr="003C3EA0">
        <w:t>329</w:t>
      </w:r>
      <w:r w:rsidRPr="003C3EA0">
        <w:t xml:space="preserve"> patients</w:t>
      </w:r>
      <w:r>
        <w:t xml:space="preserve"> from a patient access program may transfer to PBS-subsidised NIVO+IPI in Year 1 of listing. </w:t>
      </w:r>
      <w:r w:rsidRPr="00871961">
        <w:t>Only first and second line therapies were included in the analysis.</w:t>
      </w:r>
    </w:p>
    <w:p w:rsidR="00C422CE" w:rsidRPr="00871961" w:rsidRDefault="00C422CE" w:rsidP="00C422CE">
      <w:pPr>
        <w:pStyle w:val="ListParagraph"/>
        <w:widowControl/>
        <w:numPr>
          <w:ilvl w:val="1"/>
          <w:numId w:val="2"/>
        </w:numPr>
      </w:pPr>
      <w:r w:rsidRPr="00871961">
        <w:t xml:space="preserve">While the use of PBS data was appropriate, the numbers of patients initiating first line treatment over the first six years of listing were projected from a single time point, based on only 6 months of data and were, therefore, subject to some uncertainty. The </w:t>
      </w:r>
      <w:r w:rsidR="00622B9E">
        <w:t xml:space="preserve">PBAC considered that the </w:t>
      </w:r>
      <w:r w:rsidRPr="00871961">
        <w:t xml:space="preserve">assumed growth rate in the number of patients treated per year of 2% may be an underestimate, given that cancer incidence projections from 2011 to 2020, published by the Australian Institute of Health and Welfare (AIHW), estimated annual growth rates in the incidence of melanoma of between 2.9%-3.7% per year.  </w:t>
      </w:r>
    </w:p>
    <w:p w:rsidR="00C422CE" w:rsidRPr="00871961" w:rsidRDefault="00C422CE" w:rsidP="00C422CE">
      <w:pPr>
        <w:pStyle w:val="ListParagraph"/>
        <w:widowControl/>
        <w:numPr>
          <w:ilvl w:val="1"/>
          <w:numId w:val="2"/>
        </w:numPr>
      </w:pPr>
      <w:r w:rsidRPr="00871961">
        <w:t xml:space="preserve">The proportion of patients assumed to receive each treatment option was the </w:t>
      </w:r>
      <w:r w:rsidRPr="00871961">
        <w:rPr>
          <w:snapToGrid/>
        </w:rPr>
        <w:t>major source of uncertainty in the estimation of the number of patients likely to be treated with NIVO+IPI, although these uptake rates had limited impact on the net cost to the PBS/RPBS once offsets of changes in other medicines were taken into account.</w:t>
      </w:r>
    </w:p>
    <w:p w:rsidR="00C422CE" w:rsidRPr="000E66CB" w:rsidRDefault="00C422CE" w:rsidP="00C422CE">
      <w:pPr>
        <w:pStyle w:val="ListParagraph"/>
        <w:widowControl/>
        <w:numPr>
          <w:ilvl w:val="1"/>
          <w:numId w:val="2"/>
        </w:numPr>
      </w:pPr>
      <w:r>
        <w:t>The mean effective price per infusion for each component of NIVO+IPI combination therapy was derived using the methodology outlined in</w:t>
      </w:r>
      <w:r w:rsidR="003D14B9">
        <w:t xml:space="preserve"> the table</w:t>
      </w:r>
      <w:r w:rsidR="00A103CE">
        <w:t xml:space="preserve"> above</w:t>
      </w:r>
      <w:r>
        <w:rPr>
          <w:rStyle w:val="FootnoteReference"/>
        </w:rPr>
        <w:footnoteReference w:id="4"/>
      </w:r>
      <w:r>
        <w:t xml:space="preserve">, above, while the mean price per infusion of </w:t>
      </w:r>
      <w:proofErr w:type="spellStart"/>
      <w:r>
        <w:t>nivolumab</w:t>
      </w:r>
      <w:proofErr w:type="spellEnd"/>
      <w:r>
        <w:t xml:space="preserve"> monotherapy was derived from the estimated capped cost per patient per course, as in the economic analysis.</w:t>
      </w:r>
    </w:p>
    <w:p w:rsidR="00C422CE" w:rsidRPr="00C422CE" w:rsidRDefault="00C422CE" w:rsidP="00C422CE">
      <w:pPr>
        <w:pStyle w:val="ListParagraph"/>
        <w:widowControl/>
        <w:numPr>
          <w:ilvl w:val="1"/>
          <w:numId w:val="2"/>
        </w:numPr>
      </w:pPr>
      <w:r w:rsidRPr="00470787">
        <w:t xml:space="preserve">The resubmission assumed that all use of NIVO+IPI (other than in patients transferring from the </w:t>
      </w:r>
      <w:r>
        <w:t>patient access program</w:t>
      </w:r>
      <w:r w:rsidRPr="00470787">
        <w:t>) would substitute for use of PD-1 inhibitor monotherapy.</w:t>
      </w:r>
      <w:r w:rsidRPr="00470787">
        <w:rPr>
          <w:i/>
        </w:rPr>
        <w:t xml:space="preserve"> </w:t>
      </w:r>
      <w:r w:rsidRPr="00C422CE">
        <w:t xml:space="preserve">As discussed above, </w:t>
      </w:r>
      <w:r w:rsidR="00C264F3">
        <w:t xml:space="preserve">the DUSC considered that </w:t>
      </w:r>
      <w:r w:rsidRPr="00C422CE">
        <w:t>if NIVO+IPI is subject to a separate subsidisation cap from that currently applied to PD-1 inhibitor monotherapy, the cost offsets resulting from substitution of NIVO+IPI for PD-1 inhibitor monotherapy would not be realised. This would be because the total cost for PD-1 inhibitor monotherapy would remain constant until utilisation of monotherapy dropped below the original subsidisation cap, and the cost to the PBS for NIVO+IPI would be additional to this.</w:t>
      </w:r>
    </w:p>
    <w:p w:rsidR="00C422CE" w:rsidRPr="00C7315C" w:rsidRDefault="00C422CE" w:rsidP="00C422CE">
      <w:pPr>
        <w:pStyle w:val="ListParagraph"/>
        <w:widowControl/>
        <w:numPr>
          <w:ilvl w:val="1"/>
          <w:numId w:val="2"/>
        </w:numPr>
      </w:pPr>
      <w:r w:rsidRPr="00C7315C">
        <w:t>The e</w:t>
      </w:r>
      <w:r>
        <w:t>stimated use and financial impl</w:t>
      </w:r>
      <w:r w:rsidRPr="00C7315C">
        <w:t>ications of</w:t>
      </w:r>
      <w:r>
        <w:t xml:space="preserve"> listing NIVO+IPI for the treatment of </w:t>
      </w:r>
      <w:proofErr w:type="spellStart"/>
      <w:r>
        <w:t>unresectable</w:t>
      </w:r>
      <w:proofErr w:type="spellEnd"/>
      <w:r>
        <w:t xml:space="preserve"> Stage III or Stage IV melanoma are summarised below.</w:t>
      </w:r>
    </w:p>
    <w:p w:rsidR="00C422CE" w:rsidRPr="00C25D9C" w:rsidRDefault="00C422CE" w:rsidP="00D703C9">
      <w:pPr>
        <w:pStyle w:val="Caption"/>
        <w:keepNext/>
      </w:pPr>
      <w:r>
        <w:lastRenderedPageBreak/>
        <w:t>Table</w:t>
      </w:r>
      <w:r w:rsidR="007F3CE5">
        <w:t xml:space="preserve"> </w:t>
      </w:r>
      <w:r w:rsidR="003A17B1">
        <w:rPr>
          <w:noProof/>
        </w:rPr>
        <w:t>14</w:t>
      </w:r>
      <w:r>
        <w:t>:  Estimated use and financial implications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2"/>
        <w:gridCol w:w="1159"/>
        <w:gridCol w:w="1157"/>
        <w:gridCol w:w="1157"/>
        <w:gridCol w:w="1157"/>
        <w:gridCol w:w="1157"/>
        <w:gridCol w:w="1154"/>
      </w:tblGrid>
      <w:tr w:rsidR="00C422CE" w:rsidRPr="00D1078F" w:rsidTr="004B097F">
        <w:trPr>
          <w:tblHeader/>
        </w:trPr>
        <w:tc>
          <w:tcPr>
            <w:tcW w:w="1179" w:type="pct"/>
            <w:shd w:val="clear" w:color="auto" w:fill="auto"/>
            <w:vAlign w:val="center"/>
          </w:tcPr>
          <w:p w:rsidR="00C422CE" w:rsidRPr="003639A6" w:rsidRDefault="00C422CE" w:rsidP="00D703C9">
            <w:pPr>
              <w:pStyle w:val="Tabletext"/>
              <w:keepNext/>
            </w:pPr>
          </w:p>
        </w:tc>
        <w:tc>
          <w:tcPr>
            <w:tcW w:w="638" w:type="pct"/>
            <w:shd w:val="clear" w:color="auto" w:fill="auto"/>
            <w:vAlign w:val="center"/>
          </w:tcPr>
          <w:p w:rsidR="00C422CE" w:rsidRPr="00D1078F" w:rsidRDefault="00C422CE" w:rsidP="00D703C9">
            <w:pPr>
              <w:pStyle w:val="Tabletext"/>
              <w:keepNext/>
              <w:jc w:val="center"/>
              <w:rPr>
                <w:b/>
              </w:rPr>
            </w:pPr>
            <w:r w:rsidRPr="00D1078F">
              <w:rPr>
                <w:b/>
              </w:rPr>
              <w:t>Year 1</w:t>
            </w:r>
          </w:p>
        </w:tc>
        <w:tc>
          <w:tcPr>
            <w:tcW w:w="637" w:type="pct"/>
            <w:shd w:val="clear" w:color="auto" w:fill="auto"/>
            <w:vAlign w:val="center"/>
          </w:tcPr>
          <w:p w:rsidR="00C422CE" w:rsidRPr="00D1078F" w:rsidRDefault="00C422CE" w:rsidP="00D703C9">
            <w:pPr>
              <w:pStyle w:val="Tabletext"/>
              <w:keepNext/>
              <w:jc w:val="center"/>
              <w:rPr>
                <w:b/>
              </w:rPr>
            </w:pPr>
            <w:r w:rsidRPr="00D1078F">
              <w:rPr>
                <w:b/>
              </w:rPr>
              <w:t>Year 2</w:t>
            </w:r>
          </w:p>
        </w:tc>
        <w:tc>
          <w:tcPr>
            <w:tcW w:w="637" w:type="pct"/>
            <w:shd w:val="clear" w:color="auto" w:fill="auto"/>
            <w:vAlign w:val="center"/>
          </w:tcPr>
          <w:p w:rsidR="00C422CE" w:rsidRPr="00D1078F" w:rsidRDefault="00C422CE" w:rsidP="00D703C9">
            <w:pPr>
              <w:pStyle w:val="Tabletext"/>
              <w:keepNext/>
              <w:jc w:val="center"/>
              <w:rPr>
                <w:b/>
              </w:rPr>
            </w:pPr>
            <w:r w:rsidRPr="00D1078F">
              <w:rPr>
                <w:b/>
              </w:rPr>
              <w:t>Year 3</w:t>
            </w:r>
          </w:p>
        </w:tc>
        <w:tc>
          <w:tcPr>
            <w:tcW w:w="637" w:type="pct"/>
            <w:shd w:val="clear" w:color="auto" w:fill="auto"/>
            <w:vAlign w:val="center"/>
          </w:tcPr>
          <w:p w:rsidR="00C422CE" w:rsidRPr="00D1078F" w:rsidRDefault="00C422CE" w:rsidP="00D703C9">
            <w:pPr>
              <w:pStyle w:val="Tabletext"/>
              <w:keepNext/>
              <w:jc w:val="center"/>
              <w:rPr>
                <w:b/>
              </w:rPr>
            </w:pPr>
            <w:r w:rsidRPr="00D1078F">
              <w:rPr>
                <w:b/>
              </w:rPr>
              <w:t>Year 4</w:t>
            </w:r>
          </w:p>
        </w:tc>
        <w:tc>
          <w:tcPr>
            <w:tcW w:w="637" w:type="pct"/>
            <w:shd w:val="clear" w:color="auto" w:fill="auto"/>
            <w:vAlign w:val="center"/>
          </w:tcPr>
          <w:p w:rsidR="00C422CE" w:rsidRPr="00D1078F" w:rsidRDefault="00C422CE" w:rsidP="00D703C9">
            <w:pPr>
              <w:pStyle w:val="Tabletext"/>
              <w:keepNext/>
              <w:jc w:val="center"/>
              <w:rPr>
                <w:b/>
              </w:rPr>
            </w:pPr>
            <w:r w:rsidRPr="00D1078F">
              <w:rPr>
                <w:b/>
              </w:rPr>
              <w:t>Year 5</w:t>
            </w:r>
          </w:p>
        </w:tc>
        <w:tc>
          <w:tcPr>
            <w:tcW w:w="635" w:type="pct"/>
          </w:tcPr>
          <w:p w:rsidR="00C422CE" w:rsidRPr="00D1078F" w:rsidRDefault="00C422CE" w:rsidP="00D703C9">
            <w:pPr>
              <w:pStyle w:val="Tabletext"/>
              <w:keepNext/>
              <w:jc w:val="center"/>
              <w:rPr>
                <w:b/>
              </w:rPr>
            </w:pPr>
            <w:r w:rsidRPr="00D1078F">
              <w:rPr>
                <w:b/>
              </w:rPr>
              <w:t>Year 6</w:t>
            </w:r>
          </w:p>
        </w:tc>
      </w:tr>
      <w:tr w:rsidR="00C422CE" w:rsidRPr="00D1078F" w:rsidTr="004B097F">
        <w:tc>
          <w:tcPr>
            <w:tcW w:w="5000" w:type="pct"/>
            <w:gridSpan w:val="7"/>
            <w:shd w:val="clear" w:color="auto" w:fill="auto"/>
            <w:vAlign w:val="center"/>
          </w:tcPr>
          <w:p w:rsidR="00C422CE" w:rsidRPr="00D1078F" w:rsidRDefault="00C422CE" w:rsidP="00D703C9">
            <w:pPr>
              <w:pStyle w:val="Tabletext"/>
              <w:keepNext/>
              <w:rPr>
                <w:b/>
                <w:bCs/>
                <w:color w:val="000000"/>
              </w:rPr>
            </w:pPr>
            <w:r w:rsidRPr="00D1078F">
              <w:rPr>
                <w:b/>
                <w:bCs/>
                <w:color w:val="000000"/>
              </w:rPr>
              <w:t>Estimated extent of use</w:t>
            </w:r>
            <w:r>
              <w:rPr>
                <w:b/>
                <w:bCs/>
                <w:color w:val="000000"/>
              </w:rPr>
              <w:t xml:space="preserve"> of NIVO+IPI</w:t>
            </w:r>
          </w:p>
        </w:tc>
      </w:tr>
      <w:tr w:rsidR="00C422CE" w:rsidRPr="003639A6" w:rsidTr="004B097F">
        <w:tc>
          <w:tcPr>
            <w:tcW w:w="1179" w:type="pct"/>
            <w:shd w:val="clear" w:color="auto" w:fill="auto"/>
            <w:vAlign w:val="center"/>
          </w:tcPr>
          <w:p w:rsidR="00C422CE" w:rsidRPr="003639A6" w:rsidRDefault="00C422CE" w:rsidP="00D703C9">
            <w:pPr>
              <w:pStyle w:val="Tabletext"/>
              <w:keepNext/>
              <w:rPr>
                <w:rFonts w:ascii="Times" w:hAnsi="Times"/>
              </w:rPr>
            </w:pPr>
            <w:r w:rsidRPr="003639A6">
              <w:t>Number of patients treated</w:t>
            </w:r>
          </w:p>
        </w:tc>
        <w:tc>
          <w:tcPr>
            <w:tcW w:w="638" w:type="pct"/>
            <w:shd w:val="clear" w:color="auto" w:fill="auto"/>
            <w:vAlign w:val="center"/>
          </w:tcPr>
          <w:p w:rsidR="00C422CE" w:rsidRPr="00970704" w:rsidRDefault="00E94B3A" w:rsidP="00D703C9">
            <w:pPr>
              <w:pStyle w:val="Tabletext"/>
              <w:keepNext/>
              <w:jc w:val="center"/>
              <w:rPr>
                <w:bCs/>
                <w:color w:val="000000"/>
                <w:vertAlign w:val="superscript"/>
              </w:rPr>
            </w:pPr>
            <w:r>
              <w:rPr>
                <w:rFonts w:cs="Arial"/>
                <w:bCs/>
                <w:noProof/>
                <w:color w:val="000000"/>
                <w:highlight w:val="black"/>
              </w:rPr>
              <w:t>'''''''''''''</w:t>
            </w:r>
            <w:r w:rsidR="00C422CE">
              <w:rPr>
                <w:rFonts w:cs="Arial"/>
                <w:bCs/>
                <w:color w:val="000000"/>
                <w:vertAlign w:val="superscript"/>
              </w:rPr>
              <w:t>a</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bCs/>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bCs/>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bCs/>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bCs/>
                <w:noProof/>
                <w:color w:val="000000"/>
                <w:highlight w:val="black"/>
              </w:rPr>
              <w:t>''''''''</w:t>
            </w:r>
          </w:p>
        </w:tc>
        <w:tc>
          <w:tcPr>
            <w:tcW w:w="635" w:type="pct"/>
            <w:vAlign w:val="center"/>
          </w:tcPr>
          <w:p w:rsidR="00C422CE" w:rsidRPr="00E94B3A" w:rsidRDefault="00E94B3A" w:rsidP="00D703C9">
            <w:pPr>
              <w:pStyle w:val="Tabletext"/>
              <w:keepNext/>
              <w:jc w:val="center"/>
              <w:rPr>
                <w:bCs/>
                <w:color w:val="000000"/>
                <w:highlight w:val="black"/>
              </w:rPr>
            </w:pPr>
            <w:r>
              <w:rPr>
                <w:rFonts w:cs="Arial"/>
                <w:bCs/>
                <w:noProof/>
                <w:color w:val="000000"/>
                <w:highlight w:val="black"/>
              </w:rPr>
              <w:t>''''''''''</w:t>
            </w:r>
          </w:p>
        </w:tc>
      </w:tr>
      <w:tr w:rsidR="00C422CE" w:rsidRPr="003639A6" w:rsidTr="004B097F">
        <w:tc>
          <w:tcPr>
            <w:tcW w:w="1179" w:type="pct"/>
            <w:shd w:val="clear" w:color="auto" w:fill="auto"/>
            <w:vAlign w:val="center"/>
          </w:tcPr>
          <w:p w:rsidR="00C422CE" w:rsidRPr="003639A6" w:rsidRDefault="00C422CE" w:rsidP="00D703C9">
            <w:pPr>
              <w:pStyle w:val="Tabletext"/>
              <w:keepNext/>
              <w:rPr>
                <w:rFonts w:ascii="Times" w:hAnsi="Times"/>
              </w:rPr>
            </w:pPr>
            <w:r w:rsidRPr="003639A6">
              <w:t xml:space="preserve">Number of </w:t>
            </w:r>
            <w:proofErr w:type="spellStart"/>
            <w:r>
              <w:t>infusions</w:t>
            </w:r>
            <w:r w:rsidRPr="003639A6">
              <w:rPr>
                <w:vertAlign w:val="superscript"/>
              </w:rPr>
              <w:t>a</w:t>
            </w:r>
            <w:proofErr w:type="spellEnd"/>
          </w:p>
        </w:tc>
        <w:tc>
          <w:tcPr>
            <w:tcW w:w="638" w:type="pct"/>
            <w:shd w:val="clear" w:color="auto" w:fill="auto"/>
            <w:vAlign w:val="center"/>
          </w:tcPr>
          <w:p w:rsidR="00C422CE" w:rsidRPr="003639A6" w:rsidRDefault="00C422CE" w:rsidP="00D703C9">
            <w:pPr>
              <w:pStyle w:val="Tabletext"/>
              <w:keepNext/>
              <w:jc w:val="center"/>
              <w:rPr>
                <w:bCs/>
                <w:color w:val="000000"/>
              </w:rPr>
            </w:pPr>
          </w:p>
        </w:tc>
        <w:tc>
          <w:tcPr>
            <w:tcW w:w="637" w:type="pct"/>
            <w:shd w:val="clear" w:color="auto" w:fill="auto"/>
            <w:vAlign w:val="center"/>
          </w:tcPr>
          <w:p w:rsidR="00C422CE" w:rsidRPr="003639A6" w:rsidRDefault="00C422CE" w:rsidP="00D703C9">
            <w:pPr>
              <w:pStyle w:val="Tabletext"/>
              <w:keepNext/>
              <w:jc w:val="center"/>
              <w:rPr>
                <w:bCs/>
                <w:color w:val="000000"/>
              </w:rPr>
            </w:pPr>
          </w:p>
        </w:tc>
        <w:tc>
          <w:tcPr>
            <w:tcW w:w="637" w:type="pct"/>
            <w:shd w:val="clear" w:color="auto" w:fill="auto"/>
            <w:vAlign w:val="center"/>
          </w:tcPr>
          <w:p w:rsidR="00C422CE" w:rsidRPr="003639A6" w:rsidRDefault="00C422CE" w:rsidP="00D703C9">
            <w:pPr>
              <w:pStyle w:val="Tabletext"/>
              <w:keepNext/>
              <w:jc w:val="center"/>
              <w:rPr>
                <w:bCs/>
                <w:color w:val="000000"/>
              </w:rPr>
            </w:pPr>
          </w:p>
        </w:tc>
        <w:tc>
          <w:tcPr>
            <w:tcW w:w="637" w:type="pct"/>
            <w:shd w:val="clear" w:color="auto" w:fill="auto"/>
            <w:vAlign w:val="center"/>
          </w:tcPr>
          <w:p w:rsidR="00C422CE" w:rsidRPr="003639A6" w:rsidRDefault="00C422CE" w:rsidP="00D703C9">
            <w:pPr>
              <w:pStyle w:val="Tabletext"/>
              <w:keepNext/>
              <w:jc w:val="center"/>
              <w:rPr>
                <w:bCs/>
                <w:color w:val="000000"/>
              </w:rPr>
            </w:pPr>
          </w:p>
        </w:tc>
        <w:tc>
          <w:tcPr>
            <w:tcW w:w="637" w:type="pct"/>
            <w:shd w:val="clear" w:color="auto" w:fill="auto"/>
            <w:vAlign w:val="center"/>
          </w:tcPr>
          <w:p w:rsidR="00C422CE" w:rsidRPr="003639A6" w:rsidRDefault="00C422CE" w:rsidP="00D703C9">
            <w:pPr>
              <w:pStyle w:val="Tabletext"/>
              <w:keepNext/>
              <w:jc w:val="center"/>
              <w:rPr>
                <w:bCs/>
                <w:color w:val="000000"/>
              </w:rPr>
            </w:pPr>
          </w:p>
        </w:tc>
        <w:tc>
          <w:tcPr>
            <w:tcW w:w="635" w:type="pct"/>
          </w:tcPr>
          <w:p w:rsidR="00C422CE" w:rsidRPr="003639A6" w:rsidRDefault="00C422CE" w:rsidP="00D703C9">
            <w:pPr>
              <w:pStyle w:val="Tabletext"/>
              <w:keepNext/>
              <w:jc w:val="center"/>
              <w:rPr>
                <w:bCs/>
                <w:color w:val="000000"/>
              </w:rPr>
            </w:pPr>
          </w:p>
        </w:tc>
      </w:tr>
      <w:tr w:rsidR="00C422CE" w:rsidRPr="003639A6" w:rsidTr="004B097F">
        <w:tc>
          <w:tcPr>
            <w:tcW w:w="1179" w:type="pct"/>
            <w:shd w:val="clear" w:color="auto" w:fill="auto"/>
            <w:vAlign w:val="center"/>
          </w:tcPr>
          <w:p w:rsidR="00C422CE" w:rsidRPr="003639A6" w:rsidRDefault="00C422CE" w:rsidP="00D703C9">
            <w:pPr>
              <w:pStyle w:val="Tabletext"/>
              <w:keepNext/>
              <w:ind w:left="142"/>
            </w:pPr>
            <w:r>
              <w:t>Induction phase</w:t>
            </w:r>
          </w:p>
        </w:tc>
        <w:tc>
          <w:tcPr>
            <w:tcW w:w="638"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5" w:type="pct"/>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r>
      <w:tr w:rsidR="00C422CE" w:rsidRPr="003639A6" w:rsidTr="004B097F">
        <w:tc>
          <w:tcPr>
            <w:tcW w:w="1179" w:type="pct"/>
            <w:shd w:val="clear" w:color="auto" w:fill="auto"/>
            <w:vAlign w:val="center"/>
          </w:tcPr>
          <w:p w:rsidR="00C422CE" w:rsidRPr="003639A6" w:rsidRDefault="00C422CE" w:rsidP="00D703C9">
            <w:pPr>
              <w:pStyle w:val="Tabletext"/>
              <w:keepNext/>
              <w:ind w:left="142"/>
            </w:pPr>
            <w:r>
              <w:t>Maintenance phase</w:t>
            </w:r>
          </w:p>
        </w:tc>
        <w:tc>
          <w:tcPr>
            <w:tcW w:w="638"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7" w:type="pct"/>
            <w:shd w:val="clear" w:color="auto" w:fill="auto"/>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c>
          <w:tcPr>
            <w:tcW w:w="635" w:type="pct"/>
            <w:vAlign w:val="center"/>
          </w:tcPr>
          <w:p w:rsidR="00C422CE" w:rsidRPr="00E94B3A" w:rsidRDefault="00E94B3A" w:rsidP="00D703C9">
            <w:pPr>
              <w:pStyle w:val="Tabletext"/>
              <w:keepNext/>
              <w:jc w:val="center"/>
              <w:rPr>
                <w:bCs/>
                <w:color w:val="000000"/>
                <w:highlight w:val="black"/>
              </w:rPr>
            </w:pPr>
            <w:r>
              <w:rPr>
                <w:rFonts w:cs="Arial"/>
                <w:noProof/>
                <w:color w:val="000000"/>
                <w:highlight w:val="black"/>
              </w:rPr>
              <w:t>'''''''''''''''</w:t>
            </w:r>
          </w:p>
        </w:tc>
      </w:tr>
      <w:tr w:rsidR="00C422CE" w:rsidRPr="00D1078F" w:rsidTr="004B097F">
        <w:tc>
          <w:tcPr>
            <w:tcW w:w="5000" w:type="pct"/>
            <w:gridSpan w:val="7"/>
            <w:shd w:val="clear" w:color="auto" w:fill="auto"/>
            <w:vAlign w:val="center"/>
          </w:tcPr>
          <w:p w:rsidR="00C422CE" w:rsidRPr="00D1078F" w:rsidRDefault="00C422CE" w:rsidP="00D703C9">
            <w:pPr>
              <w:pStyle w:val="Tabletext"/>
              <w:keepNext/>
              <w:rPr>
                <w:b/>
                <w:bCs/>
                <w:color w:val="000000"/>
              </w:rPr>
            </w:pPr>
            <w:r w:rsidRPr="00D1078F">
              <w:rPr>
                <w:b/>
                <w:bCs/>
                <w:color w:val="000000"/>
              </w:rPr>
              <w:t xml:space="preserve">Estimated </w:t>
            </w:r>
            <w:r>
              <w:rPr>
                <w:b/>
                <w:bCs/>
                <w:color w:val="000000"/>
              </w:rPr>
              <w:t>financial implications of NIVO+IPI</w:t>
            </w:r>
          </w:p>
        </w:tc>
      </w:tr>
      <w:tr w:rsidR="00C422CE" w:rsidRPr="003639A6" w:rsidTr="004B097F">
        <w:tc>
          <w:tcPr>
            <w:tcW w:w="1179" w:type="pct"/>
            <w:shd w:val="clear" w:color="auto" w:fill="auto"/>
            <w:vAlign w:val="center"/>
          </w:tcPr>
          <w:p w:rsidR="00C422CE" w:rsidRPr="003639A6" w:rsidRDefault="00C422CE" w:rsidP="00D703C9">
            <w:pPr>
              <w:pStyle w:val="Tabletext"/>
              <w:keepNext/>
              <w:rPr>
                <w:rFonts w:ascii="Times" w:hAnsi="Times"/>
              </w:rPr>
            </w:pPr>
            <w:r>
              <w:rPr>
                <w:sz w:val="19"/>
                <w:szCs w:val="19"/>
              </w:rPr>
              <w:t>C</w:t>
            </w:r>
            <w:r w:rsidRPr="003639A6">
              <w:rPr>
                <w:sz w:val="19"/>
                <w:szCs w:val="19"/>
              </w:rPr>
              <w:t>ost to PBS/RPBS</w:t>
            </w:r>
          </w:p>
        </w:tc>
        <w:tc>
          <w:tcPr>
            <w:tcW w:w="638"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5" w:type="pct"/>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r>
      <w:tr w:rsidR="00C422CE" w:rsidRPr="003639A6" w:rsidTr="004B097F">
        <w:tc>
          <w:tcPr>
            <w:tcW w:w="1179" w:type="pct"/>
            <w:shd w:val="clear" w:color="auto" w:fill="auto"/>
            <w:vAlign w:val="center"/>
          </w:tcPr>
          <w:p w:rsidR="00C422CE" w:rsidRDefault="00C422CE" w:rsidP="00D703C9">
            <w:pPr>
              <w:pStyle w:val="Tabletext"/>
              <w:keepNext/>
              <w:rPr>
                <w:sz w:val="19"/>
                <w:szCs w:val="19"/>
              </w:rPr>
            </w:pPr>
            <w:proofErr w:type="spellStart"/>
            <w:r>
              <w:rPr>
                <w:sz w:val="19"/>
                <w:szCs w:val="19"/>
              </w:rPr>
              <w:t>Copayments</w:t>
            </w:r>
            <w:proofErr w:type="spellEnd"/>
          </w:p>
        </w:tc>
        <w:tc>
          <w:tcPr>
            <w:tcW w:w="638"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5" w:type="pct"/>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r>
      <w:tr w:rsidR="00C422CE" w:rsidRPr="003639A6" w:rsidTr="004B097F">
        <w:tc>
          <w:tcPr>
            <w:tcW w:w="1179" w:type="pct"/>
            <w:shd w:val="clear" w:color="auto" w:fill="auto"/>
            <w:vAlign w:val="center"/>
          </w:tcPr>
          <w:p w:rsidR="00C422CE" w:rsidRDefault="00C422CE" w:rsidP="00D703C9">
            <w:pPr>
              <w:pStyle w:val="Tabletext"/>
              <w:keepNext/>
              <w:rPr>
                <w:sz w:val="19"/>
                <w:szCs w:val="19"/>
              </w:rPr>
            </w:pPr>
            <w:r>
              <w:rPr>
                <w:sz w:val="19"/>
                <w:szCs w:val="19"/>
              </w:rPr>
              <w:t xml:space="preserve">Cost to PBS/RPBS less </w:t>
            </w:r>
            <w:proofErr w:type="spellStart"/>
            <w:r>
              <w:rPr>
                <w:sz w:val="19"/>
                <w:szCs w:val="19"/>
              </w:rPr>
              <w:t>copayments</w:t>
            </w:r>
            <w:proofErr w:type="spellEnd"/>
          </w:p>
        </w:tc>
        <w:tc>
          <w:tcPr>
            <w:tcW w:w="638"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5" w:type="pct"/>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r>
      <w:tr w:rsidR="00C422CE" w:rsidRPr="003639A6" w:rsidTr="004B097F">
        <w:tc>
          <w:tcPr>
            <w:tcW w:w="5000" w:type="pct"/>
            <w:gridSpan w:val="7"/>
            <w:tcBorders>
              <w:bottom w:val="single" w:sz="4" w:space="0" w:color="auto"/>
            </w:tcBorders>
            <w:shd w:val="clear" w:color="auto" w:fill="auto"/>
            <w:vAlign w:val="center"/>
          </w:tcPr>
          <w:p w:rsidR="00C422CE" w:rsidRPr="003639A6" w:rsidRDefault="00C422CE" w:rsidP="00D703C9">
            <w:pPr>
              <w:pStyle w:val="Tabletext"/>
              <w:keepNext/>
              <w:rPr>
                <w:bCs/>
                <w:color w:val="000000"/>
              </w:rPr>
            </w:pPr>
            <w:r w:rsidRPr="00D1078F">
              <w:rPr>
                <w:b/>
                <w:bCs/>
                <w:color w:val="000000"/>
              </w:rPr>
              <w:t xml:space="preserve">Estimated </w:t>
            </w:r>
            <w:r>
              <w:rPr>
                <w:b/>
                <w:bCs/>
                <w:color w:val="000000"/>
              </w:rPr>
              <w:t xml:space="preserve">financial implications for </w:t>
            </w:r>
            <w:proofErr w:type="spellStart"/>
            <w:r>
              <w:rPr>
                <w:b/>
                <w:bCs/>
                <w:color w:val="000000"/>
              </w:rPr>
              <w:t>nivolumab</w:t>
            </w:r>
            <w:proofErr w:type="spellEnd"/>
            <w:r>
              <w:rPr>
                <w:b/>
                <w:bCs/>
                <w:color w:val="000000"/>
              </w:rPr>
              <w:t xml:space="preserve"> monotherapy, </w:t>
            </w:r>
            <w:proofErr w:type="spellStart"/>
            <w:r>
              <w:rPr>
                <w:b/>
                <w:bCs/>
                <w:color w:val="000000"/>
              </w:rPr>
              <w:t>ipilimumab</w:t>
            </w:r>
            <w:proofErr w:type="spellEnd"/>
            <w:r>
              <w:rPr>
                <w:b/>
                <w:bCs/>
                <w:color w:val="000000"/>
              </w:rPr>
              <w:t xml:space="preserve"> monotherapy and chemotherapy</w:t>
            </w:r>
          </w:p>
        </w:tc>
      </w:tr>
      <w:tr w:rsidR="00C422CE" w:rsidRPr="003639A6" w:rsidTr="004B097F">
        <w:tc>
          <w:tcPr>
            <w:tcW w:w="1179" w:type="pct"/>
            <w:tcBorders>
              <w:bottom w:val="nil"/>
            </w:tcBorders>
            <w:shd w:val="clear" w:color="auto" w:fill="auto"/>
            <w:vAlign w:val="center"/>
          </w:tcPr>
          <w:p w:rsidR="00C422CE" w:rsidRDefault="00C422CE" w:rsidP="00D703C9">
            <w:pPr>
              <w:pStyle w:val="Tabletext"/>
              <w:keepNext/>
              <w:rPr>
                <w:sz w:val="19"/>
                <w:szCs w:val="19"/>
              </w:rPr>
            </w:pPr>
            <w:r>
              <w:rPr>
                <w:sz w:val="19"/>
                <w:szCs w:val="19"/>
              </w:rPr>
              <w:t>C</w:t>
            </w:r>
            <w:r w:rsidRPr="003639A6">
              <w:rPr>
                <w:sz w:val="19"/>
                <w:szCs w:val="19"/>
              </w:rPr>
              <w:t>ost to PBS/RPBS</w:t>
            </w:r>
          </w:p>
        </w:tc>
        <w:tc>
          <w:tcPr>
            <w:tcW w:w="638"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5" w:type="pct"/>
            <w:tcBorders>
              <w:bottom w:val="nil"/>
            </w:tcBorders>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r>
      <w:tr w:rsidR="00C422CE" w:rsidRPr="003639A6" w:rsidTr="004B097F">
        <w:tc>
          <w:tcPr>
            <w:tcW w:w="1179" w:type="pct"/>
            <w:tcBorders>
              <w:top w:val="nil"/>
              <w:bottom w:val="single" w:sz="4" w:space="0" w:color="auto"/>
            </w:tcBorders>
            <w:shd w:val="clear" w:color="auto" w:fill="auto"/>
            <w:vAlign w:val="center"/>
          </w:tcPr>
          <w:p w:rsidR="00C422CE" w:rsidRDefault="00C422CE" w:rsidP="00D703C9">
            <w:pPr>
              <w:pStyle w:val="Tabletext"/>
              <w:keepNext/>
              <w:rPr>
                <w:sz w:val="19"/>
                <w:szCs w:val="19"/>
              </w:rPr>
            </w:pPr>
            <w:proofErr w:type="spellStart"/>
            <w:r>
              <w:rPr>
                <w:i/>
              </w:rPr>
              <w:t>Corrected</w:t>
            </w:r>
            <w:r>
              <w:rPr>
                <w:i/>
                <w:vertAlign w:val="superscript"/>
              </w:rPr>
              <w:t>c</w:t>
            </w:r>
            <w:proofErr w:type="spellEnd"/>
          </w:p>
        </w:tc>
        <w:tc>
          <w:tcPr>
            <w:tcW w:w="638"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5" w:type="pct"/>
            <w:tcBorders>
              <w:top w:val="nil"/>
              <w:bottom w:val="single" w:sz="4" w:space="0" w:color="auto"/>
            </w:tcBorders>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r>
      <w:tr w:rsidR="00C422CE" w:rsidRPr="003639A6" w:rsidTr="004B097F">
        <w:tc>
          <w:tcPr>
            <w:tcW w:w="1179" w:type="pct"/>
            <w:tcBorders>
              <w:bottom w:val="nil"/>
            </w:tcBorders>
            <w:shd w:val="clear" w:color="auto" w:fill="auto"/>
            <w:vAlign w:val="center"/>
          </w:tcPr>
          <w:p w:rsidR="00C422CE" w:rsidRDefault="00C422CE" w:rsidP="00D703C9">
            <w:pPr>
              <w:pStyle w:val="Tabletext"/>
              <w:keepNext/>
              <w:rPr>
                <w:sz w:val="19"/>
                <w:szCs w:val="19"/>
              </w:rPr>
            </w:pPr>
            <w:proofErr w:type="spellStart"/>
            <w:r>
              <w:rPr>
                <w:sz w:val="19"/>
                <w:szCs w:val="19"/>
              </w:rPr>
              <w:t>Copayments</w:t>
            </w:r>
            <w:proofErr w:type="spellEnd"/>
          </w:p>
        </w:tc>
        <w:tc>
          <w:tcPr>
            <w:tcW w:w="638"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c>
          <w:tcPr>
            <w:tcW w:w="635" w:type="pct"/>
            <w:tcBorders>
              <w:bottom w:val="nil"/>
            </w:tcBorders>
            <w:vAlign w:val="center"/>
          </w:tcPr>
          <w:p w:rsidR="00C422CE" w:rsidRPr="000506C4" w:rsidRDefault="00C422CE" w:rsidP="00D703C9">
            <w:pPr>
              <w:pStyle w:val="Tabletext"/>
              <w:keepNext/>
              <w:ind w:right="7"/>
              <w:jc w:val="right"/>
              <w:rPr>
                <w:rFonts w:cs="Arial"/>
              </w:rPr>
            </w:pPr>
            <w:r w:rsidRPr="003B30E9">
              <w:rPr>
                <w:rFonts w:cs="Arial"/>
              </w:rPr>
              <w:t>$</w:t>
            </w:r>
            <w:r w:rsidR="00E94B3A">
              <w:rPr>
                <w:rFonts w:cs="Arial"/>
                <w:noProof/>
                <w:color w:val="000000"/>
                <w:highlight w:val="black"/>
              </w:rPr>
              <w:t>'''''''''''''''''</w:t>
            </w:r>
          </w:p>
        </w:tc>
      </w:tr>
      <w:tr w:rsidR="00C422CE" w:rsidRPr="003639A6" w:rsidTr="004B097F">
        <w:tc>
          <w:tcPr>
            <w:tcW w:w="1179" w:type="pct"/>
            <w:tcBorders>
              <w:top w:val="nil"/>
              <w:bottom w:val="single" w:sz="4" w:space="0" w:color="auto"/>
            </w:tcBorders>
            <w:shd w:val="clear" w:color="auto" w:fill="auto"/>
            <w:vAlign w:val="center"/>
          </w:tcPr>
          <w:p w:rsidR="00C422CE" w:rsidRDefault="00C422CE" w:rsidP="00D703C9">
            <w:pPr>
              <w:pStyle w:val="Tabletext"/>
              <w:keepNext/>
              <w:rPr>
                <w:sz w:val="19"/>
                <w:szCs w:val="19"/>
              </w:rPr>
            </w:pPr>
            <w:proofErr w:type="spellStart"/>
            <w:r>
              <w:rPr>
                <w:i/>
              </w:rPr>
              <w:t>Corrected</w:t>
            </w:r>
            <w:r>
              <w:rPr>
                <w:i/>
                <w:vertAlign w:val="superscript"/>
              </w:rPr>
              <w:t>c</w:t>
            </w:r>
            <w:proofErr w:type="spellEnd"/>
          </w:p>
        </w:tc>
        <w:tc>
          <w:tcPr>
            <w:tcW w:w="638"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5" w:type="pct"/>
            <w:tcBorders>
              <w:top w:val="nil"/>
              <w:bottom w:val="single" w:sz="4" w:space="0" w:color="auto"/>
            </w:tcBorders>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r>
      <w:tr w:rsidR="00C422CE" w:rsidRPr="003639A6" w:rsidTr="004B097F">
        <w:tc>
          <w:tcPr>
            <w:tcW w:w="1179" w:type="pct"/>
            <w:tcBorders>
              <w:bottom w:val="nil"/>
            </w:tcBorders>
            <w:shd w:val="clear" w:color="auto" w:fill="auto"/>
            <w:vAlign w:val="center"/>
          </w:tcPr>
          <w:p w:rsidR="00C422CE" w:rsidRDefault="00C422CE" w:rsidP="00D703C9">
            <w:pPr>
              <w:pStyle w:val="Tabletext"/>
              <w:keepNext/>
              <w:rPr>
                <w:sz w:val="19"/>
                <w:szCs w:val="19"/>
              </w:rPr>
            </w:pPr>
            <w:r>
              <w:rPr>
                <w:sz w:val="19"/>
                <w:szCs w:val="19"/>
              </w:rPr>
              <w:t xml:space="preserve">Cost to PBS/RPBS less </w:t>
            </w:r>
            <w:proofErr w:type="spellStart"/>
            <w:r>
              <w:rPr>
                <w:sz w:val="19"/>
                <w:szCs w:val="19"/>
              </w:rPr>
              <w:t>copayments</w:t>
            </w:r>
            <w:proofErr w:type="spellEnd"/>
          </w:p>
        </w:tc>
        <w:tc>
          <w:tcPr>
            <w:tcW w:w="638"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c>
          <w:tcPr>
            <w:tcW w:w="635" w:type="pct"/>
            <w:tcBorders>
              <w:bottom w:val="nil"/>
            </w:tcBorders>
            <w:vAlign w:val="center"/>
          </w:tcPr>
          <w:p w:rsidR="00C422CE" w:rsidRPr="000506C4" w:rsidRDefault="00C422CE" w:rsidP="00D703C9">
            <w:pPr>
              <w:pStyle w:val="Tabletext"/>
              <w:keepNext/>
              <w:ind w:right="7"/>
              <w:jc w:val="right"/>
              <w:rPr>
                <w:rFonts w:cs="Arial"/>
              </w:rPr>
            </w:pPr>
            <w:r w:rsidRPr="002C5706">
              <w:rPr>
                <w:rFonts w:cs="Arial"/>
              </w:rPr>
              <w:t>$</w:t>
            </w:r>
            <w:r w:rsidR="00E94B3A">
              <w:rPr>
                <w:rFonts w:cs="Arial"/>
                <w:noProof/>
                <w:color w:val="000000"/>
                <w:highlight w:val="black"/>
              </w:rPr>
              <w:t>'''''''''''''''''''''''''''</w:t>
            </w:r>
          </w:p>
        </w:tc>
      </w:tr>
      <w:tr w:rsidR="00C422CE" w:rsidRPr="003639A6" w:rsidTr="004B097F">
        <w:tc>
          <w:tcPr>
            <w:tcW w:w="1179" w:type="pct"/>
            <w:tcBorders>
              <w:top w:val="nil"/>
            </w:tcBorders>
            <w:shd w:val="clear" w:color="auto" w:fill="auto"/>
            <w:vAlign w:val="center"/>
          </w:tcPr>
          <w:p w:rsidR="00C422CE" w:rsidRDefault="00C422CE" w:rsidP="00D703C9">
            <w:pPr>
              <w:pStyle w:val="Tabletext"/>
              <w:keepNext/>
              <w:rPr>
                <w:sz w:val="19"/>
                <w:szCs w:val="19"/>
              </w:rPr>
            </w:pPr>
            <w:proofErr w:type="spellStart"/>
            <w:r>
              <w:rPr>
                <w:i/>
              </w:rPr>
              <w:t>Corrected</w:t>
            </w:r>
            <w:r>
              <w:rPr>
                <w:i/>
                <w:vertAlign w:val="superscript"/>
              </w:rPr>
              <w:t>c</w:t>
            </w:r>
            <w:proofErr w:type="spellEnd"/>
          </w:p>
        </w:tc>
        <w:tc>
          <w:tcPr>
            <w:tcW w:w="638"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5" w:type="pct"/>
            <w:tcBorders>
              <w:top w:val="nil"/>
            </w:tcBorders>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r>
      <w:tr w:rsidR="00C422CE" w:rsidRPr="00FC22AB" w:rsidTr="004B097F">
        <w:tc>
          <w:tcPr>
            <w:tcW w:w="5000" w:type="pct"/>
            <w:gridSpan w:val="7"/>
            <w:tcBorders>
              <w:bottom w:val="single" w:sz="4" w:space="0" w:color="auto"/>
            </w:tcBorders>
            <w:shd w:val="clear" w:color="auto" w:fill="auto"/>
            <w:vAlign w:val="center"/>
          </w:tcPr>
          <w:p w:rsidR="00C422CE" w:rsidRPr="00FC22AB" w:rsidRDefault="00C422CE" w:rsidP="00D703C9">
            <w:pPr>
              <w:pStyle w:val="Tabletext"/>
              <w:keepNext/>
              <w:rPr>
                <w:b/>
                <w:bCs/>
                <w:color w:val="000000"/>
              </w:rPr>
            </w:pPr>
            <w:r w:rsidRPr="00FC22AB">
              <w:rPr>
                <w:b/>
                <w:bCs/>
                <w:color w:val="000000"/>
              </w:rPr>
              <w:t xml:space="preserve">Net financial </w:t>
            </w:r>
            <w:r w:rsidRPr="000325E6">
              <w:rPr>
                <w:b/>
                <w:bCs/>
                <w:color w:val="000000" w:themeColor="text1"/>
              </w:rPr>
              <w:t>implications to the Australian Government</w:t>
            </w:r>
          </w:p>
        </w:tc>
      </w:tr>
      <w:tr w:rsidR="00C422CE" w:rsidRPr="003639A6" w:rsidTr="004B097F">
        <w:tc>
          <w:tcPr>
            <w:tcW w:w="1179" w:type="pct"/>
            <w:tcBorders>
              <w:bottom w:val="nil"/>
            </w:tcBorders>
            <w:shd w:val="clear" w:color="auto" w:fill="auto"/>
            <w:vAlign w:val="center"/>
          </w:tcPr>
          <w:p w:rsidR="00C422CE" w:rsidRDefault="00C422CE" w:rsidP="00D703C9">
            <w:pPr>
              <w:pStyle w:val="Tabletext"/>
              <w:keepNext/>
              <w:rPr>
                <w:sz w:val="19"/>
                <w:szCs w:val="19"/>
              </w:rPr>
            </w:pPr>
            <w:r>
              <w:rPr>
                <w:sz w:val="19"/>
                <w:szCs w:val="19"/>
              </w:rPr>
              <w:t>Net cost to PBS/RPBS</w:t>
            </w:r>
          </w:p>
        </w:tc>
        <w:tc>
          <w:tcPr>
            <w:tcW w:w="638" w:type="pct"/>
            <w:tcBorders>
              <w:bottom w:val="nil"/>
            </w:tcBorders>
            <w:shd w:val="clear" w:color="auto" w:fill="auto"/>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c>
          <w:tcPr>
            <w:tcW w:w="635" w:type="pct"/>
            <w:tcBorders>
              <w:bottom w:val="nil"/>
            </w:tcBorders>
            <w:vAlign w:val="center"/>
          </w:tcPr>
          <w:p w:rsidR="00C422CE" w:rsidRPr="000D7884" w:rsidRDefault="00C422CE" w:rsidP="00D703C9">
            <w:pPr>
              <w:pStyle w:val="Tabletext"/>
              <w:keepNext/>
              <w:ind w:right="7"/>
              <w:jc w:val="right"/>
              <w:rPr>
                <w:rFonts w:cs="Arial"/>
              </w:rPr>
            </w:pPr>
            <w:r w:rsidRPr="000D7884">
              <w:rPr>
                <w:rFonts w:cs="Arial"/>
              </w:rPr>
              <w:t>$</w:t>
            </w:r>
            <w:r w:rsidR="00E94B3A">
              <w:rPr>
                <w:rFonts w:cs="Arial"/>
                <w:noProof/>
                <w:color w:val="000000"/>
                <w:highlight w:val="black"/>
              </w:rPr>
              <w:t>'''''''''''''''''''''''''</w:t>
            </w:r>
          </w:p>
        </w:tc>
      </w:tr>
      <w:tr w:rsidR="00C422CE" w:rsidRPr="003639A6" w:rsidTr="004B097F">
        <w:tc>
          <w:tcPr>
            <w:tcW w:w="1179" w:type="pct"/>
            <w:tcBorders>
              <w:top w:val="nil"/>
            </w:tcBorders>
            <w:shd w:val="clear" w:color="auto" w:fill="auto"/>
            <w:vAlign w:val="center"/>
          </w:tcPr>
          <w:p w:rsidR="00C422CE" w:rsidRDefault="00C422CE" w:rsidP="00D703C9">
            <w:pPr>
              <w:pStyle w:val="Tabletext"/>
              <w:keepNext/>
              <w:rPr>
                <w:sz w:val="19"/>
                <w:szCs w:val="19"/>
              </w:rPr>
            </w:pPr>
            <w:proofErr w:type="spellStart"/>
            <w:r>
              <w:rPr>
                <w:i/>
              </w:rPr>
              <w:t>Corrected</w:t>
            </w:r>
            <w:r>
              <w:rPr>
                <w:i/>
                <w:vertAlign w:val="superscript"/>
              </w:rPr>
              <w:t>c</w:t>
            </w:r>
            <w:proofErr w:type="spellEnd"/>
          </w:p>
        </w:tc>
        <w:tc>
          <w:tcPr>
            <w:tcW w:w="638"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7" w:type="pct"/>
            <w:tcBorders>
              <w:top w:val="nil"/>
            </w:tcBorders>
            <w:shd w:val="clear" w:color="auto" w:fill="auto"/>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c>
          <w:tcPr>
            <w:tcW w:w="635" w:type="pct"/>
            <w:tcBorders>
              <w:top w:val="nil"/>
            </w:tcBorders>
            <w:vAlign w:val="center"/>
          </w:tcPr>
          <w:p w:rsidR="00C422CE" w:rsidRPr="000506C4" w:rsidRDefault="00C422CE" w:rsidP="00D703C9">
            <w:pPr>
              <w:pStyle w:val="Tabletext"/>
              <w:keepNext/>
              <w:ind w:right="7"/>
              <w:jc w:val="right"/>
              <w:rPr>
                <w:rFonts w:cs="Arial"/>
                <w:i/>
              </w:rPr>
            </w:pPr>
            <w:r w:rsidRPr="000506C4">
              <w:rPr>
                <w:rFonts w:cs="Arial"/>
                <w:i/>
              </w:rPr>
              <w:t>$</w:t>
            </w:r>
            <w:r w:rsidR="00E94B3A">
              <w:rPr>
                <w:rFonts w:cs="Arial"/>
                <w:i/>
                <w:noProof/>
                <w:color w:val="000000"/>
                <w:highlight w:val="black"/>
              </w:rPr>
              <w:t>'''''''''''''''''''''''</w:t>
            </w:r>
          </w:p>
        </w:tc>
      </w:tr>
      <w:tr w:rsidR="00C422CE" w:rsidRPr="003639A6" w:rsidTr="004B097F">
        <w:tc>
          <w:tcPr>
            <w:tcW w:w="1179" w:type="pct"/>
            <w:tcBorders>
              <w:bottom w:val="single" w:sz="4" w:space="0" w:color="auto"/>
            </w:tcBorders>
            <w:shd w:val="clear" w:color="auto" w:fill="auto"/>
            <w:vAlign w:val="center"/>
          </w:tcPr>
          <w:p w:rsidR="00C422CE" w:rsidRPr="00185605" w:rsidRDefault="00C422CE" w:rsidP="00D703C9">
            <w:pPr>
              <w:pStyle w:val="Tabletext"/>
              <w:keepNext/>
              <w:rPr>
                <w:rFonts w:ascii="Times" w:hAnsi="Times"/>
                <w:vertAlign w:val="superscript"/>
              </w:rPr>
            </w:pPr>
            <w:r>
              <w:rPr>
                <w:sz w:val="19"/>
                <w:szCs w:val="19"/>
              </w:rPr>
              <w:t>Net cost to</w:t>
            </w:r>
            <w:r w:rsidRPr="003639A6">
              <w:rPr>
                <w:sz w:val="19"/>
                <w:szCs w:val="19"/>
              </w:rPr>
              <w:t xml:space="preserve"> </w:t>
            </w:r>
            <w:proofErr w:type="spellStart"/>
            <w:r w:rsidRPr="003639A6">
              <w:rPr>
                <w:sz w:val="19"/>
                <w:szCs w:val="19"/>
              </w:rPr>
              <w:t>MBS</w:t>
            </w:r>
            <w:r>
              <w:rPr>
                <w:sz w:val="19"/>
                <w:szCs w:val="19"/>
                <w:vertAlign w:val="superscript"/>
              </w:rPr>
              <w:t>d</w:t>
            </w:r>
            <w:proofErr w:type="spellEnd"/>
          </w:p>
        </w:tc>
        <w:tc>
          <w:tcPr>
            <w:tcW w:w="638" w:type="pct"/>
            <w:tcBorders>
              <w:bottom w:val="single" w:sz="4" w:space="0" w:color="auto"/>
            </w:tcBorders>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tcBorders>
              <w:bottom w:val="single" w:sz="4" w:space="0" w:color="auto"/>
            </w:tcBorders>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tcBorders>
              <w:bottom w:val="single" w:sz="4" w:space="0" w:color="auto"/>
            </w:tcBorders>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tcBorders>
              <w:bottom w:val="single" w:sz="4" w:space="0" w:color="auto"/>
            </w:tcBorders>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7" w:type="pct"/>
            <w:tcBorders>
              <w:bottom w:val="single" w:sz="4" w:space="0" w:color="auto"/>
            </w:tcBorders>
            <w:shd w:val="clear" w:color="auto" w:fill="auto"/>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c>
          <w:tcPr>
            <w:tcW w:w="635" w:type="pct"/>
            <w:tcBorders>
              <w:bottom w:val="single" w:sz="4" w:space="0" w:color="auto"/>
            </w:tcBorders>
            <w:vAlign w:val="center"/>
          </w:tcPr>
          <w:p w:rsidR="00C422CE" w:rsidRPr="00185605" w:rsidRDefault="00C422CE" w:rsidP="00D703C9">
            <w:pPr>
              <w:pStyle w:val="Tabletext"/>
              <w:keepNext/>
              <w:ind w:right="7"/>
              <w:jc w:val="right"/>
              <w:rPr>
                <w:rFonts w:cs="Arial"/>
              </w:rPr>
            </w:pPr>
            <w:r w:rsidRPr="00185605">
              <w:rPr>
                <w:rFonts w:cs="Arial"/>
              </w:rPr>
              <w:t>-$</w:t>
            </w:r>
            <w:r w:rsidR="00E94B3A">
              <w:rPr>
                <w:rFonts w:cs="Arial"/>
                <w:noProof/>
                <w:color w:val="000000"/>
                <w:highlight w:val="black"/>
              </w:rPr>
              <w:t>''''''''''''''''''''''</w:t>
            </w:r>
          </w:p>
        </w:tc>
      </w:tr>
      <w:tr w:rsidR="00C422CE" w:rsidRPr="000506C4" w:rsidTr="004B097F">
        <w:tc>
          <w:tcPr>
            <w:tcW w:w="1179" w:type="pct"/>
            <w:tcBorders>
              <w:bottom w:val="nil"/>
            </w:tcBorders>
            <w:shd w:val="clear" w:color="auto" w:fill="auto"/>
            <w:vAlign w:val="center"/>
          </w:tcPr>
          <w:p w:rsidR="00C422CE" w:rsidRPr="000506C4" w:rsidRDefault="00C422CE" w:rsidP="00D703C9">
            <w:pPr>
              <w:pStyle w:val="Tabletext"/>
              <w:keepNext/>
              <w:rPr>
                <w:b/>
                <w:sz w:val="19"/>
                <w:szCs w:val="19"/>
              </w:rPr>
            </w:pPr>
            <w:r w:rsidRPr="000506C4">
              <w:rPr>
                <w:b/>
                <w:sz w:val="19"/>
                <w:szCs w:val="19"/>
              </w:rPr>
              <w:t>Net cost to PBS/RPBS/MBS</w:t>
            </w:r>
          </w:p>
        </w:tc>
        <w:tc>
          <w:tcPr>
            <w:tcW w:w="638" w:type="pct"/>
            <w:tcBorders>
              <w:bottom w:val="nil"/>
            </w:tcBorders>
            <w:shd w:val="clear" w:color="auto" w:fill="auto"/>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c>
          <w:tcPr>
            <w:tcW w:w="637" w:type="pct"/>
            <w:tcBorders>
              <w:bottom w:val="nil"/>
            </w:tcBorders>
            <w:shd w:val="clear" w:color="auto" w:fill="auto"/>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c>
          <w:tcPr>
            <w:tcW w:w="635" w:type="pct"/>
            <w:tcBorders>
              <w:bottom w:val="nil"/>
            </w:tcBorders>
            <w:vAlign w:val="center"/>
          </w:tcPr>
          <w:p w:rsidR="00C422CE" w:rsidRPr="000D7884" w:rsidRDefault="00C422CE" w:rsidP="00D703C9">
            <w:pPr>
              <w:pStyle w:val="Tabletext"/>
              <w:keepNext/>
              <w:ind w:right="7"/>
              <w:jc w:val="right"/>
              <w:rPr>
                <w:rFonts w:cs="Arial"/>
                <w:b/>
              </w:rPr>
            </w:pPr>
            <w:r w:rsidRPr="000D7884">
              <w:rPr>
                <w:rFonts w:cs="Arial"/>
                <w:b/>
              </w:rPr>
              <w:t>$</w:t>
            </w:r>
            <w:r w:rsidR="00E94B3A">
              <w:rPr>
                <w:rFonts w:cs="Arial"/>
                <w:b/>
                <w:noProof/>
                <w:color w:val="000000"/>
                <w:highlight w:val="black"/>
              </w:rPr>
              <w:t>'''''''''''''''''''</w:t>
            </w:r>
          </w:p>
        </w:tc>
      </w:tr>
      <w:tr w:rsidR="00C422CE" w:rsidRPr="000506C4" w:rsidTr="004B097F">
        <w:tc>
          <w:tcPr>
            <w:tcW w:w="1179" w:type="pct"/>
            <w:tcBorders>
              <w:top w:val="nil"/>
              <w:bottom w:val="single" w:sz="4" w:space="0" w:color="auto"/>
            </w:tcBorders>
            <w:shd w:val="clear" w:color="auto" w:fill="auto"/>
            <w:vAlign w:val="center"/>
          </w:tcPr>
          <w:p w:rsidR="00C422CE" w:rsidRPr="000506C4" w:rsidRDefault="00C422CE" w:rsidP="00D703C9">
            <w:pPr>
              <w:pStyle w:val="Tabletext"/>
              <w:keepNext/>
              <w:rPr>
                <w:b/>
                <w:sz w:val="19"/>
                <w:szCs w:val="19"/>
              </w:rPr>
            </w:pPr>
            <w:proofErr w:type="spellStart"/>
            <w:r w:rsidRPr="000506C4">
              <w:rPr>
                <w:b/>
                <w:i/>
              </w:rPr>
              <w:t>Corrected</w:t>
            </w:r>
            <w:r w:rsidRPr="000506C4">
              <w:rPr>
                <w:b/>
                <w:i/>
                <w:vertAlign w:val="superscript"/>
              </w:rPr>
              <w:t>c</w:t>
            </w:r>
            <w:proofErr w:type="spellEnd"/>
          </w:p>
        </w:tc>
        <w:tc>
          <w:tcPr>
            <w:tcW w:w="638"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c>
          <w:tcPr>
            <w:tcW w:w="637" w:type="pct"/>
            <w:tcBorders>
              <w:top w:val="nil"/>
              <w:bottom w:val="single" w:sz="4" w:space="0" w:color="auto"/>
            </w:tcBorders>
            <w:shd w:val="clear" w:color="auto" w:fill="auto"/>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c>
          <w:tcPr>
            <w:tcW w:w="635" w:type="pct"/>
            <w:tcBorders>
              <w:top w:val="nil"/>
              <w:bottom w:val="single" w:sz="4" w:space="0" w:color="auto"/>
            </w:tcBorders>
            <w:vAlign w:val="center"/>
          </w:tcPr>
          <w:p w:rsidR="00C422CE" w:rsidRPr="000506C4" w:rsidRDefault="00C422CE" w:rsidP="00D703C9">
            <w:pPr>
              <w:pStyle w:val="Tabletext"/>
              <w:keepNext/>
              <w:ind w:right="7"/>
              <w:jc w:val="right"/>
              <w:rPr>
                <w:rFonts w:cs="Arial"/>
                <w:b/>
                <w:i/>
              </w:rPr>
            </w:pPr>
            <w:r w:rsidRPr="000506C4">
              <w:rPr>
                <w:rFonts w:cs="Arial"/>
                <w:b/>
                <w:i/>
              </w:rPr>
              <w:t>$</w:t>
            </w:r>
            <w:r w:rsidR="00E94B3A">
              <w:rPr>
                <w:rFonts w:cs="Arial"/>
                <w:b/>
                <w:i/>
                <w:noProof/>
                <w:color w:val="000000"/>
                <w:highlight w:val="black"/>
              </w:rPr>
              <w:t>''''''''''''''''''''</w:t>
            </w:r>
          </w:p>
        </w:tc>
      </w:tr>
      <w:tr w:rsidR="00C422CE" w:rsidRPr="000506C4" w:rsidTr="004B097F">
        <w:tc>
          <w:tcPr>
            <w:tcW w:w="1179" w:type="pct"/>
            <w:tcBorders>
              <w:top w:val="single" w:sz="4" w:space="0" w:color="auto"/>
            </w:tcBorders>
            <w:shd w:val="clear" w:color="auto" w:fill="auto"/>
            <w:vAlign w:val="center"/>
          </w:tcPr>
          <w:p w:rsidR="00C422CE" w:rsidRPr="000506C4" w:rsidRDefault="00C422CE" w:rsidP="00D703C9">
            <w:pPr>
              <w:pStyle w:val="Tabletext"/>
              <w:keepNext/>
            </w:pPr>
            <w:r w:rsidRPr="000506C4">
              <w:t>Net cost to health budget March 2017 resubmission</w:t>
            </w:r>
          </w:p>
        </w:tc>
        <w:tc>
          <w:tcPr>
            <w:tcW w:w="638" w:type="pct"/>
            <w:tcBorders>
              <w:top w:val="single" w:sz="4" w:space="0" w:color="auto"/>
            </w:tcBorders>
            <w:shd w:val="clear" w:color="auto" w:fill="auto"/>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c>
          <w:tcPr>
            <w:tcW w:w="637" w:type="pct"/>
            <w:tcBorders>
              <w:top w:val="single" w:sz="4" w:space="0" w:color="auto"/>
            </w:tcBorders>
            <w:shd w:val="clear" w:color="auto" w:fill="auto"/>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c>
          <w:tcPr>
            <w:tcW w:w="637" w:type="pct"/>
            <w:tcBorders>
              <w:top w:val="single" w:sz="4" w:space="0" w:color="auto"/>
            </w:tcBorders>
            <w:shd w:val="clear" w:color="auto" w:fill="auto"/>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c>
          <w:tcPr>
            <w:tcW w:w="637" w:type="pct"/>
            <w:tcBorders>
              <w:top w:val="single" w:sz="4" w:space="0" w:color="auto"/>
            </w:tcBorders>
            <w:shd w:val="clear" w:color="auto" w:fill="auto"/>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c>
          <w:tcPr>
            <w:tcW w:w="637" w:type="pct"/>
            <w:tcBorders>
              <w:top w:val="single" w:sz="4" w:space="0" w:color="auto"/>
            </w:tcBorders>
            <w:shd w:val="clear" w:color="auto" w:fill="auto"/>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c>
          <w:tcPr>
            <w:tcW w:w="635" w:type="pct"/>
            <w:tcBorders>
              <w:top w:val="single" w:sz="4" w:space="0" w:color="auto"/>
            </w:tcBorders>
            <w:vAlign w:val="center"/>
          </w:tcPr>
          <w:p w:rsidR="00C422CE" w:rsidRPr="000506C4" w:rsidRDefault="00C422CE" w:rsidP="00D703C9">
            <w:pPr>
              <w:pStyle w:val="Tabletext"/>
              <w:keepNext/>
              <w:ind w:right="7"/>
              <w:jc w:val="right"/>
              <w:rPr>
                <w:rFonts w:cs="Arial"/>
              </w:rPr>
            </w:pPr>
            <w:r w:rsidRPr="000506C4">
              <w:rPr>
                <w:rFonts w:cs="Arial"/>
              </w:rPr>
              <w:t>$</w:t>
            </w:r>
            <w:r w:rsidR="00E94B3A">
              <w:rPr>
                <w:rFonts w:cs="Arial"/>
                <w:noProof/>
                <w:color w:val="000000"/>
                <w:highlight w:val="black"/>
              </w:rPr>
              <w:t>''''''''''''''''''''''''</w:t>
            </w:r>
          </w:p>
        </w:tc>
      </w:tr>
    </w:tbl>
    <w:p w:rsidR="00C422CE" w:rsidRPr="00E81C39" w:rsidRDefault="00C422CE" w:rsidP="00D703C9">
      <w:pPr>
        <w:pStyle w:val="TableFooter"/>
        <w:keepNext/>
        <w:tabs>
          <w:tab w:val="left" w:pos="142"/>
        </w:tabs>
      </w:pPr>
      <w:r>
        <w:t>IPI</w:t>
      </w:r>
      <w:r w:rsidR="001E7EF9">
        <w:t xml:space="preserve"> = </w:t>
      </w:r>
      <w:proofErr w:type="spellStart"/>
      <w:r w:rsidR="001E7EF9">
        <w:t>ipilimumab</w:t>
      </w:r>
      <w:proofErr w:type="spellEnd"/>
      <w:r w:rsidR="001E7EF9">
        <w:t xml:space="preserve">; MBS = Medicare Benefits Schedule; NIVO = </w:t>
      </w:r>
      <w:proofErr w:type="spellStart"/>
      <w:r w:rsidR="001E7EF9">
        <w:t>nivolumab</w:t>
      </w:r>
      <w:proofErr w:type="spellEnd"/>
      <w:r w:rsidR="001E7EF9">
        <w:t>; PBS = Pharmaceutical Benefits Scheme; RPBS = Repatriation Pharmaceutical Benefits Scheme</w:t>
      </w:r>
    </w:p>
    <w:p w:rsidR="00C422CE" w:rsidRDefault="00C422CE" w:rsidP="00D703C9">
      <w:pPr>
        <w:pStyle w:val="TableFooter"/>
        <w:keepNext/>
        <w:tabs>
          <w:tab w:val="left" w:pos="142"/>
        </w:tabs>
      </w:pPr>
      <w:proofErr w:type="spellStart"/>
      <w:proofErr w:type="gramStart"/>
      <w:r>
        <w:rPr>
          <w:vertAlign w:val="superscript"/>
        </w:rPr>
        <w:t>a</w:t>
      </w:r>
      <w:proofErr w:type="spellEnd"/>
      <w:proofErr w:type="gramEnd"/>
      <w:r>
        <w:t xml:space="preserve"> Includes 260 patients from the sponsor’s patient access program.</w:t>
      </w:r>
    </w:p>
    <w:p w:rsidR="00C422CE" w:rsidRDefault="00C422CE" w:rsidP="00D703C9">
      <w:pPr>
        <w:pStyle w:val="TableFooter"/>
        <w:keepNext/>
        <w:tabs>
          <w:tab w:val="left" w:pos="142"/>
        </w:tabs>
        <w:ind w:left="142" w:hanging="142"/>
      </w:pPr>
      <w:proofErr w:type="gramStart"/>
      <w:r>
        <w:rPr>
          <w:vertAlign w:val="superscript"/>
        </w:rPr>
        <w:t>b</w:t>
      </w:r>
      <w:proofErr w:type="gramEnd"/>
      <w:r>
        <w:t xml:space="preserve"> Assuming an average of 3.2 doses in the induction phase (combination therapy) and 17.5 doses in the maintenance phase (single agent </w:t>
      </w:r>
      <w:proofErr w:type="spellStart"/>
      <w:r>
        <w:t>nivolumab</w:t>
      </w:r>
      <w:proofErr w:type="spellEnd"/>
      <w:r>
        <w:t>).</w:t>
      </w:r>
    </w:p>
    <w:p w:rsidR="00C422CE" w:rsidRDefault="00C422CE" w:rsidP="00D703C9">
      <w:pPr>
        <w:pStyle w:val="TableFooter"/>
        <w:keepNext/>
        <w:ind w:left="142" w:hanging="142"/>
      </w:pPr>
      <w:proofErr w:type="gramStart"/>
      <w:r>
        <w:rPr>
          <w:vertAlign w:val="superscript"/>
        </w:rPr>
        <w:t>c</w:t>
      </w:r>
      <w:proofErr w:type="gramEnd"/>
      <w:r>
        <w:t xml:space="preserve"> </w:t>
      </w:r>
      <w:r>
        <w:rPr>
          <w:i/>
        </w:rPr>
        <w:t xml:space="preserve">Figures in italics were calculated during the evaluation, assuming 9.33 infusions of </w:t>
      </w:r>
      <w:proofErr w:type="spellStart"/>
      <w:r>
        <w:rPr>
          <w:i/>
        </w:rPr>
        <w:t>fotemustine</w:t>
      </w:r>
      <w:proofErr w:type="spellEnd"/>
      <w:r>
        <w:rPr>
          <w:i/>
        </w:rPr>
        <w:t xml:space="preserve"> per patient (10.67 infusions per patient used in the resubmission), and correcting the error in cells K26:P26 of spreadsheet ‘3c. Impact – EFF,</w:t>
      </w:r>
      <w:r>
        <w:t xml:space="preserve"> </w:t>
      </w:r>
      <w:r w:rsidRPr="000D7884">
        <w:rPr>
          <w:i/>
        </w:rPr>
        <w:t>Appendix 2_BIM_NIVO+IPI.xlsx’</w:t>
      </w:r>
      <w:r w:rsidRPr="00D07A93">
        <w:rPr>
          <w:i/>
        </w:rPr>
        <w:t xml:space="preserve"> </w:t>
      </w:r>
      <w:r>
        <w:rPr>
          <w:i/>
        </w:rPr>
        <w:t xml:space="preserve">in which </w:t>
      </w:r>
      <w:proofErr w:type="spellStart"/>
      <w:r>
        <w:rPr>
          <w:i/>
        </w:rPr>
        <w:t>copayments</w:t>
      </w:r>
      <w:proofErr w:type="spellEnd"/>
      <w:r>
        <w:rPr>
          <w:i/>
        </w:rPr>
        <w:t xml:space="preserve"> were added to the cost to the RPBS, rather than subtracted.</w:t>
      </w:r>
    </w:p>
    <w:p w:rsidR="00C422CE" w:rsidRDefault="00C422CE" w:rsidP="00D703C9">
      <w:pPr>
        <w:pStyle w:val="TableFooter"/>
        <w:keepNext/>
        <w:tabs>
          <w:tab w:val="left" w:pos="142"/>
        </w:tabs>
      </w:pPr>
      <w:proofErr w:type="gramStart"/>
      <w:r>
        <w:rPr>
          <w:vertAlign w:val="superscript"/>
        </w:rPr>
        <w:t>d</w:t>
      </w:r>
      <w:proofErr w:type="gramEnd"/>
      <w:r>
        <w:t xml:space="preserve"> Includes costs of infusions for NIVO+IPI, </w:t>
      </w:r>
      <w:proofErr w:type="spellStart"/>
      <w:r>
        <w:t>nivolumab</w:t>
      </w:r>
      <w:proofErr w:type="spellEnd"/>
      <w:r>
        <w:t xml:space="preserve"> monotherapy and </w:t>
      </w:r>
      <w:proofErr w:type="spellStart"/>
      <w:r>
        <w:t>ipilimumab</w:t>
      </w:r>
      <w:proofErr w:type="spellEnd"/>
      <w:r>
        <w:t xml:space="preserve"> monotherapy (MBS items 13918 and 13915).</w:t>
      </w:r>
    </w:p>
    <w:p w:rsidR="00C422CE" w:rsidRPr="0095274A" w:rsidRDefault="00C422CE" w:rsidP="00D703C9">
      <w:pPr>
        <w:pStyle w:val="TableFooter"/>
        <w:keepNext/>
        <w:tabs>
          <w:tab w:val="left" w:pos="142"/>
        </w:tabs>
      </w:pPr>
      <w:r>
        <w:t xml:space="preserve">Note: The considerably higher net cost in Year 1 is due to the inclusion of patients from the sponsor’s patient access program (cost offsets due to substitution for </w:t>
      </w:r>
      <w:proofErr w:type="spellStart"/>
      <w:r>
        <w:t>nivolumab</w:t>
      </w:r>
      <w:proofErr w:type="spellEnd"/>
      <w:r>
        <w:t xml:space="preserve"> monotherapy were not applied to these patients).</w:t>
      </w:r>
    </w:p>
    <w:p w:rsidR="00C422CE" w:rsidRPr="00B1011F" w:rsidRDefault="00C422CE" w:rsidP="00D703C9">
      <w:pPr>
        <w:pStyle w:val="TableFooter"/>
        <w:keepNext/>
        <w:rPr>
          <w:sz w:val="20"/>
        </w:rPr>
      </w:pPr>
      <w:r>
        <w:t>Source: Table 84, p156, Table 88 p159 and Table 92, p161 of the resubmission; Excel workbook ‘Appendix 2_BIM_NIVO+IPI.xlsx’.</w:t>
      </w:r>
    </w:p>
    <w:p w:rsidR="000A75B6" w:rsidRDefault="00441FD6" w:rsidP="003235AE">
      <w:pPr>
        <w:widowControl/>
        <w:spacing w:before="120" w:after="120"/>
      </w:pPr>
      <w:r>
        <w:t xml:space="preserve">The redacted table shows that at Year 6, the estimated number of patients was less than 10,000 and the net cost to the PBS would be less than $10 million. </w:t>
      </w:r>
    </w:p>
    <w:p w:rsidR="000E04D8" w:rsidRDefault="000E04D8" w:rsidP="000E04D8">
      <w:pPr>
        <w:pStyle w:val="ListParagraph"/>
        <w:widowControl/>
        <w:numPr>
          <w:ilvl w:val="1"/>
          <w:numId w:val="2"/>
        </w:numPr>
      </w:pPr>
      <w:r>
        <w:t xml:space="preserve">The PBAC </w:t>
      </w:r>
      <w:r w:rsidR="00323A23">
        <w:t>considered</w:t>
      </w:r>
      <w:r>
        <w:t xml:space="preserve"> that the high net cost to the PBS/RPBS in Year 1 </w:t>
      </w:r>
      <w:r w:rsidR="006B4712">
        <w:t>($</w:t>
      </w:r>
      <w:r w:rsidR="000A75B6">
        <w:t>20 - $</w:t>
      </w:r>
      <w:proofErr w:type="gramStart"/>
      <w:r w:rsidR="000A75B6">
        <w:t xml:space="preserve">30  </w:t>
      </w:r>
      <w:r w:rsidR="006B4712">
        <w:t>million</w:t>
      </w:r>
      <w:proofErr w:type="gramEnd"/>
      <w:r w:rsidR="006B4712">
        <w:t xml:space="preserve">) </w:t>
      </w:r>
      <w:r>
        <w:t xml:space="preserve">was likely due to grandfathered patients, </w:t>
      </w:r>
      <w:r w:rsidR="00323A23">
        <w:t>noting</w:t>
      </w:r>
      <w:r>
        <w:t xml:space="preserve"> that there was uncertainty regarding the number of patients.</w:t>
      </w:r>
      <w:r w:rsidR="006B4712">
        <w:t xml:space="preserve"> The PBAC considered that the overall financial impact for the estimated </w:t>
      </w:r>
      <w:r w:rsidR="000A75B6">
        <w:t>less than 10,000</w:t>
      </w:r>
      <w:r w:rsidR="006B4712">
        <w:t xml:space="preserve"> patients per year remained high and was uncertain.</w:t>
      </w:r>
    </w:p>
    <w:p w:rsidR="00C264F3" w:rsidRDefault="00C264F3" w:rsidP="00C264F3">
      <w:pPr>
        <w:pStyle w:val="ListParagraph"/>
        <w:widowControl/>
        <w:numPr>
          <w:ilvl w:val="1"/>
          <w:numId w:val="2"/>
        </w:numPr>
      </w:pPr>
      <w:r>
        <w:t xml:space="preserve">The DUSC considered that the </w:t>
      </w:r>
      <w:r w:rsidR="00323A23">
        <w:t xml:space="preserve">financial impact </w:t>
      </w:r>
      <w:r>
        <w:t>estimates presented in the resubmission were underestimated as:</w:t>
      </w:r>
    </w:p>
    <w:p w:rsidR="00C264F3" w:rsidRDefault="00622B9E" w:rsidP="00C264F3">
      <w:pPr>
        <w:pStyle w:val="ListParagraph"/>
        <w:widowControl/>
        <w:numPr>
          <w:ilvl w:val="0"/>
          <w:numId w:val="15"/>
        </w:numPr>
        <w:ind w:left="1077" w:hanging="357"/>
      </w:pPr>
      <w:r>
        <w:t>i</w:t>
      </w:r>
      <w:r w:rsidR="00C422CE" w:rsidRPr="00C422CE">
        <w:t>f NIVO+IPI is not included in the same subsidisation cap as PD-1 inhibitor monotherapies for melanoma, the net cost to the PBS/RPBS would be considerably higher than estimated in the resubmission</w:t>
      </w:r>
      <w:r w:rsidR="00C264F3">
        <w:t>;</w:t>
      </w:r>
      <w:r>
        <w:t xml:space="preserve"> and</w:t>
      </w:r>
    </w:p>
    <w:p w:rsidR="00C422CE" w:rsidRDefault="00622B9E" w:rsidP="00C264F3">
      <w:pPr>
        <w:pStyle w:val="ListParagraph"/>
        <w:widowControl/>
        <w:numPr>
          <w:ilvl w:val="0"/>
          <w:numId w:val="15"/>
        </w:numPr>
        <w:ind w:left="1077" w:hanging="357"/>
      </w:pPr>
      <w:r>
        <w:lastRenderedPageBreak/>
        <w:t>c</w:t>
      </w:r>
      <w:r w:rsidR="00C264F3">
        <w:t>ost offsets for medicines displaced by NIVO+IPI were likely to have been overestimated</w:t>
      </w:r>
      <w:r>
        <w:t xml:space="preserve"> as</w:t>
      </w:r>
      <w:r w:rsidR="00C264F3">
        <w:t>:</w:t>
      </w:r>
    </w:p>
    <w:p w:rsidR="00C264F3" w:rsidRDefault="00C264F3" w:rsidP="00C815A5">
      <w:pPr>
        <w:pStyle w:val="ListParagraph"/>
        <w:widowControl/>
        <w:numPr>
          <w:ilvl w:val="1"/>
          <w:numId w:val="15"/>
        </w:numPr>
        <w:ind w:left="1434" w:hanging="357"/>
      </w:pPr>
      <w:proofErr w:type="gramStart"/>
      <w:r>
        <w:t>the</w:t>
      </w:r>
      <w:proofErr w:type="gramEnd"/>
      <w:r>
        <w:t xml:space="preserve"> rate of discontinuation from therapy with NIVO+IPI was high, therefore time on combination therapy in practice, and hence the time on displaced medicines, was likely to be less than estimated by t</w:t>
      </w:r>
      <w:r w:rsidR="00246FC6">
        <w:t>he resubmission. The p</w:t>
      </w:r>
      <w:r>
        <w:t xml:space="preserve">re-PBAC response </w:t>
      </w:r>
      <w:r w:rsidR="00C815A5">
        <w:t xml:space="preserve">disagreed with the DUSC, stating that the recent DUSC review </w:t>
      </w:r>
      <w:r>
        <w:t xml:space="preserve"> </w:t>
      </w:r>
      <w:r w:rsidR="00C815A5">
        <w:t xml:space="preserve">of medicines for the treatment of melanoma found the median time on PBS medication was similar to the PFS times observed in the clinical trials, and that the number of </w:t>
      </w:r>
      <w:proofErr w:type="spellStart"/>
      <w:r w:rsidR="00551924">
        <w:t>ipilimumab</w:t>
      </w:r>
      <w:proofErr w:type="spellEnd"/>
      <w:r w:rsidR="00C815A5">
        <w:t xml:space="preserve"> doses second-line reflected that in the pivotal trial.</w:t>
      </w:r>
      <w:r w:rsidR="00246FC6">
        <w:t xml:space="preserve"> In addition, the p</w:t>
      </w:r>
      <w:r w:rsidR="00C815A5">
        <w:t xml:space="preserve">re-PBAC response stated </w:t>
      </w:r>
      <w:r w:rsidR="00C815A5" w:rsidRPr="00C815A5">
        <w:t>that the duration of subsequent therapy had little impact on the economic results, stating that if this was</w:t>
      </w:r>
      <w:r w:rsidR="00C63EC8">
        <w:t xml:space="preserve"> reduced from the base case of six months to three</w:t>
      </w:r>
      <w:r w:rsidR="00C815A5" w:rsidRPr="00C815A5">
        <w:t xml:space="preserve"> months, the drug cost for NIVO+IPI increased from $</w:t>
      </w:r>
      <w:r w:rsidR="00E94B3A">
        <w:rPr>
          <w:noProof/>
          <w:color w:val="000000"/>
          <w:highlight w:val="black"/>
        </w:rPr>
        <w:t>'''''''''''''</w:t>
      </w:r>
      <w:r w:rsidR="00C815A5" w:rsidRPr="00C815A5">
        <w:t xml:space="preserve"> to $</w:t>
      </w:r>
      <w:r w:rsidR="00E94B3A">
        <w:rPr>
          <w:noProof/>
          <w:color w:val="000000"/>
          <w:highlight w:val="black"/>
        </w:rPr>
        <w:t>''''''''''''</w:t>
      </w:r>
      <w:r w:rsidR="00622B9E">
        <w:t>; and</w:t>
      </w:r>
    </w:p>
    <w:p w:rsidR="00C815A5" w:rsidRPr="00C422CE" w:rsidRDefault="00C815A5" w:rsidP="00C815A5">
      <w:pPr>
        <w:pStyle w:val="ListParagraph"/>
        <w:widowControl/>
        <w:numPr>
          <w:ilvl w:val="1"/>
          <w:numId w:val="15"/>
        </w:numPr>
        <w:ind w:left="1434" w:hanging="357"/>
      </w:pPr>
      <w:proofErr w:type="gramStart"/>
      <w:r>
        <w:t>the</w:t>
      </w:r>
      <w:proofErr w:type="gramEnd"/>
      <w:r>
        <w:t xml:space="preserve"> assumption th</w:t>
      </w:r>
      <w:r w:rsidR="00622B9E">
        <w:t>at</w:t>
      </w:r>
      <w:r>
        <w:t xml:space="preserve"> 43.</w:t>
      </w:r>
      <w:r w:rsidR="00EE7F6E">
        <w:t>6</w:t>
      </w:r>
      <w:r>
        <w:t xml:space="preserve">% of </w:t>
      </w:r>
      <w:proofErr w:type="spellStart"/>
      <w:r w:rsidR="00B82906">
        <w:t>nivolumab</w:t>
      </w:r>
      <w:proofErr w:type="spellEnd"/>
      <w:r w:rsidR="00B82906">
        <w:t xml:space="preserve"> monotherapy </w:t>
      </w:r>
      <w:r>
        <w:t xml:space="preserve">patients </w:t>
      </w:r>
      <w:r w:rsidR="00B82906">
        <w:t xml:space="preserve">(i.e. submission proposal in Figure 1) </w:t>
      </w:r>
      <w:r>
        <w:t xml:space="preserve">would avoid needing second-line therapy with </w:t>
      </w:r>
      <w:proofErr w:type="spellStart"/>
      <w:r w:rsidR="00551924">
        <w:t>ipilimumab</w:t>
      </w:r>
      <w:proofErr w:type="spellEnd"/>
      <w:r>
        <w:t xml:space="preserve"> was high relative to actual PBS use. The DUSC review indicated that around one-fifth (20%) of patients were supplied with </w:t>
      </w:r>
      <w:proofErr w:type="spellStart"/>
      <w:r w:rsidR="00551924">
        <w:t>ipilimumab</w:t>
      </w:r>
      <w:proofErr w:type="spellEnd"/>
      <w:r>
        <w:t xml:space="preserve"> second-line. </w:t>
      </w:r>
      <w:r w:rsidR="00246FC6">
        <w:rPr>
          <w:rFonts w:asciiTheme="minorHAnsi" w:hAnsiTheme="minorHAnsi"/>
        </w:rPr>
        <w:t>The p</w:t>
      </w:r>
      <w:r w:rsidRPr="00C815A5">
        <w:rPr>
          <w:rFonts w:asciiTheme="minorHAnsi" w:hAnsiTheme="minorHAnsi"/>
        </w:rPr>
        <w:t>re-PBAC response suggested that as the DUSC review followed a cohort of patients for 18 to 24 months, compared to a minimum follow-up of 36 months in CA209067, the proportion of patients who</w:t>
      </w:r>
      <w:r w:rsidR="00622B9E">
        <w:rPr>
          <w:rFonts w:asciiTheme="minorHAnsi" w:hAnsiTheme="minorHAnsi"/>
        </w:rPr>
        <w:t xml:space="preserve"> </w:t>
      </w:r>
      <w:r w:rsidRPr="00C815A5">
        <w:rPr>
          <w:rFonts w:asciiTheme="minorHAnsi" w:hAnsiTheme="minorHAnsi"/>
        </w:rPr>
        <w:t xml:space="preserve">would have progressed onto second-line </w:t>
      </w:r>
      <w:proofErr w:type="spellStart"/>
      <w:r w:rsidR="00EE7F6E">
        <w:rPr>
          <w:rFonts w:asciiTheme="minorHAnsi" w:hAnsiTheme="minorHAnsi"/>
        </w:rPr>
        <w:t>ipilimumab</w:t>
      </w:r>
      <w:proofErr w:type="spellEnd"/>
      <w:r w:rsidR="00EE7F6E" w:rsidRPr="00C815A5">
        <w:rPr>
          <w:rFonts w:asciiTheme="minorHAnsi" w:hAnsiTheme="minorHAnsi"/>
        </w:rPr>
        <w:t xml:space="preserve"> </w:t>
      </w:r>
      <w:r w:rsidRPr="00C815A5">
        <w:rPr>
          <w:rFonts w:asciiTheme="minorHAnsi" w:hAnsiTheme="minorHAnsi"/>
        </w:rPr>
        <w:t xml:space="preserve">would be less (i.e. 20% versus 43.6%). In reducing the proportion of patients who receive second-line </w:t>
      </w:r>
      <w:proofErr w:type="spellStart"/>
      <w:r w:rsidR="00551924">
        <w:rPr>
          <w:rFonts w:asciiTheme="minorHAnsi" w:hAnsiTheme="minorHAnsi"/>
        </w:rPr>
        <w:t>ipilimumab</w:t>
      </w:r>
      <w:proofErr w:type="spellEnd"/>
      <w:r w:rsidRPr="00C815A5">
        <w:rPr>
          <w:rFonts w:asciiTheme="minorHAnsi" w:hAnsiTheme="minorHAnsi"/>
        </w:rPr>
        <w:t xml:space="preserve"> from 95% to 80% in the cost analysis</w:t>
      </w:r>
      <w:r w:rsidR="00EE7F6E">
        <w:rPr>
          <w:rFonts w:asciiTheme="minorHAnsi" w:hAnsiTheme="minorHAnsi"/>
        </w:rPr>
        <w:t xml:space="preserve"> (i.e. BMS proposal in Figure 1)</w:t>
      </w:r>
      <w:r w:rsidRPr="00C815A5">
        <w:rPr>
          <w:rFonts w:asciiTheme="minorHAnsi" w:hAnsiTheme="minorHAnsi"/>
        </w:rPr>
        <w:t xml:space="preserve">, the proportion of </w:t>
      </w:r>
      <w:proofErr w:type="spellStart"/>
      <w:r w:rsidR="00551924">
        <w:rPr>
          <w:rFonts w:asciiTheme="minorHAnsi" w:hAnsiTheme="minorHAnsi"/>
        </w:rPr>
        <w:t>nivolumab</w:t>
      </w:r>
      <w:proofErr w:type="spellEnd"/>
      <w:r w:rsidRPr="00C815A5">
        <w:rPr>
          <w:rFonts w:asciiTheme="minorHAnsi" w:hAnsiTheme="minorHAnsi"/>
        </w:rPr>
        <w:t xml:space="preserve"> monotherapy patie</w:t>
      </w:r>
      <w:r w:rsidR="00622B9E">
        <w:rPr>
          <w:rFonts w:asciiTheme="minorHAnsi" w:hAnsiTheme="minorHAnsi"/>
        </w:rPr>
        <w:t>n</w:t>
      </w:r>
      <w:r w:rsidRPr="00C815A5">
        <w:rPr>
          <w:rFonts w:asciiTheme="minorHAnsi" w:hAnsiTheme="minorHAnsi"/>
        </w:rPr>
        <w:t xml:space="preserve">ts receiving second-line </w:t>
      </w:r>
      <w:proofErr w:type="spellStart"/>
      <w:r w:rsidR="00551924">
        <w:rPr>
          <w:rFonts w:asciiTheme="minorHAnsi" w:hAnsiTheme="minorHAnsi"/>
        </w:rPr>
        <w:t>ipilimumab</w:t>
      </w:r>
      <w:proofErr w:type="spellEnd"/>
      <w:r w:rsidRPr="00C815A5">
        <w:rPr>
          <w:rFonts w:asciiTheme="minorHAnsi" w:hAnsiTheme="minorHAnsi"/>
        </w:rPr>
        <w:t xml:space="preserve"> was effectively reduced from 43.6% to 36.7%.</w:t>
      </w:r>
    </w:p>
    <w:p w:rsidR="003D14B9" w:rsidRPr="00AB44F5" w:rsidRDefault="003D14B9" w:rsidP="00AB44F5">
      <w:pPr>
        <w:pStyle w:val="Heading2"/>
        <w:keepNext/>
        <w:spacing w:before="120" w:after="120"/>
        <w:rPr>
          <w:rFonts w:asciiTheme="minorHAnsi" w:hAnsiTheme="minorHAnsi"/>
          <w:bCs/>
          <w:szCs w:val="28"/>
        </w:rPr>
      </w:pPr>
      <w:r w:rsidRPr="00AB44F5">
        <w:rPr>
          <w:rFonts w:asciiTheme="minorHAnsi" w:hAnsiTheme="minorHAnsi"/>
          <w:bCs/>
          <w:szCs w:val="28"/>
        </w:rPr>
        <w:t>Quality Use of Medicines</w:t>
      </w:r>
    </w:p>
    <w:bookmarkEnd w:id="16"/>
    <w:p w:rsidR="003D14B9" w:rsidRDefault="003D14B9" w:rsidP="00F12C29">
      <w:pPr>
        <w:pStyle w:val="ListParagraph"/>
        <w:widowControl/>
        <w:numPr>
          <w:ilvl w:val="1"/>
          <w:numId w:val="2"/>
        </w:numPr>
        <w:rPr>
          <w:color w:val="000000" w:themeColor="text1"/>
        </w:rPr>
      </w:pPr>
      <w:r>
        <w:rPr>
          <w:color w:val="000000" w:themeColor="text1"/>
        </w:rPr>
        <w:t xml:space="preserve">The resubmission did not provide any evidence for the comparative effectiveness of second-line NIVO+IPI versus second-line </w:t>
      </w:r>
      <w:proofErr w:type="spellStart"/>
      <w:r w:rsidR="00551924">
        <w:rPr>
          <w:color w:val="000000" w:themeColor="text1"/>
        </w:rPr>
        <w:t>nivolumab</w:t>
      </w:r>
      <w:proofErr w:type="spellEnd"/>
      <w:r>
        <w:rPr>
          <w:color w:val="000000" w:themeColor="text1"/>
        </w:rPr>
        <w:t xml:space="preserve"> monotherapy in patients with BRAF mutant type melanoma who have progressed following BRAF</w:t>
      </w:r>
      <w:r>
        <w:rPr>
          <w:rFonts w:cs="Calibri"/>
          <w:color w:val="000000" w:themeColor="text1"/>
        </w:rPr>
        <w:t>±</w:t>
      </w:r>
      <w:r>
        <w:rPr>
          <w:color w:val="000000" w:themeColor="text1"/>
        </w:rPr>
        <w:t>MEK inhibitor therapy. DUSC considered that the use of the combination therapy in this setting m</w:t>
      </w:r>
      <w:r w:rsidR="008F6449">
        <w:rPr>
          <w:color w:val="000000" w:themeColor="text1"/>
        </w:rPr>
        <w:t>a</w:t>
      </w:r>
      <w:r>
        <w:rPr>
          <w:color w:val="000000" w:themeColor="text1"/>
        </w:rPr>
        <w:t>y res</w:t>
      </w:r>
      <w:r w:rsidR="008F6449">
        <w:rPr>
          <w:color w:val="000000" w:themeColor="text1"/>
        </w:rPr>
        <w:t>u</w:t>
      </w:r>
      <w:r>
        <w:rPr>
          <w:color w:val="000000" w:themeColor="text1"/>
        </w:rPr>
        <w:t>lt in utilisation without meaningful clinical benefits to patients over PD</w:t>
      </w:r>
      <w:r w:rsidR="00C15D2E">
        <w:rPr>
          <w:color w:val="000000" w:themeColor="text1"/>
        </w:rPr>
        <w:t>-</w:t>
      </w:r>
      <w:r>
        <w:rPr>
          <w:color w:val="000000" w:themeColor="text1"/>
        </w:rPr>
        <w:t>1 monotherapy yet expose them to additional harms.</w:t>
      </w:r>
    </w:p>
    <w:p w:rsidR="00EE7F6E" w:rsidRDefault="00EE7F6E" w:rsidP="00F12C29">
      <w:pPr>
        <w:pStyle w:val="ListParagraph"/>
        <w:widowControl/>
        <w:numPr>
          <w:ilvl w:val="1"/>
          <w:numId w:val="2"/>
        </w:numPr>
        <w:rPr>
          <w:color w:val="000000" w:themeColor="text1"/>
        </w:rPr>
      </w:pPr>
      <w:r>
        <w:rPr>
          <w:bCs/>
          <w:lang w:val="en-GB"/>
        </w:rPr>
        <w:t xml:space="preserve">The PBAC acknowledged that clinicians were becoming better versed in treating the adverse events, particularly in the urban setting, but noted that safety in the more rural and remote settings </w:t>
      </w:r>
      <w:r w:rsidR="006F21AD">
        <w:rPr>
          <w:bCs/>
          <w:lang w:val="en-GB"/>
        </w:rPr>
        <w:t xml:space="preserve">and private hospitals </w:t>
      </w:r>
      <w:r>
        <w:rPr>
          <w:bCs/>
          <w:lang w:val="en-GB"/>
        </w:rPr>
        <w:t xml:space="preserve">remained a concern. The PBAC noted that there was a need for </w:t>
      </w:r>
      <w:r w:rsidR="006F21AD">
        <w:rPr>
          <w:bCs/>
          <w:lang w:val="en-GB"/>
        </w:rPr>
        <w:t xml:space="preserve">improved </w:t>
      </w:r>
      <w:r>
        <w:rPr>
          <w:bCs/>
          <w:lang w:val="en-GB"/>
        </w:rPr>
        <w:t xml:space="preserve">access to </w:t>
      </w:r>
      <w:r w:rsidR="006F21AD">
        <w:rPr>
          <w:bCs/>
          <w:lang w:val="en-GB"/>
        </w:rPr>
        <w:t xml:space="preserve">high-cost </w:t>
      </w:r>
      <w:r>
        <w:rPr>
          <w:bCs/>
          <w:lang w:val="en-GB"/>
        </w:rPr>
        <w:t>rescue therapies</w:t>
      </w:r>
      <w:r w:rsidR="007D7492">
        <w:rPr>
          <w:bCs/>
          <w:lang w:val="en-GB"/>
        </w:rPr>
        <w:t xml:space="preserve"> in these settings</w:t>
      </w:r>
      <w:r>
        <w:rPr>
          <w:bCs/>
          <w:lang w:val="en-GB"/>
        </w:rPr>
        <w:t>, for example infliximab for treatment-induced colitis</w:t>
      </w:r>
      <w:r w:rsidR="00930161">
        <w:rPr>
          <w:bCs/>
          <w:lang w:val="en-GB"/>
        </w:rPr>
        <w:t xml:space="preserve"> which is not currently PBS-funded for this indication </w:t>
      </w:r>
      <w:proofErr w:type="gramStart"/>
      <w:r w:rsidR="00930161">
        <w:rPr>
          <w:bCs/>
          <w:lang w:val="en-GB"/>
        </w:rPr>
        <w:t>nor</w:t>
      </w:r>
      <w:proofErr w:type="gramEnd"/>
      <w:r w:rsidR="00930161">
        <w:rPr>
          <w:bCs/>
          <w:lang w:val="en-GB"/>
        </w:rPr>
        <w:t xml:space="preserve"> routinely available on hospital formularies</w:t>
      </w:r>
      <w:r>
        <w:rPr>
          <w:bCs/>
          <w:lang w:val="en-GB"/>
        </w:rPr>
        <w:t>.</w:t>
      </w:r>
    </w:p>
    <w:p w:rsidR="003D14B9" w:rsidRPr="00AB44F5" w:rsidRDefault="003D14B9" w:rsidP="00AB44F5">
      <w:pPr>
        <w:pStyle w:val="Heading2"/>
        <w:keepNext/>
        <w:spacing w:before="120" w:after="120"/>
        <w:rPr>
          <w:rFonts w:asciiTheme="minorHAnsi" w:hAnsiTheme="minorHAnsi"/>
          <w:bCs/>
          <w:szCs w:val="28"/>
        </w:rPr>
      </w:pPr>
      <w:r w:rsidRPr="00AB44F5">
        <w:rPr>
          <w:rFonts w:asciiTheme="minorHAnsi" w:hAnsiTheme="minorHAnsi"/>
          <w:bCs/>
          <w:szCs w:val="28"/>
        </w:rPr>
        <w:lastRenderedPageBreak/>
        <w:t>Financial Management – Risk Sharing Arrangements</w:t>
      </w:r>
    </w:p>
    <w:p w:rsidR="00F12C29" w:rsidRDefault="00F12C29" w:rsidP="00F12C29">
      <w:pPr>
        <w:pStyle w:val="ListParagraph"/>
        <w:widowControl/>
        <w:numPr>
          <w:ilvl w:val="1"/>
          <w:numId w:val="2"/>
        </w:numPr>
        <w:rPr>
          <w:color w:val="000000" w:themeColor="text1"/>
        </w:rPr>
      </w:pPr>
      <w:r w:rsidRPr="004E76B7">
        <w:rPr>
          <w:color w:val="000000" w:themeColor="text1"/>
        </w:rPr>
        <w:t xml:space="preserve">The resubmission stated that the sponsor was willing to consider addressing uncertainty in the financial estimates with a </w:t>
      </w:r>
      <w:r w:rsidR="000E04D8">
        <w:rPr>
          <w:color w:val="000000" w:themeColor="text1"/>
        </w:rPr>
        <w:t>RSA</w:t>
      </w:r>
      <w:r w:rsidRPr="004E76B7">
        <w:rPr>
          <w:color w:val="000000" w:themeColor="text1"/>
        </w:rPr>
        <w:t xml:space="preserve">, providing a </w:t>
      </w:r>
      <w:r w:rsidR="00E94B3A">
        <w:rPr>
          <w:noProof/>
          <w:color w:val="000000"/>
          <w:highlight w:val="black"/>
        </w:rPr>
        <w:t>''''''''</w:t>
      </w:r>
      <w:r w:rsidRPr="004E76B7">
        <w:rPr>
          <w:color w:val="000000" w:themeColor="text1"/>
        </w:rPr>
        <w:t xml:space="preserve">% rebate beyond the agreed subsidisation caps. The sponsor requested a subsidisation cap specifically for NIVO+IPI, based on the financial estimates provided in the budget impact analysis, separate from the subsidisation cap currently applying to PD-1 monotherapies for </w:t>
      </w:r>
      <w:proofErr w:type="spellStart"/>
      <w:r w:rsidRPr="004E76B7">
        <w:rPr>
          <w:color w:val="000000" w:themeColor="text1"/>
        </w:rPr>
        <w:t>unresectable</w:t>
      </w:r>
      <w:proofErr w:type="spellEnd"/>
      <w:r w:rsidRPr="004E76B7">
        <w:rPr>
          <w:color w:val="000000" w:themeColor="text1"/>
        </w:rPr>
        <w:t xml:space="preserve"> Stage III </w:t>
      </w:r>
      <w:r w:rsidR="000A7EDE" w:rsidRPr="004E76B7">
        <w:rPr>
          <w:color w:val="000000" w:themeColor="text1"/>
        </w:rPr>
        <w:t xml:space="preserve">or </w:t>
      </w:r>
      <w:r w:rsidRPr="004E76B7">
        <w:rPr>
          <w:color w:val="000000" w:themeColor="text1"/>
        </w:rPr>
        <w:t>Stage IV melanoma.</w:t>
      </w:r>
      <w:r w:rsidR="00A10244" w:rsidRPr="004E76B7">
        <w:rPr>
          <w:color w:val="000000" w:themeColor="text1"/>
        </w:rPr>
        <w:t xml:space="preserve"> </w:t>
      </w:r>
      <w:r w:rsidR="00B463AB" w:rsidRPr="004E76B7">
        <w:rPr>
          <w:color w:val="000000" w:themeColor="text1"/>
        </w:rPr>
        <w:t xml:space="preserve">The previous resubmission did not propose any specific </w:t>
      </w:r>
      <w:r w:rsidR="000E04D8">
        <w:rPr>
          <w:color w:val="000000" w:themeColor="text1"/>
        </w:rPr>
        <w:t>RSA</w:t>
      </w:r>
      <w:r w:rsidR="00B463AB" w:rsidRPr="004E76B7">
        <w:rPr>
          <w:color w:val="000000" w:themeColor="text1"/>
        </w:rPr>
        <w:t xml:space="preserve"> for NIVO+IPI.</w:t>
      </w:r>
    </w:p>
    <w:p w:rsidR="00013BE0" w:rsidRDefault="00013BE0" w:rsidP="00F12C29">
      <w:pPr>
        <w:pStyle w:val="ListParagraph"/>
        <w:widowControl/>
        <w:numPr>
          <w:ilvl w:val="1"/>
          <w:numId w:val="2"/>
        </w:numPr>
        <w:rPr>
          <w:color w:val="000000" w:themeColor="text1"/>
        </w:rPr>
      </w:pPr>
      <w:r w:rsidRPr="00C422CE">
        <w:rPr>
          <w:color w:val="000000" w:themeColor="text1"/>
        </w:rPr>
        <w:t xml:space="preserve">The ESC considered that this will result in the Commonwealth incurring </w:t>
      </w:r>
      <w:r w:rsidR="0023523F" w:rsidRPr="00C422CE">
        <w:rPr>
          <w:color w:val="000000" w:themeColor="text1"/>
        </w:rPr>
        <w:t xml:space="preserve">the </w:t>
      </w:r>
      <w:r w:rsidRPr="00C422CE">
        <w:rPr>
          <w:color w:val="000000" w:themeColor="text1"/>
        </w:rPr>
        <w:t xml:space="preserve">costs for </w:t>
      </w:r>
      <w:proofErr w:type="spellStart"/>
      <w:r w:rsidRPr="00C422CE">
        <w:rPr>
          <w:color w:val="000000" w:themeColor="text1"/>
        </w:rPr>
        <w:t>nivolumab</w:t>
      </w:r>
      <w:proofErr w:type="spellEnd"/>
      <w:r w:rsidRPr="00C422CE">
        <w:rPr>
          <w:color w:val="000000" w:themeColor="text1"/>
        </w:rPr>
        <w:t xml:space="preserve"> t</w:t>
      </w:r>
      <w:r w:rsidR="00E92200" w:rsidRPr="00C422CE">
        <w:rPr>
          <w:color w:val="000000" w:themeColor="text1"/>
        </w:rPr>
        <w:t xml:space="preserve">hat </w:t>
      </w:r>
      <w:r w:rsidR="0023523F" w:rsidRPr="00C422CE">
        <w:rPr>
          <w:color w:val="000000" w:themeColor="text1"/>
        </w:rPr>
        <w:t xml:space="preserve">are </w:t>
      </w:r>
      <w:r w:rsidR="00E92200" w:rsidRPr="00C422CE">
        <w:rPr>
          <w:color w:val="000000" w:themeColor="text1"/>
        </w:rPr>
        <w:t>currently</w:t>
      </w:r>
      <w:r w:rsidRPr="00C422CE">
        <w:rPr>
          <w:color w:val="000000" w:themeColor="text1"/>
        </w:rPr>
        <w:t xml:space="preserve"> rebated under the current RSA for </w:t>
      </w:r>
      <w:proofErr w:type="spellStart"/>
      <w:r w:rsidRPr="00C422CE">
        <w:rPr>
          <w:color w:val="000000" w:themeColor="text1"/>
        </w:rPr>
        <w:t>nivolumab</w:t>
      </w:r>
      <w:proofErr w:type="spellEnd"/>
      <w:r w:rsidRPr="00C422CE">
        <w:rPr>
          <w:color w:val="000000" w:themeColor="text1"/>
        </w:rPr>
        <w:t xml:space="preserve"> (refer to paragraphs </w:t>
      </w:r>
      <w:r w:rsidRPr="0081150C">
        <w:rPr>
          <w:color w:val="000000" w:themeColor="text1"/>
        </w:rPr>
        <w:t>6</w:t>
      </w:r>
      <w:r w:rsidR="003469CC" w:rsidRPr="0081150C">
        <w:rPr>
          <w:color w:val="000000" w:themeColor="text1"/>
        </w:rPr>
        <w:t>.3</w:t>
      </w:r>
      <w:r w:rsidR="0081150C" w:rsidRPr="0081150C">
        <w:rPr>
          <w:color w:val="000000" w:themeColor="text1"/>
        </w:rPr>
        <w:t>7</w:t>
      </w:r>
      <w:r w:rsidR="003469CC" w:rsidRPr="0081150C">
        <w:rPr>
          <w:color w:val="000000" w:themeColor="text1"/>
        </w:rPr>
        <w:t xml:space="preserve"> and 6.</w:t>
      </w:r>
      <w:r w:rsidR="0081150C" w:rsidRPr="0081150C">
        <w:rPr>
          <w:color w:val="000000" w:themeColor="text1"/>
        </w:rPr>
        <w:t>39</w:t>
      </w:r>
      <w:r w:rsidRPr="00C422CE">
        <w:rPr>
          <w:color w:val="000000" w:themeColor="text1"/>
        </w:rPr>
        <w:t xml:space="preserve"> above). </w:t>
      </w:r>
    </w:p>
    <w:p w:rsidR="003D14B9" w:rsidRDefault="00246FC6" w:rsidP="003D14B9">
      <w:pPr>
        <w:pStyle w:val="ListParagraph"/>
        <w:widowControl/>
        <w:numPr>
          <w:ilvl w:val="1"/>
          <w:numId w:val="2"/>
        </w:numPr>
        <w:rPr>
          <w:color w:val="000000" w:themeColor="text1"/>
        </w:rPr>
      </w:pPr>
      <w:r>
        <w:rPr>
          <w:color w:val="000000" w:themeColor="text1"/>
        </w:rPr>
        <w:t>The p</w:t>
      </w:r>
      <w:r w:rsidR="003D14B9">
        <w:rPr>
          <w:color w:val="000000" w:themeColor="text1"/>
        </w:rPr>
        <w:t>re-PBAC response stated that as the basis for the cost analysis was cost neutrality over two lines of treatment, expenditure for both PD</w:t>
      </w:r>
      <w:r w:rsidR="00C15D2E">
        <w:rPr>
          <w:color w:val="000000" w:themeColor="text1"/>
        </w:rPr>
        <w:t>-</w:t>
      </w:r>
      <w:r w:rsidR="003D14B9">
        <w:rPr>
          <w:color w:val="000000" w:themeColor="text1"/>
        </w:rPr>
        <w:t xml:space="preserve">1 monotherapy and subsequent therapies, including </w:t>
      </w:r>
      <w:proofErr w:type="spellStart"/>
      <w:r w:rsidR="00551924">
        <w:rPr>
          <w:color w:val="000000" w:themeColor="text1"/>
        </w:rPr>
        <w:t>ipilimumab</w:t>
      </w:r>
      <w:proofErr w:type="spellEnd"/>
      <w:r w:rsidR="003D14B9">
        <w:rPr>
          <w:color w:val="000000" w:themeColor="text1"/>
        </w:rPr>
        <w:t>, needed to be considered when determining the expenditure caps, not just the PD</w:t>
      </w:r>
      <w:r w:rsidR="00C15D2E">
        <w:rPr>
          <w:color w:val="000000" w:themeColor="text1"/>
        </w:rPr>
        <w:t>-</w:t>
      </w:r>
      <w:r w:rsidR="003D14B9">
        <w:rPr>
          <w:color w:val="000000" w:themeColor="text1"/>
        </w:rPr>
        <w:t>1 monotherapy expenditure.</w:t>
      </w:r>
    </w:p>
    <w:p w:rsidR="000A75B6" w:rsidRDefault="000E04D8" w:rsidP="00C422CE">
      <w:pPr>
        <w:pStyle w:val="ListParagraph"/>
        <w:widowControl/>
        <w:rPr>
          <w:color w:val="000000" w:themeColor="text1"/>
        </w:rPr>
      </w:pPr>
      <w:r>
        <w:rPr>
          <w:color w:val="000000" w:themeColor="text1"/>
        </w:rPr>
        <w:t>The DUSC considered that the request for a separate subsidisation cap for the combination therapy was inconsistent with its proposed lis</w:t>
      </w:r>
      <w:r w:rsidR="007F242A">
        <w:rPr>
          <w:color w:val="000000" w:themeColor="text1"/>
        </w:rPr>
        <w:t>t</w:t>
      </w:r>
      <w:r>
        <w:rPr>
          <w:color w:val="000000" w:themeColor="text1"/>
        </w:rPr>
        <w:t>ing on a cost-minimisation basis to PD</w:t>
      </w:r>
      <w:r w:rsidR="00C15D2E">
        <w:rPr>
          <w:color w:val="000000" w:themeColor="text1"/>
        </w:rPr>
        <w:t>-</w:t>
      </w:r>
      <w:r>
        <w:rPr>
          <w:color w:val="000000" w:themeColor="text1"/>
        </w:rPr>
        <w:t>1 monotherapies. DUSC stated that the suggested arrangements would result in an increased cost to the Commonwealth unless the ceiling on the original cap w</w:t>
      </w:r>
      <w:r w:rsidR="003D14B9">
        <w:rPr>
          <w:color w:val="000000" w:themeColor="text1"/>
        </w:rPr>
        <w:t>as</w:t>
      </w:r>
      <w:r>
        <w:rPr>
          <w:color w:val="000000" w:themeColor="text1"/>
        </w:rPr>
        <w:t xml:space="preserve"> reduced to match the amount </w:t>
      </w:r>
      <w:r w:rsidR="00EB26BA">
        <w:rPr>
          <w:color w:val="000000" w:themeColor="text1"/>
        </w:rPr>
        <w:t>of</w:t>
      </w:r>
      <w:r>
        <w:rPr>
          <w:color w:val="000000" w:themeColor="text1"/>
        </w:rPr>
        <w:t xml:space="preserve"> costs to be incurred under the newly envisaged cap. That is, for cost neutrality, the sum of the expenditures under the two caps should equate to the expenditure under the original cap. DUSC noted the PSCR stated that it would not be commercially viable for NIVO+IPI to join the existing RSA for PD</w:t>
      </w:r>
      <w:r w:rsidR="006E1AD1">
        <w:rPr>
          <w:color w:val="000000" w:themeColor="text1"/>
        </w:rPr>
        <w:t>-</w:t>
      </w:r>
      <w:r>
        <w:rPr>
          <w:color w:val="000000" w:themeColor="text1"/>
        </w:rPr>
        <w:t>1 monotherapy as the subsidisation caps for the existing arrangement were already being breached. The sponsor expressed a willingness to establish a separate subsidisation cap for NIVO+IPI.</w:t>
      </w:r>
      <w:r w:rsidR="00A103CE" w:rsidRPr="00EB26BA">
        <w:rPr>
          <w:color w:val="000000" w:themeColor="text1"/>
        </w:rPr>
        <w:t xml:space="preserve"> </w:t>
      </w:r>
    </w:p>
    <w:p w:rsidR="00C422CE" w:rsidRDefault="00C422CE" w:rsidP="00C422CE">
      <w:pPr>
        <w:pStyle w:val="ListParagraph"/>
        <w:widowControl/>
        <w:rPr>
          <w:i/>
          <w:color w:val="000000" w:themeColor="text1"/>
        </w:rPr>
      </w:pPr>
      <w:r w:rsidRPr="00C422CE">
        <w:rPr>
          <w:i/>
          <w:color w:val="000000" w:themeColor="text1"/>
        </w:rPr>
        <w:t>For more detail on PBAC’s view, see section 7 PBAC outcome.</w:t>
      </w:r>
    </w:p>
    <w:p w:rsidR="00871961" w:rsidRDefault="00871961" w:rsidP="003235AE">
      <w:pPr>
        <w:pStyle w:val="PBACHeading1"/>
        <w:spacing w:before="120" w:after="120"/>
        <w:outlineLvl w:val="0"/>
      </w:pPr>
      <w:r w:rsidRPr="00525B39">
        <w:t>PBAC Outcome</w:t>
      </w:r>
    </w:p>
    <w:p w:rsidR="00792E17" w:rsidRDefault="00871961" w:rsidP="00871961">
      <w:pPr>
        <w:numPr>
          <w:ilvl w:val="1"/>
          <w:numId w:val="2"/>
        </w:numPr>
        <w:spacing w:after="120"/>
        <w:rPr>
          <w:rFonts w:asciiTheme="minorHAnsi" w:hAnsiTheme="minorHAnsi"/>
          <w:bCs/>
          <w:lang w:val="en-GB"/>
        </w:rPr>
      </w:pPr>
      <w:r w:rsidRPr="00525B39">
        <w:rPr>
          <w:rFonts w:asciiTheme="minorHAnsi" w:hAnsiTheme="minorHAnsi"/>
          <w:bCs/>
          <w:lang w:val="en-GB"/>
        </w:rPr>
        <w:t xml:space="preserve">The PBAC recommended the </w:t>
      </w:r>
      <w:r w:rsidR="00F11981">
        <w:rPr>
          <w:rFonts w:asciiTheme="minorHAnsi" w:hAnsiTheme="minorHAnsi"/>
          <w:bCs/>
          <w:lang w:val="en-GB"/>
        </w:rPr>
        <w:t xml:space="preserve">Section 100 (Efficient Funding of Chemotherapy – Public and Private Hospital) Authority Required (STREAMLINED) </w:t>
      </w:r>
      <w:r w:rsidRPr="00525B39">
        <w:rPr>
          <w:rFonts w:asciiTheme="minorHAnsi" w:hAnsiTheme="minorHAnsi"/>
          <w:bCs/>
          <w:lang w:val="en-GB"/>
        </w:rPr>
        <w:t xml:space="preserve">listing of </w:t>
      </w:r>
      <w:r w:rsidR="00F11981">
        <w:rPr>
          <w:rFonts w:asciiTheme="minorHAnsi" w:hAnsiTheme="minorHAnsi"/>
          <w:bCs/>
          <w:lang w:val="en-GB"/>
        </w:rPr>
        <w:t>concurrent use of</w:t>
      </w:r>
      <w:r w:rsidR="00702CBA">
        <w:rPr>
          <w:rFonts w:asciiTheme="minorHAnsi" w:hAnsiTheme="minorHAnsi"/>
          <w:bCs/>
          <w:lang w:val="en-GB"/>
        </w:rPr>
        <w:t xml:space="preserve"> </w:t>
      </w:r>
      <w:proofErr w:type="spellStart"/>
      <w:r w:rsidR="00702CBA">
        <w:rPr>
          <w:rFonts w:asciiTheme="minorHAnsi" w:hAnsiTheme="minorHAnsi"/>
          <w:bCs/>
          <w:lang w:val="en-GB"/>
        </w:rPr>
        <w:t>nivolumab</w:t>
      </w:r>
      <w:proofErr w:type="spellEnd"/>
      <w:r w:rsidR="00702CBA">
        <w:rPr>
          <w:rFonts w:asciiTheme="minorHAnsi" w:hAnsiTheme="minorHAnsi"/>
          <w:bCs/>
          <w:lang w:val="en-GB"/>
        </w:rPr>
        <w:t xml:space="preserve"> and </w:t>
      </w:r>
      <w:proofErr w:type="spellStart"/>
      <w:r w:rsidR="00702CBA">
        <w:rPr>
          <w:rFonts w:asciiTheme="minorHAnsi" w:hAnsiTheme="minorHAnsi"/>
          <w:bCs/>
          <w:lang w:val="en-GB"/>
        </w:rPr>
        <w:t>ipilimumab</w:t>
      </w:r>
      <w:proofErr w:type="spellEnd"/>
      <w:r w:rsidR="00702CBA">
        <w:rPr>
          <w:rFonts w:asciiTheme="minorHAnsi" w:hAnsiTheme="minorHAnsi"/>
          <w:bCs/>
          <w:lang w:val="en-GB"/>
        </w:rPr>
        <w:t xml:space="preserve"> (NIVO+IPI</w:t>
      </w:r>
      <w:r w:rsidR="00F11981">
        <w:rPr>
          <w:rFonts w:asciiTheme="minorHAnsi" w:hAnsiTheme="minorHAnsi"/>
          <w:bCs/>
          <w:lang w:val="en-GB"/>
        </w:rPr>
        <w:t xml:space="preserve">) for the treatment of </w:t>
      </w:r>
      <w:proofErr w:type="spellStart"/>
      <w:r w:rsidR="00F11981">
        <w:rPr>
          <w:rFonts w:asciiTheme="minorHAnsi" w:hAnsiTheme="minorHAnsi"/>
          <w:bCs/>
          <w:lang w:val="en-GB"/>
        </w:rPr>
        <w:t>unresectable</w:t>
      </w:r>
      <w:proofErr w:type="spellEnd"/>
      <w:r w:rsidR="00F11981">
        <w:rPr>
          <w:rFonts w:asciiTheme="minorHAnsi" w:hAnsiTheme="minorHAnsi"/>
          <w:bCs/>
          <w:lang w:val="en-GB"/>
        </w:rPr>
        <w:t xml:space="preserve"> Stage III or Stage IV malignant melanoma, </w:t>
      </w:r>
      <w:r w:rsidR="00BB7BDB">
        <w:rPr>
          <w:rFonts w:asciiTheme="minorHAnsi" w:hAnsiTheme="minorHAnsi"/>
          <w:bCs/>
          <w:lang w:val="en-GB"/>
        </w:rPr>
        <w:t>as first-line immunotherapy</w:t>
      </w:r>
      <w:r w:rsidR="00F11981">
        <w:rPr>
          <w:rFonts w:asciiTheme="minorHAnsi" w:hAnsiTheme="minorHAnsi"/>
          <w:bCs/>
          <w:lang w:val="en-GB"/>
        </w:rPr>
        <w:t xml:space="preserve"> in patients with BRAF V600 mutation negative melanoma, and subsequent to BRAF inhibitor with or without MEK inhibitor therapy in patients with BRAF V600 mutation positive melanoma</w:t>
      </w:r>
      <w:r w:rsidR="00986728">
        <w:rPr>
          <w:rFonts w:asciiTheme="minorHAnsi" w:hAnsiTheme="minorHAnsi"/>
          <w:bCs/>
          <w:lang w:val="en-GB"/>
        </w:rPr>
        <w:t>,</w:t>
      </w:r>
      <w:r w:rsidR="00246FC6">
        <w:rPr>
          <w:rFonts w:asciiTheme="minorHAnsi" w:hAnsiTheme="minorHAnsi"/>
          <w:bCs/>
          <w:lang w:val="en-GB"/>
        </w:rPr>
        <w:t xml:space="preserve"> on the basis of cost neutrality to the PBS</w:t>
      </w:r>
      <w:r w:rsidR="00F11981">
        <w:rPr>
          <w:rFonts w:asciiTheme="minorHAnsi" w:hAnsiTheme="minorHAnsi"/>
          <w:bCs/>
          <w:lang w:val="en-GB"/>
        </w:rPr>
        <w:t>.</w:t>
      </w:r>
      <w:r w:rsidR="00F11981" w:rsidRPr="00525B39">
        <w:rPr>
          <w:rFonts w:asciiTheme="minorHAnsi" w:hAnsiTheme="minorHAnsi"/>
          <w:bCs/>
          <w:lang w:val="en-GB"/>
        </w:rPr>
        <w:t xml:space="preserve"> </w:t>
      </w:r>
      <w:r w:rsidR="00F11981">
        <w:rPr>
          <w:rFonts w:asciiTheme="minorHAnsi" w:hAnsiTheme="minorHAnsi"/>
          <w:bCs/>
          <w:lang w:val="en-GB"/>
        </w:rPr>
        <w:t xml:space="preserve">In making this recommendation, the PBAC considered the high unmet clinical need in an aggressive and debilitating malignancy and advised that NIVO+IPI </w:t>
      </w:r>
      <w:r w:rsidR="00792E17">
        <w:rPr>
          <w:rFonts w:asciiTheme="minorHAnsi" w:hAnsiTheme="minorHAnsi"/>
          <w:bCs/>
          <w:lang w:val="en-GB"/>
        </w:rPr>
        <w:t xml:space="preserve">combination therapy demonstrated superior comparative effectiveness in terms of a gain in </w:t>
      </w:r>
      <w:r w:rsidR="00F11981">
        <w:rPr>
          <w:rFonts w:asciiTheme="minorHAnsi" w:hAnsiTheme="minorHAnsi"/>
          <w:bCs/>
          <w:lang w:val="en-GB"/>
        </w:rPr>
        <w:t xml:space="preserve">progression free survival (PFS) </w:t>
      </w:r>
      <w:r w:rsidR="00971684">
        <w:rPr>
          <w:rFonts w:asciiTheme="minorHAnsi" w:hAnsiTheme="minorHAnsi"/>
          <w:bCs/>
          <w:lang w:val="en-GB"/>
        </w:rPr>
        <w:t xml:space="preserve">compared to </w:t>
      </w:r>
      <w:proofErr w:type="spellStart"/>
      <w:r w:rsidR="00551924">
        <w:rPr>
          <w:rFonts w:asciiTheme="minorHAnsi" w:hAnsiTheme="minorHAnsi"/>
          <w:bCs/>
          <w:lang w:val="en-GB"/>
        </w:rPr>
        <w:t>nivolumab</w:t>
      </w:r>
      <w:proofErr w:type="spellEnd"/>
      <w:r w:rsidR="00971684">
        <w:rPr>
          <w:rFonts w:asciiTheme="minorHAnsi" w:hAnsiTheme="minorHAnsi"/>
          <w:bCs/>
          <w:lang w:val="en-GB"/>
        </w:rPr>
        <w:t xml:space="preserve"> monotherapy</w:t>
      </w:r>
      <w:r w:rsidR="00F11981">
        <w:rPr>
          <w:rFonts w:asciiTheme="minorHAnsi" w:hAnsiTheme="minorHAnsi"/>
          <w:bCs/>
          <w:lang w:val="en-GB"/>
        </w:rPr>
        <w:t xml:space="preserve">; however, </w:t>
      </w:r>
      <w:r w:rsidR="00246FC6">
        <w:rPr>
          <w:rFonts w:asciiTheme="minorHAnsi" w:hAnsiTheme="minorHAnsi"/>
          <w:bCs/>
          <w:lang w:val="en-GB"/>
        </w:rPr>
        <w:t xml:space="preserve">the adverse event profile compare to </w:t>
      </w:r>
      <w:proofErr w:type="spellStart"/>
      <w:r w:rsidR="00246FC6">
        <w:rPr>
          <w:rFonts w:asciiTheme="minorHAnsi" w:hAnsiTheme="minorHAnsi"/>
          <w:bCs/>
          <w:lang w:val="en-GB"/>
        </w:rPr>
        <w:t>nivolumab</w:t>
      </w:r>
      <w:proofErr w:type="spellEnd"/>
      <w:r w:rsidR="00246FC6">
        <w:rPr>
          <w:rFonts w:asciiTheme="minorHAnsi" w:hAnsiTheme="minorHAnsi"/>
          <w:bCs/>
          <w:lang w:val="en-GB"/>
        </w:rPr>
        <w:t xml:space="preserve"> monotherapy was inferior and </w:t>
      </w:r>
      <w:r w:rsidR="00F11981">
        <w:rPr>
          <w:rFonts w:asciiTheme="minorHAnsi" w:hAnsiTheme="minorHAnsi"/>
          <w:bCs/>
          <w:lang w:val="en-GB"/>
        </w:rPr>
        <w:t>the</w:t>
      </w:r>
      <w:r w:rsidR="00971684">
        <w:rPr>
          <w:rFonts w:asciiTheme="minorHAnsi" w:hAnsiTheme="minorHAnsi"/>
          <w:bCs/>
          <w:lang w:val="en-GB"/>
        </w:rPr>
        <w:t xml:space="preserve"> effect on</w:t>
      </w:r>
      <w:r w:rsidR="0032436D">
        <w:rPr>
          <w:rFonts w:asciiTheme="minorHAnsi" w:hAnsiTheme="minorHAnsi"/>
          <w:bCs/>
          <w:lang w:val="en-GB"/>
        </w:rPr>
        <w:t xml:space="preserve"> </w:t>
      </w:r>
      <w:r w:rsidR="0032436D">
        <w:rPr>
          <w:rFonts w:asciiTheme="minorHAnsi" w:hAnsiTheme="minorHAnsi"/>
          <w:bCs/>
          <w:lang w:val="en-GB"/>
        </w:rPr>
        <w:lastRenderedPageBreak/>
        <w:t>quality of life (</w:t>
      </w:r>
      <w:proofErr w:type="spellStart"/>
      <w:r w:rsidR="0032436D">
        <w:rPr>
          <w:rFonts w:asciiTheme="minorHAnsi" w:hAnsiTheme="minorHAnsi"/>
          <w:bCs/>
          <w:lang w:val="en-GB"/>
        </w:rPr>
        <w:t>QoL</w:t>
      </w:r>
      <w:proofErr w:type="spellEnd"/>
      <w:r w:rsidR="0032436D">
        <w:rPr>
          <w:rFonts w:asciiTheme="minorHAnsi" w:hAnsiTheme="minorHAnsi"/>
          <w:bCs/>
          <w:lang w:val="en-GB"/>
        </w:rPr>
        <w:t>) and</w:t>
      </w:r>
      <w:r w:rsidR="00971684">
        <w:rPr>
          <w:rFonts w:asciiTheme="minorHAnsi" w:hAnsiTheme="minorHAnsi"/>
          <w:bCs/>
          <w:lang w:val="en-GB"/>
        </w:rPr>
        <w:t xml:space="preserve"> overall survival (OS) remained unknown.</w:t>
      </w:r>
    </w:p>
    <w:p w:rsidR="00A86056" w:rsidRPr="00525B39" w:rsidRDefault="00A86056" w:rsidP="00871961">
      <w:pPr>
        <w:numPr>
          <w:ilvl w:val="1"/>
          <w:numId w:val="2"/>
        </w:numPr>
        <w:spacing w:after="120"/>
        <w:rPr>
          <w:rFonts w:asciiTheme="minorHAnsi" w:hAnsiTheme="minorHAnsi"/>
          <w:bCs/>
          <w:lang w:val="en-GB"/>
        </w:rPr>
      </w:pPr>
      <w:r>
        <w:rPr>
          <w:rFonts w:asciiTheme="minorHAnsi" w:hAnsiTheme="minorHAnsi"/>
          <w:bCs/>
          <w:lang w:val="en-GB"/>
        </w:rPr>
        <w:t>The PBAC noted the input provided by individuals, health care professionals and organisations describing the clinical benefits, the high consumer demand and the incidence, severity and management practices of adverse events.</w:t>
      </w:r>
    </w:p>
    <w:p w:rsidR="00A90BBD" w:rsidRPr="00A90BBD" w:rsidRDefault="00A90BBD" w:rsidP="00A90BBD">
      <w:pPr>
        <w:numPr>
          <w:ilvl w:val="1"/>
          <w:numId w:val="2"/>
        </w:numPr>
        <w:spacing w:after="120"/>
        <w:rPr>
          <w:rFonts w:asciiTheme="minorHAnsi" w:hAnsiTheme="minorHAnsi"/>
          <w:bCs/>
          <w:lang w:val="en-GB"/>
        </w:rPr>
      </w:pPr>
      <w:r>
        <w:rPr>
          <w:rFonts w:asciiTheme="minorHAnsi" w:hAnsiTheme="minorHAnsi"/>
          <w:bCs/>
          <w:lang w:val="en-GB"/>
        </w:rPr>
        <w:t>In terms of the clinical place in therapy, the PBAC</w:t>
      </w:r>
      <w:r w:rsidR="00871961" w:rsidRPr="00525B39">
        <w:rPr>
          <w:rFonts w:asciiTheme="minorHAnsi" w:hAnsiTheme="minorHAnsi"/>
          <w:bCs/>
          <w:lang w:val="en-GB"/>
        </w:rPr>
        <w:t xml:space="preserve"> </w:t>
      </w:r>
      <w:r w:rsidR="00971684">
        <w:rPr>
          <w:rFonts w:asciiTheme="minorHAnsi" w:hAnsiTheme="minorHAnsi"/>
          <w:bCs/>
          <w:lang w:val="en-GB"/>
        </w:rPr>
        <w:t xml:space="preserve">recalled that </w:t>
      </w:r>
      <w:r w:rsidR="00A54C53">
        <w:rPr>
          <w:rFonts w:asciiTheme="minorHAnsi" w:hAnsiTheme="minorHAnsi"/>
          <w:bCs/>
          <w:lang w:val="en-GB"/>
        </w:rPr>
        <w:t xml:space="preserve">in previous submissions the requested restriction included all patients with Stage III or IV </w:t>
      </w:r>
      <w:proofErr w:type="spellStart"/>
      <w:r w:rsidR="00A54C53">
        <w:rPr>
          <w:rFonts w:asciiTheme="minorHAnsi" w:hAnsiTheme="minorHAnsi"/>
          <w:bCs/>
          <w:lang w:val="en-GB"/>
        </w:rPr>
        <w:t>unresectable</w:t>
      </w:r>
      <w:proofErr w:type="spellEnd"/>
      <w:r w:rsidR="00A54C53">
        <w:rPr>
          <w:rFonts w:asciiTheme="minorHAnsi" w:hAnsiTheme="minorHAnsi"/>
          <w:bCs/>
          <w:lang w:val="en-GB"/>
        </w:rPr>
        <w:t xml:space="preserve"> metastatic melanoma, irrespective of BRAF status or treatment line. At the March 2017 PBAC meeting the Committee requested that NIVO+IPI be restricted in patients with BRAF mutant melanoma to those who have progressed following treatment with a BRAF</w:t>
      </w:r>
      <w:r w:rsidR="00A54C53">
        <w:rPr>
          <w:rFonts w:asciiTheme="minorHAnsi" w:hAnsiTheme="minorHAnsi" w:cstheme="minorHAnsi"/>
          <w:bCs/>
          <w:lang w:val="en-GB"/>
        </w:rPr>
        <w:t>±</w:t>
      </w:r>
      <w:r w:rsidR="00A54C53">
        <w:rPr>
          <w:rFonts w:asciiTheme="minorHAnsi" w:hAnsiTheme="minorHAnsi"/>
          <w:bCs/>
          <w:lang w:val="en-GB"/>
        </w:rPr>
        <w:t xml:space="preserve">MEK inhibitor, consistent with the current melanoma PBS listings for </w:t>
      </w:r>
      <w:proofErr w:type="spellStart"/>
      <w:r w:rsidR="00551924">
        <w:rPr>
          <w:rFonts w:asciiTheme="minorHAnsi" w:hAnsiTheme="minorHAnsi"/>
          <w:bCs/>
          <w:lang w:val="en-GB"/>
        </w:rPr>
        <w:t>nivolumab</w:t>
      </w:r>
      <w:proofErr w:type="spellEnd"/>
      <w:r w:rsidR="00A54C53">
        <w:rPr>
          <w:rFonts w:asciiTheme="minorHAnsi" w:hAnsiTheme="minorHAnsi"/>
          <w:bCs/>
          <w:lang w:val="en-GB"/>
        </w:rPr>
        <w:t xml:space="preserve"> and pembrolizumab monotherapy</w:t>
      </w:r>
      <w:r w:rsidR="00005BC3">
        <w:rPr>
          <w:rFonts w:asciiTheme="minorHAnsi" w:hAnsiTheme="minorHAnsi"/>
          <w:bCs/>
          <w:lang w:val="en-GB"/>
        </w:rPr>
        <w:t xml:space="preserve"> and the findings of the </w:t>
      </w:r>
      <w:proofErr w:type="spellStart"/>
      <w:r w:rsidR="00005BC3">
        <w:rPr>
          <w:rFonts w:asciiTheme="minorHAnsi" w:hAnsiTheme="minorHAnsi"/>
          <w:bCs/>
          <w:lang w:val="en-GB"/>
        </w:rPr>
        <w:t>Pasquali</w:t>
      </w:r>
      <w:proofErr w:type="spellEnd"/>
      <w:r w:rsidR="00005BC3">
        <w:rPr>
          <w:rFonts w:asciiTheme="minorHAnsi" w:hAnsiTheme="minorHAnsi"/>
          <w:bCs/>
          <w:lang w:val="en-GB"/>
        </w:rPr>
        <w:t>, 2017 network meta-analysis</w:t>
      </w:r>
      <w:r w:rsidR="00A54C53">
        <w:rPr>
          <w:rFonts w:asciiTheme="minorHAnsi" w:hAnsiTheme="minorHAnsi"/>
          <w:bCs/>
          <w:lang w:val="en-GB"/>
        </w:rPr>
        <w:t xml:space="preserve"> (paragraph 7.2,</w:t>
      </w:r>
      <w:r w:rsidR="008C2922">
        <w:rPr>
          <w:rFonts w:asciiTheme="minorHAnsi" w:hAnsiTheme="minorHAnsi"/>
          <w:bCs/>
          <w:lang w:val="en-GB"/>
        </w:rPr>
        <w:t xml:space="preserve"> 7.3</w:t>
      </w:r>
      <w:r w:rsidR="00A54C53">
        <w:rPr>
          <w:rFonts w:asciiTheme="minorHAnsi" w:hAnsiTheme="minorHAnsi"/>
          <w:bCs/>
          <w:lang w:val="en-GB"/>
        </w:rPr>
        <w:t xml:space="preserve"> </w:t>
      </w:r>
      <w:proofErr w:type="spellStart"/>
      <w:r w:rsidR="00A54C53">
        <w:rPr>
          <w:rFonts w:asciiTheme="minorHAnsi" w:hAnsiTheme="minorHAnsi"/>
          <w:bCs/>
          <w:lang w:val="en-GB"/>
        </w:rPr>
        <w:t>nivolumab</w:t>
      </w:r>
      <w:proofErr w:type="spellEnd"/>
      <w:r w:rsidR="00A54C53">
        <w:rPr>
          <w:rFonts w:asciiTheme="minorHAnsi" w:hAnsiTheme="minorHAnsi"/>
          <w:bCs/>
          <w:lang w:val="en-GB"/>
        </w:rPr>
        <w:t xml:space="preserve"> plus </w:t>
      </w:r>
      <w:proofErr w:type="spellStart"/>
      <w:r w:rsidR="00A54C53">
        <w:rPr>
          <w:rFonts w:asciiTheme="minorHAnsi" w:hAnsiTheme="minorHAnsi"/>
          <w:bCs/>
          <w:lang w:val="en-GB"/>
        </w:rPr>
        <w:t>ipilimumab</w:t>
      </w:r>
      <w:proofErr w:type="spellEnd"/>
      <w:r w:rsidR="00A54C53">
        <w:rPr>
          <w:rFonts w:asciiTheme="minorHAnsi" w:hAnsiTheme="minorHAnsi"/>
          <w:bCs/>
          <w:lang w:val="en-GB"/>
        </w:rPr>
        <w:t xml:space="preserve"> Public Summary Document (PSD), March 2017 PBAC meeting). The PBAC considered that the proposed PBS rest</w:t>
      </w:r>
      <w:r w:rsidR="00005BC3">
        <w:rPr>
          <w:rFonts w:asciiTheme="minorHAnsi" w:hAnsiTheme="minorHAnsi"/>
          <w:bCs/>
          <w:lang w:val="en-GB"/>
        </w:rPr>
        <w:t>riction was consistent with its</w:t>
      </w:r>
      <w:r w:rsidR="00A54C53">
        <w:rPr>
          <w:rFonts w:asciiTheme="minorHAnsi" w:hAnsiTheme="minorHAnsi"/>
          <w:bCs/>
          <w:lang w:val="en-GB"/>
        </w:rPr>
        <w:t xml:space="preserve"> request</w:t>
      </w:r>
      <w:r w:rsidR="00863C4B">
        <w:rPr>
          <w:rFonts w:asciiTheme="minorHAnsi" w:hAnsiTheme="minorHAnsi"/>
          <w:bCs/>
          <w:lang w:val="en-GB"/>
        </w:rPr>
        <w:t>.</w:t>
      </w:r>
    </w:p>
    <w:p w:rsidR="00005BC3" w:rsidRDefault="00005BC3" w:rsidP="00871961">
      <w:pPr>
        <w:numPr>
          <w:ilvl w:val="1"/>
          <w:numId w:val="2"/>
        </w:numPr>
        <w:spacing w:after="120"/>
        <w:rPr>
          <w:rFonts w:asciiTheme="minorHAnsi" w:hAnsiTheme="minorHAnsi"/>
          <w:bCs/>
          <w:lang w:val="en-GB"/>
        </w:rPr>
      </w:pPr>
      <w:r>
        <w:rPr>
          <w:rFonts w:asciiTheme="minorHAnsi" w:hAnsiTheme="minorHAnsi"/>
          <w:bCs/>
          <w:lang w:val="en-GB"/>
        </w:rPr>
        <w:t xml:space="preserve">The resubmission again nominated PD-1 inhibitor monotherapy (e.g. </w:t>
      </w:r>
      <w:proofErr w:type="spellStart"/>
      <w:r>
        <w:rPr>
          <w:rFonts w:asciiTheme="minorHAnsi" w:hAnsiTheme="minorHAnsi"/>
          <w:bCs/>
          <w:lang w:val="en-GB"/>
        </w:rPr>
        <w:t>nivolumab</w:t>
      </w:r>
      <w:proofErr w:type="spellEnd"/>
      <w:r>
        <w:rPr>
          <w:rFonts w:asciiTheme="minorHAnsi" w:hAnsiTheme="minorHAnsi"/>
          <w:bCs/>
          <w:lang w:val="en-GB"/>
        </w:rPr>
        <w:t xml:space="preserve"> or pembrolizumab) as the primary comparator for NIVO+IPI. The key trial was again CA209067, in which </w:t>
      </w:r>
      <w:proofErr w:type="spellStart"/>
      <w:r w:rsidR="00551924">
        <w:rPr>
          <w:rFonts w:asciiTheme="minorHAnsi" w:hAnsiTheme="minorHAnsi"/>
          <w:bCs/>
          <w:lang w:val="en-GB"/>
        </w:rPr>
        <w:t>nivolumab</w:t>
      </w:r>
      <w:proofErr w:type="spellEnd"/>
      <w:r>
        <w:rPr>
          <w:rFonts w:asciiTheme="minorHAnsi" w:hAnsiTheme="minorHAnsi"/>
          <w:bCs/>
          <w:lang w:val="en-GB"/>
        </w:rPr>
        <w:t xml:space="preserve"> monotherapy was compared to NIVO+IPI. The P</w:t>
      </w:r>
      <w:r w:rsidR="00FE6FCD">
        <w:rPr>
          <w:rFonts w:asciiTheme="minorHAnsi" w:hAnsiTheme="minorHAnsi"/>
          <w:bCs/>
          <w:lang w:val="en-GB"/>
        </w:rPr>
        <w:t>BAC</w:t>
      </w:r>
      <w:r>
        <w:rPr>
          <w:rFonts w:asciiTheme="minorHAnsi" w:hAnsiTheme="minorHAnsi"/>
          <w:bCs/>
          <w:lang w:val="en-GB"/>
        </w:rPr>
        <w:t xml:space="preserve"> recalled that it had previously considered </w:t>
      </w:r>
      <w:r w:rsidR="00FE6FCD">
        <w:rPr>
          <w:rFonts w:asciiTheme="minorHAnsi" w:hAnsiTheme="minorHAnsi"/>
          <w:bCs/>
          <w:lang w:val="en-GB"/>
        </w:rPr>
        <w:t xml:space="preserve">that </w:t>
      </w:r>
      <w:r>
        <w:rPr>
          <w:rFonts w:asciiTheme="minorHAnsi" w:hAnsiTheme="minorHAnsi"/>
          <w:bCs/>
          <w:lang w:val="en-GB"/>
        </w:rPr>
        <w:t>the CA209067 trial provided the best avail</w:t>
      </w:r>
      <w:r w:rsidR="00FE6FCD">
        <w:rPr>
          <w:rFonts w:asciiTheme="minorHAnsi" w:hAnsiTheme="minorHAnsi"/>
          <w:bCs/>
          <w:lang w:val="en-GB"/>
        </w:rPr>
        <w:t>ab</w:t>
      </w:r>
      <w:r>
        <w:rPr>
          <w:rFonts w:asciiTheme="minorHAnsi" w:hAnsiTheme="minorHAnsi"/>
          <w:bCs/>
          <w:lang w:val="en-GB"/>
        </w:rPr>
        <w:t>le data for the comparative effectiveness and safety of NIVO+IPI r</w:t>
      </w:r>
      <w:r w:rsidR="00FE6FCD">
        <w:rPr>
          <w:rFonts w:asciiTheme="minorHAnsi" w:hAnsiTheme="minorHAnsi"/>
          <w:bCs/>
          <w:lang w:val="en-GB"/>
        </w:rPr>
        <w:t>elative</w:t>
      </w:r>
      <w:r>
        <w:rPr>
          <w:rFonts w:asciiTheme="minorHAnsi" w:hAnsiTheme="minorHAnsi"/>
          <w:bCs/>
          <w:lang w:val="en-GB"/>
        </w:rPr>
        <w:t xml:space="preserve"> to </w:t>
      </w:r>
      <w:proofErr w:type="spellStart"/>
      <w:r w:rsidR="00551924">
        <w:rPr>
          <w:rFonts w:asciiTheme="minorHAnsi" w:hAnsiTheme="minorHAnsi"/>
          <w:bCs/>
          <w:lang w:val="en-GB"/>
        </w:rPr>
        <w:t>nivolumab</w:t>
      </w:r>
      <w:proofErr w:type="spellEnd"/>
      <w:r>
        <w:rPr>
          <w:rFonts w:asciiTheme="minorHAnsi" w:hAnsiTheme="minorHAnsi"/>
          <w:bCs/>
          <w:lang w:val="en-GB"/>
        </w:rPr>
        <w:t xml:space="preserve"> monotherapy in the first-line setting (paragraph 7.4, </w:t>
      </w:r>
      <w:proofErr w:type="spellStart"/>
      <w:r>
        <w:rPr>
          <w:rFonts w:asciiTheme="minorHAnsi" w:hAnsiTheme="minorHAnsi"/>
          <w:bCs/>
          <w:lang w:val="en-GB"/>
        </w:rPr>
        <w:t>nivolumab</w:t>
      </w:r>
      <w:proofErr w:type="spellEnd"/>
      <w:r>
        <w:rPr>
          <w:rFonts w:asciiTheme="minorHAnsi" w:hAnsiTheme="minorHAnsi"/>
          <w:bCs/>
          <w:lang w:val="en-GB"/>
        </w:rPr>
        <w:t xml:space="preserve"> plus </w:t>
      </w:r>
      <w:proofErr w:type="spellStart"/>
      <w:r>
        <w:rPr>
          <w:rFonts w:asciiTheme="minorHAnsi" w:hAnsiTheme="minorHAnsi"/>
          <w:bCs/>
          <w:lang w:val="en-GB"/>
        </w:rPr>
        <w:t>ipilimumab</w:t>
      </w:r>
      <w:proofErr w:type="spellEnd"/>
      <w:r>
        <w:rPr>
          <w:rFonts w:asciiTheme="minorHAnsi" w:hAnsiTheme="minorHAnsi"/>
          <w:bCs/>
          <w:lang w:val="en-GB"/>
        </w:rPr>
        <w:t xml:space="preserve"> PSD, March 2017)</w:t>
      </w:r>
      <w:r w:rsidR="00FE6FCD">
        <w:rPr>
          <w:rFonts w:asciiTheme="minorHAnsi" w:hAnsiTheme="minorHAnsi"/>
          <w:bCs/>
          <w:lang w:val="en-GB"/>
        </w:rPr>
        <w:t xml:space="preserve">. </w:t>
      </w:r>
    </w:p>
    <w:p w:rsidR="00940EEB" w:rsidRDefault="00FE6FCD" w:rsidP="00871961">
      <w:pPr>
        <w:numPr>
          <w:ilvl w:val="1"/>
          <w:numId w:val="2"/>
        </w:numPr>
        <w:spacing w:after="120"/>
        <w:rPr>
          <w:rFonts w:asciiTheme="minorHAnsi" w:hAnsiTheme="minorHAnsi"/>
          <w:bCs/>
          <w:lang w:val="en-GB"/>
        </w:rPr>
      </w:pPr>
      <w:r>
        <w:rPr>
          <w:rFonts w:asciiTheme="minorHAnsi" w:hAnsiTheme="minorHAnsi"/>
          <w:bCs/>
          <w:lang w:val="en-GB"/>
        </w:rPr>
        <w:t>The PBAC noted the updated clinical data provided from the May 2017 database lock of CA209067. Th</w:t>
      </w:r>
      <w:r w:rsidR="00BF52BB">
        <w:rPr>
          <w:rFonts w:asciiTheme="minorHAnsi" w:hAnsiTheme="minorHAnsi"/>
          <w:bCs/>
          <w:lang w:val="en-GB"/>
        </w:rPr>
        <w:t>e</w:t>
      </w:r>
      <w:r w:rsidR="00940EEB">
        <w:rPr>
          <w:rFonts w:asciiTheme="minorHAnsi" w:hAnsiTheme="minorHAnsi"/>
          <w:bCs/>
          <w:lang w:val="en-GB"/>
        </w:rPr>
        <w:t>s</w:t>
      </w:r>
      <w:r w:rsidR="00BF52BB">
        <w:rPr>
          <w:rFonts w:asciiTheme="minorHAnsi" w:hAnsiTheme="minorHAnsi"/>
          <w:bCs/>
          <w:lang w:val="en-GB"/>
        </w:rPr>
        <w:t>e</w:t>
      </w:r>
      <w:r w:rsidR="00940EEB">
        <w:rPr>
          <w:rFonts w:asciiTheme="minorHAnsi" w:hAnsiTheme="minorHAnsi"/>
          <w:bCs/>
          <w:lang w:val="en-GB"/>
        </w:rPr>
        <w:t xml:space="preserve"> data, with a </w:t>
      </w:r>
      <w:r>
        <w:rPr>
          <w:rFonts w:asciiTheme="minorHAnsi" w:hAnsiTheme="minorHAnsi"/>
          <w:bCs/>
          <w:lang w:val="en-GB"/>
        </w:rPr>
        <w:t>minimum follow-up of 36 months</w:t>
      </w:r>
      <w:r w:rsidR="00940EEB">
        <w:rPr>
          <w:rFonts w:asciiTheme="minorHAnsi" w:hAnsiTheme="minorHAnsi"/>
          <w:bCs/>
          <w:lang w:val="en-GB"/>
        </w:rPr>
        <w:t>,</w:t>
      </w:r>
      <w:r>
        <w:rPr>
          <w:rFonts w:asciiTheme="minorHAnsi" w:hAnsiTheme="minorHAnsi"/>
          <w:bCs/>
          <w:lang w:val="en-GB"/>
        </w:rPr>
        <w:t xml:space="preserve"> reaffirmed the PBAC’s previous conclusion that NIVO+IPI demonstrated a</w:t>
      </w:r>
      <w:r w:rsidR="006E1AD1">
        <w:rPr>
          <w:rFonts w:asciiTheme="minorHAnsi" w:hAnsiTheme="minorHAnsi"/>
          <w:bCs/>
          <w:lang w:val="en-GB"/>
        </w:rPr>
        <w:t xml:space="preserve"> modest</w:t>
      </w:r>
      <w:r>
        <w:rPr>
          <w:rFonts w:asciiTheme="minorHAnsi" w:hAnsiTheme="minorHAnsi"/>
          <w:bCs/>
          <w:lang w:val="en-GB"/>
        </w:rPr>
        <w:t xml:space="preserve"> improvement in PFS over </w:t>
      </w:r>
      <w:proofErr w:type="spellStart"/>
      <w:r>
        <w:rPr>
          <w:rFonts w:asciiTheme="minorHAnsi" w:hAnsiTheme="minorHAnsi"/>
          <w:bCs/>
          <w:lang w:val="en-GB"/>
        </w:rPr>
        <w:t>nivolumab</w:t>
      </w:r>
      <w:proofErr w:type="spellEnd"/>
      <w:r>
        <w:rPr>
          <w:rFonts w:asciiTheme="minorHAnsi" w:hAnsiTheme="minorHAnsi"/>
          <w:bCs/>
          <w:lang w:val="en-GB"/>
        </w:rPr>
        <w:t xml:space="preserve"> monotherapy</w:t>
      </w:r>
      <w:r w:rsidR="00940EEB">
        <w:rPr>
          <w:rFonts w:asciiTheme="minorHAnsi" w:hAnsiTheme="minorHAnsi"/>
          <w:bCs/>
          <w:lang w:val="en-GB"/>
        </w:rPr>
        <w:t xml:space="preserve">. </w:t>
      </w:r>
      <w:r w:rsidR="00C27973">
        <w:rPr>
          <w:rFonts w:asciiTheme="minorHAnsi" w:hAnsiTheme="minorHAnsi"/>
          <w:bCs/>
          <w:lang w:val="en-GB"/>
        </w:rPr>
        <w:t>T</w:t>
      </w:r>
      <w:r w:rsidR="00940EEB">
        <w:rPr>
          <w:rFonts w:asciiTheme="minorHAnsi" w:hAnsiTheme="minorHAnsi"/>
          <w:bCs/>
          <w:lang w:val="en-GB"/>
        </w:rPr>
        <w:t xml:space="preserve">he </w:t>
      </w:r>
      <w:r w:rsidR="00C27973">
        <w:rPr>
          <w:rFonts w:asciiTheme="minorHAnsi" w:hAnsiTheme="minorHAnsi"/>
          <w:bCs/>
          <w:lang w:val="en-GB"/>
        </w:rPr>
        <w:t xml:space="preserve">PBAC considered that the </w:t>
      </w:r>
      <w:r w:rsidR="00940EEB">
        <w:rPr>
          <w:rFonts w:asciiTheme="minorHAnsi" w:hAnsiTheme="minorHAnsi"/>
          <w:bCs/>
          <w:lang w:val="en-GB"/>
        </w:rPr>
        <w:t xml:space="preserve">OS data </w:t>
      </w:r>
      <w:r w:rsidR="00C27973">
        <w:rPr>
          <w:rFonts w:asciiTheme="minorHAnsi" w:hAnsiTheme="minorHAnsi"/>
          <w:bCs/>
          <w:lang w:val="en-GB"/>
        </w:rPr>
        <w:t>remained</w:t>
      </w:r>
      <w:r w:rsidR="00940EEB">
        <w:rPr>
          <w:rFonts w:asciiTheme="minorHAnsi" w:hAnsiTheme="minorHAnsi"/>
          <w:bCs/>
          <w:lang w:val="en-GB"/>
        </w:rPr>
        <w:t xml:space="preserve"> immature and showed no statistically significant effect for NIVO+IPI beyond that of </w:t>
      </w:r>
      <w:proofErr w:type="spellStart"/>
      <w:r w:rsidR="00551924">
        <w:rPr>
          <w:rFonts w:asciiTheme="minorHAnsi" w:hAnsiTheme="minorHAnsi"/>
          <w:bCs/>
          <w:lang w:val="en-GB"/>
        </w:rPr>
        <w:t>nivolumab</w:t>
      </w:r>
      <w:proofErr w:type="spellEnd"/>
      <w:r w:rsidR="00940EEB">
        <w:rPr>
          <w:rFonts w:asciiTheme="minorHAnsi" w:hAnsiTheme="minorHAnsi"/>
          <w:bCs/>
          <w:lang w:val="en-GB"/>
        </w:rPr>
        <w:t xml:space="preserve"> monotherapy, and there remained no evidence of improved </w:t>
      </w:r>
      <w:proofErr w:type="spellStart"/>
      <w:r w:rsidR="0087668A">
        <w:rPr>
          <w:rFonts w:asciiTheme="minorHAnsi" w:hAnsiTheme="minorHAnsi"/>
          <w:bCs/>
          <w:lang w:val="en-GB"/>
        </w:rPr>
        <w:t>QoL</w:t>
      </w:r>
      <w:proofErr w:type="spellEnd"/>
      <w:r w:rsidR="00940EEB">
        <w:rPr>
          <w:rFonts w:asciiTheme="minorHAnsi" w:hAnsiTheme="minorHAnsi"/>
          <w:bCs/>
          <w:lang w:val="en-GB"/>
        </w:rPr>
        <w:t>.</w:t>
      </w:r>
    </w:p>
    <w:p w:rsidR="0069170D" w:rsidRDefault="00940EEB" w:rsidP="00871961">
      <w:pPr>
        <w:numPr>
          <w:ilvl w:val="1"/>
          <w:numId w:val="2"/>
        </w:numPr>
        <w:spacing w:after="120"/>
        <w:rPr>
          <w:rFonts w:asciiTheme="minorHAnsi" w:hAnsiTheme="minorHAnsi"/>
          <w:bCs/>
          <w:lang w:val="en-GB"/>
        </w:rPr>
      </w:pPr>
      <w:r>
        <w:rPr>
          <w:rFonts w:asciiTheme="minorHAnsi" w:hAnsiTheme="minorHAnsi"/>
          <w:bCs/>
          <w:lang w:val="en-GB"/>
        </w:rPr>
        <w:t xml:space="preserve">The PBAC noted that the resubmission presented limited updated safety data from the May 2017 database lock of CA209067. The PBAC considered that NIVO+IPI resulted in higher rates of any adverse events compared to </w:t>
      </w:r>
      <w:proofErr w:type="spellStart"/>
      <w:r w:rsidR="0087668A">
        <w:rPr>
          <w:rFonts w:asciiTheme="minorHAnsi" w:hAnsiTheme="minorHAnsi"/>
          <w:bCs/>
          <w:lang w:val="en-GB"/>
        </w:rPr>
        <w:t>nivolumab</w:t>
      </w:r>
      <w:proofErr w:type="spellEnd"/>
      <w:r>
        <w:rPr>
          <w:rFonts w:asciiTheme="minorHAnsi" w:hAnsiTheme="minorHAnsi"/>
          <w:bCs/>
          <w:lang w:val="en-GB"/>
        </w:rPr>
        <w:t xml:space="preserve"> monotherapy (96% versus 86% respectively</w:t>
      </w:r>
      <w:r w:rsidR="00564ED9">
        <w:rPr>
          <w:rFonts w:asciiTheme="minorHAnsi" w:hAnsiTheme="minorHAnsi"/>
          <w:bCs/>
          <w:lang w:val="en-GB"/>
        </w:rPr>
        <w:t xml:space="preserve"> at 36 months</w:t>
      </w:r>
      <w:r>
        <w:rPr>
          <w:rFonts w:asciiTheme="minorHAnsi" w:hAnsiTheme="minorHAnsi"/>
          <w:bCs/>
          <w:lang w:val="en-GB"/>
        </w:rPr>
        <w:t>)</w:t>
      </w:r>
      <w:r w:rsidR="003D21DF">
        <w:rPr>
          <w:rFonts w:asciiTheme="minorHAnsi" w:hAnsiTheme="minorHAnsi"/>
          <w:bCs/>
          <w:lang w:val="en-GB"/>
        </w:rPr>
        <w:t>. The PBAC acknowledged that the adverse events were mostly short-term, but</w:t>
      </w:r>
      <w:r w:rsidR="00564ED9">
        <w:rPr>
          <w:rFonts w:asciiTheme="minorHAnsi" w:hAnsiTheme="minorHAnsi"/>
          <w:bCs/>
          <w:lang w:val="en-GB"/>
        </w:rPr>
        <w:t xml:space="preserve"> reiterated that there were significantly higher rates of serious adverse events with the </w:t>
      </w:r>
      <w:r w:rsidR="0087668A">
        <w:rPr>
          <w:rFonts w:asciiTheme="minorHAnsi" w:hAnsiTheme="minorHAnsi"/>
          <w:bCs/>
          <w:lang w:val="en-GB"/>
        </w:rPr>
        <w:t>combination therapy at nine</w:t>
      </w:r>
      <w:r w:rsidR="003D21DF">
        <w:rPr>
          <w:rFonts w:asciiTheme="minorHAnsi" w:hAnsiTheme="minorHAnsi"/>
          <w:bCs/>
          <w:lang w:val="en-GB"/>
        </w:rPr>
        <w:t xml:space="preserve"> months, a considerable proportion of which required treatment with immune-modulating medications. </w:t>
      </w:r>
      <w:r w:rsidR="00564ED9">
        <w:rPr>
          <w:rFonts w:asciiTheme="minorHAnsi" w:hAnsiTheme="minorHAnsi"/>
          <w:bCs/>
          <w:lang w:val="en-GB"/>
        </w:rPr>
        <w:t>The PBAC again considered whether the increased toxicity was balanced by improved clinical benefits, noting the evidence provided by the ESC in March 2017 (</w:t>
      </w:r>
      <w:proofErr w:type="spellStart"/>
      <w:r w:rsidR="00564ED9">
        <w:rPr>
          <w:rFonts w:asciiTheme="minorHAnsi" w:hAnsiTheme="minorHAnsi"/>
          <w:bCs/>
          <w:lang w:val="en-GB"/>
        </w:rPr>
        <w:t>Schadendorf</w:t>
      </w:r>
      <w:proofErr w:type="spellEnd"/>
      <w:r w:rsidR="00564ED9">
        <w:rPr>
          <w:rFonts w:asciiTheme="minorHAnsi" w:hAnsiTheme="minorHAnsi"/>
          <w:bCs/>
          <w:lang w:val="en-GB"/>
        </w:rPr>
        <w:t xml:space="preserve">, 2016) </w:t>
      </w:r>
      <w:r w:rsidR="00564ED9" w:rsidRPr="00863C4B">
        <w:rPr>
          <w:rFonts w:asciiTheme="minorHAnsi" w:hAnsiTheme="minorHAnsi"/>
          <w:bCs/>
          <w:lang w:val="en-GB"/>
        </w:rPr>
        <w:t>and during the Sponsor hearing</w:t>
      </w:r>
      <w:r w:rsidR="00564ED9">
        <w:rPr>
          <w:rFonts w:asciiTheme="minorHAnsi" w:hAnsiTheme="minorHAnsi"/>
          <w:bCs/>
          <w:lang w:val="en-GB"/>
        </w:rPr>
        <w:t xml:space="preserve"> that NIVO+IPI combination patients who discontinued treatment due to adverse events still derived a significant efficacy benefit. </w:t>
      </w:r>
      <w:r w:rsidR="000D4A42">
        <w:rPr>
          <w:rFonts w:asciiTheme="minorHAnsi" w:hAnsiTheme="minorHAnsi"/>
          <w:bCs/>
          <w:lang w:val="en-GB"/>
        </w:rPr>
        <w:t xml:space="preserve">The PBAC also specifically considered the </w:t>
      </w:r>
      <w:r w:rsidR="000D4A42" w:rsidRPr="00922390">
        <w:rPr>
          <w:rFonts w:asciiTheme="minorHAnsi" w:hAnsiTheme="minorHAnsi"/>
          <w:bCs/>
          <w:lang w:val="en-GB"/>
        </w:rPr>
        <w:t xml:space="preserve">consumer </w:t>
      </w:r>
      <w:r w:rsidR="00863C4B" w:rsidRPr="00922390">
        <w:rPr>
          <w:rFonts w:asciiTheme="minorHAnsi" w:hAnsiTheme="minorHAnsi"/>
          <w:bCs/>
          <w:lang w:val="en-GB"/>
        </w:rPr>
        <w:t xml:space="preserve">group </w:t>
      </w:r>
      <w:r w:rsidR="000D4A42" w:rsidRPr="00922390">
        <w:rPr>
          <w:rFonts w:asciiTheme="minorHAnsi" w:hAnsiTheme="minorHAnsi"/>
          <w:bCs/>
          <w:lang w:val="en-GB"/>
        </w:rPr>
        <w:t xml:space="preserve">comments from the Melbourne Melanoma Project </w:t>
      </w:r>
      <w:r w:rsidR="000D4A42">
        <w:rPr>
          <w:rFonts w:asciiTheme="minorHAnsi" w:hAnsiTheme="minorHAnsi"/>
          <w:bCs/>
          <w:lang w:val="en-GB"/>
        </w:rPr>
        <w:t>that noted the toxicity issues with the combination therapy, but stated that clinic</w:t>
      </w:r>
      <w:r w:rsidR="003D21DF">
        <w:rPr>
          <w:rFonts w:asciiTheme="minorHAnsi" w:hAnsiTheme="minorHAnsi"/>
          <w:bCs/>
          <w:lang w:val="en-GB"/>
        </w:rPr>
        <w:t>i</w:t>
      </w:r>
      <w:r w:rsidR="000D4A42">
        <w:rPr>
          <w:rFonts w:asciiTheme="minorHAnsi" w:hAnsiTheme="minorHAnsi"/>
          <w:bCs/>
          <w:lang w:val="en-GB"/>
        </w:rPr>
        <w:t xml:space="preserve">ans were becoming well versed in dealing with them. The PBAC </w:t>
      </w:r>
      <w:r w:rsidR="00BF52BB">
        <w:rPr>
          <w:rFonts w:asciiTheme="minorHAnsi" w:hAnsiTheme="minorHAnsi"/>
          <w:bCs/>
          <w:lang w:val="en-GB"/>
        </w:rPr>
        <w:t>noted</w:t>
      </w:r>
      <w:r w:rsidR="000D4A42">
        <w:rPr>
          <w:rFonts w:asciiTheme="minorHAnsi" w:hAnsiTheme="minorHAnsi"/>
          <w:bCs/>
          <w:lang w:val="en-GB"/>
        </w:rPr>
        <w:t xml:space="preserve"> this</w:t>
      </w:r>
      <w:r w:rsidR="00BF52BB">
        <w:rPr>
          <w:rFonts w:asciiTheme="minorHAnsi" w:hAnsiTheme="minorHAnsi"/>
          <w:bCs/>
          <w:lang w:val="en-GB"/>
        </w:rPr>
        <w:t xml:space="preserve"> may be the case </w:t>
      </w:r>
      <w:r w:rsidR="000D4A42">
        <w:rPr>
          <w:rFonts w:asciiTheme="minorHAnsi" w:hAnsiTheme="minorHAnsi"/>
          <w:bCs/>
          <w:lang w:val="en-GB"/>
        </w:rPr>
        <w:t xml:space="preserve">in </w:t>
      </w:r>
      <w:r w:rsidR="000D4A42">
        <w:rPr>
          <w:rFonts w:asciiTheme="minorHAnsi" w:hAnsiTheme="minorHAnsi"/>
          <w:bCs/>
          <w:lang w:val="en-GB"/>
        </w:rPr>
        <w:lastRenderedPageBreak/>
        <w:t xml:space="preserve">large metropolitan hospitals which regularly treat patients with NIVO+IPI combination therapy, but noted that safety in the more rural and remote settings </w:t>
      </w:r>
      <w:r w:rsidR="005F313E">
        <w:rPr>
          <w:rFonts w:asciiTheme="minorHAnsi" w:hAnsiTheme="minorHAnsi"/>
          <w:bCs/>
          <w:lang w:val="en-GB"/>
        </w:rPr>
        <w:t xml:space="preserve">and private hospitals </w:t>
      </w:r>
      <w:r w:rsidR="000D4A42">
        <w:rPr>
          <w:rFonts w:asciiTheme="minorHAnsi" w:hAnsiTheme="minorHAnsi"/>
          <w:bCs/>
          <w:lang w:val="en-GB"/>
        </w:rPr>
        <w:t>remained a concern. The PBAC considered that the</w:t>
      </w:r>
      <w:r w:rsidR="003532B4">
        <w:rPr>
          <w:rFonts w:asciiTheme="minorHAnsi" w:hAnsiTheme="minorHAnsi"/>
          <w:bCs/>
          <w:lang w:val="en-GB"/>
        </w:rPr>
        <w:t>re was a need for</w:t>
      </w:r>
      <w:r w:rsidR="000D4A42">
        <w:rPr>
          <w:rFonts w:asciiTheme="minorHAnsi" w:hAnsiTheme="minorHAnsi"/>
          <w:bCs/>
          <w:lang w:val="en-GB"/>
        </w:rPr>
        <w:t xml:space="preserve"> </w:t>
      </w:r>
      <w:r w:rsidR="0069170D">
        <w:rPr>
          <w:rFonts w:asciiTheme="minorHAnsi" w:hAnsiTheme="minorHAnsi"/>
          <w:bCs/>
          <w:lang w:val="en-GB"/>
        </w:rPr>
        <w:t xml:space="preserve">improved </w:t>
      </w:r>
      <w:r w:rsidR="000D4A42">
        <w:rPr>
          <w:rFonts w:asciiTheme="minorHAnsi" w:hAnsiTheme="minorHAnsi"/>
          <w:bCs/>
          <w:lang w:val="en-GB"/>
        </w:rPr>
        <w:t xml:space="preserve">access to </w:t>
      </w:r>
      <w:r w:rsidR="003D21DF">
        <w:rPr>
          <w:rFonts w:asciiTheme="minorHAnsi" w:hAnsiTheme="minorHAnsi"/>
          <w:bCs/>
          <w:lang w:val="en-GB"/>
        </w:rPr>
        <w:t xml:space="preserve">immune-modulating </w:t>
      </w:r>
      <w:r w:rsidR="000D4A42">
        <w:rPr>
          <w:rFonts w:asciiTheme="minorHAnsi" w:hAnsiTheme="minorHAnsi"/>
          <w:bCs/>
          <w:lang w:val="en-GB"/>
        </w:rPr>
        <w:t>rescue therapies</w:t>
      </w:r>
      <w:r w:rsidR="00767279">
        <w:rPr>
          <w:rFonts w:asciiTheme="minorHAnsi" w:hAnsiTheme="minorHAnsi"/>
          <w:bCs/>
          <w:lang w:val="en-GB"/>
        </w:rPr>
        <w:t xml:space="preserve"> in these settings</w:t>
      </w:r>
      <w:r w:rsidR="000D4A42">
        <w:rPr>
          <w:rFonts w:asciiTheme="minorHAnsi" w:hAnsiTheme="minorHAnsi"/>
          <w:bCs/>
          <w:lang w:val="en-GB"/>
        </w:rPr>
        <w:t>, for example infliximab for treatment-induced colitis</w:t>
      </w:r>
      <w:r w:rsidR="00767279">
        <w:rPr>
          <w:rFonts w:asciiTheme="minorHAnsi" w:hAnsiTheme="minorHAnsi"/>
          <w:bCs/>
          <w:lang w:val="en-GB"/>
        </w:rPr>
        <w:t xml:space="preserve"> which are not currently PBS-funded for this indication </w:t>
      </w:r>
      <w:proofErr w:type="gramStart"/>
      <w:r w:rsidR="00767279">
        <w:rPr>
          <w:rFonts w:asciiTheme="minorHAnsi" w:hAnsiTheme="minorHAnsi"/>
          <w:bCs/>
          <w:lang w:val="en-GB"/>
        </w:rPr>
        <w:t>nor</w:t>
      </w:r>
      <w:proofErr w:type="gramEnd"/>
      <w:r w:rsidR="00767279">
        <w:rPr>
          <w:rFonts w:asciiTheme="minorHAnsi" w:hAnsiTheme="minorHAnsi"/>
          <w:bCs/>
          <w:lang w:val="en-GB"/>
        </w:rPr>
        <w:t xml:space="preserve"> routinely available on hospital formularies</w:t>
      </w:r>
      <w:r w:rsidR="000D4A42">
        <w:rPr>
          <w:rFonts w:asciiTheme="minorHAnsi" w:hAnsiTheme="minorHAnsi"/>
          <w:bCs/>
          <w:lang w:val="en-GB"/>
        </w:rPr>
        <w:t xml:space="preserve">. </w:t>
      </w:r>
    </w:p>
    <w:p w:rsidR="00226416" w:rsidRDefault="003D21DF" w:rsidP="00871961">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891500">
        <w:rPr>
          <w:rFonts w:asciiTheme="minorHAnsi" w:hAnsiTheme="minorHAnsi"/>
          <w:bCs/>
          <w:lang w:val="en-GB"/>
        </w:rPr>
        <w:t>recalled that the previous submission presented a cost-utility analysis that resulted in a</w:t>
      </w:r>
      <w:r w:rsidR="009D0370">
        <w:rPr>
          <w:rFonts w:asciiTheme="minorHAnsi" w:hAnsiTheme="minorHAnsi"/>
          <w:bCs/>
          <w:lang w:val="en-GB"/>
        </w:rPr>
        <w:t>n</w:t>
      </w:r>
      <w:r w:rsidR="00891500">
        <w:rPr>
          <w:rFonts w:asciiTheme="minorHAnsi" w:hAnsiTheme="minorHAnsi"/>
          <w:bCs/>
          <w:lang w:val="en-GB"/>
        </w:rPr>
        <w:t xml:space="preserve"> </w:t>
      </w:r>
      <w:r w:rsidR="00E41445">
        <w:rPr>
          <w:rFonts w:asciiTheme="minorHAnsi" w:hAnsiTheme="minorHAnsi"/>
          <w:bCs/>
          <w:lang w:val="en-GB"/>
        </w:rPr>
        <w:t>incremental cost-effectiveness ratio (</w:t>
      </w:r>
      <w:r w:rsidR="00891500">
        <w:rPr>
          <w:rFonts w:asciiTheme="minorHAnsi" w:hAnsiTheme="minorHAnsi"/>
          <w:bCs/>
          <w:lang w:val="en-GB"/>
        </w:rPr>
        <w:t>ICER</w:t>
      </w:r>
      <w:r w:rsidR="00E41445">
        <w:rPr>
          <w:rFonts w:asciiTheme="minorHAnsi" w:hAnsiTheme="minorHAnsi"/>
          <w:bCs/>
          <w:lang w:val="en-GB"/>
        </w:rPr>
        <w:t>) of more than $200,000 per quality adjusted life year (</w:t>
      </w:r>
      <w:r w:rsidR="00891500">
        <w:rPr>
          <w:rFonts w:asciiTheme="minorHAnsi" w:hAnsiTheme="minorHAnsi"/>
          <w:bCs/>
          <w:lang w:val="en-GB"/>
        </w:rPr>
        <w:t>QALY</w:t>
      </w:r>
      <w:r w:rsidR="00E41445">
        <w:rPr>
          <w:rFonts w:asciiTheme="minorHAnsi" w:hAnsiTheme="minorHAnsi"/>
          <w:bCs/>
          <w:lang w:val="en-GB"/>
        </w:rPr>
        <w:t>)</w:t>
      </w:r>
      <w:r w:rsidR="00891500">
        <w:rPr>
          <w:rFonts w:asciiTheme="minorHAnsi" w:hAnsiTheme="minorHAnsi"/>
          <w:bCs/>
          <w:lang w:val="en-GB"/>
        </w:rPr>
        <w:t xml:space="preserve">, which was unacceptably high and uncertain (paragraph 7.7, </w:t>
      </w:r>
      <w:proofErr w:type="spellStart"/>
      <w:r w:rsidR="00891500">
        <w:rPr>
          <w:rFonts w:asciiTheme="minorHAnsi" w:hAnsiTheme="minorHAnsi"/>
          <w:bCs/>
          <w:lang w:val="en-GB"/>
        </w:rPr>
        <w:t>nivolumab</w:t>
      </w:r>
      <w:proofErr w:type="spellEnd"/>
      <w:r w:rsidR="00891500">
        <w:rPr>
          <w:rFonts w:asciiTheme="minorHAnsi" w:hAnsiTheme="minorHAnsi"/>
          <w:bCs/>
          <w:lang w:val="en-GB"/>
        </w:rPr>
        <w:t xml:space="preserve"> plus </w:t>
      </w:r>
      <w:proofErr w:type="spellStart"/>
      <w:r w:rsidR="00891500">
        <w:rPr>
          <w:rFonts w:asciiTheme="minorHAnsi" w:hAnsiTheme="minorHAnsi"/>
          <w:bCs/>
          <w:lang w:val="en-GB"/>
        </w:rPr>
        <w:t>ipilimumab</w:t>
      </w:r>
      <w:proofErr w:type="spellEnd"/>
      <w:r w:rsidR="00891500">
        <w:rPr>
          <w:rFonts w:asciiTheme="minorHAnsi" w:hAnsiTheme="minorHAnsi"/>
          <w:bCs/>
          <w:lang w:val="en-GB"/>
        </w:rPr>
        <w:t xml:space="preserve"> PSD, March 2017). The resubmission presented a cost-analysis</w:t>
      </w:r>
      <w:r w:rsidR="00B22E1E">
        <w:rPr>
          <w:rFonts w:asciiTheme="minorHAnsi" w:hAnsiTheme="minorHAnsi"/>
          <w:bCs/>
          <w:lang w:val="en-GB"/>
        </w:rPr>
        <w:t xml:space="preserve"> in which the total cost of treating a patient with NIVO+IPI (including subsequent therapies) was </w:t>
      </w:r>
      <w:r w:rsidR="00C83F48">
        <w:rPr>
          <w:rFonts w:asciiTheme="minorHAnsi" w:hAnsiTheme="minorHAnsi"/>
          <w:bCs/>
          <w:lang w:val="en-GB"/>
        </w:rPr>
        <w:t xml:space="preserve">stated </w:t>
      </w:r>
      <w:r w:rsidR="0040571B">
        <w:rPr>
          <w:rFonts w:asciiTheme="minorHAnsi" w:hAnsiTheme="minorHAnsi"/>
          <w:bCs/>
          <w:lang w:val="en-GB"/>
        </w:rPr>
        <w:t xml:space="preserve">to be </w:t>
      </w:r>
      <w:r w:rsidR="00B22E1E">
        <w:rPr>
          <w:rFonts w:asciiTheme="minorHAnsi" w:hAnsiTheme="minorHAnsi"/>
          <w:bCs/>
          <w:lang w:val="en-GB"/>
        </w:rPr>
        <w:t xml:space="preserve">equal to the cost of treating a patient with </w:t>
      </w:r>
      <w:proofErr w:type="spellStart"/>
      <w:r w:rsidR="00B22E1E">
        <w:rPr>
          <w:rFonts w:asciiTheme="minorHAnsi" w:hAnsiTheme="minorHAnsi"/>
          <w:bCs/>
          <w:lang w:val="en-GB"/>
        </w:rPr>
        <w:t>nivolumab</w:t>
      </w:r>
      <w:proofErr w:type="spellEnd"/>
      <w:r w:rsidR="00B22E1E">
        <w:rPr>
          <w:rFonts w:asciiTheme="minorHAnsi" w:hAnsiTheme="minorHAnsi"/>
          <w:bCs/>
          <w:lang w:val="en-GB"/>
        </w:rPr>
        <w:t xml:space="preserve"> monotherapy (including subsequent therapies)</w:t>
      </w:r>
      <w:r w:rsidR="00891500">
        <w:rPr>
          <w:rFonts w:asciiTheme="minorHAnsi" w:hAnsiTheme="minorHAnsi"/>
          <w:bCs/>
          <w:lang w:val="en-GB"/>
        </w:rPr>
        <w:t>.</w:t>
      </w:r>
      <w:r w:rsidR="00B22E1E">
        <w:rPr>
          <w:rFonts w:asciiTheme="minorHAnsi" w:hAnsiTheme="minorHAnsi"/>
          <w:bCs/>
          <w:lang w:val="en-GB"/>
        </w:rPr>
        <w:t xml:space="preserve"> This cost was then used to derive the proposed effective prices for </w:t>
      </w:r>
      <w:proofErr w:type="spellStart"/>
      <w:r w:rsidR="00B22E1E">
        <w:rPr>
          <w:rFonts w:asciiTheme="minorHAnsi" w:hAnsiTheme="minorHAnsi"/>
          <w:bCs/>
          <w:lang w:val="en-GB"/>
        </w:rPr>
        <w:t>nivolumab</w:t>
      </w:r>
      <w:proofErr w:type="spellEnd"/>
      <w:r w:rsidR="00B22E1E">
        <w:rPr>
          <w:rFonts w:asciiTheme="minorHAnsi" w:hAnsiTheme="minorHAnsi"/>
          <w:bCs/>
          <w:lang w:val="en-GB"/>
        </w:rPr>
        <w:t xml:space="preserve"> and </w:t>
      </w:r>
      <w:proofErr w:type="spellStart"/>
      <w:r w:rsidR="00B22E1E">
        <w:rPr>
          <w:rFonts w:asciiTheme="minorHAnsi" w:hAnsiTheme="minorHAnsi"/>
          <w:bCs/>
          <w:lang w:val="en-GB"/>
        </w:rPr>
        <w:t>ipilimumab</w:t>
      </w:r>
      <w:proofErr w:type="spellEnd"/>
      <w:r w:rsidR="00B22E1E">
        <w:rPr>
          <w:rFonts w:asciiTheme="minorHAnsi" w:hAnsiTheme="minorHAnsi"/>
          <w:bCs/>
          <w:lang w:val="en-GB"/>
        </w:rPr>
        <w:t>.</w:t>
      </w:r>
      <w:r w:rsidR="00891500">
        <w:rPr>
          <w:rFonts w:asciiTheme="minorHAnsi" w:hAnsiTheme="minorHAnsi"/>
          <w:bCs/>
          <w:lang w:val="en-GB"/>
        </w:rPr>
        <w:t xml:space="preserve"> The PBAC </w:t>
      </w:r>
      <w:r>
        <w:rPr>
          <w:rFonts w:asciiTheme="minorHAnsi" w:hAnsiTheme="minorHAnsi"/>
          <w:bCs/>
          <w:lang w:val="en-GB"/>
        </w:rPr>
        <w:t xml:space="preserve">raised a number of concerns regarding the cost analysis </w:t>
      </w:r>
      <w:r w:rsidR="00891500">
        <w:rPr>
          <w:rFonts w:asciiTheme="minorHAnsi" w:hAnsiTheme="minorHAnsi"/>
          <w:bCs/>
          <w:lang w:val="en-GB"/>
        </w:rPr>
        <w:t>including</w:t>
      </w:r>
      <w:r w:rsidR="00226416">
        <w:rPr>
          <w:rFonts w:asciiTheme="minorHAnsi" w:hAnsiTheme="minorHAnsi"/>
          <w:bCs/>
          <w:lang w:val="en-GB"/>
        </w:rPr>
        <w:t xml:space="preserve"> that:</w:t>
      </w:r>
    </w:p>
    <w:p w:rsidR="00324AA2" w:rsidRDefault="00324AA2" w:rsidP="00226416">
      <w:pPr>
        <w:numPr>
          <w:ilvl w:val="1"/>
          <w:numId w:val="35"/>
        </w:numPr>
        <w:spacing w:after="120"/>
        <w:ind w:left="1077" w:hanging="357"/>
        <w:rPr>
          <w:rFonts w:asciiTheme="minorHAnsi" w:hAnsiTheme="minorHAnsi"/>
          <w:bCs/>
          <w:lang w:val="en-GB"/>
        </w:rPr>
      </w:pPr>
      <w:r>
        <w:rPr>
          <w:rFonts w:asciiTheme="minorHAnsi" w:hAnsiTheme="minorHAnsi"/>
          <w:bCs/>
          <w:lang w:val="en-GB"/>
        </w:rPr>
        <w:t xml:space="preserve">the </w:t>
      </w:r>
      <w:r w:rsidR="009B19B2">
        <w:rPr>
          <w:rFonts w:asciiTheme="minorHAnsi" w:hAnsiTheme="minorHAnsi"/>
          <w:bCs/>
          <w:lang w:val="en-GB"/>
        </w:rPr>
        <w:t xml:space="preserve">analysis was sensitive to the duration of </w:t>
      </w:r>
      <w:proofErr w:type="spellStart"/>
      <w:r w:rsidR="009B19B2">
        <w:rPr>
          <w:rFonts w:asciiTheme="minorHAnsi" w:hAnsiTheme="minorHAnsi"/>
          <w:bCs/>
          <w:lang w:val="en-GB"/>
        </w:rPr>
        <w:t>nivolumab</w:t>
      </w:r>
      <w:proofErr w:type="spellEnd"/>
      <w:r w:rsidR="009B19B2">
        <w:rPr>
          <w:rFonts w:asciiTheme="minorHAnsi" w:hAnsiTheme="minorHAnsi"/>
          <w:bCs/>
          <w:lang w:val="en-GB"/>
        </w:rPr>
        <w:t xml:space="preserve"> treatment </w:t>
      </w:r>
      <w:r w:rsidR="00496C4C">
        <w:rPr>
          <w:rFonts w:asciiTheme="minorHAnsi" w:hAnsiTheme="minorHAnsi"/>
          <w:bCs/>
          <w:lang w:val="en-GB"/>
        </w:rPr>
        <w:t xml:space="preserve">following induction </w:t>
      </w:r>
      <w:r w:rsidR="009B19B2">
        <w:rPr>
          <w:rFonts w:asciiTheme="minorHAnsi" w:hAnsiTheme="minorHAnsi"/>
          <w:bCs/>
          <w:lang w:val="en-GB"/>
        </w:rPr>
        <w:t xml:space="preserve">in combination with </w:t>
      </w:r>
      <w:proofErr w:type="spellStart"/>
      <w:r w:rsidR="009B19B2">
        <w:rPr>
          <w:rFonts w:asciiTheme="minorHAnsi" w:hAnsiTheme="minorHAnsi"/>
          <w:bCs/>
          <w:lang w:val="en-GB"/>
        </w:rPr>
        <w:t>ipilimumab</w:t>
      </w:r>
      <w:proofErr w:type="spellEnd"/>
      <w:r w:rsidR="00496C4C">
        <w:rPr>
          <w:rFonts w:asciiTheme="minorHAnsi" w:hAnsiTheme="minorHAnsi"/>
          <w:bCs/>
          <w:lang w:val="en-GB"/>
        </w:rPr>
        <w:t xml:space="preserve"> (17.49 doses) compared to when used as monotherapy (30.5 doses)</w:t>
      </w:r>
      <w:r w:rsidR="009B19B2">
        <w:rPr>
          <w:rFonts w:asciiTheme="minorHAnsi" w:hAnsiTheme="minorHAnsi"/>
          <w:bCs/>
          <w:lang w:val="en-GB"/>
        </w:rPr>
        <w:t xml:space="preserve">, the proportion of patients who used </w:t>
      </w:r>
      <w:proofErr w:type="spellStart"/>
      <w:r w:rsidR="009B19B2">
        <w:rPr>
          <w:rFonts w:asciiTheme="minorHAnsi" w:hAnsiTheme="minorHAnsi"/>
          <w:bCs/>
          <w:lang w:val="en-GB"/>
        </w:rPr>
        <w:t>ipilimumab</w:t>
      </w:r>
      <w:proofErr w:type="spellEnd"/>
      <w:r w:rsidR="009B19B2">
        <w:rPr>
          <w:rFonts w:asciiTheme="minorHAnsi" w:hAnsiTheme="minorHAnsi"/>
          <w:bCs/>
          <w:lang w:val="en-GB"/>
        </w:rPr>
        <w:t xml:space="preserve"> following </w:t>
      </w:r>
      <w:proofErr w:type="spellStart"/>
      <w:r w:rsidR="009B19B2">
        <w:rPr>
          <w:rFonts w:asciiTheme="minorHAnsi" w:hAnsiTheme="minorHAnsi"/>
          <w:bCs/>
          <w:lang w:val="en-GB"/>
        </w:rPr>
        <w:t>nivolumab</w:t>
      </w:r>
      <w:proofErr w:type="spellEnd"/>
      <w:r w:rsidR="00581759">
        <w:rPr>
          <w:rFonts w:asciiTheme="minorHAnsi" w:hAnsiTheme="minorHAnsi"/>
          <w:bCs/>
          <w:lang w:val="en-GB"/>
        </w:rPr>
        <w:t>,</w:t>
      </w:r>
      <w:r w:rsidR="009B19B2">
        <w:rPr>
          <w:rFonts w:asciiTheme="minorHAnsi" w:hAnsiTheme="minorHAnsi"/>
          <w:bCs/>
          <w:lang w:val="en-GB"/>
        </w:rPr>
        <w:t xml:space="preserve"> and the number of cycles of </w:t>
      </w:r>
      <w:proofErr w:type="spellStart"/>
      <w:r w:rsidR="009B19B2">
        <w:rPr>
          <w:rFonts w:asciiTheme="minorHAnsi" w:hAnsiTheme="minorHAnsi"/>
          <w:bCs/>
          <w:lang w:val="en-GB"/>
        </w:rPr>
        <w:t>ipilimumab</w:t>
      </w:r>
      <w:proofErr w:type="spellEnd"/>
      <w:r w:rsidR="009B19B2">
        <w:rPr>
          <w:rFonts w:asciiTheme="minorHAnsi" w:hAnsiTheme="minorHAnsi"/>
          <w:bCs/>
          <w:lang w:val="en-GB"/>
        </w:rPr>
        <w:t xml:space="preserve"> when used following </w:t>
      </w:r>
      <w:proofErr w:type="spellStart"/>
      <w:r w:rsidR="009B19B2">
        <w:rPr>
          <w:rFonts w:asciiTheme="minorHAnsi" w:hAnsiTheme="minorHAnsi"/>
          <w:bCs/>
          <w:lang w:val="en-GB"/>
        </w:rPr>
        <w:t>nivolumab</w:t>
      </w:r>
      <w:proofErr w:type="spellEnd"/>
      <w:r w:rsidR="009B19B2">
        <w:rPr>
          <w:rFonts w:asciiTheme="minorHAnsi" w:hAnsiTheme="minorHAnsi"/>
          <w:bCs/>
          <w:lang w:val="en-GB"/>
        </w:rPr>
        <w:t>;</w:t>
      </w:r>
    </w:p>
    <w:p w:rsidR="00226416" w:rsidRDefault="00603F6A" w:rsidP="00226416">
      <w:pPr>
        <w:numPr>
          <w:ilvl w:val="1"/>
          <w:numId w:val="35"/>
        </w:numPr>
        <w:spacing w:after="120"/>
        <w:ind w:left="1077" w:hanging="357"/>
        <w:rPr>
          <w:rFonts w:asciiTheme="minorHAnsi" w:hAnsiTheme="minorHAnsi"/>
          <w:bCs/>
          <w:lang w:val="en-GB"/>
        </w:rPr>
      </w:pPr>
      <w:r>
        <w:rPr>
          <w:rFonts w:asciiTheme="minorHAnsi" w:hAnsiTheme="minorHAnsi"/>
          <w:bCs/>
          <w:lang w:val="en-GB"/>
        </w:rPr>
        <w:t xml:space="preserve">due to the subsidisation cap </w:t>
      </w:r>
      <w:r w:rsidR="00226416">
        <w:rPr>
          <w:rFonts w:asciiTheme="minorHAnsi" w:hAnsiTheme="minorHAnsi"/>
          <w:bCs/>
          <w:lang w:val="en-GB"/>
        </w:rPr>
        <w:t xml:space="preserve">which </w:t>
      </w:r>
      <w:r>
        <w:rPr>
          <w:rFonts w:asciiTheme="minorHAnsi" w:hAnsiTheme="minorHAnsi"/>
          <w:bCs/>
          <w:lang w:val="en-GB"/>
        </w:rPr>
        <w:t>currently appl</w:t>
      </w:r>
      <w:r w:rsidR="00226416">
        <w:rPr>
          <w:rFonts w:asciiTheme="minorHAnsi" w:hAnsiTheme="minorHAnsi"/>
          <w:bCs/>
          <w:lang w:val="en-GB"/>
        </w:rPr>
        <w:t>ies</w:t>
      </w:r>
      <w:r>
        <w:rPr>
          <w:rFonts w:asciiTheme="minorHAnsi" w:hAnsiTheme="minorHAnsi"/>
          <w:bCs/>
          <w:lang w:val="en-GB"/>
        </w:rPr>
        <w:t xml:space="preserve"> to PD-1 monotherapies for melanoma, the cost-analysis, as performed in the </w:t>
      </w:r>
      <w:r w:rsidR="00067111">
        <w:rPr>
          <w:rFonts w:asciiTheme="minorHAnsi" w:hAnsiTheme="minorHAnsi"/>
          <w:bCs/>
          <w:lang w:val="en-GB"/>
        </w:rPr>
        <w:t xml:space="preserve">resubmission, would not result in a zero or negligible financial implication to the Australian Government health budget, and was </w:t>
      </w:r>
      <w:r w:rsidR="00226416">
        <w:rPr>
          <w:rFonts w:asciiTheme="minorHAnsi" w:hAnsiTheme="minorHAnsi"/>
          <w:bCs/>
          <w:lang w:val="en-GB"/>
        </w:rPr>
        <w:t xml:space="preserve">therefore </w:t>
      </w:r>
      <w:r w:rsidR="00067111">
        <w:rPr>
          <w:rFonts w:asciiTheme="minorHAnsi" w:hAnsiTheme="minorHAnsi"/>
          <w:bCs/>
          <w:lang w:val="en-GB"/>
        </w:rPr>
        <w:t xml:space="preserve">not a cost-minimisation analysis as claimed by the </w:t>
      </w:r>
      <w:r w:rsidR="00226416">
        <w:rPr>
          <w:rFonts w:asciiTheme="minorHAnsi" w:hAnsiTheme="minorHAnsi"/>
          <w:bCs/>
          <w:lang w:val="en-GB"/>
        </w:rPr>
        <w:t>resubmission;</w:t>
      </w:r>
      <w:r>
        <w:rPr>
          <w:rFonts w:asciiTheme="minorHAnsi" w:hAnsiTheme="minorHAnsi"/>
          <w:bCs/>
          <w:lang w:val="en-GB"/>
        </w:rPr>
        <w:t xml:space="preserve"> </w:t>
      </w:r>
      <w:r w:rsidR="00C15D2E">
        <w:rPr>
          <w:rFonts w:asciiTheme="minorHAnsi" w:hAnsiTheme="minorHAnsi"/>
          <w:bCs/>
          <w:lang w:val="en-GB"/>
        </w:rPr>
        <w:t>and</w:t>
      </w:r>
    </w:p>
    <w:p w:rsidR="003D21DF" w:rsidRDefault="00226416" w:rsidP="00226416">
      <w:pPr>
        <w:numPr>
          <w:ilvl w:val="1"/>
          <w:numId w:val="35"/>
        </w:numPr>
        <w:spacing w:after="120"/>
        <w:ind w:left="1077" w:hanging="357"/>
        <w:rPr>
          <w:rFonts w:asciiTheme="minorHAnsi" w:hAnsiTheme="minorHAnsi"/>
          <w:bCs/>
          <w:lang w:val="en-GB"/>
        </w:rPr>
      </w:pPr>
      <w:r>
        <w:rPr>
          <w:rFonts w:asciiTheme="minorHAnsi" w:hAnsiTheme="minorHAnsi"/>
          <w:bCs/>
          <w:lang w:val="en-GB"/>
        </w:rPr>
        <w:t xml:space="preserve">the resubmission requested separate items numbers for </w:t>
      </w:r>
      <w:proofErr w:type="spellStart"/>
      <w:r>
        <w:rPr>
          <w:rFonts w:asciiTheme="minorHAnsi" w:hAnsiTheme="minorHAnsi"/>
          <w:bCs/>
          <w:lang w:val="en-GB"/>
        </w:rPr>
        <w:t>nivolumab</w:t>
      </w:r>
      <w:proofErr w:type="spellEnd"/>
      <w:r>
        <w:rPr>
          <w:rFonts w:asciiTheme="minorHAnsi" w:hAnsiTheme="minorHAnsi"/>
          <w:bCs/>
          <w:lang w:val="en-GB"/>
        </w:rPr>
        <w:t xml:space="preserve"> and </w:t>
      </w:r>
      <w:proofErr w:type="spellStart"/>
      <w:r>
        <w:rPr>
          <w:rFonts w:asciiTheme="minorHAnsi" w:hAnsiTheme="minorHAnsi"/>
          <w:bCs/>
          <w:lang w:val="en-GB"/>
        </w:rPr>
        <w:t>ipilimumab</w:t>
      </w:r>
      <w:proofErr w:type="spellEnd"/>
      <w:r>
        <w:rPr>
          <w:rFonts w:asciiTheme="minorHAnsi" w:hAnsiTheme="minorHAnsi"/>
          <w:bCs/>
          <w:lang w:val="en-GB"/>
        </w:rPr>
        <w:t xml:space="preserve"> when used in combination, and therefore the application of </w:t>
      </w:r>
      <w:proofErr w:type="spellStart"/>
      <w:r w:rsidR="00E41445">
        <w:rPr>
          <w:rFonts w:asciiTheme="minorHAnsi" w:hAnsiTheme="minorHAnsi"/>
          <w:bCs/>
          <w:lang w:val="en-GB"/>
        </w:rPr>
        <w:t>nivolumab</w:t>
      </w:r>
      <w:proofErr w:type="spellEnd"/>
      <w:r>
        <w:rPr>
          <w:rFonts w:asciiTheme="minorHAnsi" w:hAnsiTheme="minorHAnsi"/>
          <w:bCs/>
          <w:lang w:val="en-GB"/>
        </w:rPr>
        <w:t xml:space="preserve"> monotherapy cost offsets in the cost analysis (and the financial analysis) were not appropriate in the scenario of separate subsidisation caps</w:t>
      </w:r>
      <w:r w:rsidR="00C15D2E">
        <w:rPr>
          <w:rFonts w:asciiTheme="minorHAnsi" w:hAnsiTheme="minorHAnsi"/>
          <w:bCs/>
          <w:lang w:val="en-GB"/>
        </w:rPr>
        <w:t>.</w:t>
      </w:r>
    </w:p>
    <w:p w:rsidR="00323A23" w:rsidRDefault="00323A23" w:rsidP="00871961">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891500">
        <w:rPr>
          <w:rFonts w:asciiTheme="minorHAnsi" w:hAnsiTheme="minorHAnsi"/>
          <w:bCs/>
          <w:lang w:val="en-GB"/>
        </w:rPr>
        <w:t>recalled that it considered the previous financial estimates to be uncertain and t</w:t>
      </w:r>
      <w:r w:rsidR="009F1954">
        <w:rPr>
          <w:rFonts w:asciiTheme="minorHAnsi" w:hAnsiTheme="minorHAnsi"/>
          <w:bCs/>
          <w:lang w:val="en-GB"/>
        </w:rPr>
        <w:t xml:space="preserve">he financial impact to be high at </w:t>
      </w:r>
      <w:r w:rsidR="00891500">
        <w:rPr>
          <w:rFonts w:asciiTheme="minorHAnsi" w:hAnsiTheme="minorHAnsi"/>
          <w:bCs/>
          <w:lang w:val="en-GB"/>
        </w:rPr>
        <w:t>more than $100 million over five years</w:t>
      </w:r>
      <w:r w:rsidR="009F1954">
        <w:rPr>
          <w:rFonts w:asciiTheme="minorHAnsi" w:hAnsiTheme="minorHAnsi"/>
          <w:bCs/>
          <w:lang w:val="en-GB"/>
        </w:rPr>
        <w:t xml:space="preserve"> (paragraph 7.8, </w:t>
      </w:r>
      <w:proofErr w:type="spellStart"/>
      <w:r w:rsidR="009F1954">
        <w:rPr>
          <w:rFonts w:asciiTheme="minorHAnsi" w:hAnsiTheme="minorHAnsi"/>
          <w:bCs/>
          <w:lang w:val="en-GB"/>
        </w:rPr>
        <w:t>nivolumab</w:t>
      </w:r>
      <w:proofErr w:type="spellEnd"/>
      <w:r w:rsidR="009F1954">
        <w:rPr>
          <w:rFonts w:asciiTheme="minorHAnsi" w:hAnsiTheme="minorHAnsi"/>
          <w:bCs/>
          <w:lang w:val="en-GB"/>
        </w:rPr>
        <w:t xml:space="preserve"> plus </w:t>
      </w:r>
      <w:proofErr w:type="spellStart"/>
      <w:r w:rsidR="009F1954">
        <w:rPr>
          <w:rFonts w:asciiTheme="minorHAnsi" w:hAnsiTheme="minorHAnsi"/>
          <w:bCs/>
          <w:lang w:val="en-GB"/>
        </w:rPr>
        <w:t>ipilimumab</w:t>
      </w:r>
      <w:proofErr w:type="spellEnd"/>
      <w:r w:rsidR="009F1954">
        <w:rPr>
          <w:rFonts w:asciiTheme="minorHAnsi" w:hAnsiTheme="minorHAnsi"/>
          <w:bCs/>
          <w:lang w:val="en-GB"/>
        </w:rPr>
        <w:t xml:space="preserve"> PSD, March 2017)</w:t>
      </w:r>
      <w:r w:rsidR="00891500">
        <w:rPr>
          <w:rFonts w:asciiTheme="minorHAnsi" w:hAnsiTheme="minorHAnsi"/>
          <w:bCs/>
          <w:lang w:val="en-GB"/>
        </w:rPr>
        <w:t>. The PBAC noted</w:t>
      </w:r>
      <w:r w:rsidR="00CC0C38">
        <w:rPr>
          <w:rFonts w:asciiTheme="minorHAnsi" w:hAnsiTheme="minorHAnsi"/>
          <w:bCs/>
          <w:lang w:val="en-GB"/>
        </w:rPr>
        <w:t xml:space="preserve"> that the resubmission offered considerable price reductions for </w:t>
      </w:r>
      <w:proofErr w:type="spellStart"/>
      <w:r w:rsidR="00CC0C38">
        <w:rPr>
          <w:rFonts w:asciiTheme="minorHAnsi" w:hAnsiTheme="minorHAnsi"/>
          <w:bCs/>
          <w:lang w:val="en-GB"/>
        </w:rPr>
        <w:t>nivolumab</w:t>
      </w:r>
      <w:proofErr w:type="spellEnd"/>
      <w:r w:rsidR="00CC0C38">
        <w:rPr>
          <w:rFonts w:asciiTheme="minorHAnsi" w:hAnsiTheme="minorHAnsi"/>
          <w:bCs/>
          <w:lang w:val="en-GB"/>
        </w:rPr>
        <w:t xml:space="preserve"> </w:t>
      </w:r>
      <w:r w:rsidR="00891500">
        <w:rPr>
          <w:rFonts w:asciiTheme="minorHAnsi" w:hAnsiTheme="minorHAnsi"/>
          <w:bCs/>
          <w:lang w:val="en-GB"/>
        </w:rPr>
        <w:t>(</w:t>
      </w:r>
      <w:r w:rsidR="00E94B3A">
        <w:rPr>
          <w:rFonts w:asciiTheme="minorHAnsi" w:hAnsiTheme="minorHAnsi"/>
          <w:bCs/>
          <w:noProof/>
          <w:color w:val="000000"/>
          <w:highlight w:val="black"/>
          <w:lang w:val="en-GB"/>
        </w:rPr>
        <w:t>'''''</w:t>
      </w:r>
      <w:r w:rsidR="00891500">
        <w:rPr>
          <w:rFonts w:asciiTheme="minorHAnsi" w:hAnsiTheme="minorHAnsi"/>
          <w:bCs/>
          <w:lang w:val="en-GB"/>
        </w:rPr>
        <w:t xml:space="preserve">% to </w:t>
      </w:r>
      <w:r w:rsidR="00E94B3A">
        <w:rPr>
          <w:rFonts w:asciiTheme="minorHAnsi" w:hAnsiTheme="minorHAnsi"/>
          <w:bCs/>
          <w:noProof/>
          <w:color w:val="000000"/>
          <w:highlight w:val="black"/>
          <w:lang w:val="en-GB"/>
        </w:rPr>
        <w:t>'''''</w:t>
      </w:r>
      <w:r w:rsidR="00891500">
        <w:rPr>
          <w:rFonts w:asciiTheme="minorHAnsi" w:hAnsiTheme="minorHAnsi"/>
          <w:bCs/>
          <w:lang w:val="en-GB"/>
        </w:rPr>
        <w:t xml:space="preserve">%) </w:t>
      </w:r>
      <w:r w:rsidR="00CC0C38">
        <w:rPr>
          <w:rFonts w:asciiTheme="minorHAnsi" w:hAnsiTheme="minorHAnsi"/>
          <w:bCs/>
          <w:lang w:val="en-GB"/>
        </w:rPr>
        <w:t xml:space="preserve">and </w:t>
      </w:r>
      <w:proofErr w:type="spellStart"/>
      <w:r w:rsidR="00CC0C38">
        <w:rPr>
          <w:rFonts w:asciiTheme="minorHAnsi" w:hAnsiTheme="minorHAnsi"/>
          <w:bCs/>
          <w:lang w:val="en-GB"/>
        </w:rPr>
        <w:t>ipilimumab</w:t>
      </w:r>
      <w:proofErr w:type="spellEnd"/>
      <w:r w:rsidR="00891500">
        <w:rPr>
          <w:rFonts w:asciiTheme="minorHAnsi" w:hAnsiTheme="minorHAnsi"/>
          <w:bCs/>
          <w:lang w:val="en-GB"/>
        </w:rPr>
        <w:t xml:space="preserve"> (</w:t>
      </w:r>
      <w:r w:rsidR="00E94B3A">
        <w:rPr>
          <w:rFonts w:asciiTheme="minorHAnsi" w:hAnsiTheme="minorHAnsi"/>
          <w:bCs/>
          <w:noProof/>
          <w:color w:val="000000"/>
          <w:highlight w:val="black"/>
          <w:lang w:val="en-GB"/>
        </w:rPr>
        <w:t>'''''</w:t>
      </w:r>
      <w:r w:rsidR="00891500">
        <w:rPr>
          <w:rFonts w:asciiTheme="minorHAnsi" w:hAnsiTheme="minorHAnsi"/>
          <w:bCs/>
          <w:lang w:val="en-GB"/>
        </w:rPr>
        <w:t>%)</w:t>
      </w:r>
      <w:r w:rsidR="00CC0C38">
        <w:rPr>
          <w:rFonts w:asciiTheme="minorHAnsi" w:hAnsiTheme="minorHAnsi"/>
          <w:bCs/>
          <w:lang w:val="en-GB"/>
        </w:rPr>
        <w:t xml:space="preserve">. However, the PBAC </w:t>
      </w:r>
      <w:r>
        <w:rPr>
          <w:rFonts w:asciiTheme="minorHAnsi" w:hAnsiTheme="minorHAnsi"/>
          <w:bCs/>
          <w:lang w:val="en-GB"/>
        </w:rPr>
        <w:t xml:space="preserve">considered that the financial impact </w:t>
      </w:r>
      <w:r w:rsidR="006E1AD1">
        <w:rPr>
          <w:rFonts w:asciiTheme="minorHAnsi" w:hAnsiTheme="minorHAnsi"/>
          <w:bCs/>
          <w:lang w:val="en-GB"/>
        </w:rPr>
        <w:t xml:space="preserve">of listing NIVO+IPI on the PBS </w:t>
      </w:r>
      <w:r w:rsidR="00CC0C38">
        <w:rPr>
          <w:rFonts w:asciiTheme="minorHAnsi" w:hAnsiTheme="minorHAnsi"/>
          <w:bCs/>
          <w:lang w:val="en-GB"/>
        </w:rPr>
        <w:t xml:space="preserve">for the estimated </w:t>
      </w:r>
      <w:r w:rsidR="00441FD6">
        <w:rPr>
          <w:rFonts w:asciiTheme="minorHAnsi" w:hAnsiTheme="minorHAnsi"/>
          <w:bCs/>
          <w:lang w:val="en-GB"/>
        </w:rPr>
        <w:t>less than 10,000</w:t>
      </w:r>
      <w:r w:rsidR="00CC0C38">
        <w:rPr>
          <w:rFonts w:asciiTheme="minorHAnsi" w:hAnsiTheme="minorHAnsi"/>
          <w:bCs/>
          <w:lang w:val="en-GB"/>
        </w:rPr>
        <w:t xml:space="preserve"> patients remained high (approximately $</w:t>
      </w:r>
      <w:r w:rsidR="00D44B0D">
        <w:rPr>
          <w:rFonts w:asciiTheme="minorHAnsi" w:hAnsiTheme="minorHAnsi"/>
          <w:bCs/>
          <w:lang w:val="en-GB"/>
        </w:rPr>
        <w:t xml:space="preserve">60 - $100 </w:t>
      </w:r>
      <w:r w:rsidR="00891500">
        <w:rPr>
          <w:rFonts w:asciiTheme="minorHAnsi" w:hAnsiTheme="minorHAnsi"/>
          <w:bCs/>
          <w:lang w:val="en-GB"/>
        </w:rPr>
        <w:t xml:space="preserve">million </w:t>
      </w:r>
      <w:r w:rsidR="00CC0C38">
        <w:rPr>
          <w:rFonts w:asciiTheme="minorHAnsi" w:hAnsiTheme="minorHAnsi"/>
          <w:bCs/>
          <w:lang w:val="en-GB"/>
        </w:rPr>
        <w:t xml:space="preserve">over the first six years) </w:t>
      </w:r>
      <w:r w:rsidR="00891500">
        <w:rPr>
          <w:rFonts w:asciiTheme="minorHAnsi" w:hAnsiTheme="minorHAnsi"/>
          <w:bCs/>
          <w:lang w:val="en-GB"/>
        </w:rPr>
        <w:t xml:space="preserve">and </w:t>
      </w:r>
      <w:r w:rsidR="006E1AD1">
        <w:rPr>
          <w:rFonts w:asciiTheme="minorHAnsi" w:hAnsiTheme="minorHAnsi"/>
          <w:bCs/>
          <w:lang w:val="en-GB"/>
        </w:rPr>
        <w:t>was</w:t>
      </w:r>
      <w:r>
        <w:rPr>
          <w:rFonts w:asciiTheme="minorHAnsi" w:hAnsiTheme="minorHAnsi"/>
          <w:bCs/>
          <w:lang w:val="en-GB"/>
        </w:rPr>
        <w:t xml:space="preserve"> </w:t>
      </w:r>
      <w:r w:rsidR="00CC0C38">
        <w:rPr>
          <w:rFonts w:asciiTheme="minorHAnsi" w:hAnsiTheme="minorHAnsi"/>
          <w:bCs/>
          <w:lang w:val="en-GB"/>
        </w:rPr>
        <w:t xml:space="preserve">likely to be considerably </w:t>
      </w:r>
      <w:r>
        <w:rPr>
          <w:rFonts w:asciiTheme="minorHAnsi" w:hAnsiTheme="minorHAnsi"/>
          <w:bCs/>
          <w:lang w:val="en-GB"/>
        </w:rPr>
        <w:t>underestimated</w:t>
      </w:r>
      <w:r w:rsidR="006E1AD1">
        <w:rPr>
          <w:rFonts w:asciiTheme="minorHAnsi" w:hAnsiTheme="minorHAnsi"/>
          <w:bCs/>
          <w:lang w:val="en-GB"/>
        </w:rPr>
        <w:t xml:space="preserve"> due to the issues surrounding the subsidisation cap outlined above and as the cost offsets for medicines displaced by NIVO+IPI were likely to have been overestimated.</w:t>
      </w:r>
      <w:r w:rsidR="006B4712">
        <w:rPr>
          <w:rFonts w:asciiTheme="minorHAnsi" w:hAnsiTheme="minorHAnsi"/>
          <w:bCs/>
          <w:lang w:val="en-GB"/>
        </w:rPr>
        <w:t xml:space="preserve"> </w:t>
      </w:r>
    </w:p>
    <w:p w:rsidR="00A90BBD" w:rsidRDefault="00C15D2E" w:rsidP="006A4308">
      <w:pPr>
        <w:numPr>
          <w:ilvl w:val="1"/>
          <w:numId w:val="2"/>
        </w:numPr>
        <w:spacing w:after="120"/>
        <w:rPr>
          <w:rFonts w:asciiTheme="minorHAnsi" w:hAnsiTheme="minorHAnsi"/>
          <w:bCs/>
          <w:lang w:val="en-GB"/>
        </w:rPr>
      </w:pPr>
      <w:r>
        <w:rPr>
          <w:rFonts w:asciiTheme="minorHAnsi" w:hAnsiTheme="minorHAnsi"/>
          <w:bCs/>
          <w:lang w:val="en-GB"/>
        </w:rPr>
        <w:t xml:space="preserve">The PBAC noted that the resubmission stated that the uncertainty in the </w:t>
      </w:r>
      <w:r w:rsidR="006E1AD1">
        <w:rPr>
          <w:rFonts w:asciiTheme="minorHAnsi" w:hAnsiTheme="minorHAnsi"/>
          <w:bCs/>
          <w:lang w:val="en-GB"/>
        </w:rPr>
        <w:t xml:space="preserve">cost-analysis and </w:t>
      </w:r>
      <w:r>
        <w:rPr>
          <w:rFonts w:asciiTheme="minorHAnsi" w:hAnsiTheme="minorHAnsi"/>
          <w:bCs/>
          <w:lang w:val="en-GB"/>
        </w:rPr>
        <w:t xml:space="preserve">financial estimates could be addressed in a Risk Share Arrangement which </w:t>
      </w:r>
      <w:r w:rsidRPr="00D703C9">
        <w:rPr>
          <w:rFonts w:asciiTheme="minorHAnsi" w:hAnsiTheme="minorHAnsi"/>
          <w:bCs/>
          <w:lang w:val="en-GB"/>
        </w:rPr>
        <w:t xml:space="preserve">provided </w:t>
      </w:r>
      <w:r w:rsidR="00E94B3A">
        <w:rPr>
          <w:rFonts w:asciiTheme="minorHAnsi" w:hAnsiTheme="minorHAnsi"/>
          <w:bCs/>
          <w:noProof/>
          <w:color w:val="000000"/>
          <w:highlight w:val="black"/>
          <w:lang w:val="en-GB"/>
        </w:rPr>
        <w:t>'''''''</w:t>
      </w:r>
      <w:r>
        <w:rPr>
          <w:rFonts w:asciiTheme="minorHAnsi" w:hAnsiTheme="minorHAnsi"/>
          <w:bCs/>
          <w:lang w:val="en-GB"/>
        </w:rPr>
        <w:t xml:space="preserve">% rebate beyond the </w:t>
      </w:r>
      <w:r w:rsidR="00CA07FE">
        <w:rPr>
          <w:rFonts w:asciiTheme="minorHAnsi" w:hAnsiTheme="minorHAnsi"/>
          <w:bCs/>
          <w:lang w:val="en-GB"/>
        </w:rPr>
        <w:t xml:space="preserve">currently </w:t>
      </w:r>
      <w:r>
        <w:rPr>
          <w:rFonts w:asciiTheme="minorHAnsi" w:hAnsiTheme="minorHAnsi"/>
          <w:bCs/>
          <w:lang w:val="en-GB"/>
        </w:rPr>
        <w:t xml:space="preserve">agreed subsidisation caps. The </w:t>
      </w:r>
      <w:r>
        <w:rPr>
          <w:rFonts w:asciiTheme="minorHAnsi" w:hAnsiTheme="minorHAnsi"/>
          <w:bCs/>
          <w:lang w:val="en-GB"/>
        </w:rPr>
        <w:lastRenderedPageBreak/>
        <w:t xml:space="preserve">sponsor requested a subsidisation cap specifically for NIVO+IPI, which was separate to the caps currently applying to PD-1 monotherapies for </w:t>
      </w:r>
      <w:proofErr w:type="spellStart"/>
      <w:r>
        <w:rPr>
          <w:rFonts w:asciiTheme="minorHAnsi" w:hAnsiTheme="minorHAnsi"/>
          <w:bCs/>
          <w:lang w:val="en-GB"/>
        </w:rPr>
        <w:t>unresectable</w:t>
      </w:r>
      <w:proofErr w:type="spellEnd"/>
      <w:r>
        <w:rPr>
          <w:rFonts w:asciiTheme="minorHAnsi" w:hAnsiTheme="minorHAnsi"/>
          <w:bCs/>
          <w:lang w:val="en-GB"/>
        </w:rPr>
        <w:t xml:space="preserve"> Stage III or Stage IV melanoma. </w:t>
      </w:r>
      <w:r w:rsidR="00E625B4">
        <w:rPr>
          <w:rFonts w:asciiTheme="minorHAnsi" w:hAnsiTheme="minorHAnsi"/>
          <w:bCs/>
          <w:lang w:val="en-GB"/>
        </w:rPr>
        <w:t>The PBAC</w:t>
      </w:r>
      <w:r>
        <w:rPr>
          <w:rFonts w:asciiTheme="minorHAnsi" w:hAnsiTheme="minorHAnsi"/>
          <w:bCs/>
          <w:lang w:val="en-GB"/>
        </w:rPr>
        <w:t xml:space="preserve"> </w:t>
      </w:r>
      <w:r w:rsidR="00323A23">
        <w:rPr>
          <w:rFonts w:asciiTheme="minorHAnsi" w:hAnsiTheme="minorHAnsi"/>
          <w:bCs/>
          <w:lang w:val="en-GB"/>
        </w:rPr>
        <w:t xml:space="preserve">recommendation of NIVO+IPI was </w:t>
      </w:r>
      <w:r w:rsidR="00E625B4">
        <w:rPr>
          <w:rFonts w:asciiTheme="minorHAnsi" w:hAnsiTheme="minorHAnsi"/>
          <w:bCs/>
          <w:lang w:val="en-GB"/>
        </w:rPr>
        <w:t>on the basis of</w:t>
      </w:r>
      <w:r w:rsidR="00323A23">
        <w:rPr>
          <w:rFonts w:asciiTheme="minorHAnsi" w:hAnsiTheme="minorHAnsi"/>
          <w:bCs/>
          <w:lang w:val="en-GB"/>
        </w:rPr>
        <w:t xml:space="preserve"> cost neutrality to the </w:t>
      </w:r>
      <w:r w:rsidR="00246FC6">
        <w:rPr>
          <w:rFonts w:asciiTheme="minorHAnsi" w:hAnsiTheme="minorHAnsi"/>
          <w:bCs/>
          <w:lang w:val="en-GB"/>
        </w:rPr>
        <w:t>PBS</w:t>
      </w:r>
      <w:r w:rsidR="00323A23">
        <w:rPr>
          <w:rFonts w:asciiTheme="minorHAnsi" w:hAnsiTheme="minorHAnsi"/>
          <w:bCs/>
          <w:lang w:val="en-GB"/>
        </w:rPr>
        <w:t>, that is, that the total sum of expenditure by the Australian Government for PD-1</w:t>
      </w:r>
      <w:r w:rsidR="003A17B1">
        <w:rPr>
          <w:rFonts w:asciiTheme="minorHAnsi" w:hAnsiTheme="minorHAnsi"/>
          <w:bCs/>
          <w:lang w:val="en-GB"/>
        </w:rPr>
        <w:t xml:space="preserve"> inhibitor</w:t>
      </w:r>
      <w:r w:rsidR="00323A23">
        <w:rPr>
          <w:rFonts w:asciiTheme="minorHAnsi" w:hAnsiTheme="minorHAnsi"/>
          <w:bCs/>
          <w:lang w:val="en-GB"/>
        </w:rPr>
        <w:t xml:space="preserve">s and </w:t>
      </w:r>
      <w:proofErr w:type="spellStart"/>
      <w:r w:rsidR="00E41445">
        <w:rPr>
          <w:rFonts w:asciiTheme="minorHAnsi" w:hAnsiTheme="minorHAnsi"/>
          <w:bCs/>
          <w:lang w:val="en-GB"/>
        </w:rPr>
        <w:t>ipilimumab</w:t>
      </w:r>
      <w:proofErr w:type="spellEnd"/>
      <w:r w:rsidR="00323A23">
        <w:rPr>
          <w:rFonts w:asciiTheme="minorHAnsi" w:hAnsiTheme="minorHAnsi"/>
          <w:bCs/>
          <w:lang w:val="en-GB"/>
        </w:rPr>
        <w:t xml:space="preserve"> would not increase</w:t>
      </w:r>
      <w:r w:rsidR="006E1AD1">
        <w:rPr>
          <w:rFonts w:asciiTheme="minorHAnsi" w:hAnsiTheme="minorHAnsi"/>
          <w:bCs/>
          <w:lang w:val="en-GB"/>
        </w:rPr>
        <w:t xml:space="preserve"> following the listing of NIVO+IPI for </w:t>
      </w:r>
      <w:proofErr w:type="spellStart"/>
      <w:r w:rsidR="006E1AD1">
        <w:rPr>
          <w:rFonts w:asciiTheme="minorHAnsi" w:hAnsiTheme="minorHAnsi"/>
          <w:bCs/>
          <w:lang w:val="en-GB"/>
        </w:rPr>
        <w:t>unresectable</w:t>
      </w:r>
      <w:proofErr w:type="spellEnd"/>
      <w:r w:rsidR="006E1AD1">
        <w:rPr>
          <w:rFonts w:asciiTheme="minorHAnsi" w:hAnsiTheme="minorHAnsi"/>
          <w:bCs/>
          <w:lang w:val="en-GB"/>
        </w:rPr>
        <w:t xml:space="preserve"> Stage III or Stage IV melanoma</w:t>
      </w:r>
      <w:r w:rsidR="00323A23">
        <w:rPr>
          <w:rFonts w:asciiTheme="minorHAnsi" w:hAnsiTheme="minorHAnsi"/>
          <w:bCs/>
          <w:lang w:val="en-GB"/>
        </w:rPr>
        <w:t xml:space="preserve">. </w:t>
      </w:r>
      <w:r w:rsidR="00436490">
        <w:rPr>
          <w:rFonts w:asciiTheme="minorHAnsi" w:hAnsiTheme="minorHAnsi"/>
          <w:bCs/>
          <w:lang w:val="en-GB"/>
        </w:rPr>
        <w:t>The PBAC agreed with the advice of</w:t>
      </w:r>
      <w:r w:rsidR="006A4308" w:rsidRPr="006A4308">
        <w:t xml:space="preserve"> </w:t>
      </w:r>
      <w:r w:rsidR="006A4308" w:rsidRPr="006A4308">
        <w:rPr>
          <w:rFonts w:asciiTheme="minorHAnsi" w:hAnsiTheme="minorHAnsi"/>
          <w:bCs/>
          <w:lang w:val="en-GB"/>
        </w:rPr>
        <w:t xml:space="preserve">DUSC </w:t>
      </w:r>
      <w:r w:rsidR="006A4308">
        <w:rPr>
          <w:rFonts w:asciiTheme="minorHAnsi" w:hAnsiTheme="minorHAnsi"/>
          <w:bCs/>
          <w:lang w:val="en-GB"/>
        </w:rPr>
        <w:t xml:space="preserve">and </w:t>
      </w:r>
      <w:r w:rsidR="006A4308" w:rsidRPr="006A4308">
        <w:rPr>
          <w:rFonts w:asciiTheme="minorHAnsi" w:hAnsiTheme="minorHAnsi"/>
          <w:bCs/>
          <w:lang w:val="en-GB"/>
        </w:rPr>
        <w:t>considered that the request for a separate subsidisation cap for the combination therapy</w:t>
      </w:r>
      <w:r w:rsidR="006A4308">
        <w:rPr>
          <w:rFonts w:asciiTheme="minorHAnsi" w:hAnsiTheme="minorHAnsi"/>
          <w:bCs/>
          <w:lang w:val="en-GB"/>
        </w:rPr>
        <w:t xml:space="preserve"> as </w:t>
      </w:r>
      <w:r w:rsidR="00CA07FE">
        <w:rPr>
          <w:rFonts w:asciiTheme="minorHAnsi" w:hAnsiTheme="minorHAnsi"/>
          <w:bCs/>
          <w:lang w:val="en-GB"/>
        </w:rPr>
        <w:t>suggested</w:t>
      </w:r>
      <w:r w:rsidR="006A4308">
        <w:rPr>
          <w:rFonts w:asciiTheme="minorHAnsi" w:hAnsiTheme="minorHAnsi"/>
          <w:bCs/>
          <w:lang w:val="en-GB"/>
        </w:rPr>
        <w:t xml:space="preserve"> by the sponsor</w:t>
      </w:r>
      <w:r w:rsidR="006A4308" w:rsidRPr="006A4308">
        <w:rPr>
          <w:rFonts w:asciiTheme="minorHAnsi" w:hAnsiTheme="minorHAnsi"/>
          <w:bCs/>
          <w:lang w:val="en-GB"/>
        </w:rPr>
        <w:t xml:space="preserve"> was inconsistent with its proposed listing on a cost-minimisation basis to PD-1 monotherapies. </w:t>
      </w:r>
      <w:r w:rsidR="00436490">
        <w:rPr>
          <w:rFonts w:asciiTheme="minorHAnsi" w:hAnsiTheme="minorHAnsi"/>
          <w:bCs/>
          <w:lang w:val="en-GB"/>
        </w:rPr>
        <w:t xml:space="preserve"> </w:t>
      </w:r>
    </w:p>
    <w:p w:rsidR="006A4308" w:rsidRPr="009F6B56" w:rsidRDefault="006A4308" w:rsidP="006A4308">
      <w:pPr>
        <w:numPr>
          <w:ilvl w:val="1"/>
          <w:numId w:val="2"/>
        </w:numPr>
        <w:spacing w:after="120"/>
        <w:rPr>
          <w:rFonts w:asciiTheme="minorHAnsi" w:hAnsiTheme="minorHAnsi"/>
          <w:bCs/>
          <w:lang w:val="en-GB"/>
        </w:rPr>
      </w:pPr>
      <w:r>
        <w:rPr>
          <w:rFonts w:asciiTheme="minorHAnsi" w:hAnsiTheme="minorHAnsi"/>
          <w:bCs/>
          <w:lang w:val="en-GB"/>
        </w:rPr>
        <w:t xml:space="preserve">The PBAC noted that to achieve a true no-cost listing, the current PD-1 monotherapy cap would have to remain unchanged.  The PBAC noted that this approach would be the same should a new </w:t>
      </w:r>
      <w:r w:rsidR="009F6B56">
        <w:rPr>
          <w:rFonts w:asciiTheme="minorHAnsi" w:hAnsiTheme="minorHAnsi"/>
          <w:bCs/>
          <w:lang w:val="en-GB"/>
        </w:rPr>
        <w:t>drug</w:t>
      </w:r>
      <w:r>
        <w:rPr>
          <w:rFonts w:asciiTheme="minorHAnsi" w:hAnsiTheme="minorHAnsi"/>
          <w:bCs/>
          <w:lang w:val="en-GB"/>
        </w:rPr>
        <w:t xml:space="preserve"> be recommended for the same indication on a cost-minimisation approach.  The PBAC further noted that the </w:t>
      </w:r>
      <w:proofErr w:type="spellStart"/>
      <w:r>
        <w:rPr>
          <w:rFonts w:asciiTheme="minorHAnsi" w:hAnsiTheme="minorHAnsi"/>
          <w:bCs/>
          <w:lang w:val="en-GB"/>
        </w:rPr>
        <w:t>ipilimumab</w:t>
      </w:r>
      <w:proofErr w:type="spellEnd"/>
      <w:r>
        <w:rPr>
          <w:rFonts w:asciiTheme="minorHAnsi" w:hAnsiTheme="minorHAnsi"/>
          <w:bCs/>
          <w:lang w:val="en-GB"/>
        </w:rPr>
        <w:t xml:space="preserve"> financial cap for the treatment of </w:t>
      </w:r>
      <w:r w:rsidRPr="006752CF">
        <w:t>melanoma</w:t>
      </w:r>
      <w:r>
        <w:t xml:space="preserve"> </w:t>
      </w:r>
      <w:r w:rsidR="00CA07FE">
        <w:t>has</w:t>
      </w:r>
      <w:r>
        <w:t xml:space="preserve"> never </w:t>
      </w:r>
      <w:r w:rsidR="00CA07FE">
        <w:t xml:space="preserve">been </w:t>
      </w:r>
      <w:r>
        <w:t xml:space="preserve">exceeded and therefore any increase in the current utilisation of </w:t>
      </w:r>
      <w:proofErr w:type="spellStart"/>
      <w:r>
        <w:t>ipilimumab</w:t>
      </w:r>
      <w:proofErr w:type="spellEnd"/>
      <w:r>
        <w:t xml:space="preserve"> due to the change to </w:t>
      </w:r>
      <w:r w:rsidR="009F6B56">
        <w:t xml:space="preserve">its listing would result in a cost to the PBS.  PBAC therefore </w:t>
      </w:r>
      <w:r w:rsidR="00CA07FE">
        <w:t>considered</w:t>
      </w:r>
      <w:r w:rsidR="009F6B56">
        <w:t xml:space="preserve"> that it may be appropriate for the current financial caps </w:t>
      </w:r>
      <w:r w:rsidR="00CA07FE">
        <w:t>to</w:t>
      </w:r>
      <w:r w:rsidR="009F6B56">
        <w:t xml:space="preserve"> be renegotiated to a level consistent with the current numbers of patients accessing </w:t>
      </w:r>
      <w:proofErr w:type="spellStart"/>
      <w:r w:rsidR="009F6B56">
        <w:t>ipilimumab</w:t>
      </w:r>
      <w:proofErr w:type="spellEnd"/>
      <w:r w:rsidR="009F6B56">
        <w:t xml:space="preserve"> through the PBS, allowing for annual incidence.</w:t>
      </w:r>
    </w:p>
    <w:p w:rsidR="009F6B56" w:rsidRDefault="009F6B56" w:rsidP="006B2EED">
      <w:pPr>
        <w:numPr>
          <w:ilvl w:val="1"/>
          <w:numId w:val="2"/>
        </w:numPr>
        <w:spacing w:after="120"/>
        <w:rPr>
          <w:rFonts w:asciiTheme="minorHAnsi" w:hAnsiTheme="minorHAnsi"/>
          <w:bCs/>
          <w:lang w:val="en-GB"/>
        </w:rPr>
      </w:pPr>
      <w:r>
        <w:rPr>
          <w:rFonts w:asciiTheme="minorHAnsi" w:hAnsiTheme="minorHAnsi"/>
          <w:bCs/>
          <w:lang w:val="en-GB"/>
        </w:rPr>
        <w:t xml:space="preserve">The PBAC further noted that it is likely that </w:t>
      </w:r>
      <w:r w:rsidR="006B2EED">
        <w:rPr>
          <w:rFonts w:asciiTheme="minorHAnsi" w:hAnsiTheme="minorHAnsi"/>
          <w:bCs/>
          <w:lang w:val="en-GB"/>
        </w:rPr>
        <w:t xml:space="preserve">the potential </w:t>
      </w:r>
      <w:r w:rsidR="006B2EED" w:rsidRPr="006B2EED">
        <w:rPr>
          <w:rFonts w:asciiTheme="minorHAnsi" w:hAnsiTheme="minorHAnsi"/>
          <w:bCs/>
          <w:lang w:val="en-GB"/>
        </w:rPr>
        <w:t xml:space="preserve">need for access to rescue therapies, for example infliximab for treatment-induced colitis, </w:t>
      </w:r>
      <w:r w:rsidR="006B2EED">
        <w:rPr>
          <w:rFonts w:asciiTheme="minorHAnsi" w:hAnsiTheme="minorHAnsi"/>
          <w:bCs/>
          <w:lang w:val="en-GB"/>
        </w:rPr>
        <w:t xml:space="preserve">may also result in an additional cost to the </w:t>
      </w:r>
      <w:r w:rsidR="00FC5A11">
        <w:rPr>
          <w:rFonts w:asciiTheme="minorHAnsi" w:hAnsiTheme="minorHAnsi"/>
          <w:bCs/>
          <w:lang w:val="en-GB"/>
        </w:rPr>
        <w:t>health system</w:t>
      </w:r>
      <w:r w:rsidR="00E47715">
        <w:rPr>
          <w:rFonts w:asciiTheme="minorHAnsi" w:hAnsiTheme="minorHAnsi"/>
          <w:bCs/>
          <w:lang w:val="en-GB"/>
        </w:rPr>
        <w:t>;</w:t>
      </w:r>
      <w:r w:rsidR="006B2EED">
        <w:rPr>
          <w:rFonts w:asciiTheme="minorHAnsi" w:hAnsiTheme="minorHAnsi"/>
          <w:bCs/>
          <w:lang w:val="en-GB"/>
        </w:rPr>
        <w:t xml:space="preserve"> however</w:t>
      </w:r>
      <w:r w:rsidR="00E47715">
        <w:rPr>
          <w:rFonts w:asciiTheme="minorHAnsi" w:hAnsiTheme="minorHAnsi"/>
          <w:bCs/>
          <w:lang w:val="en-GB"/>
        </w:rPr>
        <w:t>,</w:t>
      </w:r>
      <w:r w:rsidR="006B2EED">
        <w:rPr>
          <w:rFonts w:asciiTheme="minorHAnsi" w:hAnsiTheme="minorHAnsi"/>
          <w:bCs/>
          <w:lang w:val="en-GB"/>
        </w:rPr>
        <w:t xml:space="preserve"> this was difficult to quantify.</w:t>
      </w:r>
      <w:r w:rsidR="00BD767D">
        <w:rPr>
          <w:rFonts w:asciiTheme="minorHAnsi" w:hAnsiTheme="minorHAnsi"/>
          <w:bCs/>
          <w:lang w:val="en-GB"/>
        </w:rPr>
        <w:t xml:space="preserve"> The PBAC </w:t>
      </w:r>
      <w:r w:rsidR="007E746E">
        <w:rPr>
          <w:rFonts w:asciiTheme="minorHAnsi" w:hAnsiTheme="minorHAnsi"/>
          <w:bCs/>
          <w:lang w:val="en-GB"/>
        </w:rPr>
        <w:t xml:space="preserve">were concerned that listing NIVO+IPI without </w:t>
      </w:r>
      <w:r w:rsidR="00606692">
        <w:rPr>
          <w:rFonts w:asciiTheme="minorHAnsi" w:hAnsiTheme="minorHAnsi"/>
          <w:bCs/>
          <w:lang w:val="en-GB"/>
        </w:rPr>
        <w:t xml:space="preserve">funded </w:t>
      </w:r>
      <w:r w:rsidR="007E746E">
        <w:rPr>
          <w:rFonts w:asciiTheme="minorHAnsi" w:hAnsiTheme="minorHAnsi"/>
          <w:bCs/>
          <w:lang w:val="en-GB"/>
        </w:rPr>
        <w:t xml:space="preserve">access </w:t>
      </w:r>
      <w:r w:rsidR="00606692">
        <w:rPr>
          <w:rFonts w:asciiTheme="minorHAnsi" w:hAnsiTheme="minorHAnsi"/>
          <w:bCs/>
          <w:lang w:val="en-GB"/>
        </w:rPr>
        <w:t xml:space="preserve">to rescue therapies such as infliximab raised a safety concern, particularly in rural and remote settings and private hospitals, and </w:t>
      </w:r>
      <w:r w:rsidR="00BD767D">
        <w:rPr>
          <w:rFonts w:asciiTheme="minorHAnsi" w:hAnsiTheme="minorHAnsi"/>
          <w:bCs/>
          <w:lang w:val="en-GB"/>
        </w:rPr>
        <w:t xml:space="preserve">requested that the </w:t>
      </w:r>
      <w:r w:rsidR="007E746E">
        <w:rPr>
          <w:rFonts w:asciiTheme="minorHAnsi" w:hAnsiTheme="minorHAnsi"/>
          <w:bCs/>
          <w:lang w:val="en-GB"/>
        </w:rPr>
        <w:t xml:space="preserve">secretariat </w:t>
      </w:r>
      <w:r w:rsidR="00606692">
        <w:rPr>
          <w:rFonts w:asciiTheme="minorHAnsi" w:hAnsiTheme="minorHAnsi"/>
          <w:bCs/>
          <w:lang w:val="en-GB"/>
        </w:rPr>
        <w:t xml:space="preserve">work with the sponsor </w:t>
      </w:r>
      <w:r w:rsidR="000416C2">
        <w:rPr>
          <w:rFonts w:asciiTheme="minorHAnsi" w:hAnsiTheme="minorHAnsi"/>
          <w:bCs/>
          <w:lang w:val="en-GB"/>
        </w:rPr>
        <w:t>to ensure access</w:t>
      </w:r>
      <w:r w:rsidR="007E5A09">
        <w:rPr>
          <w:rFonts w:asciiTheme="minorHAnsi" w:hAnsiTheme="minorHAnsi"/>
          <w:bCs/>
          <w:lang w:val="en-GB"/>
        </w:rPr>
        <w:t xml:space="preserve"> to rescue therapies</w:t>
      </w:r>
      <w:r w:rsidR="00C81968">
        <w:rPr>
          <w:rFonts w:asciiTheme="minorHAnsi" w:hAnsiTheme="minorHAnsi"/>
          <w:bCs/>
          <w:lang w:val="en-GB"/>
        </w:rPr>
        <w:t xml:space="preserve"> </w:t>
      </w:r>
      <w:r w:rsidR="008F3044">
        <w:rPr>
          <w:rFonts w:asciiTheme="minorHAnsi" w:hAnsiTheme="minorHAnsi"/>
          <w:bCs/>
          <w:lang w:val="en-GB"/>
        </w:rPr>
        <w:t xml:space="preserve">is available </w:t>
      </w:r>
      <w:r w:rsidR="00C81968">
        <w:rPr>
          <w:rFonts w:asciiTheme="minorHAnsi" w:hAnsiTheme="minorHAnsi"/>
          <w:bCs/>
          <w:lang w:val="en-GB"/>
        </w:rPr>
        <w:t xml:space="preserve">prior to </w:t>
      </w:r>
      <w:r w:rsidR="008F3044">
        <w:rPr>
          <w:rFonts w:asciiTheme="minorHAnsi" w:hAnsiTheme="minorHAnsi"/>
          <w:bCs/>
          <w:lang w:val="en-GB"/>
        </w:rPr>
        <w:t xml:space="preserve">the </w:t>
      </w:r>
      <w:r w:rsidR="00C81968">
        <w:rPr>
          <w:rFonts w:asciiTheme="minorHAnsi" w:hAnsiTheme="minorHAnsi"/>
          <w:bCs/>
          <w:lang w:val="en-GB"/>
        </w:rPr>
        <w:t>listing</w:t>
      </w:r>
      <w:r w:rsidR="008F3044">
        <w:rPr>
          <w:rFonts w:asciiTheme="minorHAnsi" w:hAnsiTheme="minorHAnsi"/>
          <w:bCs/>
          <w:lang w:val="en-GB"/>
        </w:rPr>
        <w:t xml:space="preserve"> of NIVO+IPI</w:t>
      </w:r>
      <w:r w:rsidR="007E5A09">
        <w:rPr>
          <w:rFonts w:asciiTheme="minorHAnsi" w:hAnsiTheme="minorHAnsi"/>
          <w:bCs/>
          <w:lang w:val="en-GB"/>
        </w:rPr>
        <w:t>.</w:t>
      </w:r>
    </w:p>
    <w:p w:rsidR="00871961" w:rsidRDefault="008D23A8" w:rsidP="008D23A8">
      <w:pPr>
        <w:numPr>
          <w:ilvl w:val="1"/>
          <w:numId w:val="2"/>
        </w:numPr>
        <w:spacing w:after="120"/>
        <w:rPr>
          <w:rFonts w:asciiTheme="minorHAnsi" w:hAnsiTheme="minorHAnsi"/>
          <w:bCs/>
          <w:lang w:val="en-GB"/>
        </w:rPr>
      </w:pPr>
      <w:r>
        <w:rPr>
          <w:rFonts w:asciiTheme="minorHAnsi" w:hAnsiTheme="minorHAnsi"/>
          <w:bCs/>
          <w:lang w:val="en-GB"/>
        </w:rPr>
        <w:t xml:space="preserve">The PBAC noted that no clinical evidence was provided to support the use of NIVO+IPI combination therapy in patients with and </w:t>
      </w:r>
      <w:r w:rsidR="0087668A">
        <w:rPr>
          <w:rFonts w:asciiTheme="minorHAnsi" w:hAnsiTheme="minorHAnsi"/>
          <w:bCs/>
          <w:lang w:val="en-GB"/>
        </w:rPr>
        <w:t>Eastern Cooperative Oncology Group (</w:t>
      </w:r>
      <w:r>
        <w:rPr>
          <w:rFonts w:asciiTheme="minorHAnsi" w:hAnsiTheme="minorHAnsi"/>
          <w:bCs/>
          <w:lang w:val="en-GB"/>
        </w:rPr>
        <w:t>ECOG</w:t>
      </w:r>
      <w:r w:rsidR="0087668A">
        <w:rPr>
          <w:rFonts w:asciiTheme="minorHAnsi" w:hAnsiTheme="minorHAnsi"/>
          <w:bCs/>
          <w:lang w:val="en-GB"/>
        </w:rPr>
        <w:t>)</w:t>
      </w:r>
      <w:r>
        <w:rPr>
          <w:rFonts w:asciiTheme="minorHAnsi" w:hAnsiTheme="minorHAnsi"/>
          <w:bCs/>
          <w:lang w:val="en-GB"/>
        </w:rPr>
        <w:t xml:space="preserve"> performance status of &gt;1 or with ocular or uveal melanoma and therefore recommended </w:t>
      </w:r>
      <w:r w:rsidR="00496C4C">
        <w:rPr>
          <w:rFonts w:asciiTheme="minorHAnsi" w:hAnsiTheme="minorHAnsi"/>
          <w:bCs/>
          <w:lang w:val="en-GB"/>
        </w:rPr>
        <w:t>that the listing restrict use to reflect these limitations in clinical evidence</w:t>
      </w:r>
      <w:r>
        <w:rPr>
          <w:rFonts w:asciiTheme="minorHAnsi" w:hAnsiTheme="minorHAnsi"/>
          <w:bCs/>
          <w:lang w:val="en-GB"/>
        </w:rPr>
        <w:t xml:space="preserve">. </w:t>
      </w:r>
    </w:p>
    <w:p w:rsidR="00496C4C" w:rsidRPr="00525B39" w:rsidRDefault="00496C4C" w:rsidP="008D23A8">
      <w:pPr>
        <w:numPr>
          <w:ilvl w:val="1"/>
          <w:numId w:val="2"/>
        </w:numPr>
        <w:spacing w:after="120"/>
        <w:rPr>
          <w:rFonts w:asciiTheme="minorHAnsi" w:hAnsiTheme="minorHAnsi"/>
          <w:bCs/>
          <w:lang w:val="en-GB"/>
        </w:rPr>
      </w:pPr>
      <w:r>
        <w:rPr>
          <w:rFonts w:asciiTheme="minorHAnsi" w:hAnsiTheme="minorHAnsi"/>
          <w:bCs/>
          <w:lang w:val="en-GB"/>
        </w:rPr>
        <w:t xml:space="preserve">The PBAC noted advice from the sponsor that up to 329 additional patients </w:t>
      </w:r>
      <w:r w:rsidR="00C36B80">
        <w:rPr>
          <w:rFonts w:asciiTheme="minorHAnsi" w:hAnsiTheme="minorHAnsi"/>
          <w:bCs/>
          <w:lang w:val="en-GB"/>
        </w:rPr>
        <w:t>would receive NIVO+IPI via a patient access program. The PBAC recommended that a grandfather arrangement be added to the listing</w:t>
      </w:r>
      <w:r w:rsidR="00586ADE">
        <w:rPr>
          <w:rFonts w:asciiTheme="minorHAnsi" w:hAnsiTheme="minorHAnsi"/>
          <w:bCs/>
          <w:lang w:val="en-GB"/>
        </w:rPr>
        <w:t xml:space="preserve"> to </w:t>
      </w:r>
      <w:r w:rsidR="00C36B80">
        <w:rPr>
          <w:rFonts w:asciiTheme="minorHAnsi" w:hAnsiTheme="minorHAnsi"/>
          <w:bCs/>
          <w:lang w:val="en-GB"/>
        </w:rPr>
        <w:t>provide equity of access for those patients who would have met the initial PBS criteria at the time of commencing treatment</w:t>
      </w:r>
      <w:r w:rsidR="00586ADE">
        <w:rPr>
          <w:rFonts w:asciiTheme="minorHAnsi" w:hAnsiTheme="minorHAnsi"/>
          <w:bCs/>
          <w:lang w:val="en-GB"/>
        </w:rPr>
        <w:t xml:space="preserve">. </w:t>
      </w:r>
    </w:p>
    <w:p w:rsidR="00871961" w:rsidRPr="00525B39" w:rsidRDefault="00871961" w:rsidP="00871961">
      <w:pPr>
        <w:numPr>
          <w:ilvl w:val="1"/>
          <w:numId w:val="2"/>
        </w:numPr>
        <w:spacing w:after="120"/>
        <w:rPr>
          <w:rFonts w:asciiTheme="minorHAnsi" w:hAnsiTheme="minorHAnsi"/>
          <w:bCs/>
          <w:lang w:val="en-GB"/>
        </w:rPr>
      </w:pPr>
      <w:r w:rsidRPr="00525B39">
        <w:rPr>
          <w:rFonts w:asciiTheme="minorHAnsi" w:hAnsiTheme="minorHAnsi"/>
          <w:bCs/>
          <w:lang w:val="en-GB"/>
        </w:rPr>
        <w:t xml:space="preserve">The PBAC advised that </w:t>
      </w:r>
      <w:r w:rsidR="00891500">
        <w:rPr>
          <w:rFonts w:asciiTheme="minorHAnsi" w:hAnsiTheme="minorHAnsi"/>
          <w:bCs/>
          <w:lang w:val="en-GB"/>
        </w:rPr>
        <w:t xml:space="preserve">NIVO+IPI combination therapy </w:t>
      </w:r>
      <w:r w:rsidRPr="00525B39">
        <w:rPr>
          <w:rFonts w:asciiTheme="minorHAnsi" w:hAnsiTheme="minorHAnsi"/>
          <w:bCs/>
          <w:lang w:val="en-GB"/>
        </w:rPr>
        <w:t xml:space="preserve">is not suitable for prescribing by nurse practitioners.  </w:t>
      </w:r>
    </w:p>
    <w:p w:rsidR="00871961" w:rsidRDefault="00871961" w:rsidP="00871961">
      <w:pPr>
        <w:numPr>
          <w:ilvl w:val="1"/>
          <w:numId w:val="2"/>
        </w:numPr>
        <w:spacing w:after="120"/>
        <w:rPr>
          <w:rFonts w:asciiTheme="minorHAnsi" w:hAnsiTheme="minorHAnsi"/>
          <w:bCs/>
          <w:lang w:val="en-GB"/>
        </w:rPr>
      </w:pPr>
      <w:r w:rsidRPr="00525B39">
        <w:rPr>
          <w:rFonts w:asciiTheme="minorHAnsi" w:hAnsiTheme="minorHAnsi"/>
          <w:bCs/>
          <w:lang w:val="en-GB"/>
        </w:rPr>
        <w:t>The PBAC recommended that the Early Supply Rule should not apply</w:t>
      </w:r>
      <w:r w:rsidR="00891500">
        <w:rPr>
          <w:rFonts w:asciiTheme="minorHAnsi" w:hAnsiTheme="minorHAnsi"/>
          <w:bCs/>
          <w:lang w:val="en-GB"/>
        </w:rPr>
        <w:t xml:space="preserve"> to the listing of NIVO+IPI combination therapy</w:t>
      </w:r>
      <w:r w:rsidRPr="00525B39">
        <w:rPr>
          <w:rFonts w:asciiTheme="minorHAnsi" w:hAnsiTheme="minorHAnsi"/>
          <w:bCs/>
          <w:lang w:val="en-GB"/>
        </w:rPr>
        <w:t xml:space="preserve">. </w:t>
      </w:r>
    </w:p>
    <w:p w:rsidR="009F1954" w:rsidRDefault="009F1954" w:rsidP="00871961">
      <w:pPr>
        <w:numPr>
          <w:ilvl w:val="1"/>
          <w:numId w:val="2"/>
        </w:numPr>
        <w:spacing w:after="120"/>
        <w:rPr>
          <w:rFonts w:asciiTheme="minorHAnsi" w:hAnsiTheme="minorHAnsi"/>
          <w:bCs/>
          <w:lang w:val="en-GB"/>
        </w:rPr>
      </w:pPr>
      <w:r>
        <w:rPr>
          <w:rFonts w:asciiTheme="minorHAnsi" w:hAnsiTheme="minorHAnsi"/>
          <w:bCs/>
          <w:lang w:val="en-GB"/>
        </w:rPr>
        <w:t xml:space="preserve">The PBAC advised that under subsection 101(3BA) of the </w:t>
      </w:r>
      <w:r w:rsidRPr="009F1954">
        <w:rPr>
          <w:rFonts w:asciiTheme="minorHAnsi" w:hAnsiTheme="minorHAnsi"/>
          <w:bCs/>
          <w:i/>
          <w:lang w:val="en-GB"/>
        </w:rPr>
        <w:t>National Health Act, 1953</w:t>
      </w:r>
      <w:r>
        <w:rPr>
          <w:rFonts w:asciiTheme="minorHAnsi" w:hAnsiTheme="minorHAnsi"/>
          <w:bCs/>
          <w:lang w:val="en-GB"/>
        </w:rPr>
        <w:t xml:space="preserve"> </w:t>
      </w:r>
      <w:r>
        <w:rPr>
          <w:rFonts w:asciiTheme="minorHAnsi" w:hAnsiTheme="minorHAnsi"/>
          <w:bCs/>
          <w:lang w:val="en-GB"/>
        </w:rPr>
        <w:lastRenderedPageBreak/>
        <w:t>that NIVO+IPI combination therapy should not be treated as interchangeable on an individual patient basis with any other drugs.</w:t>
      </w:r>
    </w:p>
    <w:p w:rsidR="00A86056" w:rsidRPr="00525B39" w:rsidRDefault="00A86056" w:rsidP="00871961">
      <w:pPr>
        <w:numPr>
          <w:ilvl w:val="1"/>
          <w:numId w:val="2"/>
        </w:numPr>
        <w:spacing w:after="120"/>
        <w:rPr>
          <w:rFonts w:asciiTheme="minorHAnsi" w:hAnsiTheme="minorHAnsi"/>
          <w:bCs/>
          <w:lang w:val="en-GB"/>
        </w:rPr>
      </w:pPr>
      <w:r>
        <w:rPr>
          <w:rFonts w:asciiTheme="minorHAnsi" w:hAnsiTheme="minorHAnsi"/>
          <w:bCs/>
          <w:lang w:val="en-GB"/>
        </w:rPr>
        <w:t>The PBAC noted that this submission is not eligible for an Independent Review as it received a positive recommendation.</w:t>
      </w:r>
    </w:p>
    <w:p w:rsidR="00871961" w:rsidRPr="00525B39" w:rsidRDefault="00871961" w:rsidP="00871961">
      <w:pPr>
        <w:spacing w:before="240"/>
        <w:rPr>
          <w:rFonts w:asciiTheme="minorHAnsi" w:hAnsiTheme="minorHAnsi"/>
          <w:b/>
          <w:bCs/>
          <w:lang w:val="en-GB"/>
        </w:rPr>
      </w:pPr>
      <w:r w:rsidRPr="00525B39">
        <w:rPr>
          <w:rFonts w:asciiTheme="minorHAnsi" w:hAnsiTheme="minorHAnsi"/>
          <w:b/>
          <w:bCs/>
          <w:lang w:val="en-GB"/>
        </w:rPr>
        <w:t>Outcome:</w:t>
      </w:r>
    </w:p>
    <w:p w:rsidR="00871961" w:rsidRPr="00525B39" w:rsidRDefault="00871961" w:rsidP="00871961">
      <w:pPr>
        <w:rPr>
          <w:rFonts w:asciiTheme="minorHAnsi" w:hAnsiTheme="minorHAnsi"/>
          <w:bCs/>
          <w:lang w:val="en-GB"/>
        </w:rPr>
      </w:pPr>
      <w:r w:rsidRPr="00525B39">
        <w:rPr>
          <w:rFonts w:asciiTheme="minorHAnsi" w:hAnsiTheme="minorHAnsi"/>
          <w:bCs/>
          <w:lang w:val="en-GB"/>
        </w:rPr>
        <w:t xml:space="preserve">Recommended </w:t>
      </w:r>
    </w:p>
    <w:p w:rsidR="007F3CE5" w:rsidRPr="007F3CE5" w:rsidRDefault="00871961" w:rsidP="003235AE">
      <w:pPr>
        <w:pStyle w:val="PBACHeading1"/>
        <w:keepNext/>
        <w:spacing w:before="120" w:after="120"/>
        <w:outlineLvl w:val="0"/>
        <w:rPr>
          <w:i/>
          <w:lang w:val="en-GB"/>
        </w:rPr>
      </w:pPr>
      <w:r w:rsidRPr="00525B39">
        <w:rPr>
          <w:lang w:val="en-GB"/>
        </w:rPr>
        <w:t>Recommended listing</w:t>
      </w:r>
    </w:p>
    <w:p w:rsidR="00871961" w:rsidRPr="00D7672E" w:rsidRDefault="00E47715" w:rsidP="00586ADE">
      <w:pPr>
        <w:pStyle w:val="ListParagraph"/>
        <w:keepNext/>
        <w:numPr>
          <w:ilvl w:val="1"/>
          <w:numId w:val="2"/>
        </w:numPr>
        <w:rPr>
          <w:rFonts w:asciiTheme="minorHAnsi" w:hAnsiTheme="minorHAnsi"/>
          <w:bCs/>
        </w:rPr>
      </w:pPr>
      <w:r w:rsidRPr="00D7672E">
        <w:rPr>
          <w:rFonts w:asciiTheme="minorHAnsi" w:hAnsiTheme="minorHAnsi"/>
          <w:bCs/>
        </w:rPr>
        <w:t>Extend</w:t>
      </w:r>
      <w:r w:rsidR="00672724" w:rsidRPr="00D7672E">
        <w:rPr>
          <w:rFonts w:asciiTheme="minorHAnsi" w:hAnsiTheme="minorHAnsi"/>
          <w:bCs/>
        </w:rPr>
        <w:t xml:space="preserve"> existing</w:t>
      </w:r>
      <w:r w:rsidR="00871961" w:rsidRPr="00D7672E">
        <w:rPr>
          <w:rFonts w:asciiTheme="minorHAnsi" w:hAnsiTheme="minorHAnsi"/>
          <w:bCs/>
        </w:rPr>
        <w:t xml:space="preserve"> listing</w:t>
      </w:r>
      <w:r w:rsidR="00672724" w:rsidRPr="00D7672E">
        <w:rPr>
          <w:rFonts w:asciiTheme="minorHAnsi" w:hAnsiTheme="minorHAnsi"/>
          <w:bCs/>
        </w:rPr>
        <w:t>s</w:t>
      </w:r>
      <w:r w:rsidR="00871961" w:rsidRPr="00D7672E">
        <w:rPr>
          <w:rFonts w:asciiTheme="minorHAnsi" w:hAnsiTheme="minorHAnsi"/>
          <w:bCs/>
        </w:rPr>
        <w:t xml:space="preserve"> as follows:</w:t>
      </w:r>
    </w:p>
    <w:p w:rsidR="00D7672E" w:rsidRPr="00D7672E" w:rsidRDefault="00D7672E" w:rsidP="003235AE">
      <w:pPr>
        <w:keepNext/>
        <w:spacing w:before="120" w:after="120"/>
        <w:ind w:left="720"/>
        <w:rPr>
          <w:rFonts w:asciiTheme="minorHAnsi" w:hAnsiTheme="minorHAnsi"/>
          <w:bCs/>
          <w:u w:val="single"/>
        </w:rPr>
      </w:pPr>
      <w:r w:rsidRPr="00D7672E">
        <w:rPr>
          <w:rFonts w:asciiTheme="minorHAnsi" w:hAnsiTheme="minorHAnsi"/>
          <w:bCs/>
          <w:u w:val="single"/>
        </w:rPr>
        <w:t>Induction phase</w:t>
      </w:r>
    </w:p>
    <w:tbl>
      <w:tblPr>
        <w:tblW w:w="4907"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1"/>
        <w:gridCol w:w="1558"/>
        <w:gridCol w:w="1419"/>
        <w:gridCol w:w="1134"/>
        <w:gridCol w:w="1134"/>
        <w:gridCol w:w="1985"/>
      </w:tblGrid>
      <w:tr w:rsidR="001002FC" w:rsidRPr="003D1DE4" w:rsidTr="00672724">
        <w:tc>
          <w:tcPr>
            <w:tcW w:w="1874" w:type="pct"/>
            <w:gridSpan w:val="2"/>
            <w:tcBorders>
              <w:top w:val="nil"/>
              <w:right w:val="nil"/>
            </w:tcBorders>
          </w:tcPr>
          <w:p w:rsidR="009F1954" w:rsidRPr="003D1DE4" w:rsidRDefault="009F1954" w:rsidP="00586ADE">
            <w:pPr>
              <w:keepNext/>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82" w:type="pct"/>
            <w:tcBorders>
              <w:top w:val="nil"/>
              <w:left w:val="nil"/>
              <w:right w:val="nil"/>
            </w:tcBorders>
          </w:tcPr>
          <w:p w:rsidR="009F1954" w:rsidRPr="003D1DE4" w:rsidRDefault="009F1954" w:rsidP="00586ADE">
            <w:pPr>
              <w:keepNext/>
              <w:jc w:val="center"/>
              <w:rPr>
                <w:rFonts w:ascii="Arial Narrow" w:hAnsi="Arial Narrow"/>
                <w:b/>
                <w:sz w:val="20"/>
                <w:szCs w:val="20"/>
              </w:rPr>
            </w:pPr>
            <w:r>
              <w:rPr>
                <w:rFonts w:ascii="Arial Narrow" w:hAnsi="Arial Narrow"/>
                <w:b/>
                <w:sz w:val="20"/>
                <w:szCs w:val="20"/>
              </w:rPr>
              <w:t>Maximum amount</w:t>
            </w:r>
          </w:p>
        </w:tc>
        <w:tc>
          <w:tcPr>
            <w:tcW w:w="625" w:type="pct"/>
            <w:tcBorders>
              <w:top w:val="nil"/>
              <w:left w:val="nil"/>
              <w:right w:val="nil"/>
            </w:tcBorders>
          </w:tcPr>
          <w:p w:rsidR="009F1954" w:rsidRPr="003D1DE4" w:rsidRDefault="009F1954" w:rsidP="00586ADE">
            <w:pPr>
              <w:keepNext/>
              <w:jc w:val="center"/>
              <w:rPr>
                <w:rFonts w:ascii="Arial Narrow" w:hAnsi="Arial Narrow"/>
                <w:b/>
                <w:sz w:val="20"/>
                <w:szCs w:val="20"/>
              </w:rPr>
            </w:pPr>
            <w:r w:rsidRPr="003D1DE4">
              <w:rPr>
                <w:rFonts w:ascii="Arial Narrow" w:hAnsi="Arial Narrow"/>
                <w:b/>
                <w:sz w:val="20"/>
                <w:szCs w:val="20"/>
              </w:rPr>
              <w:t>No. of repeats</w:t>
            </w:r>
          </w:p>
        </w:tc>
        <w:tc>
          <w:tcPr>
            <w:tcW w:w="1719" w:type="pct"/>
            <w:gridSpan w:val="2"/>
            <w:tcBorders>
              <w:top w:val="nil"/>
              <w:left w:val="nil"/>
            </w:tcBorders>
          </w:tcPr>
          <w:p w:rsidR="009F1954" w:rsidRPr="003D1DE4" w:rsidRDefault="009F1954" w:rsidP="00586ADE">
            <w:pPr>
              <w:keepNext/>
              <w:jc w:val="left"/>
              <w:rPr>
                <w:rFonts w:ascii="Arial Narrow" w:hAnsi="Arial Narrow"/>
                <w:b/>
                <w:sz w:val="20"/>
                <w:szCs w:val="20"/>
              </w:rPr>
            </w:pPr>
            <w:r w:rsidRPr="003D1DE4">
              <w:rPr>
                <w:rFonts w:ascii="Arial Narrow" w:hAnsi="Arial Narrow"/>
                <w:b/>
                <w:sz w:val="20"/>
                <w:szCs w:val="20"/>
              </w:rPr>
              <w:t>Proprietary name and manufacturer</w:t>
            </w:r>
          </w:p>
        </w:tc>
      </w:tr>
      <w:tr w:rsidR="009F1954" w:rsidRPr="003D1DE4" w:rsidTr="00672724">
        <w:tc>
          <w:tcPr>
            <w:tcW w:w="5000" w:type="pct"/>
            <w:gridSpan w:val="6"/>
          </w:tcPr>
          <w:p w:rsidR="009F1954" w:rsidRPr="003D1DE4" w:rsidRDefault="009F1954" w:rsidP="00586ADE">
            <w:pPr>
              <w:keepNext/>
              <w:rPr>
                <w:rFonts w:ascii="Arial Narrow" w:hAnsi="Arial Narrow"/>
                <w:b/>
                <w:sz w:val="20"/>
                <w:szCs w:val="20"/>
              </w:rPr>
            </w:pPr>
            <w:r>
              <w:rPr>
                <w:rFonts w:ascii="Arial Narrow" w:hAnsi="Arial Narrow"/>
                <w:b/>
                <w:sz w:val="20"/>
                <w:szCs w:val="20"/>
              </w:rPr>
              <w:t>Induction (combination) phase</w:t>
            </w:r>
          </w:p>
        </w:tc>
      </w:tr>
      <w:tr w:rsidR="001002FC" w:rsidRPr="0019642C" w:rsidTr="00672724">
        <w:trPr>
          <w:trHeight w:val="964"/>
        </w:trPr>
        <w:tc>
          <w:tcPr>
            <w:tcW w:w="1874" w:type="pct"/>
            <w:gridSpan w:val="2"/>
            <w:tcBorders>
              <w:right w:val="nil"/>
            </w:tcBorders>
          </w:tcPr>
          <w:p w:rsidR="001002FC" w:rsidRPr="0019642C" w:rsidRDefault="001002FC" w:rsidP="00586ADE">
            <w:pPr>
              <w:keepNext/>
              <w:rPr>
                <w:rFonts w:ascii="Arial Narrow" w:hAnsi="Arial Narrow"/>
                <w:sz w:val="20"/>
                <w:szCs w:val="20"/>
              </w:rPr>
            </w:pPr>
            <w:proofErr w:type="spellStart"/>
            <w:r w:rsidRPr="0082090B">
              <w:rPr>
                <w:rFonts w:ascii="Arial Narrow" w:hAnsi="Arial Narrow"/>
                <w:smallCaps/>
                <w:sz w:val="20"/>
              </w:rPr>
              <w:t>Nivolumab</w:t>
            </w:r>
            <w:proofErr w:type="spellEnd"/>
          </w:p>
          <w:p w:rsidR="001002FC" w:rsidRDefault="001002FC" w:rsidP="00586ADE">
            <w:pPr>
              <w:keepNext/>
              <w:rPr>
                <w:rFonts w:ascii="Arial Narrow" w:hAnsi="Arial Narrow"/>
                <w:sz w:val="20"/>
              </w:rPr>
            </w:pPr>
            <w:r w:rsidRPr="009F1229">
              <w:rPr>
                <w:rFonts w:ascii="Arial Narrow" w:hAnsi="Arial Narrow"/>
                <w:sz w:val="20"/>
              </w:rPr>
              <w:t>100 mg/10 mL injection, 1 x 10 mL vial</w:t>
            </w:r>
            <w:r w:rsidRPr="0082090B">
              <w:rPr>
                <w:rFonts w:ascii="Arial Narrow" w:hAnsi="Arial Narrow"/>
                <w:sz w:val="20"/>
              </w:rPr>
              <w:t xml:space="preserve"> </w:t>
            </w:r>
          </w:p>
          <w:p w:rsidR="001002FC" w:rsidRPr="00A619DC" w:rsidRDefault="001002FC" w:rsidP="00586ADE">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1002FC" w:rsidRPr="0019642C" w:rsidRDefault="001002FC" w:rsidP="00586ADE">
            <w:pPr>
              <w:pStyle w:val="Tabletext"/>
              <w:keepNext/>
              <w:rPr>
                <w:szCs w:val="20"/>
              </w:rPr>
            </w:pPr>
          </w:p>
        </w:tc>
        <w:tc>
          <w:tcPr>
            <w:tcW w:w="782" w:type="pct"/>
            <w:tcBorders>
              <w:left w:val="nil"/>
              <w:right w:val="nil"/>
            </w:tcBorders>
          </w:tcPr>
          <w:p w:rsidR="001002FC" w:rsidRDefault="001002FC" w:rsidP="00586ADE">
            <w:pPr>
              <w:pStyle w:val="Tabletext"/>
              <w:keepNext/>
              <w:jc w:val="center"/>
            </w:pPr>
          </w:p>
          <w:p w:rsidR="001002FC" w:rsidRPr="0019642C" w:rsidRDefault="001002FC" w:rsidP="00586ADE">
            <w:pPr>
              <w:pStyle w:val="Tabletext"/>
              <w:keepNext/>
              <w:jc w:val="center"/>
              <w:rPr>
                <w:szCs w:val="20"/>
              </w:rPr>
            </w:pPr>
            <w:r>
              <w:t>120 mg</w:t>
            </w:r>
          </w:p>
        </w:tc>
        <w:tc>
          <w:tcPr>
            <w:tcW w:w="625" w:type="pct"/>
            <w:tcBorders>
              <w:left w:val="nil"/>
              <w:right w:val="nil"/>
            </w:tcBorders>
          </w:tcPr>
          <w:p w:rsidR="001002FC" w:rsidRDefault="001002FC" w:rsidP="00586ADE">
            <w:pPr>
              <w:pStyle w:val="Tabletext"/>
              <w:keepNext/>
              <w:jc w:val="center"/>
            </w:pPr>
          </w:p>
          <w:p w:rsidR="001002FC" w:rsidRPr="0019642C" w:rsidRDefault="001002FC" w:rsidP="00586ADE">
            <w:pPr>
              <w:pStyle w:val="Tabletext"/>
              <w:keepNext/>
              <w:jc w:val="center"/>
              <w:rPr>
                <w:szCs w:val="20"/>
              </w:rPr>
            </w:pPr>
            <w:r>
              <w:t>3</w:t>
            </w:r>
          </w:p>
        </w:tc>
        <w:tc>
          <w:tcPr>
            <w:tcW w:w="625" w:type="pct"/>
            <w:tcBorders>
              <w:left w:val="nil"/>
              <w:right w:val="nil"/>
            </w:tcBorders>
          </w:tcPr>
          <w:p w:rsidR="001002FC" w:rsidRDefault="001002FC" w:rsidP="00586ADE">
            <w:pPr>
              <w:pStyle w:val="Tabletext"/>
              <w:keepNext/>
            </w:pPr>
          </w:p>
          <w:p w:rsidR="001002FC" w:rsidRDefault="001002FC" w:rsidP="00586ADE">
            <w:pPr>
              <w:pStyle w:val="Tabletext"/>
              <w:keepNext/>
              <w:rPr>
                <w:vertAlign w:val="superscript"/>
              </w:rPr>
            </w:pPr>
            <w:proofErr w:type="spellStart"/>
            <w:r>
              <w:t>Opdivo</w:t>
            </w:r>
            <w:proofErr w:type="spellEnd"/>
            <w:r>
              <w:rPr>
                <w:vertAlign w:val="superscript"/>
              </w:rPr>
              <w:t>®</w:t>
            </w:r>
          </w:p>
        </w:tc>
        <w:tc>
          <w:tcPr>
            <w:tcW w:w="1094" w:type="pct"/>
            <w:tcBorders>
              <w:left w:val="nil"/>
            </w:tcBorders>
          </w:tcPr>
          <w:p w:rsidR="001002FC" w:rsidRDefault="001002FC" w:rsidP="00586ADE">
            <w:pPr>
              <w:pStyle w:val="Tabletext"/>
              <w:keepNext/>
            </w:pPr>
          </w:p>
          <w:p w:rsidR="001002FC" w:rsidRPr="006C4B9E" w:rsidRDefault="001002FC" w:rsidP="00586ADE">
            <w:pPr>
              <w:pStyle w:val="Tabletext"/>
              <w:keepNext/>
              <w:rPr>
                <w:szCs w:val="20"/>
                <w:vertAlign w:val="superscript"/>
              </w:rPr>
            </w:pPr>
            <w:r w:rsidRPr="003E5190">
              <w:t>Bristol-Myers Squibb Australia Pty Ltd (BQ)</w:t>
            </w:r>
          </w:p>
        </w:tc>
      </w:tr>
      <w:tr w:rsidR="00672724" w:rsidRPr="008123DA" w:rsidTr="00672724">
        <w:tc>
          <w:tcPr>
            <w:tcW w:w="1874" w:type="pct"/>
            <w:gridSpan w:val="2"/>
            <w:tcBorders>
              <w:right w:val="nil"/>
            </w:tcBorders>
          </w:tcPr>
          <w:p w:rsidR="001002FC" w:rsidRPr="0082090B" w:rsidRDefault="001002FC" w:rsidP="00586ADE">
            <w:pPr>
              <w:keepNext/>
              <w:rPr>
                <w:rFonts w:ascii="Arial Narrow" w:hAnsi="Arial Narrow"/>
                <w:sz w:val="20"/>
              </w:rPr>
            </w:pPr>
            <w:r>
              <w:rPr>
                <w:rFonts w:ascii="Arial Narrow" w:hAnsi="Arial Narrow"/>
                <w:smallCaps/>
                <w:sz w:val="20"/>
              </w:rPr>
              <w:t>Ipilimumab</w:t>
            </w:r>
          </w:p>
          <w:p w:rsidR="001002FC" w:rsidRPr="00A619DC" w:rsidRDefault="001002FC" w:rsidP="00586ADE">
            <w:pPr>
              <w:keepNext/>
              <w:rPr>
                <w:rFonts w:ascii="Arial Narrow" w:hAnsi="Arial Narrow"/>
                <w:sz w:val="20"/>
                <w:vertAlign w:val="superscript"/>
              </w:rPr>
            </w:pPr>
            <w:r>
              <w:rPr>
                <w:rFonts w:ascii="Arial Narrow" w:hAnsi="Arial Narrow"/>
                <w:sz w:val="20"/>
              </w:rPr>
              <w:t>200</w:t>
            </w:r>
            <w:r w:rsidRPr="0082090B">
              <w:rPr>
                <w:rFonts w:ascii="Arial Narrow" w:hAnsi="Arial Narrow"/>
                <w:sz w:val="20"/>
              </w:rPr>
              <w:t> mg/4</w:t>
            </w:r>
            <w:r>
              <w:rPr>
                <w:rFonts w:ascii="Arial Narrow" w:hAnsi="Arial Narrow"/>
                <w:sz w:val="20"/>
              </w:rPr>
              <w:t>0</w:t>
            </w:r>
            <w:r w:rsidRPr="0082090B">
              <w:rPr>
                <w:rFonts w:ascii="Arial Narrow" w:hAnsi="Arial Narrow"/>
                <w:sz w:val="20"/>
              </w:rPr>
              <w:t xml:space="preserve"> mL injection, 1 x </w:t>
            </w:r>
            <w:r w:rsidRPr="00975755">
              <w:rPr>
                <w:rFonts w:ascii="Arial Narrow" w:hAnsi="Arial Narrow"/>
                <w:sz w:val="20"/>
              </w:rPr>
              <w:t>4</w:t>
            </w:r>
            <w:r>
              <w:rPr>
                <w:rFonts w:ascii="Arial Narrow" w:hAnsi="Arial Narrow"/>
                <w:sz w:val="20"/>
              </w:rPr>
              <w:t>0</w:t>
            </w:r>
            <w:r w:rsidRPr="00975755">
              <w:rPr>
                <w:rFonts w:ascii="Arial Narrow" w:hAnsi="Arial Narrow"/>
                <w:sz w:val="20"/>
              </w:rPr>
              <w:t> mL</w:t>
            </w:r>
            <w:r w:rsidRPr="00A619DC">
              <w:rPr>
                <w:rFonts w:ascii="Arial Narrow" w:hAnsi="Arial Narrow"/>
                <w:i/>
                <w:sz w:val="20"/>
              </w:rPr>
              <w:t xml:space="preserve"> </w:t>
            </w:r>
            <w:r w:rsidRPr="0082090B">
              <w:rPr>
                <w:rFonts w:ascii="Arial Narrow" w:hAnsi="Arial Narrow"/>
                <w:sz w:val="20"/>
              </w:rPr>
              <w:t>vial</w:t>
            </w:r>
          </w:p>
          <w:p w:rsidR="001002FC" w:rsidRDefault="001002FC" w:rsidP="00586ADE">
            <w:pPr>
              <w:pStyle w:val="Tabletext"/>
              <w:keepNext/>
            </w:pPr>
            <w:r>
              <w:t>5</w:t>
            </w:r>
            <w:r w:rsidRPr="0082090B">
              <w:t xml:space="preserve">0 mg/10 mL injection, 1 x </w:t>
            </w:r>
            <w:r w:rsidRPr="00975755">
              <w:t>10 mL</w:t>
            </w:r>
            <w:r w:rsidRPr="0082090B">
              <w:t xml:space="preserve"> vial</w:t>
            </w:r>
          </w:p>
          <w:p w:rsidR="001002FC" w:rsidRPr="008123DA" w:rsidRDefault="001002FC" w:rsidP="00586ADE">
            <w:pPr>
              <w:pStyle w:val="Tabletext"/>
              <w:keepNext/>
            </w:pPr>
          </w:p>
        </w:tc>
        <w:tc>
          <w:tcPr>
            <w:tcW w:w="782" w:type="pct"/>
            <w:tcBorders>
              <w:left w:val="nil"/>
              <w:right w:val="nil"/>
            </w:tcBorders>
          </w:tcPr>
          <w:p w:rsidR="001002FC" w:rsidRDefault="001002FC" w:rsidP="00586ADE">
            <w:pPr>
              <w:pStyle w:val="Tabletext"/>
              <w:keepNext/>
              <w:jc w:val="center"/>
            </w:pPr>
          </w:p>
          <w:p w:rsidR="001002FC" w:rsidRPr="008123DA" w:rsidRDefault="001002FC" w:rsidP="00586ADE">
            <w:pPr>
              <w:pStyle w:val="Tabletext"/>
              <w:keepNext/>
              <w:jc w:val="center"/>
            </w:pPr>
            <w:r>
              <w:t>360 mg</w:t>
            </w:r>
          </w:p>
        </w:tc>
        <w:tc>
          <w:tcPr>
            <w:tcW w:w="625" w:type="pct"/>
            <w:tcBorders>
              <w:left w:val="nil"/>
              <w:right w:val="nil"/>
            </w:tcBorders>
          </w:tcPr>
          <w:p w:rsidR="001002FC" w:rsidRDefault="001002FC" w:rsidP="00586ADE">
            <w:pPr>
              <w:pStyle w:val="Tabletext"/>
              <w:keepNext/>
              <w:jc w:val="center"/>
            </w:pPr>
          </w:p>
          <w:p w:rsidR="001002FC" w:rsidRPr="008123DA" w:rsidRDefault="001002FC" w:rsidP="00586ADE">
            <w:pPr>
              <w:pStyle w:val="Tabletext"/>
              <w:keepNext/>
              <w:jc w:val="center"/>
            </w:pPr>
            <w:r>
              <w:t>3</w:t>
            </w:r>
          </w:p>
        </w:tc>
        <w:tc>
          <w:tcPr>
            <w:tcW w:w="625" w:type="pct"/>
            <w:tcBorders>
              <w:left w:val="nil"/>
              <w:right w:val="nil"/>
            </w:tcBorders>
          </w:tcPr>
          <w:p w:rsidR="001002FC" w:rsidRDefault="001002FC" w:rsidP="00586ADE">
            <w:pPr>
              <w:pStyle w:val="Tabletext"/>
              <w:keepNext/>
            </w:pPr>
          </w:p>
          <w:p w:rsidR="001002FC" w:rsidRDefault="001002FC" w:rsidP="00586ADE">
            <w:pPr>
              <w:pStyle w:val="Tabletext"/>
              <w:keepNext/>
              <w:rPr>
                <w:vertAlign w:val="superscript"/>
              </w:rPr>
            </w:pPr>
            <w:proofErr w:type="spellStart"/>
            <w:r>
              <w:t>Yervoy</w:t>
            </w:r>
            <w:proofErr w:type="spellEnd"/>
            <w:r>
              <w:rPr>
                <w:vertAlign w:val="superscript"/>
              </w:rPr>
              <w:t>®</w:t>
            </w:r>
          </w:p>
        </w:tc>
        <w:tc>
          <w:tcPr>
            <w:tcW w:w="1094" w:type="pct"/>
            <w:tcBorders>
              <w:left w:val="nil"/>
            </w:tcBorders>
          </w:tcPr>
          <w:p w:rsidR="001002FC" w:rsidRDefault="001002FC" w:rsidP="00586ADE">
            <w:pPr>
              <w:pStyle w:val="Tabletext"/>
              <w:keepNext/>
            </w:pPr>
          </w:p>
          <w:p w:rsidR="001002FC" w:rsidRPr="00B306D8" w:rsidRDefault="001002FC" w:rsidP="00586ADE">
            <w:pPr>
              <w:pStyle w:val="Tabletext"/>
              <w:keepNext/>
            </w:pPr>
            <w:r w:rsidRPr="003E5190">
              <w:t>Bristol-Myers Squibb Australia Pty Ltd (BQ)</w:t>
            </w:r>
          </w:p>
        </w:tc>
      </w:tr>
      <w:tr w:rsidR="009F1954" w:rsidTr="001002FC">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9F1954" w:rsidRPr="00D7672E" w:rsidRDefault="009F1954" w:rsidP="00E1706E">
            <w:pPr>
              <w:pStyle w:val="Tabletext"/>
              <w:rPr>
                <w:b/>
              </w:rPr>
            </w:pPr>
            <w:r w:rsidRPr="00D7672E">
              <w:rPr>
                <w:b/>
              </w:rPr>
              <w:t xml:space="preserve">Requested restriction for patients with BRAF </w:t>
            </w:r>
            <w:r w:rsidR="00D7672E">
              <w:rPr>
                <w:b/>
              </w:rPr>
              <w:t>V600 mutation negative melanoma</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t>Category</w:t>
            </w:r>
            <w:r w:rsidR="00672724">
              <w:rPr>
                <w:b/>
              </w:rPr>
              <w:t xml:space="preserve"> </w:t>
            </w:r>
            <w:r>
              <w:rPr>
                <w:b/>
              </w:rPr>
              <w:t>/</w:t>
            </w:r>
            <w:r w:rsidR="00672724">
              <w:rPr>
                <w:b/>
              </w:rPr>
              <w:t xml:space="preserve"> </w:t>
            </w:r>
            <w:r>
              <w:rPr>
                <w:b/>
              </w:rPr>
              <w:t>Program</w:t>
            </w:r>
            <w:r w:rsidR="00672724">
              <w:rPr>
                <w:b/>
              </w:rPr>
              <w:t>:</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Section 100 – Efficient funding of Chemotherapy</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Default="009F1954" w:rsidP="00E1706E">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Malignant melanoma </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PBS i</w:t>
            </w:r>
            <w:r w:rsidR="009F1954"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 malignant melanoma</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3371DA" w:rsidRDefault="009F1954" w:rsidP="00E1706E">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Induction (combination </w:t>
            </w:r>
            <w:proofErr w:type="spellStart"/>
            <w:r>
              <w:t>nivolumab</w:t>
            </w:r>
            <w:proofErr w:type="spellEnd"/>
            <w:r>
              <w:t xml:space="preserve"> and </w:t>
            </w:r>
            <w:proofErr w:type="spellStart"/>
            <w:r>
              <w:t>ipilimumab</w:t>
            </w:r>
            <w:proofErr w:type="spellEnd"/>
            <w:r>
              <w:t>) treatment</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045A2B" w:rsidRDefault="009F1954" w:rsidP="00E1706E">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9F1954" w:rsidRPr="00C31A26"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t>Clinical</w:t>
            </w:r>
            <w:r w:rsidRPr="00892A36">
              <w:rPr>
                <w:b/>
              </w:rPr>
              <w:t xml:space="preserve"> criteria:</w:t>
            </w:r>
          </w:p>
          <w:p w:rsidR="009F1954" w:rsidRPr="00045A2B" w:rsidRDefault="009F1954" w:rsidP="00E1706E">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9F1954" w:rsidRPr="00D7672E" w:rsidRDefault="009F1954" w:rsidP="00E1706E">
            <w:pPr>
              <w:pStyle w:val="Tabletext"/>
            </w:pPr>
            <w:r w:rsidRPr="00D7672E">
              <w:t xml:space="preserve">Patient must be receiving PBS-subsidised </w:t>
            </w:r>
            <w:proofErr w:type="spellStart"/>
            <w:r w:rsidRPr="00D7672E">
              <w:t>nivolumab</w:t>
            </w:r>
            <w:proofErr w:type="spellEnd"/>
            <w:r w:rsidRPr="00D7672E">
              <w:t xml:space="preserve"> and </w:t>
            </w:r>
            <w:proofErr w:type="spellStart"/>
            <w:r w:rsidRPr="00D7672E">
              <w:t>ipilimumab</w:t>
            </w:r>
            <w:proofErr w:type="spellEnd"/>
            <w:r w:rsidRPr="00D7672E">
              <w:t xml:space="preserve"> concomitantly for this condition,</w:t>
            </w:r>
          </w:p>
          <w:p w:rsidR="009F1954" w:rsidRPr="00D7672E" w:rsidRDefault="009F1954" w:rsidP="00E1706E">
            <w:pPr>
              <w:pStyle w:val="Tabletext"/>
            </w:pPr>
            <w:r w:rsidRPr="00D7672E">
              <w:t>AND</w:t>
            </w:r>
          </w:p>
          <w:p w:rsidR="009F1954" w:rsidRPr="00D7672E" w:rsidRDefault="009F1954" w:rsidP="00E1706E">
            <w:pPr>
              <w:pStyle w:val="Tabletext"/>
            </w:pPr>
            <w:r w:rsidRPr="00D7672E">
              <w:t xml:space="preserve">Patients must not have received prior treatment with </w:t>
            </w:r>
            <w:proofErr w:type="spellStart"/>
            <w:r w:rsidRPr="00D7672E">
              <w:t>ipilimumab</w:t>
            </w:r>
            <w:proofErr w:type="spellEnd"/>
            <w:r w:rsidRPr="00D7672E">
              <w:t xml:space="preserve"> or a PD-1 inhibitor</w:t>
            </w:r>
            <w:r w:rsidR="00E47715" w:rsidRPr="00D7672E">
              <w:t xml:space="preserve"> for this condition</w:t>
            </w:r>
            <w:r w:rsidRPr="00D7672E">
              <w:t>,</w:t>
            </w:r>
          </w:p>
          <w:p w:rsidR="009F1954" w:rsidRPr="00D7672E" w:rsidRDefault="009F1954" w:rsidP="00E1706E">
            <w:pPr>
              <w:pStyle w:val="Tabletext"/>
            </w:pPr>
            <w:r w:rsidRPr="00D7672E">
              <w:t>AND</w:t>
            </w:r>
          </w:p>
          <w:p w:rsidR="009F1954" w:rsidRPr="00D7672E" w:rsidRDefault="009F1954" w:rsidP="00E1706E">
            <w:pPr>
              <w:pStyle w:val="Tabletext"/>
            </w:pPr>
            <w:r w:rsidRPr="00D7672E">
              <w:t>Patients must have an Eastern Cooperative Oncology Group (ECOG) performance status of 0 or 1,</w:t>
            </w:r>
          </w:p>
          <w:p w:rsidR="009F1954" w:rsidRPr="00D7672E" w:rsidRDefault="009F1954" w:rsidP="00E1706E">
            <w:pPr>
              <w:pStyle w:val="Tabletext"/>
            </w:pPr>
            <w:r w:rsidRPr="00D7672E">
              <w:t xml:space="preserve">AND </w:t>
            </w:r>
          </w:p>
          <w:p w:rsidR="009F1954" w:rsidRPr="00D7672E" w:rsidRDefault="009F1954" w:rsidP="00E1706E">
            <w:pPr>
              <w:pStyle w:val="Tabletext"/>
            </w:pPr>
            <w:r w:rsidRPr="00D7672E">
              <w:t xml:space="preserve">Patients must not have ocular or uveal melanoma, </w:t>
            </w:r>
          </w:p>
          <w:p w:rsidR="009F1954" w:rsidRPr="00D7672E" w:rsidRDefault="009F1954" w:rsidP="00E1706E">
            <w:pPr>
              <w:pStyle w:val="Tabletext"/>
            </w:pPr>
            <w:r w:rsidRPr="00D7672E">
              <w:t>AND</w:t>
            </w:r>
          </w:p>
          <w:p w:rsidR="00E47715" w:rsidRPr="00D7672E" w:rsidRDefault="009F1954" w:rsidP="00E1706E">
            <w:pPr>
              <w:pStyle w:val="Tabletext"/>
            </w:pPr>
            <w:r w:rsidRPr="00D7672E">
              <w:t xml:space="preserve">The treatment with </w:t>
            </w:r>
            <w:proofErr w:type="spellStart"/>
            <w:r w:rsidRPr="00D7672E">
              <w:t>nivolumab</w:t>
            </w:r>
            <w:proofErr w:type="spellEnd"/>
            <w:r w:rsidRPr="00D7672E">
              <w:t xml:space="preserve"> must not exceed a total of 4 doses at a maximum dose of 1 mg per kg every 3 weeks</w:t>
            </w:r>
            <w:r w:rsidR="00E47715" w:rsidRPr="00D7672E">
              <w:t xml:space="preserve"> under this restriction</w:t>
            </w:r>
            <w:r w:rsidRPr="00D7672E">
              <w:t xml:space="preserve">, </w:t>
            </w:r>
          </w:p>
          <w:p w:rsidR="00E47715" w:rsidRPr="00D7672E" w:rsidRDefault="00E47715" w:rsidP="00E1706E">
            <w:pPr>
              <w:pStyle w:val="Tabletext"/>
            </w:pPr>
            <w:r w:rsidRPr="00D7672E">
              <w:t>AND</w:t>
            </w:r>
          </w:p>
          <w:p w:rsidR="009F1954" w:rsidRPr="003D1BE4" w:rsidRDefault="00E47715" w:rsidP="00E47715">
            <w:pPr>
              <w:pStyle w:val="Tabletext"/>
            </w:pPr>
            <w:r w:rsidRPr="00D7672E">
              <w:t>T</w:t>
            </w:r>
            <w:r w:rsidR="009F1954" w:rsidRPr="00D7672E">
              <w:t xml:space="preserve">he treatment with </w:t>
            </w:r>
            <w:proofErr w:type="spellStart"/>
            <w:r w:rsidR="009F1954" w:rsidRPr="00D7672E">
              <w:t>ipilimumab</w:t>
            </w:r>
            <w:proofErr w:type="spellEnd"/>
            <w:r w:rsidR="009F1954" w:rsidRPr="00D7672E">
              <w:t xml:space="preserve"> must not exceed a total of 4 doses at a maximum dose of 3 mg per kg every 3 weeks</w:t>
            </w:r>
            <w:r w:rsidRPr="00D7672E">
              <w:t xml:space="preserve"> under this restriction</w:t>
            </w:r>
            <w:r w:rsidR="009F1954" w:rsidRPr="00D7672E">
              <w:t>.</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Prescriber i</w:t>
            </w:r>
            <w:r w:rsidR="009F1954"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The patient’s body weight must be documented in the patient’s medical records at the time treatment is initiated.</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Administrative a</w:t>
            </w:r>
            <w:r w:rsidR="009F1954"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No increase in the maximum number of repeats may be authorised.</w:t>
            </w:r>
          </w:p>
          <w:p w:rsidR="009F1954" w:rsidRDefault="009F1954" w:rsidP="00E1706E">
            <w:pPr>
              <w:pStyle w:val="Tabletext"/>
            </w:pPr>
            <w:r>
              <w:t>Special Pricing Arrangements apply.</w:t>
            </w:r>
          </w:p>
        </w:tc>
      </w:tr>
      <w:tr w:rsidR="00442F8B" w:rsidTr="00442F8B">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bottom w:val="single" w:sz="4" w:space="0" w:color="auto"/>
            </w:tcBorders>
          </w:tcPr>
          <w:p w:rsidR="00442F8B" w:rsidRDefault="00442F8B" w:rsidP="00E1706E">
            <w:pPr>
              <w:pStyle w:val="Tabletext"/>
              <w:rPr>
                <w:i/>
              </w:rPr>
            </w:pPr>
          </w:p>
        </w:tc>
      </w:tr>
      <w:tr w:rsidR="009F1954" w:rsidTr="001002FC">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9F1954" w:rsidRPr="003B2EF8" w:rsidRDefault="009F1954" w:rsidP="00E1706E">
            <w:pPr>
              <w:pStyle w:val="Tabletext"/>
              <w:rPr>
                <w:i/>
              </w:rPr>
            </w:pPr>
            <w:r w:rsidRPr="00D7672E">
              <w:rPr>
                <w:b/>
              </w:rPr>
              <w:lastRenderedPageBreak/>
              <w:t>Requested restriction for patients with BRAF V600 mutation positive melanoma</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t>Category</w:t>
            </w:r>
            <w:r w:rsidR="00672724">
              <w:rPr>
                <w:b/>
              </w:rPr>
              <w:t xml:space="preserve"> </w:t>
            </w:r>
            <w:r>
              <w:rPr>
                <w:b/>
              </w:rPr>
              <w:t>/</w:t>
            </w:r>
            <w:r w:rsidR="00672724">
              <w:rPr>
                <w:b/>
              </w:rPr>
              <w:t xml:space="preserve"> </w:t>
            </w:r>
            <w:r>
              <w:rPr>
                <w:b/>
              </w:rPr>
              <w:t>Program</w:t>
            </w:r>
            <w:r w:rsidR="00672724">
              <w:rPr>
                <w:b/>
              </w:rPr>
              <w:t>:</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Section 100 – Efficient funding of Chemotherapy</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Default="009F1954" w:rsidP="00E1706E">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Malignant melanoma </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PBS i</w:t>
            </w:r>
            <w:r w:rsidR="009F1954"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 malignant melanoma</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3371DA" w:rsidRDefault="009F1954" w:rsidP="00E1706E">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Induction (combination </w:t>
            </w:r>
            <w:proofErr w:type="spellStart"/>
            <w:r>
              <w:t>nivolumab</w:t>
            </w:r>
            <w:proofErr w:type="spellEnd"/>
            <w:r>
              <w:t xml:space="preserve"> and </w:t>
            </w:r>
            <w:proofErr w:type="spellStart"/>
            <w:r>
              <w:t>ipilimumab</w:t>
            </w:r>
            <w:proofErr w:type="spellEnd"/>
            <w:r>
              <w:t>) treatment</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045A2B" w:rsidRDefault="009F1954" w:rsidP="00E1706E">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9F1954" w:rsidRPr="00C31A26"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t>Clinical</w:t>
            </w:r>
            <w:r w:rsidRPr="00892A36">
              <w:rPr>
                <w:b/>
              </w:rPr>
              <w:t xml:space="preserve"> criteria:</w:t>
            </w:r>
          </w:p>
          <w:p w:rsidR="009F1954" w:rsidRPr="00045A2B" w:rsidRDefault="009F1954" w:rsidP="00E1706E">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7F64A3" w:rsidRPr="00D7672E" w:rsidRDefault="007F64A3" w:rsidP="00E1706E">
            <w:pPr>
              <w:pStyle w:val="Tabletext"/>
            </w:pPr>
            <w:r w:rsidRPr="00D7672E">
              <w:t>The condition must be positive for a BRAF mutation,</w:t>
            </w:r>
          </w:p>
          <w:p w:rsidR="007F64A3" w:rsidRPr="00D7672E" w:rsidRDefault="007F64A3" w:rsidP="00E1706E">
            <w:pPr>
              <w:pStyle w:val="Tabletext"/>
            </w:pPr>
            <w:r w:rsidRPr="00D7672E">
              <w:t>AND</w:t>
            </w:r>
          </w:p>
          <w:p w:rsidR="007F64A3" w:rsidRPr="00D7672E" w:rsidRDefault="007F64A3" w:rsidP="00E1706E">
            <w:pPr>
              <w:pStyle w:val="Tabletext"/>
            </w:pPr>
            <w:r w:rsidRPr="00D7672E">
              <w:t>The condition must have progressed following treatment with a  BRAF inhibitor (with or without a MEK inhibitor),</w:t>
            </w:r>
          </w:p>
          <w:p w:rsidR="007F64A3" w:rsidRPr="00D7672E" w:rsidRDefault="007F64A3" w:rsidP="00E1706E">
            <w:pPr>
              <w:pStyle w:val="Tabletext"/>
            </w:pPr>
            <w:r w:rsidRPr="00D7672E">
              <w:t>OR</w:t>
            </w:r>
          </w:p>
          <w:p w:rsidR="007F64A3" w:rsidRPr="00D7672E" w:rsidRDefault="007F64A3" w:rsidP="00E1706E">
            <w:pPr>
              <w:pStyle w:val="Tabletext"/>
            </w:pPr>
            <w:r w:rsidRPr="00D7672E">
              <w:t>Patient must be contraindicated to treatment with a BRAF inhibitor,</w:t>
            </w:r>
          </w:p>
          <w:p w:rsidR="007F64A3" w:rsidRPr="00D7672E" w:rsidRDefault="007F64A3" w:rsidP="00E1706E">
            <w:pPr>
              <w:pStyle w:val="Tabletext"/>
            </w:pPr>
            <w:r w:rsidRPr="00D7672E">
              <w:t xml:space="preserve">OR </w:t>
            </w:r>
          </w:p>
          <w:p w:rsidR="007F64A3" w:rsidRPr="00D7672E" w:rsidRDefault="007F64A3" w:rsidP="00E1706E">
            <w:pPr>
              <w:pStyle w:val="Tabletext"/>
            </w:pPr>
            <w:r w:rsidRPr="00D7672E">
              <w:t>Patient must have developed intolerance to a BRAF inhibitor of a severity necessitating permanent treatment withdrawal,</w:t>
            </w:r>
          </w:p>
          <w:p w:rsidR="009F1954" w:rsidRPr="00D7672E" w:rsidRDefault="009F1954" w:rsidP="00E1706E">
            <w:pPr>
              <w:pStyle w:val="Tabletext"/>
            </w:pPr>
            <w:r w:rsidRPr="00D7672E">
              <w:t>AND</w:t>
            </w:r>
          </w:p>
          <w:p w:rsidR="009F1954" w:rsidRPr="00D7672E" w:rsidRDefault="009F1954" w:rsidP="00E1706E">
            <w:pPr>
              <w:pStyle w:val="Tabletext"/>
            </w:pPr>
            <w:r w:rsidRPr="00D7672E">
              <w:t xml:space="preserve">Patient must be receiving PBS-subsidised </w:t>
            </w:r>
            <w:proofErr w:type="spellStart"/>
            <w:r w:rsidRPr="00D7672E">
              <w:t>nivolumab</w:t>
            </w:r>
            <w:proofErr w:type="spellEnd"/>
            <w:r w:rsidRPr="00D7672E">
              <w:t xml:space="preserve"> and </w:t>
            </w:r>
            <w:proofErr w:type="spellStart"/>
            <w:r w:rsidRPr="00D7672E">
              <w:t>ipilimumab</w:t>
            </w:r>
            <w:proofErr w:type="spellEnd"/>
            <w:r w:rsidRPr="00D7672E">
              <w:t xml:space="preserve"> concomitantly for this condition,</w:t>
            </w:r>
          </w:p>
          <w:p w:rsidR="009F1954" w:rsidRPr="00D7672E" w:rsidRDefault="009F1954" w:rsidP="00E1706E">
            <w:pPr>
              <w:pStyle w:val="Tabletext"/>
            </w:pPr>
            <w:r w:rsidRPr="00D7672E">
              <w:t>AND</w:t>
            </w:r>
          </w:p>
          <w:p w:rsidR="009F1954" w:rsidRPr="00D7672E" w:rsidRDefault="009F1954" w:rsidP="00E1706E">
            <w:pPr>
              <w:pStyle w:val="Tabletext"/>
            </w:pPr>
            <w:r w:rsidRPr="00D7672E">
              <w:t xml:space="preserve">Patients must not have received prior treatment with </w:t>
            </w:r>
            <w:proofErr w:type="spellStart"/>
            <w:r w:rsidRPr="00D7672E">
              <w:t>ipilimumab</w:t>
            </w:r>
            <w:proofErr w:type="spellEnd"/>
            <w:r w:rsidRPr="00D7672E">
              <w:t xml:space="preserve"> or a PD-1 inhibitor</w:t>
            </w:r>
            <w:r w:rsidR="007F64A3" w:rsidRPr="00D7672E">
              <w:t xml:space="preserve"> for this condition</w:t>
            </w:r>
            <w:r w:rsidRPr="00D7672E">
              <w:t>,</w:t>
            </w:r>
          </w:p>
          <w:p w:rsidR="009F1954" w:rsidRPr="00D7672E" w:rsidRDefault="009F1954" w:rsidP="00E1706E">
            <w:pPr>
              <w:pStyle w:val="Tabletext"/>
            </w:pPr>
            <w:r w:rsidRPr="00D7672E">
              <w:t>AND</w:t>
            </w:r>
          </w:p>
          <w:p w:rsidR="009F1954" w:rsidRPr="00D7672E" w:rsidRDefault="009F1954" w:rsidP="00E1706E">
            <w:pPr>
              <w:pStyle w:val="Tabletext"/>
            </w:pPr>
            <w:r w:rsidRPr="00D7672E">
              <w:t>Patients must have an Eastern Cooperative Oncology Group (ECOG) performance status of 0 or 1,</w:t>
            </w:r>
          </w:p>
          <w:p w:rsidR="009F1954" w:rsidRPr="00D7672E" w:rsidRDefault="009F1954" w:rsidP="00E1706E">
            <w:pPr>
              <w:pStyle w:val="Tabletext"/>
            </w:pPr>
            <w:r w:rsidRPr="00D7672E">
              <w:t xml:space="preserve">AND </w:t>
            </w:r>
          </w:p>
          <w:p w:rsidR="009F1954" w:rsidRPr="00D7672E" w:rsidRDefault="009F1954" w:rsidP="00E1706E">
            <w:pPr>
              <w:pStyle w:val="Tabletext"/>
            </w:pPr>
            <w:r w:rsidRPr="00D7672E">
              <w:t xml:space="preserve">Patients must not have ocular or uveal melanoma, </w:t>
            </w:r>
          </w:p>
          <w:p w:rsidR="009F1954" w:rsidRPr="00D7672E" w:rsidRDefault="009F1954" w:rsidP="00E1706E">
            <w:pPr>
              <w:pStyle w:val="Tabletext"/>
            </w:pPr>
            <w:r w:rsidRPr="00D7672E">
              <w:t>AND</w:t>
            </w:r>
          </w:p>
          <w:p w:rsidR="007F64A3" w:rsidRPr="00D7672E" w:rsidRDefault="009F1954" w:rsidP="00E1706E">
            <w:pPr>
              <w:pStyle w:val="Tabletext"/>
            </w:pPr>
            <w:r w:rsidRPr="00D7672E">
              <w:t xml:space="preserve">The treatment with </w:t>
            </w:r>
            <w:proofErr w:type="spellStart"/>
            <w:r w:rsidRPr="00D7672E">
              <w:t>nivolumab</w:t>
            </w:r>
            <w:proofErr w:type="spellEnd"/>
            <w:r w:rsidRPr="00D7672E">
              <w:t xml:space="preserve"> must not exceed a total of 4 doses at a maximum dose of 1 mg per kg every 3 weeks</w:t>
            </w:r>
            <w:r w:rsidR="007F64A3" w:rsidRPr="00D7672E">
              <w:t xml:space="preserve"> under this restriction</w:t>
            </w:r>
            <w:r w:rsidRPr="00D7672E">
              <w:t xml:space="preserve">, </w:t>
            </w:r>
          </w:p>
          <w:p w:rsidR="007F64A3" w:rsidRPr="00D7672E" w:rsidRDefault="007F64A3" w:rsidP="00E1706E">
            <w:pPr>
              <w:pStyle w:val="Tabletext"/>
            </w:pPr>
            <w:r w:rsidRPr="00D7672E">
              <w:t>AND</w:t>
            </w:r>
          </w:p>
          <w:p w:rsidR="009F1954" w:rsidRPr="003D1BE4" w:rsidRDefault="007F64A3" w:rsidP="007F64A3">
            <w:pPr>
              <w:pStyle w:val="Tabletext"/>
            </w:pPr>
            <w:r w:rsidRPr="00D7672E">
              <w:t>T</w:t>
            </w:r>
            <w:r w:rsidR="009F1954" w:rsidRPr="00D7672E">
              <w:t xml:space="preserve">he treatment with </w:t>
            </w:r>
            <w:proofErr w:type="spellStart"/>
            <w:r w:rsidR="009F1954" w:rsidRPr="00D7672E">
              <w:t>ipilimumab</w:t>
            </w:r>
            <w:proofErr w:type="spellEnd"/>
            <w:r w:rsidR="009F1954" w:rsidRPr="00D7672E">
              <w:t xml:space="preserve"> must not exceed a total of 4 doses at a maximum dose of 3 mg per kg every 3 weeks</w:t>
            </w:r>
            <w:r w:rsidRPr="00D7672E">
              <w:t xml:space="preserve"> under this restriction</w:t>
            </w:r>
            <w:r w:rsidR="009F1954" w:rsidRPr="00D7672E">
              <w:t>.</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Prescriber i</w:t>
            </w:r>
            <w:r w:rsidR="009F1954"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The patient’s body weight must be documented in the patient’s medical records at the time treatment is initiated.</w:t>
            </w:r>
          </w:p>
        </w:tc>
      </w:tr>
      <w:tr w:rsidR="009F1954" w:rsidTr="003235AE">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Administrative a</w:t>
            </w:r>
            <w:r w:rsidR="009F1954"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No increase in the maximum number of repeats may be authorised.</w:t>
            </w:r>
          </w:p>
          <w:p w:rsidR="009F1954" w:rsidRDefault="009F1954" w:rsidP="00E1706E">
            <w:pPr>
              <w:pStyle w:val="Tabletext"/>
            </w:pPr>
            <w:r>
              <w:t>Special Pricing Arrangements apply.</w:t>
            </w:r>
          </w:p>
        </w:tc>
      </w:tr>
    </w:tbl>
    <w:p w:rsidR="00672724" w:rsidRPr="00D7672E" w:rsidRDefault="00D7672E" w:rsidP="003235AE">
      <w:pPr>
        <w:spacing w:before="120" w:after="120"/>
        <w:rPr>
          <w:rFonts w:asciiTheme="minorHAnsi" w:hAnsiTheme="minorHAnsi" w:cstheme="minorHAnsi"/>
          <w:u w:val="single"/>
        </w:rPr>
      </w:pPr>
      <w:r w:rsidRPr="00D7672E">
        <w:rPr>
          <w:rFonts w:asciiTheme="minorHAnsi" w:hAnsiTheme="minorHAnsi" w:cstheme="minorHAnsi"/>
          <w:u w:val="single"/>
        </w:rPr>
        <w:t>Continuing phase</w:t>
      </w:r>
    </w:p>
    <w:tbl>
      <w:tblPr>
        <w:tblW w:w="490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700"/>
        <w:gridCol w:w="1277"/>
        <w:gridCol w:w="1134"/>
        <w:gridCol w:w="1130"/>
        <w:gridCol w:w="1987"/>
      </w:tblGrid>
      <w:tr w:rsidR="001002FC" w:rsidRPr="003D1DE4" w:rsidTr="00672724">
        <w:tc>
          <w:tcPr>
            <w:tcW w:w="1953" w:type="pct"/>
            <w:gridSpan w:val="2"/>
            <w:tcBorders>
              <w:bottom w:val="single" w:sz="4" w:space="0" w:color="auto"/>
              <w:right w:val="nil"/>
            </w:tcBorders>
          </w:tcPr>
          <w:p w:rsidR="009F1954" w:rsidRPr="003D1DE4" w:rsidRDefault="009F1954" w:rsidP="00E1706E">
            <w:pPr>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04" w:type="pct"/>
            <w:tcBorders>
              <w:left w:val="nil"/>
              <w:bottom w:val="single" w:sz="4" w:space="0" w:color="auto"/>
              <w:right w:val="nil"/>
            </w:tcBorders>
          </w:tcPr>
          <w:p w:rsidR="009F1954" w:rsidRPr="003D1DE4" w:rsidRDefault="009F1954" w:rsidP="00E1706E">
            <w:pPr>
              <w:jc w:val="center"/>
              <w:rPr>
                <w:rFonts w:ascii="Arial Narrow" w:hAnsi="Arial Narrow"/>
                <w:b/>
                <w:sz w:val="20"/>
                <w:szCs w:val="20"/>
              </w:rPr>
            </w:pPr>
            <w:r>
              <w:rPr>
                <w:rFonts w:ascii="Arial Narrow" w:hAnsi="Arial Narrow"/>
                <w:b/>
                <w:sz w:val="20"/>
                <w:szCs w:val="20"/>
              </w:rPr>
              <w:t>Maximum amount</w:t>
            </w:r>
          </w:p>
        </w:tc>
        <w:tc>
          <w:tcPr>
            <w:tcW w:w="625" w:type="pct"/>
            <w:tcBorders>
              <w:left w:val="nil"/>
              <w:bottom w:val="single" w:sz="4" w:space="0" w:color="auto"/>
              <w:right w:val="nil"/>
            </w:tcBorders>
          </w:tcPr>
          <w:p w:rsidR="009F1954" w:rsidRPr="003D1DE4" w:rsidRDefault="009F1954" w:rsidP="001002FC">
            <w:pPr>
              <w:jc w:val="center"/>
              <w:rPr>
                <w:rFonts w:ascii="Arial Narrow" w:hAnsi="Arial Narrow"/>
                <w:b/>
                <w:sz w:val="20"/>
                <w:szCs w:val="20"/>
              </w:rPr>
            </w:pPr>
            <w:r w:rsidRPr="003D1DE4">
              <w:rPr>
                <w:rFonts w:ascii="Arial Narrow" w:hAnsi="Arial Narrow"/>
                <w:b/>
                <w:sz w:val="20"/>
                <w:szCs w:val="20"/>
              </w:rPr>
              <w:t>No. of repeats</w:t>
            </w:r>
          </w:p>
        </w:tc>
        <w:tc>
          <w:tcPr>
            <w:tcW w:w="1718" w:type="pct"/>
            <w:gridSpan w:val="2"/>
            <w:tcBorders>
              <w:left w:val="nil"/>
              <w:bottom w:val="single" w:sz="4" w:space="0" w:color="auto"/>
            </w:tcBorders>
          </w:tcPr>
          <w:p w:rsidR="009F1954" w:rsidRPr="003D1DE4" w:rsidRDefault="009F1954" w:rsidP="001002FC">
            <w:pPr>
              <w:jc w:val="left"/>
              <w:rPr>
                <w:rFonts w:ascii="Arial Narrow" w:hAnsi="Arial Narrow"/>
                <w:b/>
                <w:sz w:val="20"/>
                <w:szCs w:val="20"/>
              </w:rPr>
            </w:pPr>
            <w:r w:rsidRPr="003D1DE4">
              <w:rPr>
                <w:rFonts w:ascii="Arial Narrow" w:hAnsi="Arial Narrow"/>
                <w:b/>
                <w:sz w:val="20"/>
                <w:szCs w:val="20"/>
              </w:rPr>
              <w:t>Proprietary name and manufacturer</w:t>
            </w:r>
          </w:p>
        </w:tc>
      </w:tr>
      <w:tr w:rsidR="009F1954" w:rsidRPr="003D1DE4" w:rsidTr="00672724">
        <w:tc>
          <w:tcPr>
            <w:tcW w:w="5000" w:type="pct"/>
            <w:gridSpan w:val="6"/>
            <w:tcBorders>
              <w:bottom w:val="single" w:sz="4" w:space="0" w:color="auto"/>
            </w:tcBorders>
          </w:tcPr>
          <w:p w:rsidR="009F1954" w:rsidRPr="003D1DE4" w:rsidRDefault="009F1954" w:rsidP="00E1706E">
            <w:pPr>
              <w:rPr>
                <w:rFonts w:ascii="Arial Narrow" w:hAnsi="Arial Narrow"/>
                <w:b/>
                <w:sz w:val="20"/>
                <w:szCs w:val="20"/>
              </w:rPr>
            </w:pPr>
            <w:r>
              <w:rPr>
                <w:rFonts w:ascii="Arial Narrow" w:hAnsi="Arial Narrow"/>
                <w:b/>
                <w:sz w:val="20"/>
                <w:szCs w:val="20"/>
              </w:rPr>
              <w:t xml:space="preserve">Continuing (single agent </w:t>
            </w:r>
            <w:proofErr w:type="spellStart"/>
            <w:r>
              <w:rPr>
                <w:rFonts w:ascii="Arial Narrow" w:hAnsi="Arial Narrow"/>
                <w:b/>
                <w:sz w:val="20"/>
                <w:szCs w:val="20"/>
              </w:rPr>
              <w:t>nivolumab</w:t>
            </w:r>
            <w:proofErr w:type="spellEnd"/>
            <w:r>
              <w:rPr>
                <w:rFonts w:ascii="Arial Narrow" w:hAnsi="Arial Narrow"/>
                <w:b/>
                <w:sz w:val="20"/>
                <w:szCs w:val="20"/>
              </w:rPr>
              <w:t>) phase</w:t>
            </w:r>
          </w:p>
        </w:tc>
      </w:tr>
      <w:tr w:rsidR="009F1954" w:rsidRPr="006C4B9E" w:rsidTr="00672724">
        <w:trPr>
          <w:trHeight w:val="964"/>
        </w:trPr>
        <w:tc>
          <w:tcPr>
            <w:tcW w:w="1953" w:type="pct"/>
            <w:gridSpan w:val="2"/>
            <w:tcBorders>
              <w:right w:val="nil"/>
            </w:tcBorders>
          </w:tcPr>
          <w:p w:rsidR="009F1954" w:rsidRPr="0019642C" w:rsidRDefault="009F1954" w:rsidP="00E1706E">
            <w:pPr>
              <w:keepNext/>
              <w:rPr>
                <w:rFonts w:ascii="Arial Narrow" w:hAnsi="Arial Narrow"/>
                <w:sz w:val="20"/>
                <w:szCs w:val="20"/>
              </w:rPr>
            </w:pPr>
            <w:proofErr w:type="spellStart"/>
            <w:r w:rsidRPr="0082090B">
              <w:rPr>
                <w:rFonts w:ascii="Arial Narrow" w:hAnsi="Arial Narrow"/>
                <w:smallCaps/>
                <w:sz w:val="20"/>
              </w:rPr>
              <w:t>Nivolumab</w:t>
            </w:r>
            <w:proofErr w:type="spellEnd"/>
          </w:p>
          <w:p w:rsidR="009F1954" w:rsidRPr="00A619DC" w:rsidRDefault="009F1954" w:rsidP="00E1706E">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9F1954" w:rsidRPr="0019642C" w:rsidRDefault="009F1954" w:rsidP="00E1706E">
            <w:pPr>
              <w:pStyle w:val="Tabletext"/>
              <w:rPr>
                <w:szCs w:val="20"/>
              </w:rPr>
            </w:pPr>
            <w:r w:rsidRPr="0082090B">
              <w:t xml:space="preserve">100 mg/10 mL injection, 1 x </w:t>
            </w:r>
            <w:r w:rsidRPr="00375492">
              <w:t>10 mL</w:t>
            </w:r>
            <w:r w:rsidRPr="0082090B">
              <w:t xml:space="preserve"> vial</w:t>
            </w:r>
          </w:p>
        </w:tc>
        <w:tc>
          <w:tcPr>
            <w:tcW w:w="704" w:type="pct"/>
            <w:tcBorders>
              <w:left w:val="nil"/>
              <w:right w:val="nil"/>
            </w:tcBorders>
          </w:tcPr>
          <w:p w:rsidR="009F1954" w:rsidRDefault="009F1954" w:rsidP="00E1706E">
            <w:pPr>
              <w:pStyle w:val="Tabletext"/>
              <w:jc w:val="center"/>
            </w:pPr>
          </w:p>
          <w:p w:rsidR="009F1954" w:rsidRPr="0019642C" w:rsidRDefault="009F1954" w:rsidP="00E1706E">
            <w:pPr>
              <w:pStyle w:val="Tabletext"/>
              <w:jc w:val="center"/>
              <w:rPr>
                <w:szCs w:val="20"/>
              </w:rPr>
            </w:pPr>
            <w:r>
              <w:t>360 mg</w:t>
            </w:r>
          </w:p>
        </w:tc>
        <w:tc>
          <w:tcPr>
            <w:tcW w:w="625" w:type="pct"/>
            <w:tcBorders>
              <w:left w:val="nil"/>
              <w:right w:val="nil"/>
            </w:tcBorders>
          </w:tcPr>
          <w:p w:rsidR="009F1954" w:rsidRDefault="009F1954" w:rsidP="00E1706E">
            <w:pPr>
              <w:pStyle w:val="Tabletext"/>
              <w:jc w:val="center"/>
            </w:pPr>
          </w:p>
          <w:p w:rsidR="009F1954" w:rsidRPr="0019642C" w:rsidRDefault="009F1954" w:rsidP="001002FC">
            <w:pPr>
              <w:pStyle w:val="Tabletext"/>
              <w:jc w:val="center"/>
              <w:rPr>
                <w:szCs w:val="20"/>
              </w:rPr>
            </w:pPr>
            <w:r>
              <w:t>11</w:t>
            </w:r>
          </w:p>
        </w:tc>
        <w:tc>
          <w:tcPr>
            <w:tcW w:w="623" w:type="pct"/>
            <w:tcBorders>
              <w:left w:val="nil"/>
              <w:right w:val="nil"/>
            </w:tcBorders>
          </w:tcPr>
          <w:p w:rsidR="001002FC" w:rsidRDefault="001002FC" w:rsidP="00E1706E">
            <w:pPr>
              <w:pStyle w:val="Tabletext"/>
            </w:pPr>
          </w:p>
          <w:p w:rsidR="009F1954" w:rsidRDefault="009F1954" w:rsidP="00E1706E">
            <w:pPr>
              <w:pStyle w:val="Tabletext"/>
              <w:rPr>
                <w:vertAlign w:val="superscript"/>
              </w:rPr>
            </w:pPr>
            <w:proofErr w:type="spellStart"/>
            <w:r>
              <w:t>Opdivo</w:t>
            </w:r>
            <w:proofErr w:type="spellEnd"/>
            <w:r>
              <w:rPr>
                <w:vertAlign w:val="superscript"/>
              </w:rPr>
              <w:t>®</w:t>
            </w:r>
          </w:p>
        </w:tc>
        <w:tc>
          <w:tcPr>
            <w:tcW w:w="1095" w:type="pct"/>
            <w:tcBorders>
              <w:left w:val="nil"/>
            </w:tcBorders>
          </w:tcPr>
          <w:p w:rsidR="001002FC" w:rsidRDefault="001002FC" w:rsidP="00E1706E">
            <w:pPr>
              <w:pStyle w:val="Tabletext"/>
            </w:pPr>
          </w:p>
          <w:p w:rsidR="009F1954" w:rsidRPr="006C4B9E" w:rsidRDefault="009F1954" w:rsidP="00E1706E">
            <w:pPr>
              <w:pStyle w:val="Tabletext"/>
              <w:rPr>
                <w:szCs w:val="20"/>
                <w:vertAlign w:val="superscript"/>
              </w:rPr>
            </w:pPr>
            <w:r w:rsidRPr="003E5190">
              <w:t>Bristol-Myers Squibb Australia Pty Ltd (BQ)</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t>Category</w:t>
            </w:r>
            <w:r w:rsidR="00672724">
              <w:rPr>
                <w:b/>
              </w:rPr>
              <w:t xml:space="preserve"> </w:t>
            </w:r>
            <w:r>
              <w:rPr>
                <w:b/>
              </w:rPr>
              <w:t>/</w:t>
            </w:r>
            <w:r w:rsidR="00672724">
              <w:rPr>
                <w:b/>
              </w:rPr>
              <w:t xml:space="preserve"> </w:t>
            </w:r>
            <w:r>
              <w:rPr>
                <w:b/>
              </w:rPr>
              <w:t>Program</w:t>
            </w:r>
            <w:r w:rsidR="00672724">
              <w:rPr>
                <w:b/>
              </w:rPr>
              <w:t>:</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Section 100 – Efficient funding of Chemotherapy</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Default="009F1954" w:rsidP="00E1706E">
            <w:pPr>
              <w:pStyle w:val="Tabletext"/>
              <w:rPr>
                <w:b/>
              </w:rPr>
            </w:pPr>
            <w:r w:rsidRPr="00AD4E28">
              <w:rPr>
                <w:rFonts w:cs="Arial"/>
                <w:b/>
                <w:szCs w:val="20"/>
              </w:rPr>
              <w:t>Prescriber type:</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Severity:</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sidRPr="00892A36">
              <w:rPr>
                <w:b/>
              </w:rPr>
              <w:t>Condition:</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Malignant melanoma </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PBS i</w:t>
            </w:r>
            <w:r w:rsidR="009F1954" w:rsidRPr="00892A36">
              <w:rPr>
                <w:b/>
              </w:rPr>
              <w:t>ndication:</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proofErr w:type="spellStart"/>
            <w:r>
              <w:t>Unresectable</w:t>
            </w:r>
            <w:proofErr w:type="spellEnd"/>
            <w:r>
              <w:t xml:space="preserve"> Stage III or Stage IV malignant melanoma</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3371DA" w:rsidRDefault="009F1954" w:rsidP="00E1706E">
            <w:pPr>
              <w:pStyle w:val="Tabletext"/>
              <w:rPr>
                <w:b/>
              </w:rPr>
            </w:pPr>
            <w:r>
              <w:rPr>
                <w:b/>
              </w:rPr>
              <w:t>Treatment phase:</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Continuing (single-agent </w:t>
            </w:r>
            <w:proofErr w:type="spellStart"/>
            <w:r>
              <w:t>nivolumab</w:t>
            </w:r>
            <w:proofErr w:type="spellEnd"/>
            <w:r>
              <w:t>) treatment</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72"/>
        </w:trPr>
        <w:tc>
          <w:tcPr>
            <w:tcW w:w="1016" w:type="pct"/>
            <w:tcBorders>
              <w:top w:val="single" w:sz="4" w:space="0" w:color="auto"/>
              <w:left w:val="single" w:sz="4" w:space="0" w:color="auto"/>
              <w:bottom w:val="single" w:sz="4" w:space="0" w:color="auto"/>
              <w:right w:val="single" w:sz="4" w:space="0" w:color="auto"/>
            </w:tcBorders>
          </w:tcPr>
          <w:p w:rsidR="009F1954" w:rsidRPr="00045A2B" w:rsidRDefault="009F1954" w:rsidP="00E1706E">
            <w:pPr>
              <w:pStyle w:val="Tabletext"/>
              <w:rPr>
                <w:i/>
              </w:rPr>
            </w:pPr>
            <w:r w:rsidRPr="00892A36">
              <w:rPr>
                <w:b/>
              </w:rPr>
              <w:t>Restriction:</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9F1954" w:rsidRPr="00C31A26"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9F1954" w:rsidP="00E1706E">
            <w:pPr>
              <w:pStyle w:val="Tabletext"/>
              <w:rPr>
                <w:b/>
              </w:rPr>
            </w:pPr>
            <w:r>
              <w:rPr>
                <w:b/>
              </w:rPr>
              <w:lastRenderedPageBreak/>
              <w:t>Clinical</w:t>
            </w:r>
            <w:r w:rsidRPr="00892A36">
              <w:rPr>
                <w:b/>
              </w:rPr>
              <w:t xml:space="preserve"> criteria:</w:t>
            </w:r>
          </w:p>
          <w:p w:rsidR="009F1954" w:rsidRPr="00045A2B" w:rsidRDefault="009F1954" w:rsidP="00E1706E">
            <w:pPr>
              <w:pStyle w:val="Tabletext"/>
              <w:rPr>
                <w:i/>
              </w:rPr>
            </w:pP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 xml:space="preserve">Patient must have previously </w:t>
            </w:r>
            <w:r w:rsidR="007F64A3">
              <w:t xml:space="preserve">received PBS-subsidised induction treatment with </w:t>
            </w:r>
            <w:proofErr w:type="spellStart"/>
            <w:r w:rsidR="00313644">
              <w:t>nivolumab</w:t>
            </w:r>
            <w:proofErr w:type="spellEnd"/>
            <w:r w:rsidR="00313644">
              <w:t xml:space="preserve"> and </w:t>
            </w:r>
            <w:proofErr w:type="spellStart"/>
            <w:r>
              <w:t>ipilimumab</w:t>
            </w:r>
            <w:proofErr w:type="spellEnd"/>
            <w:r>
              <w:t xml:space="preserve"> combination therapy for this condition,</w:t>
            </w:r>
          </w:p>
          <w:p w:rsidR="009F1954" w:rsidRDefault="009F1954" w:rsidP="00E1706E">
            <w:pPr>
              <w:pStyle w:val="Tabletext"/>
            </w:pPr>
            <w:r>
              <w:t>AND</w:t>
            </w:r>
          </w:p>
          <w:p w:rsidR="009F1954" w:rsidRPr="00D7672E" w:rsidRDefault="009F1954" w:rsidP="00E1706E">
            <w:pPr>
              <w:pStyle w:val="Tabletext"/>
            </w:pPr>
            <w:r w:rsidRPr="00D7672E">
              <w:t>This drug must be the sole PBS-subsidised treatment for this condition,</w:t>
            </w:r>
          </w:p>
          <w:p w:rsidR="009F1954" w:rsidRPr="00D7672E" w:rsidRDefault="009F1954" w:rsidP="00E1706E">
            <w:pPr>
              <w:pStyle w:val="Tabletext"/>
            </w:pPr>
            <w:r w:rsidRPr="00D7672E">
              <w:t>AND</w:t>
            </w:r>
          </w:p>
          <w:p w:rsidR="007F64A3" w:rsidRPr="00D7672E" w:rsidRDefault="007F64A3" w:rsidP="00E1706E">
            <w:pPr>
              <w:pStyle w:val="Tabletext"/>
            </w:pPr>
            <w:r w:rsidRPr="00D7672E">
              <w:t xml:space="preserve">Patient must not have developed disease progression whilst being treated with </w:t>
            </w:r>
            <w:proofErr w:type="spellStart"/>
            <w:r w:rsidR="00313644">
              <w:t>nivolumab</w:t>
            </w:r>
            <w:proofErr w:type="spellEnd"/>
            <w:r w:rsidR="00313644">
              <w:t xml:space="preserve"> and </w:t>
            </w:r>
            <w:proofErr w:type="spellStart"/>
            <w:r w:rsidRPr="00D7672E">
              <w:t>ipilimumab</w:t>
            </w:r>
            <w:proofErr w:type="spellEnd"/>
            <w:r w:rsidRPr="00D7672E">
              <w:t xml:space="preserve"> combination therapy for this condition,</w:t>
            </w:r>
          </w:p>
          <w:p w:rsidR="009F1954" w:rsidRDefault="009F1954" w:rsidP="00E1706E">
            <w:pPr>
              <w:pStyle w:val="Tabletext"/>
            </w:pPr>
            <w:r>
              <w:t>AND</w:t>
            </w:r>
          </w:p>
          <w:p w:rsidR="009F1954" w:rsidRPr="003D1BE4" w:rsidRDefault="009F1954" w:rsidP="00E1706E">
            <w:pPr>
              <w:pStyle w:val="Tabletext"/>
            </w:pPr>
            <w:r>
              <w:t xml:space="preserve">The treatment with </w:t>
            </w:r>
            <w:proofErr w:type="spellStart"/>
            <w:r>
              <w:t>nivolumab</w:t>
            </w:r>
            <w:proofErr w:type="spellEnd"/>
            <w:r>
              <w:t xml:space="preserve"> must not exceed a maximum dose of 3 mg per kg every 2 weeks.</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Prescriber i</w:t>
            </w:r>
            <w:r w:rsidR="009F1954" w:rsidRPr="00892A36">
              <w:rPr>
                <w:b/>
              </w:rPr>
              <w:t>nstructions:</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The patient’s body weight must be documented in the patient’s medical records at the time treatment is initiated.</w:t>
            </w:r>
          </w:p>
        </w:tc>
      </w:tr>
      <w:tr w:rsidR="009F1954" w:rsidTr="00442F8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9F1954" w:rsidRPr="00892A36" w:rsidRDefault="00672724" w:rsidP="00E1706E">
            <w:pPr>
              <w:pStyle w:val="Tabletext"/>
              <w:rPr>
                <w:b/>
              </w:rPr>
            </w:pPr>
            <w:r>
              <w:rPr>
                <w:b/>
              </w:rPr>
              <w:t>Administrative a</w:t>
            </w:r>
            <w:r w:rsidR="009F1954" w:rsidRPr="00892A36">
              <w:rPr>
                <w:b/>
              </w:rPr>
              <w:t>dvice:</w:t>
            </w:r>
          </w:p>
        </w:tc>
        <w:tc>
          <w:tcPr>
            <w:tcW w:w="3984" w:type="pct"/>
            <w:gridSpan w:val="5"/>
            <w:tcBorders>
              <w:top w:val="single" w:sz="4" w:space="0" w:color="auto"/>
              <w:left w:val="single" w:sz="4" w:space="0" w:color="auto"/>
              <w:bottom w:val="single" w:sz="4" w:space="0" w:color="auto"/>
              <w:right w:val="single" w:sz="4" w:space="0" w:color="auto"/>
            </w:tcBorders>
          </w:tcPr>
          <w:p w:rsidR="009F1954" w:rsidRDefault="009F1954" w:rsidP="00E1706E">
            <w:pPr>
              <w:pStyle w:val="Tabletext"/>
            </w:pPr>
            <w:r>
              <w:t>No increase in the maximum number of repeats may be authorised.</w:t>
            </w:r>
          </w:p>
          <w:p w:rsidR="009F1954" w:rsidRDefault="009F1954" w:rsidP="00E1706E">
            <w:pPr>
              <w:pStyle w:val="Tabletext"/>
            </w:pPr>
            <w:r>
              <w:t>Special Pricing Arrangements apply.</w:t>
            </w:r>
          </w:p>
        </w:tc>
      </w:tr>
    </w:tbl>
    <w:p w:rsidR="00D7672E" w:rsidRPr="00D7672E" w:rsidRDefault="00D7672E" w:rsidP="003235AE">
      <w:pPr>
        <w:pStyle w:val="NoSpacing"/>
        <w:spacing w:before="120" w:after="120"/>
        <w:rPr>
          <w:rFonts w:asciiTheme="minorHAnsi" w:hAnsiTheme="minorHAnsi" w:cstheme="minorHAnsi"/>
          <w:sz w:val="24"/>
          <w:szCs w:val="24"/>
          <w:u w:val="single"/>
          <w:lang w:val="en-GB"/>
        </w:rPr>
      </w:pPr>
      <w:r w:rsidRPr="00D7672E">
        <w:rPr>
          <w:rFonts w:asciiTheme="minorHAnsi" w:hAnsiTheme="minorHAnsi" w:cstheme="minorHAnsi"/>
          <w:sz w:val="24"/>
          <w:szCs w:val="24"/>
          <w:u w:val="single"/>
          <w:lang w:val="en-GB"/>
        </w:rPr>
        <w:t>Grandfathered patients, induction phase</w:t>
      </w:r>
      <w:r w:rsidR="00ED3E57">
        <w:rPr>
          <w:rFonts w:asciiTheme="minorHAnsi" w:hAnsiTheme="minorHAnsi" w:cstheme="minorHAnsi"/>
          <w:sz w:val="24"/>
          <w:szCs w:val="24"/>
          <w:u w:val="single"/>
          <w:lang w:val="en-GB"/>
        </w:rPr>
        <w:t xml:space="preserve">, </w:t>
      </w:r>
      <w:proofErr w:type="spellStart"/>
      <w:r w:rsidR="00ED3E57">
        <w:rPr>
          <w:rFonts w:asciiTheme="minorHAnsi" w:hAnsiTheme="minorHAnsi" w:cstheme="minorHAnsi"/>
          <w:sz w:val="24"/>
          <w:szCs w:val="24"/>
          <w:u w:val="single"/>
          <w:lang w:val="en-GB"/>
        </w:rPr>
        <w:t>nivolumab</w:t>
      </w:r>
      <w:proofErr w:type="spellEnd"/>
    </w:p>
    <w:tbl>
      <w:tblPr>
        <w:tblW w:w="4907"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1"/>
        <w:gridCol w:w="1558"/>
        <w:gridCol w:w="1419"/>
        <w:gridCol w:w="1134"/>
        <w:gridCol w:w="1134"/>
        <w:gridCol w:w="1985"/>
      </w:tblGrid>
      <w:tr w:rsidR="007F64A3" w:rsidRPr="003D1DE4" w:rsidTr="00ED3E57">
        <w:tc>
          <w:tcPr>
            <w:tcW w:w="1874" w:type="pct"/>
            <w:gridSpan w:val="2"/>
            <w:tcBorders>
              <w:top w:val="nil"/>
              <w:right w:val="nil"/>
            </w:tcBorders>
          </w:tcPr>
          <w:p w:rsidR="007F64A3" w:rsidRPr="003D1DE4" w:rsidRDefault="007F64A3" w:rsidP="00ED3E57">
            <w:pPr>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82" w:type="pct"/>
            <w:tcBorders>
              <w:top w:val="nil"/>
              <w:left w:val="nil"/>
              <w:right w:val="nil"/>
            </w:tcBorders>
          </w:tcPr>
          <w:p w:rsidR="007F64A3" w:rsidRPr="003D1DE4" w:rsidRDefault="007F64A3" w:rsidP="00ED3E57">
            <w:pPr>
              <w:jc w:val="center"/>
              <w:rPr>
                <w:rFonts w:ascii="Arial Narrow" w:hAnsi="Arial Narrow"/>
                <w:b/>
                <w:sz w:val="20"/>
                <w:szCs w:val="20"/>
              </w:rPr>
            </w:pPr>
            <w:r>
              <w:rPr>
                <w:rFonts w:ascii="Arial Narrow" w:hAnsi="Arial Narrow"/>
                <w:b/>
                <w:sz w:val="20"/>
                <w:szCs w:val="20"/>
              </w:rPr>
              <w:t>Maximum amount</w:t>
            </w:r>
          </w:p>
        </w:tc>
        <w:tc>
          <w:tcPr>
            <w:tcW w:w="625" w:type="pct"/>
            <w:tcBorders>
              <w:top w:val="nil"/>
              <w:left w:val="nil"/>
              <w:right w:val="nil"/>
            </w:tcBorders>
          </w:tcPr>
          <w:p w:rsidR="007F64A3" w:rsidRPr="003D1DE4" w:rsidRDefault="007F64A3" w:rsidP="00ED3E57">
            <w:pPr>
              <w:jc w:val="center"/>
              <w:rPr>
                <w:rFonts w:ascii="Arial Narrow" w:hAnsi="Arial Narrow"/>
                <w:b/>
                <w:sz w:val="20"/>
                <w:szCs w:val="20"/>
              </w:rPr>
            </w:pPr>
            <w:r w:rsidRPr="003D1DE4">
              <w:rPr>
                <w:rFonts w:ascii="Arial Narrow" w:hAnsi="Arial Narrow"/>
                <w:b/>
                <w:sz w:val="20"/>
                <w:szCs w:val="20"/>
              </w:rPr>
              <w:t>No. of repeats</w:t>
            </w:r>
          </w:p>
        </w:tc>
        <w:tc>
          <w:tcPr>
            <w:tcW w:w="1719" w:type="pct"/>
            <w:gridSpan w:val="2"/>
            <w:tcBorders>
              <w:top w:val="nil"/>
              <w:left w:val="nil"/>
            </w:tcBorders>
          </w:tcPr>
          <w:p w:rsidR="007F64A3" w:rsidRPr="003D1DE4" w:rsidRDefault="007F64A3" w:rsidP="00ED3E57">
            <w:pPr>
              <w:jc w:val="left"/>
              <w:rPr>
                <w:rFonts w:ascii="Arial Narrow" w:hAnsi="Arial Narrow"/>
                <w:b/>
                <w:sz w:val="20"/>
                <w:szCs w:val="20"/>
              </w:rPr>
            </w:pPr>
            <w:r w:rsidRPr="003D1DE4">
              <w:rPr>
                <w:rFonts w:ascii="Arial Narrow" w:hAnsi="Arial Narrow"/>
                <w:b/>
                <w:sz w:val="20"/>
                <w:szCs w:val="20"/>
              </w:rPr>
              <w:t>Proprietary name and manufacturer</w:t>
            </w:r>
          </w:p>
        </w:tc>
      </w:tr>
      <w:tr w:rsidR="007F64A3" w:rsidRPr="003D1DE4" w:rsidTr="00ED3E57">
        <w:tc>
          <w:tcPr>
            <w:tcW w:w="5000" w:type="pct"/>
            <w:gridSpan w:val="6"/>
          </w:tcPr>
          <w:p w:rsidR="007F64A3" w:rsidRPr="003D1DE4" w:rsidRDefault="007F64A3" w:rsidP="00ED3E57">
            <w:pPr>
              <w:rPr>
                <w:rFonts w:ascii="Arial Narrow" w:hAnsi="Arial Narrow"/>
                <w:b/>
                <w:sz w:val="20"/>
                <w:szCs w:val="20"/>
              </w:rPr>
            </w:pPr>
            <w:r>
              <w:rPr>
                <w:rFonts w:ascii="Arial Narrow" w:hAnsi="Arial Narrow"/>
                <w:b/>
                <w:sz w:val="20"/>
                <w:szCs w:val="20"/>
              </w:rPr>
              <w:t>Induction (combination) phase</w:t>
            </w:r>
          </w:p>
        </w:tc>
      </w:tr>
      <w:tr w:rsidR="007F64A3" w:rsidRPr="0019642C" w:rsidTr="00ED3E57">
        <w:trPr>
          <w:trHeight w:val="964"/>
        </w:trPr>
        <w:tc>
          <w:tcPr>
            <w:tcW w:w="1874" w:type="pct"/>
            <w:gridSpan w:val="2"/>
            <w:tcBorders>
              <w:right w:val="nil"/>
            </w:tcBorders>
          </w:tcPr>
          <w:p w:rsidR="007F64A3" w:rsidRPr="0019642C" w:rsidRDefault="007F64A3" w:rsidP="00ED3E57">
            <w:pPr>
              <w:keepNext/>
              <w:rPr>
                <w:rFonts w:ascii="Arial Narrow" w:hAnsi="Arial Narrow"/>
                <w:sz w:val="20"/>
                <w:szCs w:val="20"/>
              </w:rPr>
            </w:pPr>
            <w:proofErr w:type="spellStart"/>
            <w:r w:rsidRPr="0082090B">
              <w:rPr>
                <w:rFonts w:ascii="Arial Narrow" w:hAnsi="Arial Narrow"/>
                <w:smallCaps/>
                <w:sz w:val="20"/>
              </w:rPr>
              <w:t>Nivolumab</w:t>
            </w:r>
            <w:proofErr w:type="spellEnd"/>
          </w:p>
          <w:p w:rsidR="007F64A3" w:rsidRDefault="007F64A3" w:rsidP="00ED3E57">
            <w:pPr>
              <w:keepNext/>
              <w:rPr>
                <w:rFonts w:ascii="Arial Narrow" w:hAnsi="Arial Narrow"/>
                <w:sz w:val="20"/>
              </w:rPr>
            </w:pPr>
            <w:r w:rsidRPr="009F1229">
              <w:rPr>
                <w:rFonts w:ascii="Arial Narrow" w:hAnsi="Arial Narrow"/>
                <w:sz w:val="20"/>
              </w:rPr>
              <w:t>100 mg/10 mL injection, 1 x 10 mL vial</w:t>
            </w:r>
            <w:r w:rsidRPr="0082090B">
              <w:rPr>
                <w:rFonts w:ascii="Arial Narrow" w:hAnsi="Arial Narrow"/>
                <w:sz w:val="20"/>
              </w:rPr>
              <w:t xml:space="preserve"> </w:t>
            </w:r>
          </w:p>
          <w:p w:rsidR="007F64A3" w:rsidRPr="00A619DC" w:rsidRDefault="007F64A3" w:rsidP="00ED3E57">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7F64A3" w:rsidRPr="0019642C" w:rsidRDefault="007F64A3" w:rsidP="00ED3E57">
            <w:pPr>
              <w:pStyle w:val="Tabletext"/>
              <w:rPr>
                <w:szCs w:val="20"/>
              </w:rPr>
            </w:pPr>
          </w:p>
        </w:tc>
        <w:tc>
          <w:tcPr>
            <w:tcW w:w="782" w:type="pct"/>
            <w:tcBorders>
              <w:left w:val="nil"/>
              <w:right w:val="nil"/>
            </w:tcBorders>
          </w:tcPr>
          <w:p w:rsidR="007F64A3" w:rsidRDefault="007F64A3" w:rsidP="00ED3E57">
            <w:pPr>
              <w:pStyle w:val="Tabletext"/>
              <w:jc w:val="center"/>
            </w:pPr>
          </w:p>
          <w:p w:rsidR="007F64A3" w:rsidRPr="0019642C" w:rsidRDefault="007F64A3" w:rsidP="00ED3E57">
            <w:pPr>
              <w:pStyle w:val="Tabletext"/>
              <w:jc w:val="center"/>
              <w:rPr>
                <w:szCs w:val="20"/>
              </w:rPr>
            </w:pPr>
            <w:r>
              <w:t>120 mg</w:t>
            </w:r>
          </w:p>
        </w:tc>
        <w:tc>
          <w:tcPr>
            <w:tcW w:w="625" w:type="pct"/>
            <w:tcBorders>
              <w:left w:val="nil"/>
              <w:right w:val="nil"/>
            </w:tcBorders>
          </w:tcPr>
          <w:p w:rsidR="007F64A3" w:rsidRDefault="007F64A3" w:rsidP="00ED3E57">
            <w:pPr>
              <w:pStyle w:val="Tabletext"/>
              <w:jc w:val="center"/>
            </w:pPr>
          </w:p>
          <w:p w:rsidR="007F64A3" w:rsidRPr="0019642C" w:rsidRDefault="007F64A3" w:rsidP="00ED3E57">
            <w:pPr>
              <w:pStyle w:val="Tabletext"/>
              <w:jc w:val="center"/>
              <w:rPr>
                <w:szCs w:val="20"/>
              </w:rPr>
            </w:pPr>
            <w:r>
              <w:t>3</w:t>
            </w:r>
          </w:p>
        </w:tc>
        <w:tc>
          <w:tcPr>
            <w:tcW w:w="625" w:type="pct"/>
            <w:tcBorders>
              <w:left w:val="nil"/>
              <w:right w:val="nil"/>
            </w:tcBorders>
          </w:tcPr>
          <w:p w:rsidR="007F64A3" w:rsidRDefault="007F64A3" w:rsidP="00ED3E57">
            <w:pPr>
              <w:pStyle w:val="Tabletext"/>
            </w:pPr>
          </w:p>
          <w:p w:rsidR="007F64A3" w:rsidRDefault="007F64A3" w:rsidP="00ED3E57">
            <w:pPr>
              <w:pStyle w:val="Tabletext"/>
              <w:rPr>
                <w:vertAlign w:val="superscript"/>
              </w:rPr>
            </w:pPr>
            <w:proofErr w:type="spellStart"/>
            <w:r>
              <w:t>Opdivo</w:t>
            </w:r>
            <w:proofErr w:type="spellEnd"/>
            <w:r>
              <w:rPr>
                <w:vertAlign w:val="superscript"/>
              </w:rPr>
              <w:t>®</w:t>
            </w:r>
          </w:p>
        </w:tc>
        <w:tc>
          <w:tcPr>
            <w:tcW w:w="1094" w:type="pct"/>
            <w:tcBorders>
              <w:left w:val="nil"/>
            </w:tcBorders>
          </w:tcPr>
          <w:p w:rsidR="007F64A3" w:rsidRDefault="007F64A3" w:rsidP="00ED3E57">
            <w:pPr>
              <w:pStyle w:val="Tabletext"/>
            </w:pPr>
          </w:p>
          <w:p w:rsidR="007F64A3" w:rsidRPr="006C4B9E" w:rsidRDefault="007F64A3" w:rsidP="00ED3E57">
            <w:pPr>
              <w:pStyle w:val="Tabletext"/>
              <w:rPr>
                <w:szCs w:val="20"/>
                <w:vertAlign w:val="superscript"/>
              </w:rPr>
            </w:pPr>
            <w:r w:rsidRPr="003E5190">
              <w:t>Bristol-Myers Squibb Australia Pty Ltd (BQ)</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7F64A3" w:rsidRPr="00D7672E" w:rsidRDefault="007F64A3" w:rsidP="00ED3E57">
            <w:pPr>
              <w:pStyle w:val="Tabletext"/>
              <w:rPr>
                <w:b/>
              </w:rPr>
            </w:pPr>
            <w:r w:rsidRPr="00D7672E">
              <w:rPr>
                <w:b/>
              </w:rPr>
              <w:t xml:space="preserve">Requested restriction for patients with BRAF </w:t>
            </w:r>
            <w:r w:rsidR="00D7672E">
              <w:rPr>
                <w:b/>
              </w:rPr>
              <w:t>V600 mutation negative melanoma</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Category / Program:</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Section 100 – Efficient funding of Chemotherapy</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Default="007F64A3" w:rsidP="00ED3E57">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proofErr w:type="spellStart"/>
            <w:r>
              <w:t>Unresectable</w:t>
            </w:r>
            <w:proofErr w:type="spellEnd"/>
            <w:r>
              <w:t xml:space="preserve"> Stage III or Stage IV</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 xml:space="preserve">Malignant melanoma </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PBS i</w:t>
            </w:r>
            <w:r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Pr="00DA62A7" w:rsidRDefault="007F64A3" w:rsidP="00ED3E57">
            <w:pPr>
              <w:pStyle w:val="Tabletext"/>
            </w:pPr>
            <w:proofErr w:type="spellStart"/>
            <w:r w:rsidRPr="00DA62A7">
              <w:t>Unresectable</w:t>
            </w:r>
            <w:proofErr w:type="spellEnd"/>
            <w:r w:rsidRPr="00DA62A7">
              <w:t xml:space="preserve"> Stage III or Stage IV malignant melanoma</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3371DA" w:rsidRDefault="007F64A3" w:rsidP="00ED3E57">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7F64A3" w:rsidRPr="00DA62A7" w:rsidRDefault="007F64A3" w:rsidP="00ED3E57">
            <w:pPr>
              <w:pStyle w:val="Tabletext"/>
            </w:pPr>
            <w:r w:rsidRPr="00DA62A7">
              <w:t xml:space="preserve">Induction (combination </w:t>
            </w:r>
            <w:proofErr w:type="spellStart"/>
            <w:r w:rsidRPr="00DA62A7">
              <w:t>nivolumab</w:t>
            </w:r>
            <w:proofErr w:type="spellEnd"/>
            <w:r w:rsidRPr="00DA62A7">
              <w:t xml:space="preserve"> and </w:t>
            </w:r>
            <w:proofErr w:type="spellStart"/>
            <w:r w:rsidRPr="00DA62A7">
              <w:t>ipilimumab</w:t>
            </w:r>
            <w:proofErr w:type="spellEnd"/>
            <w:r w:rsidRPr="00DA62A7">
              <w:t>) treatment</w:t>
            </w:r>
            <w:r w:rsidR="00D7672E" w:rsidRPr="00DA62A7">
              <w:t xml:space="preserve"> – Grandfather patients</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045A2B" w:rsidRDefault="007F64A3" w:rsidP="00ED3E57">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Pr="00DA62A7" w:rsidRDefault="007F64A3" w:rsidP="00ED3E57">
            <w:pPr>
              <w:pStyle w:val="Tabletext"/>
            </w:pPr>
            <w:r w:rsidRPr="00DA62A7">
              <w:fldChar w:fldCharType="begin">
                <w:ffData>
                  <w:name w:val="Check5"/>
                  <w:enabled/>
                  <w:calcOnExit w:val="0"/>
                  <w:checkBox>
                    <w:sizeAuto/>
                    <w:default w:val="1"/>
                  </w:checkBox>
                </w:ffData>
              </w:fldChar>
            </w:r>
            <w:r w:rsidRPr="00DA62A7">
              <w:instrText xml:space="preserve"> FORMCHECKBOX </w:instrText>
            </w:r>
            <w:r w:rsidR="00522468">
              <w:fldChar w:fldCharType="separate"/>
            </w:r>
            <w:r w:rsidRPr="00DA62A7">
              <w:fldChar w:fldCharType="end"/>
            </w:r>
            <w:r w:rsidRPr="00DA62A7">
              <w:t>Streamlined</w:t>
            </w:r>
          </w:p>
        </w:tc>
      </w:tr>
      <w:tr w:rsidR="007F64A3" w:rsidRPr="00C31A26"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Clinical</w:t>
            </w:r>
            <w:r w:rsidRPr="00892A36">
              <w:rPr>
                <w:b/>
              </w:rPr>
              <w:t xml:space="preserve"> criteria:</w:t>
            </w:r>
          </w:p>
          <w:p w:rsidR="007F64A3" w:rsidRPr="00045A2B" w:rsidRDefault="007F64A3" w:rsidP="00ED3E57">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D7672E" w:rsidRPr="00DA62A7" w:rsidRDefault="00D7672E" w:rsidP="00ED3E57">
            <w:pPr>
              <w:pStyle w:val="Tabletext"/>
            </w:pPr>
            <w:r w:rsidRPr="00DA62A7">
              <w:t>Patient</w:t>
            </w:r>
            <w:r w:rsidR="00DA62A7" w:rsidRPr="00DA62A7">
              <w:t>s</w:t>
            </w:r>
            <w:r w:rsidRPr="00DA62A7">
              <w:t xml:space="preserve"> must have received non-PBS-subsidised treatment with </w:t>
            </w:r>
            <w:proofErr w:type="spellStart"/>
            <w:r w:rsidRPr="00DA62A7">
              <w:t>nivolumab</w:t>
            </w:r>
            <w:proofErr w:type="spellEnd"/>
            <w:r w:rsidR="00ED3E57">
              <w:t xml:space="preserve"> for this condition</w:t>
            </w:r>
            <w:r w:rsidRPr="00DA62A7">
              <w:t xml:space="preserve"> prior to &lt;listing date&gt;,</w:t>
            </w:r>
          </w:p>
          <w:p w:rsidR="007F64A3" w:rsidRPr="00DA62A7" w:rsidRDefault="007F64A3" w:rsidP="00ED3E57">
            <w:pPr>
              <w:pStyle w:val="Tabletext"/>
            </w:pPr>
            <w:r w:rsidRPr="00DA62A7">
              <w:t>AND</w:t>
            </w:r>
          </w:p>
          <w:p w:rsidR="007F64A3" w:rsidRPr="00DA62A7" w:rsidRDefault="00ED3E57" w:rsidP="00ED3E57">
            <w:pPr>
              <w:pStyle w:val="Tabletext"/>
            </w:pPr>
            <w:r>
              <w:t xml:space="preserve">The treatment must have been and must continue to be in combination with </w:t>
            </w:r>
            <w:proofErr w:type="spellStart"/>
            <w:r>
              <w:t>ipilimumab</w:t>
            </w:r>
            <w:proofErr w:type="spellEnd"/>
            <w:r w:rsidR="007F64A3" w:rsidRPr="00DA62A7">
              <w:t>,</w:t>
            </w:r>
          </w:p>
          <w:p w:rsidR="007F64A3" w:rsidRDefault="007F64A3" w:rsidP="00ED3E57">
            <w:pPr>
              <w:pStyle w:val="Tabletext"/>
            </w:pPr>
            <w:r w:rsidRPr="00DA62A7">
              <w:t>AND</w:t>
            </w:r>
          </w:p>
          <w:p w:rsidR="007F64A3" w:rsidRPr="00DA62A7" w:rsidRDefault="007F64A3" w:rsidP="00ED3E57">
            <w:pPr>
              <w:pStyle w:val="Tabletext"/>
            </w:pPr>
            <w:r w:rsidRPr="00DA62A7">
              <w:t>Patients must have an Eastern Cooperative Oncology Group (ECOG) performance status of 0 or 1,</w:t>
            </w:r>
          </w:p>
          <w:p w:rsidR="007F64A3" w:rsidRPr="00DA62A7" w:rsidRDefault="007F64A3" w:rsidP="00ED3E57">
            <w:pPr>
              <w:pStyle w:val="Tabletext"/>
            </w:pPr>
            <w:r w:rsidRPr="00DA62A7">
              <w:t xml:space="preserve">AND </w:t>
            </w:r>
          </w:p>
          <w:p w:rsidR="007F64A3" w:rsidRPr="00DA62A7" w:rsidRDefault="007F64A3" w:rsidP="00ED3E57">
            <w:pPr>
              <w:pStyle w:val="Tabletext"/>
            </w:pPr>
            <w:r w:rsidRPr="00DA62A7">
              <w:t xml:space="preserve">Patients must not have ocular or uveal melanoma, </w:t>
            </w:r>
          </w:p>
          <w:p w:rsidR="007F64A3" w:rsidRPr="00DA62A7" w:rsidRDefault="007F64A3" w:rsidP="00ED3E57">
            <w:pPr>
              <w:pStyle w:val="Tabletext"/>
            </w:pPr>
            <w:r w:rsidRPr="00DA62A7">
              <w:t>AND</w:t>
            </w:r>
          </w:p>
          <w:p w:rsidR="007F64A3" w:rsidRPr="00DA62A7" w:rsidRDefault="007F64A3" w:rsidP="00ED3E57">
            <w:pPr>
              <w:pStyle w:val="Tabletext"/>
            </w:pPr>
            <w:r w:rsidRPr="00DA62A7">
              <w:t xml:space="preserve">The treatment with </w:t>
            </w:r>
            <w:proofErr w:type="spellStart"/>
            <w:r w:rsidRPr="00DA62A7">
              <w:t>nivolumab</w:t>
            </w:r>
            <w:proofErr w:type="spellEnd"/>
            <w:r w:rsidRPr="00DA62A7">
              <w:t xml:space="preserve"> must not exceed a total of 4 doses at a maximum dose of 1 mg per kg every 3 weeks under this restriction, </w:t>
            </w:r>
          </w:p>
          <w:p w:rsidR="007F64A3" w:rsidRPr="00DA62A7" w:rsidRDefault="007F64A3" w:rsidP="00ED3E57">
            <w:pPr>
              <w:pStyle w:val="Tabletext"/>
            </w:pPr>
            <w:r w:rsidRPr="00DA62A7">
              <w:t>AND</w:t>
            </w:r>
          </w:p>
          <w:p w:rsidR="007F64A3" w:rsidRPr="00DA62A7" w:rsidRDefault="007F64A3" w:rsidP="00ED3E57">
            <w:pPr>
              <w:pStyle w:val="Tabletext"/>
            </w:pPr>
            <w:r w:rsidRPr="00DA62A7">
              <w:t xml:space="preserve">The treatment with </w:t>
            </w:r>
            <w:proofErr w:type="spellStart"/>
            <w:r w:rsidRPr="00DA62A7">
              <w:t>ipilimumab</w:t>
            </w:r>
            <w:proofErr w:type="spellEnd"/>
            <w:r w:rsidRPr="00DA62A7">
              <w:t xml:space="preserve"> must not exceed a total of 4 doses at a maximum dose of 3 mg per kg every 3 weeks under this restriction.</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Prescriber i</w:t>
            </w:r>
            <w:r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The patient’s body weight must be documented in the patient’s medical records at the time treatment is initiated.</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Administrative a</w:t>
            </w:r>
            <w:r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No increase in the maximum number of repeats may be authorised.</w:t>
            </w:r>
          </w:p>
          <w:p w:rsidR="007F64A3" w:rsidRDefault="007F64A3" w:rsidP="00ED3E57">
            <w:pPr>
              <w:pStyle w:val="Tabletext"/>
            </w:pPr>
            <w:r>
              <w:t>Special Pricing Arrangements apply.</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bottom w:val="single" w:sz="4" w:space="0" w:color="auto"/>
            </w:tcBorders>
          </w:tcPr>
          <w:p w:rsidR="007F64A3" w:rsidRDefault="007F64A3" w:rsidP="00ED3E57">
            <w:pPr>
              <w:pStyle w:val="Tabletext"/>
              <w:rPr>
                <w:i/>
              </w:rPr>
            </w:pP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7F64A3" w:rsidRPr="00D7672E" w:rsidRDefault="007F64A3" w:rsidP="00ED3E57">
            <w:pPr>
              <w:pStyle w:val="Tabletext"/>
              <w:rPr>
                <w:b/>
              </w:rPr>
            </w:pPr>
            <w:r w:rsidRPr="00D7672E">
              <w:rPr>
                <w:b/>
              </w:rPr>
              <w:t>Requested restriction for patients with BRAF V600 mutation positive melanoma</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Category / Program:</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Section 100 – Efficient funding of Chemotherapy</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Default="007F64A3" w:rsidP="00ED3E57">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proofErr w:type="spellStart"/>
            <w:r>
              <w:t>Unresectable</w:t>
            </w:r>
            <w:proofErr w:type="spellEnd"/>
            <w:r>
              <w:t xml:space="preserve"> Stage III or Stage IV</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 xml:space="preserve">Malignant melanoma </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lastRenderedPageBreak/>
              <w:t>PBS i</w:t>
            </w:r>
            <w:r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proofErr w:type="spellStart"/>
            <w:r>
              <w:t>Unresectable</w:t>
            </w:r>
            <w:proofErr w:type="spellEnd"/>
            <w:r>
              <w:t xml:space="preserve"> Stage III or Stage IV malignant melanoma</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3371DA" w:rsidRDefault="007F64A3" w:rsidP="00ED3E57">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 xml:space="preserve">Induction (combination </w:t>
            </w:r>
            <w:proofErr w:type="spellStart"/>
            <w:r>
              <w:t>nivolumab</w:t>
            </w:r>
            <w:proofErr w:type="spellEnd"/>
            <w:r>
              <w:t xml:space="preserve"> and </w:t>
            </w:r>
            <w:proofErr w:type="spellStart"/>
            <w:r>
              <w:t>ipilimumab</w:t>
            </w:r>
            <w:proofErr w:type="spellEnd"/>
            <w:r>
              <w:t>) treatment</w:t>
            </w:r>
            <w:r w:rsidR="00767C92">
              <w:t xml:space="preserve"> – </w:t>
            </w:r>
            <w:r w:rsidR="00767C92" w:rsidRPr="00DA62A7">
              <w:t>Grandfather patients</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045A2B" w:rsidRDefault="007F64A3" w:rsidP="00ED3E57">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7F64A3" w:rsidRPr="00C31A26"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Clinical</w:t>
            </w:r>
            <w:r w:rsidRPr="00892A36">
              <w:rPr>
                <w:b/>
              </w:rPr>
              <w:t xml:space="preserve"> criteria:</w:t>
            </w:r>
          </w:p>
          <w:p w:rsidR="007F64A3" w:rsidRPr="00045A2B" w:rsidRDefault="007F64A3" w:rsidP="00ED3E57">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r w:rsidRPr="00DA62A7">
              <w:t xml:space="preserve">Patients must have received non-PBS-subsidised treatment with </w:t>
            </w:r>
            <w:proofErr w:type="spellStart"/>
            <w:r w:rsidRPr="00DA62A7">
              <w:t>nivolumab</w:t>
            </w:r>
            <w:proofErr w:type="spellEnd"/>
            <w:r>
              <w:t xml:space="preserve"> for this condition</w:t>
            </w:r>
            <w:r w:rsidRPr="00DA62A7">
              <w:t xml:space="preserve"> prior to &lt;listing date&gt;,</w:t>
            </w:r>
          </w:p>
          <w:p w:rsidR="00ED3E57" w:rsidRPr="00DA62A7" w:rsidRDefault="00ED3E57" w:rsidP="00ED3E57">
            <w:pPr>
              <w:pStyle w:val="Tabletext"/>
            </w:pPr>
            <w:r w:rsidRPr="00DA62A7">
              <w:t>AND</w:t>
            </w:r>
          </w:p>
          <w:p w:rsidR="00ED3E57" w:rsidRPr="00DA62A7" w:rsidRDefault="00ED3E57" w:rsidP="00ED3E57">
            <w:pPr>
              <w:pStyle w:val="Tabletext"/>
            </w:pPr>
            <w:r>
              <w:t xml:space="preserve">The treatment must have been and must continue to be in combination with </w:t>
            </w:r>
            <w:proofErr w:type="spellStart"/>
            <w:r>
              <w:t>ipilimumab</w:t>
            </w:r>
            <w:proofErr w:type="spellEnd"/>
            <w:r w:rsidRPr="00DA62A7">
              <w:t>,</w:t>
            </w:r>
          </w:p>
          <w:p w:rsidR="00767C92" w:rsidRDefault="00767C92" w:rsidP="00ED3E57">
            <w:pPr>
              <w:pStyle w:val="Tabletext"/>
            </w:pPr>
            <w:r>
              <w:t>AND</w:t>
            </w:r>
          </w:p>
          <w:p w:rsidR="007F64A3" w:rsidRPr="00D7672E" w:rsidRDefault="007F64A3" w:rsidP="00ED3E57">
            <w:pPr>
              <w:pStyle w:val="Tabletext"/>
            </w:pPr>
            <w:r w:rsidRPr="00D7672E">
              <w:t>The condition must be positive for a BRAF mutation,</w:t>
            </w:r>
          </w:p>
          <w:p w:rsidR="007F64A3" w:rsidRPr="00D7672E" w:rsidRDefault="007F64A3" w:rsidP="00ED3E57">
            <w:pPr>
              <w:pStyle w:val="Tabletext"/>
            </w:pPr>
            <w:r w:rsidRPr="00D7672E">
              <w:t>AND</w:t>
            </w:r>
          </w:p>
          <w:p w:rsidR="007F64A3" w:rsidRPr="00D7672E" w:rsidRDefault="007F64A3" w:rsidP="00ED3E57">
            <w:pPr>
              <w:pStyle w:val="Tabletext"/>
            </w:pPr>
            <w:r w:rsidRPr="00D7672E">
              <w:t>The condition must have progressed following treatment with a  BRAF inhibitor (with or without a MEK inhibitor),</w:t>
            </w:r>
          </w:p>
          <w:p w:rsidR="007F64A3" w:rsidRPr="00D7672E" w:rsidRDefault="007F64A3" w:rsidP="00ED3E57">
            <w:pPr>
              <w:pStyle w:val="Tabletext"/>
            </w:pPr>
            <w:r w:rsidRPr="00D7672E">
              <w:t>OR</w:t>
            </w:r>
          </w:p>
          <w:p w:rsidR="007F64A3" w:rsidRPr="00D7672E" w:rsidRDefault="007F64A3" w:rsidP="00ED3E57">
            <w:pPr>
              <w:pStyle w:val="Tabletext"/>
            </w:pPr>
            <w:r w:rsidRPr="00D7672E">
              <w:t>Patient must be contraindicated to treatment with a BRAF inhibitor,</w:t>
            </w:r>
          </w:p>
          <w:p w:rsidR="007F64A3" w:rsidRPr="00D7672E" w:rsidRDefault="007F64A3" w:rsidP="00ED3E57">
            <w:pPr>
              <w:pStyle w:val="Tabletext"/>
            </w:pPr>
            <w:r w:rsidRPr="00D7672E">
              <w:t xml:space="preserve">OR </w:t>
            </w:r>
          </w:p>
          <w:p w:rsidR="007F64A3" w:rsidRPr="00D7672E" w:rsidRDefault="007F64A3" w:rsidP="00ED3E57">
            <w:pPr>
              <w:pStyle w:val="Tabletext"/>
            </w:pPr>
            <w:r w:rsidRPr="00D7672E">
              <w:t>Patient must have developed intolerance to a BRAF inhibitor of a severity necessitating permanent treatment withdrawal,</w:t>
            </w:r>
          </w:p>
          <w:p w:rsidR="007F64A3" w:rsidRPr="00D7672E" w:rsidRDefault="007F64A3" w:rsidP="00ED3E57">
            <w:pPr>
              <w:pStyle w:val="Tabletext"/>
            </w:pPr>
            <w:r w:rsidRPr="00D7672E">
              <w:t>AND</w:t>
            </w:r>
          </w:p>
          <w:p w:rsidR="007F64A3" w:rsidRPr="00D7672E" w:rsidRDefault="007F64A3" w:rsidP="00ED3E57">
            <w:pPr>
              <w:pStyle w:val="Tabletext"/>
            </w:pPr>
            <w:r w:rsidRPr="00D7672E">
              <w:t>Patients must have an Eastern Cooperative Oncology Group (ECOG) performance status of 0 or 1,</w:t>
            </w:r>
          </w:p>
          <w:p w:rsidR="007F64A3" w:rsidRPr="00D7672E" w:rsidRDefault="007F64A3" w:rsidP="00ED3E57">
            <w:pPr>
              <w:pStyle w:val="Tabletext"/>
            </w:pPr>
            <w:r w:rsidRPr="00D7672E">
              <w:t xml:space="preserve">AND </w:t>
            </w:r>
          </w:p>
          <w:p w:rsidR="007F64A3" w:rsidRPr="00D7672E" w:rsidRDefault="007F64A3" w:rsidP="00ED3E57">
            <w:pPr>
              <w:pStyle w:val="Tabletext"/>
            </w:pPr>
            <w:r w:rsidRPr="00D7672E">
              <w:t xml:space="preserve">Patients must not have ocular or uveal melanoma, </w:t>
            </w:r>
          </w:p>
          <w:p w:rsidR="007F64A3" w:rsidRPr="00D7672E" w:rsidRDefault="007F64A3" w:rsidP="00ED3E57">
            <w:pPr>
              <w:pStyle w:val="Tabletext"/>
            </w:pPr>
            <w:r w:rsidRPr="00D7672E">
              <w:t>AND</w:t>
            </w:r>
          </w:p>
          <w:p w:rsidR="007F64A3" w:rsidRPr="00D7672E" w:rsidRDefault="007F64A3" w:rsidP="00ED3E57">
            <w:pPr>
              <w:pStyle w:val="Tabletext"/>
            </w:pPr>
            <w:r w:rsidRPr="00D7672E">
              <w:t xml:space="preserve">The treatment with </w:t>
            </w:r>
            <w:proofErr w:type="spellStart"/>
            <w:r w:rsidRPr="00D7672E">
              <w:t>nivolumab</w:t>
            </w:r>
            <w:proofErr w:type="spellEnd"/>
            <w:r w:rsidRPr="00D7672E">
              <w:t xml:space="preserve"> must not exceed a total of 4 doses at a maximum dose of 1 mg per kg every 3 weeks under this restriction, </w:t>
            </w:r>
          </w:p>
          <w:p w:rsidR="007F64A3" w:rsidRPr="00D7672E" w:rsidRDefault="007F64A3" w:rsidP="00ED3E57">
            <w:pPr>
              <w:pStyle w:val="Tabletext"/>
            </w:pPr>
            <w:r w:rsidRPr="00D7672E">
              <w:t>AND</w:t>
            </w:r>
          </w:p>
          <w:p w:rsidR="007F64A3" w:rsidRPr="003D1BE4" w:rsidRDefault="007F64A3" w:rsidP="00ED3E57">
            <w:pPr>
              <w:pStyle w:val="Tabletext"/>
            </w:pPr>
            <w:r w:rsidRPr="00D7672E">
              <w:t xml:space="preserve">The treatment with </w:t>
            </w:r>
            <w:proofErr w:type="spellStart"/>
            <w:r w:rsidRPr="00D7672E">
              <w:t>ipilimumab</w:t>
            </w:r>
            <w:proofErr w:type="spellEnd"/>
            <w:r w:rsidRPr="00D7672E">
              <w:t xml:space="preserve"> must not exceed a total of 4 doses at a maximum dose of 3 mg per kg every 3 weeks under this restriction.</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Prescriber i</w:t>
            </w:r>
            <w:r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The patient’s body weight must be documented in the patient’s medical records at the time treatment is initiated.</w:t>
            </w:r>
          </w:p>
        </w:tc>
      </w:tr>
      <w:tr w:rsidR="007F64A3"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Administrative a</w:t>
            </w:r>
            <w:r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No increase in the maximum number of repeats may be authorised.</w:t>
            </w:r>
          </w:p>
          <w:p w:rsidR="007F64A3" w:rsidRDefault="007F64A3" w:rsidP="00ED3E57">
            <w:pPr>
              <w:pStyle w:val="Tabletext"/>
            </w:pPr>
            <w:r>
              <w:t>Special Pricing Arrangements apply.</w:t>
            </w:r>
          </w:p>
        </w:tc>
      </w:tr>
    </w:tbl>
    <w:p w:rsidR="00ED3E57" w:rsidRPr="00ED3E57" w:rsidRDefault="00ED3E57" w:rsidP="003235AE">
      <w:pPr>
        <w:spacing w:before="120" w:after="120"/>
        <w:rPr>
          <w:u w:val="single"/>
        </w:rPr>
      </w:pPr>
      <w:r w:rsidRPr="00ED3E57">
        <w:rPr>
          <w:u w:val="single"/>
        </w:rPr>
        <w:t xml:space="preserve">Grandfather patients, induction phase, </w:t>
      </w:r>
      <w:proofErr w:type="spellStart"/>
      <w:r w:rsidRPr="00ED3E57">
        <w:rPr>
          <w:u w:val="single"/>
        </w:rPr>
        <w:t>ipilimumab</w:t>
      </w:r>
      <w:proofErr w:type="spellEnd"/>
    </w:p>
    <w:tbl>
      <w:tblPr>
        <w:tblW w:w="4907"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1"/>
        <w:gridCol w:w="1558"/>
        <w:gridCol w:w="1419"/>
        <w:gridCol w:w="1134"/>
        <w:gridCol w:w="1134"/>
        <w:gridCol w:w="1985"/>
      </w:tblGrid>
      <w:tr w:rsidR="00ED3E57" w:rsidRPr="003D1DE4" w:rsidTr="00ED3E57">
        <w:tc>
          <w:tcPr>
            <w:tcW w:w="1874" w:type="pct"/>
            <w:gridSpan w:val="2"/>
            <w:tcBorders>
              <w:top w:val="nil"/>
              <w:right w:val="nil"/>
            </w:tcBorders>
          </w:tcPr>
          <w:p w:rsidR="00ED3E57" w:rsidRPr="003D1DE4" w:rsidRDefault="00ED3E57" w:rsidP="00ED3E57">
            <w:pPr>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82" w:type="pct"/>
            <w:tcBorders>
              <w:top w:val="nil"/>
              <w:left w:val="nil"/>
              <w:right w:val="nil"/>
            </w:tcBorders>
          </w:tcPr>
          <w:p w:rsidR="00ED3E57" w:rsidRPr="003D1DE4" w:rsidRDefault="00ED3E57" w:rsidP="00ED3E57">
            <w:pPr>
              <w:jc w:val="center"/>
              <w:rPr>
                <w:rFonts w:ascii="Arial Narrow" w:hAnsi="Arial Narrow"/>
                <w:b/>
                <w:sz w:val="20"/>
                <w:szCs w:val="20"/>
              </w:rPr>
            </w:pPr>
            <w:r>
              <w:rPr>
                <w:rFonts w:ascii="Arial Narrow" w:hAnsi="Arial Narrow"/>
                <w:b/>
                <w:sz w:val="20"/>
                <w:szCs w:val="20"/>
              </w:rPr>
              <w:t>Maximum amount</w:t>
            </w:r>
          </w:p>
        </w:tc>
        <w:tc>
          <w:tcPr>
            <w:tcW w:w="625" w:type="pct"/>
            <w:tcBorders>
              <w:top w:val="nil"/>
              <w:left w:val="nil"/>
              <w:right w:val="nil"/>
            </w:tcBorders>
          </w:tcPr>
          <w:p w:rsidR="00ED3E57" w:rsidRPr="003D1DE4" w:rsidRDefault="00ED3E57" w:rsidP="00ED3E57">
            <w:pPr>
              <w:jc w:val="center"/>
              <w:rPr>
                <w:rFonts w:ascii="Arial Narrow" w:hAnsi="Arial Narrow"/>
                <w:b/>
                <w:sz w:val="20"/>
                <w:szCs w:val="20"/>
              </w:rPr>
            </w:pPr>
            <w:r w:rsidRPr="003D1DE4">
              <w:rPr>
                <w:rFonts w:ascii="Arial Narrow" w:hAnsi="Arial Narrow"/>
                <w:b/>
                <w:sz w:val="20"/>
                <w:szCs w:val="20"/>
              </w:rPr>
              <w:t>No. of repeats</w:t>
            </w:r>
          </w:p>
        </w:tc>
        <w:tc>
          <w:tcPr>
            <w:tcW w:w="1719" w:type="pct"/>
            <w:gridSpan w:val="2"/>
            <w:tcBorders>
              <w:top w:val="nil"/>
              <w:left w:val="nil"/>
            </w:tcBorders>
          </w:tcPr>
          <w:p w:rsidR="00ED3E57" w:rsidRPr="003D1DE4" w:rsidRDefault="00ED3E57" w:rsidP="00ED3E57">
            <w:pPr>
              <w:jc w:val="left"/>
              <w:rPr>
                <w:rFonts w:ascii="Arial Narrow" w:hAnsi="Arial Narrow"/>
                <w:b/>
                <w:sz w:val="20"/>
                <w:szCs w:val="20"/>
              </w:rPr>
            </w:pPr>
            <w:r w:rsidRPr="003D1DE4">
              <w:rPr>
                <w:rFonts w:ascii="Arial Narrow" w:hAnsi="Arial Narrow"/>
                <w:b/>
                <w:sz w:val="20"/>
                <w:szCs w:val="20"/>
              </w:rPr>
              <w:t>Proprietary name and manufacturer</w:t>
            </w:r>
          </w:p>
        </w:tc>
      </w:tr>
      <w:tr w:rsidR="00ED3E57" w:rsidRPr="003D1DE4" w:rsidTr="00ED3E57">
        <w:tc>
          <w:tcPr>
            <w:tcW w:w="5000" w:type="pct"/>
            <w:gridSpan w:val="6"/>
          </w:tcPr>
          <w:p w:rsidR="00ED3E57" w:rsidRPr="003D1DE4" w:rsidRDefault="00ED3E57" w:rsidP="00ED3E57">
            <w:pPr>
              <w:rPr>
                <w:rFonts w:ascii="Arial Narrow" w:hAnsi="Arial Narrow"/>
                <w:b/>
                <w:sz w:val="20"/>
                <w:szCs w:val="20"/>
              </w:rPr>
            </w:pPr>
            <w:r>
              <w:rPr>
                <w:rFonts w:ascii="Arial Narrow" w:hAnsi="Arial Narrow"/>
                <w:b/>
                <w:sz w:val="20"/>
                <w:szCs w:val="20"/>
              </w:rPr>
              <w:t>Induction (combination) phase</w:t>
            </w:r>
          </w:p>
        </w:tc>
      </w:tr>
      <w:tr w:rsidR="00ED3E57" w:rsidRPr="008123DA" w:rsidTr="00ED3E57">
        <w:tc>
          <w:tcPr>
            <w:tcW w:w="1874" w:type="pct"/>
            <w:gridSpan w:val="2"/>
            <w:tcBorders>
              <w:right w:val="nil"/>
            </w:tcBorders>
          </w:tcPr>
          <w:p w:rsidR="00ED3E57" w:rsidRPr="0082090B" w:rsidRDefault="00ED3E57" w:rsidP="00ED3E57">
            <w:pPr>
              <w:keepNext/>
              <w:rPr>
                <w:rFonts w:ascii="Arial Narrow" w:hAnsi="Arial Narrow"/>
                <w:sz w:val="20"/>
              </w:rPr>
            </w:pPr>
            <w:r>
              <w:rPr>
                <w:rFonts w:ascii="Arial Narrow" w:hAnsi="Arial Narrow"/>
                <w:smallCaps/>
                <w:sz w:val="20"/>
              </w:rPr>
              <w:t>Ipilimumab</w:t>
            </w:r>
          </w:p>
          <w:p w:rsidR="00ED3E57" w:rsidRPr="00A619DC" w:rsidRDefault="00ED3E57" w:rsidP="00ED3E57">
            <w:pPr>
              <w:keepNext/>
              <w:rPr>
                <w:rFonts w:ascii="Arial Narrow" w:hAnsi="Arial Narrow"/>
                <w:sz w:val="20"/>
                <w:vertAlign w:val="superscript"/>
              </w:rPr>
            </w:pPr>
            <w:r>
              <w:rPr>
                <w:rFonts w:ascii="Arial Narrow" w:hAnsi="Arial Narrow"/>
                <w:sz w:val="20"/>
              </w:rPr>
              <w:t>200</w:t>
            </w:r>
            <w:r w:rsidRPr="0082090B">
              <w:rPr>
                <w:rFonts w:ascii="Arial Narrow" w:hAnsi="Arial Narrow"/>
                <w:sz w:val="20"/>
              </w:rPr>
              <w:t> mg/4</w:t>
            </w:r>
            <w:r>
              <w:rPr>
                <w:rFonts w:ascii="Arial Narrow" w:hAnsi="Arial Narrow"/>
                <w:sz w:val="20"/>
              </w:rPr>
              <w:t>0</w:t>
            </w:r>
            <w:r w:rsidRPr="0082090B">
              <w:rPr>
                <w:rFonts w:ascii="Arial Narrow" w:hAnsi="Arial Narrow"/>
                <w:sz w:val="20"/>
              </w:rPr>
              <w:t xml:space="preserve"> mL injection, 1 x </w:t>
            </w:r>
            <w:r w:rsidRPr="00975755">
              <w:rPr>
                <w:rFonts w:ascii="Arial Narrow" w:hAnsi="Arial Narrow"/>
                <w:sz w:val="20"/>
              </w:rPr>
              <w:t>4</w:t>
            </w:r>
            <w:r>
              <w:rPr>
                <w:rFonts w:ascii="Arial Narrow" w:hAnsi="Arial Narrow"/>
                <w:sz w:val="20"/>
              </w:rPr>
              <w:t>0</w:t>
            </w:r>
            <w:r w:rsidRPr="00975755">
              <w:rPr>
                <w:rFonts w:ascii="Arial Narrow" w:hAnsi="Arial Narrow"/>
                <w:sz w:val="20"/>
              </w:rPr>
              <w:t> mL</w:t>
            </w:r>
            <w:r w:rsidRPr="00A619DC">
              <w:rPr>
                <w:rFonts w:ascii="Arial Narrow" w:hAnsi="Arial Narrow"/>
                <w:i/>
                <w:sz w:val="20"/>
              </w:rPr>
              <w:t xml:space="preserve"> </w:t>
            </w:r>
            <w:r w:rsidRPr="0082090B">
              <w:rPr>
                <w:rFonts w:ascii="Arial Narrow" w:hAnsi="Arial Narrow"/>
                <w:sz w:val="20"/>
              </w:rPr>
              <w:t>vial</w:t>
            </w:r>
          </w:p>
          <w:p w:rsidR="00ED3E57" w:rsidRDefault="00ED3E57" w:rsidP="00ED3E57">
            <w:pPr>
              <w:pStyle w:val="Tabletext"/>
            </w:pPr>
            <w:r>
              <w:t>5</w:t>
            </w:r>
            <w:r w:rsidRPr="0082090B">
              <w:t xml:space="preserve">0 mg/10 mL injection, 1 x </w:t>
            </w:r>
            <w:r w:rsidRPr="00975755">
              <w:t>10 mL</w:t>
            </w:r>
            <w:r w:rsidRPr="0082090B">
              <w:t xml:space="preserve"> vial</w:t>
            </w:r>
          </w:p>
          <w:p w:rsidR="00ED3E57" w:rsidRPr="008123DA" w:rsidRDefault="00ED3E57" w:rsidP="00ED3E57">
            <w:pPr>
              <w:pStyle w:val="Tabletext"/>
            </w:pPr>
          </w:p>
        </w:tc>
        <w:tc>
          <w:tcPr>
            <w:tcW w:w="782" w:type="pct"/>
            <w:tcBorders>
              <w:left w:val="nil"/>
              <w:right w:val="nil"/>
            </w:tcBorders>
          </w:tcPr>
          <w:p w:rsidR="00ED3E57" w:rsidRDefault="00ED3E57" w:rsidP="00ED3E57">
            <w:pPr>
              <w:pStyle w:val="Tabletext"/>
              <w:jc w:val="center"/>
            </w:pPr>
          </w:p>
          <w:p w:rsidR="00ED3E57" w:rsidRPr="008123DA" w:rsidRDefault="00ED3E57" w:rsidP="00ED3E57">
            <w:pPr>
              <w:pStyle w:val="Tabletext"/>
              <w:jc w:val="center"/>
            </w:pPr>
            <w:r>
              <w:t>360 mg</w:t>
            </w:r>
          </w:p>
        </w:tc>
        <w:tc>
          <w:tcPr>
            <w:tcW w:w="625" w:type="pct"/>
            <w:tcBorders>
              <w:left w:val="nil"/>
              <w:right w:val="nil"/>
            </w:tcBorders>
          </w:tcPr>
          <w:p w:rsidR="00ED3E57" w:rsidRDefault="00ED3E57" w:rsidP="00ED3E57">
            <w:pPr>
              <w:pStyle w:val="Tabletext"/>
              <w:jc w:val="center"/>
            </w:pPr>
          </w:p>
          <w:p w:rsidR="00ED3E57" w:rsidRPr="008123DA" w:rsidRDefault="00ED3E57" w:rsidP="00ED3E57">
            <w:pPr>
              <w:pStyle w:val="Tabletext"/>
              <w:jc w:val="center"/>
            </w:pPr>
            <w:r>
              <w:t>3</w:t>
            </w:r>
          </w:p>
        </w:tc>
        <w:tc>
          <w:tcPr>
            <w:tcW w:w="625" w:type="pct"/>
            <w:tcBorders>
              <w:left w:val="nil"/>
              <w:right w:val="nil"/>
            </w:tcBorders>
          </w:tcPr>
          <w:p w:rsidR="00ED3E57" w:rsidRPr="00D7672E" w:rsidRDefault="00ED3E57" w:rsidP="00ED3E57">
            <w:pPr>
              <w:pStyle w:val="Tabletext"/>
            </w:pPr>
          </w:p>
          <w:p w:rsidR="00ED3E57" w:rsidRPr="00D7672E" w:rsidRDefault="00ED3E57" w:rsidP="00ED3E57">
            <w:pPr>
              <w:pStyle w:val="Tabletext"/>
              <w:rPr>
                <w:vertAlign w:val="superscript"/>
              </w:rPr>
            </w:pPr>
            <w:proofErr w:type="spellStart"/>
            <w:r w:rsidRPr="00D7672E">
              <w:t>Yervoy</w:t>
            </w:r>
            <w:proofErr w:type="spellEnd"/>
            <w:r w:rsidRPr="00D7672E">
              <w:rPr>
                <w:vertAlign w:val="superscript"/>
              </w:rPr>
              <w:t>®</w:t>
            </w:r>
          </w:p>
        </w:tc>
        <w:tc>
          <w:tcPr>
            <w:tcW w:w="1094" w:type="pct"/>
            <w:tcBorders>
              <w:left w:val="nil"/>
            </w:tcBorders>
          </w:tcPr>
          <w:p w:rsidR="00ED3E57" w:rsidRPr="00D7672E" w:rsidRDefault="00ED3E57" w:rsidP="00ED3E57">
            <w:pPr>
              <w:pStyle w:val="Tabletext"/>
            </w:pPr>
          </w:p>
          <w:p w:rsidR="00ED3E57" w:rsidRPr="00D7672E" w:rsidRDefault="00ED3E57" w:rsidP="00ED3E57">
            <w:pPr>
              <w:pStyle w:val="Tabletext"/>
            </w:pPr>
            <w:r w:rsidRPr="00D7672E">
              <w:t>Bristol-Myers Squibb Australia Pty Ltd (BQ)</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ED3E57" w:rsidRPr="00D7672E" w:rsidRDefault="00ED3E57" w:rsidP="00ED3E57">
            <w:pPr>
              <w:pStyle w:val="Tabletext"/>
              <w:rPr>
                <w:b/>
              </w:rPr>
            </w:pPr>
            <w:r w:rsidRPr="00D7672E">
              <w:rPr>
                <w:b/>
              </w:rPr>
              <w:t xml:space="preserve">Requested restriction for patients with BRAF </w:t>
            </w:r>
            <w:r>
              <w:rPr>
                <w:b/>
              </w:rPr>
              <w:t>V600 mutation negative melanoma</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Category / Program:</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Section 100 – Efficient funding of Chemotherapy</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Default="00ED3E57" w:rsidP="00ED3E57">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proofErr w:type="spellStart"/>
            <w:r>
              <w:t>Unresectable</w:t>
            </w:r>
            <w:proofErr w:type="spellEnd"/>
            <w:r>
              <w:t xml:space="preserve"> Stage III or Stage IV</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 xml:space="preserve">Malignant melanoma </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PBS i</w:t>
            </w:r>
            <w:r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proofErr w:type="spellStart"/>
            <w:r w:rsidRPr="00DA62A7">
              <w:t>Unresectable</w:t>
            </w:r>
            <w:proofErr w:type="spellEnd"/>
            <w:r w:rsidRPr="00DA62A7">
              <w:t xml:space="preserve"> Stage III or Stage IV malignant melanoma</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3371DA" w:rsidRDefault="00ED3E57" w:rsidP="00ED3E57">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r w:rsidRPr="00DA62A7">
              <w:t xml:space="preserve">Induction (combination </w:t>
            </w:r>
            <w:proofErr w:type="spellStart"/>
            <w:r w:rsidRPr="00DA62A7">
              <w:t>nivolumab</w:t>
            </w:r>
            <w:proofErr w:type="spellEnd"/>
            <w:r w:rsidRPr="00DA62A7">
              <w:t xml:space="preserve"> and </w:t>
            </w:r>
            <w:proofErr w:type="spellStart"/>
            <w:r w:rsidRPr="00DA62A7">
              <w:t>ipilimumab</w:t>
            </w:r>
            <w:proofErr w:type="spellEnd"/>
            <w:r w:rsidRPr="00DA62A7">
              <w:t>) treatment – Grandfather patients</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045A2B" w:rsidRDefault="00ED3E57" w:rsidP="00ED3E57">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r w:rsidRPr="00DA62A7">
              <w:fldChar w:fldCharType="begin">
                <w:ffData>
                  <w:name w:val="Check5"/>
                  <w:enabled/>
                  <w:calcOnExit w:val="0"/>
                  <w:checkBox>
                    <w:sizeAuto/>
                    <w:default w:val="1"/>
                  </w:checkBox>
                </w:ffData>
              </w:fldChar>
            </w:r>
            <w:r w:rsidRPr="00DA62A7">
              <w:instrText xml:space="preserve"> FORMCHECKBOX </w:instrText>
            </w:r>
            <w:r w:rsidR="00522468">
              <w:fldChar w:fldCharType="separate"/>
            </w:r>
            <w:r w:rsidRPr="00DA62A7">
              <w:fldChar w:fldCharType="end"/>
            </w:r>
            <w:r w:rsidRPr="00DA62A7">
              <w:t>Streamlined</w:t>
            </w:r>
          </w:p>
        </w:tc>
      </w:tr>
      <w:tr w:rsidR="00ED3E57" w:rsidRPr="00C31A26"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lastRenderedPageBreak/>
              <w:t>Clinical</w:t>
            </w:r>
            <w:r w:rsidRPr="00892A36">
              <w:rPr>
                <w:b/>
              </w:rPr>
              <w:t xml:space="preserve"> criteria:</w:t>
            </w:r>
          </w:p>
          <w:p w:rsidR="00ED3E57" w:rsidRPr="00045A2B" w:rsidRDefault="00ED3E57" w:rsidP="00ED3E57">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r w:rsidRPr="00DA62A7">
              <w:t xml:space="preserve">Patients must have received non-PBS-subsidised treatment with </w:t>
            </w:r>
            <w:proofErr w:type="spellStart"/>
            <w:r>
              <w:t>ipilimumab</w:t>
            </w:r>
            <w:proofErr w:type="spellEnd"/>
            <w:r>
              <w:t xml:space="preserve"> for this condition</w:t>
            </w:r>
            <w:r w:rsidRPr="00DA62A7">
              <w:t xml:space="preserve"> prior to &lt;listing date&gt;,</w:t>
            </w:r>
          </w:p>
          <w:p w:rsidR="00ED3E57" w:rsidRPr="00DA62A7" w:rsidRDefault="00ED3E57" w:rsidP="00ED3E57">
            <w:pPr>
              <w:pStyle w:val="Tabletext"/>
            </w:pPr>
            <w:r w:rsidRPr="00DA62A7">
              <w:t>AND</w:t>
            </w:r>
          </w:p>
          <w:p w:rsidR="00ED3E57" w:rsidRPr="00DA62A7" w:rsidRDefault="00ED3E57" w:rsidP="00ED3E57">
            <w:pPr>
              <w:pStyle w:val="Tabletext"/>
            </w:pPr>
            <w:r>
              <w:t xml:space="preserve">The treatment must have been and must continue to be in combination with </w:t>
            </w:r>
            <w:proofErr w:type="spellStart"/>
            <w:r>
              <w:t>nivolumab</w:t>
            </w:r>
            <w:proofErr w:type="spellEnd"/>
            <w:r w:rsidRPr="00DA62A7">
              <w:t>,</w:t>
            </w:r>
          </w:p>
          <w:p w:rsidR="00ED3E57" w:rsidRPr="00DA62A7" w:rsidRDefault="00ED3E57" w:rsidP="00ED3E57">
            <w:pPr>
              <w:pStyle w:val="Tabletext"/>
            </w:pPr>
            <w:r w:rsidRPr="00DA62A7">
              <w:t>AND</w:t>
            </w:r>
          </w:p>
          <w:p w:rsidR="00ED3E57" w:rsidRPr="00DA62A7" w:rsidRDefault="00ED3E57" w:rsidP="00ED3E57">
            <w:pPr>
              <w:pStyle w:val="Tabletext"/>
            </w:pPr>
            <w:r w:rsidRPr="00DA62A7">
              <w:t>Patients must have an Eastern Cooperative Oncology Group (ECOG) performance status of 0 or 1,</w:t>
            </w:r>
          </w:p>
          <w:p w:rsidR="00ED3E57" w:rsidRPr="00DA62A7" w:rsidRDefault="00ED3E57" w:rsidP="00ED3E57">
            <w:pPr>
              <w:pStyle w:val="Tabletext"/>
            </w:pPr>
            <w:r w:rsidRPr="00DA62A7">
              <w:t xml:space="preserve">AND </w:t>
            </w:r>
          </w:p>
          <w:p w:rsidR="00ED3E57" w:rsidRPr="00DA62A7" w:rsidRDefault="00ED3E57" w:rsidP="00ED3E57">
            <w:pPr>
              <w:pStyle w:val="Tabletext"/>
            </w:pPr>
            <w:r w:rsidRPr="00DA62A7">
              <w:t xml:space="preserve">Patients must not have ocular or uveal melanoma, </w:t>
            </w:r>
          </w:p>
          <w:p w:rsidR="00ED3E57" w:rsidRPr="00DA62A7" w:rsidRDefault="00ED3E57" w:rsidP="00ED3E57">
            <w:pPr>
              <w:pStyle w:val="Tabletext"/>
            </w:pPr>
            <w:r w:rsidRPr="00DA62A7">
              <w:t>AND</w:t>
            </w:r>
          </w:p>
          <w:p w:rsidR="00ED3E57" w:rsidRPr="00DA62A7" w:rsidRDefault="00ED3E57" w:rsidP="00ED3E57">
            <w:pPr>
              <w:pStyle w:val="Tabletext"/>
            </w:pPr>
            <w:r w:rsidRPr="00DA62A7">
              <w:t xml:space="preserve">The treatment with </w:t>
            </w:r>
            <w:proofErr w:type="spellStart"/>
            <w:r w:rsidRPr="00DA62A7">
              <w:t>nivolumab</w:t>
            </w:r>
            <w:proofErr w:type="spellEnd"/>
            <w:r w:rsidRPr="00DA62A7">
              <w:t xml:space="preserve"> must not exceed a total of 4 doses at a maximum dose of 1 mg per kg every 3 weeks under this restriction, </w:t>
            </w:r>
          </w:p>
          <w:p w:rsidR="00ED3E57" w:rsidRPr="00DA62A7" w:rsidRDefault="00ED3E57" w:rsidP="00ED3E57">
            <w:pPr>
              <w:pStyle w:val="Tabletext"/>
            </w:pPr>
            <w:r w:rsidRPr="00DA62A7">
              <w:t>AND</w:t>
            </w:r>
          </w:p>
          <w:p w:rsidR="00ED3E57" w:rsidRPr="00DA62A7" w:rsidRDefault="00ED3E57" w:rsidP="00ED3E57">
            <w:pPr>
              <w:pStyle w:val="Tabletext"/>
            </w:pPr>
            <w:r w:rsidRPr="00DA62A7">
              <w:t xml:space="preserve">The treatment with </w:t>
            </w:r>
            <w:proofErr w:type="spellStart"/>
            <w:r w:rsidRPr="00DA62A7">
              <w:t>ipilimumab</w:t>
            </w:r>
            <w:proofErr w:type="spellEnd"/>
            <w:r w:rsidRPr="00DA62A7">
              <w:t xml:space="preserve"> must not exceed a total of 4 doses at a maximum dose of 3 mg per kg every 3 weeks under this restriction.</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Prescriber i</w:t>
            </w:r>
            <w:r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The patient’s body weight must be documented in the patient’s medical records at the time treatment is initiated.</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Administrative a</w:t>
            </w:r>
            <w:r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No increase in the maximum number of repeats may be authorised.</w:t>
            </w:r>
          </w:p>
          <w:p w:rsidR="00ED3E57" w:rsidRDefault="00ED3E57" w:rsidP="00ED3E57">
            <w:pPr>
              <w:pStyle w:val="Tabletext"/>
            </w:pPr>
            <w:r>
              <w:t>Special Pricing Arrangements apply.</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bottom w:val="single" w:sz="4" w:space="0" w:color="auto"/>
            </w:tcBorders>
          </w:tcPr>
          <w:p w:rsidR="00ED3E57" w:rsidRDefault="00ED3E57" w:rsidP="00ED3E57">
            <w:pPr>
              <w:pStyle w:val="Tabletext"/>
              <w:rPr>
                <w:i/>
              </w:rPr>
            </w:pP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ED3E57" w:rsidRPr="00D7672E" w:rsidRDefault="00ED3E57" w:rsidP="00ED3E57">
            <w:pPr>
              <w:pStyle w:val="Tabletext"/>
              <w:rPr>
                <w:b/>
              </w:rPr>
            </w:pPr>
            <w:r w:rsidRPr="00D7672E">
              <w:rPr>
                <w:b/>
              </w:rPr>
              <w:t>Requested restriction for patients with BRAF V600 mutation positive melanoma</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Category / Program:</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Section 100 – Efficient funding of Chemotherapy</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Default="00ED3E57" w:rsidP="00ED3E57">
            <w:pPr>
              <w:pStyle w:val="Tabletext"/>
              <w:rPr>
                <w:b/>
              </w:rPr>
            </w:pPr>
            <w:r w:rsidRPr="00AD4E28">
              <w:rPr>
                <w:rFonts w:cs="Arial"/>
                <w:b/>
                <w:szCs w:val="20"/>
              </w:rPr>
              <w:t>Prescriber type:</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sidRPr="00892A36">
              <w:rPr>
                <w:b/>
              </w:rPr>
              <w:t>Severity:</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proofErr w:type="spellStart"/>
            <w:r>
              <w:t>Unresectable</w:t>
            </w:r>
            <w:proofErr w:type="spellEnd"/>
            <w:r>
              <w:t xml:space="preserve"> Stage III or Stage IV</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sidRPr="00892A36">
              <w:rPr>
                <w:b/>
              </w:rPr>
              <w:t>Condition: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 xml:space="preserve">Malignant melanoma </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PBS i</w:t>
            </w:r>
            <w:r w:rsidRPr="00892A36">
              <w:rPr>
                <w:b/>
              </w:rPr>
              <w:t>ndication: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proofErr w:type="spellStart"/>
            <w:r>
              <w:t>Unresectable</w:t>
            </w:r>
            <w:proofErr w:type="spellEnd"/>
            <w:r>
              <w:t xml:space="preserve"> Stage III or Stage IV malignant melanoma</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3371DA" w:rsidRDefault="00ED3E57" w:rsidP="00ED3E57">
            <w:pPr>
              <w:pStyle w:val="Tabletext"/>
              <w:rPr>
                <w:b/>
              </w:rPr>
            </w:pPr>
            <w:r>
              <w:rPr>
                <w:b/>
              </w:rPr>
              <w:t>Treatment phase:</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 xml:space="preserve">Induction (combination </w:t>
            </w:r>
            <w:proofErr w:type="spellStart"/>
            <w:r>
              <w:t>nivolumab</w:t>
            </w:r>
            <w:proofErr w:type="spellEnd"/>
            <w:r>
              <w:t xml:space="preserve"> and </w:t>
            </w:r>
            <w:proofErr w:type="spellStart"/>
            <w:r>
              <w:t>ipilimumab</w:t>
            </w:r>
            <w:proofErr w:type="spellEnd"/>
            <w:r>
              <w:t xml:space="preserve">) treatment – </w:t>
            </w:r>
            <w:r w:rsidRPr="00DA62A7">
              <w:t>Grandfather patients</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045A2B" w:rsidRDefault="00ED3E57" w:rsidP="00ED3E57">
            <w:pPr>
              <w:pStyle w:val="Tabletext"/>
              <w:rPr>
                <w:i/>
              </w:rPr>
            </w:pPr>
            <w:r w:rsidRPr="00892A36">
              <w:rPr>
                <w:b/>
              </w:rPr>
              <w:t>Restriction:</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ED3E57" w:rsidRPr="00C31A26"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Clinical</w:t>
            </w:r>
            <w:r w:rsidRPr="00892A36">
              <w:rPr>
                <w:b/>
              </w:rPr>
              <w:t xml:space="preserve"> criteria:</w:t>
            </w:r>
          </w:p>
          <w:p w:rsidR="00ED3E57" w:rsidRPr="00045A2B" w:rsidRDefault="00ED3E57" w:rsidP="00ED3E57">
            <w:pPr>
              <w:pStyle w:val="Tabletext"/>
              <w:rPr>
                <w:i/>
              </w:rPr>
            </w:pPr>
          </w:p>
        </w:tc>
        <w:tc>
          <w:tcPr>
            <w:tcW w:w="3985" w:type="pct"/>
            <w:gridSpan w:val="5"/>
            <w:tcBorders>
              <w:top w:val="single" w:sz="4" w:space="0" w:color="auto"/>
              <w:left w:val="single" w:sz="4" w:space="0" w:color="auto"/>
              <w:bottom w:val="single" w:sz="4" w:space="0" w:color="auto"/>
              <w:right w:val="single" w:sz="4" w:space="0" w:color="auto"/>
            </w:tcBorders>
          </w:tcPr>
          <w:p w:rsidR="00ED3E57" w:rsidRPr="00DA62A7" w:rsidRDefault="00ED3E57" w:rsidP="00ED3E57">
            <w:pPr>
              <w:pStyle w:val="Tabletext"/>
            </w:pPr>
            <w:r w:rsidRPr="00DA62A7">
              <w:t xml:space="preserve">Patients must have received non-PBS-subsidised treatment with </w:t>
            </w:r>
            <w:proofErr w:type="spellStart"/>
            <w:r>
              <w:t>ipilimumab</w:t>
            </w:r>
            <w:proofErr w:type="spellEnd"/>
            <w:r>
              <w:t xml:space="preserve"> for this condition</w:t>
            </w:r>
            <w:r w:rsidRPr="00DA62A7">
              <w:t xml:space="preserve"> prior to &lt;listing date&gt;,</w:t>
            </w:r>
          </w:p>
          <w:p w:rsidR="00ED3E57" w:rsidRPr="00DA62A7" w:rsidRDefault="00ED3E57" w:rsidP="00ED3E57">
            <w:pPr>
              <w:pStyle w:val="Tabletext"/>
            </w:pPr>
            <w:r w:rsidRPr="00DA62A7">
              <w:t>AND</w:t>
            </w:r>
          </w:p>
          <w:p w:rsidR="00ED3E57" w:rsidRPr="00DA62A7" w:rsidRDefault="00ED3E57" w:rsidP="00ED3E57">
            <w:pPr>
              <w:pStyle w:val="Tabletext"/>
            </w:pPr>
            <w:r>
              <w:t xml:space="preserve">The treatment must have been and must continue to be in combination with </w:t>
            </w:r>
            <w:proofErr w:type="spellStart"/>
            <w:r>
              <w:t>nivolumab</w:t>
            </w:r>
            <w:proofErr w:type="spellEnd"/>
            <w:r w:rsidRPr="00DA62A7">
              <w:t>,</w:t>
            </w:r>
          </w:p>
          <w:p w:rsidR="00ED3E57" w:rsidRDefault="00ED3E57" w:rsidP="00ED3E57">
            <w:pPr>
              <w:pStyle w:val="Tabletext"/>
            </w:pPr>
            <w:r>
              <w:t>AND</w:t>
            </w:r>
          </w:p>
          <w:p w:rsidR="00ED3E57" w:rsidRPr="00D7672E" w:rsidRDefault="00ED3E57" w:rsidP="00ED3E57">
            <w:pPr>
              <w:pStyle w:val="Tabletext"/>
            </w:pPr>
            <w:r w:rsidRPr="00D7672E">
              <w:t>The condition must be positive for a BRAF mutation,</w:t>
            </w:r>
          </w:p>
          <w:p w:rsidR="00ED3E57" w:rsidRPr="00D7672E" w:rsidRDefault="00ED3E57" w:rsidP="00ED3E57">
            <w:pPr>
              <w:pStyle w:val="Tabletext"/>
            </w:pPr>
            <w:r w:rsidRPr="00D7672E">
              <w:t>AND</w:t>
            </w:r>
          </w:p>
          <w:p w:rsidR="00ED3E57" w:rsidRPr="00D7672E" w:rsidRDefault="00ED3E57" w:rsidP="00ED3E57">
            <w:pPr>
              <w:pStyle w:val="Tabletext"/>
            </w:pPr>
            <w:r w:rsidRPr="00D7672E">
              <w:t>The condition must have progressed following treatment with a  BRAF inhibitor (with or without a MEK inhibitor),</w:t>
            </w:r>
          </w:p>
          <w:p w:rsidR="00ED3E57" w:rsidRPr="00D7672E" w:rsidRDefault="00ED3E57" w:rsidP="00ED3E57">
            <w:pPr>
              <w:pStyle w:val="Tabletext"/>
            </w:pPr>
            <w:r w:rsidRPr="00D7672E">
              <w:t>OR</w:t>
            </w:r>
          </w:p>
          <w:p w:rsidR="00ED3E57" w:rsidRPr="00D7672E" w:rsidRDefault="00ED3E57" w:rsidP="00ED3E57">
            <w:pPr>
              <w:pStyle w:val="Tabletext"/>
            </w:pPr>
            <w:r w:rsidRPr="00D7672E">
              <w:t>Patient must be contraindicated to treatment with a BRAF inhibitor,</w:t>
            </w:r>
          </w:p>
          <w:p w:rsidR="00ED3E57" w:rsidRPr="00D7672E" w:rsidRDefault="00ED3E57" w:rsidP="00ED3E57">
            <w:pPr>
              <w:pStyle w:val="Tabletext"/>
            </w:pPr>
            <w:r w:rsidRPr="00D7672E">
              <w:t xml:space="preserve">OR </w:t>
            </w:r>
          </w:p>
          <w:p w:rsidR="00ED3E57" w:rsidRPr="00D7672E" w:rsidRDefault="00ED3E57" w:rsidP="00ED3E57">
            <w:pPr>
              <w:pStyle w:val="Tabletext"/>
            </w:pPr>
            <w:r w:rsidRPr="00D7672E">
              <w:t>Patient must have developed intolerance to a BRAF inhibitor of a severity necessitating permanent treatment withdrawal,</w:t>
            </w:r>
          </w:p>
          <w:p w:rsidR="00ED3E57" w:rsidRPr="00D7672E" w:rsidRDefault="00ED3E57" w:rsidP="00ED3E57">
            <w:pPr>
              <w:pStyle w:val="Tabletext"/>
            </w:pPr>
            <w:r w:rsidRPr="00D7672E">
              <w:t>AND</w:t>
            </w:r>
          </w:p>
          <w:p w:rsidR="00ED3E57" w:rsidRPr="00D7672E" w:rsidRDefault="00ED3E57" w:rsidP="00ED3E57">
            <w:pPr>
              <w:pStyle w:val="Tabletext"/>
            </w:pPr>
            <w:r w:rsidRPr="00D7672E">
              <w:t>Patients must have an Eastern Cooperative Oncology Group (ECOG) performance status of 0 or 1,</w:t>
            </w:r>
          </w:p>
          <w:p w:rsidR="00ED3E57" w:rsidRPr="00D7672E" w:rsidRDefault="00ED3E57" w:rsidP="00ED3E57">
            <w:pPr>
              <w:pStyle w:val="Tabletext"/>
            </w:pPr>
            <w:r w:rsidRPr="00D7672E">
              <w:t xml:space="preserve">AND </w:t>
            </w:r>
          </w:p>
          <w:p w:rsidR="00ED3E57" w:rsidRPr="00D7672E" w:rsidRDefault="00ED3E57" w:rsidP="00ED3E57">
            <w:pPr>
              <w:pStyle w:val="Tabletext"/>
            </w:pPr>
            <w:r w:rsidRPr="00D7672E">
              <w:t xml:space="preserve">Patients must not have ocular or uveal melanoma, </w:t>
            </w:r>
          </w:p>
          <w:p w:rsidR="00ED3E57" w:rsidRPr="00D7672E" w:rsidRDefault="00ED3E57" w:rsidP="00ED3E57">
            <w:pPr>
              <w:pStyle w:val="Tabletext"/>
            </w:pPr>
            <w:r w:rsidRPr="00D7672E">
              <w:t>AND</w:t>
            </w:r>
          </w:p>
          <w:p w:rsidR="00ED3E57" w:rsidRPr="00D7672E" w:rsidRDefault="00ED3E57" w:rsidP="00ED3E57">
            <w:pPr>
              <w:pStyle w:val="Tabletext"/>
            </w:pPr>
            <w:r w:rsidRPr="00D7672E">
              <w:t xml:space="preserve">The treatment with </w:t>
            </w:r>
            <w:proofErr w:type="spellStart"/>
            <w:r w:rsidRPr="00D7672E">
              <w:t>nivolumab</w:t>
            </w:r>
            <w:proofErr w:type="spellEnd"/>
            <w:r w:rsidRPr="00D7672E">
              <w:t xml:space="preserve"> must not exceed a total of 4 doses at a maximum dose of 1 mg per kg every 3 weeks under this restriction, </w:t>
            </w:r>
          </w:p>
          <w:p w:rsidR="00ED3E57" w:rsidRPr="00D7672E" w:rsidRDefault="00ED3E57" w:rsidP="00ED3E57">
            <w:pPr>
              <w:pStyle w:val="Tabletext"/>
            </w:pPr>
            <w:r w:rsidRPr="00D7672E">
              <w:t>AND</w:t>
            </w:r>
          </w:p>
          <w:p w:rsidR="00ED3E57" w:rsidRPr="003D1BE4" w:rsidRDefault="00ED3E57" w:rsidP="00ED3E57">
            <w:pPr>
              <w:pStyle w:val="Tabletext"/>
            </w:pPr>
            <w:r w:rsidRPr="00D7672E">
              <w:t xml:space="preserve">The treatment with </w:t>
            </w:r>
            <w:proofErr w:type="spellStart"/>
            <w:r w:rsidRPr="00D7672E">
              <w:t>ipilimumab</w:t>
            </w:r>
            <w:proofErr w:type="spellEnd"/>
            <w:r w:rsidRPr="00D7672E">
              <w:t xml:space="preserve"> must not exceed a total of 4 doses at a maximum dose of 3 mg per kg every 3 weeks under this restriction.</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t>Prescriber i</w:t>
            </w:r>
            <w:r w:rsidRPr="00892A36">
              <w:rPr>
                <w:b/>
              </w:rPr>
              <w:t>nstructions:</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The patient’s body weight must be documented in the patient’s medical records at the time treatment is initiated.</w:t>
            </w:r>
          </w:p>
        </w:tc>
      </w:tr>
      <w:tr w:rsidR="00ED3E57" w:rsidTr="00ED3E57">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cantSplit/>
        </w:trPr>
        <w:tc>
          <w:tcPr>
            <w:tcW w:w="1015" w:type="pct"/>
            <w:tcBorders>
              <w:top w:val="single" w:sz="4" w:space="0" w:color="auto"/>
              <w:left w:val="single" w:sz="4" w:space="0" w:color="auto"/>
              <w:bottom w:val="single" w:sz="4" w:space="0" w:color="auto"/>
              <w:right w:val="single" w:sz="4" w:space="0" w:color="auto"/>
            </w:tcBorders>
          </w:tcPr>
          <w:p w:rsidR="00ED3E57" w:rsidRPr="00892A36" w:rsidRDefault="00ED3E57" w:rsidP="00ED3E57">
            <w:pPr>
              <w:pStyle w:val="Tabletext"/>
              <w:rPr>
                <w:b/>
              </w:rPr>
            </w:pPr>
            <w:r>
              <w:rPr>
                <w:b/>
              </w:rPr>
              <w:lastRenderedPageBreak/>
              <w:t>Administrative a</w:t>
            </w:r>
            <w:r w:rsidRPr="00892A36">
              <w:rPr>
                <w:b/>
              </w:rPr>
              <w:t>dvice:</w:t>
            </w:r>
          </w:p>
        </w:tc>
        <w:tc>
          <w:tcPr>
            <w:tcW w:w="3985" w:type="pct"/>
            <w:gridSpan w:val="5"/>
            <w:tcBorders>
              <w:top w:val="single" w:sz="4" w:space="0" w:color="auto"/>
              <w:left w:val="single" w:sz="4" w:space="0" w:color="auto"/>
              <w:bottom w:val="single" w:sz="4" w:space="0" w:color="auto"/>
              <w:right w:val="single" w:sz="4" w:space="0" w:color="auto"/>
            </w:tcBorders>
          </w:tcPr>
          <w:p w:rsidR="00ED3E57" w:rsidRDefault="00ED3E57" w:rsidP="00ED3E57">
            <w:pPr>
              <w:pStyle w:val="Tabletext"/>
            </w:pPr>
            <w:r>
              <w:t>No increase in the maximum number of repeats may be authorised.</w:t>
            </w:r>
          </w:p>
          <w:p w:rsidR="00ED3E57" w:rsidRDefault="00ED3E57" w:rsidP="00ED3E57">
            <w:pPr>
              <w:pStyle w:val="Tabletext"/>
            </w:pPr>
            <w:r>
              <w:t>Special Pricing Arrangements apply.</w:t>
            </w:r>
          </w:p>
        </w:tc>
      </w:tr>
    </w:tbl>
    <w:p w:rsidR="007F64A3" w:rsidRPr="00767C92" w:rsidRDefault="00767C92" w:rsidP="003235AE">
      <w:pPr>
        <w:keepNext/>
        <w:spacing w:before="120" w:after="120"/>
        <w:rPr>
          <w:rFonts w:asciiTheme="minorHAnsi" w:hAnsiTheme="minorHAnsi" w:cstheme="minorHAnsi"/>
          <w:u w:val="single"/>
        </w:rPr>
      </w:pPr>
      <w:r w:rsidRPr="00767C92">
        <w:rPr>
          <w:rFonts w:asciiTheme="minorHAnsi" w:hAnsiTheme="minorHAnsi" w:cstheme="minorHAnsi"/>
          <w:u w:val="single"/>
        </w:rPr>
        <w:t>Grandfathered patients, continuing phase</w:t>
      </w:r>
    </w:p>
    <w:tbl>
      <w:tblPr>
        <w:tblW w:w="490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700"/>
        <w:gridCol w:w="1277"/>
        <w:gridCol w:w="1134"/>
        <w:gridCol w:w="1130"/>
        <w:gridCol w:w="1987"/>
      </w:tblGrid>
      <w:tr w:rsidR="007F64A3" w:rsidRPr="003D1DE4" w:rsidTr="00ED3E57">
        <w:tc>
          <w:tcPr>
            <w:tcW w:w="1953" w:type="pct"/>
            <w:gridSpan w:val="2"/>
            <w:tcBorders>
              <w:bottom w:val="single" w:sz="4" w:space="0" w:color="auto"/>
              <w:right w:val="nil"/>
            </w:tcBorders>
          </w:tcPr>
          <w:p w:rsidR="007F64A3" w:rsidRPr="003D1DE4" w:rsidRDefault="007F64A3" w:rsidP="00B3185E">
            <w:pPr>
              <w:keepNext/>
              <w:jc w:val="left"/>
              <w:rPr>
                <w:rFonts w:ascii="Arial Narrow" w:hAnsi="Arial Narrow"/>
                <w:b/>
                <w:sz w:val="20"/>
                <w:szCs w:val="20"/>
              </w:rPr>
            </w:pPr>
            <w:r w:rsidRPr="003D1DE4">
              <w:rPr>
                <w:rFonts w:ascii="Arial Narrow" w:hAnsi="Arial Narrow"/>
                <w:b/>
                <w:sz w:val="20"/>
                <w:szCs w:val="20"/>
              </w:rPr>
              <w:t>Name, restriction, manner of administration, form</w:t>
            </w:r>
          </w:p>
        </w:tc>
        <w:tc>
          <w:tcPr>
            <w:tcW w:w="704" w:type="pct"/>
            <w:tcBorders>
              <w:left w:val="nil"/>
              <w:bottom w:val="single" w:sz="4" w:space="0" w:color="auto"/>
              <w:right w:val="nil"/>
            </w:tcBorders>
          </w:tcPr>
          <w:p w:rsidR="007F64A3" w:rsidRPr="003D1DE4" w:rsidRDefault="007F64A3" w:rsidP="00B3185E">
            <w:pPr>
              <w:keepNext/>
              <w:jc w:val="center"/>
              <w:rPr>
                <w:rFonts w:ascii="Arial Narrow" w:hAnsi="Arial Narrow"/>
                <w:b/>
                <w:sz w:val="20"/>
                <w:szCs w:val="20"/>
              </w:rPr>
            </w:pPr>
            <w:r>
              <w:rPr>
                <w:rFonts w:ascii="Arial Narrow" w:hAnsi="Arial Narrow"/>
                <w:b/>
                <w:sz w:val="20"/>
                <w:szCs w:val="20"/>
              </w:rPr>
              <w:t>Maximum amount</w:t>
            </w:r>
          </w:p>
        </w:tc>
        <w:tc>
          <w:tcPr>
            <w:tcW w:w="625" w:type="pct"/>
            <w:tcBorders>
              <w:left w:val="nil"/>
              <w:bottom w:val="single" w:sz="4" w:space="0" w:color="auto"/>
              <w:right w:val="nil"/>
            </w:tcBorders>
          </w:tcPr>
          <w:p w:rsidR="007F64A3" w:rsidRPr="003D1DE4" w:rsidRDefault="007F64A3" w:rsidP="00B3185E">
            <w:pPr>
              <w:keepNext/>
              <w:jc w:val="center"/>
              <w:rPr>
                <w:rFonts w:ascii="Arial Narrow" w:hAnsi="Arial Narrow"/>
                <w:b/>
                <w:sz w:val="20"/>
                <w:szCs w:val="20"/>
              </w:rPr>
            </w:pPr>
            <w:r w:rsidRPr="003D1DE4">
              <w:rPr>
                <w:rFonts w:ascii="Arial Narrow" w:hAnsi="Arial Narrow"/>
                <w:b/>
                <w:sz w:val="20"/>
                <w:szCs w:val="20"/>
              </w:rPr>
              <w:t>No. of repeats</w:t>
            </w:r>
          </w:p>
        </w:tc>
        <w:tc>
          <w:tcPr>
            <w:tcW w:w="1718" w:type="pct"/>
            <w:gridSpan w:val="2"/>
            <w:tcBorders>
              <w:left w:val="nil"/>
              <w:bottom w:val="single" w:sz="4" w:space="0" w:color="auto"/>
            </w:tcBorders>
          </w:tcPr>
          <w:p w:rsidR="007F64A3" w:rsidRPr="003D1DE4" w:rsidRDefault="007F64A3" w:rsidP="00B3185E">
            <w:pPr>
              <w:keepNext/>
              <w:jc w:val="left"/>
              <w:rPr>
                <w:rFonts w:ascii="Arial Narrow" w:hAnsi="Arial Narrow"/>
                <w:b/>
                <w:sz w:val="20"/>
                <w:szCs w:val="20"/>
              </w:rPr>
            </w:pPr>
            <w:r w:rsidRPr="003D1DE4">
              <w:rPr>
                <w:rFonts w:ascii="Arial Narrow" w:hAnsi="Arial Narrow"/>
                <w:b/>
                <w:sz w:val="20"/>
                <w:szCs w:val="20"/>
              </w:rPr>
              <w:t>Proprietary name and manufacturer</w:t>
            </w:r>
          </w:p>
        </w:tc>
      </w:tr>
      <w:tr w:rsidR="007F64A3" w:rsidRPr="003D1DE4" w:rsidTr="00ED3E57">
        <w:tc>
          <w:tcPr>
            <w:tcW w:w="5000" w:type="pct"/>
            <w:gridSpan w:val="6"/>
            <w:tcBorders>
              <w:bottom w:val="single" w:sz="4" w:space="0" w:color="auto"/>
            </w:tcBorders>
          </w:tcPr>
          <w:p w:rsidR="007F64A3" w:rsidRPr="003D1DE4" w:rsidRDefault="007F64A3" w:rsidP="00B3185E">
            <w:pPr>
              <w:keepNext/>
              <w:rPr>
                <w:rFonts w:ascii="Arial Narrow" w:hAnsi="Arial Narrow"/>
                <w:b/>
                <w:sz w:val="20"/>
                <w:szCs w:val="20"/>
              </w:rPr>
            </w:pPr>
            <w:r>
              <w:rPr>
                <w:rFonts w:ascii="Arial Narrow" w:hAnsi="Arial Narrow"/>
                <w:b/>
                <w:sz w:val="20"/>
                <w:szCs w:val="20"/>
              </w:rPr>
              <w:t xml:space="preserve">Continuing (single agent </w:t>
            </w:r>
            <w:proofErr w:type="spellStart"/>
            <w:r>
              <w:rPr>
                <w:rFonts w:ascii="Arial Narrow" w:hAnsi="Arial Narrow"/>
                <w:b/>
                <w:sz w:val="20"/>
                <w:szCs w:val="20"/>
              </w:rPr>
              <w:t>nivolumab</w:t>
            </w:r>
            <w:proofErr w:type="spellEnd"/>
            <w:r>
              <w:rPr>
                <w:rFonts w:ascii="Arial Narrow" w:hAnsi="Arial Narrow"/>
                <w:b/>
                <w:sz w:val="20"/>
                <w:szCs w:val="20"/>
              </w:rPr>
              <w:t>) phase</w:t>
            </w:r>
          </w:p>
        </w:tc>
      </w:tr>
      <w:tr w:rsidR="007F64A3" w:rsidRPr="006C4B9E" w:rsidTr="00ED3E57">
        <w:trPr>
          <w:trHeight w:val="964"/>
        </w:trPr>
        <w:tc>
          <w:tcPr>
            <w:tcW w:w="1953" w:type="pct"/>
            <w:gridSpan w:val="2"/>
            <w:tcBorders>
              <w:right w:val="nil"/>
            </w:tcBorders>
          </w:tcPr>
          <w:p w:rsidR="007F64A3" w:rsidRPr="0019642C" w:rsidRDefault="007F64A3" w:rsidP="00B3185E">
            <w:pPr>
              <w:keepNext/>
              <w:rPr>
                <w:rFonts w:ascii="Arial Narrow" w:hAnsi="Arial Narrow"/>
                <w:sz w:val="20"/>
                <w:szCs w:val="20"/>
              </w:rPr>
            </w:pPr>
            <w:proofErr w:type="spellStart"/>
            <w:r w:rsidRPr="0082090B">
              <w:rPr>
                <w:rFonts w:ascii="Arial Narrow" w:hAnsi="Arial Narrow"/>
                <w:smallCaps/>
                <w:sz w:val="20"/>
              </w:rPr>
              <w:t>Nivolumab</w:t>
            </w:r>
            <w:proofErr w:type="spellEnd"/>
          </w:p>
          <w:p w:rsidR="007F64A3" w:rsidRPr="00A619DC" w:rsidRDefault="007F64A3" w:rsidP="00B3185E">
            <w:pPr>
              <w:keepNext/>
              <w:rPr>
                <w:rFonts w:ascii="Arial Narrow" w:hAnsi="Arial Narrow"/>
                <w:sz w:val="20"/>
                <w:vertAlign w:val="superscript"/>
              </w:rPr>
            </w:pPr>
            <w:r w:rsidRPr="0082090B">
              <w:rPr>
                <w:rFonts w:ascii="Arial Narrow" w:hAnsi="Arial Narrow"/>
                <w:sz w:val="20"/>
              </w:rPr>
              <w:t xml:space="preserve">40 mg/4 mL injection, 1 x </w:t>
            </w:r>
            <w:r w:rsidRPr="00375492">
              <w:rPr>
                <w:rFonts w:ascii="Arial Narrow" w:hAnsi="Arial Narrow"/>
                <w:sz w:val="20"/>
              </w:rPr>
              <w:t>4 mL vial</w:t>
            </w:r>
          </w:p>
          <w:p w:rsidR="007F64A3" w:rsidRPr="0019642C" w:rsidRDefault="007F64A3" w:rsidP="00B3185E">
            <w:pPr>
              <w:pStyle w:val="Tabletext"/>
              <w:keepNext/>
              <w:rPr>
                <w:szCs w:val="20"/>
              </w:rPr>
            </w:pPr>
            <w:r w:rsidRPr="0082090B">
              <w:t xml:space="preserve">100 mg/10 mL injection, 1 x </w:t>
            </w:r>
            <w:r w:rsidRPr="00375492">
              <w:t>10 mL</w:t>
            </w:r>
            <w:r w:rsidRPr="0082090B">
              <w:t xml:space="preserve"> vial</w:t>
            </w:r>
          </w:p>
        </w:tc>
        <w:tc>
          <w:tcPr>
            <w:tcW w:w="704" w:type="pct"/>
            <w:tcBorders>
              <w:left w:val="nil"/>
              <w:right w:val="nil"/>
            </w:tcBorders>
          </w:tcPr>
          <w:p w:rsidR="007F64A3" w:rsidRDefault="007F64A3" w:rsidP="00B3185E">
            <w:pPr>
              <w:pStyle w:val="Tabletext"/>
              <w:keepNext/>
              <w:jc w:val="center"/>
            </w:pPr>
          </w:p>
          <w:p w:rsidR="007F64A3" w:rsidRPr="0019642C" w:rsidRDefault="007F64A3" w:rsidP="00B3185E">
            <w:pPr>
              <w:pStyle w:val="Tabletext"/>
              <w:keepNext/>
              <w:jc w:val="center"/>
              <w:rPr>
                <w:szCs w:val="20"/>
              </w:rPr>
            </w:pPr>
            <w:r>
              <w:t>360 mg</w:t>
            </w:r>
          </w:p>
        </w:tc>
        <w:tc>
          <w:tcPr>
            <w:tcW w:w="625" w:type="pct"/>
            <w:tcBorders>
              <w:left w:val="nil"/>
              <w:right w:val="nil"/>
            </w:tcBorders>
          </w:tcPr>
          <w:p w:rsidR="007F64A3" w:rsidRDefault="007F64A3" w:rsidP="00B3185E">
            <w:pPr>
              <w:pStyle w:val="Tabletext"/>
              <w:keepNext/>
              <w:jc w:val="center"/>
            </w:pPr>
          </w:p>
          <w:p w:rsidR="007F64A3" w:rsidRPr="0019642C" w:rsidRDefault="007F64A3" w:rsidP="00B3185E">
            <w:pPr>
              <w:pStyle w:val="Tabletext"/>
              <w:keepNext/>
              <w:jc w:val="center"/>
              <w:rPr>
                <w:szCs w:val="20"/>
              </w:rPr>
            </w:pPr>
            <w:r>
              <w:t>11</w:t>
            </w:r>
          </w:p>
        </w:tc>
        <w:tc>
          <w:tcPr>
            <w:tcW w:w="623" w:type="pct"/>
            <w:tcBorders>
              <w:left w:val="nil"/>
              <w:right w:val="nil"/>
            </w:tcBorders>
          </w:tcPr>
          <w:p w:rsidR="007F64A3" w:rsidRDefault="007F64A3" w:rsidP="00B3185E">
            <w:pPr>
              <w:pStyle w:val="Tabletext"/>
              <w:keepNext/>
            </w:pPr>
          </w:p>
          <w:p w:rsidR="007F64A3" w:rsidRDefault="007F64A3" w:rsidP="00B3185E">
            <w:pPr>
              <w:pStyle w:val="Tabletext"/>
              <w:keepNext/>
              <w:rPr>
                <w:vertAlign w:val="superscript"/>
              </w:rPr>
            </w:pPr>
            <w:proofErr w:type="spellStart"/>
            <w:r>
              <w:t>Opdivo</w:t>
            </w:r>
            <w:proofErr w:type="spellEnd"/>
            <w:r>
              <w:rPr>
                <w:vertAlign w:val="superscript"/>
              </w:rPr>
              <w:t>®</w:t>
            </w:r>
          </w:p>
        </w:tc>
        <w:tc>
          <w:tcPr>
            <w:tcW w:w="1095" w:type="pct"/>
            <w:tcBorders>
              <w:left w:val="nil"/>
            </w:tcBorders>
          </w:tcPr>
          <w:p w:rsidR="007F64A3" w:rsidRDefault="007F64A3" w:rsidP="00B3185E">
            <w:pPr>
              <w:pStyle w:val="Tabletext"/>
              <w:keepNext/>
            </w:pPr>
          </w:p>
          <w:p w:rsidR="007F64A3" w:rsidRPr="006C4B9E" w:rsidRDefault="007F64A3" w:rsidP="00B3185E">
            <w:pPr>
              <w:pStyle w:val="Tabletext"/>
              <w:keepNext/>
              <w:rPr>
                <w:szCs w:val="20"/>
                <w:vertAlign w:val="superscript"/>
              </w:rPr>
            </w:pPr>
            <w:r w:rsidRPr="003E5190">
              <w:t>Bristol-Myers Squibb Australia Pty Ltd (BQ)</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B3185E">
            <w:pPr>
              <w:pStyle w:val="Tabletext"/>
              <w:keepNext/>
              <w:rPr>
                <w:b/>
              </w:rPr>
            </w:pPr>
            <w:r>
              <w:rPr>
                <w:b/>
              </w:rPr>
              <w:t>Category / Program:</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B3185E">
            <w:pPr>
              <w:pStyle w:val="Tabletext"/>
              <w:keepNext/>
            </w:pPr>
            <w:r>
              <w:t>Section 100 – Efficient funding of Chemotherapy</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Default="007F64A3" w:rsidP="00B3185E">
            <w:pPr>
              <w:pStyle w:val="Tabletext"/>
              <w:keepNext/>
              <w:rPr>
                <w:b/>
              </w:rPr>
            </w:pPr>
            <w:r w:rsidRPr="00AD4E28">
              <w:rPr>
                <w:rFonts w:cs="Arial"/>
                <w:b/>
                <w:szCs w:val="20"/>
              </w:rPr>
              <w:t>Prescriber type:</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B3185E">
            <w:pPr>
              <w:pStyle w:val="Tabletext"/>
              <w:keepNext/>
            </w:pPr>
            <w:r w:rsidRPr="00AD4E28">
              <w:rPr>
                <w:rFonts w:cs="Arial"/>
                <w:szCs w:val="20"/>
              </w:rPr>
              <w:fldChar w:fldCharType="begin">
                <w:ffData>
                  <w:name w:val="Check1"/>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Dental  </w:t>
            </w:r>
            <w:r w:rsidRPr="00AD4E28">
              <w:rPr>
                <w:rFonts w:cs="Arial"/>
                <w:szCs w:val="20"/>
              </w:rPr>
              <w:fldChar w:fldCharType="begin">
                <w:ffData>
                  <w:name w:val=""/>
                  <w:enabled/>
                  <w:calcOnExit w:val="0"/>
                  <w:checkBox>
                    <w:sizeAuto/>
                    <w:default w:val="1"/>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Medical Practitioners  </w:t>
            </w:r>
            <w:r w:rsidRPr="00AD4E28">
              <w:rPr>
                <w:rFonts w:cs="Arial"/>
                <w:szCs w:val="20"/>
              </w:rPr>
              <w:fldChar w:fldCharType="begin">
                <w:ffData>
                  <w:name w:val="Check3"/>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 xml:space="preserve">Nurse practitioners  </w:t>
            </w:r>
            <w:r w:rsidRPr="00AD4E28">
              <w:rPr>
                <w:rFonts w:cs="Arial"/>
                <w:szCs w:val="20"/>
              </w:rPr>
              <w:fldChar w:fldCharType="begin">
                <w:ffData>
                  <w:name w:val=""/>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Optometrists</w:t>
            </w:r>
            <w:r>
              <w:rPr>
                <w:rFonts w:cs="Arial"/>
                <w:szCs w:val="20"/>
              </w:rPr>
              <w:t xml:space="preserve"> </w:t>
            </w:r>
            <w:r w:rsidRPr="00AD4E28">
              <w:rPr>
                <w:rFonts w:cs="Arial"/>
                <w:szCs w:val="20"/>
              </w:rPr>
              <w:fldChar w:fldCharType="begin">
                <w:ffData>
                  <w:name w:val="Check5"/>
                  <w:enabled/>
                  <w:calcOnExit w:val="0"/>
                  <w:checkBox>
                    <w:sizeAuto/>
                    <w:default w:val="0"/>
                  </w:checkBox>
                </w:ffData>
              </w:fldChar>
            </w:r>
            <w:r w:rsidRPr="00AD4E28">
              <w:rPr>
                <w:rFonts w:cs="Arial"/>
                <w:szCs w:val="20"/>
              </w:rPr>
              <w:instrText xml:space="preserve"> FORMCHECKBOX </w:instrText>
            </w:r>
            <w:r w:rsidR="00522468">
              <w:rPr>
                <w:rFonts w:cs="Arial"/>
                <w:szCs w:val="20"/>
              </w:rPr>
            </w:r>
            <w:r w:rsidR="00522468">
              <w:rPr>
                <w:rFonts w:cs="Arial"/>
                <w:szCs w:val="20"/>
              </w:rPr>
              <w:fldChar w:fldCharType="separate"/>
            </w:r>
            <w:r w:rsidRPr="00AD4E28">
              <w:rPr>
                <w:rFonts w:cs="Arial"/>
                <w:szCs w:val="20"/>
              </w:rPr>
              <w:fldChar w:fldCharType="end"/>
            </w:r>
            <w:r w:rsidRPr="00AD4E28">
              <w:rPr>
                <w:rFonts w:cs="Arial"/>
                <w:szCs w:val="20"/>
              </w:rPr>
              <w:t>Midwives</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B3185E">
            <w:pPr>
              <w:pStyle w:val="Tabletext"/>
              <w:keepNext/>
              <w:rPr>
                <w:b/>
              </w:rPr>
            </w:pPr>
            <w:r w:rsidRPr="00892A36">
              <w:rPr>
                <w:b/>
              </w:rPr>
              <w:t>Severity:</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B3185E">
            <w:pPr>
              <w:pStyle w:val="Tabletext"/>
              <w:keepNext/>
            </w:pPr>
            <w:proofErr w:type="spellStart"/>
            <w:r>
              <w:t>Unresectable</w:t>
            </w:r>
            <w:proofErr w:type="spellEnd"/>
            <w:r>
              <w:t xml:space="preserve"> Stage III or Stage IV</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sidRPr="00892A36">
              <w:rPr>
                <w:b/>
              </w:rPr>
              <w:t>Condition:</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 xml:space="preserve">Malignant melanoma </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PBS i</w:t>
            </w:r>
            <w:r w:rsidRPr="00892A36">
              <w:rPr>
                <w:b/>
              </w:rPr>
              <w:t>ndication:</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proofErr w:type="spellStart"/>
            <w:r>
              <w:t>Unresectable</w:t>
            </w:r>
            <w:proofErr w:type="spellEnd"/>
            <w:r>
              <w:t xml:space="preserve"> Stage III or Stage IV malignant melanoma</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3371DA" w:rsidRDefault="007F64A3" w:rsidP="00ED3E57">
            <w:pPr>
              <w:pStyle w:val="Tabletext"/>
              <w:rPr>
                <w:b/>
              </w:rPr>
            </w:pPr>
            <w:r>
              <w:rPr>
                <w:b/>
              </w:rPr>
              <w:t>Treatment phase:</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 xml:space="preserve">Continuing (single-agent </w:t>
            </w:r>
            <w:proofErr w:type="spellStart"/>
            <w:r>
              <w:t>nivolumab</w:t>
            </w:r>
            <w:proofErr w:type="spellEnd"/>
            <w:r>
              <w:t>) treatment</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72"/>
        </w:trPr>
        <w:tc>
          <w:tcPr>
            <w:tcW w:w="1016" w:type="pct"/>
            <w:tcBorders>
              <w:top w:val="single" w:sz="4" w:space="0" w:color="auto"/>
              <w:left w:val="single" w:sz="4" w:space="0" w:color="auto"/>
              <w:bottom w:val="single" w:sz="4" w:space="0" w:color="auto"/>
              <w:right w:val="single" w:sz="4" w:space="0" w:color="auto"/>
            </w:tcBorders>
          </w:tcPr>
          <w:p w:rsidR="007F64A3" w:rsidRPr="00045A2B" w:rsidRDefault="007F64A3" w:rsidP="00ED3E57">
            <w:pPr>
              <w:pStyle w:val="Tabletext"/>
              <w:rPr>
                <w:i/>
              </w:rPr>
            </w:pPr>
            <w:r w:rsidRPr="00892A36">
              <w:rPr>
                <w:b/>
              </w:rPr>
              <w:t>Restriction:</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fldChar w:fldCharType="begin">
                <w:ffData>
                  <w:name w:val="Check5"/>
                  <w:enabled/>
                  <w:calcOnExit w:val="0"/>
                  <w:checkBox>
                    <w:sizeAuto/>
                    <w:default w:val="1"/>
                  </w:checkBox>
                </w:ffData>
              </w:fldChar>
            </w:r>
            <w:r>
              <w:instrText xml:space="preserve"> FORMCHECKBOX </w:instrText>
            </w:r>
            <w:r w:rsidR="00522468">
              <w:fldChar w:fldCharType="separate"/>
            </w:r>
            <w:r>
              <w:fldChar w:fldCharType="end"/>
            </w:r>
            <w:r w:rsidRPr="00B43577">
              <w:t>Streamlined</w:t>
            </w:r>
          </w:p>
        </w:tc>
      </w:tr>
      <w:tr w:rsidR="007F64A3" w:rsidRPr="00C31A26"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Clinical</w:t>
            </w:r>
            <w:r w:rsidRPr="00892A36">
              <w:rPr>
                <w:b/>
              </w:rPr>
              <w:t xml:space="preserve"> criteria:</w:t>
            </w:r>
          </w:p>
          <w:p w:rsidR="007F64A3" w:rsidRPr="00045A2B" w:rsidRDefault="007F64A3" w:rsidP="00ED3E57">
            <w:pPr>
              <w:pStyle w:val="Tabletext"/>
              <w:rPr>
                <w:i/>
              </w:rPr>
            </w:pPr>
          </w:p>
        </w:tc>
        <w:tc>
          <w:tcPr>
            <w:tcW w:w="3984" w:type="pct"/>
            <w:gridSpan w:val="5"/>
            <w:tcBorders>
              <w:top w:val="single" w:sz="4" w:space="0" w:color="auto"/>
              <w:left w:val="single" w:sz="4" w:space="0" w:color="auto"/>
              <w:bottom w:val="single" w:sz="4" w:space="0" w:color="auto"/>
              <w:right w:val="single" w:sz="4" w:space="0" w:color="auto"/>
            </w:tcBorders>
          </w:tcPr>
          <w:p w:rsidR="00767C92" w:rsidRPr="00DA62A7" w:rsidRDefault="007F64A3" w:rsidP="00ED3E57">
            <w:pPr>
              <w:pStyle w:val="Tabletext"/>
            </w:pPr>
            <w:r w:rsidRPr="00DA62A7">
              <w:t xml:space="preserve">Patient must have received </w:t>
            </w:r>
            <w:r w:rsidR="00767C92" w:rsidRPr="00DA62A7">
              <w:t>non-</w:t>
            </w:r>
            <w:r w:rsidRPr="00DA62A7">
              <w:t xml:space="preserve">PBS-subsidised </w:t>
            </w:r>
            <w:r w:rsidR="00767C92" w:rsidRPr="00DA62A7">
              <w:t xml:space="preserve">treatment with </w:t>
            </w:r>
            <w:proofErr w:type="spellStart"/>
            <w:r w:rsidR="00ED3E57">
              <w:t>nivolumab</w:t>
            </w:r>
            <w:proofErr w:type="spellEnd"/>
            <w:r w:rsidR="00767C92" w:rsidRPr="00DA62A7">
              <w:t xml:space="preserve"> for this condition prior to &lt;listing date&gt;,</w:t>
            </w:r>
          </w:p>
          <w:p w:rsidR="00767C92" w:rsidRPr="00DA62A7" w:rsidRDefault="00767C92" w:rsidP="00ED3E57">
            <w:pPr>
              <w:pStyle w:val="Tabletext"/>
            </w:pPr>
            <w:r w:rsidRPr="00DA62A7">
              <w:t xml:space="preserve">AND </w:t>
            </w:r>
          </w:p>
          <w:p w:rsidR="007F64A3" w:rsidRPr="00767C92" w:rsidRDefault="00767C92" w:rsidP="00ED3E57">
            <w:pPr>
              <w:pStyle w:val="Tabletext"/>
            </w:pPr>
            <w:r w:rsidRPr="00DA62A7">
              <w:t xml:space="preserve">Patient must have previously received </w:t>
            </w:r>
            <w:r w:rsidR="007F64A3" w:rsidRPr="00DA62A7">
              <w:t xml:space="preserve">induction treatment with </w:t>
            </w:r>
            <w:proofErr w:type="spellStart"/>
            <w:r w:rsidR="00313644" w:rsidRPr="00DA62A7">
              <w:t>nivolumab</w:t>
            </w:r>
            <w:proofErr w:type="spellEnd"/>
            <w:r w:rsidR="00313644" w:rsidRPr="00DA62A7">
              <w:t xml:space="preserve"> and </w:t>
            </w:r>
            <w:proofErr w:type="spellStart"/>
            <w:r w:rsidR="007F64A3" w:rsidRPr="00DA62A7">
              <w:t>ipilimumab</w:t>
            </w:r>
            <w:proofErr w:type="spellEnd"/>
            <w:r w:rsidR="007F64A3" w:rsidRPr="00DA62A7">
              <w:t xml:space="preserve"> combination therapy for this condition,</w:t>
            </w:r>
          </w:p>
          <w:p w:rsidR="007F64A3" w:rsidRPr="00767C92" w:rsidRDefault="007F64A3" w:rsidP="00ED3E57">
            <w:pPr>
              <w:pStyle w:val="Tabletext"/>
            </w:pPr>
            <w:r w:rsidRPr="00767C92">
              <w:t>AND</w:t>
            </w:r>
          </w:p>
          <w:p w:rsidR="007F64A3" w:rsidRPr="00767C92" w:rsidRDefault="007F64A3" w:rsidP="00ED3E57">
            <w:pPr>
              <w:pStyle w:val="Tabletext"/>
            </w:pPr>
            <w:r w:rsidRPr="00767C92">
              <w:t>This drug must be the sole PBS-subsidised treatment for this condition,</w:t>
            </w:r>
          </w:p>
          <w:p w:rsidR="007F64A3" w:rsidRPr="00767C92" w:rsidRDefault="007F64A3" w:rsidP="00ED3E57">
            <w:pPr>
              <w:pStyle w:val="Tabletext"/>
            </w:pPr>
            <w:r w:rsidRPr="00767C92">
              <w:t>AND</w:t>
            </w:r>
          </w:p>
          <w:p w:rsidR="007F64A3" w:rsidRPr="00767C92" w:rsidRDefault="007F64A3" w:rsidP="00ED3E57">
            <w:pPr>
              <w:pStyle w:val="Tabletext"/>
            </w:pPr>
            <w:r w:rsidRPr="00767C92">
              <w:t xml:space="preserve">Patient must not have developed disease progression whilst being treated with </w:t>
            </w:r>
            <w:proofErr w:type="spellStart"/>
            <w:r w:rsidR="00B3185E">
              <w:t>nivolumab</w:t>
            </w:r>
            <w:proofErr w:type="spellEnd"/>
            <w:r w:rsidR="00B3185E">
              <w:t xml:space="preserve"> and </w:t>
            </w:r>
            <w:proofErr w:type="spellStart"/>
            <w:r w:rsidRPr="00767C92">
              <w:t>ipilimumab</w:t>
            </w:r>
            <w:proofErr w:type="spellEnd"/>
            <w:r w:rsidRPr="00767C92">
              <w:t xml:space="preserve"> combination therapy for this condition,</w:t>
            </w:r>
          </w:p>
          <w:p w:rsidR="007F64A3" w:rsidRPr="00767C92" w:rsidRDefault="007F64A3" w:rsidP="00ED3E57">
            <w:pPr>
              <w:pStyle w:val="Tabletext"/>
            </w:pPr>
            <w:r w:rsidRPr="00767C92">
              <w:t>AND</w:t>
            </w:r>
          </w:p>
          <w:p w:rsidR="007F64A3" w:rsidRPr="003D1BE4" w:rsidRDefault="007F64A3" w:rsidP="00ED3E57">
            <w:pPr>
              <w:pStyle w:val="Tabletext"/>
            </w:pPr>
            <w:r w:rsidRPr="00767C92">
              <w:t xml:space="preserve">The treatment with </w:t>
            </w:r>
            <w:proofErr w:type="spellStart"/>
            <w:r w:rsidRPr="00767C92">
              <w:t>nivolumab</w:t>
            </w:r>
            <w:proofErr w:type="spellEnd"/>
            <w:r w:rsidRPr="00767C92">
              <w:t xml:space="preserve"> must not exceed a maximum dose of 3 mg per kg every 2 weeks</w:t>
            </w:r>
            <w:r>
              <w:t>.</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Prescriber i</w:t>
            </w:r>
            <w:r w:rsidRPr="00892A36">
              <w:rPr>
                <w:b/>
              </w:rPr>
              <w:t>nstructions:</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The patient’s body weight must be documented in the patient’s medical records at the time treatment is initiated.</w:t>
            </w:r>
          </w:p>
        </w:tc>
      </w:tr>
      <w:tr w:rsidR="007F64A3" w:rsidTr="00ED3E5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016" w:type="pct"/>
            <w:tcBorders>
              <w:top w:val="single" w:sz="4" w:space="0" w:color="auto"/>
              <w:left w:val="single" w:sz="4" w:space="0" w:color="auto"/>
              <w:bottom w:val="single" w:sz="4" w:space="0" w:color="auto"/>
              <w:right w:val="single" w:sz="4" w:space="0" w:color="auto"/>
            </w:tcBorders>
          </w:tcPr>
          <w:p w:rsidR="007F64A3" w:rsidRPr="00892A36" w:rsidRDefault="007F64A3" w:rsidP="00ED3E57">
            <w:pPr>
              <w:pStyle w:val="Tabletext"/>
              <w:rPr>
                <w:b/>
              </w:rPr>
            </w:pPr>
            <w:r>
              <w:rPr>
                <w:b/>
              </w:rPr>
              <w:t>Administrative a</w:t>
            </w:r>
            <w:r w:rsidRPr="00892A36">
              <w:rPr>
                <w:b/>
              </w:rPr>
              <w:t>dvice:</w:t>
            </w:r>
          </w:p>
        </w:tc>
        <w:tc>
          <w:tcPr>
            <w:tcW w:w="3984" w:type="pct"/>
            <w:gridSpan w:val="5"/>
            <w:tcBorders>
              <w:top w:val="single" w:sz="4" w:space="0" w:color="auto"/>
              <w:left w:val="single" w:sz="4" w:space="0" w:color="auto"/>
              <w:bottom w:val="single" w:sz="4" w:space="0" w:color="auto"/>
              <w:right w:val="single" w:sz="4" w:space="0" w:color="auto"/>
            </w:tcBorders>
          </w:tcPr>
          <w:p w:rsidR="007F64A3" w:rsidRDefault="007F64A3" w:rsidP="00ED3E57">
            <w:pPr>
              <w:pStyle w:val="Tabletext"/>
            </w:pPr>
            <w:r>
              <w:t>No increase in the maximum number of repeats may be authorised.</w:t>
            </w:r>
          </w:p>
          <w:p w:rsidR="007F64A3" w:rsidRDefault="007F64A3" w:rsidP="00ED3E57">
            <w:pPr>
              <w:pStyle w:val="Tabletext"/>
            </w:pPr>
            <w:r>
              <w:t>Special Pricing Arrangements apply.</w:t>
            </w:r>
          </w:p>
        </w:tc>
      </w:tr>
    </w:tbl>
    <w:p w:rsidR="00871961" w:rsidRPr="00E05CD9" w:rsidRDefault="00FE50B3" w:rsidP="00E05CD9">
      <w:pPr>
        <w:pStyle w:val="PBACHeading1"/>
        <w:spacing w:before="240" w:after="120"/>
        <w:outlineLvl w:val="0"/>
      </w:pPr>
      <w:r w:rsidRPr="00E05CD9">
        <w:t>Context for Decision</w:t>
      </w:r>
    </w:p>
    <w:p w:rsidR="00FE50B3" w:rsidRPr="00C07617" w:rsidRDefault="00FE50B3" w:rsidP="00FE50B3">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50B3" w:rsidRPr="00E05CD9" w:rsidRDefault="00FE50B3" w:rsidP="00E05CD9">
      <w:pPr>
        <w:pStyle w:val="PBACHeading1"/>
        <w:spacing w:before="240" w:after="120"/>
        <w:outlineLvl w:val="0"/>
      </w:pPr>
      <w:r w:rsidRPr="00E05CD9">
        <w:t xml:space="preserve">Sponsor’s Comment </w:t>
      </w:r>
    </w:p>
    <w:p w:rsidR="00FE50B3" w:rsidRPr="00E05CD9" w:rsidRDefault="00D44B0D" w:rsidP="00D44B0D">
      <w:pPr>
        <w:spacing w:after="120"/>
        <w:rPr>
          <w:rFonts w:asciiTheme="minorHAnsi" w:hAnsiTheme="minorHAnsi"/>
          <w:bCs/>
        </w:rPr>
      </w:pPr>
      <w:r>
        <w:rPr>
          <w:rFonts w:asciiTheme="minorHAnsi" w:hAnsiTheme="minorHAnsi"/>
          <w:bCs/>
          <w:lang w:val="en-GB"/>
        </w:rPr>
        <w:t>The Sponsor is very pleased that this important treatment option for patients with metastatic melanoma has received a recommendation from the PBAC.</w:t>
      </w:r>
    </w:p>
    <w:sectPr w:rsidR="00FE50B3" w:rsidRPr="00E05CD9" w:rsidSect="00637FC6">
      <w:headerReference w:type="default" r:id="rId10"/>
      <w:footerReference w:type="default" r:id="rId11"/>
      <w:footnotePr>
        <w:numFmt w:val="chicago"/>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C16152" w15:done="0"/>
  <w15:commentEx w15:paraId="34DF5CFC" w15:paraIdParent="7EC16152" w15:done="0"/>
  <w15:commentEx w15:paraId="5DDAB18F" w15:done="0"/>
  <w15:commentEx w15:paraId="3D049891" w15:done="0"/>
  <w15:commentEx w15:paraId="5CCACC2D" w15:paraIdParent="3D049891" w15:done="0"/>
  <w15:commentEx w15:paraId="79F049BF" w15:done="0"/>
  <w15:commentEx w15:paraId="157E653D" w15:done="0"/>
  <w15:commentEx w15:paraId="463629BE" w15:paraIdParent="157E653D" w15:done="0"/>
  <w15:commentEx w15:paraId="674B5C1F" w15:done="0"/>
  <w15:commentEx w15:paraId="75A4F845" w15:paraIdParent="674B5C1F" w15:done="0"/>
  <w15:commentEx w15:paraId="3F62346C" w15:done="0"/>
  <w15:commentEx w15:paraId="1DD49F80" w15:paraIdParent="3F62346C" w15:done="0"/>
  <w15:commentEx w15:paraId="3D92119F" w15:done="0"/>
  <w15:commentEx w15:paraId="6DE39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16152" w16cid:durableId="1F0C9786"/>
  <w16cid:commentId w16cid:paraId="34DF5CFC" w16cid:durableId="1F0C9B6F"/>
  <w16cid:commentId w16cid:paraId="5DDAB18F" w16cid:durableId="1F0CD755"/>
  <w16cid:commentId w16cid:paraId="3D049891" w16cid:durableId="1F0C9787"/>
  <w16cid:commentId w16cid:paraId="5CCACC2D" w16cid:durableId="1F0CDF33"/>
  <w16cid:commentId w16cid:paraId="79F049BF" w16cid:durableId="1F0D085D"/>
  <w16cid:commentId w16cid:paraId="157E653D" w16cid:durableId="1F0C9788"/>
  <w16cid:commentId w16cid:paraId="463629BE" w16cid:durableId="1F0CE09D"/>
  <w16cid:commentId w16cid:paraId="674B5C1F" w16cid:durableId="1F0C9789"/>
  <w16cid:commentId w16cid:paraId="75A4F845" w16cid:durableId="1F0CE141"/>
  <w16cid:commentId w16cid:paraId="3F62346C" w16cid:durableId="1F0C978A"/>
  <w16cid:commentId w16cid:paraId="1DD49F80" w16cid:durableId="1F0CE2D3"/>
  <w16cid:commentId w16cid:paraId="3D92119F" w16cid:durableId="1F0D08EB"/>
  <w16cid:commentId w16cid:paraId="6DE39D16" w16cid:durableId="1F0C9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3A" w:rsidRDefault="00E94B3A" w:rsidP="00124A51">
      <w:r>
        <w:separator/>
      </w:r>
    </w:p>
    <w:p w:rsidR="00E94B3A" w:rsidRDefault="00E94B3A"/>
  </w:endnote>
  <w:endnote w:type="continuationSeparator" w:id="0">
    <w:p w:rsidR="00E94B3A" w:rsidRDefault="00E94B3A" w:rsidP="00124A51">
      <w:r>
        <w:continuationSeparator/>
      </w:r>
    </w:p>
    <w:p w:rsidR="00E94B3A" w:rsidRDefault="00E94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DA" w:rsidRPr="006752CF" w:rsidRDefault="009B40DA" w:rsidP="006752CF">
    <w:pPr>
      <w:pStyle w:val="Footer"/>
      <w:jc w:val="center"/>
      <w:rPr>
        <w:b/>
        <w:sz w:val="20"/>
        <w:szCs w:val="20"/>
      </w:rPr>
    </w:pPr>
    <w:r w:rsidRPr="006752CF">
      <w:rPr>
        <w:b/>
        <w:sz w:val="20"/>
        <w:szCs w:val="20"/>
      </w:rPr>
      <w:fldChar w:fldCharType="begin"/>
    </w:r>
    <w:r w:rsidRPr="006752CF">
      <w:rPr>
        <w:b/>
        <w:sz w:val="20"/>
        <w:szCs w:val="20"/>
      </w:rPr>
      <w:instrText xml:space="preserve"> PAGE   \* MERGEFORMAT </w:instrText>
    </w:r>
    <w:r w:rsidRPr="006752CF">
      <w:rPr>
        <w:b/>
        <w:sz w:val="20"/>
        <w:szCs w:val="20"/>
      </w:rPr>
      <w:fldChar w:fldCharType="separate"/>
    </w:r>
    <w:r w:rsidR="00522468">
      <w:rPr>
        <w:b/>
        <w:noProof/>
        <w:sz w:val="20"/>
        <w:szCs w:val="20"/>
      </w:rPr>
      <w:t>6</w:t>
    </w:r>
    <w:r w:rsidRPr="006752CF">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3A" w:rsidRDefault="00E94B3A" w:rsidP="00124A51">
      <w:r>
        <w:separator/>
      </w:r>
    </w:p>
    <w:p w:rsidR="00E94B3A" w:rsidRDefault="00E94B3A"/>
  </w:footnote>
  <w:footnote w:type="continuationSeparator" w:id="0">
    <w:p w:rsidR="00E94B3A" w:rsidRDefault="00E94B3A" w:rsidP="00124A51">
      <w:r>
        <w:continuationSeparator/>
      </w:r>
    </w:p>
    <w:p w:rsidR="00E94B3A" w:rsidRDefault="00E94B3A"/>
  </w:footnote>
  <w:footnote w:id="1">
    <w:p w:rsidR="009B40DA" w:rsidRPr="00F0760B" w:rsidRDefault="009B40DA">
      <w:pPr>
        <w:pStyle w:val="FootnoteText"/>
        <w:rPr>
          <w:sz w:val="18"/>
          <w:szCs w:val="18"/>
        </w:rPr>
      </w:pPr>
      <w:r w:rsidRPr="00F0760B">
        <w:rPr>
          <w:rStyle w:val="FootnoteReference"/>
          <w:sz w:val="18"/>
          <w:szCs w:val="18"/>
        </w:rPr>
        <w:footnoteRef/>
      </w:r>
      <w:r w:rsidRPr="00F0760B">
        <w:rPr>
          <w:sz w:val="18"/>
          <w:szCs w:val="18"/>
        </w:rPr>
        <w:t xml:space="preserve"> </w:t>
      </w:r>
      <w:proofErr w:type="spellStart"/>
      <w:r w:rsidRPr="00F0760B">
        <w:rPr>
          <w:rFonts w:asciiTheme="minorHAnsi" w:hAnsiTheme="minorHAnsi"/>
          <w:bCs/>
          <w:sz w:val="18"/>
          <w:szCs w:val="18"/>
        </w:rPr>
        <w:t>Cherny</w:t>
      </w:r>
      <w:proofErr w:type="spellEnd"/>
      <w:r w:rsidRPr="00F0760B">
        <w:rPr>
          <w:rFonts w:asciiTheme="minorHAnsi" w:hAnsiTheme="minorHAnsi"/>
          <w:bCs/>
          <w:sz w:val="18"/>
          <w:szCs w:val="18"/>
        </w:rPr>
        <w:t xml:space="preserve"> NI, Dafni U, </w:t>
      </w:r>
      <w:proofErr w:type="spellStart"/>
      <w:r w:rsidRPr="00F0760B">
        <w:rPr>
          <w:rFonts w:asciiTheme="minorHAnsi" w:hAnsiTheme="minorHAnsi"/>
          <w:bCs/>
          <w:sz w:val="18"/>
          <w:szCs w:val="18"/>
        </w:rPr>
        <w:t>Bogaerts</w:t>
      </w:r>
      <w:proofErr w:type="spellEnd"/>
      <w:r w:rsidRPr="00F0760B">
        <w:rPr>
          <w:rFonts w:asciiTheme="minorHAnsi" w:hAnsiTheme="minorHAnsi"/>
          <w:bCs/>
          <w:sz w:val="18"/>
          <w:szCs w:val="18"/>
        </w:rPr>
        <w:t xml:space="preserve"> J, et al. ESMO-Magnitude of Clinical Benefit Scale version 1.1. </w:t>
      </w:r>
      <w:proofErr w:type="gramStart"/>
      <w:r w:rsidRPr="00F0760B">
        <w:rPr>
          <w:rFonts w:asciiTheme="minorHAnsi" w:hAnsiTheme="minorHAnsi"/>
          <w:bCs/>
          <w:sz w:val="18"/>
          <w:szCs w:val="18"/>
        </w:rPr>
        <w:t>Annals of Oncology.</w:t>
      </w:r>
      <w:proofErr w:type="gramEnd"/>
      <w:r w:rsidRPr="00F0760B">
        <w:rPr>
          <w:rFonts w:asciiTheme="minorHAnsi" w:hAnsiTheme="minorHAnsi"/>
          <w:bCs/>
          <w:sz w:val="18"/>
          <w:szCs w:val="18"/>
        </w:rPr>
        <w:t xml:space="preserve"> 2017:28:2340-2366.</w:t>
      </w:r>
    </w:p>
  </w:footnote>
  <w:footnote w:id="2">
    <w:p w:rsidR="009B40DA" w:rsidRPr="00F0760B" w:rsidRDefault="009B40DA">
      <w:pPr>
        <w:pStyle w:val="FootnoteText"/>
        <w:rPr>
          <w:sz w:val="18"/>
          <w:szCs w:val="18"/>
        </w:rPr>
      </w:pPr>
      <w:r w:rsidRPr="00F0760B">
        <w:rPr>
          <w:rStyle w:val="FootnoteReference"/>
          <w:sz w:val="18"/>
          <w:szCs w:val="18"/>
        </w:rPr>
        <w:footnoteRef/>
      </w:r>
      <w:r w:rsidRPr="00F0760B">
        <w:rPr>
          <w:sz w:val="18"/>
          <w:szCs w:val="18"/>
        </w:rPr>
        <w:t xml:space="preserve"> </w:t>
      </w:r>
      <w:proofErr w:type="spellStart"/>
      <w:r w:rsidRPr="00F0760B">
        <w:rPr>
          <w:sz w:val="18"/>
          <w:szCs w:val="18"/>
        </w:rPr>
        <w:t>Pasquali</w:t>
      </w:r>
      <w:proofErr w:type="spellEnd"/>
      <w:r w:rsidRPr="00F0760B">
        <w:rPr>
          <w:sz w:val="18"/>
          <w:szCs w:val="18"/>
        </w:rPr>
        <w:t xml:space="preserve"> S, </w:t>
      </w:r>
      <w:proofErr w:type="spellStart"/>
      <w:r w:rsidRPr="00F0760B">
        <w:rPr>
          <w:sz w:val="18"/>
          <w:szCs w:val="18"/>
        </w:rPr>
        <w:t>Chiarion-Sileni</w:t>
      </w:r>
      <w:proofErr w:type="spellEnd"/>
      <w:r w:rsidRPr="00F0760B">
        <w:rPr>
          <w:sz w:val="18"/>
          <w:szCs w:val="18"/>
        </w:rPr>
        <w:t xml:space="preserve"> v, Rossi CR, et al. Immune checkpoint inhibitors and targeted therapies for metastatic melanoma: A network meta-analysis. Cancer Treat Rev. 2017</w:t>
      </w:r>
      <w:proofErr w:type="gramStart"/>
      <w:r w:rsidRPr="00F0760B">
        <w:rPr>
          <w:sz w:val="18"/>
          <w:szCs w:val="18"/>
        </w:rPr>
        <w:t>;54:34</w:t>
      </w:r>
      <w:proofErr w:type="gramEnd"/>
      <w:r w:rsidRPr="00F0760B">
        <w:rPr>
          <w:sz w:val="18"/>
          <w:szCs w:val="18"/>
        </w:rPr>
        <w:t>-42.</w:t>
      </w:r>
    </w:p>
  </w:footnote>
  <w:footnote w:id="3">
    <w:p w:rsidR="009B40DA" w:rsidRPr="00F24516" w:rsidRDefault="009B40DA">
      <w:pPr>
        <w:pStyle w:val="FootnoteText"/>
        <w:rPr>
          <w:sz w:val="16"/>
          <w:szCs w:val="16"/>
        </w:rPr>
      </w:pPr>
      <w:r w:rsidRPr="00F24516">
        <w:rPr>
          <w:rStyle w:val="FootnoteReference"/>
          <w:sz w:val="16"/>
          <w:szCs w:val="16"/>
        </w:rPr>
        <w:footnoteRef/>
      </w:r>
      <w:r w:rsidRPr="00F24516">
        <w:rPr>
          <w:sz w:val="16"/>
          <w:szCs w:val="16"/>
        </w:rPr>
        <w:t xml:space="preserve"> The PSCR stated that this assessment was presented at ESMO 2017 (</w:t>
      </w:r>
      <w:proofErr w:type="spellStart"/>
      <w:r w:rsidRPr="00F24516">
        <w:rPr>
          <w:spacing w:val="-1"/>
          <w:sz w:val="16"/>
          <w:szCs w:val="16"/>
        </w:rPr>
        <w:t>G</w:t>
      </w:r>
      <w:r w:rsidRPr="00F24516">
        <w:rPr>
          <w:spacing w:val="-3"/>
          <w:sz w:val="16"/>
          <w:szCs w:val="16"/>
        </w:rPr>
        <w:t>r</w:t>
      </w:r>
      <w:r w:rsidRPr="00F24516">
        <w:rPr>
          <w:spacing w:val="1"/>
          <w:sz w:val="16"/>
          <w:szCs w:val="16"/>
        </w:rPr>
        <w:t>o</w:t>
      </w:r>
      <w:r w:rsidRPr="00F24516">
        <w:rPr>
          <w:sz w:val="16"/>
          <w:szCs w:val="16"/>
        </w:rPr>
        <w:t>b</w:t>
      </w:r>
      <w:proofErr w:type="spellEnd"/>
      <w:r w:rsidRPr="00F24516">
        <w:rPr>
          <w:spacing w:val="16"/>
          <w:sz w:val="16"/>
          <w:szCs w:val="16"/>
        </w:rPr>
        <w:t xml:space="preserve"> </w:t>
      </w:r>
      <w:r w:rsidRPr="00F24516">
        <w:rPr>
          <w:spacing w:val="-1"/>
          <w:sz w:val="16"/>
          <w:szCs w:val="16"/>
        </w:rPr>
        <w:t>p</w:t>
      </w:r>
      <w:r w:rsidRPr="00F24516">
        <w:rPr>
          <w:spacing w:val="1"/>
          <w:sz w:val="16"/>
          <w:szCs w:val="16"/>
        </w:rPr>
        <w:t>o</w:t>
      </w:r>
      <w:r w:rsidRPr="00F24516">
        <w:rPr>
          <w:sz w:val="16"/>
          <w:szCs w:val="16"/>
        </w:rPr>
        <w:t>ster</w:t>
      </w:r>
      <w:r w:rsidRPr="00F24516">
        <w:rPr>
          <w:spacing w:val="15"/>
          <w:sz w:val="16"/>
          <w:szCs w:val="16"/>
        </w:rPr>
        <w:t xml:space="preserve"> </w:t>
      </w:r>
      <w:r w:rsidRPr="00F24516">
        <w:rPr>
          <w:spacing w:val="-2"/>
          <w:sz w:val="16"/>
          <w:szCs w:val="16"/>
        </w:rPr>
        <w:t>1</w:t>
      </w:r>
      <w:r w:rsidRPr="00F24516">
        <w:rPr>
          <w:sz w:val="16"/>
          <w:szCs w:val="16"/>
        </w:rPr>
        <w:t>2</w:t>
      </w:r>
      <w:r w:rsidRPr="00F24516">
        <w:rPr>
          <w:spacing w:val="-2"/>
          <w:sz w:val="16"/>
          <w:szCs w:val="16"/>
        </w:rPr>
        <w:t>2</w:t>
      </w:r>
      <w:r w:rsidRPr="00F24516">
        <w:rPr>
          <w:sz w:val="16"/>
          <w:szCs w:val="16"/>
        </w:rPr>
        <w:t>2</w:t>
      </w:r>
      <w:r w:rsidRPr="00F24516">
        <w:rPr>
          <w:spacing w:val="-2"/>
          <w:sz w:val="16"/>
          <w:szCs w:val="16"/>
        </w:rPr>
        <w:t>P</w:t>
      </w:r>
      <w:r w:rsidRPr="00F24516">
        <w:rPr>
          <w:sz w:val="16"/>
          <w:szCs w:val="16"/>
        </w:rPr>
        <w:t>D).</w:t>
      </w:r>
    </w:p>
  </w:footnote>
  <w:footnote w:id="4">
    <w:p w:rsidR="009B40DA" w:rsidRPr="00B3185E" w:rsidRDefault="009B40DA" w:rsidP="00C422CE">
      <w:pPr>
        <w:pStyle w:val="FootnoteText"/>
        <w:rPr>
          <w:sz w:val="18"/>
          <w:szCs w:val="18"/>
        </w:rPr>
      </w:pPr>
      <w:r w:rsidRPr="00B3185E">
        <w:rPr>
          <w:rStyle w:val="FootnoteReference"/>
          <w:sz w:val="18"/>
          <w:szCs w:val="18"/>
        </w:rPr>
        <w:footnoteRef/>
      </w:r>
      <w:r w:rsidRPr="00B3185E">
        <w:rPr>
          <w:sz w:val="18"/>
          <w:szCs w:val="18"/>
        </w:rPr>
        <w:t xml:space="preserve"> In calculating the dispensed price, the resubmission used a preparation fee of $83.83 and a ready prepared dispensing fee of $7.21.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DA" w:rsidRPr="00FE50B3" w:rsidRDefault="009B40DA" w:rsidP="00FE50B3">
    <w:pPr>
      <w:widowControl/>
      <w:tabs>
        <w:tab w:val="center" w:pos="4513"/>
        <w:tab w:val="right" w:pos="9026"/>
      </w:tabs>
      <w:jc w:val="center"/>
      <w:rPr>
        <w:rFonts w:asciiTheme="minorHAnsi" w:eastAsiaTheme="minorHAnsi" w:hAnsiTheme="minorHAnsi" w:cstheme="minorHAnsi"/>
        <w:i/>
        <w:snapToGrid/>
        <w:color w:val="808080"/>
        <w:sz w:val="22"/>
      </w:rPr>
    </w:pPr>
    <w:r w:rsidRPr="00FE50B3">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FE50B3">
      <w:rPr>
        <w:rFonts w:asciiTheme="minorHAnsi" w:eastAsiaTheme="minorHAnsi" w:hAnsiTheme="minorHAnsi" w:cstheme="minorHAnsi"/>
        <w:i/>
        <w:snapToGrid/>
        <w:color w:val="808080"/>
        <w:sz w:val="22"/>
      </w:rPr>
      <w:t xml:space="preserve"> PBAC Meeting</w:t>
    </w:r>
  </w:p>
  <w:p w:rsidR="009B40DA" w:rsidRDefault="009B40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8EC473F4"/>
    <w:lvl w:ilvl="0" w:tplc="538693EC">
      <w:start w:val="1"/>
      <w:numFmt w:val="decimal"/>
      <w:lvlText w:val="%1."/>
      <w:lvlJc w:val="left"/>
      <w:pPr>
        <w:tabs>
          <w:tab w:val="num" w:pos="720"/>
        </w:tabs>
        <w:ind w:left="720" w:hanging="360"/>
      </w:pPr>
      <w:rPr>
        <w:rFonts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C8723B"/>
    <w:multiLevelType w:val="hybridMultilevel"/>
    <w:tmpl w:val="2DA81416"/>
    <w:lvl w:ilvl="0" w:tplc="0C090001">
      <w:start w:val="1"/>
      <w:numFmt w:val="bullet"/>
      <w:lvlText w:val=""/>
      <w:lvlJc w:val="left"/>
      <w:pPr>
        <w:ind w:left="720" w:hanging="360"/>
      </w:pPr>
      <w:rPr>
        <w:rFonts w:ascii="Symbol" w:hAnsi="Symbol" w:hint="default"/>
      </w:rPr>
    </w:lvl>
    <w:lvl w:ilvl="1" w:tplc="BFDA997C">
      <w:start w:val="7"/>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90C11"/>
    <w:multiLevelType w:val="hybridMultilevel"/>
    <w:tmpl w:val="1F90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692469"/>
    <w:multiLevelType w:val="hybridMultilevel"/>
    <w:tmpl w:val="BAE47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8C6D55"/>
    <w:multiLevelType w:val="hybridMultilevel"/>
    <w:tmpl w:val="63E0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ED6011"/>
    <w:multiLevelType w:val="hybridMultilevel"/>
    <w:tmpl w:val="8DA68E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C2B495B"/>
    <w:multiLevelType w:val="hybridMultilevel"/>
    <w:tmpl w:val="F744AF3E"/>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B44B2B"/>
    <w:multiLevelType w:val="hybridMultilevel"/>
    <w:tmpl w:val="01C8BB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F416B4"/>
    <w:multiLevelType w:val="hybridMultilevel"/>
    <w:tmpl w:val="63EE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E96242"/>
    <w:multiLevelType w:val="hybridMultilevel"/>
    <w:tmpl w:val="71FE9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397642"/>
    <w:multiLevelType w:val="hybridMultilevel"/>
    <w:tmpl w:val="0E9A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960AA"/>
    <w:multiLevelType w:val="hybridMultilevel"/>
    <w:tmpl w:val="29E8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3E6C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8735F7"/>
    <w:multiLevelType w:val="hybridMultilevel"/>
    <w:tmpl w:val="EA14A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1583D"/>
    <w:multiLevelType w:val="hybridMultilevel"/>
    <w:tmpl w:val="B0EAA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EF377F"/>
    <w:multiLevelType w:val="hybridMultilevel"/>
    <w:tmpl w:val="78D2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5730AC"/>
    <w:multiLevelType w:val="hybridMultilevel"/>
    <w:tmpl w:val="D8469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291A44"/>
    <w:multiLevelType w:val="multilevel"/>
    <w:tmpl w:val="B4908A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7566EF"/>
    <w:multiLevelType w:val="hybridMultilevel"/>
    <w:tmpl w:val="4044FEAA"/>
    <w:lvl w:ilvl="0" w:tplc="FE44402E">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5F2264FA"/>
    <w:multiLevelType w:val="hybridMultilevel"/>
    <w:tmpl w:val="2818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263FE"/>
    <w:multiLevelType w:val="hybridMultilevel"/>
    <w:tmpl w:val="B358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78463C"/>
    <w:multiLevelType w:val="hybridMultilevel"/>
    <w:tmpl w:val="753E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1F4C25"/>
    <w:multiLevelType w:val="hybridMultilevel"/>
    <w:tmpl w:val="F1E217EA"/>
    <w:lvl w:ilvl="0" w:tplc="C91854CE">
      <w:start w:val="1"/>
      <w:numFmt w:val="bullet"/>
      <w:lvlText w:val=""/>
      <w:lvlJc w:val="left"/>
      <w:pPr>
        <w:ind w:left="510" w:hanging="15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7D2AEB"/>
    <w:multiLevelType w:val="hybridMultilevel"/>
    <w:tmpl w:val="87C8ABAE"/>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873B01"/>
    <w:multiLevelType w:val="hybridMultilevel"/>
    <w:tmpl w:val="8E70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295B09"/>
    <w:multiLevelType w:val="hybridMultilevel"/>
    <w:tmpl w:val="7FA2F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56054A"/>
    <w:multiLevelType w:val="hybridMultilevel"/>
    <w:tmpl w:val="34D8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877330"/>
    <w:multiLevelType w:val="hybridMultilevel"/>
    <w:tmpl w:val="8D206DAE"/>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D3CCF49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D033C"/>
    <w:multiLevelType w:val="multilevel"/>
    <w:tmpl w:val="DD1E763E"/>
    <w:lvl w:ilvl="0">
      <w:start w:val="1"/>
      <w:numFmt w:val="decimal"/>
      <w:pStyle w:val="PBACHeading1"/>
      <w:lvlText w:val="%1"/>
      <w:lvlJc w:val="left"/>
      <w:pPr>
        <w:ind w:left="720" w:hanging="720"/>
      </w:pPr>
      <w:rPr>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4"/>
  </w:num>
  <w:num w:numId="3">
    <w:abstractNumId w:val="17"/>
  </w:num>
  <w:num w:numId="4">
    <w:abstractNumId w:val="13"/>
  </w:num>
  <w:num w:numId="5">
    <w:abstractNumId w:val="4"/>
  </w:num>
  <w:num w:numId="6">
    <w:abstractNumId w:val="19"/>
  </w:num>
  <w:num w:numId="7">
    <w:abstractNumId w:val="26"/>
  </w:num>
  <w:num w:numId="8">
    <w:abstractNumId w:val="2"/>
  </w:num>
  <w:num w:numId="9">
    <w:abstractNumId w:val="30"/>
  </w:num>
  <w:num w:numId="10">
    <w:abstractNumId w:val="24"/>
  </w:num>
  <w:num w:numId="11">
    <w:abstractNumId w:val="18"/>
  </w:num>
  <w:num w:numId="12">
    <w:abstractNumId w:val="16"/>
  </w:num>
  <w:num w:numId="13">
    <w:abstractNumId w:val="9"/>
  </w:num>
  <w:num w:numId="14">
    <w:abstractNumId w:val="28"/>
  </w:num>
  <w:num w:numId="15">
    <w:abstractNumId w:val="7"/>
  </w:num>
  <w:num w:numId="16">
    <w:abstractNumId w:val="8"/>
  </w:num>
  <w:num w:numId="17">
    <w:abstractNumId w:val="31"/>
  </w:num>
  <w:num w:numId="18">
    <w:abstractNumId w:val="25"/>
  </w:num>
  <w:num w:numId="19">
    <w:abstractNumId w:val="33"/>
  </w:num>
  <w:num w:numId="20">
    <w:abstractNumId w:val="29"/>
  </w:num>
  <w:num w:numId="21">
    <w:abstractNumId w:val="14"/>
  </w:num>
  <w:num w:numId="22">
    <w:abstractNumId w:val="22"/>
  </w:num>
  <w:num w:numId="23">
    <w:abstractNumId w:val="12"/>
  </w:num>
  <w:num w:numId="24">
    <w:abstractNumId w:val="11"/>
  </w:num>
  <w:num w:numId="25">
    <w:abstractNumId w:val="32"/>
  </w:num>
  <w:num w:numId="26">
    <w:abstractNumId w:val="27"/>
  </w:num>
  <w:num w:numId="27">
    <w:abstractNumId w:val="6"/>
  </w:num>
  <w:num w:numId="28">
    <w:abstractNumId w:val="1"/>
  </w:num>
  <w:num w:numId="29">
    <w:abstractNumId w:val="17"/>
  </w:num>
  <w:num w:numId="30">
    <w:abstractNumId w:val="20"/>
  </w:num>
  <w:num w:numId="31">
    <w:abstractNumId w:val="21"/>
  </w:num>
  <w:num w:numId="32">
    <w:abstractNumId w:val="3"/>
  </w:num>
  <w:num w:numId="33">
    <w:abstractNumId w:val="0"/>
  </w:num>
  <w:num w:numId="34">
    <w:abstractNumId w:val="10"/>
  </w:num>
  <w:num w:numId="35">
    <w:abstractNumId w:val="23"/>
  </w:num>
  <w:num w:numId="36">
    <w:abstractNumId w:val="5"/>
  </w:num>
  <w:num w:numId="37">
    <w:abstractNumId w:val="34"/>
  </w:num>
  <w:num w:numId="38">
    <w:abstractNumId w:val="34"/>
  </w:num>
  <w:num w:numId="39">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rimison">
    <w15:presenceInfo w15:providerId="Windows Live" w15:userId="3f62feba80998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oNotTrackFormatting/>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e0psahzaw9uedrptx2wtkept0pwt0dazt&quot;&gt;Melanoma&lt;record-ids&gt;&lt;item&gt;1&lt;/item&gt;&lt;item&gt;2&lt;/item&gt;&lt;item&gt;95&lt;/item&gt;&lt;item&gt;96&lt;/item&gt;&lt;item&gt;140&lt;/item&gt;&lt;item&gt;141&lt;/item&gt;&lt;item&gt;145&lt;/item&gt;&lt;item&gt;150&lt;/item&gt;&lt;/record-ids&gt;&lt;/item&gt;&lt;/Libraries&gt;"/>
  </w:docVars>
  <w:rsids>
    <w:rsidRoot w:val="00E65E79"/>
    <w:rsid w:val="000002F4"/>
    <w:rsid w:val="00000533"/>
    <w:rsid w:val="00000790"/>
    <w:rsid w:val="0000110B"/>
    <w:rsid w:val="000017FD"/>
    <w:rsid w:val="00002148"/>
    <w:rsid w:val="000028EE"/>
    <w:rsid w:val="00003499"/>
    <w:rsid w:val="000039B7"/>
    <w:rsid w:val="00003D5B"/>
    <w:rsid w:val="0000553C"/>
    <w:rsid w:val="00005BC3"/>
    <w:rsid w:val="00006ED5"/>
    <w:rsid w:val="00007472"/>
    <w:rsid w:val="0000750E"/>
    <w:rsid w:val="00010096"/>
    <w:rsid w:val="00011049"/>
    <w:rsid w:val="00012D3D"/>
    <w:rsid w:val="00012ED5"/>
    <w:rsid w:val="00013247"/>
    <w:rsid w:val="00013BE0"/>
    <w:rsid w:val="0001428E"/>
    <w:rsid w:val="00014598"/>
    <w:rsid w:val="00015886"/>
    <w:rsid w:val="00016148"/>
    <w:rsid w:val="000162EF"/>
    <w:rsid w:val="00017881"/>
    <w:rsid w:val="000202A0"/>
    <w:rsid w:val="0002225F"/>
    <w:rsid w:val="000225CB"/>
    <w:rsid w:val="000231EB"/>
    <w:rsid w:val="00023763"/>
    <w:rsid w:val="00023B78"/>
    <w:rsid w:val="00024842"/>
    <w:rsid w:val="000250BC"/>
    <w:rsid w:val="00025232"/>
    <w:rsid w:val="00025259"/>
    <w:rsid w:val="00025336"/>
    <w:rsid w:val="00025B77"/>
    <w:rsid w:val="00025EB0"/>
    <w:rsid w:val="00025EBA"/>
    <w:rsid w:val="00026B24"/>
    <w:rsid w:val="000310B1"/>
    <w:rsid w:val="000318A8"/>
    <w:rsid w:val="000325E6"/>
    <w:rsid w:val="000328CA"/>
    <w:rsid w:val="00032D80"/>
    <w:rsid w:val="00033863"/>
    <w:rsid w:val="000339C9"/>
    <w:rsid w:val="00034392"/>
    <w:rsid w:val="00035DC0"/>
    <w:rsid w:val="00036829"/>
    <w:rsid w:val="00036BB9"/>
    <w:rsid w:val="00036D5F"/>
    <w:rsid w:val="00040895"/>
    <w:rsid w:val="000416C2"/>
    <w:rsid w:val="00041B05"/>
    <w:rsid w:val="00043C37"/>
    <w:rsid w:val="0004499E"/>
    <w:rsid w:val="00045017"/>
    <w:rsid w:val="000451AA"/>
    <w:rsid w:val="00045A2B"/>
    <w:rsid w:val="0004654F"/>
    <w:rsid w:val="0004698F"/>
    <w:rsid w:val="00046F8C"/>
    <w:rsid w:val="0004736D"/>
    <w:rsid w:val="000504EF"/>
    <w:rsid w:val="000506C4"/>
    <w:rsid w:val="00052DB5"/>
    <w:rsid w:val="000539D0"/>
    <w:rsid w:val="000545A6"/>
    <w:rsid w:val="00054621"/>
    <w:rsid w:val="000546D7"/>
    <w:rsid w:val="00061AD2"/>
    <w:rsid w:val="00062E39"/>
    <w:rsid w:val="000639E8"/>
    <w:rsid w:val="00064C91"/>
    <w:rsid w:val="00065704"/>
    <w:rsid w:val="000657A5"/>
    <w:rsid w:val="00066360"/>
    <w:rsid w:val="00067053"/>
    <w:rsid w:val="00067111"/>
    <w:rsid w:val="00067A89"/>
    <w:rsid w:val="00070D5E"/>
    <w:rsid w:val="00071248"/>
    <w:rsid w:val="00071468"/>
    <w:rsid w:val="000714B5"/>
    <w:rsid w:val="000720B9"/>
    <w:rsid w:val="000728C1"/>
    <w:rsid w:val="000737F7"/>
    <w:rsid w:val="00074112"/>
    <w:rsid w:val="0007644E"/>
    <w:rsid w:val="0007672F"/>
    <w:rsid w:val="00077389"/>
    <w:rsid w:val="000774F0"/>
    <w:rsid w:val="00080909"/>
    <w:rsid w:val="000812CA"/>
    <w:rsid w:val="00081486"/>
    <w:rsid w:val="0008258D"/>
    <w:rsid w:val="00083B01"/>
    <w:rsid w:val="00083E99"/>
    <w:rsid w:val="000856C5"/>
    <w:rsid w:val="00087653"/>
    <w:rsid w:val="00090C7E"/>
    <w:rsid w:val="00090CC4"/>
    <w:rsid w:val="00091064"/>
    <w:rsid w:val="00091328"/>
    <w:rsid w:val="00092600"/>
    <w:rsid w:val="0009262B"/>
    <w:rsid w:val="00093310"/>
    <w:rsid w:val="00093F98"/>
    <w:rsid w:val="00094034"/>
    <w:rsid w:val="0009445C"/>
    <w:rsid w:val="00095853"/>
    <w:rsid w:val="00095C67"/>
    <w:rsid w:val="00095FE5"/>
    <w:rsid w:val="00096284"/>
    <w:rsid w:val="000969CF"/>
    <w:rsid w:val="00096DC6"/>
    <w:rsid w:val="00097B79"/>
    <w:rsid w:val="000A2624"/>
    <w:rsid w:val="000A3C8E"/>
    <w:rsid w:val="000A4AF6"/>
    <w:rsid w:val="000A4F23"/>
    <w:rsid w:val="000A72CE"/>
    <w:rsid w:val="000A7382"/>
    <w:rsid w:val="000A75B6"/>
    <w:rsid w:val="000A7D08"/>
    <w:rsid w:val="000A7E42"/>
    <w:rsid w:val="000A7EDE"/>
    <w:rsid w:val="000B0670"/>
    <w:rsid w:val="000B0E75"/>
    <w:rsid w:val="000B106E"/>
    <w:rsid w:val="000B2B08"/>
    <w:rsid w:val="000B2BA6"/>
    <w:rsid w:val="000B32F5"/>
    <w:rsid w:val="000B41CE"/>
    <w:rsid w:val="000B4B2A"/>
    <w:rsid w:val="000B5033"/>
    <w:rsid w:val="000B511D"/>
    <w:rsid w:val="000B5B72"/>
    <w:rsid w:val="000B5F11"/>
    <w:rsid w:val="000B6704"/>
    <w:rsid w:val="000B6CAC"/>
    <w:rsid w:val="000B7612"/>
    <w:rsid w:val="000C0230"/>
    <w:rsid w:val="000C34B2"/>
    <w:rsid w:val="000C3913"/>
    <w:rsid w:val="000C3DF9"/>
    <w:rsid w:val="000C4997"/>
    <w:rsid w:val="000C5242"/>
    <w:rsid w:val="000C5DEC"/>
    <w:rsid w:val="000C6713"/>
    <w:rsid w:val="000C6748"/>
    <w:rsid w:val="000C77CF"/>
    <w:rsid w:val="000D026D"/>
    <w:rsid w:val="000D1BFC"/>
    <w:rsid w:val="000D2590"/>
    <w:rsid w:val="000D281A"/>
    <w:rsid w:val="000D326A"/>
    <w:rsid w:val="000D4A42"/>
    <w:rsid w:val="000D51FB"/>
    <w:rsid w:val="000D5273"/>
    <w:rsid w:val="000D61A7"/>
    <w:rsid w:val="000D700C"/>
    <w:rsid w:val="000D7884"/>
    <w:rsid w:val="000D7928"/>
    <w:rsid w:val="000E04D8"/>
    <w:rsid w:val="000E135D"/>
    <w:rsid w:val="000E221E"/>
    <w:rsid w:val="000E26EB"/>
    <w:rsid w:val="000E4646"/>
    <w:rsid w:val="000E482B"/>
    <w:rsid w:val="000E5D46"/>
    <w:rsid w:val="000E5DCE"/>
    <w:rsid w:val="000E66CB"/>
    <w:rsid w:val="000E6A2D"/>
    <w:rsid w:val="000E6FAA"/>
    <w:rsid w:val="000E7839"/>
    <w:rsid w:val="000F00BA"/>
    <w:rsid w:val="000F15AD"/>
    <w:rsid w:val="000F1A6C"/>
    <w:rsid w:val="000F316A"/>
    <w:rsid w:val="000F3900"/>
    <w:rsid w:val="000F3C74"/>
    <w:rsid w:val="000F47A2"/>
    <w:rsid w:val="000F4BB8"/>
    <w:rsid w:val="000F5DC7"/>
    <w:rsid w:val="000F7127"/>
    <w:rsid w:val="001002FC"/>
    <w:rsid w:val="00100F8A"/>
    <w:rsid w:val="001023B1"/>
    <w:rsid w:val="001039FC"/>
    <w:rsid w:val="00105AE2"/>
    <w:rsid w:val="00105BA7"/>
    <w:rsid w:val="00106B80"/>
    <w:rsid w:val="00106BE5"/>
    <w:rsid w:val="0010752A"/>
    <w:rsid w:val="0011032E"/>
    <w:rsid w:val="00111A64"/>
    <w:rsid w:val="00111D88"/>
    <w:rsid w:val="0011348B"/>
    <w:rsid w:val="001154A0"/>
    <w:rsid w:val="00115982"/>
    <w:rsid w:val="00116098"/>
    <w:rsid w:val="00116935"/>
    <w:rsid w:val="00116C53"/>
    <w:rsid w:val="001178E8"/>
    <w:rsid w:val="00121799"/>
    <w:rsid w:val="001222FC"/>
    <w:rsid w:val="00124229"/>
    <w:rsid w:val="00124A51"/>
    <w:rsid w:val="00124EEC"/>
    <w:rsid w:val="00125748"/>
    <w:rsid w:val="00125EC0"/>
    <w:rsid w:val="00126621"/>
    <w:rsid w:val="0012689D"/>
    <w:rsid w:val="001301E9"/>
    <w:rsid w:val="001308AA"/>
    <w:rsid w:val="00131D82"/>
    <w:rsid w:val="001325D1"/>
    <w:rsid w:val="00133D36"/>
    <w:rsid w:val="0013471E"/>
    <w:rsid w:val="00135335"/>
    <w:rsid w:val="00137390"/>
    <w:rsid w:val="00137645"/>
    <w:rsid w:val="0014004C"/>
    <w:rsid w:val="0014015A"/>
    <w:rsid w:val="001404E2"/>
    <w:rsid w:val="00140E99"/>
    <w:rsid w:val="001422C9"/>
    <w:rsid w:val="00142EF6"/>
    <w:rsid w:val="00143813"/>
    <w:rsid w:val="001441DA"/>
    <w:rsid w:val="00145540"/>
    <w:rsid w:val="001456B0"/>
    <w:rsid w:val="00145BB8"/>
    <w:rsid w:val="00146DA5"/>
    <w:rsid w:val="00147B60"/>
    <w:rsid w:val="00151484"/>
    <w:rsid w:val="001520E6"/>
    <w:rsid w:val="00157130"/>
    <w:rsid w:val="0015719A"/>
    <w:rsid w:val="001576B1"/>
    <w:rsid w:val="00157C80"/>
    <w:rsid w:val="00157D74"/>
    <w:rsid w:val="00160278"/>
    <w:rsid w:val="00160A4C"/>
    <w:rsid w:val="00161C4F"/>
    <w:rsid w:val="001624AC"/>
    <w:rsid w:val="00162562"/>
    <w:rsid w:val="00162913"/>
    <w:rsid w:val="00163EFF"/>
    <w:rsid w:val="00164AB8"/>
    <w:rsid w:val="00165660"/>
    <w:rsid w:val="00165926"/>
    <w:rsid w:val="00165EE5"/>
    <w:rsid w:val="001661FB"/>
    <w:rsid w:val="00166341"/>
    <w:rsid w:val="001707D1"/>
    <w:rsid w:val="001710F2"/>
    <w:rsid w:val="00171D41"/>
    <w:rsid w:val="00172CB3"/>
    <w:rsid w:val="00173565"/>
    <w:rsid w:val="00173B07"/>
    <w:rsid w:val="00174160"/>
    <w:rsid w:val="00174326"/>
    <w:rsid w:val="0017522C"/>
    <w:rsid w:val="001761CD"/>
    <w:rsid w:val="00176BAF"/>
    <w:rsid w:val="001772A5"/>
    <w:rsid w:val="00177DCC"/>
    <w:rsid w:val="00180FF4"/>
    <w:rsid w:val="00181D9C"/>
    <w:rsid w:val="001825DA"/>
    <w:rsid w:val="00182729"/>
    <w:rsid w:val="001836A1"/>
    <w:rsid w:val="00183BD5"/>
    <w:rsid w:val="00184499"/>
    <w:rsid w:val="00184EDA"/>
    <w:rsid w:val="00185605"/>
    <w:rsid w:val="0018752F"/>
    <w:rsid w:val="001877E1"/>
    <w:rsid w:val="001902C2"/>
    <w:rsid w:val="00190961"/>
    <w:rsid w:val="001914A4"/>
    <w:rsid w:val="001915FD"/>
    <w:rsid w:val="00192145"/>
    <w:rsid w:val="001928EC"/>
    <w:rsid w:val="00192A9D"/>
    <w:rsid w:val="001947A1"/>
    <w:rsid w:val="00194BD7"/>
    <w:rsid w:val="00195222"/>
    <w:rsid w:val="00195CCE"/>
    <w:rsid w:val="0019642C"/>
    <w:rsid w:val="001975D8"/>
    <w:rsid w:val="001979A8"/>
    <w:rsid w:val="00197C62"/>
    <w:rsid w:val="001A03F8"/>
    <w:rsid w:val="001A0C31"/>
    <w:rsid w:val="001A1CE8"/>
    <w:rsid w:val="001A2AD9"/>
    <w:rsid w:val="001A41A1"/>
    <w:rsid w:val="001A43FA"/>
    <w:rsid w:val="001A48A5"/>
    <w:rsid w:val="001A4CED"/>
    <w:rsid w:val="001A59FB"/>
    <w:rsid w:val="001A6354"/>
    <w:rsid w:val="001A6D97"/>
    <w:rsid w:val="001A7AE8"/>
    <w:rsid w:val="001B0952"/>
    <w:rsid w:val="001B0A0E"/>
    <w:rsid w:val="001B204E"/>
    <w:rsid w:val="001B26F8"/>
    <w:rsid w:val="001B3443"/>
    <w:rsid w:val="001B4D20"/>
    <w:rsid w:val="001C0963"/>
    <w:rsid w:val="001C0F71"/>
    <w:rsid w:val="001C2A9B"/>
    <w:rsid w:val="001C37E9"/>
    <w:rsid w:val="001C39A6"/>
    <w:rsid w:val="001C4299"/>
    <w:rsid w:val="001C4C83"/>
    <w:rsid w:val="001C5F94"/>
    <w:rsid w:val="001C602F"/>
    <w:rsid w:val="001C65EF"/>
    <w:rsid w:val="001C6E66"/>
    <w:rsid w:val="001D09CC"/>
    <w:rsid w:val="001D1303"/>
    <w:rsid w:val="001D17ED"/>
    <w:rsid w:val="001D1DC1"/>
    <w:rsid w:val="001D438F"/>
    <w:rsid w:val="001D6411"/>
    <w:rsid w:val="001D6DB3"/>
    <w:rsid w:val="001E015F"/>
    <w:rsid w:val="001E238E"/>
    <w:rsid w:val="001E2483"/>
    <w:rsid w:val="001E2B1E"/>
    <w:rsid w:val="001E30D4"/>
    <w:rsid w:val="001E3FC6"/>
    <w:rsid w:val="001E4631"/>
    <w:rsid w:val="001E52EB"/>
    <w:rsid w:val="001E55EC"/>
    <w:rsid w:val="001E5DE5"/>
    <w:rsid w:val="001E61D2"/>
    <w:rsid w:val="001E740C"/>
    <w:rsid w:val="001E7EF9"/>
    <w:rsid w:val="001F1235"/>
    <w:rsid w:val="001F163D"/>
    <w:rsid w:val="001F1CB3"/>
    <w:rsid w:val="001F2563"/>
    <w:rsid w:val="001F268E"/>
    <w:rsid w:val="001F3838"/>
    <w:rsid w:val="001F38B5"/>
    <w:rsid w:val="001F4FC7"/>
    <w:rsid w:val="001F7361"/>
    <w:rsid w:val="001F7E7E"/>
    <w:rsid w:val="002011B0"/>
    <w:rsid w:val="00203181"/>
    <w:rsid w:val="00203783"/>
    <w:rsid w:val="0020385F"/>
    <w:rsid w:val="00204B21"/>
    <w:rsid w:val="00204F40"/>
    <w:rsid w:val="00205E1E"/>
    <w:rsid w:val="0020655D"/>
    <w:rsid w:val="00206720"/>
    <w:rsid w:val="00206A98"/>
    <w:rsid w:val="00207021"/>
    <w:rsid w:val="0020732F"/>
    <w:rsid w:val="00207D00"/>
    <w:rsid w:val="002105C1"/>
    <w:rsid w:val="00210B97"/>
    <w:rsid w:val="00210C0E"/>
    <w:rsid w:val="00211E40"/>
    <w:rsid w:val="00214D6D"/>
    <w:rsid w:val="0021684B"/>
    <w:rsid w:val="0022230D"/>
    <w:rsid w:val="002234DB"/>
    <w:rsid w:val="00223B49"/>
    <w:rsid w:val="00224DD4"/>
    <w:rsid w:val="0022517A"/>
    <w:rsid w:val="00225B1F"/>
    <w:rsid w:val="00226416"/>
    <w:rsid w:val="00230513"/>
    <w:rsid w:val="002305D2"/>
    <w:rsid w:val="002309CC"/>
    <w:rsid w:val="002318DD"/>
    <w:rsid w:val="0023209F"/>
    <w:rsid w:val="0023523F"/>
    <w:rsid w:val="00235579"/>
    <w:rsid w:val="0023629D"/>
    <w:rsid w:val="00237255"/>
    <w:rsid w:val="00237306"/>
    <w:rsid w:val="0023740F"/>
    <w:rsid w:val="00237600"/>
    <w:rsid w:val="00237D47"/>
    <w:rsid w:val="002403F1"/>
    <w:rsid w:val="0024064F"/>
    <w:rsid w:val="00240E15"/>
    <w:rsid w:val="002424AF"/>
    <w:rsid w:val="002439DC"/>
    <w:rsid w:val="00244DC8"/>
    <w:rsid w:val="002458BA"/>
    <w:rsid w:val="00245A50"/>
    <w:rsid w:val="0024636C"/>
    <w:rsid w:val="00246FC6"/>
    <w:rsid w:val="00247760"/>
    <w:rsid w:val="00247925"/>
    <w:rsid w:val="00252F6A"/>
    <w:rsid w:val="002534EC"/>
    <w:rsid w:val="00254DCF"/>
    <w:rsid w:val="0025510F"/>
    <w:rsid w:val="0025534B"/>
    <w:rsid w:val="00255BB7"/>
    <w:rsid w:val="0025616B"/>
    <w:rsid w:val="0025706A"/>
    <w:rsid w:val="00257541"/>
    <w:rsid w:val="0025772F"/>
    <w:rsid w:val="00257B96"/>
    <w:rsid w:val="00260E74"/>
    <w:rsid w:val="00261D58"/>
    <w:rsid w:val="00262A1A"/>
    <w:rsid w:val="00262A87"/>
    <w:rsid w:val="002644F9"/>
    <w:rsid w:val="00264D26"/>
    <w:rsid w:val="0026612F"/>
    <w:rsid w:val="00267642"/>
    <w:rsid w:val="00267AEA"/>
    <w:rsid w:val="002700E6"/>
    <w:rsid w:val="00270636"/>
    <w:rsid w:val="002726BC"/>
    <w:rsid w:val="0027294B"/>
    <w:rsid w:val="00275C5A"/>
    <w:rsid w:val="00276995"/>
    <w:rsid w:val="00280AAA"/>
    <w:rsid w:val="00281014"/>
    <w:rsid w:val="00281A3A"/>
    <w:rsid w:val="0028220C"/>
    <w:rsid w:val="0028248A"/>
    <w:rsid w:val="00283D52"/>
    <w:rsid w:val="0028492C"/>
    <w:rsid w:val="00285849"/>
    <w:rsid w:val="00285A4E"/>
    <w:rsid w:val="00286289"/>
    <w:rsid w:val="00287C94"/>
    <w:rsid w:val="0029286A"/>
    <w:rsid w:val="00292998"/>
    <w:rsid w:val="00293DDD"/>
    <w:rsid w:val="00293E1B"/>
    <w:rsid w:val="0029487B"/>
    <w:rsid w:val="002964F3"/>
    <w:rsid w:val="002A034F"/>
    <w:rsid w:val="002A137E"/>
    <w:rsid w:val="002A14AB"/>
    <w:rsid w:val="002A2F50"/>
    <w:rsid w:val="002A3779"/>
    <w:rsid w:val="002A4A9D"/>
    <w:rsid w:val="002A51D7"/>
    <w:rsid w:val="002A5827"/>
    <w:rsid w:val="002A5912"/>
    <w:rsid w:val="002B09A4"/>
    <w:rsid w:val="002B197A"/>
    <w:rsid w:val="002B1A96"/>
    <w:rsid w:val="002B1C1F"/>
    <w:rsid w:val="002B32A1"/>
    <w:rsid w:val="002B3864"/>
    <w:rsid w:val="002B432F"/>
    <w:rsid w:val="002B560B"/>
    <w:rsid w:val="002B62B3"/>
    <w:rsid w:val="002B6754"/>
    <w:rsid w:val="002B6CCE"/>
    <w:rsid w:val="002B7D11"/>
    <w:rsid w:val="002C0094"/>
    <w:rsid w:val="002C068A"/>
    <w:rsid w:val="002C186D"/>
    <w:rsid w:val="002C2510"/>
    <w:rsid w:val="002C2775"/>
    <w:rsid w:val="002C27C1"/>
    <w:rsid w:val="002C2C54"/>
    <w:rsid w:val="002C3320"/>
    <w:rsid w:val="002C5099"/>
    <w:rsid w:val="002C5706"/>
    <w:rsid w:val="002C5889"/>
    <w:rsid w:val="002C6431"/>
    <w:rsid w:val="002C6EEA"/>
    <w:rsid w:val="002C71CE"/>
    <w:rsid w:val="002C7FB0"/>
    <w:rsid w:val="002D3300"/>
    <w:rsid w:val="002D3E35"/>
    <w:rsid w:val="002D4AD1"/>
    <w:rsid w:val="002D4C0B"/>
    <w:rsid w:val="002D4D3A"/>
    <w:rsid w:val="002D4D49"/>
    <w:rsid w:val="002D4E4C"/>
    <w:rsid w:val="002D50E6"/>
    <w:rsid w:val="002D524D"/>
    <w:rsid w:val="002D577C"/>
    <w:rsid w:val="002D5A5E"/>
    <w:rsid w:val="002D78E7"/>
    <w:rsid w:val="002E00FA"/>
    <w:rsid w:val="002E15B9"/>
    <w:rsid w:val="002E1FA3"/>
    <w:rsid w:val="002E1FD7"/>
    <w:rsid w:val="002E2158"/>
    <w:rsid w:val="002E3851"/>
    <w:rsid w:val="002E4A12"/>
    <w:rsid w:val="002E6DFC"/>
    <w:rsid w:val="002E7722"/>
    <w:rsid w:val="002F07BA"/>
    <w:rsid w:val="002F0827"/>
    <w:rsid w:val="002F08FF"/>
    <w:rsid w:val="002F0DA9"/>
    <w:rsid w:val="002F11A4"/>
    <w:rsid w:val="002F3323"/>
    <w:rsid w:val="002F4F46"/>
    <w:rsid w:val="002F5066"/>
    <w:rsid w:val="002F643C"/>
    <w:rsid w:val="002F71C0"/>
    <w:rsid w:val="002F764C"/>
    <w:rsid w:val="002F7A7E"/>
    <w:rsid w:val="00301017"/>
    <w:rsid w:val="0030155F"/>
    <w:rsid w:val="00301912"/>
    <w:rsid w:val="00302A12"/>
    <w:rsid w:val="00302CDB"/>
    <w:rsid w:val="0030320C"/>
    <w:rsid w:val="00304B62"/>
    <w:rsid w:val="0030587B"/>
    <w:rsid w:val="00305EE7"/>
    <w:rsid w:val="00306D98"/>
    <w:rsid w:val="00306FE0"/>
    <w:rsid w:val="003070FF"/>
    <w:rsid w:val="0030752D"/>
    <w:rsid w:val="0030786C"/>
    <w:rsid w:val="0031031A"/>
    <w:rsid w:val="00310981"/>
    <w:rsid w:val="00313644"/>
    <w:rsid w:val="003142AA"/>
    <w:rsid w:val="00315285"/>
    <w:rsid w:val="00315498"/>
    <w:rsid w:val="00315921"/>
    <w:rsid w:val="00315A75"/>
    <w:rsid w:val="00317D1A"/>
    <w:rsid w:val="00320427"/>
    <w:rsid w:val="0032080B"/>
    <w:rsid w:val="00320ED5"/>
    <w:rsid w:val="00322107"/>
    <w:rsid w:val="00322846"/>
    <w:rsid w:val="0032325B"/>
    <w:rsid w:val="003232A6"/>
    <w:rsid w:val="003235AE"/>
    <w:rsid w:val="00323A23"/>
    <w:rsid w:val="003242C0"/>
    <w:rsid w:val="0032436D"/>
    <w:rsid w:val="00324AA2"/>
    <w:rsid w:val="003257C1"/>
    <w:rsid w:val="00326DA7"/>
    <w:rsid w:val="003270E4"/>
    <w:rsid w:val="00327CAD"/>
    <w:rsid w:val="00330F5C"/>
    <w:rsid w:val="003322F9"/>
    <w:rsid w:val="00332392"/>
    <w:rsid w:val="00334673"/>
    <w:rsid w:val="00335EB0"/>
    <w:rsid w:val="00335F8E"/>
    <w:rsid w:val="00336366"/>
    <w:rsid w:val="003366C9"/>
    <w:rsid w:val="003369DD"/>
    <w:rsid w:val="003371B0"/>
    <w:rsid w:val="003371DA"/>
    <w:rsid w:val="0034006F"/>
    <w:rsid w:val="00340DF1"/>
    <w:rsid w:val="0034223E"/>
    <w:rsid w:val="003469CC"/>
    <w:rsid w:val="003517F9"/>
    <w:rsid w:val="003532B4"/>
    <w:rsid w:val="003534E2"/>
    <w:rsid w:val="0035620E"/>
    <w:rsid w:val="00356FEE"/>
    <w:rsid w:val="003605FC"/>
    <w:rsid w:val="003611BC"/>
    <w:rsid w:val="003624C4"/>
    <w:rsid w:val="00363593"/>
    <w:rsid w:val="00363906"/>
    <w:rsid w:val="003654AC"/>
    <w:rsid w:val="003655A6"/>
    <w:rsid w:val="003710CF"/>
    <w:rsid w:val="00372D98"/>
    <w:rsid w:val="0037358A"/>
    <w:rsid w:val="003750F6"/>
    <w:rsid w:val="003760FC"/>
    <w:rsid w:val="0037611D"/>
    <w:rsid w:val="00376408"/>
    <w:rsid w:val="00376504"/>
    <w:rsid w:val="00380313"/>
    <w:rsid w:val="00380348"/>
    <w:rsid w:val="00380702"/>
    <w:rsid w:val="00380763"/>
    <w:rsid w:val="003810C1"/>
    <w:rsid w:val="0038142C"/>
    <w:rsid w:val="003814DF"/>
    <w:rsid w:val="0038365C"/>
    <w:rsid w:val="0038369B"/>
    <w:rsid w:val="00383B78"/>
    <w:rsid w:val="00385627"/>
    <w:rsid w:val="00385A9D"/>
    <w:rsid w:val="00386134"/>
    <w:rsid w:val="00386236"/>
    <w:rsid w:val="003902B1"/>
    <w:rsid w:val="00392E7E"/>
    <w:rsid w:val="003933D6"/>
    <w:rsid w:val="00393678"/>
    <w:rsid w:val="00394715"/>
    <w:rsid w:val="00395B05"/>
    <w:rsid w:val="003965B9"/>
    <w:rsid w:val="00396896"/>
    <w:rsid w:val="00396FD0"/>
    <w:rsid w:val="003A041E"/>
    <w:rsid w:val="003A11EB"/>
    <w:rsid w:val="003A1530"/>
    <w:rsid w:val="003A17B1"/>
    <w:rsid w:val="003A1A7A"/>
    <w:rsid w:val="003A2392"/>
    <w:rsid w:val="003A2831"/>
    <w:rsid w:val="003A3730"/>
    <w:rsid w:val="003A3B15"/>
    <w:rsid w:val="003A3ED1"/>
    <w:rsid w:val="003A6B51"/>
    <w:rsid w:val="003A6D3B"/>
    <w:rsid w:val="003B0967"/>
    <w:rsid w:val="003B1711"/>
    <w:rsid w:val="003B2EF8"/>
    <w:rsid w:val="003B30E9"/>
    <w:rsid w:val="003B3D73"/>
    <w:rsid w:val="003B4753"/>
    <w:rsid w:val="003B4ECF"/>
    <w:rsid w:val="003B5B61"/>
    <w:rsid w:val="003B632B"/>
    <w:rsid w:val="003B7BBB"/>
    <w:rsid w:val="003C04D7"/>
    <w:rsid w:val="003C1494"/>
    <w:rsid w:val="003C1654"/>
    <w:rsid w:val="003C260E"/>
    <w:rsid w:val="003C2D79"/>
    <w:rsid w:val="003C3CFE"/>
    <w:rsid w:val="003C3EA0"/>
    <w:rsid w:val="003C40A5"/>
    <w:rsid w:val="003C72F6"/>
    <w:rsid w:val="003C7D19"/>
    <w:rsid w:val="003D0B3F"/>
    <w:rsid w:val="003D0FAF"/>
    <w:rsid w:val="003D14B9"/>
    <w:rsid w:val="003D1828"/>
    <w:rsid w:val="003D1BE4"/>
    <w:rsid w:val="003D1DE4"/>
    <w:rsid w:val="003D1DED"/>
    <w:rsid w:val="003D21DF"/>
    <w:rsid w:val="003D2422"/>
    <w:rsid w:val="003D2D5E"/>
    <w:rsid w:val="003D39A1"/>
    <w:rsid w:val="003D3FBF"/>
    <w:rsid w:val="003D416F"/>
    <w:rsid w:val="003D45B0"/>
    <w:rsid w:val="003D4A30"/>
    <w:rsid w:val="003D79BB"/>
    <w:rsid w:val="003D7C98"/>
    <w:rsid w:val="003E0543"/>
    <w:rsid w:val="003E058E"/>
    <w:rsid w:val="003E145C"/>
    <w:rsid w:val="003E1794"/>
    <w:rsid w:val="003E283A"/>
    <w:rsid w:val="003E3597"/>
    <w:rsid w:val="003E39A7"/>
    <w:rsid w:val="003E421B"/>
    <w:rsid w:val="003E4DC9"/>
    <w:rsid w:val="003E53CA"/>
    <w:rsid w:val="003E5538"/>
    <w:rsid w:val="003E59E2"/>
    <w:rsid w:val="003E5CA8"/>
    <w:rsid w:val="003E6D09"/>
    <w:rsid w:val="003F14A5"/>
    <w:rsid w:val="003F3748"/>
    <w:rsid w:val="003F4156"/>
    <w:rsid w:val="003F6BC1"/>
    <w:rsid w:val="003F7EA4"/>
    <w:rsid w:val="0040004B"/>
    <w:rsid w:val="00400812"/>
    <w:rsid w:val="00400B29"/>
    <w:rsid w:val="00400D6A"/>
    <w:rsid w:val="00402786"/>
    <w:rsid w:val="00404A26"/>
    <w:rsid w:val="0040504B"/>
    <w:rsid w:val="004051A7"/>
    <w:rsid w:val="0040571B"/>
    <w:rsid w:val="004100C3"/>
    <w:rsid w:val="00410708"/>
    <w:rsid w:val="00410EC7"/>
    <w:rsid w:val="00411B39"/>
    <w:rsid w:val="00411C88"/>
    <w:rsid w:val="00413A1E"/>
    <w:rsid w:val="00414108"/>
    <w:rsid w:val="00414476"/>
    <w:rsid w:val="00414C2E"/>
    <w:rsid w:val="004151CF"/>
    <w:rsid w:val="00416364"/>
    <w:rsid w:val="004167AC"/>
    <w:rsid w:val="00417CBE"/>
    <w:rsid w:val="00420AA6"/>
    <w:rsid w:val="00420B9F"/>
    <w:rsid w:val="00420CA6"/>
    <w:rsid w:val="00421874"/>
    <w:rsid w:val="004219EF"/>
    <w:rsid w:val="00422260"/>
    <w:rsid w:val="00422EC0"/>
    <w:rsid w:val="0042413F"/>
    <w:rsid w:val="004260ED"/>
    <w:rsid w:val="004273E7"/>
    <w:rsid w:val="004303BF"/>
    <w:rsid w:val="004319F8"/>
    <w:rsid w:val="00431CF6"/>
    <w:rsid w:val="00431E55"/>
    <w:rsid w:val="004321F6"/>
    <w:rsid w:val="00433044"/>
    <w:rsid w:val="00435610"/>
    <w:rsid w:val="00435931"/>
    <w:rsid w:val="00436490"/>
    <w:rsid w:val="004375B9"/>
    <w:rsid w:val="00441E3C"/>
    <w:rsid w:val="00441FD6"/>
    <w:rsid w:val="00442260"/>
    <w:rsid w:val="004428D0"/>
    <w:rsid w:val="00442F8B"/>
    <w:rsid w:val="004443A7"/>
    <w:rsid w:val="0044442C"/>
    <w:rsid w:val="00445941"/>
    <w:rsid w:val="00446378"/>
    <w:rsid w:val="004464EB"/>
    <w:rsid w:val="0044798A"/>
    <w:rsid w:val="00447D26"/>
    <w:rsid w:val="00447DA1"/>
    <w:rsid w:val="00447F2E"/>
    <w:rsid w:val="00450170"/>
    <w:rsid w:val="00450665"/>
    <w:rsid w:val="0045239F"/>
    <w:rsid w:val="00453254"/>
    <w:rsid w:val="00453CDD"/>
    <w:rsid w:val="00454729"/>
    <w:rsid w:val="00455D45"/>
    <w:rsid w:val="004562AA"/>
    <w:rsid w:val="00457EE1"/>
    <w:rsid w:val="00461CF7"/>
    <w:rsid w:val="00462011"/>
    <w:rsid w:val="00462495"/>
    <w:rsid w:val="00462845"/>
    <w:rsid w:val="00464595"/>
    <w:rsid w:val="0046632C"/>
    <w:rsid w:val="00466B75"/>
    <w:rsid w:val="00466C1D"/>
    <w:rsid w:val="00470353"/>
    <w:rsid w:val="00470787"/>
    <w:rsid w:val="00470CDD"/>
    <w:rsid w:val="00471767"/>
    <w:rsid w:val="0047274B"/>
    <w:rsid w:val="00472A79"/>
    <w:rsid w:val="00473F19"/>
    <w:rsid w:val="00475521"/>
    <w:rsid w:val="00475E22"/>
    <w:rsid w:val="0048088E"/>
    <w:rsid w:val="00482720"/>
    <w:rsid w:val="00482E30"/>
    <w:rsid w:val="004835E7"/>
    <w:rsid w:val="0048433B"/>
    <w:rsid w:val="004867E2"/>
    <w:rsid w:val="00487993"/>
    <w:rsid w:val="00491B38"/>
    <w:rsid w:val="00491B3A"/>
    <w:rsid w:val="00492163"/>
    <w:rsid w:val="00492CFD"/>
    <w:rsid w:val="00493812"/>
    <w:rsid w:val="0049422C"/>
    <w:rsid w:val="00494DD5"/>
    <w:rsid w:val="004954D6"/>
    <w:rsid w:val="004962D2"/>
    <w:rsid w:val="00496C4C"/>
    <w:rsid w:val="004A0C7E"/>
    <w:rsid w:val="004A0DA1"/>
    <w:rsid w:val="004A2F85"/>
    <w:rsid w:val="004A37CB"/>
    <w:rsid w:val="004A52E9"/>
    <w:rsid w:val="004A6208"/>
    <w:rsid w:val="004A6597"/>
    <w:rsid w:val="004A7848"/>
    <w:rsid w:val="004B097F"/>
    <w:rsid w:val="004B0FF1"/>
    <w:rsid w:val="004B1778"/>
    <w:rsid w:val="004B1CB4"/>
    <w:rsid w:val="004B2F18"/>
    <w:rsid w:val="004B2F4A"/>
    <w:rsid w:val="004B34EC"/>
    <w:rsid w:val="004B3564"/>
    <w:rsid w:val="004B3DDB"/>
    <w:rsid w:val="004B4387"/>
    <w:rsid w:val="004B44FD"/>
    <w:rsid w:val="004B59DE"/>
    <w:rsid w:val="004B5CFC"/>
    <w:rsid w:val="004B774D"/>
    <w:rsid w:val="004C3121"/>
    <w:rsid w:val="004C49B2"/>
    <w:rsid w:val="004C4AED"/>
    <w:rsid w:val="004C7917"/>
    <w:rsid w:val="004D214D"/>
    <w:rsid w:val="004D29FE"/>
    <w:rsid w:val="004D2C2D"/>
    <w:rsid w:val="004D60C5"/>
    <w:rsid w:val="004D7227"/>
    <w:rsid w:val="004E0E7F"/>
    <w:rsid w:val="004E0EB8"/>
    <w:rsid w:val="004E2ADC"/>
    <w:rsid w:val="004E2EE8"/>
    <w:rsid w:val="004E43B2"/>
    <w:rsid w:val="004E443D"/>
    <w:rsid w:val="004E5D66"/>
    <w:rsid w:val="004E76B7"/>
    <w:rsid w:val="004F1D02"/>
    <w:rsid w:val="004F2679"/>
    <w:rsid w:val="004F2CB2"/>
    <w:rsid w:val="004F2F21"/>
    <w:rsid w:val="004F57CF"/>
    <w:rsid w:val="004F61B8"/>
    <w:rsid w:val="004F651A"/>
    <w:rsid w:val="004F652F"/>
    <w:rsid w:val="004F6913"/>
    <w:rsid w:val="004F7865"/>
    <w:rsid w:val="004F7ACB"/>
    <w:rsid w:val="004F7C61"/>
    <w:rsid w:val="00501770"/>
    <w:rsid w:val="0050219B"/>
    <w:rsid w:val="00503F17"/>
    <w:rsid w:val="0050645A"/>
    <w:rsid w:val="00506928"/>
    <w:rsid w:val="005101CE"/>
    <w:rsid w:val="00510367"/>
    <w:rsid w:val="00510A86"/>
    <w:rsid w:val="00510AAA"/>
    <w:rsid w:val="00511319"/>
    <w:rsid w:val="00512D1D"/>
    <w:rsid w:val="00513C34"/>
    <w:rsid w:val="00513DAB"/>
    <w:rsid w:val="00514AAD"/>
    <w:rsid w:val="005152B5"/>
    <w:rsid w:val="00515838"/>
    <w:rsid w:val="00516EDD"/>
    <w:rsid w:val="00517728"/>
    <w:rsid w:val="00517DB7"/>
    <w:rsid w:val="00520DDD"/>
    <w:rsid w:val="00521319"/>
    <w:rsid w:val="00522468"/>
    <w:rsid w:val="00522BC8"/>
    <w:rsid w:val="00523C28"/>
    <w:rsid w:val="005248C5"/>
    <w:rsid w:val="0052543E"/>
    <w:rsid w:val="005272CB"/>
    <w:rsid w:val="005310FC"/>
    <w:rsid w:val="005311C3"/>
    <w:rsid w:val="00531290"/>
    <w:rsid w:val="005344AB"/>
    <w:rsid w:val="0053498A"/>
    <w:rsid w:val="00535874"/>
    <w:rsid w:val="005362B1"/>
    <w:rsid w:val="00536F42"/>
    <w:rsid w:val="00537182"/>
    <w:rsid w:val="005376C1"/>
    <w:rsid w:val="00537ADB"/>
    <w:rsid w:val="005410C2"/>
    <w:rsid w:val="00541D09"/>
    <w:rsid w:val="00542743"/>
    <w:rsid w:val="00542C2D"/>
    <w:rsid w:val="00542FDA"/>
    <w:rsid w:val="00544C71"/>
    <w:rsid w:val="00550213"/>
    <w:rsid w:val="00550D1C"/>
    <w:rsid w:val="0055190A"/>
    <w:rsid w:val="00551924"/>
    <w:rsid w:val="00551985"/>
    <w:rsid w:val="00552BD3"/>
    <w:rsid w:val="00553F82"/>
    <w:rsid w:val="005546F6"/>
    <w:rsid w:val="00555109"/>
    <w:rsid w:val="005553C2"/>
    <w:rsid w:val="005556F5"/>
    <w:rsid w:val="00555F5F"/>
    <w:rsid w:val="0056294A"/>
    <w:rsid w:val="00563468"/>
    <w:rsid w:val="0056436D"/>
    <w:rsid w:val="00564ED9"/>
    <w:rsid w:val="00565BD6"/>
    <w:rsid w:val="0056696F"/>
    <w:rsid w:val="00572081"/>
    <w:rsid w:val="00572269"/>
    <w:rsid w:val="0057244A"/>
    <w:rsid w:val="00573E39"/>
    <w:rsid w:val="00574CF1"/>
    <w:rsid w:val="00574E4A"/>
    <w:rsid w:val="00575D8D"/>
    <w:rsid w:val="00576972"/>
    <w:rsid w:val="00577813"/>
    <w:rsid w:val="005805E8"/>
    <w:rsid w:val="00580712"/>
    <w:rsid w:val="00580E9E"/>
    <w:rsid w:val="00581759"/>
    <w:rsid w:val="00583699"/>
    <w:rsid w:val="00585CDD"/>
    <w:rsid w:val="00585D5A"/>
    <w:rsid w:val="00586ADE"/>
    <w:rsid w:val="00586DBB"/>
    <w:rsid w:val="00586FE1"/>
    <w:rsid w:val="00587058"/>
    <w:rsid w:val="00590554"/>
    <w:rsid w:val="00591957"/>
    <w:rsid w:val="005922B5"/>
    <w:rsid w:val="00593E6B"/>
    <w:rsid w:val="00595787"/>
    <w:rsid w:val="005963C6"/>
    <w:rsid w:val="005965B4"/>
    <w:rsid w:val="00597BF9"/>
    <w:rsid w:val="00597E2F"/>
    <w:rsid w:val="005A0165"/>
    <w:rsid w:val="005A1F65"/>
    <w:rsid w:val="005A373D"/>
    <w:rsid w:val="005A52A7"/>
    <w:rsid w:val="005A6E40"/>
    <w:rsid w:val="005B42FF"/>
    <w:rsid w:val="005B4461"/>
    <w:rsid w:val="005B5857"/>
    <w:rsid w:val="005B7F60"/>
    <w:rsid w:val="005C1B83"/>
    <w:rsid w:val="005C1E81"/>
    <w:rsid w:val="005C2609"/>
    <w:rsid w:val="005C2D55"/>
    <w:rsid w:val="005C2EC5"/>
    <w:rsid w:val="005C3184"/>
    <w:rsid w:val="005C346B"/>
    <w:rsid w:val="005C3DB9"/>
    <w:rsid w:val="005C5DAE"/>
    <w:rsid w:val="005D044D"/>
    <w:rsid w:val="005D0ABD"/>
    <w:rsid w:val="005D0FA4"/>
    <w:rsid w:val="005D18AD"/>
    <w:rsid w:val="005D26B4"/>
    <w:rsid w:val="005D4169"/>
    <w:rsid w:val="005D50D7"/>
    <w:rsid w:val="005D67B2"/>
    <w:rsid w:val="005D6B90"/>
    <w:rsid w:val="005D7E28"/>
    <w:rsid w:val="005E096B"/>
    <w:rsid w:val="005E174D"/>
    <w:rsid w:val="005E40D7"/>
    <w:rsid w:val="005E594F"/>
    <w:rsid w:val="005E6920"/>
    <w:rsid w:val="005E6CBC"/>
    <w:rsid w:val="005E73C0"/>
    <w:rsid w:val="005E7B06"/>
    <w:rsid w:val="005E7C9E"/>
    <w:rsid w:val="005F2706"/>
    <w:rsid w:val="005F2DF4"/>
    <w:rsid w:val="005F313E"/>
    <w:rsid w:val="005F3D01"/>
    <w:rsid w:val="005F3E11"/>
    <w:rsid w:val="005F3ED9"/>
    <w:rsid w:val="005F4009"/>
    <w:rsid w:val="005F4A57"/>
    <w:rsid w:val="005F4C19"/>
    <w:rsid w:val="005F53D2"/>
    <w:rsid w:val="005F64E6"/>
    <w:rsid w:val="005F6A8F"/>
    <w:rsid w:val="005F74B4"/>
    <w:rsid w:val="00603DB9"/>
    <w:rsid w:val="00603F6A"/>
    <w:rsid w:val="0060546E"/>
    <w:rsid w:val="006061A9"/>
    <w:rsid w:val="00606692"/>
    <w:rsid w:val="00607669"/>
    <w:rsid w:val="00607AFD"/>
    <w:rsid w:val="00611FAB"/>
    <w:rsid w:val="00612F97"/>
    <w:rsid w:val="0061345D"/>
    <w:rsid w:val="00613623"/>
    <w:rsid w:val="006159B1"/>
    <w:rsid w:val="00616802"/>
    <w:rsid w:val="00617E12"/>
    <w:rsid w:val="00621477"/>
    <w:rsid w:val="006218F0"/>
    <w:rsid w:val="00622B9E"/>
    <w:rsid w:val="006247B6"/>
    <w:rsid w:val="00624A6B"/>
    <w:rsid w:val="0062675E"/>
    <w:rsid w:val="006279AE"/>
    <w:rsid w:val="00627D87"/>
    <w:rsid w:val="00630633"/>
    <w:rsid w:val="00630FC6"/>
    <w:rsid w:val="0063158F"/>
    <w:rsid w:val="00631D6B"/>
    <w:rsid w:val="006330A1"/>
    <w:rsid w:val="0063479F"/>
    <w:rsid w:val="006348F8"/>
    <w:rsid w:val="006352F6"/>
    <w:rsid w:val="006353F0"/>
    <w:rsid w:val="006364A1"/>
    <w:rsid w:val="00637397"/>
    <w:rsid w:val="0063748A"/>
    <w:rsid w:val="006374A5"/>
    <w:rsid w:val="00637BFD"/>
    <w:rsid w:val="00637FC6"/>
    <w:rsid w:val="0064028D"/>
    <w:rsid w:val="006402E2"/>
    <w:rsid w:val="00641C4E"/>
    <w:rsid w:val="0064222F"/>
    <w:rsid w:val="00644444"/>
    <w:rsid w:val="0064486D"/>
    <w:rsid w:val="006459AC"/>
    <w:rsid w:val="006461E5"/>
    <w:rsid w:val="006471CC"/>
    <w:rsid w:val="0065079F"/>
    <w:rsid w:val="00651269"/>
    <w:rsid w:val="0065268C"/>
    <w:rsid w:val="00652D85"/>
    <w:rsid w:val="0065379F"/>
    <w:rsid w:val="006540A6"/>
    <w:rsid w:val="00654851"/>
    <w:rsid w:val="00655FAE"/>
    <w:rsid w:val="00656006"/>
    <w:rsid w:val="0065688E"/>
    <w:rsid w:val="00656CDF"/>
    <w:rsid w:val="00657B70"/>
    <w:rsid w:val="00657C1A"/>
    <w:rsid w:val="00660342"/>
    <w:rsid w:val="00661C6B"/>
    <w:rsid w:val="006630C1"/>
    <w:rsid w:val="00663819"/>
    <w:rsid w:val="00663A55"/>
    <w:rsid w:val="00672724"/>
    <w:rsid w:val="00672BB0"/>
    <w:rsid w:val="00672D05"/>
    <w:rsid w:val="00674E42"/>
    <w:rsid w:val="00675269"/>
    <w:rsid w:val="006752CF"/>
    <w:rsid w:val="006760EF"/>
    <w:rsid w:val="00676491"/>
    <w:rsid w:val="006768B4"/>
    <w:rsid w:val="0067738F"/>
    <w:rsid w:val="00677B57"/>
    <w:rsid w:val="0068176B"/>
    <w:rsid w:val="00681B2F"/>
    <w:rsid w:val="00682112"/>
    <w:rsid w:val="00682787"/>
    <w:rsid w:val="00684056"/>
    <w:rsid w:val="00685A84"/>
    <w:rsid w:val="00686957"/>
    <w:rsid w:val="00686A5F"/>
    <w:rsid w:val="00686F00"/>
    <w:rsid w:val="006872BA"/>
    <w:rsid w:val="00691648"/>
    <w:rsid w:val="0069170D"/>
    <w:rsid w:val="006917D7"/>
    <w:rsid w:val="0069247B"/>
    <w:rsid w:val="00692E89"/>
    <w:rsid w:val="0069334A"/>
    <w:rsid w:val="0069474E"/>
    <w:rsid w:val="00694F44"/>
    <w:rsid w:val="00696B44"/>
    <w:rsid w:val="00697472"/>
    <w:rsid w:val="006A12C4"/>
    <w:rsid w:val="006A15FB"/>
    <w:rsid w:val="006A1639"/>
    <w:rsid w:val="006A1FC7"/>
    <w:rsid w:val="006A26B5"/>
    <w:rsid w:val="006A4308"/>
    <w:rsid w:val="006A5245"/>
    <w:rsid w:val="006A5C8D"/>
    <w:rsid w:val="006A5FD2"/>
    <w:rsid w:val="006A6BBD"/>
    <w:rsid w:val="006A7953"/>
    <w:rsid w:val="006A7E5F"/>
    <w:rsid w:val="006B194E"/>
    <w:rsid w:val="006B261B"/>
    <w:rsid w:val="006B2C90"/>
    <w:rsid w:val="006B2EED"/>
    <w:rsid w:val="006B2F14"/>
    <w:rsid w:val="006B32CC"/>
    <w:rsid w:val="006B4506"/>
    <w:rsid w:val="006B4712"/>
    <w:rsid w:val="006B4C21"/>
    <w:rsid w:val="006B50D7"/>
    <w:rsid w:val="006B5F2A"/>
    <w:rsid w:val="006B6DD0"/>
    <w:rsid w:val="006C2A8E"/>
    <w:rsid w:val="006C2CB4"/>
    <w:rsid w:val="006C3C45"/>
    <w:rsid w:val="006C4B9E"/>
    <w:rsid w:val="006C5E0B"/>
    <w:rsid w:val="006C5F94"/>
    <w:rsid w:val="006C7040"/>
    <w:rsid w:val="006D3C7D"/>
    <w:rsid w:val="006D5D5F"/>
    <w:rsid w:val="006D760A"/>
    <w:rsid w:val="006E0A7C"/>
    <w:rsid w:val="006E117E"/>
    <w:rsid w:val="006E1AD1"/>
    <w:rsid w:val="006E1CB6"/>
    <w:rsid w:val="006E31CC"/>
    <w:rsid w:val="006E3F56"/>
    <w:rsid w:val="006E4397"/>
    <w:rsid w:val="006E465B"/>
    <w:rsid w:val="006E4B8D"/>
    <w:rsid w:val="006E7C1F"/>
    <w:rsid w:val="006F0DE0"/>
    <w:rsid w:val="006F0F30"/>
    <w:rsid w:val="006F2093"/>
    <w:rsid w:val="006F2160"/>
    <w:rsid w:val="006F21AD"/>
    <w:rsid w:val="006F306C"/>
    <w:rsid w:val="006F4350"/>
    <w:rsid w:val="006F4F6A"/>
    <w:rsid w:val="006F5EBE"/>
    <w:rsid w:val="006F63A5"/>
    <w:rsid w:val="006F6D81"/>
    <w:rsid w:val="006F7487"/>
    <w:rsid w:val="0070142B"/>
    <w:rsid w:val="0070276E"/>
    <w:rsid w:val="00702CBA"/>
    <w:rsid w:val="00702F8F"/>
    <w:rsid w:val="00703FA8"/>
    <w:rsid w:val="00706401"/>
    <w:rsid w:val="00706B4E"/>
    <w:rsid w:val="00711782"/>
    <w:rsid w:val="00711981"/>
    <w:rsid w:val="00711A36"/>
    <w:rsid w:val="00712702"/>
    <w:rsid w:val="00713CA1"/>
    <w:rsid w:val="0071529C"/>
    <w:rsid w:val="007152B4"/>
    <w:rsid w:val="0071570C"/>
    <w:rsid w:val="00715BB9"/>
    <w:rsid w:val="00716BB6"/>
    <w:rsid w:val="00716CF7"/>
    <w:rsid w:val="007172AD"/>
    <w:rsid w:val="007204A9"/>
    <w:rsid w:val="007212D4"/>
    <w:rsid w:val="00721A7C"/>
    <w:rsid w:val="00721C75"/>
    <w:rsid w:val="00722B1B"/>
    <w:rsid w:val="00722FEA"/>
    <w:rsid w:val="007232C6"/>
    <w:rsid w:val="00723359"/>
    <w:rsid w:val="00723D68"/>
    <w:rsid w:val="0072416F"/>
    <w:rsid w:val="00725747"/>
    <w:rsid w:val="00725A2B"/>
    <w:rsid w:val="007274B5"/>
    <w:rsid w:val="007279BB"/>
    <w:rsid w:val="00727C8E"/>
    <w:rsid w:val="00727C94"/>
    <w:rsid w:val="007310CF"/>
    <w:rsid w:val="00731491"/>
    <w:rsid w:val="00731EAE"/>
    <w:rsid w:val="007330A4"/>
    <w:rsid w:val="00733D5E"/>
    <w:rsid w:val="00733F05"/>
    <w:rsid w:val="00734659"/>
    <w:rsid w:val="00735033"/>
    <w:rsid w:val="00735328"/>
    <w:rsid w:val="0073685B"/>
    <w:rsid w:val="0073708A"/>
    <w:rsid w:val="00737BA4"/>
    <w:rsid w:val="00740169"/>
    <w:rsid w:val="00741943"/>
    <w:rsid w:val="00742575"/>
    <w:rsid w:val="00744F31"/>
    <w:rsid w:val="0074740E"/>
    <w:rsid w:val="0075088D"/>
    <w:rsid w:val="00752142"/>
    <w:rsid w:val="007523F9"/>
    <w:rsid w:val="00753F73"/>
    <w:rsid w:val="0075702C"/>
    <w:rsid w:val="007573E8"/>
    <w:rsid w:val="00760C4E"/>
    <w:rsid w:val="00760CF7"/>
    <w:rsid w:val="007627EE"/>
    <w:rsid w:val="007635CE"/>
    <w:rsid w:val="00763F67"/>
    <w:rsid w:val="0076553C"/>
    <w:rsid w:val="00765AB3"/>
    <w:rsid w:val="00765B1A"/>
    <w:rsid w:val="00766621"/>
    <w:rsid w:val="00767279"/>
    <w:rsid w:val="00767982"/>
    <w:rsid w:val="00767C92"/>
    <w:rsid w:val="0077180E"/>
    <w:rsid w:val="00773225"/>
    <w:rsid w:val="00777F68"/>
    <w:rsid w:val="00780AE5"/>
    <w:rsid w:val="0078187F"/>
    <w:rsid w:val="007825FC"/>
    <w:rsid w:val="00783ACC"/>
    <w:rsid w:val="00783CD1"/>
    <w:rsid w:val="007843F2"/>
    <w:rsid w:val="007853EF"/>
    <w:rsid w:val="00785BB2"/>
    <w:rsid w:val="00786A2C"/>
    <w:rsid w:val="00787D71"/>
    <w:rsid w:val="007904FF"/>
    <w:rsid w:val="007916EC"/>
    <w:rsid w:val="00792E17"/>
    <w:rsid w:val="00796A1D"/>
    <w:rsid w:val="00797FDB"/>
    <w:rsid w:val="007A0956"/>
    <w:rsid w:val="007A0A12"/>
    <w:rsid w:val="007A132D"/>
    <w:rsid w:val="007A383B"/>
    <w:rsid w:val="007A3F00"/>
    <w:rsid w:val="007A419B"/>
    <w:rsid w:val="007A4B01"/>
    <w:rsid w:val="007A5F4E"/>
    <w:rsid w:val="007B0D68"/>
    <w:rsid w:val="007B1B85"/>
    <w:rsid w:val="007B251D"/>
    <w:rsid w:val="007B2557"/>
    <w:rsid w:val="007B3572"/>
    <w:rsid w:val="007B45AE"/>
    <w:rsid w:val="007B4F58"/>
    <w:rsid w:val="007B528D"/>
    <w:rsid w:val="007B5391"/>
    <w:rsid w:val="007B5D98"/>
    <w:rsid w:val="007B66E6"/>
    <w:rsid w:val="007B77D1"/>
    <w:rsid w:val="007B78B3"/>
    <w:rsid w:val="007C0124"/>
    <w:rsid w:val="007C02D6"/>
    <w:rsid w:val="007C1B87"/>
    <w:rsid w:val="007C1CD9"/>
    <w:rsid w:val="007C21CE"/>
    <w:rsid w:val="007C361D"/>
    <w:rsid w:val="007C4073"/>
    <w:rsid w:val="007C444D"/>
    <w:rsid w:val="007C4B84"/>
    <w:rsid w:val="007C4E6A"/>
    <w:rsid w:val="007C6017"/>
    <w:rsid w:val="007D004F"/>
    <w:rsid w:val="007D0B38"/>
    <w:rsid w:val="007D0F8A"/>
    <w:rsid w:val="007D30FB"/>
    <w:rsid w:val="007D31F4"/>
    <w:rsid w:val="007D3D47"/>
    <w:rsid w:val="007D3FF2"/>
    <w:rsid w:val="007D5440"/>
    <w:rsid w:val="007D5A99"/>
    <w:rsid w:val="007D6138"/>
    <w:rsid w:val="007D6872"/>
    <w:rsid w:val="007D6F61"/>
    <w:rsid w:val="007D7492"/>
    <w:rsid w:val="007E07E9"/>
    <w:rsid w:val="007E2D41"/>
    <w:rsid w:val="007E4666"/>
    <w:rsid w:val="007E5A09"/>
    <w:rsid w:val="007E6CA6"/>
    <w:rsid w:val="007E746E"/>
    <w:rsid w:val="007F0F35"/>
    <w:rsid w:val="007F1017"/>
    <w:rsid w:val="007F242A"/>
    <w:rsid w:val="007F3CE5"/>
    <w:rsid w:val="007F4A3F"/>
    <w:rsid w:val="007F4A61"/>
    <w:rsid w:val="007F4FB5"/>
    <w:rsid w:val="007F61C2"/>
    <w:rsid w:val="007F64A3"/>
    <w:rsid w:val="007F64E1"/>
    <w:rsid w:val="007F6ACD"/>
    <w:rsid w:val="0080096A"/>
    <w:rsid w:val="008028A8"/>
    <w:rsid w:val="00803842"/>
    <w:rsid w:val="00805142"/>
    <w:rsid w:val="00805469"/>
    <w:rsid w:val="00805CCC"/>
    <w:rsid w:val="00806537"/>
    <w:rsid w:val="008075CC"/>
    <w:rsid w:val="008077CE"/>
    <w:rsid w:val="00807A8B"/>
    <w:rsid w:val="00810108"/>
    <w:rsid w:val="00810F66"/>
    <w:rsid w:val="00811383"/>
    <w:rsid w:val="0081150C"/>
    <w:rsid w:val="00812149"/>
    <w:rsid w:val="008121C4"/>
    <w:rsid w:val="008125CD"/>
    <w:rsid w:val="00812CAC"/>
    <w:rsid w:val="00813599"/>
    <w:rsid w:val="008141FC"/>
    <w:rsid w:val="008162D3"/>
    <w:rsid w:val="008166EF"/>
    <w:rsid w:val="00820EEE"/>
    <w:rsid w:val="00821988"/>
    <w:rsid w:val="008239B6"/>
    <w:rsid w:val="00823A93"/>
    <w:rsid w:val="00823CCE"/>
    <w:rsid w:val="00825751"/>
    <w:rsid w:val="008264EB"/>
    <w:rsid w:val="0083049C"/>
    <w:rsid w:val="008306B7"/>
    <w:rsid w:val="00830DEF"/>
    <w:rsid w:val="00830E41"/>
    <w:rsid w:val="00832A52"/>
    <w:rsid w:val="008332E5"/>
    <w:rsid w:val="00833B05"/>
    <w:rsid w:val="00834B08"/>
    <w:rsid w:val="00835464"/>
    <w:rsid w:val="008362B4"/>
    <w:rsid w:val="00837E62"/>
    <w:rsid w:val="0084023F"/>
    <w:rsid w:val="00840BEE"/>
    <w:rsid w:val="00840CA2"/>
    <w:rsid w:val="00841328"/>
    <w:rsid w:val="00842D2C"/>
    <w:rsid w:val="008433CE"/>
    <w:rsid w:val="0084374F"/>
    <w:rsid w:val="0084398B"/>
    <w:rsid w:val="0084449B"/>
    <w:rsid w:val="00844972"/>
    <w:rsid w:val="00844C77"/>
    <w:rsid w:val="008463E1"/>
    <w:rsid w:val="0084695A"/>
    <w:rsid w:val="00847DF5"/>
    <w:rsid w:val="00850F64"/>
    <w:rsid w:val="008511F9"/>
    <w:rsid w:val="0085309D"/>
    <w:rsid w:val="00854F45"/>
    <w:rsid w:val="0085514C"/>
    <w:rsid w:val="00856897"/>
    <w:rsid w:val="00856E9A"/>
    <w:rsid w:val="008578A4"/>
    <w:rsid w:val="008579AF"/>
    <w:rsid w:val="0086075D"/>
    <w:rsid w:val="00860F04"/>
    <w:rsid w:val="00861399"/>
    <w:rsid w:val="00861496"/>
    <w:rsid w:val="00861604"/>
    <w:rsid w:val="00862502"/>
    <w:rsid w:val="00863C4B"/>
    <w:rsid w:val="00864820"/>
    <w:rsid w:val="00864AD0"/>
    <w:rsid w:val="00864F93"/>
    <w:rsid w:val="008660D4"/>
    <w:rsid w:val="00867700"/>
    <w:rsid w:val="00867B89"/>
    <w:rsid w:val="008701C5"/>
    <w:rsid w:val="00870395"/>
    <w:rsid w:val="00871961"/>
    <w:rsid w:val="00871FA9"/>
    <w:rsid w:val="00872348"/>
    <w:rsid w:val="008728E9"/>
    <w:rsid w:val="00872EF9"/>
    <w:rsid w:val="0087457B"/>
    <w:rsid w:val="0087629A"/>
    <w:rsid w:val="0087668A"/>
    <w:rsid w:val="00877CE7"/>
    <w:rsid w:val="00882874"/>
    <w:rsid w:val="00883787"/>
    <w:rsid w:val="008840E3"/>
    <w:rsid w:val="0088511E"/>
    <w:rsid w:val="0088579D"/>
    <w:rsid w:val="008864C8"/>
    <w:rsid w:val="00886528"/>
    <w:rsid w:val="008869D2"/>
    <w:rsid w:val="00886CD2"/>
    <w:rsid w:val="00887427"/>
    <w:rsid w:val="00887C62"/>
    <w:rsid w:val="00891500"/>
    <w:rsid w:val="00892975"/>
    <w:rsid w:val="00892A36"/>
    <w:rsid w:val="00893239"/>
    <w:rsid w:val="00894489"/>
    <w:rsid w:val="00896341"/>
    <w:rsid w:val="008963A5"/>
    <w:rsid w:val="00897D5E"/>
    <w:rsid w:val="00897D6D"/>
    <w:rsid w:val="008A0D6E"/>
    <w:rsid w:val="008A12DA"/>
    <w:rsid w:val="008A3363"/>
    <w:rsid w:val="008A3371"/>
    <w:rsid w:val="008A3385"/>
    <w:rsid w:val="008A3C3E"/>
    <w:rsid w:val="008A4955"/>
    <w:rsid w:val="008A4BA5"/>
    <w:rsid w:val="008A708F"/>
    <w:rsid w:val="008A75AF"/>
    <w:rsid w:val="008A79DE"/>
    <w:rsid w:val="008A7BBA"/>
    <w:rsid w:val="008B013F"/>
    <w:rsid w:val="008B1757"/>
    <w:rsid w:val="008B2B1D"/>
    <w:rsid w:val="008B3321"/>
    <w:rsid w:val="008B40A1"/>
    <w:rsid w:val="008B4A9F"/>
    <w:rsid w:val="008B5FC6"/>
    <w:rsid w:val="008B7D7E"/>
    <w:rsid w:val="008C04DC"/>
    <w:rsid w:val="008C2922"/>
    <w:rsid w:val="008C3901"/>
    <w:rsid w:val="008C3CE2"/>
    <w:rsid w:val="008C4261"/>
    <w:rsid w:val="008C4AB7"/>
    <w:rsid w:val="008C6AF0"/>
    <w:rsid w:val="008C721B"/>
    <w:rsid w:val="008C7ECB"/>
    <w:rsid w:val="008D2128"/>
    <w:rsid w:val="008D23A8"/>
    <w:rsid w:val="008D3315"/>
    <w:rsid w:val="008D4755"/>
    <w:rsid w:val="008D4B20"/>
    <w:rsid w:val="008D4C3D"/>
    <w:rsid w:val="008D6634"/>
    <w:rsid w:val="008E0D3C"/>
    <w:rsid w:val="008E18C6"/>
    <w:rsid w:val="008E1AC6"/>
    <w:rsid w:val="008E1B9E"/>
    <w:rsid w:val="008E2FD6"/>
    <w:rsid w:val="008E308E"/>
    <w:rsid w:val="008E3DBA"/>
    <w:rsid w:val="008E4D53"/>
    <w:rsid w:val="008E55AB"/>
    <w:rsid w:val="008E7E61"/>
    <w:rsid w:val="008F0188"/>
    <w:rsid w:val="008F120A"/>
    <w:rsid w:val="008F1F5D"/>
    <w:rsid w:val="008F251C"/>
    <w:rsid w:val="008F2762"/>
    <w:rsid w:val="008F27E0"/>
    <w:rsid w:val="008F2A08"/>
    <w:rsid w:val="008F2EAC"/>
    <w:rsid w:val="008F3044"/>
    <w:rsid w:val="008F36FE"/>
    <w:rsid w:val="008F3B61"/>
    <w:rsid w:val="008F472C"/>
    <w:rsid w:val="008F48EB"/>
    <w:rsid w:val="008F4F0B"/>
    <w:rsid w:val="008F6449"/>
    <w:rsid w:val="008F6670"/>
    <w:rsid w:val="008F67FD"/>
    <w:rsid w:val="008F729F"/>
    <w:rsid w:val="008F7623"/>
    <w:rsid w:val="0090094C"/>
    <w:rsid w:val="0090096C"/>
    <w:rsid w:val="00901C02"/>
    <w:rsid w:val="0090271C"/>
    <w:rsid w:val="00903180"/>
    <w:rsid w:val="009046C4"/>
    <w:rsid w:val="00904708"/>
    <w:rsid w:val="009049EF"/>
    <w:rsid w:val="009062A5"/>
    <w:rsid w:val="00906395"/>
    <w:rsid w:val="0090671C"/>
    <w:rsid w:val="009111E1"/>
    <w:rsid w:val="00911272"/>
    <w:rsid w:val="0091176A"/>
    <w:rsid w:val="00911D2B"/>
    <w:rsid w:val="0091249C"/>
    <w:rsid w:val="009126BE"/>
    <w:rsid w:val="00912880"/>
    <w:rsid w:val="00913419"/>
    <w:rsid w:val="009135D6"/>
    <w:rsid w:val="00913FD6"/>
    <w:rsid w:val="00914C4C"/>
    <w:rsid w:val="00914C77"/>
    <w:rsid w:val="00915D4C"/>
    <w:rsid w:val="009168F4"/>
    <w:rsid w:val="009175E1"/>
    <w:rsid w:val="00917C33"/>
    <w:rsid w:val="009200BC"/>
    <w:rsid w:val="0092072E"/>
    <w:rsid w:val="009211FF"/>
    <w:rsid w:val="00922390"/>
    <w:rsid w:val="0092369B"/>
    <w:rsid w:val="00923A5C"/>
    <w:rsid w:val="00923E7D"/>
    <w:rsid w:val="00924F64"/>
    <w:rsid w:val="009277C9"/>
    <w:rsid w:val="00927F70"/>
    <w:rsid w:val="00930161"/>
    <w:rsid w:val="0093283C"/>
    <w:rsid w:val="00933AA2"/>
    <w:rsid w:val="00935F73"/>
    <w:rsid w:val="00937535"/>
    <w:rsid w:val="00937B83"/>
    <w:rsid w:val="00940EEB"/>
    <w:rsid w:val="00941A29"/>
    <w:rsid w:val="00942094"/>
    <w:rsid w:val="009423A7"/>
    <w:rsid w:val="009424A9"/>
    <w:rsid w:val="0094319F"/>
    <w:rsid w:val="0094427F"/>
    <w:rsid w:val="00945F0B"/>
    <w:rsid w:val="00947814"/>
    <w:rsid w:val="00947899"/>
    <w:rsid w:val="00947B22"/>
    <w:rsid w:val="009510A2"/>
    <w:rsid w:val="0095274A"/>
    <w:rsid w:val="00953257"/>
    <w:rsid w:val="00954398"/>
    <w:rsid w:val="0095563E"/>
    <w:rsid w:val="00956621"/>
    <w:rsid w:val="00956936"/>
    <w:rsid w:val="00960473"/>
    <w:rsid w:val="00961E97"/>
    <w:rsid w:val="009624D4"/>
    <w:rsid w:val="00962CB9"/>
    <w:rsid w:val="00964312"/>
    <w:rsid w:val="0096496E"/>
    <w:rsid w:val="00965415"/>
    <w:rsid w:val="00965B8A"/>
    <w:rsid w:val="00966EAD"/>
    <w:rsid w:val="00967835"/>
    <w:rsid w:val="00970704"/>
    <w:rsid w:val="00970D42"/>
    <w:rsid w:val="00970D9D"/>
    <w:rsid w:val="009715B7"/>
    <w:rsid w:val="00971684"/>
    <w:rsid w:val="009716C6"/>
    <w:rsid w:val="009717AC"/>
    <w:rsid w:val="00974CC1"/>
    <w:rsid w:val="00975B47"/>
    <w:rsid w:val="00976F35"/>
    <w:rsid w:val="00977A22"/>
    <w:rsid w:val="0098103F"/>
    <w:rsid w:val="009838EA"/>
    <w:rsid w:val="00983E57"/>
    <w:rsid w:val="00984CAB"/>
    <w:rsid w:val="00984FAA"/>
    <w:rsid w:val="00985BD6"/>
    <w:rsid w:val="00986728"/>
    <w:rsid w:val="0098675D"/>
    <w:rsid w:val="00986F3D"/>
    <w:rsid w:val="00992E18"/>
    <w:rsid w:val="00993FA8"/>
    <w:rsid w:val="009949C9"/>
    <w:rsid w:val="009964A0"/>
    <w:rsid w:val="00996B1A"/>
    <w:rsid w:val="00996BF2"/>
    <w:rsid w:val="009A21B0"/>
    <w:rsid w:val="009A24E6"/>
    <w:rsid w:val="009A3D7E"/>
    <w:rsid w:val="009A3E90"/>
    <w:rsid w:val="009A6540"/>
    <w:rsid w:val="009A6D06"/>
    <w:rsid w:val="009A7F10"/>
    <w:rsid w:val="009B06BC"/>
    <w:rsid w:val="009B19B2"/>
    <w:rsid w:val="009B3158"/>
    <w:rsid w:val="009B3E26"/>
    <w:rsid w:val="009B40DA"/>
    <w:rsid w:val="009B6620"/>
    <w:rsid w:val="009B6966"/>
    <w:rsid w:val="009C0365"/>
    <w:rsid w:val="009C3FB2"/>
    <w:rsid w:val="009C4622"/>
    <w:rsid w:val="009C5DDF"/>
    <w:rsid w:val="009C5EA6"/>
    <w:rsid w:val="009C6CEA"/>
    <w:rsid w:val="009C7B85"/>
    <w:rsid w:val="009D0370"/>
    <w:rsid w:val="009D1968"/>
    <w:rsid w:val="009D5582"/>
    <w:rsid w:val="009D5B91"/>
    <w:rsid w:val="009D6492"/>
    <w:rsid w:val="009D792E"/>
    <w:rsid w:val="009E0DFE"/>
    <w:rsid w:val="009E1887"/>
    <w:rsid w:val="009E2DA6"/>
    <w:rsid w:val="009E3FED"/>
    <w:rsid w:val="009E4257"/>
    <w:rsid w:val="009E4C07"/>
    <w:rsid w:val="009E5CB7"/>
    <w:rsid w:val="009F004E"/>
    <w:rsid w:val="009F0635"/>
    <w:rsid w:val="009F1229"/>
    <w:rsid w:val="009F1388"/>
    <w:rsid w:val="009F1954"/>
    <w:rsid w:val="009F4BEA"/>
    <w:rsid w:val="009F5C71"/>
    <w:rsid w:val="009F5DE5"/>
    <w:rsid w:val="009F6B56"/>
    <w:rsid w:val="009F79FE"/>
    <w:rsid w:val="00A007E5"/>
    <w:rsid w:val="00A00840"/>
    <w:rsid w:val="00A01184"/>
    <w:rsid w:val="00A01654"/>
    <w:rsid w:val="00A032FA"/>
    <w:rsid w:val="00A03D43"/>
    <w:rsid w:val="00A03DA4"/>
    <w:rsid w:val="00A04380"/>
    <w:rsid w:val="00A067A1"/>
    <w:rsid w:val="00A101CA"/>
    <w:rsid w:val="00A10237"/>
    <w:rsid w:val="00A10244"/>
    <w:rsid w:val="00A103CE"/>
    <w:rsid w:val="00A11CD0"/>
    <w:rsid w:val="00A11DA9"/>
    <w:rsid w:val="00A11EB4"/>
    <w:rsid w:val="00A12979"/>
    <w:rsid w:val="00A13948"/>
    <w:rsid w:val="00A1555B"/>
    <w:rsid w:val="00A155C5"/>
    <w:rsid w:val="00A16AD8"/>
    <w:rsid w:val="00A17B28"/>
    <w:rsid w:val="00A20103"/>
    <w:rsid w:val="00A2012F"/>
    <w:rsid w:val="00A20B15"/>
    <w:rsid w:val="00A21CF3"/>
    <w:rsid w:val="00A24199"/>
    <w:rsid w:val="00A25067"/>
    <w:rsid w:val="00A257E9"/>
    <w:rsid w:val="00A27AEC"/>
    <w:rsid w:val="00A318EF"/>
    <w:rsid w:val="00A31AEB"/>
    <w:rsid w:val="00A320DB"/>
    <w:rsid w:val="00A35D16"/>
    <w:rsid w:val="00A37082"/>
    <w:rsid w:val="00A37BCD"/>
    <w:rsid w:val="00A37BD3"/>
    <w:rsid w:val="00A37E10"/>
    <w:rsid w:val="00A40125"/>
    <w:rsid w:val="00A40A0C"/>
    <w:rsid w:val="00A41B05"/>
    <w:rsid w:val="00A4273E"/>
    <w:rsid w:val="00A43BC3"/>
    <w:rsid w:val="00A43C59"/>
    <w:rsid w:val="00A43CFA"/>
    <w:rsid w:val="00A509F9"/>
    <w:rsid w:val="00A50ECD"/>
    <w:rsid w:val="00A518F3"/>
    <w:rsid w:val="00A5192D"/>
    <w:rsid w:val="00A52729"/>
    <w:rsid w:val="00A53675"/>
    <w:rsid w:val="00A54021"/>
    <w:rsid w:val="00A54188"/>
    <w:rsid w:val="00A54C53"/>
    <w:rsid w:val="00A55BC6"/>
    <w:rsid w:val="00A564D7"/>
    <w:rsid w:val="00A56B6A"/>
    <w:rsid w:val="00A56EB1"/>
    <w:rsid w:val="00A578DC"/>
    <w:rsid w:val="00A606D9"/>
    <w:rsid w:val="00A615DA"/>
    <w:rsid w:val="00A63A3A"/>
    <w:rsid w:val="00A63B64"/>
    <w:rsid w:val="00A63E97"/>
    <w:rsid w:val="00A643E2"/>
    <w:rsid w:val="00A644E0"/>
    <w:rsid w:val="00A6725B"/>
    <w:rsid w:val="00A70605"/>
    <w:rsid w:val="00A71AC7"/>
    <w:rsid w:val="00A73134"/>
    <w:rsid w:val="00A76497"/>
    <w:rsid w:val="00A76D79"/>
    <w:rsid w:val="00A777B2"/>
    <w:rsid w:val="00A8010D"/>
    <w:rsid w:val="00A80313"/>
    <w:rsid w:val="00A81441"/>
    <w:rsid w:val="00A81FBF"/>
    <w:rsid w:val="00A84F7A"/>
    <w:rsid w:val="00A86056"/>
    <w:rsid w:val="00A86E8B"/>
    <w:rsid w:val="00A87164"/>
    <w:rsid w:val="00A90BBD"/>
    <w:rsid w:val="00A90BF4"/>
    <w:rsid w:val="00A90CBF"/>
    <w:rsid w:val="00A91AE1"/>
    <w:rsid w:val="00A926AF"/>
    <w:rsid w:val="00A92888"/>
    <w:rsid w:val="00A92A53"/>
    <w:rsid w:val="00A93072"/>
    <w:rsid w:val="00A93953"/>
    <w:rsid w:val="00A9430B"/>
    <w:rsid w:val="00A949A8"/>
    <w:rsid w:val="00A959D8"/>
    <w:rsid w:val="00A95D2A"/>
    <w:rsid w:val="00A97238"/>
    <w:rsid w:val="00A97287"/>
    <w:rsid w:val="00A976AB"/>
    <w:rsid w:val="00AA09DF"/>
    <w:rsid w:val="00AA113D"/>
    <w:rsid w:val="00AA2572"/>
    <w:rsid w:val="00AA2631"/>
    <w:rsid w:val="00AA3216"/>
    <w:rsid w:val="00AA4D7D"/>
    <w:rsid w:val="00AA55A3"/>
    <w:rsid w:val="00AA5F34"/>
    <w:rsid w:val="00AA6C7D"/>
    <w:rsid w:val="00AA7FD6"/>
    <w:rsid w:val="00AA7FEB"/>
    <w:rsid w:val="00AB042A"/>
    <w:rsid w:val="00AB20B1"/>
    <w:rsid w:val="00AB2D34"/>
    <w:rsid w:val="00AB3430"/>
    <w:rsid w:val="00AB3B44"/>
    <w:rsid w:val="00AB44F5"/>
    <w:rsid w:val="00AB45F6"/>
    <w:rsid w:val="00AB4AD1"/>
    <w:rsid w:val="00AB5930"/>
    <w:rsid w:val="00AB7CFA"/>
    <w:rsid w:val="00AC11EE"/>
    <w:rsid w:val="00AC27EC"/>
    <w:rsid w:val="00AC5B48"/>
    <w:rsid w:val="00AD032D"/>
    <w:rsid w:val="00AD1F3B"/>
    <w:rsid w:val="00AD3289"/>
    <w:rsid w:val="00AD3DE1"/>
    <w:rsid w:val="00AD45B3"/>
    <w:rsid w:val="00AD48B5"/>
    <w:rsid w:val="00AD6232"/>
    <w:rsid w:val="00AD6502"/>
    <w:rsid w:val="00AD72A1"/>
    <w:rsid w:val="00AD7624"/>
    <w:rsid w:val="00AE02F5"/>
    <w:rsid w:val="00AE1671"/>
    <w:rsid w:val="00AE2DCF"/>
    <w:rsid w:val="00AE633E"/>
    <w:rsid w:val="00AE651C"/>
    <w:rsid w:val="00AE67DA"/>
    <w:rsid w:val="00AF02CE"/>
    <w:rsid w:val="00AF1315"/>
    <w:rsid w:val="00AF19BF"/>
    <w:rsid w:val="00AF2DC3"/>
    <w:rsid w:val="00AF3F27"/>
    <w:rsid w:val="00AF507C"/>
    <w:rsid w:val="00AF7E70"/>
    <w:rsid w:val="00B033E5"/>
    <w:rsid w:val="00B03A18"/>
    <w:rsid w:val="00B03A63"/>
    <w:rsid w:val="00B0542A"/>
    <w:rsid w:val="00B05AA1"/>
    <w:rsid w:val="00B07BD1"/>
    <w:rsid w:val="00B10AF9"/>
    <w:rsid w:val="00B11451"/>
    <w:rsid w:val="00B1259A"/>
    <w:rsid w:val="00B1425C"/>
    <w:rsid w:val="00B15867"/>
    <w:rsid w:val="00B17011"/>
    <w:rsid w:val="00B201A4"/>
    <w:rsid w:val="00B20C7F"/>
    <w:rsid w:val="00B213A6"/>
    <w:rsid w:val="00B21DB9"/>
    <w:rsid w:val="00B2234C"/>
    <w:rsid w:val="00B22E1E"/>
    <w:rsid w:val="00B2301F"/>
    <w:rsid w:val="00B2331C"/>
    <w:rsid w:val="00B24689"/>
    <w:rsid w:val="00B24DF6"/>
    <w:rsid w:val="00B253A1"/>
    <w:rsid w:val="00B25738"/>
    <w:rsid w:val="00B25D35"/>
    <w:rsid w:val="00B27566"/>
    <w:rsid w:val="00B30BCA"/>
    <w:rsid w:val="00B3185E"/>
    <w:rsid w:val="00B34986"/>
    <w:rsid w:val="00B34FE2"/>
    <w:rsid w:val="00B35375"/>
    <w:rsid w:val="00B357D8"/>
    <w:rsid w:val="00B36621"/>
    <w:rsid w:val="00B366DC"/>
    <w:rsid w:val="00B376C2"/>
    <w:rsid w:val="00B37AE5"/>
    <w:rsid w:val="00B37BFC"/>
    <w:rsid w:val="00B40358"/>
    <w:rsid w:val="00B40EA6"/>
    <w:rsid w:val="00B41614"/>
    <w:rsid w:val="00B42851"/>
    <w:rsid w:val="00B42F80"/>
    <w:rsid w:val="00B433BE"/>
    <w:rsid w:val="00B435CB"/>
    <w:rsid w:val="00B44170"/>
    <w:rsid w:val="00B44EA5"/>
    <w:rsid w:val="00B459A7"/>
    <w:rsid w:val="00B46243"/>
    <w:rsid w:val="00B463AB"/>
    <w:rsid w:val="00B46B03"/>
    <w:rsid w:val="00B46D65"/>
    <w:rsid w:val="00B50DB8"/>
    <w:rsid w:val="00B50F67"/>
    <w:rsid w:val="00B51249"/>
    <w:rsid w:val="00B51625"/>
    <w:rsid w:val="00B52803"/>
    <w:rsid w:val="00B53654"/>
    <w:rsid w:val="00B53905"/>
    <w:rsid w:val="00B54B5B"/>
    <w:rsid w:val="00B550CB"/>
    <w:rsid w:val="00B5562E"/>
    <w:rsid w:val="00B57000"/>
    <w:rsid w:val="00B60939"/>
    <w:rsid w:val="00B60AFD"/>
    <w:rsid w:val="00B61764"/>
    <w:rsid w:val="00B61CA8"/>
    <w:rsid w:val="00B62715"/>
    <w:rsid w:val="00B63952"/>
    <w:rsid w:val="00B64032"/>
    <w:rsid w:val="00B66BCB"/>
    <w:rsid w:val="00B67A3F"/>
    <w:rsid w:val="00B71944"/>
    <w:rsid w:val="00B7206D"/>
    <w:rsid w:val="00B752B0"/>
    <w:rsid w:val="00B77C4F"/>
    <w:rsid w:val="00B818A4"/>
    <w:rsid w:val="00B82906"/>
    <w:rsid w:val="00B835C2"/>
    <w:rsid w:val="00B84117"/>
    <w:rsid w:val="00B84145"/>
    <w:rsid w:val="00B84816"/>
    <w:rsid w:val="00B84D6C"/>
    <w:rsid w:val="00B85AA2"/>
    <w:rsid w:val="00B85D2F"/>
    <w:rsid w:val="00B85EFE"/>
    <w:rsid w:val="00B86460"/>
    <w:rsid w:val="00B8649C"/>
    <w:rsid w:val="00B8651D"/>
    <w:rsid w:val="00B873EB"/>
    <w:rsid w:val="00B87CD0"/>
    <w:rsid w:val="00B87F0A"/>
    <w:rsid w:val="00B9016A"/>
    <w:rsid w:val="00B90595"/>
    <w:rsid w:val="00B92D0B"/>
    <w:rsid w:val="00B93567"/>
    <w:rsid w:val="00B944B6"/>
    <w:rsid w:val="00B94945"/>
    <w:rsid w:val="00B958E8"/>
    <w:rsid w:val="00B96C6B"/>
    <w:rsid w:val="00B97119"/>
    <w:rsid w:val="00B977FA"/>
    <w:rsid w:val="00B97FD4"/>
    <w:rsid w:val="00BA1C13"/>
    <w:rsid w:val="00BA2CC6"/>
    <w:rsid w:val="00BA322D"/>
    <w:rsid w:val="00BA4C3E"/>
    <w:rsid w:val="00BA7341"/>
    <w:rsid w:val="00BA7A0D"/>
    <w:rsid w:val="00BB0A2A"/>
    <w:rsid w:val="00BB0BDD"/>
    <w:rsid w:val="00BB0C96"/>
    <w:rsid w:val="00BB2A73"/>
    <w:rsid w:val="00BB3867"/>
    <w:rsid w:val="00BB3FA1"/>
    <w:rsid w:val="00BB4ACC"/>
    <w:rsid w:val="00BB57A0"/>
    <w:rsid w:val="00BB5D11"/>
    <w:rsid w:val="00BB703E"/>
    <w:rsid w:val="00BB7405"/>
    <w:rsid w:val="00BB7BDB"/>
    <w:rsid w:val="00BC3631"/>
    <w:rsid w:val="00BC669F"/>
    <w:rsid w:val="00BC75C3"/>
    <w:rsid w:val="00BD1B29"/>
    <w:rsid w:val="00BD2C2D"/>
    <w:rsid w:val="00BD36D0"/>
    <w:rsid w:val="00BD4C83"/>
    <w:rsid w:val="00BD5282"/>
    <w:rsid w:val="00BD561A"/>
    <w:rsid w:val="00BD58A2"/>
    <w:rsid w:val="00BD68A3"/>
    <w:rsid w:val="00BD6938"/>
    <w:rsid w:val="00BD6C31"/>
    <w:rsid w:val="00BD6CF3"/>
    <w:rsid w:val="00BD767D"/>
    <w:rsid w:val="00BD76C7"/>
    <w:rsid w:val="00BE0171"/>
    <w:rsid w:val="00BE073B"/>
    <w:rsid w:val="00BE0D8B"/>
    <w:rsid w:val="00BE123A"/>
    <w:rsid w:val="00BE16FC"/>
    <w:rsid w:val="00BE1724"/>
    <w:rsid w:val="00BE2180"/>
    <w:rsid w:val="00BE21F2"/>
    <w:rsid w:val="00BE326E"/>
    <w:rsid w:val="00BE395F"/>
    <w:rsid w:val="00BE4275"/>
    <w:rsid w:val="00BE43E6"/>
    <w:rsid w:val="00BE6C2B"/>
    <w:rsid w:val="00BF0384"/>
    <w:rsid w:val="00BF059F"/>
    <w:rsid w:val="00BF0A91"/>
    <w:rsid w:val="00BF0E1A"/>
    <w:rsid w:val="00BF0F95"/>
    <w:rsid w:val="00BF2433"/>
    <w:rsid w:val="00BF28E7"/>
    <w:rsid w:val="00BF3C60"/>
    <w:rsid w:val="00BF50A7"/>
    <w:rsid w:val="00BF52BB"/>
    <w:rsid w:val="00BF5EEF"/>
    <w:rsid w:val="00BF61C9"/>
    <w:rsid w:val="00BF6396"/>
    <w:rsid w:val="00BF669C"/>
    <w:rsid w:val="00BF6C94"/>
    <w:rsid w:val="00C00424"/>
    <w:rsid w:val="00C0328C"/>
    <w:rsid w:val="00C032AC"/>
    <w:rsid w:val="00C0583A"/>
    <w:rsid w:val="00C06627"/>
    <w:rsid w:val="00C072A6"/>
    <w:rsid w:val="00C075D2"/>
    <w:rsid w:val="00C10723"/>
    <w:rsid w:val="00C10D7B"/>
    <w:rsid w:val="00C11051"/>
    <w:rsid w:val="00C116EB"/>
    <w:rsid w:val="00C12589"/>
    <w:rsid w:val="00C12C14"/>
    <w:rsid w:val="00C136A8"/>
    <w:rsid w:val="00C136C7"/>
    <w:rsid w:val="00C1386D"/>
    <w:rsid w:val="00C138C3"/>
    <w:rsid w:val="00C15A3C"/>
    <w:rsid w:val="00C15CF6"/>
    <w:rsid w:val="00C15D2E"/>
    <w:rsid w:val="00C200AA"/>
    <w:rsid w:val="00C229BE"/>
    <w:rsid w:val="00C237ED"/>
    <w:rsid w:val="00C244F2"/>
    <w:rsid w:val="00C24632"/>
    <w:rsid w:val="00C24B26"/>
    <w:rsid w:val="00C25418"/>
    <w:rsid w:val="00C2561B"/>
    <w:rsid w:val="00C25D30"/>
    <w:rsid w:val="00C25D9C"/>
    <w:rsid w:val="00C264F3"/>
    <w:rsid w:val="00C26A5D"/>
    <w:rsid w:val="00C26AB9"/>
    <w:rsid w:val="00C26CD8"/>
    <w:rsid w:val="00C2778B"/>
    <w:rsid w:val="00C278D7"/>
    <w:rsid w:val="00C27973"/>
    <w:rsid w:val="00C310E0"/>
    <w:rsid w:val="00C31649"/>
    <w:rsid w:val="00C32ABC"/>
    <w:rsid w:val="00C32CC9"/>
    <w:rsid w:val="00C33268"/>
    <w:rsid w:val="00C33D9B"/>
    <w:rsid w:val="00C340C3"/>
    <w:rsid w:val="00C34AB7"/>
    <w:rsid w:val="00C36B80"/>
    <w:rsid w:val="00C36E22"/>
    <w:rsid w:val="00C40385"/>
    <w:rsid w:val="00C40534"/>
    <w:rsid w:val="00C40E82"/>
    <w:rsid w:val="00C421AB"/>
    <w:rsid w:val="00C422CE"/>
    <w:rsid w:val="00C47119"/>
    <w:rsid w:val="00C475AA"/>
    <w:rsid w:val="00C530F0"/>
    <w:rsid w:val="00C55A93"/>
    <w:rsid w:val="00C56513"/>
    <w:rsid w:val="00C57A15"/>
    <w:rsid w:val="00C57FF8"/>
    <w:rsid w:val="00C617E7"/>
    <w:rsid w:val="00C63D9E"/>
    <w:rsid w:val="00C63EC8"/>
    <w:rsid w:val="00C63FBE"/>
    <w:rsid w:val="00C6468C"/>
    <w:rsid w:val="00C65576"/>
    <w:rsid w:val="00C66165"/>
    <w:rsid w:val="00C66FAD"/>
    <w:rsid w:val="00C70380"/>
    <w:rsid w:val="00C705DC"/>
    <w:rsid w:val="00C711C2"/>
    <w:rsid w:val="00C7151A"/>
    <w:rsid w:val="00C7155B"/>
    <w:rsid w:val="00C71713"/>
    <w:rsid w:val="00C71F60"/>
    <w:rsid w:val="00C72241"/>
    <w:rsid w:val="00C7315C"/>
    <w:rsid w:val="00C73CAF"/>
    <w:rsid w:val="00C73F83"/>
    <w:rsid w:val="00C74408"/>
    <w:rsid w:val="00C750C8"/>
    <w:rsid w:val="00C7560F"/>
    <w:rsid w:val="00C77DA5"/>
    <w:rsid w:val="00C80A0E"/>
    <w:rsid w:val="00C80E2E"/>
    <w:rsid w:val="00C815A5"/>
    <w:rsid w:val="00C81968"/>
    <w:rsid w:val="00C81DB3"/>
    <w:rsid w:val="00C8213F"/>
    <w:rsid w:val="00C8281D"/>
    <w:rsid w:val="00C83F48"/>
    <w:rsid w:val="00C84C29"/>
    <w:rsid w:val="00C851A7"/>
    <w:rsid w:val="00C85BA4"/>
    <w:rsid w:val="00C87959"/>
    <w:rsid w:val="00C8797A"/>
    <w:rsid w:val="00C87996"/>
    <w:rsid w:val="00C87F8A"/>
    <w:rsid w:val="00C900B8"/>
    <w:rsid w:val="00C90C71"/>
    <w:rsid w:val="00C910C6"/>
    <w:rsid w:val="00C91506"/>
    <w:rsid w:val="00C9178B"/>
    <w:rsid w:val="00C92176"/>
    <w:rsid w:val="00C931CF"/>
    <w:rsid w:val="00C938CF"/>
    <w:rsid w:val="00C94265"/>
    <w:rsid w:val="00C9624D"/>
    <w:rsid w:val="00C963E1"/>
    <w:rsid w:val="00C969DA"/>
    <w:rsid w:val="00C96C88"/>
    <w:rsid w:val="00C97C8A"/>
    <w:rsid w:val="00CA07FE"/>
    <w:rsid w:val="00CA1857"/>
    <w:rsid w:val="00CA1E3A"/>
    <w:rsid w:val="00CA2038"/>
    <w:rsid w:val="00CA2C77"/>
    <w:rsid w:val="00CA444F"/>
    <w:rsid w:val="00CA5245"/>
    <w:rsid w:val="00CA71F4"/>
    <w:rsid w:val="00CA7B09"/>
    <w:rsid w:val="00CB188E"/>
    <w:rsid w:val="00CB2F2A"/>
    <w:rsid w:val="00CB34FC"/>
    <w:rsid w:val="00CB40AB"/>
    <w:rsid w:val="00CB5042"/>
    <w:rsid w:val="00CB53AA"/>
    <w:rsid w:val="00CB5B1A"/>
    <w:rsid w:val="00CB5BBA"/>
    <w:rsid w:val="00CB6B22"/>
    <w:rsid w:val="00CB7F5F"/>
    <w:rsid w:val="00CC033F"/>
    <w:rsid w:val="00CC0A1D"/>
    <w:rsid w:val="00CC0C38"/>
    <w:rsid w:val="00CC1B39"/>
    <w:rsid w:val="00CC308B"/>
    <w:rsid w:val="00CC4477"/>
    <w:rsid w:val="00CC6CDC"/>
    <w:rsid w:val="00CC6D57"/>
    <w:rsid w:val="00CD321C"/>
    <w:rsid w:val="00CD5D6B"/>
    <w:rsid w:val="00CD5EF1"/>
    <w:rsid w:val="00CD6178"/>
    <w:rsid w:val="00CD6636"/>
    <w:rsid w:val="00CD66E0"/>
    <w:rsid w:val="00CD6ADC"/>
    <w:rsid w:val="00CE5D51"/>
    <w:rsid w:val="00CE6274"/>
    <w:rsid w:val="00CE62F2"/>
    <w:rsid w:val="00CE7756"/>
    <w:rsid w:val="00CF09DB"/>
    <w:rsid w:val="00CF236A"/>
    <w:rsid w:val="00CF2B8D"/>
    <w:rsid w:val="00CF3F27"/>
    <w:rsid w:val="00CF456B"/>
    <w:rsid w:val="00CF5A22"/>
    <w:rsid w:val="00CF6A8E"/>
    <w:rsid w:val="00CF7815"/>
    <w:rsid w:val="00CF7EA4"/>
    <w:rsid w:val="00D00347"/>
    <w:rsid w:val="00D01911"/>
    <w:rsid w:val="00D0262E"/>
    <w:rsid w:val="00D068E2"/>
    <w:rsid w:val="00D06DAC"/>
    <w:rsid w:val="00D07A93"/>
    <w:rsid w:val="00D07D51"/>
    <w:rsid w:val="00D110BD"/>
    <w:rsid w:val="00D128B1"/>
    <w:rsid w:val="00D130A8"/>
    <w:rsid w:val="00D13675"/>
    <w:rsid w:val="00D141E1"/>
    <w:rsid w:val="00D14B82"/>
    <w:rsid w:val="00D1508E"/>
    <w:rsid w:val="00D159A3"/>
    <w:rsid w:val="00D15F2E"/>
    <w:rsid w:val="00D17D6C"/>
    <w:rsid w:val="00D201C1"/>
    <w:rsid w:val="00D20F0F"/>
    <w:rsid w:val="00D21E6C"/>
    <w:rsid w:val="00D25DFC"/>
    <w:rsid w:val="00D2754D"/>
    <w:rsid w:val="00D27B27"/>
    <w:rsid w:val="00D3155F"/>
    <w:rsid w:val="00D3265D"/>
    <w:rsid w:val="00D33BE9"/>
    <w:rsid w:val="00D34209"/>
    <w:rsid w:val="00D357FF"/>
    <w:rsid w:val="00D363FE"/>
    <w:rsid w:val="00D36853"/>
    <w:rsid w:val="00D424C7"/>
    <w:rsid w:val="00D43B2A"/>
    <w:rsid w:val="00D44B0D"/>
    <w:rsid w:val="00D454FD"/>
    <w:rsid w:val="00D45936"/>
    <w:rsid w:val="00D45AEC"/>
    <w:rsid w:val="00D470DF"/>
    <w:rsid w:val="00D47575"/>
    <w:rsid w:val="00D47BE7"/>
    <w:rsid w:val="00D47F8B"/>
    <w:rsid w:val="00D5202F"/>
    <w:rsid w:val="00D52523"/>
    <w:rsid w:val="00D5261C"/>
    <w:rsid w:val="00D52C51"/>
    <w:rsid w:val="00D53752"/>
    <w:rsid w:val="00D53D3D"/>
    <w:rsid w:val="00D558F3"/>
    <w:rsid w:val="00D566FB"/>
    <w:rsid w:val="00D6322B"/>
    <w:rsid w:val="00D650FC"/>
    <w:rsid w:val="00D65497"/>
    <w:rsid w:val="00D65BF2"/>
    <w:rsid w:val="00D66087"/>
    <w:rsid w:val="00D67C16"/>
    <w:rsid w:val="00D703C9"/>
    <w:rsid w:val="00D70C03"/>
    <w:rsid w:val="00D70F16"/>
    <w:rsid w:val="00D715C9"/>
    <w:rsid w:val="00D72B4F"/>
    <w:rsid w:val="00D73D6C"/>
    <w:rsid w:val="00D74C16"/>
    <w:rsid w:val="00D75092"/>
    <w:rsid w:val="00D75562"/>
    <w:rsid w:val="00D759F0"/>
    <w:rsid w:val="00D762EC"/>
    <w:rsid w:val="00D766EA"/>
    <w:rsid w:val="00D7672E"/>
    <w:rsid w:val="00D76A44"/>
    <w:rsid w:val="00D76B67"/>
    <w:rsid w:val="00D815EF"/>
    <w:rsid w:val="00D81F8E"/>
    <w:rsid w:val="00D8585C"/>
    <w:rsid w:val="00D85DD4"/>
    <w:rsid w:val="00D86B3D"/>
    <w:rsid w:val="00D874E8"/>
    <w:rsid w:val="00D878E1"/>
    <w:rsid w:val="00D91923"/>
    <w:rsid w:val="00D92BBD"/>
    <w:rsid w:val="00D93753"/>
    <w:rsid w:val="00D94F27"/>
    <w:rsid w:val="00D97C20"/>
    <w:rsid w:val="00D97CED"/>
    <w:rsid w:val="00DA0427"/>
    <w:rsid w:val="00DA0A61"/>
    <w:rsid w:val="00DA189F"/>
    <w:rsid w:val="00DA3167"/>
    <w:rsid w:val="00DA4DC3"/>
    <w:rsid w:val="00DA62A7"/>
    <w:rsid w:val="00DA6619"/>
    <w:rsid w:val="00DA6B06"/>
    <w:rsid w:val="00DA7598"/>
    <w:rsid w:val="00DA77A5"/>
    <w:rsid w:val="00DB00D5"/>
    <w:rsid w:val="00DB0760"/>
    <w:rsid w:val="00DB0E6E"/>
    <w:rsid w:val="00DB120C"/>
    <w:rsid w:val="00DB124A"/>
    <w:rsid w:val="00DB2CBF"/>
    <w:rsid w:val="00DB3E28"/>
    <w:rsid w:val="00DB4324"/>
    <w:rsid w:val="00DB437B"/>
    <w:rsid w:val="00DB484F"/>
    <w:rsid w:val="00DB4D44"/>
    <w:rsid w:val="00DB5298"/>
    <w:rsid w:val="00DB65A0"/>
    <w:rsid w:val="00DC04F6"/>
    <w:rsid w:val="00DC35D2"/>
    <w:rsid w:val="00DC3648"/>
    <w:rsid w:val="00DC3C57"/>
    <w:rsid w:val="00DC413F"/>
    <w:rsid w:val="00DC5501"/>
    <w:rsid w:val="00DC5DE8"/>
    <w:rsid w:val="00DC5E67"/>
    <w:rsid w:val="00DC67D6"/>
    <w:rsid w:val="00DC6C97"/>
    <w:rsid w:val="00DD0884"/>
    <w:rsid w:val="00DD0B3F"/>
    <w:rsid w:val="00DD1AD4"/>
    <w:rsid w:val="00DD1E76"/>
    <w:rsid w:val="00DD273C"/>
    <w:rsid w:val="00DD3775"/>
    <w:rsid w:val="00DD3F28"/>
    <w:rsid w:val="00DD4537"/>
    <w:rsid w:val="00DD4E15"/>
    <w:rsid w:val="00DD616C"/>
    <w:rsid w:val="00DD61FA"/>
    <w:rsid w:val="00DD69CD"/>
    <w:rsid w:val="00DE0AA3"/>
    <w:rsid w:val="00DE0D38"/>
    <w:rsid w:val="00DE3005"/>
    <w:rsid w:val="00DE3138"/>
    <w:rsid w:val="00DE37F8"/>
    <w:rsid w:val="00DE3D12"/>
    <w:rsid w:val="00DE402B"/>
    <w:rsid w:val="00DE4FCB"/>
    <w:rsid w:val="00DE5C88"/>
    <w:rsid w:val="00DE7008"/>
    <w:rsid w:val="00DE7545"/>
    <w:rsid w:val="00DE7832"/>
    <w:rsid w:val="00DF076C"/>
    <w:rsid w:val="00DF085B"/>
    <w:rsid w:val="00DF18FC"/>
    <w:rsid w:val="00DF4048"/>
    <w:rsid w:val="00DF5D2B"/>
    <w:rsid w:val="00E0093C"/>
    <w:rsid w:val="00E00E8E"/>
    <w:rsid w:val="00E01CB4"/>
    <w:rsid w:val="00E01D06"/>
    <w:rsid w:val="00E05605"/>
    <w:rsid w:val="00E05630"/>
    <w:rsid w:val="00E05CD9"/>
    <w:rsid w:val="00E05FB1"/>
    <w:rsid w:val="00E06C10"/>
    <w:rsid w:val="00E06DBB"/>
    <w:rsid w:val="00E10149"/>
    <w:rsid w:val="00E125EA"/>
    <w:rsid w:val="00E1282A"/>
    <w:rsid w:val="00E12E1E"/>
    <w:rsid w:val="00E12E7A"/>
    <w:rsid w:val="00E1342E"/>
    <w:rsid w:val="00E16372"/>
    <w:rsid w:val="00E1706E"/>
    <w:rsid w:val="00E20E4D"/>
    <w:rsid w:val="00E20ED6"/>
    <w:rsid w:val="00E21358"/>
    <w:rsid w:val="00E2249B"/>
    <w:rsid w:val="00E22A0D"/>
    <w:rsid w:val="00E234C4"/>
    <w:rsid w:val="00E237EE"/>
    <w:rsid w:val="00E2416B"/>
    <w:rsid w:val="00E245A9"/>
    <w:rsid w:val="00E25C7C"/>
    <w:rsid w:val="00E26446"/>
    <w:rsid w:val="00E26553"/>
    <w:rsid w:val="00E2771E"/>
    <w:rsid w:val="00E308E3"/>
    <w:rsid w:val="00E30D55"/>
    <w:rsid w:val="00E31420"/>
    <w:rsid w:val="00E31A41"/>
    <w:rsid w:val="00E34948"/>
    <w:rsid w:val="00E36F24"/>
    <w:rsid w:val="00E37569"/>
    <w:rsid w:val="00E3761D"/>
    <w:rsid w:val="00E37707"/>
    <w:rsid w:val="00E40D28"/>
    <w:rsid w:val="00E40E97"/>
    <w:rsid w:val="00E41445"/>
    <w:rsid w:val="00E41C85"/>
    <w:rsid w:val="00E41E30"/>
    <w:rsid w:val="00E4308E"/>
    <w:rsid w:val="00E43D70"/>
    <w:rsid w:val="00E4509D"/>
    <w:rsid w:val="00E45931"/>
    <w:rsid w:val="00E466F3"/>
    <w:rsid w:val="00E46D7B"/>
    <w:rsid w:val="00E47715"/>
    <w:rsid w:val="00E47894"/>
    <w:rsid w:val="00E47B2C"/>
    <w:rsid w:val="00E47F62"/>
    <w:rsid w:val="00E50BFC"/>
    <w:rsid w:val="00E512C3"/>
    <w:rsid w:val="00E51560"/>
    <w:rsid w:val="00E51D7C"/>
    <w:rsid w:val="00E51DCE"/>
    <w:rsid w:val="00E5250C"/>
    <w:rsid w:val="00E54347"/>
    <w:rsid w:val="00E54D68"/>
    <w:rsid w:val="00E55424"/>
    <w:rsid w:val="00E55BB5"/>
    <w:rsid w:val="00E56192"/>
    <w:rsid w:val="00E5790B"/>
    <w:rsid w:val="00E57B68"/>
    <w:rsid w:val="00E625B4"/>
    <w:rsid w:val="00E63180"/>
    <w:rsid w:val="00E64ED1"/>
    <w:rsid w:val="00E65758"/>
    <w:rsid w:val="00E65E79"/>
    <w:rsid w:val="00E66BA2"/>
    <w:rsid w:val="00E66E1F"/>
    <w:rsid w:val="00E66FAD"/>
    <w:rsid w:val="00E67416"/>
    <w:rsid w:val="00E701EF"/>
    <w:rsid w:val="00E714ED"/>
    <w:rsid w:val="00E71517"/>
    <w:rsid w:val="00E718B6"/>
    <w:rsid w:val="00E723BA"/>
    <w:rsid w:val="00E73581"/>
    <w:rsid w:val="00E73AA0"/>
    <w:rsid w:val="00E73D1C"/>
    <w:rsid w:val="00E74E53"/>
    <w:rsid w:val="00E75151"/>
    <w:rsid w:val="00E76646"/>
    <w:rsid w:val="00E77219"/>
    <w:rsid w:val="00E809CF"/>
    <w:rsid w:val="00E81C39"/>
    <w:rsid w:val="00E833F7"/>
    <w:rsid w:val="00E83BDF"/>
    <w:rsid w:val="00E85EED"/>
    <w:rsid w:val="00E86492"/>
    <w:rsid w:val="00E87562"/>
    <w:rsid w:val="00E87A1D"/>
    <w:rsid w:val="00E92200"/>
    <w:rsid w:val="00E922D6"/>
    <w:rsid w:val="00E926A5"/>
    <w:rsid w:val="00E92949"/>
    <w:rsid w:val="00E9344C"/>
    <w:rsid w:val="00E94B3A"/>
    <w:rsid w:val="00E94B98"/>
    <w:rsid w:val="00E94FD4"/>
    <w:rsid w:val="00E95B5E"/>
    <w:rsid w:val="00E96C48"/>
    <w:rsid w:val="00E96F8B"/>
    <w:rsid w:val="00E974E3"/>
    <w:rsid w:val="00EA17C3"/>
    <w:rsid w:val="00EA2CAA"/>
    <w:rsid w:val="00EA3333"/>
    <w:rsid w:val="00EA3416"/>
    <w:rsid w:val="00EA3864"/>
    <w:rsid w:val="00EA3C71"/>
    <w:rsid w:val="00EA46F4"/>
    <w:rsid w:val="00EA518D"/>
    <w:rsid w:val="00EA51F0"/>
    <w:rsid w:val="00EA6D1D"/>
    <w:rsid w:val="00EA7A44"/>
    <w:rsid w:val="00EA7B82"/>
    <w:rsid w:val="00EB090F"/>
    <w:rsid w:val="00EB15B6"/>
    <w:rsid w:val="00EB26BA"/>
    <w:rsid w:val="00EB282A"/>
    <w:rsid w:val="00EB4204"/>
    <w:rsid w:val="00EB4880"/>
    <w:rsid w:val="00EB4916"/>
    <w:rsid w:val="00EB5810"/>
    <w:rsid w:val="00EB64D6"/>
    <w:rsid w:val="00EB6AF0"/>
    <w:rsid w:val="00EB7876"/>
    <w:rsid w:val="00EB7EE6"/>
    <w:rsid w:val="00EC00C9"/>
    <w:rsid w:val="00EC2649"/>
    <w:rsid w:val="00EC3629"/>
    <w:rsid w:val="00EC3B23"/>
    <w:rsid w:val="00EC4B12"/>
    <w:rsid w:val="00EC7C70"/>
    <w:rsid w:val="00EC7DDD"/>
    <w:rsid w:val="00EC7EEA"/>
    <w:rsid w:val="00ED0E83"/>
    <w:rsid w:val="00ED2232"/>
    <w:rsid w:val="00ED34E3"/>
    <w:rsid w:val="00ED3B59"/>
    <w:rsid w:val="00ED3E57"/>
    <w:rsid w:val="00ED520D"/>
    <w:rsid w:val="00ED57EA"/>
    <w:rsid w:val="00EE07D3"/>
    <w:rsid w:val="00EE22AF"/>
    <w:rsid w:val="00EE35CE"/>
    <w:rsid w:val="00EE3B07"/>
    <w:rsid w:val="00EE597F"/>
    <w:rsid w:val="00EE5C29"/>
    <w:rsid w:val="00EE5E11"/>
    <w:rsid w:val="00EE6614"/>
    <w:rsid w:val="00EE7CC9"/>
    <w:rsid w:val="00EE7F6E"/>
    <w:rsid w:val="00EF0171"/>
    <w:rsid w:val="00EF0635"/>
    <w:rsid w:val="00EF0F00"/>
    <w:rsid w:val="00EF1B25"/>
    <w:rsid w:val="00EF1CA8"/>
    <w:rsid w:val="00EF1D65"/>
    <w:rsid w:val="00EF2B3E"/>
    <w:rsid w:val="00EF357B"/>
    <w:rsid w:val="00EF4747"/>
    <w:rsid w:val="00EF4BF8"/>
    <w:rsid w:val="00EF544A"/>
    <w:rsid w:val="00F01C92"/>
    <w:rsid w:val="00F01FE6"/>
    <w:rsid w:val="00F02253"/>
    <w:rsid w:val="00F03135"/>
    <w:rsid w:val="00F032AA"/>
    <w:rsid w:val="00F03C2E"/>
    <w:rsid w:val="00F0423E"/>
    <w:rsid w:val="00F04A66"/>
    <w:rsid w:val="00F0516C"/>
    <w:rsid w:val="00F062AF"/>
    <w:rsid w:val="00F067A2"/>
    <w:rsid w:val="00F06BBD"/>
    <w:rsid w:val="00F0760B"/>
    <w:rsid w:val="00F07F16"/>
    <w:rsid w:val="00F1020E"/>
    <w:rsid w:val="00F110E5"/>
    <w:rsid w:val="00F11981"/>
    <w:rsid w:val="00F1263A"/>
    <w:rsid w:val="00F12C29"/>
    <w:rsid w:val="00F13DEA"/>
    <w:rsid w:val="00F14703"/>
    <w:rsid w:val="00F16A61"/>
    <w:rsid w:val="00F16DF1"/>
    <w:rsid w:val="00F17BA9"/>
    <w:rsid w:val="00F2072E"/>
    <w:rsid w:val="00F2168E"/>
    <w:rsid w:val="00F22388"/>
    <w:rsid w:val="00F2300F"/>
    <w:rsid w:val="00F23E41"/>
    <w:rsid w:val="00F24516"/>
    <w:rsid w:val="00F24837"/>
    <w:rsid w:val="00F2575F"/>
    <w:rsid w:val="00F2610B"/>
    <w:rsid w:val="00F26BF3"/>
    <w:rsid w:val="00F27565"/>
    <w:rsid w:val="00F30FAE"/>
    <w:rsid w:val="00F310D4"/>
    <w:rsid w:val="00F3179A"/>
    <w:rsid w:val="00F31D2B"/>
    <w:rsid w:val="00F31D5A"/>
    <w:rsid w:val="00F33283"/>
    <w:rsid w:val="00F33DE9"/>
    <w:rsid w:val="00F3418E"/>
    <w:rsid w:val="00F34315"/>
    <w:rsid w:val="00F3443D"/>
    <w:rsid w:val="00F34714"/>
    <w:rsid w:val="00F35594"/>
    <w:rsid w:val="00F356E0"/>
    <w:rsid w:val="00F35CCB"/>
    <w:rsid w:val="00F35F2F"/>
    <w:rsid w:val="00F3619A"/>
    <w:rsid w:val="00F406AF"/>
    <w:rsid w:val="00F40AAA"/>
    <w:rsid w:val="00F40BA7"/>
    <w:rsid w:val="00F4173B"/>
    <w:rsid w:val="00F4287F"/>
    <w:rsid w:val="00F433EB"/>
    <w:rsid w:val="00F4413D"/>
    <w:rsid w:val="00F445ED"/>
    <w:rsid w:val="00F44C62"/>
    <w:rsid w:val="00F44E7B"/>
    <w:rsid w:val="00F46CB6"/>
    <w:rsid w:val="00F47B66"/>
    <w:rsid w:val="00F47B8B"/>
    <w:rsid w:val="00F47DE8"/>
    <w:rsid w:val="00F50501"/>
    <w:rsid w:val="00F51FA8"/>
    <w:rsid w:val="00F5215F"/>
    <w:rsid w:val="00F52A68"/>
    <w:rsid w:val="00F542C1"/>
    <w:rsid w:val="00F55DC5"/>
    <w:rsid w:val="00F55E73"/>
    <w:rsid w:val="00F55EDA"/>
    <w:rsid w:val="00F56B22"/>
    <w:rsid w:val="00F60092"/>
    <w:rsid w:val="00F605C4"/>
    <w:rsid w:val="00F6352B"/>
    <w:rsid w:val="00F645CA"/>
    <w:rsid w:val="00F646E2"/>
    <w:rsid w:val="00F65F4B"/>
    <w:rsid w:val="00F6617A"/>
    <w:rsid w:val="00F70C9D"/>
    <w:rsid w:val="00F72F37"/>
    <w:rsid w:val="00F74CD9"/>
    <w:rsid w:val="00F756A3"/>
    <w:rsid w:val="00F7789D"/>
    <w:rsid w:val="00F80A7B"/>
    <w:rsid w:val="00F80E5D"/>
    <w:rsid w:val="00F8151E"/>
    <w:rsid w:val="00F81DC2"/>
    <w:rsid w:val="00F81E6F"/>
    <w:rsid w:val="00F82AF5"/>
    <w:rsid w:val="00F834C9"/>
    <w:rsid w:val="00F835E7"/>
    <w:rsid w:val="00F851CE"/>
    <w:rsid w:val="00F860EF"/>
    <w:rsid w:val="00F868C8"/>
    <w:rsid w:val="00F91053"/>
    <w:rsid w:val="00F91219"/>
    <w:rsid w:val="00F943B9"/>
    <w:rsid w:val="00F94E5E"/>
    <w:rsid w:val="00F97A78"/>
    <w:rsid w:val="00F97C78"/>
    <w:rsid w:val="00FA0B20"/>
    <w:rsid w:val="00FA1157"/>
    <w:rsid w:val="00FA24E7"/>
    <w:rsid w:val="00FA2969"/>
    <w:rsid w:val="00FA321B"/>
    <w:rsid w:val="00FA4B97"/>
    <w:rsid w:val="00FB025E"/>
    <w:rsid w:val="00FB0B09"/>
    <w:rsid w:val="00FB109F"/>
    <w:rsid w:val="00FB2FCB"/>
    <w:rsid w:val="00FB37E6"/>
    <w:rsid w:val="00FB4F55"/>
    <w:rsid w:val="00FB6DC9"/>
    <w:rsid w:val="00FB7CBF"/>
    <w:rsid w:val="00FC0E81"/>
    <w:rsid w:val="00FC1074"/>
    <w:rsid w:val="00FC1884"/>
    <w:rsid w:val="00FC1A1E"/>
    <w:rsid w:val="00FC1D8D"/>
    <w:rsid w:val="00FC1F52"/>
    <w:rsid w:val="00FC2E88"/>
    <w:rsid w:val="00FC3417"/>
    <w:rsid w:val="00FC371D"/>
    <w:rsid w:val="00FC4E7C"/>
    <w:rsid w:val="00FC4EE6"/>
    <w:rsid w:val="00FC584D"/>
    <w:rsid w:val="00FC5A11"/>
    <w:rsid w:val="00FC5F0B"/>
    <w:rsid w:val="00FD0997"/>
    <w:rsid w:val="00FD1076"/>
    <w:rsid w:val="00FD1348"/>
    <w:rsid w:val="00FD2100"/>
    <w:rsid w:val="00FD2365"/>
    <w:rsid w:val="00FD240C"/>
    <w:rsid w:val="00FD436C"/>
    <w:rsid w:val="00FD446D"/>
    <w:rsid w:val="00FD58DC"/>
    <w:rsid w:val="00FD6394"/>
    <w:rsid w:val="00FD7455"/>
    <w:rsid w:val="00FE0055"/>
    <w:rsid w:val="00FE0E6C"/>
    <w:rsid w:val="00FE1986"/>
    <w:rsid w:val="00FE50B3"/>
    <w:rsid w:val="00FE5DAF"/>
    <w:rsid w:val="00FE6FCD"/>
    <w:rsid w:val="00FE7039"/>
    <w:rsid w:val="00FE70C3"/>
    <w:rsid w:val="00FE771D"/>
    <w:rsid w:val="00FF1E31"/>
    <w:rsid w:val="00FF225C"/>
    <w:rsid w:val="00FF3AF0"/>
    <w:rsid w:val="00FF3DCF"/>
    <w:rsid w:val="00FF459E"/>
    <w:rsid w:val="00FF492C"/>
    <w:rsid w:val="00FF4A21"/>
    <w:rsid w:val="00FF5192"/>
    <w:rsid w:val="00FF5AA3"/>
    <w:rsid w:val="00FF5AD8"/>
    <w:rsid w:val="00FF6D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A55A3"/>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95CCE"/>
    <w:rPr>
      <w:rFonts w:ascii="Arial Narrow" w:hAnsi="Arial Narrow"/>
      <w:b/>
      <w:bCs/>
      <w:sz w:val="20"/>
      <w:szCs w:val="20"/>
    </w:rPr>
  </w:style>
  <w:style w:type="character" w:customStyle="1" w:styleId="CaptionChar">
    <w:name w:val="Caption Char"/>
    <w:link w:val="Caption"/>
    <w:rsid w:val="00195CCE"/>
    <w:rPr>
      <w:rFonts w:ascii="Arial Narrow" w:hAnsi="Arial Narrow" w:cs="Arial"/>
      <w:b/>
      <w:bCs/>
      <w:snapToGrid w:val="0"/>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CD5EF1"/>
    <w:rPr>
      <w:sz w:val="20"/>
      <w:szCs w:val="20"/>
    </w:rPr>
  </w:style>
  <w:style w:type="character" w:customStyle="1" w:styleId="FootnoteTextChar">
    <w:name w:val="Footnote Text Char"/>
    <w:basedOn w:val="DefaultParagraphFont"/>
    <w:link w:val="FootnoteText"/>
    <w:semiHidden/>
    <w:rsid w:val="00CD5EF1"/>
    <w:rPr>
      <w:rFonts w:ascii="Calibri" w:hAnsi="Calibri" w:cs="Arial"/>
      <w:snapToGrid w:val="0"/>
      <w:lang w:eastAsia="en-US"/>
    </w:rPr>
  </w:style>
  <w:style w:type="character" w:styleId="FootnoteReference">
    <w:name w:val="footnote reference"/>
    <w:basedOn w:val="DefaultParagraphFont"/>
    <w:semiHidden/>
    <w:unhideWhenUsed/>
    <w:rsid w:val="00CD5EF1"/>
    <w:rPr>
      <w:vertAlign w:val="superscript"/>
    </w:rPr>
  </w:style>
  <w:style w:type="paragraph" w:customStyle="1" w:styleId="TableText0">
    <w:name w:val="Table Text"/>
    <w:basedOn w:val="Tabletext"/>
    <w:link w:val="TableTextChar0"/>
    <w:uiPriority w:val="99"/>
    <w:qFormat/>
    <w:rsid w:val="002644F9"/>
    <w:pPr>
      <w:spacing w:before="20" w:after="20"/>
    </w:pPr>
    <w:rPr>
      <w:rFonts w:ascii="Arial" w:hAnsi="Arial"/>
      <w:sz w:val="16"/>
      <w:szCs w:val="20"/>
      <w:lang w:eastAsia="en-AU"/>
    </w:rPr>
  </w:style>
  <w:style w:type="character" w:customStyle="1" w:styleId="TableTextChar0">
    <w:name w:val="Table Text Char"/>
    <w:link w:val="TableText0"/>
    <w:uiPriority w:val="99"/>
    <w:rsid w:val="002644F9"/>
    <w:rPr>
      <w:rFonts w:ascii="Arial" w:hAnsi="Arial"/>
      <w:sz w:val="16"/>
    </w:rPr>
  </w:style>
  <w:style w:type="paragraph" w:customStyle="1" w:styleId="Tableheading0">
    <w:name w:val="Table heading"/>
    <w:basedOn w:val="Normal"/>
    <w:link w:val="TableheadingChar"/>
    <w:qFormat/>
    <w:rsid w:val="002644F9"/>
    <w:pPr>
      <w:keepNext/>
      <w:widowControl/>
      <w:spacing w:before="60" w:after="60"/>
    </w:pPr>
    <w:rPr>
      <w:rFonts w:ascii="Arial Narrow" w:hAnsi="Arial Narrow" w:cs="Times New Roman"/>
      <w:b/>
      <w:snapToGrid/>
      <w:sz w:val="20"/>
      <w:szCs w:val="20"/>
    </w:rPr>
  </w:style>
  <w:style w:type="character" w:customStyle="1" w:styleId="TableheadingChar">
    <w:name w:val="Table heading Char"/>
    <w:link w:val="Tableheading0"/>
    <w:rsid w:val="002644F9"/>
    <w:rPr>
      <w:rFonts w:ascii="Arial Narrow" w:hAnsi="Arial Narrow"/>
      <w:b/>
      <w:lang w:eastAsia="en-US"/>
    </w:rPr>
  </w:style>
  <w:style w:type="paragraph" w:customStyle="1" w:styleId="PBACheading10">
    <w:name w:val="PBAC heading 1"/>
    <w:qFormat/>
    <w:rsid w:val="00697472"/>
    <w:pPr>
      <w:ind w:left="720" w:hanging="720"/>
    </w:pPr>
    <w:rPr>
      <w:rFonts w:ascii="Arial" w:hAnsi="Arial" w:cs="Arial"/>
      <w:snapToGrid w:val="0"/>
      <w:sz w:val="22"/>
      <w:szCs w:val="22"/>
      <w:lang w:eastAsia="en-US"/>
    </w:rPr>
  </w:style>
  <w:style w:type="paragraph" w:customStyle="1" w:styleId="EndNoteBibliographyTitle">
    <w:name w:val="EndNote Bibliography Title"/>
    <w:basedOn w:val="Normal"/>
    <w:link w:val="EndNoteBibliographyTitleChar"/>
    <w:rsid w:val="00DB3E28"/>
    <w:pPr>
      <w:jc w:val="center"/>
    </w:pPr>
    <w:rPr>
      <w:noProof/>
      <w:lang w:val="en-US"/>
    </w:rPr>
  </w:style>
  <w:style w:type="character" w:customStyle="1" w:styleId="EndNoteBibliographyTitleChar">
    <w:name w:val="EndNote Bibliography Title Char"/>
    <w:basedOn w:val="DefaultParagraphFont"/>
    <w:link w:val="EndNoteBibliographyTitle"/>
    <w:rsid w:val="00DB3E28"/>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DB3E28"/>
    <w:rPr>
      <w:noProof/>
      <w:lang w:val="en-US"/>
    </w:rPr>
  </w:style>
  <w:style w:type="character" w:customStyle="1" w:styleId="EndNoteBibliographyChar">
    <w:name w:val="EndNote Bibliography Char"/>
    <w:basedOn w:val="DefaultParagraphFont"/>
    <w:link w:val="EndNoteBibliography"/>
    <w:rsid w:val="00DB3E28"/>
    <w:rPr>
      <w:rFonts w:ascii="Calibri" w:hAnsi="Calibri" w:cs="Arial"/>
      <w:noProof/>
      <w:snapToGrid w:val="0"/>
      <w:sz w:val="24"/>
      <w:szCs w:val="22"/>
      <w:lang w:val="en-US" w:eastAsia="en-US"/>
    </w:rPr>
  </w:style>
  <w:style w:type="paragraph" w:customStyle="1" w:styleId="TableText1">
    <w:name w:val="TableText"/>
    <w:basedOn w:val="Normal"/>
    <w:link w:val="TableTextChar1"/>
    <w:qFormat/>
    <w:rsid w:val="000002F4"/>
    <w:pPr>
      <w:keepNext/>
      <w:widowControl/>
      <w:spacing w:before="60" w:after="40"/>
      <w:jc w:val="left"/>
    </w:pPr>
    <w:rPr>
      <w:rFonts w:ascii="Arial Narrow" w:eastAsia="SimSun" w:hAnsi="Arial Narrow" w:cs="Arial Narrow"/>
      <w:snapToGrid/>
      <w:sz w:val="20"/>
      <w:szCs w:val="20"/>
    </w:rPr>
  </w:style>
  <w:style w:type="character" w:customStyle="1" w:styleId="TableTextChar1">
    <w:name w:val="TableText Char"/>
    <w:link w:val="TableText1"/>
    <w:rsid w:val="000002F4"/>
    <w:rPr>
      <w:rFonts w:ascii="Arial Narrow" w:eastAsia="SimSun" w:hAnsi="Arial Narrow" w:cs="Arial Narrow"/>
      <w:lang w:eastAsia="en-US"/>
    </w:rPr>
  </w:style>
  <w:style w:type="paragraph" w:customStyle="1" w:styleId="TableNotes">
    <w:name w:val="Table Notes"/>
    <w:basedOn w:val="Normal"/>
    <w:next w:val="Normal"/>
    <w:link w:val="TableNotesChar"/>
    <w:qFormat/>
    <w:rsid w:val="001D1DC1"/>
    <w:pPr>
      <w:keepNext/>
      <w:keepLines/>
      <w:widowControl/>
    </w:pPr>
    <w:rPr>
      <w:rFonts w:ascii="Arial" w:hAnsi="Arial" w:cs="Times New Roman"/>
      <w:snapToGrid/>
      <w:sz w:val="16"/>
      <w:szCs w:val="24"/>
      <w:lang w:eastAsia="en-AU"/>
    </w:rPr>
  </w:style>
  <w:style w:type="character" w:customStyle="1" w:styleId="TableNotesChar">
    <w:name w:val="Table Notes Char"/>
    <w:link w:val="TableNotes"/>
    <w:rsid w:val="001D1DC1"/>
    <w:rPr>
      <w:rFonts w:ascii="Arial" w:hAnsi="Arial"/>
      <w:sz w:val="16"/>
      <w:szCs w:val="24"/>
    </w:rPr>
  </w:style>
  <w:style w:type="table" w:customStyle="1" w:styleId="TableGridbeth5">
    <w:name w:val="Table Gridbeth5"/>
    <w:basedOn w:val="TableNormal"/>
    <w:next w:val="TableGrid"/>
    <w:uiPriority w:val="59"/>
    <w:rsid w:val="001D1DC1"/>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A55A3"/>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95CCE"/>
    <w:rPr>
      <w:rFonts w:ascii="Arial Narrow" w:hAnsi="Arial Narrow"/>
      <w:b/>
      <w:bCs/>
      <w:sz w:val="20"/>
      <w:szCs w:val="20"/>
    </w:rPr>
  </w:style>
  <w:style w:type="character" w:customStyle="1" w:styleId="CaptionChar">
    <w:name w:val="Caption Char"/>
    <w:link w:val="Caption"/>
    <w:rsid w:val="00195CCE"/>
    <w:rPr>
      <w:rFonts w:ascii="Arial Narrow" w:hAnsi="Arial Narrow" w:cs="Arial"/>
      <w:b/>
      <w:bCs/>
      <w:snapToGrid w:val="0"/>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CD5EF1"/>
    <w:rPr>
      <w:sz w:val="20"/>
      <w:szCs w:val="20"/>
    </w:rPr>
  </w:style>
  <w:style w:type="character" w:customStyle="1" w:styleId="FootnoteTextChar">
    <w:name w:val="Footnote Text Char"/>
    <w:basedOn w:val="DefaultParagraphFont"/>
    <w:link w:val="FootnoteText"/>
    <w:semiHidden/>
    <w:rsid w:val="00CD5EF1"/>
    <w:rPr>
      <w:rFonts w:ascii="Calibri" w:hAnsi="Calibri" w:cs="Arial"/>
      <w:snapToGrid w:val="0"/>
      <w:lang w:eastAsia="en-US"/>
    </w:rPr>
  </w:style>
  <w:style w:type="character" w:styleId="FootnoteReference">
    <w:name w:val="footnote reference"/>
    <w:basedOn w:val="DefaultParagraphFont"/>
    <w:semiHidden/>
    <w:unhideWhenUsed/>
    <w:rsid w:val="00CD5EF1"/>
    <w:rPr>
      <w:vertAlign w:val="superscript"/>
    </w:rPr>
  </w:style>
  <w:style w:type="paragraph" w:customStyle="1" w:styleId="TableText0">
    <w:name w:val="Table Text"/>
    <w:basedOn w:val="Tabletext"/>
    <w:link w:val="TableTextChar0"/>
    <w:uiPriority w:val="99"/>
    <w:qFormat/>
    <w:rsid w:val="002644F9"/>
    <w:pPr>
      <w:spacing w:before="20" w:after="20"/>
    </w:pPr>
    <w:rPr>
      <w:rFonts w:ascii="Arial" w:hAnsi="Arial"/>
      <w:sz w:val="16"/>
      <w:szCs w:val="20"/>
      <w:lang w:eastAsia="en-AU"/>
    </w:rPr>
  </w:style>
  <w:style w:type="character" w:customStyle="1" w:styleId="TableTextChar0">
    <w:name w:val="Table Text Char"/>
    <w:link w:val="TableText0"/>
    <w:uiPriority w:val="99"/>
    <w:rsid w:val="002644F9"/>
    <w:rPr>
      <w:rFonts w:ascii="Arial" w:hAnsi="Arial"/>
      <w:sz w:val="16"/>
    </w:rPr>
  </w:style>
  <w:style w:type="paragraph" w:customStyle="1" w:styleId="Tableheading0">
    <w:name w:val="Table heading"/>
    <w:basedOn w:val="Normal"/>
    <w:link w:val="TableheadingChar"/>
    <w:qFormat/>
    <w:rsid w:val="002644F9"/>
    <w:pPr>
      <w:keepNext/>
      <w:widowControl/>
      <w:spacing w:before="60" w:after="60"/>
    </w:pPr>
    <w:rPr>
      <w:rFonts w:ascii="Arial Narrow" w:hAnsi="Arial Narrow" w:cs="Times New Roman"/>
      <w:b/>
      <w:snapToGrid/>
      <w:sz w:val="20"/>
      <w:szCs w:val="20"/>
    </w:rPr>
  </w:style>
  <w:style w:type="character" w:customStyle="1" w:styleId="TableheadingChar">
    <w:name w:val="Table heading Char"/>
    <w:link w:val="Tableheading0"/>
    <w:rsid w:val="002644F9"/>
    <w:rPr>
      <w:rFonts w:ascii="Arial Narrow" w:hAnsi="Arial Narrow"/>
      <w:b/>
      <w:lang w:eastAsia="en-US"/>
    </w:rPr>
  </w:style>
  <w:style w:type="paragraph" w:customStyle="1" w:styleId="PBACheading10">
    <w:name w:val="PBAC heading 1"/>
    <w:qFormat/>
    <w:rsid w:val="00697472"/>
    <w:pPr>
      <w:ind w:left="720" w:hanging="720"/>
    </w:pPr>
    <w:rPr>
      <w:rFonts w:ascii="Arial" w:hAnsi="Arial" w:cs="Arial"/>
      <w:snapToGrid w:val="0"/>
      <w:sz w:val="22"/>
      <w:szCs w:val="22"/>
      <w:lang w:eastAsia="en-US"/>
    </w:rPr>
  </w:style>
  <w:style w:type="paragraph" w:customStyle="1" w:styleId="EndNoteBibliographyTitle">
    <w:name w:val="EndNote Bibliography Title"/>
    <w:basedOn w:val="Normal"/>
    <w:link w:val="EndNoteBibliographyTitleChar"/>
    <w:rsid w:val="00DB3E28"/>
    <w:pPr>
      <w:jc w:val="center"/>
    </w:pPr>
    <w:rPr>
      <w:noProof/>
      <w:lang w:val="en-US"/>
    </w:rPr>
  </w:style>
  <w:style w:type="character" w:customStyle="1" w:styleId="EndNoteBibliographyTitleChar">
    <w:name w:val="EndNote Bibliography Title Char"/>
    <w:basedOn w:val="DefaultParagraphFont"/>
    <w:link w:val="EndNoteBibliographyTitle"/>
    <w:rsid w:val="00DB3E28"/>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DB3E28"/>
    <w:rPr>
      <w:noProof/>
      <w:lang w:val="en-US"/>
    </w:rPr>
  </w:style>
  <w:style w:type="character" w:customStyle="1" w:styleId="EndNoteBibliographyChar">
    <w:name w:val="EndNote Bibliography Char"/>
    <w:basedOn w:val="DefaultParagraphFont"/>
    <w:link w:val="EndNoteBibliography"/>
    <w:rsid w:val="00DB3E28"/>
    <w:rPr>
      <w:rFonts w:ascii="Calibri" w:hAnsi="Calibri" w:cs="Arial"/>
      <w:noProof/>
      <w:snapToGrid w:val="0"/>
      <w:sz w:val="24"/>
      <w:szCs w:val="22"/>
      <w:lang w:val="en-US" w:eastAsia="en-US"/>
    </w:rPr>
  </w:style>
  <w:style w:type="paragraph" w:customStyle="1" w:styleId="TableText1">
    <w:name w:val="TableText"/>
    <w:basedOn w:val="Normal"/>
    <w:link w:val="TableTextChar1"/>
    <w:qFormat/>
    <w:rsid w:val="000002F4"/>
    <w:pPr>
      <w:keepNext/>
      <w:widowControl/>
      <w:spacing w:before="60" w:after="40"/>
      <w:jc w:val="left"/>
    </w:pPr>
    <w:rPr>
      <w:rFonts w:ascii="Arial Narrow" w:eastAsia="SimSun" w:hAnsi="Arial Narrow" w:cs="Arial Narrow"/>
      <w:snapToGrid/>
      <w:sz w:val="20"/>
      <w:szCs w:val="20"/>
    </w:rPr>
  </w:style>
  <w:style w:type="character" w:customStyle="1" w:styleId="TableTextChar1">
    <w:name w:val="TableText Char"/>
    <w:link w:val="TableText1"/>
    <w:rsid w:val="000002F4"/>
    <w:rPr>
      <w:rFonts w:ascii="Arial Narrow" w:eastAsia="SimSun" w:hAnsi="Arial Narrow" w:cs="Arial Narrow"/>
      <w:lang w:eastAsia="en-US"/>
    </w:rPr>
  </w:style>
  <w:style w:type="paragraph" w:customStyle="1" w:styleId="TableNotes">
    <w:name w:val="Table Notes"/>
    <w:basedOn w:val="Normal"/>
    <w:next w:val="Normal"/>
    <w:link w:val="TableNotesChar"/>
    <w:qFormat/>
    <w:rsid w:val="001D1DC1"/>
    <w:pPr>
      <w:keepNext/>
      <w:keepLines/>
      <w:widowControl/>
    </w:pPr>
    <w:rPr>
      <w:rFonts w:ascii="Arial" w:hAnsi="Arial" w:cs="Times New Roman"/>
      <w:snapToGrid/>
      <w:sz w:val="16"/>
      <w:szCs w:val="24"/>
      <w:lang w:eastAsia="en-AU"/>
    </w:rPr>
  </w:style>
  <w:style w:type="character" w:customStyle="1" w:styleId="TableNotesChar">
    <w:name w:val="Table Notes Char"/>
    <w:link w:val="TableNotes"/>
    <w:rsid w:val="001D1DC1"/>
    <w:rPr>
      <w:rFonts w:ascii="Arial" w:hAnsi="Arial"/>
      <w:sz w:val="16"/>
      <w:szCs w:val="24"/>
    </w:rPr>
  </w:style>
  <w:style w:type="table" w:customStyle="1" w:styleId="TableGridbeth5">
    <w:name w:val="Table Gridbeth5"/>
    <w:basedOn w:val="TableNormal"/>
    <w:next w:val="TableGrid"/>
    <w:uiPriority w:val="59"/>
    <w:rsid w:val="001D1DC1"/>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5386">
      <w:bodyDiv w:val="1"/>
      <w:marLeft w:val="0"/>
      <w:marRight w:val="0"/>
      <w:marTop w:val="0"/>
      <w:marBottom w:val="0"/>
      <w:divBdr>
        <w:top w:val="none" w:sz="0" w:space="0" w:color="auto"/>
        <w:left w:val="none" w:sz="0" w:space="0" w:color="auto"/>
        <w:bottom w:val="none" w:sz="0" w:space="0" w:color="auto"/>
        <w:right w:val="none" w:sz="0" w:space="0" w:color="auto"/>
      </w:divBdr>
    </w:div>
    <w:div w:id="358244456">
      <w:bodyDiv w:val="1"/>
      <w:marLeft w:val="0"/>
      <w:marRight w:val="0"/>
      <w:marTop w:val="0"/>
      <w:marBottom w:val="0"/>
      <w:divBdr>
        <w:top w:val="none" w:sz="0" w:space="0" w:color="auto"/>
        <w:left w:val="none" w:sz="0" w:space="0" w:color="auto"/>
        <w:bottom w:val="none" w:sz="0" w:space="0" w:color="auto"/>
        <w:right w:val="none" w:sz="0" w:space="0" w:color="auto"/>
      </w:divBdr>
    </w:div>
    <w:div w:id="670714497">
      <w:bodyDiv w:val="1"/>
      <w:marLeft w:val="0"/>
      <w:marRight w:val="0"/>
      <w:marTop w:val="0"/>
      <w:marBottom w:val="0"/>
      <w:divBdr>
        <w:top w:val="none" w:sz="0" w:space="0" w:color="auto"/>
        <w:left w:val="none" w:sz="0" w:space="0" w:color="auto"/>
        <w:bottom w:val="none" w:sz="0" w:space="0" w:color="auto"/>
        <w:right w:val="none" w:sz="0" w:space="0" w:color="auto"/>
      </w:divBdr>
    </w:div>
    <w:div w:id="951471505">
      <w:bodyDiv w:val="1"/>
      <w:marLeft w:val="0"/>
      <w:marRight w:val="0"/>
      <w:marTop w:val="0"/>
      <w:marBottom w:val="0"/>
      <w:divBdr>
        <w:top w:val="none" w:sz="0" w:space="0" w:color="auto"/>
        <w:left w:val="none" w:sz="0" w:space="0" w:color="auto"/>
        <w:bottom w:val="none" w:sz="0" w:space="0" w:color="auto"/>
        <w:right w:val="none" w:sz="0" w:space="0" w:color="auto"/>
      </w:divBdr>
    </w:div>
    <w:div w:id="1934557522">
      <w:bodyDiv w:val="1"/>
      <w:marLeft w:val="0"/>
      <w:marRight w:val="0"/>
      <w:marTop w:val="0"/>
      <w:marBottom w:val="0"/>
      <w:divBdr>
        <w:top w:val="none" w:sz="0" w:space="0" w:color="auto"/>
        <w:left w:val="none" w:sz="0" w:space="0" w:color="auto"/>
        <w:bottom w:val="none" w:sz="0" w:space="0" w:color="auto"/>
        <w:right w:val="none" w:sz="0" w:space="0" w:color="auto"/>
      </w:divBdr>
    </w:div>
    <w:div w:id="20195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411A-D215-4A40-8B76-62EA5035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15395</Words>
  <Characters>89372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2018-10-07T02:34:00Z</dcterms:created>
  <dcterms:modified xsi:type="dcterms:W3CDTF">2018-10-18T07:42:00Z</dcterms:modified>
</cp:coreProperties>
</file>