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B8" w:rsidRPr="00FA6DB0" w:rsidRDefault="00B73CB8" w:rsidP="00157F67">
      <w:pPr>
        <w:pStyle w:val="Title"/>
        <w:spacing w:before="120" w:after="160"/>
        <w:rPr>
          <w:rFonts w:asciiTheme="minorHAnsi" w:hAnsiTheme="minorHAnsi"/>
          <w:sz w:val="36"/>
          <w:szCs w:val="36"/>
        </w:rPr>
      </w:pPr>
      <w:bookmarkStart w:id="0" w:name="_GoBack"/>
      <w:bookmarkEnd w:id="0"/>
    </w:p>
    <w:p w:rsidR="00C27B58" w:rsidRPr="00FA6DB0" w:rsidRDefault="00B946F2" w:rsidP="00577C4D">
      <w:pPr>
        <w:pStyle w:val="Title"/>
        <w:spacing w:before="120" w:after="160"/>
        <w:ind w:left="720" w:hanging="720"/>
        <w:rPr>
          <w:rFonts w:asciiTheme="minorHAnsi" w:hAnsiTheme="minorHAnsi"/>
          <w:sz w:val="36"/>
          <w:szCs w:val="36"/>
        </w:rPr>
      </w:pPr>
      <w:r w:rsidRPr="00FA6DB0">
        <w:rPr>
          <w:rFonts w:asciiTheme="minorHAnsi" w:hAnsiTheme="minorHAnsi"/>
          <w:sz w:val="36"/>
          <w:szCs w:val="36"/>
        </w:rPr>
        <w:t>12</w:t>
      </w:r>
      <w:r w:rsidR="0004240E" w:rsidRPr="00FA6DB0">
        <w:rPr>
          <w:rFonts w:asciiTheme="minorHAnsi" w:hAnsiTheme="minorHAnsi"/>
          <w:sz w:val="36"/>
          <w:szCs w:val="36"/>
        </w:rPr>
        <w:t>.</w:t>
      </w:r>
      <w:r w:rsidRPr="00FA6DB0">
        <w:rPr>
          <w:rFonts w:asciiTheme="minorHAnsi" w:hAnsiTheme="minorHAnsi"/>
          <w:sz w:val="36"/>
          <w:szCs w:val="36"/>
        </w:rPr>
        <w:t>12 Nusinersen prescribing and administration requirements</w:t>
      </w:r>
    </w:p>
    <w:p w:rsidR="008A50F1" w:rsidRPr="00FA6DB0" w:rsidRDefault="00CE10C4" w:rsidP="00EB0B63">
      <w:pPr>
        <w:pStyle w:val="PBACHeading1"/>
        <w:spacing w:before="240" w:after="120"/>
        <w:ind w:left="709" w:hanging="709"/>
        <w:rPr>
          <w:rFonts w:asciiTheme="minorHAnsi" w:hAnsiTheme="minorHAnsi"/>
          <w:sz w:val="32"/>
          <w:szCs w:val="32"/>
        </w:rPr>
      </w:pPr>
      <w:r w:rsidRPr="00FA6DB0">
        <w:rPr>
          <w:rFonts w:asciiTheme="minorHAnsi" w:hAnsiTheme="minorHAnsi"/>
          <w:sz w:val="32"/>
          <w:szCs w:val="32"/>
        </w:rPr>
        <w:t xml:space="preserve">Purpose of </w:t>
      </w:r>
      <w:r w:rsidR="00BA1786" w:rsidRPr="00FA6DB0">
        <w:rPr>
          <w:rFonts w:asciiTheme="minorHAnsi" w:hAnsiTheme="minorHAnsi"/>
          <w:sz w:val="32"/>
          <w:szCs w:val="32"/>
        </w:rPr>
        <w:t>Item</w:t>
      </w:r>
    </w:p>
    <w:p w:rsidR="00EF44A0" w:rsidRPr="00FA6DB0" w:rsidRDefault="00B946F2" w:rsidP="00BA1786">
      <w:pPr>
        <w:pStyle w:val="ListParagraph"/>
        <w:widowControl/>
        <w:numPr>
          <w:ilvl w:val="1"/>
          <w:numId w:val="5"/>
        </w:numPr>
        <w:spacing w:after="120"/>
        <w:contextualSpacing w:val="0"/>
        <w:rPr>
          <w:rFonts w:asciiTheme="minorHAnsi" w:hAnsiTheme="minorHAnsi"/>
          <w:sz w:val="24"/>
          <w:szCs w:val="24"/>
        </w:rPr>
      </w:pPr>
      <w:r w:rsidRPr="00FA6DB0">
        <w:rPr>
          <w:rFonts w:asciiTheme="minorHAnsi" w:hAnsiTheme="minorHAnsi"/>
          <w:sz w:val="24"/>
          <w:szCs w:val="24"/>
        </w:rPr>
        <w:t>To</w:t>
      </w:r>
      <w:r w:rsidR="009742C9" w:rsidRPr="00FA6DB0">
        <w:rPr>
          <w:rFonts w:asciiTheme="minorHAnsi" w:hAnsiTheme="minorHAnsi"/>
          <w:sz w:val="24"/>
          <w:szCs w:val="24"/>
        </w:rPr>
        <w:t xml:space="preserve"> request that the PBAC consider an amendment to the current </w:t>
      </w:r>
      <w:r w:rsidR="0070295D" w:rsidRPr="00FA6DB0">
        <w:rPr>
          <w:rFonts w:asciiTheme="minorHAnsi" w:hAnsiTheme="minorHAnsi"/>
          <w:sz w:val="24"/>
          <w:szCs w:val="24"/>
        </w:rPr>
        <w:t>listing</w:t>
      </w:r>
      <w:r w:rsidR="009742C9" w:rsidRPr="00FA6DB0">
        <w:rPr>
          <w:rFonts w:asciiTheme="minorHAnsi" w:hAnsiTheme="minorHAnsi"/>
          <w:sz w:val="24"/>
          <w:szCs w:val="24"/>
        </w:rPr>
        <w:t xml:space="preserve"> for nusinersen to allow nusinersen to be </w:t>
      </w:r>
      <w:r w:rsidR="00D3730E" w:rsidRPr="00FA6DB0">
        <w:rPr>
          <w:rFonts w:asciiTheme="minorHAnsi" w:hAnsiTheme="minorHAnsi"/>
          <w:sz w:val="24"/>
          <w:szCs w:val="24"/>
        </w:rPr>
        <w:t>prescribed</w:t>
      </w:r>
      <w:r w:rsidR="009742C9" w:rsidRPr="00FA6DB0">
        <w:rPr>
          <w:rFonts w:asciiTheme="minorHAnsi" w:hAnsiTheme="minorHAnsi"/>
          <w:sz w:val="24"/>
          <w:szCs w:val="24"/>
        </w:rPr>
        <w:t xml:space="preserve"> in a private hospital setting.  </w:t>
      </w:r>
    </w:p>
    <w:p w:rsidR="006A12A5" w:rsidRPr="00FA6DB0" w:rsidRDefault="00BA1786" w:rsidP="00EB0B63">
      <w:pPr>
        <w:pStyle w:val="PBACHeading1"/>
        <w:spacing w:before="240" w:after="120"/>
        <w:ind w:left="709" w:hanging="709"/>
        <w:rPr>
          <w:rFonts w:asciiTheme="minorHAnsi" w:hAnsiTheme="minorHAnsi"/>
          <w:sz w:val="32"/>
          <w:szCs w:val="32"/>
        </w:rPr>
      </w:pPr>
      <w:r w:rsidRPr="00FA6DB0">
        <w:rPr>
          <w:rFonts w:asciiTheme="minorHAnsi" w:hAnsiTheme="minorHAnsi"/>
          <w:sz w:val="32"/>
          <w:szCs w:val="32"/>
        </w:rPr>
        <w:t>Background</w:t>
      </w:r>
    </w:p>
    <w:p w:rsidR="003476E9" w:rsidRPr="00FA6DB0" w:rsidRDefault="009742C9" w:rsidP="009742C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A6DB0">
        <w:rPr>
          <w:rFonts w:asciiTheme="minorHAnsi" w:eastAsiaTheme="minorHAnsi" w:hAnsiTheme="minorHAnsi" w:cstheme="minorBidi"/>
          <w:snapToGrid/>
          <w:sz w:val="24"/>
          <w:szCs w:val="22"/>
        </w:rPr>
        <w:t xml:space="preserve">At the March 2018 meeting, the PBAC recommended the Section 100 (Highly Specialised Drugs Program) listing of nusinersen for the treatment of paediatric patients with infantile-onset or childhood onset Spinal Muscular Atrophy (SMA) with onset of symptoms prior to 3 years of age. </w:t>
      </w:r>
      <w:r w:rsidR="003476E9" w:rsidRPr="00FA6DB0">
        <w:rPr>
          <w:rFonts w:asciiTheme="minorHAnsi" w:eastAsiaTheme="minorHAnsi" w:hAnsiTheme="minorHAnsi" w:cstheme="minorBidi"/>
          <w:snapToGrid/>
          <w:sz w:val="24"/>
          <w:szCs w:val="22"/>
        </w:rPr>
        <w:t xml:space="preserve"> In making its decision, the PBAC also advised that further consultation with clinicians experienced in treating patients with SMA would be required to finalise the restriction (paragraph 6.15, Nusinersen March 2018 Public Summary Document). </w:t>
      </w:r>
    </w:p>
    <w:p w:rsidR="008A1956" w:rsidRPr="00FA6DB0" w:rsidRDefault="009742C9" w:rsidP="009742C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A6DB0">
        <w:rPr>
          <w:rFonts w:asciiTheme="minorHAnsi" w:eastAsiaTheme="minorHAnsi" w:hAnsiTheme="minorHAnsi" w:cstheme="minorBidi"/>
          <w:snapToGrid/>
          <w:sz w:val="24"/>
          <w:szCs w:val="22"/>
        </w:rPr>
        <w:t xml:space="preserve"> </w:t>
      </w:r>
      <w:r w:rsidR="005E615E" w:rsidRPr="00FA6DB0">
        <w:rPr>
          <w:rFonts w:asciiTheme="minorHAnsi" w:eastAsiaTheme="minorHAnsi" w:hAnsiTheme="minorHAnsi" w:cstheme="minorBidi"/>
          <w:snapToGrid/>
          <w:sz w:val="24"/>
          <w:szCs w:val="22"/>
        </w:rPr>
        <w:t xml:space="preserve">In the consultation process, </w:t>
      </w:r>
      <w:r w:rsidR="00334D65" w:rsidRPr="00FA6DB0">
        <w:rPr>
          <w:rFonts w:asciiTheme="minorHAnsi" w:eastAsiaTheme="minorHAnsi" w:hAnsiTheme="minorHAnsi" w:cstheme="minorBidi"/>
          <w:snapToGrid/>
          <w:sz w:val="24"/>
          <w:szCs w:val="22"/>
        </w:rPr>
        <w:t xml:space="preserve">expert </w:t>
      </w:r>
      <w:r w:rsidR="002A1EB3" w:rsidRPr="00FA6DB0">
        <w:rPr>
          <w:rFonts w:asciiTheme="minorHAnsi" w:eastAsiaTheme="minorHAnsi" w:hAnsiTheme="minorHAnsi" w:cstheme="minorBidi"/>
          <w:snapToGrid/>
          <w:sz w:val="24"/>
          <w:szCs w:val="22"/>
        </w:rPr>
        <w:t xml:space="preserve">clinicians </w:t>
      </w:r>
      <w:r w:rsidR="00334D65" w:rsidRPr="00FA6DB0">
        <w:rPr>
          <w:rFonts w:asciiTheme="minorHAnsi" w:eastAsiaTheme="minorHAnsi" w:hAnsiTheme="minorHAnsi" w:cstheme="minorBidi"/>
          <w:snapToGrid/>
          <w:sz w:val="24"/>
          <w:szCs w:val="22"/>
        </w:rPr>
        <w:t xml:space="preserve">involved in the treatment of SMA advised </w:t>
      </w:r>
      <w:r w:rsidR="002A1EB3" w:rsidRPr="00FA6DB0">
        <w:rPr>
          <w:rFonts w:asciiTheme="minorHAnsi" w:eastAsiaTheme="minorHAnsi" w:hAnsiTheme="minorHAnsi" w:cstheme="minorBidi"/>
          <w:snapToGrid/>
          <w:sz w:val="24"/>
          <w:szCs w:val="22"/>
        </w:rPr>
        <w:t xml:space="preserve">that all hospitals in Australia with specialist </w:t>
      </w:r>
      <w:r w:rsidR="00B024CB" w:rsidRPr="00FA6DB0">
        <w:rPr>
          <w:rFonts w:asciiTheme="minorHAnsi" w:eastAsiaTheme="minorHAnsi" w:hAnsiTheme="minorHAnsi" w:cstheme="minorBidi"/>
          <w:snapToGrid/>
          <w:sz w:val="24"/>
          <w:szCs w:val="22"/>
        </w:rPr>
        <w:t>neuromuscular clinics</w:t>
      </w:r>
      <w:r w:rsidR="002A1EB3" w:rsidRPr="00FA6DB0">
        <w:rPr>
          <w:rFonts w:asciiTheme="minorHAnsi" w:eastAsiaTheme="minorHAnsi" w:hAnsiTheme="minorHAnsi" w:cstheme="minorBidi"/>
          <w:snapToGrid/>
          <w:sz w:val="24"/>
          <w:szCs w:val="22"/>
        </w:rPr>
        <w:t xml:space="preserve"> and clinicians with expertise in treating patients with SMA were public hospitals</w:t>
      </w:r>
      <w:r w:rsidR="003A7F56" w:rsidRPr="00FA6DB0">
        <w:rPr>
          <w:rFonts w:asciiTheme="minorHAnsi" w:eastAsiaTheme="minorHAnsi" w:hAnsiTheme="minorHAnsi" w:cstheme="minorBidi"/>
          <w:snapToGrid/>
          <w:sz w:val="24"/>
          <w:szCs w:val="22"/>
        </w:rPr>
        <w:t>. Nusinersen was subsequently listed on the PBS on 1 June 2018</w:t>
      </w:r>
      <w:r w:rsidR="00282608" w:rsidRPr="00FA6DB0">
        <w:rPr>
          <w:rFonts w:asciiTheme="minorHAnsi" w:eastAsiaTheme="minorHAnsi" w:hAnsiTheme="minorHAnsi" w:cstheme="minorBidi"/>
          <w:snapToGrid/>
          <w:sz w:val="24"/>
          <w:szCs w:val="22"/>
        </w:rPr>
        <w:t xml:space="preserve"> under Section 100 (Highly Specialised Drugs Program) with a listing for the Public Hospital setting only. </w:t>
      </w:r>
    </w:p>
    <w:p w:rsidR="005A3173" w:rsidRPr="00FA6DB0" w:rsidRDefault="005A3173" w:rsidP="00D31150">
      <w:pPr>
        <w:pStyle w:val="PBACHeading1"/>
        <w:spacing w:before="240" w:after="120"/>
        <w:ind w:left="709" w:hanging="709"/>
        <w:rPr>
          <w:rFonts w:asciiTheme="minorHAnsi" w:hAnsiTheme="minorHAnsi"/>
          <w:sz w:val="32"/>
          <w:szCs w:val="32"/>
        </w:rPr>
      </w:pPr>
      <w:r w:rsidRPr="00FA6DB0">
        <w:rPr>
          <w:rFonts w:asciiTheme="minorHAnsi" w:hAnsiTheme="minorHAnsi"/>
          <w:sz w:val="32"/>
          <w:szCs w:val="32"/>
        </w:rPr>
        <w:t>C</w:t>
      </w:r>
      <w:r w:rsidR="00BA1786" w:rsidRPr="00FA6DB0">
        <w:rPr>
          <w:rFonts w:asciiTheme="minorHAnsi" w:hAnsiTheme="minorHAnsi"/>
          <w:sz w:val="32"/>
          <w:szCs w:val="32"/>
        </w:rPr>
        <w:t>urrent situation</w:t>
      </w:r>
    </w:p>
    <w:p w:rsidR="008A1956" w:rsidRPr="00FA6DB0" w:rsidRDefault="006421F4" w:rsidP="00BA1786">
      <w:pPr>
        <w:pStyle w:val="ListParagraph"/>
        <w:widowControl/>
        <w:numPr>
          <w:ilvl w:val="1"/>
          <w:numId w:val="14"/>
        </w:numPr>
        <w:spacing w:before="120" w:after="160"/>
        <w:rPr>
          <w:rFonts w:asciiTheme="minorHAnsi" w:hAnsiTheme="minorHAnsi"/>
          <w:sz w:val="24"/>
          <w:szCs w:val="24"/>
        </w:rPr>
      </w:pPr>
      <w:r w:rsidRPr="00FA6DB0">
        <w:rPr>
          <w:rFonts w:asciiTheme="minorHAnsi" w:eastAsiaTheme="minorHAnsi" w:hAnsiTheme="minorHAnsi" w:cstheme="minorBidi"/>
          <w:snapToGrid/>
          <w:sz w:val="24"/>
          <w:szCs w:val="22"/>
        </w:rPr>
        <w:t>Following the PBS listing of nusiners</w:t>
      </w:r>
      <w:r w:rsidR="00A10848" w:rsidRPr="00FA6DB0">
        <w:rPr>
          <w:rFonts w:asciiTheme="minorHAnsi" w:eastAsiaTheme="minorHAnsi" w:hAnsiTheme="minorHAnsi" w:cstheme="minorBidi"/>
          <w:snapToGrid/>
          <w:sz w:val="24"/>
          <w:szCs w:val="22"/>
        </w:rPr>
        <w:t>e</w:t>
      </w:r>
      <w:r w:rsidRPr="00FA6DB0">
        <w:rPr>
          <w:rFonts w:asciiTheme="minorHAnsi" w:eastAsiaTheme="minorHAnsi" w:hAnsiTheme="minorHAnsi" w:cstheme="minorBidi"/>
          <w:snapToGrid/>
          <w:sz w:val="24"/>
          <w:szCs w:val="22"/>
        </w:rPr>
        <w:t>n, t</w:t>
      </w:r>
      <w:r w:rsidR="00282608" w:rsidRPr="00FA6DB0">
        <w:rPr>
          <w:rFonts w:asciiTheme="minorHAnsi" w:eastAsiaTheme="minorHAnsi" w:hAnsiTheme="minorHAnsi" w:cstheme="minorBidi"/>
          <w:snapToGrid/>
          <w:sz w:val="24"/>
          <w:szCs w:val="22"/>
        </w:rPr>
        <w:t xml:space="preserve">he Department </w:t>
      </w:r>
      <w:r w:rsidR="00C8194E" w:rsidRPr="00FA6DB0">
        <w:rPr>
          <w:rFonts w:asciiTheme="minorHAnsi" w:eastAsiaTheme="minorHAnsi" w:hAnsiTheme="minorHAnsi" w:cstheme="minorBidi"/>
          <w:snapToGrid/>
          <w:sz w:val="24"/>
          <w:szCs w:val="22"/>
        </w:rPr>
        <w:t>received</w:t>
      </w:r>
      <w:r w:rsidR="00332F03" w:rsidRPr="00FA6DB0">
        <w:rPr>
          <w:rFonts w:asciiTheme="minorHAnsi" w:eastAsiaTheme="minorHAnsi" w:hAnsiTheme="minorHAnsi" w:cstheme="minorBidi"/>
          <w:snapToGrid/>
          <w:sz w:val="24"/>
          <w:szCs w:val="22"/>
        </w:rPr>
        <w:t xml:space="preserve"> a</w:t>
      </w:r>
      <w:r w:rsidR="005A6387" w:rsidRPr="00FA6DB0">
        <w:rPr>
          <w:rFonts w:asciiTheme="minorHAnsi" w:eastAsiaTheme="minorHAnsi" w:hAnsiTheme="minorHAnsi" w:cstheme="minorBidi"/>
          <w:snapToGrid/>
          <w:sz w:val="24"/>
          <w:szCs w:val="22"/>
        </w:rPr>
        <w:t xml:space="preserve"> </w:t>
      </w:r>
      <w:r w:rsidR="00C8194E" w:rsidRPr="00FA6DB0">
        <w:rPr>
          <w:rFonts w:asciiTheme="minorHAnsi" w:eastAsiaTheme="minorHAnsi" w:hAnsiTheme="minorHAnsi" w:cstheme="minorBidi"/>
          <w:snapToGrid/>
          <w:sz w:val="24"/>
          <w:szCs w:val="22"/>
        </w:rPr>
        <w:t xml:space="preserve">request from a </w:t>
      </w:r>
      <w:r w:rsidR="001D3C89">
        <w:rPr>
          <w:rFonts w:asciiTheme="minorHAnsi" w:eastAsiaTheme="minorHAnsi" w:hAnsiTheme="minorHAnsi" w:cstheme="minorBidi"/>
          <w:noProof/>
          <w:snapToGrid/>
          <w:color w:val="000000"/>
          <w:sz w:val="24"/>
          <w:szCs w:val="22"/>
          <w:highlight w:val="black"/>
        </w:rPr>
        <w:t>''''''''''''''''' ''''''''''''''''''''</w:t>
      </w:r>
      <w:r w:rsidR="00C8194E" w:rsidRPr="00FA6DB0">
        <w:rPr>
          <w:rFonts w:asciiTheme="minorHAnsi" w:eastAsiaTheme="minorHAnsi" w:hAnsiTheme="minorHAnsi" w:cstheme="minorBidi"/>
          <w:snapToGrid/>
          <w:sz w:val="24"/>
          <w:szCs w:val="22"/>
        </w:rPr>
        <w:t xml:space="preserve"> to administer nusinersen in a private hospital setting to a patient </w:t>
      </w:r>
      <w:r w:rsidR="00994192" w:rsidRPr="00FA6DB0">
        <w:rPr>
          <w:rFonts w:asciiTheme="minorHAnsi" w:eastAsiaTheme="minorHAnsi" w:hAnsiTheme="minorHAnsi" w:cstheme="minorBidi"/>
          <w:snapToGrid/>
          <w:sz w:val="24"/>
          <w:szCs w:val="22"/>
        </w:rPr>
        <w:t xml:space="preserve">with SMA </w:t>
      </w:r>
      <w:r w:rsidR="00C8194E" w:rsidRPr="00FA6DB0">
        <w:rPr>
          <w:rFonts w:asciiTheme="minorHAnsi" w:eastAsiaTheme="minorHAnsi" w:hAnsiTheme="minorHAnsi" w:cstheme="minorBidi"/>
          <w:snapToGrid/>
          <w:sz w:val="24"/>
          <w:szCs w:val="22"/>
        </w:rPr>
        <w:t>undergoing a</w:t>
      </w:r>
      <w:r w:rsidR="00C61F8A" w:rsidRPr="00FA6DB0">
        <w:rPr>
          <w:rFonts w:asciiTheme="minorHAnsi" w:eastAsiaTheme="minorHAnsi" w:hAnsiTheme="minorHAnsi" w:cstheme="minorBidi"/>
          <w:snapToGrid/>
          <w:sz w:val="24"/>
          <w:szCs w:val="22"/>
        </w:rPr>
        <w:t xml:space="preserve"> separate</w:t>
      </w:r>
      <w:r w:rsidR="00C8194E" w:rsidRPr="00FA6DB0">
        <w:rPr>
          <w:rFonts w:asciiTheme="minorHAnsi" w:eastAsiaTheme="minorHAnsi" w:hAnsiTheme="minorHAnsi" w:cstheme="minorBidi"/>
          <w:snapToGrid/>
          <w:sz w:val="24"/>
          <w:szCs w:val="22"/>
        </w:rPr>
        <w:t xml:space="preserve"> procedure under general anaesthetic. The request indicated that this would </w:t>
      </w:r>
      <w:r w:rsidR="00C61F8A" w:rsidRPr="00FA6DB0">
        <w:rPr>
          <w:rFonts w:asciiTheme="minorHAnsi" w:eastAsiaTheme="minorHAnsi" w:hAnsiTheme="minorHAnsi" w:cstheme="minorBidi"/>
          <w:snapToGrid/>
          <w:sz w:val="24"/>
          <w:szCs w:val="22"/>
        </w:rPr>
        <w:t>eliminate the requirement for the patient to be administered an additional dose of</w:t>
      </w:r>
      <w:r w:rsidR="00C8194E" w:rsidRPr="00FA6DB0">
        <w:rPr>
          <w:rFonts w:asciiTheme="minorHAnsi" w:eastAsiaTheme="minorHAnsi" w:hAnsiTheme="minorHAnsi" w:cstheme="minorBidi"/>
          <w:snapToGrid/>
          <w:sz w:val="24"/>
          <w:szCs w:val="22"/>
        </w:rPr>
        <w:t xml:space="preserve"> gen</w:t>
      </w:r>
      <w:r w:rsidR="00C61F8A" w:rsidRPr="00FA6DB0">
        <w:rPr>
          <w:rFonts w:asciiTheme="minorHAnsi" w:eastAsiaTheme="minorHAnsi" w:hAnsiTheme="minorHAnsi" w:cstheme="minorBidi"/>
          <w:snapToGrid/>
          <w:sz w:val="24"/>
          <w:szCs w:val="22"/>
        </w:rPr>
        <w:t>eral anaesthetic, which would pl</w:t>
      </w:r>
      <w:r w:rsidR="003E03B1">
        <w:rPr>
          <w:rFonts w:asciiTheme="minorHAnsi" w:eastAsiaTheme="minorHAnsi" w:hAnsiTheme="minorHAnsi" w:cstheme="minorBidi"/>
          <w:snapToGrid/>
          <w:sz w:val="24"/>
          <w:szCs w:val="22"/>
        </w:rPr>
        <w:t>ace the patient at higher risk.</w:t>
      </w:r>
    </w:p>
    <w:p w:rsidR="000B558D" w:rsidRPr="00FA6DB0" w:rsidRDefault="00282608"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A6DB0">
        <w:rPr>
          <w:rFonts w:asciiTheme="minorHAnsi" w:hAnsiTheme="minorHAnsi"/>
          <w:sz w:val="32"/>
          <w:szCs w:val="32"/>
        </w:rPr>
        <w:t xml:space="preserve">PBAC Outcome </w:t>
      </w:r>
    </w:p>
    <w:p w:rsidR="000246A1" w:rsidRPr="003E03B1" w:rsidRDefault="00282608" w:rsidP="003E03B1">
      <w:pPr>
        <w:pStyle w:val="ListParagraph"/>
        <w:widowControl/>
        <w:numPr>
          <w:ilvl w:val="1"/>
          <w:numId w:val="14"/>
        </w:numPr>
        <w:spacing w:after="120"/>
        <w:contextualSpacing w:val="0"/>
        <w:rPr>
          <w:rFonts w:asciiTheme="minorHAnsi" w:hAnsiTheme="minorHAnsi"/>
          <w:sz w:val="24"/>
          <w:szCs w:val="24"/>
        </w:rPr>
      </w:pPr>
      <w:r w:rsidRPr="00FA6DB0">
        <w:rPr>
          <w:rFonts w:asciiTheme="minorHAnsi" w:eastAsiaTheme="minorHAnsi" w:hAnsiTheme="minorHAnsi" w:cstheme="minorBidi"/>
          <w:snapToGrid/>
          <w:sz w:val="24"/>
          <w:szCs w:val="22"/>
        </w:rPr>
        <w:t xml:space="preserve">The </w:t>
      </w:r>
      <w:r w:rsidR="00B73CB8" w:rsidRPr="00FA6DB0">
        <w:rPr>
          <w:rFonts w:asciiTheme="minorHAnsi" w:eastAsiaTheme="minorHAnsi" w:hAnsiTheme="minorHAnsi" w:cstheme="minorBidi"/>
          <w:snapToGrid/>
          <w:sz w:val="24"/>
          <w:szCs w:val="22"/>
        </w:rPr>
        <w:t xml:space="preserve">PBAC </w:t>
      </w:r>
      <w:r w:rsidR="00453842" w:rsidRPr="00FA6DB0">
        <w:rPr>
          <w:rFonts w:asciiTheme="minorHAnsi" w:eastAsiaTheme="minorHAnsi" w:hAnsiTheme="minorHAnsi" w:cstheme="minorBidi"/>
          <w:snapToGrid/>
          <w:sz w:val="24"/>
          <w:szCs w:val="22"/>
        </w:rPr>
        <w:t>recommended</w:t>
      </w:r>
      <w:r w:rsidR="0070295D" w:rsidRPr="00FA6DB0">
        <w:rPr>
          <w:rFonts w:asciiTheme="minorHAnsi" w:eastAsiaTheme="minorHAnsi" w:hAnsiTheme="minorHAnsi" w:cstheme="minorBidi"/>
          <w:snapToGrid/>
          <w:sz w:val="24"/>
          <w:szCs w:val="22"/>
        </w:rPr>
        <w:t xml:space="preserve"> that the current</w:t>
      </w:r>
      <w:r w:rsidR="000246A1" w:rsidRPr="00FA6DB0">
        <w:rPr>
          <w:rFonts w:asciiTheme="minorHAnsi" w:eastAsiaTheme="minorHAnsi" w:hAnsiTheme="minorHAnsi" w:cstheme="minorBidi"/>
          <w:snapToGrid/>
          <w:sz w:val="24"/>
          <w:szCs w:val="22"/>
        </w:rPr>
        <w:t xml:space="preserve"> Section 100 (Highly Specialised Drugs Program) Public Hospital</w:t>
      </w:r>
      <w:r w:rsidR="0070295D" w:rsidRPr="00FA6DB0">
        <w:rPr>
          <w:rFonts w:asciiTheme="minorHAnsi" w:eastAsiaTheme="minorHAnsi" w:hAnsiTheme="minorHAnsi" w:cstheme="minorBidi"/>
          <w:snapToGrid/>
          <w:sz w:val="24"/>
          <w:szCs w:val="22"/>
        </w:rPr>
        <w:t xml:space="preserve"> listing for nusinersen be</w:t>
      </w:r>
      <w:r w:rsidR="000246A1" w:rsidRPr="00FA6DB0">
        <w:rPr>
          <w:rFonts w:asciiTheme="minorHAnsi" w:eastAsiaTheme="minorHAnsi" w:hAnsiTheme="minorHAnsi" w:cstheme="minorBidi"/>
          <w:snapToGrid/>
          <w:sz w:val="24"/>
          <w:szCs w:val="22"/>
        </w:rPr>
        <w:t xml:space="preserve"> extended to </w:t>
      </w:r>
      <w:r w:rsidR="006306D5" w:rsidRPr="00FA6DB0">
        <w:rPr>
          <w:rFonts w:asciiTheme="minorHAnsi" w:eastAsiaTheme="minorHAnsi" w:hAnsiTheme="minorHAnsi" w:cstheme="minorBidi"/>
          <w:snapToGrid/>
          <w:sz w:val="24"/>
          <w:szCs w:val="22"/>
        </w:rPr>
        <w:t xml:space="preserve">include </w:t>
      </w:r>
      <w:r w:rsidR="000246A1" w:rsidRPr="00FA6DB0">
        <w:rPr>
          <w:rFonts w:asciiTheme="minorHAnsi" w:eastAsiaTheme="minorHAnsi" w:hAnsiTheme="minorHAnsi" w:cstheme="minorBidi"/>
          <w:snapToGrid/>
          <w:sz w:val="24"/>
          <w:szCs w:val="22"/>
        </w:rPr>
        <w:t>Section 100 (Highly Specialised Drugs Program)</w:t>
      </w:r>
      <w:r w:rsidR="006306D5" w:rsidRPr="00FA6DB0">
        <w:rPr>
          <w:rFonts w:asciiTheme="minorHAnsi" w:eastAsiaTheme="minorHAnsi" w:hAnsiTheme="minorHAnsi" w:cstheme="minorBidi"/>
          <w:snapToGrid/>
          <w:sz w:val="24"/>
          <w:szCs w:val="22"/>
        </w:rPr>
        <w:t xml:space="preserve"> Private Hospitals.</w:t>
      </w:r>
    </w:p>
    <w:p w:rsidR="000D1EF9" w:rsidRPr="003E03B1" w:rsidRDefault="000D1EF9" w:rsidP="003E03B1">
      <w:pPr>
        <w:pStyle w:val="ListParagraph"/>
        <w:widowControl/>
        <w:numPr>
          <w:ilvl w:val="1"/>
          <w:numId w:val="14"/>
        </w:numPr>
        <w:spacing w:after="120"/>
        <w:contextualSpacing w:val="0"/>
        <w:rPr>
          <w:rFonts w:asciiTheme="minorHAnsi" w:hAnsiTheme="minorHAnsi"/>
          <w:sz w:val="24"/>
          <w:szCs w:val="24"/>
        </w:rPr>
      </w:pPr>
      <w:r w:rsidRPr="00FA6DB0">
        <w:rPr>
          <w:rFonts w:asciiTheme="minorHAnsi" w:hAnsiTheme="minorHAnsi"/>
          <w:sz w:val="24"/>
          <w:szCs w:val="24"/>
        </w:rPr>
        <w:t>In making this recommendation, t</w:t>
      </w:r>
      <w:r w:rsidR="00097E2B" w:rsidRPr="00FA6DB0">
        <w:rPr>
          <w:rFonts w:asciiTheme="minorHAnsi" w:hAnsiTheme="minorHAnsi"/>
          <w:sz w:val="24"/>
          <w:szCs w:val="24"/>
        </w:rPr>
        <w:t>he PBAC</w:t>
      </w:r>
      <w:r w:rsidRPr="00FA6DB0">
        <w:rPr>
          <w:rFonts w:asciiTheme="minorHAnsi" w:hAnsiTheme="minorHAnsi"/>
          <w:sz w:val="24"/>
          <w:szCs w:val="24"/>
        </w:rPr>
        <w:t xml:space="preserve"> noted that the submission to list nusinersen considered at its March 2018 meeting proposed listing in the public and private hospital setting, however that expert clinical advice following the positive </w:t>
      </w:r>
      <w:r w:rsidRPr="00FA6DB0">
        <w:rPr>
          <w:rFonts w:asciiTheme="minorHAnsi" w:hAnsiTheme="minorHAnsi"/>
          <w:sz w:val="24"/>
          <w:szCs w:val="24"/>
        </w:rPr>
        <w:lastRenderedPageBreak/>
        <w:t>recommendation to list advised that there was not a clinical need to list in the private hospital setting.  Correspondence following the listing</w:t>
      </w:r>
      <w:r w:rsidR="00930913" w:rsidRPr="00FA6DB0">
        <w:rPr>
          <w:rFonts w:asciiTheme="minorHAnsi" w:hAnsiTheme="minorHAnsi"/>
          <w:sz w:val="24"/>
          <w:szCs w:val="24"/>
        </w:rPr>
        <w:t xml:space="preserve"> on the PBS</w:t>
      </w:r>
      <w:r w:rsidRPr="00FA6DB0">
        <w:rPr>
          <w:rFonts w:asciiTheme="minorHAnsi" w:hAnsiTheme="minorHAnsi"/>
          <w:sz w:val="24"/>
          <w:szCs w:val="24"/>
        </w:rPr>
        <w:t xml:space="preserve"> indicated that there is a clinical need for prescribing in the private hospital setting.</w:t>
      </w:r>
    </w:p>
    <w:p w:rsidR="00111516" w:rsidRPr="003E03B1" w:rsidRDefault="000D1EF9" w:rsidP="003E03B1">
      <w:pPr>
        <w:pStyle w:val="ListParagraph"/>
        <w:widowControl/>
        <w:numPr>
          <w:ilvl w:val="1"/>
          <w:numId w:val="14"/>
        </w:numPr>
        <w:spacing w:after="120"/>
        <w:contextualSpacing w:val="0"/>
        <w:rPr>
          <w:rFonts w:asciiTheme="minorHAnsi" w:hAnsiTheme="minorHAnsi"/>
          <w:sz w:val="24"/>
          <w:szCs w:val="24"/>
        </w:rPr>
      </w:pPr>
      <w:r w:rsidRPr="00FA6DB0">
        <w:rPr>
          <w:rFonts w:asciiTheme="minorHAnsi" w:hAnsiTheme="minorHAnsi"/>
          <w:sz w:val="24"/>
          <w:szCs w:val="24"/>
        </w:rPr>
        <w:t>The PBAC recommended that the extension to listing in the HSD Program in Private Hospitals should be cost neutral to the PBS.</w:t>
      </w:r>
    </w:p>
    <w:p w:rsidR="00BD02C4" w:rsidRPr="00FA6DB0" w:rsidRDefault="00B024CB" w:rsidP="003E03B1">
      <w:pPr>
        <w:pStyle w:val="ListParagraph"/>
        <w:widowControl/>
        <w:numPr>
          <w:ilvl w:val="1"/>
          <w:numId w:val="14"/>
        </w:numPr>
        <w:spacing w:after="120"/>
        <w:contextualSpacing w:val="0"/>
        <w:rPr>
          <w:rFonts w:asciiTheme="minorHAnsi" w:hAnsiTheme="minorHAnsi"/>
          <w:sz w:val="24"/>
          <w:szCs w:val="24"/>
        </w:rPr>
      </w:pPr>
      <w:r w:rsidRPr="00FA6DB0">
        <w:rPr>
          <w:rFonts w:asciiTheme="minorHAnsi" w:hAnsiTheme="minorHAnsi"/>
          <w:sz w:val="24"/>
          <w:szCs w:val="24"/>
        </w:rPr>
        <w:t xml:space="preserve">The PBAC also noted that </w:t>
      </w:r>
      <w:r w:rsidR="00262A41" w:rsidRPr="00FA6DB0">
        <w:rPr>
          <w:rFonts w:asciiTheme="minorHAnsi" w:hAnsiTheme="minorHAnsi"/>
          <w:sz w:val="24"/>
          <w:szCs w:val="24"/>
        </w:rPr>
        <w:t xml:space="preserve">Princess Margaret Hospital (Perth), a recognised hospital in the management of </w:t>
      </w:r>
      <w:r w:rsidR="00FA6DB0" w:rsidRPr="00FA6DB0">
        <w:rPr>
          <w:rFonts w:asciiTheme="minorHAnsi" w:hAnsiTheme="minorHAnsi"/>
          <w:sz w:val="24"/>
          <w:szCs w:val="24"/>
        </w:rPr>
        <w:t>SMA that</w:t>
      </w:r>
      <w:r w:rsidR="00262A41" w:rsidRPr="00FA6DB0">
        <w:rPr>
          <w:rFonts w:asciiTheme="minorHAnsi" w:hAnsiTheme="minorHAnsi"/>
          <w:sz w:val="24"/>
          <w:szCs w:val="24"/>
        </w:rPr>
        <w:t xml:space="preserve"> is specified in the nusinersen restriction, has now been decommissioned and replaced by the Perth Children’s Hospital. The PBAC recommended that the </w:t>
      </w:r>
      <w:r w:rsidR="00E34F90" w:rsidRPr="00FA6DB0">
        <w:rPr>
          <w:rFonts w:asciiTheme="minorHAnsi" w:hAnsiTheme="minorHAnsi"/>
          <w:sz w:val="24"/>
          <w:szCs w:val="24"/>
        </w:rPr>
        <w:t>hospital name in the nusinersen restrictions be updated accordingly.</w:t>
      </w:r>
    </w:p>
    <w:p w:rsidR="00282608" w:rsidRPr="00FA6DB0" w:rsidRDefault="00C61F8A" w:rsidP="0028260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A6DB0">
        <w:rPr>
          <w:rFonts w:asciiTheme="minorHAnsi" w:hAnsiTheme="minorHAnsi"/>
          <w:sz w:val="32"/>
          <w:szCs w:val="32"/>
        </w:rPr>
        <w:t>Recommended listing</w:t>
      </w:r>
    </w:p>
    <w:p w:rsidR="00425425" w:rsidRPr="003E03B1" w:rsidRDefault="00FD2718" w:rsidP="00425425">
      <w:pPr>
        <w:pStyle w:val="ListParagraph"/>
        <w:widowControl/>
        <w:numPr>
          <w:ilvl w:val="1"/>
          <w:numId w:val="14"/>
        </w:numPr>
        <w:spacing w:before="120" w:after="160"/>
        <w:rPr>
          <w:rFonts w:asciiTheme="minorHAnsi" w:hAnsiTheme="minorHAnsi"/>
          <w:sz w:val="24"/>
          <w:szCs w:val="24"/>
        </w:rPr>
      </w:pPr>
      <w:r w:rsidRPr="00FA6DB0">
        <w:rPr>
          <w:rFonts w:asciiTheme="minorHAnsi" w:hAnsiTheme="minorHAnsi"/>
          <w:sz w:val="24"/>
          <w:szCs w:val="24"/>
        </w:rPr>
        <w:t>Extend the current listing of nusinersen to include a HSD Private Hospital listing as follows</w:t>
      </w:r>
      <w:r w:rsidR="00425425" w:rsidRPr="00FA6DB0">
        <w:rPr>
          <w:rFonts w:asciiTheme="minorHAnsi" w:hAnsiTheme="minorHAnsi"/>
          <w:sz w:val="24"/>
          <w:szCs w:val="24"/>
        </w:rPr>
        <w:t>:</w:t>
      </w:r>
    </w:p>
    <w:tbl>
      <w:tblPr>
        <w:tblW w:w="5000" w:type="pct"/>
        <w:tblLook w:val="0000" w:firstRow="0" w:lastRow="0" w:firstColumn="0" w:lastColumn="0" w:noHBand="0" w:noVBand="0"/>
      </w:tblPr>
      <w:tblGrid>
        <w:gridCol w:w="2844"/>
        <w:gridCol w:w="996"/>
        <w:gridCol w:w="1137"/>
        <w:gridCol w:w="994"/>
        <w:gridCol w:w="1421"/>
        <w:gridCol w:w="1850"/>
      </w:tblGrid>
      <w:tr w:rsidR="0037255C" w:rsidRPr="00FA6DB0" w:rsidTr="003E03B1">
        <w:trPr>
          <w:trHeight w:val="471"/>
        </w:trPr>
        <w:tc>
          <w:tcPr>
            <w:tcW w:w="2077" w:type="pct"/>
            <w:gridSpan w:val="2"/>
            <w:tcBorders>
              <w:bottom w:val="single" w:sz="4" w:space="0" w:color="auto"/>
            </w:tcBorders>
          </w:tcPr>
          <w:p w:rsidR="0037255C" w:rsidRPr="00D00E34" w:rsidRDefault="0037255C"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Name, Restriction,</w:t>
            </w:r>
          </w:p>
          <w:p w:rsidR="0037255C" w:rsidRPr="00D00E34" w:rsidRDefault="0037255C" w:rsidP="00D00E34">
            <w:pPr>
              <w:keepNext/>
              <w:ind w:left="-108"/>
              <w:jc w:val="both"/>
              <w:rPr>
                <w:rFonts w:asciiTheme="minorHAnsi" w:hAnsiTheme="minorHAnsi" w:cs="Arial"/>
                <w:b/>
                <w:sz w:val="22"/>
                <w:szCs w:val="22"/>
              </w:rPr>
            </w:pPr>
            <w:r w:rsidRPr="00D00E34">
              <w:rPr>
                <w:rFonts w:asciiTheme="minorHAnsi" w:hAnsiTheme="minorHAnsi" w:cs="Arial"/>
                <w:b/>
                <w:sz w:val="22"/>
                <w:szCs w:val="22"/>
              </w:rPr>
              <w:t>Manner of administration and form</w:t>
            </w:r>
          </w:p>
        </w:tc>
        <w:tc>
          <w:tcPr>
            <w:tcW w:w="615" w:type="pct"/>
            <w:tcBorders>
              <w:bottom w:val="single" w:sz="4" w:space="0" w:color="auto"/>
            </w:tcBorders>
          </w:tcPr>
          <w:p w:rsidR="0037255C" w:rsidRPr="00D00E34" w:rsidRDefault="0037255C"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Max.</w:t>
            </w:r>
          </w:p>
          <w:p w:rsidR="0037255C" w:rsidRPr="00D00E34" w:rsidRDefault="0037255C"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Qty</w:t>
            </w:r>
            <w:r w:rsidRPr="00D00E34" w:rsidDel="00423002">
              <w:rPr>
                <w:rFonts w:asciiTheme="minorHAnsi" w:hAnsiTheme="minorHAnsi" w:cs="Arial"/>
                <w:b/>
                <w:sz w:val="22"/>
                <w:szCs w:val="22"/>
              </w:rPr>
              <w:t xml:space="preserve"> </w:t>
            </w:r>
          </w:p>
        </w:tc>
        <w:tc>
          <w:tcPr>
            <w:tcW w:w="538" w:type="pct"/>
            <w:tcBorders>
              <w:bottom w:val="single" w:sz="4" w:space="0" w:color="auto"/>
            </w:tcBorders>
          </w:tcPr>
          <w:p w:rsidR="0037255C" w:rsidRPr="00D00E34" w:rsidRDefault="0037255C"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№.of</w:t>
            </w:r>
          </w:p>
          <w:p w:rsidR="0037255C" w:rsidRPr="00D00E34" w:rsidRDefault="0037255C"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Rpts</w:t>
            </w:r>
          </w:p>
        </w:tc>
        <w:tc>
          <w:tcPr>
            <w:tcW w:w="1769" w:type="pct"/>
            <w:gridSpan w:val="2"/>
            <w:tcBorders>
              <w:bottom w:val="single" w:sz="4" w:space="0" w:color="auto"/>
            </w:tcBorders>
          </w:tcPr>
          <w:p w:rsidR="0037255C" w:rsidRPr="00D00E34" w:rsidRDefault="0037255C" w:rsidP="00D00E34">
            <w:pPr>
              <w:keepNext/>
              <w:rPr>
                <w:rFonts w:asciiTheme="minorHAnsi" w:hAnsiTheme="minorHAnsi" w:cs="Arial"/>
                <w:b/>
                <w:sz w:val="22"/>
                <w:szCs w:val="22"/>
              </w:rPr>
            </w:pPr>
            <w:r w:rsidRPr="00D00E34">
              <w:rPr>
                <w:rFonts w:asciiTheme="minorHAnsi" w:hAnsiTheme="minorHAnsi" w:cs="Arial"/>
                <w:b/>
                <w:sz w:val="22"/>
                <w:szCs w:val="22"/>
              </w:rPr>
              <w:t>Proprietary Name and Manufacturer</w:t>
            </w:r>
          </w:p>
        </w:tc>
      </w:tr>
      <w:tr w:rsidR="0037255C" w:rsidRPr="00FA6DB0" w:rsidTr="003E03B1">
        <w:trPr>
          <w:trHeight w:val="577"/>
        </w:trPr>
        <w:tc>
          <w:tcPr>
            <w:tcW w:w="2077" w:type="pct"/>
            <w:gridSpan w:val="2"/>
          </w:tcPr>
          <w:p w:rsidR="0037255C" w:rsidRPr="00FA6DB0" w:rsidRDefault="0037255C" w:rsidP="00417950">
            <w:pPr>
              <w:keepNext/>
              <w:ind w:left="-108"/>
              <w:jc w:val="both"/>
              <w:rPr>
                <w:rFonts w:asciiTheme="minorHAnsi" w:hAnsiTheme="minorHAnsi" w:cs="Arial"/>
                <w:smallCaps/>
                <w:sz w:val="22"/>
                <w:szCs w:val="22"/>
              </w:rPr>
            </w:pPr>
            <w:r w:rsidRPr="00FA6DB0">
              <w:rPr>
                <w:rFonts w:asciiTheme="minorHAnsi" w:hAnsiTheme="minorHAnsi" w:cs="Arial"/>
                <w:smallCaps/>
                <w:sz w:val="22"/>
                <w:szCs w:val="22"/>
              </w:rPr>
              <w:t>NUSINERSEN</w:t>
            </w:r>
          </w:p>
          <w:p w:rsidR="0037255C" w:rsidRDefault="0037255C" w:rsidP="00417950">
            <w:pPr>
              <w:keepNext/>
              <w:ind w:left="-108"/>
              <w:jc w:val="both"/>
              <w:rPr>
                <w:rFonts w:asciiTheme="minorHAnsi" w:hAnsiTheme="minorHAnsi" w:cs="Arial"/>
                <w:sz w:val="22"/>
                <w:szCs w:val="22"/>
              </w:rPr>
            </w:pPr>
            <w:r w:rsidRPr="00FA6DB0">
              <w:rPr>
                <w:rFonts w:asciiTheme="minorHAnsi" w:hAnsiTheme="minorHAnsi" w:cs="Arial"/>
                <w:sz w:val="22"/>
                <w:szCs w:val="22"/>
              </w:rPr>
              <w:t xml:space="preserve">12 mg/5 mL injection, 5 mL vial </w:t>
            </w:r>
          </w:p>
          <w:p w:rsidR="00D00E34" w:rsidRPr="00FA6DB0" w:rsidRDefault="00D00E34" w:rsidP="00417950">
            <w:pPr>
              <w:keepNext/>
              <w:ind w:left="-108"/>
              <w:jc w:val="both"/>
              <w:rPr>
                <w:rFonts w:asciiTheme="minorHAnsi" w:hAnsiTheme="minorHAnsi" w:cs="Arial"/>
                <w:sz w:val="22"/>
                <w:szCs w:val="22"/>
              </w:rPr>
            </w:pPr>
          </w:p>
        </w:tc>
        <w:tc>
          <w:tcPr>
            <w:tcW w:w="615" w:type="pct"/>
          </w:tcPr>
          <w:p w:rsidR="0037255C" w:rsidRPr="00FA6DB0" w:rsidRDefault="0037255C" w:rsidP="00417950">
            <w:pPr>
              <w:keepNext/>
              <w:ind w:left="-108"/>
              <w:jc w:val="both"/>
              <w:rPr>
                <w:rFonts w:asciiTheme="minorHAnsi" w:hAnsiTheme="minorHAnsi" w:cs="Arial"/>
                <w:sz w:val="22"/>
                <w:szCs w:val="22"/>
              </w:rPr>
            </w:pPr>
          </w:p>
          <w:p w:rsidR="0037255C" w:rsidRPr="00FA6DB0" w:rsidRDefault="0037255C" w:rsidP="00417950">
            <w:pPr>
              <w:keepNext/>
              <w:ind w:left="-108"/>
              <w:jc w:val="both"/>
              <w:rPr>
                <w:rFonts w:asciiTheme="minorHAnsi" w:hAnsiTheme="minorHAnsi" w:cs="Arial"/>
                <w:sz w:val="22"/>
                <w:szCs w:val="22"/>
              </w:rPr>
            </w:pPr>
            <w:r w:rsidRPr="00FA6DB0">
              <w:rPr>
                <w:rFonts w:asciiTheme="minorHAnsi" w:hAnsiTheme="minorHAnsi" w:cs="Arial"/>
                <w:sz w:val="22"/>
                <w:szCs w:val="22"/>
              </w:rPr>
              <w:t>1</w:t>
            </w:r>
          </w:p>
        </w:tc>
        <w:tc>
          <w:tcPr>
            <w:tcW w:w="538" w:type="pct"/>
          </w:tcPr>
          <w:p w:rsidR="0037255C" w:rsidRPr="00FA6DB0" w:rsidRDefault="0037255C" w:rsidP="00417950">
            <w:pPr>
              <w:keepNext/>
              <w:ind w:left="-108"/>
              <w:jc w:val="both"/>
              <w:rPr>
                <w:rFonts w:asciiTheme="minorHAnsi" w:hAnsiTheme="minorHAnsi" w:cs="Arial"/>
                <w:sz w:val="22"/>
                <w:szCs w:val="22"/>
              </w:rPr>
            </w:pPr>
          </w:p>
          <w:p w:rsidR="0037255C" w:rsidRPr="00FA6DB0" w:rsidRDefault="0037255C" w:rsidP="00417950">
            <w:pPr>
              <w:keepNext/>
              <w:ind w:left="-108"/>
              <w:jc w:val="both"/>
              <w:rPr>
                <w:rFonts w:asciiTheme="minorHAnsi" w:hAnsiTheme="minorHAnsi" w:cs="Arial"/>
                <w:sz w:val="22"/>
                <w:szCs w:val="22"/>
              </w:rPr>
            </w:pPr>
            <w:r w:rsidRPr="00FA6DB0">
              <w:rPr>
                <w:rFonts w:asciiTheme="minorHAnsi" w:hAnsiTheme="minorHAnsi" w:cs="Arial"/>
                <w:sz w:val="22"/>
                <w:szCs w:val="22"/>
              </w:rPr>
              <w:t>3</w:t>
            </w:r>
          </w:p>
        </w:tc>
        <w:tc>
          <w:tcPr>
            <w:tcW w:w="769" w:type="pct"/>
          </w:tcPr>
          <w:p w:rsidR="0037255C" w:rsidRPr="00FA6DB0" w:rsidRDefault="0037255C" w:rsidP="00417950">
            <w:pPr>
              <w:keepNext/>
              <w:jc w:val="both"/>
              <w:rPr>
                <w:rFonts w:asciiTheme="minorHAnsi" w:hAnsiTheme="minorHAnsi" w:cs="Arial"/>
                <w:sz w:val="22"/>
                <w:szCs w:val="22"/>
              </w:rPr>
            </w:pPr>
            <w:r w:rsidRPr="00FA6DB0">
              <w:rPr>
                <w:rFonts w:asciiTheme="minorHAnsi" w:hAnsiTheme="minorHAnsi" w:cs="Arial"/>
                <w:sz w:val="22"/>
                <w:szCs w:val="22"/>
              </w:rPr>
              <w:t>Spinraza</w:t>
            </w:r>
          </w:p>
        </w:tc>
        <w:tc>
          <w:tcPr>
            <w:tcW w:w="1000" w:type="pct"/>
          </w:tcPr>
          <w:p w:rsidR="0037255C" w:rsidRPr="00FA6DB0" w:rsidRDefault="0037255C" w:rsidP="00D00E34">
            <w:pPr>
              <w:keepNext/>
              <w:rPr>
                <w:rFonts w:asciiTheme="minorHAnsi" w:hAnsiTheme="minorHAnsi" w:cs="Arial"/>
                <w:sz w:val="22"/>
                <w:szCs w:val="22"/>
              </w:rPr>
            </w:pPr>
            <w:r w:rsidRPr="00FA6DB0">
              <w:rPr>
                <w:rFonts w:asciiTheme="minorHAnsi" w:hAnsiTheme="minorHAnsi" w:cs="Arial"/>
                <w:sz w:val="22"/>
                <w:szCs w:val="22"/>
              </w:rPr>
              <w:t>Biogen Australia Pty Ltd</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FA6DB0" w:rsidRDefault="0037255C" w:rsidP="00D00E34">
            <w:pPr>
              <w:jc w:val="both"/>
              <w:rPr>
                <w:rFonts w:asciiTheme="minorHAnsi" w:hAnsiTheme="minorHAnsi" w:cs="Arial"/>
                <w:b/>
                <w:sz w:val="22"/>
                <w:szCs w:val="22"/>
              </w:rPr>
            </w:pPr>
            <w:r w:rsidRPr="00FA6DB0">
              <w:rPr>
                <w:rFonts w:asciiTheme="minorHAnsi" w:hAnsiTheme="minorHAnsi" w:cs="Arial"/>
                <w:b/>
                <w:sz w:val="22"/>
                <w:szCs w:val="22"/>
              </w:rPr>
              <w:t>Category / Program</w:t>
            </w: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Section 100 – Highly Specialised Drugs Program (P</w:t>
            </w:r>
            <w:r w:rsidR="008746E1" w:rsidRPr="00FA6DB0">
              <w:rPr>
                <w:rFonts w:asciiTheme="minorHAnsi" w:hAnsiTheme="minorHAnsi" w:cs="Arial"/>
                <w:sz w:val="22"/>
                <w:szCs w:val="22"/>
              </w:rPr>
              <w:t>rivate</w:t>
            </w:r>
            <w:r w:rsidRPr="00FA6DB0">
              <w:rPr>
                <w:rFonts w:asciiTheme="minorHAnsi" w:hAnsiTheme="minorHAnsi" w:cs="Arial"/>
                <w:sz w:val="22"/>
                <w:szCs w:val="22"/>
              </w:rPr>
              <w:t xml:space="preserve"> Hospital)</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FA6DB0" w:rsidRDefault="0037255C" w:rsidP="00417950">
            <w:pPr>
              <w:jc w:val="both"/>
              <w:rPr>
                <w:rFonts w:asciiTheme="minorHAnsi" w:hAnsiTheme="minorHAnsi" w:cs="Arial"/>
                <w:b/>
                <w:sz w:val="22"/>
                <w:szCs w:val="22"/>
              </w:rPr>
            </w:pPr>
            <w:r w:rsidRPr="00FA6DB0">
              <w:rPr>
                <w:rFonts w:asciiTheme="minorHAnsi" w:hAnsiTheme="minorHAnsi" w:cs="Arial"/>
                <w:b/>
                <w:sz w:val="22"/>
                <w:szCs w:val="22"/>
              </w:rPr>
              <w:t>Prescriber type:</w:t>
            </w: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fldChar w:fldCharType="begin">
                <w:ffData>
                  <w:name w:val=""/>
                  <w:enabled/>
                  <w:calcOnExit w:val="0"/>
                  <w:checkBox>
                    <w:sizeAuto/>
                    <w:default w:val="1"/>
                  </w:checkBox>
                </w:ffData>
              </w:fldChar>
            </w:r>
            <w:r w:rsidRPr="00FA6DB0">
              <w:rPr>
                <w:rFonts w:asciiTheme="minorHAnsi" w:hAnsiTheme="minorHAnsi" w:cs="Arial"/>
                <w:sz w:val="22"/>
                <w:szCs w:val="22"/>
              </w:rPr>
              <w:instrText xml:space="preserve"> FORMCHECKBOX </w:instrText>
            </w:r>
            <w:r w:rsidR="001D3C89">
              <w:rPr>
                <w:rFonts w:asciiTheme="minorHAnsi" w:hAnsiTheme="minorHAnsi" w:cs="Arial"/>
                <w:sz w:val="22"/>
                <w:szCs w:val="22"/>
              </w:rPr>
            </w:r>
            <w:r w:rsidR="001D3C89">
              <w:rPr>
                <w:rFonts w:asciiTheme="minorHAnsi" w:hAnsiTheme="minorHAnsi" w:cs="Arial"/>
                <w:sz w:val="22"/>
                <w:szCs w:val="22"/>
              </w:rPr>
              <w:fldChar w:fldCharType="separate"/>
            </w:r>
            <w:r w:rsidRPr="00FA6DB0">
              <w:rPr>
                <w:rFonts w:asciiTheme="minorHAnsi" w:hAnsiTheme="minorHAnsi" w:cs="Arial"/>
                <w:sz w:val="22"/>
                <w:szCs w:val="22"/>
              </w:rPr>
              <w:fldChar w:fldCharType="end"/>
            </w:r>
            <w:r w:rsidRPr="00FA6DB0">
              <w:rPr>
                <w:rFonts w:asciiTheme="minorHAnsi" w:hAnsiTheme="minorHAnsi" w:cs="Arial"/>
                <w:sz w:val="22"/>
                <w:szCs w:val="22"/>
              </w:rPr>
              <w:t xml:space="preserve">Medical Practitioners  </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D00E34" w:rsidRDefault="0037255C" w:rsidP="00417950">
            <w:pPr>
              <w:jc w:val="both"/>
              <w:rPr>
                <w:rFonts w:asciiTheme="minorHAnsi" w:hAnsiTheme="minorHAnsi" w:cs="Arial"/>
                <w:b/>
                <w:sz w:val="22"/>
                <w:szCs w:val="22"/>
              </w:rPr>
            </w:pPr>
            <w:r w:rsidRPr="00FA6DB0">
              <w:rPr>
                <w:rFonts w:asciiTheme="minorHAnsi" w:hAnsiTheme="minorHAnsi" w:cs="Arial"/>
                <w:b/>
                <w:sz w:val="22"/>
                <w:szCs w:val="22"/>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Spinal muscular atrophy (SMA)</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D00E34" w:rsidRDefault="0037255C" w:rsidP="00417950">
            <w:pPr>
              <w:jc w:val="both"/>
              <w:rPr>
                <w:rFonts w:asciiTheme="minorHAnsi" w:hAnsiTheme="minorHAnsi" w:cs="Arial"/>
                <w:b/>
                <w:sz w:val="22"/>
                <w:szCs w:val="22"/>
              </w:rPr>
            </w:pPr>
            <w:r w:rsidRPr="00FA6DB0">
              <w:rPr>
                <w:rFonts w:asciiTheme="minorHAnsi" w:hAnsiTheme="minorHAnsi" w:cs="Arial"/>
                <w:b/>
                <w:sz w:val="22"/>
                <w:szCs w:val="22"/>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Initial treatment – Loading doses </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D00E34" w:rsidRDefault="0037255C" w:rsidP="00D00E34">
            <w:pPr>
              <w:jc w:val="both"/>
              <w:rPr>
                <w:rFonts w:asciiTheme="minorHAnsi" w:hAnsiTheme="minorHAnsi" w:cs="Arial"/>
                <w:b/>
                <w:sz w:val="22"/>
                <w:szCs w:val="22"/>
              </w:rPr>
            </w:pPr>
            <w:r w:rsidRPr="00FA6DB0">
              <w:rPr>
                <w:rFonts w:asciiTheme="minorHAnsi" w:hAnsiTheme="minorHAnsi" w:cs="Arial"/>
                <w:b/>
                <w:sz w:val="22"/>
                <w:szCs w:val="22"/>
              </w:rPr>
              <w:t>Restriction Level / Method:</w:t>
            </w: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fldChar w:fldCharType="begin">
                <w:ffData>
                  <w:name w:val=""/>
                  <w:enabled/>
                  <w:calcOnExit w:val="0"/>
                  <w:checkBox>
                    <w:sizeAuto/>
                    <w:default w:val="1"/>
                  </w:checkBox>
                </w:ffData>
              </w:fldChar>
            </w:r>
            <w:r w:rsidRPr="00FA6DB0">
              <w:rPr>
                <w:rFonts w:asciiTheme="minorHAnsi" w:hAnsiTheme="minorHAnsi" w:cs="Arial"/>
                <w:sz w:val="22"/>
                <w:szCs w:val="22"/>
              </w:rPr>
              <w:instrText xml:space="preserve"> FORMCHECKBOX </w:instrText>
            </w:r>
            <w:r w:rsidR="001D3C89">
              <w:rPr>
                <w:rFonts w:asciiTheme="minorHAnsi" w:hAnsiTheme="minorHAnsi" w:cs="Arial"/>
                <w:sz w:val="22"/>
                <w:szCs w:val="22"/>
              </w:rPr>
            </w:r>
            <w:r w:rsidR="001D3C89">
              <w:rPr>
                <w:rFonts w:asciiTheme="minorHAnsi" w:hAnsiTheme="minorHAnsi" w:cs="Arial"/>
                <w:sz w:val="22"/>
                <w:szCs w:val="22"/>
              </w:rPr>
              <w:fldChar w:fldCharType="separate"/>
            </w:r>
            <w:r w:rsidRPr="00FA6DB0">
              <w:rPr>
                <w:rFonts w:asciiTheme="minorHAnsi" w:hAnsiTheme="minorHAnsi" w:cs="Arial"/>
                <w:sz w:val="22"/>
                <w:szCs w:val="22"/>
              </w:rPr>
              <w:fldChar w:fldCharType="end"/>
            </w:r>
            <w:r w:rsidRPr="00FA6DB0">
              <w:rPr>
                <w:rFonts w:asciiTheme="minorHAnsi" w:hAnsiTheme="minorHAnsi" w:cs="Arial"/>
                <w:sz w:val="22"/>
                <w:szCs w:val="22"/>
              </w:rPr>
              <w:t>Authority Required - In Writing</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b/>
                <w:sz w:val="22"/>
                <w:szCs w:val="22"/>
              </w:rPr>
            </w:pPr>
            <w:r w:rsidRPr="00FA6DB0">
              <w:rPr>
                <w:rFonts w:asciiTheme="minorHAnsi" w:hAnsiTheme="minorHAnsi" w:cs="Arial"/>
                <w:b/>
                <w:sz w:val="22"/>
                <w:szCs w:val="22"/>
              </w:rPr>
              <w:t>Treatment criteria:</w:t>
            </w:r>
          </w:p>
          <w:p w:rsidR="0037255C" w:rsidRPr="00FA6DB0" w:rsidRDefault="0037255C" w:rsidP="00417950">
            <w:pPr>
              <w:rPr>
                <w:rFonts w:asciiTheme="minorHAnsi" w:hAnsiTheme="minorHAnsi" w:cs="Arial"/>
                <w:i/>
                <w:sz w:val="22"/>
                <w:szCs w:val="22"/>
              </w:rPr>
            </w:pPr>
          </w:p>
          <w:p w:rsidR="0037255C" w:rsidRPr="00FA6DB0" w:rsidRDefault="0037255C" w:rsidP="00417950">
            <w:pPr>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FA6DB0" w:rsidRDefault="0037255C" w:rsidP="00417950">
            <w:pPr>
              <w:jc w:val="both"/>
              <w:rPr>
                <w:rFonts w:asciiTheme="minorHAnsi" w:hAnsiTheme="minorHAnsi" w:cs="Arial"/>
                <w:b/>
                <w:sz w:val="22"/>
                <w:szCs w:val="22"/>
              </w:rPr>
            </w:pPr>
            <w:r w:rsidRPr="00FA6DB0">
              <w:rPr>
                <w:rFonts w:asciiTheme="minorHAnsi" w:hAnsiTheme="minorHAnsi" w:cs="Arial"/>
                <w:b/>
                <w:sz w:val="22"/>
                <w:szCs w:val="22"/>
              </w:rPr>
              <w:t>Clinical criteria:</w:t>
            </w:r>
          </w:p>
          <w:p w:rsidR="0037255C" w:rsidRPr="00FA6DB0" w:rsidRDefault="0037255C" w:rsidP="00417950">
            <w:pPr>
              <w:jc w:val="both"/>
              <w:rPr>
                <w:rFonts w:asciiTheme="minorHAnsi" w:hAnsiTheme="minorHAnsi" w:cs="Arial"/>
                <w:i/>
                <w:sz w:val="22"/>
                <w:szCs w:val="22"/>
              </w:rPr>
            </w:pPr>
          </w:p>
          <w:p w:rsidR="0037255C" w:rsidRPr="00FA6DB0" w:rsidRDefault="0037255C" w:rsidP="00417950">
            <w:pPr>
              <w:jc w:val="both"/>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The condition must be 5q homozygous deletion, mutation of, or compound heterozygous mutation in the SMN1 gene of type I, II or IIIa,</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Patient must have experienced at least two of the defined signs and symptoms of SMA type I, II or IIIa prior to 3 years of age,</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The treatment must be given concomitantly with standard of care </w:t>
            </w:r>
            <w:r w:rsidRPr="00FA6DB0">
              <w:rPr>
                <w:rFonts w:asciiTheme="minorHAnsi" w:hAnsiTheme="minorHAnsi" w:cs="Arial"/>
                <w:sz w:val="22"/>
                <w:szCs w:val="22"/>
              </w:rPr>
              <w:lastRenderedPageBreak/>
              <w:t>for this condition,</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AND</w:t>
            </w:r>
          </w:p>
          <w:p w:rsidR="0037255C" w:rsidRPr="00FA6DB0" w:rsidRDefault="0037255C" w:rsidP="00D00E34">
            <w:pPr>
              <w:rPr>
                <w:rFonts w:asciiTheme="minorHAnsi" w:hAnsiTheme="minorHAnsi" w:cs="Arial"/>
                <w:sz w:val="22"/>
                <w:szCs w:val="22"/>
              </w:rPr>
            </w:pPr>
            <w:r w:rsidRPr="00FA6DB0">
              <w:rPr>
                <w:rFonts w:asciiTheme="minorHAnsi" w:hAnsiTheme="minorHAnsi" w:cs="Arial"/>
                <w:sz w:val="22"/>
                <w:szCs w:val="22"/>
              </w:rPr>
              <w:t>The treatment must not exceed four loading doses (at days 0, 14, 28 and 63) under this restriction.</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D00E34" w:rsidRDefault="0037255C" w:rsidP="00D00E34">
            <w:pPr>
              <w:jc w:val="both"/>
              <w:rPr>
                <w:rFonts w:asciiTheme="minorHAnsi" w:hAnsiTheme="minorHAnsi" w:cs="Arial"/>
                <w:b/>
                <w:sz w:val="22"/>
                <w:szCs w:val="22"/>
              </w:rPr>
            </w:pPr>
            <w:r w:rsidRPr="00FA6DB0">
              <w:rPr>
                <w:rFonts w:asciiTheme="minorHAnsi" w:hAnsiTheme="minorHAnsi" w:cs="Arial"/>
                <w:b/>
                <w:sz w:val="22"/>
                <w:szCs w:val="22"/>
              </w:rPr>
              <w:lastRenderedPageBreak/>
              <w:t>Population criteria:</w:t>
            </w: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D00E34">
            <w:pPr>
              <w:rPr>
                <w:rFonts w:asciiTheme="minorHAnsi" w:hAnsiTheme="minorHAnsi" w:cs="Arial"/>
                <w:sz w:val="22"/>
                <w:szCs w:val="22"/>
              </w:rPr>
            </w:pPr>
            <w:r w:rsidRPr="00FA6DB0">
              <w:rPr>
                <w:rFonts w:asciiTheme="minorHAnsi" w:hAnsiTheme="minorHAnsi" w:cs="Arial"/>
                <w:sz w:val="22"/>
                <w:szCs w:val="22"/>
              </w:rPr>
              <w:t>Patient must be 18 years of age or under.</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FA6DB0" w:rsidRDefault="0037255C" w:rsidP="00417950">
            <w:pPr>
              <w:jc w:val="both"/>
              <w:rPr>
                <w:rFonts w:asciiTheme="minorHAnsi" w:hAnsiTheme="minorHAnsi" w:cs="Arial"/>
                <w:b/>
                <w:sz w:val="22"/>
                <w:szCs w:val="22"/>
              </w:rPr>
            </w:pPr>
            <w:r w:rsidRPr="00FA6DB0">
              <w:rPr>
                <w:rFonts w:asciiTheme="minorHAnsi" w:hAnsiTheme="minorHAnsi" w:cs="Arial"/>
                <w:b/>
                <w:sz w:val="22"/>
                <w:szCs w:val="22"/>
              </w:rPr>
              <w:t>Prescriber Instructions</w:t>
            </w:r>
          </w:p>
          <w:p w:rsidR="0037255C" w:rsidRPr="00FA6DB0" w:rsidRDefault="0037255C" w:rsidP="00417950">
            <w:pPr>
              <w:jc w:val="both"/>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Defined signs and symptoms of type I SMA are:</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 Onset before 6 months of age; 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 Failure to meet or regression in ability to perform age-appropriate motor milestones;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iii) Proximal weakness;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iv) Hypotonia;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 Absence of deep tendon reflexes;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 Failure to gain weight appropriate for age;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vii) Any active chronic neurogenic changes;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viii) A compound muscle action potential below normative values for an age-matched child.</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Defined signs and symptoms of type II SMA are:</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 Onset between 6 and 18 months; 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 Failure to meet or regression in ability to perform age-appropriate motor milestones;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iii) Proximal weakness;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iv)Weakness in trunk righting/derotation;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 Hypotonia; or</w:t>
            </w:r>
          </w:p>
          <w:p w:rsidR="0037255C" w:rsidRPr="00FA6DB0" w:rsidRDefault="0037255C" w:rsidP="00417950">
            <w:pPr>
              <w:tabs>
                <w:tab w:val="center" w:pos="3081"/>
              </w:tabs>
              <w:rPr>
                <w:rFonts w:asciiTheme="minorHAnsi" w:hAnsiTheme="minorHAnsi" w:cs="Arial"/>
                <w:sz w:val="22"/>
                <w:szCs w:val="22"/>
              </w:rPr>
            </w:pPr>
            <w:r w:rsidRPr="00FA6DB0">
              <w:rPr>
                <w:rFonts w:asciiTheme="minorHAnsi" w:hAnsiTheme="minorHAnsi" w:cs="Arial"/>
                <w:sz w:val="22"/>
                <w:szCs w:val="22"/>
              </w:rPr>
              <w:t>vi) Absence of deep tendon reflexes; or</w:t>
            </w:r>
            <w:r w:rsidRPr="00FA6DB0">
              <w:rPr>
                <w:rFonts w:asciiTheme="minorHAnsi" w:hAnsiTheme="minorHAnsi" w:cs="Arial"/>
                <w:sz w:val="22"/>
                <w:szCs w:val="22"/>
              </w:rPr>
              <w:tab/>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vii) Failure to gain weight appropriate for age;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viii) Any active chronic neurogenic changes;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ix) A compound muscle action potential below normative values for an age-matched child.</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Defined signs and symptoms of type IIIa SMA are:</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 Onset between 18 months and 3 years of age; 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 Failure to meet or regression in ability to perform age-appropriate motor milestones;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iii) Proximal weakness;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iv) Hypotonia; or </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 Absence of deep tendon reflexes; or</w:t>
            </w:r>
            <w:r w:rsidRPr="00FA6DB0" w:rsidDel="00325DB0">
              <w:rPr>
                <w:rFonts w:asciiTheme="minorHAnsi" w:hAnsiTheme="minorHAnsi" w:cs="Arial"/>
                <w:sz w:val="22"/>
                <w:szCs w:val="22"/>
              </w:rPr>
              <w:t xml:space="preserve"> </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 Failure to gain weight appropriate for age; or</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vii) Any active chronic neurogenic changes; or</w:t>
            </w:r>
          </w:p>
          <w:p w:rsidR="0037255C" w:rsidRDefault="0037255C" w:rsidP="00417950">
            <w:pPr>
              <w:rPr>
                <w:rFonts w:asciiTheme="minorHAnsi" w:hAnsiTheme="minorHAnsi" w:cs="Arial"/>
                <w:sz w:val="22"/>
                <w:szCs w:val="22"/>
              </w:rPr>
            </w:pPr>
            <w:r w:rsidRPr="00FA6DB0">
              <w:rPr>
                <w:rFonts w:asciiTheme="minorHAnsi" w:hAnsiTheme="minorHAnsi" w:cs="Arial"/>
                <w:sz w:val="22"/>
                <w:szCs w:val="22"/>
              </w:rPr>
              <w:t xml:space="preserve">viii) A compound muscle action potential below normative values for an age-matched child. </w:t>
            </w:r>
          </w:p>
          <w:p w:rsidR="003E03B1" w:rsidRPr="00FA6DB0" w:rsidRDefault="003E03B1"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Recognised hospitals in the management of SMA are Lady Cilento Children’s Hospital (Brisbane), Royal Children’s Hospital Melbourne, Monash Children’s Hospital (Melbourne), John Hunter Hospital </w:t>
            </w:r>
            <w:r w:rsidRPr="00FA6DB0">
              <w:rPr>
                <w:rFonts w:asciiTheme="minorHAnsi" w:hAnsiTheme="minorHAnsi" w:cs="Arial"/>
                <w:sz w:val="22"/>
                <w:szCs w:val="22"/>
              </w:rPr>
              <w:lastRenderedPageBreak/>
              <w:t>(Newcastle), Sydney Children’s Hospital Randwick, Children’s Hospital at Westmead, Adelaide Women and Children’s Hospital and Perth Children’s Hospital.</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Applications for authorisation of initial treatment must be in writing and must include:</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(a) a completed authority prescription form; 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(b) a completed Spinal muscular atrophy PBS Authority Application - Supporting Information Form which includes the following: </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 specification of SMA type (I, II or IIIa); 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 sign(s) and symptom(s) that the patient has experienced; and</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(iii) patient’s age at the onset of sign(s) and symptom(s).</w:t>
            </w:r>
          </w:p>
        </w:tc>
      </w:tr>
      <w:tr w:rsidR="0037255C"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37255C" w:rsidRPr="00FA6DB0" w:rsidRDefault="0037255C" w:rsidP="00417950">
            <w:pPr>
              <w:jc w:val="both"/>
              <w:rPr>
                <w:rFonts w:asciiTheme="minorHAnsi" w:hAnsiTheme="minorHAnsi" w:cs="Arial"/>
                <w:b/>
                <w:sz w:val="22"/>
                <w:szCs w:val="22"/>
              </w:rPr>
            </w:pPr>
            <w:r w:rsidRPr="00FA6DB0">
              <w:rPr>
                <w:rFonts w:asciiTheme="minorHAnsi" w:hAnsiTheme="minorHAnsi" w:cs="Arial"/>
                <w:b/>
                <w:sz w:val="22"/>
                <w:szCs w:val="22"/>
              </w:rPr>
              <w:lastRenderedPageBreak/>
              <w:t>Administrative Advice</w:t>
            </w:r>
          </w:p>
          <w:p w:rsidR="0037255C" w:rsidRPr="00FA6DB0" w:rsidRDefault="0037255C" w:rsidP="00417950">
            <w:pPr>
              <w:jc w:val="both"/>
              <w:rPr>
                <w:rFonts w:asciiTheme="minorHAnsi" w:hAnsiTheme="minorHAnsi" w:cs="Arial"/>
                <w:i/>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No increase in the maximum quantity or number of units may be authorised.</w:t>
            </w:r>
          </w:p>
          <w:p w:rsidR="00E74B15" w:rsidRPr="00FA6DB0" w:rsidRDefault="00E74B15"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No increase in the maximum number of repeats may be authorised.</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Special Pricing Arrangements apply.</w:t>
            </w:r>
          </w:p>
          <w:p w:rsidR="0037255C" w:rsidRPr="00FA6DB0" w:rsidRDefault="0037255C"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Any queries concerning the arrangements to prescribe may be directed to the Department of Human Services on 1800 700 270 (hours of operation 8 a.m. t</w:t>
            </w:r>
            <w:r w:rsidR="00960A4E" w:rsidRPr="00FA6DB0">
              <w:rPr>
                <w:rFonts w:asciiTheme="minorHAnsi" w:hAnsiTheme="minorHAnsi" w:cs="Arial"/>
                <w:sz w:val="22"/>
                <w:szCs w:val="22"/>
              </w:rPr>
              <w:t>o 5 p.m. EST Monday to Friday).</w:t>
            </w:r>
          </w:p>
          <w:p w:rsidR="00960A4E" w:rsidRPr="00FA6DB0" w:rsidRDefault="00960A4E" w:rsidP="00417950">
            <w:pPr>
              <w:rPr>
                <w:rFonts w:asciiTheme="minorHAnsi" w:hAnsiTheme="minorHAnsi" w:cs="Arial"/>
                <w:sz w:val="22"/>
                <w:szCs w:val="22"/>
              </w:rPr>
            </w:pP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Prescribing information (including Authority Application forms and other relevant documentation as applicable) is available on the Department of Human Services website at www.humanservices.gov.au </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Applications for authority to prescribe should be forwarded to: </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Department of Human Services</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Complex Drugs</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 xml:space="preserve">Reply Paid 9826 </w:t>
            </w:r>
          </w:p>
          <w:p w:rsidR="0037255C" w:rsidRPr="00FA6DB0" w:rsidRDefault="0037255C" w:rsidP="00417950">
            <w:pPr>
              <w:rPr>
                <w:rFonts w:asciiTheme="minorHAnsi" w:hAnsiTheme="minorHAnsi" w:cs="Arial"/>
                <w:sz w:val="22"/>
                <w:szCs w:val="22"/>
              </w:rPr>
            </w:pPr>
            <w:r w:rsidRPr="00FA6DB0">
              <w:rPr>
                <w:rFonts w:asciiTheme="minorHAnsi" w:hAnsiTheme="minorHAnsi" w:cs="Arial"/>
                <w:sz w:val="22"/>
                <w:szCs w:val="22"/>
              </w:rPr>
              <w:t>HOBART TAS 7001</w:t>
            </w:r>
          </w:p>
        </w:tc>
      </w:tr>
    </w:tbl>
    <w:p w:rsidR="008746E1" w:rsidRPr="00FA6DB0" w:rsidRDefault="008746E1" w:rsidP="008746E1">
      <w:pPr>
        <w:rPr>
          <w:lang w:eastAsia="en-US"/>
        </w:rPr>
      </w:pPr>
    </w:p>
    <w:tbl>
      <w:tblPr>
        <w:tblW w:w="5000" w:type="pct"/>
        <w:tblLook w:val="0000" w:firstRow="0" w:lastRow="0" w:firstColumn="0" w:lastColumn="0" w:noHBand="0" w:noVBand="0"/>
      </w:tblPr>
      <w:tblGrid>
        <w:gridCol w:w="2842"/>
        <w:gridCol w:w="1139"/>
        <w:gridCol w:w="854"/>
        <w:gridCol w:w="1137"/>
        <w:gridCol w:w="1279"/>
        <w:gridCol w:w="1991"/>
      </w:tblGrid>
      <w:tr w:rsidR="008746E1" w:rsidRPr="00FA6DB0" w:rsidTr="003E03B1">
        <w:trPr>
          <w:trHeight w:val="471"/>
        </w:trPr>
        <w:tc>
          <w:tcPr>
            <w:tcW w:w="2154" w:type="pct"/>
            <w:gridSpan w:val="2"/>
            <w:tcBorders>
              <w:bottom w:val="single" w:sz="4" w:space="0" w:color="auto"/>
            </w:tcBorders>
          </w:tcPr>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Name, Restriction,</w:t>
            </w:r>
          </w:p>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Manner of administration and form</w:t>
            </w:r>
          </w:p>
        </w:tc>
        <w:tc>
          <w:tcPr>
            <w:tcW w:w="462" w:type="pct"/>
            <w:tcBorders>
              <w:bottom w:val="single" w:sz="4" w:space="0" w:color="auto"/>
            </w:tcBorders>
          </w:tcPr>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Max.</w:t>
            </w:r>
          </w:p>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Qty</w:t>
            </w:r>
          </w:p>
        </w:tc>
        <w:tc>
          <w:tcPr>
            <w:tcW w:w="615" w:type="pct"/>
            <w:tcBorders>
              <w:bottom w:val="single" w:sz="4" w:space="0" w:color="auto"/>
            </w:tcBorders>
          </w:tcPr>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№.of</w:t>
            </w:r>
          </w:p>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Rpts</w:t>
            </w:r>
          </w:p>
        </w:tc>
        <w:tc>
          <w:tcPr>
            <w:tcW w:w="1769" w:type="pct"/>
            <w:gridSpan w:val="2"/>
            <w:tcBorders>
              <w:bottom w:val="single" w:sz="4" w:space="0" w:color="auto"/>
            </w:tcBorders>
          </w:tcPr>
          <w:p w:rsidR="008746E1" w:rsidRPr="00D00E34" w:rsidRDefault="008746E1" w:rsidP="00D00E34">
            <w:pPr>
              <w:keepNext/>
              <w:rPr>
                <w:rFonts w:asciiTheme="minorHAnsi" w:hAnsiTheme="minorHAnsi" w:cs="Arial"/>
                <w:b/>
                <w:sz w:val="22"/>
                <w:szCs w:val="22"/>
              </w:rPr>
            </w:pPr>
            <w:r w:rsidRPr="00D00E34">
              <w:rPr>
                <w:rFonts w:asciiTheme="minorHAnsi" w:hAnsiTheme="minorHAnsi" w:cs="Arial"/>
                <w:b/>
                <w:sz w:val="22"/>
                <w:szCs w:val="22"/>
              </w:rPr>
              <w:t>Proprietary Name and Manufacturer</w:t>
            </w:r>
          </w:p>
        </w:tc>
      </w:tr>
      <w:tr w:rsidR="008746E1" w:rsidRPr="00FA6DB0" w:rsidTr="003E03B1">
        <w:trPr>
          <w:trHeight w:val="577"/>
        </w:trPr>
        <w:tc>
          <w:tcPr>
            <w:tcW w:w="2154" w:type="pct"/>
            <w:gridSpan w:val="2"/>
          </w:tcPr>
          <w:p w:rsidR="008746E1" w:rsidRPr="00FA6DB0" w:rsidRDefault="008746E1" w:rsidP="008746E1">
            <w:pPr>
              <w:keepNext/>
              <w:ind w:left="-108"/>
              <w:jc w:val="both"/>
              <w:rPr>
                <w:rFonts w:asciiTheme="minorHAnsi" w:hAnsiTheme="minorHAnsi" w:cs="Arial"/>
                <w:sz w:val="22"/>
                <w:szCs w:val="22"/>
              </w:rPr>
            </w:pPr>
            <w:r w:rsidRPr="00FA6DB0">
              <w:rPr>
                <w:rFonts w:asciiTheme="minorHAnsi" w:hAnsiTheme="minorHAnsi" w:cs="Arial"/>
                <w:smallCaps/>
                <w:sz w:val="22"/>
                <w:szCs w:val="22"/>
              </w:rPr>
              <w:t xml:space="preserve"> NUSINERSEN</w:t>
            </w:r>
          </w:p>
          <w:p w:rsidR="008746E1" w:rsidRPr="00FA6DB0" w:rsidRDefault="008746E1" w:rsidP="00417950">
            <w:pPr>
              <w:keepNext/>
              <w:ind w:left="-108"/>
              <w:rPr>
                <w:rFonts w:asciiTheme="minorHAnsi" w:hAnsiTheme="minorHAnsi" w:cs="Arial"/>
                <w:sz w:val="22"/>
                <w:szCs w:val="22"/>
              </w:rPr>
            </w:pPr>
            <w:r w:rsidRPr="00FA6DB0">
              <w:rPr>
                <w:rFonts w:asciiTheme="minorHAnsi" w:hAnsiTheme="minorHAnsi" w:cs="Arial"/>
                <w:sz w:val="22"/>
                <w:szCs w:val="22"/>
              </w:rPr>
              <w:t>12 mg/5 mL injection, 5 mL vial</w:t>
            </w:r>
          </w:p>
        </w:tc>
        <w:tc>
          <w:tcPr>
            <w:tcW w:w="462" w:type="pct"/>
          </w:tcPr>
          <w:p w:rsidR="008746E1" w:rsidRPr="00FA6DB0" w:rsidRDefault="008746E1" w:rsidP="00417950">
            <w:pPr>
              <w:keepNext/>
              <w:ind w:left="-108"/>
              <w:jc w:val="both"/>
              <w:rPr>
                <w:rFonts w:asciiTheme="minorHAnsi" w:hAnsiTheme="minorHAnsi" w:cs="Arial"/>
                <w:sz w:val="22"/>
                <w:szCs w:val="22"/>
              </w:rPr>
            </w:pPr>
          </w:p>
          <w:p w:rsidR="008746E1" w:rsidRPr="00FA6DB0" w:rsidRDefault="008746E1" w:rsidP="00417950">
            <w:pPr>
              <w:keepNext/>
              <w:ind w:left="-108"/>
              <w:jc w:val="both"/>
              <w:rPr>
                <w:rFonts w:asciiTheme="minorHAnsi" w:hAnsiTheme="minorHAnsi" w:cs="Arial"/>
                <w:sz w:val="22"/>
                <w:szCs w:val="22"/>
              </w:rPr>
            </w:pPr>
            <w:r w:rsidRPr="00FA6DB0">
              <w:rPr>
                <w:rFonts w:asciiTheme="minorHAnsi" w:hAnsiTheme="minorHAnsi" w:cs="Arial"/>
                <w:sz w:val="22"/>
                <w:szCs w:val="22"/>
              </w:rPr>
              <w:t>1</w:t>
            </w:r>
          </w:p>
        </w:tc>
        <w:tc>
          <w:tcPr>
            <w:tcW w:w="615" w:type="pct"/>
          </w:tcPr>
          <w:p w:rsidR="008746E1" w:rsidRPr="00FA6DB0" w:rsidRDefault="008746E1" w:rsidP="00417950">
            <w:pPr>
              <w:keepNext/>
              <w:ind w:left="-108"/>
              <w:jc w:val="both"/>
              <w:rPr>
                <w:rFonts w:asciiTheme="minorHAnsi" w:hAnsiTheme="minorHAnsi" w:cs="Arial"/>
                <w:sz w:val="22"/>
                <w:szCs w:val="22"/>
              </w:rPr>
            </w:pPr>
          </w:p>
          <w:p w:rsidR="008746E1" w:rsidRPr="00FA6DB0" w:rsidRDefault="008746E1" w:rsidP="00417950">
            <w:pPr>
              <w:keepNext/>
              <w:ind w:left="-108"/>
              <w:jc w:val="both"/>
              <w:rPr>
                <w:rFonts w:asciiTheme="minorHAnsi" w:hAnsiTheme="minorHAnsi" w:cs="Arial"/>
                <w:sz w:val="22"/>
                <w:szCs w:val="22"/>
              </w:rPr>
            </w:pPr>
            <w:r w:rsidRPr="00FA6DB0">
              <w:rPr>
                <w:rFonts w:asciiTheme="minorHAnsi" w:hAnsiTheme="minorHAnsi" w:cs="Arial"/>
                <w:sz w:val="22"/>
                <w:szCs w:val="22"/>
              </w:rPr>
              <w:t>0</w:t>
            </w:r>
          </w:p>
        </w:tc>
        <w:tc>
          <w:tcPr>
            <w:tcW w:w="692" w:type="pct"/>
          </w:tcPr>
          <w:p w:rsidR="008746E1" w:rsidRPr="00FA6DB0" w:rsidRDefault="008746E1" w:rsidP="00417950">
            <w:pPr>
              <w:keepNext/>
              <w:jc w:val="both"/>
              <w:rPr>
                <w:rFonts w:asciiTheme="minorHAnsi" w:hAnsiTheme="minorHAnsi" w:cs="Arial"/>
                <w:sz w:val="22"/>
                <w:szCs w:val="22"/>
              </w:rPr>
            </w:pPr>
            <w:r w:rsidRPr="00FA6DB0">
              <w:rPr>
                <w:rFonts w:asciiTheme="minorHAnsi" w:hAnsiTheme="minorHAnsi" w:cs="Arial"/>
                <w:sz w:val="22"/>
                <w:szCs w:val="22"/>
              </w:rPr>
              <w:t>Spinraza</w:t>
            </w:r>
          </w:p>
        </w:tc>
        <w:tc>
          <w:tcPr>
            <w:tcW w:w="1077" w:type="pct"/>
          </w:tcPr>
          <w:p w:rsidR="008746E1" w:rsidRPr="00FA6DB0" w:rsidRDefault="008746E1" w:rsidP="00D00E34">
            <w:pPr>
              <w:keepNext/>
              <w:rPr>
                <w:rFonts w:asciiTheme="minorHAnsi" w:hAnsiTheme="minorHAnsi" w:cs="Arial"/>
                <w:sz w:val="22"/>
                <w:szCs w:val="22"/>
              </w:rPr>
            </w:pPr>
            <w:r w:rsidRPr="00FA6DB0">
              <w:rPr>
                <w:rFonts w:asciiTheme="minorHAnsi" w:hAnsiTheme="minorHAnsi" w:cs="Arial"/>
                <w:sz w:val="22"/>
                <w:szCs w:val="22"/>
              </w:rPr>
              <w:t>Biogen Australia Pty Ltd</w:t>
            </w:r>
          </w:p>
        </w:tc>
      </w:tr>
      <w:tr w:rsidR="008746E1" w:rsidRPr="00FA6DB0" w:rsidTr="003E03B1">
        <w:trPr>
          <w:trHeight w:val="360"/>
        </w:trPr>
        <w:tc>
          <w:tcPr>
            <w:tcW w:w="5000" w:type="pct"/>
            <w:gridSpan w:val="6"/>
            <w:tcBorders>
              <w:bottom w:val="single" w:sz="4" w:space="0" w:color="auto"/>
            </w:tcBorders>
          </w:tcPr>
          <w:p w:rsidR="008746E1" w:rsidRPr="00FA6DB0" w:rsidRDefault="008746E1" w:rsidP="00417950">
            <w:pPr>
              <w:jc w:val="both"/>
              <w:rPr>
                <w:rFonts w:asciiTheme="minorHAnsi" w:hAnsiTheme="minorHAnsi" w:cs="Arial"/>
                <w:sz w:val="22"/>
                <w:szCs w:val="22"/>
              </w:rPr>
            </w:pP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D00E34">
            <w:pPr>
              <w:jc w:val="both"/>
              <w:rPr>
                <w:rFonts w:asciiTheme="minorHAnsi" w:hAnsiTheme="minorHAnsi" w:cs="Arial"/>
                <w:b/>
                <w:sz w:val="22"/>
                <w:szCs w:val="22"/>
              </w:rPr>
            </w:pPr>
            <w:r w:rsidRPr="00FA6DB0">
              <w:rPr>
                <w:rFonts w:asciiTheme="minorHAnsi" w:hAnsiTheme="minorHAnsi" w:cs="Arial"/>
                <w:b/>
                <w:sz w:val="22"/>
                <w:szCs w:val="22"/>
              </w:rPr>
              <w:t>Category / Program</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Section 100 – Highly Specialised Drugs Program (Private Hospital)</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Prescriber type:</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D00E34">
            <w:pPr>
              <w:rPr>
                <w:rFonts w:asciiTheme="minorHAnsi" w:hAnsiTheme="minorHAnsi" w:cs="Arial"/>
                <w:sz w:val="22"/>
                <w:szCs w:val="22"/>
              </w:rPr>
            </w:pPr>
            <w:r w:rsidRPr="00FA6DB0">
              <w:rPr>
                <w:rFonts w:asciiTheme="minorHAnsi" w:hAnsiTheme="minorHAnsi" w:cs="Arial"/>
                <w:sz w:val="22"/>
                <w:szCs w:val="22"/>
              </w:rPr>
              <w:fldChar w:fldCharType="begin">
                <w:ffData>
                  <w:name w:val=""/>
                  <w:enabled/>
                  <w:calcOnExit w:val="0"/>
                  <w:checkBox>
                    <w:sizeAuto/>
                    <w:default w:val="1"/>
                  </w:checkBox>
                </w:ffData>
              </w:fldChar>
            </w:r>
            <w:r w:rsidRPr="00FA6DB0">
              <w:rPr>
                <w:rFonts w:asciiTheme="minorHAnsi" w:hAnsiTheme="minorHAnsi" w:cs="Arial"/>
                <w:sz w:val="22"/>
                <w:szCs w:val="22"/>
              </w:rPr>
              <w:instrText xml:space="preserve"> FORMCHECKBOX </w:instrText>
            </w:r>
            <w:r w:rsidR="001D3C89">
              <w:rPr>
                <w:rFonts w:asciiTheme="minorHAnsi" w:hAnsiTheme="minorHAnsi" w:cs="Arial"/>
                <w:sz w:val="22"/>
                <w:szCs w:val="22"/>
              </w:rPr>
            </w:r>
            <w:r w:rsidR="001D3C89">
              <w:rPr>
                <w:rFonts w:asciiTheme="minorHAnsi" w:hAnsiTheme="minorHAnsi" w:cs="Arial"/>
                <w:sz w:val="22"/>
                <w:szCs w:val="22"/>
              </w:rPr>
              <w:fldChar w:fldCharType="separate"/>
            </w:r>
            <w:r w:rsidRPr="00FA6DB0">
              <w:rPr>
                <w:rFonts w:asciiTheme="minorHAnsi" w:hAnsiTheme="minorHAnsi" w:cs="Arial"/>
                <w:sz w:val="22"/>
                <w:szCs w:val="22"/>
              </w:rPr>
              <w:fldChar w:fldCharType="end"/>
            </w:r>
            <w:r w:rsidRPr="00FA6DB0">
              <w:rPr>
                <w:rFonts w:asciiTheme="minorHAnsi" w:hAnsiTheme="minorHAnsi" w:cs="Arial"/>
                <w:sz w:val="22"/>
                <w:szCs w:val="22"/>
              </w:rPr>
              <w:t xml:space="preserve">Medical Practitioners  </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Condition:</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Spinal muscular atrophy (SMA)</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D00E34" w:rsidRDefault="008746E1" w:rsidP="00417950">
            <w:pPr>
              <w:jc w:val="both"/>
              <w:rPr>
                <w:rFonts w:asciiTheme="minorHAnsi" w:hAnsiTheme="minorHAnsi" w:cs="Arial"/>
                <w:b/>
                <w:sz w:val="22"/>
                <w:szCs w:val="22"/>
              </w:rPr>
            </w:pPr>
            <w:r w:rsidRPr="00FA6DB0">
              <w:rPr>
                <w:rFonts w:asciiTheme="minorHAnsi" w:hAnsiTheme="minorHAnsi" w:cs="Arial"/>
                <w:b/>
                <w:sz w:val="22"/>
                <w:szCs w:val="22"/>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Spinal muscular atrophy (SMA)</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D00E34" w:rsidRDefault="008746E1" w:rsidP="00417950">
            <w:pPr>
              <w:jc w:val="both"/>
              <w:rPr>
                <w:rFonts w:asciiTheme="minorHAnsi" w:hAnsiTheme="minorHAnsi" w:cs="Arial"/>
                <w:b/>
                <w:sz w:val="22"/>
                <w:szCs w:val="22"/>
              </w:rPr>
            </w:pPr>
            <w:r w:rsidRPr="00FA6DB0">
              <w:rPr>
                <w:rFonts w:asciiTheme="minorHAnsi" w:hAnsiTheme="minorHAnsi" w:cs="Arial"/>
                <w:b/>
                <w:sz w:val="22"/>
                <w:szCs w:val="22"/>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Continuing treatment – Maintenance</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D00E34" w:rsidRDefault="008746E1" w:rsidP="00D00E34">
            <w:pPr>
              <w:jc w:val="both"/>
              <w:rPr>
                <w:rFonts w:asciiTheme="minorHAnsi" w:hAnsiTheme="minorHAnsi" w:cs="Arial"/>
                <w:b/>
                <w:sz w:val="22"/>
                <w:szCs w:val="22"/>
              </w:rPr>
            </w:pPr>
            <w:r w:rsidRPr="00FA6DB0">
              <w:rPr>
                <w:rFonts w:asciiTheme="minorHAnsi" w:hAnsiTheme="minorHAnsi" w:cs="Arial"/>
                <w:b/>
                <w:sz w:val="22"/>
                <w:szCs w:val="22"/>
              </w:rPr>
              <w:lastRenderedPageBreak/>
              <w:t>Restriction Level / Method:</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fldChar w:fldCharType="begin">
                <w:ffData>
                  <w:name w:val="Check3"/>
                  <w:enabled/>
                  <w:calcOnExit w:val="0"/>
                  <w:checkBox>
                    <w:sizeAuto/>
                    <w:default w:val="1"/>
                  </w:checkBox>
                </w:ffData>
              </w:fldChar>
            </w:r>
            <w:r w:rsidRPr="00FA6DB0">
              <w:rPr>
                <w:rFonts w:asciiTheme="minorHAnsi" w:hAnsiTheme="minorHAnsi" w:cs="Arial"/>
                <w:sz w:val="22"/>
                <w:szCs w:val="22"/>
              </w:rPr>
              <w:instrText xml:space="preserve"> </w:instrText>
            </w:r>
            <w:bookmarkStart w:id="1" w:name="Check3"/>
            <w:r w:rsidRPr="00FA6DB0">
              <w:rPr>
                <w:rFonts w:asciiTheme="minorHAnsi" w:hAnsiTheme="minorHAnsi" w:cs="Arial"/>
                <w:sz w:val="22"/>
                <w:szCs w:val="22"/>
              </w:rPr>
              <w:instrText xml:space="preserve">FORMCHECKBOX </w:instrText>
            </w:r>
            <w:r w:rsidR="001D3C89">
              <w:rPr>
                <w:rFonts w:asciiTheme="minorHAnsi" w:hAnsiTheme="minorHAnsi" w:cs="Arial"/>
                <w:sz w:val="22"/>
                <w:szCs w:val="22"/>
              </w:rPr>
            </w:r>
            <w:r w:rsidR="001D3C89">
              <w:rPr>
                <w:rFonts w:asciiTheme="minorHAnsi" w:hAnsiTheme="minorHAnsi" w:cs="Arial"/>
                <w:sz w:val="22"/>
                <w:szCs w:val="22"/>
              </w:rPr>
              <w:fldChar w:fldCharType="separate"/>
            </w:r>
            <w:r w:rsidRPr="00FA6DB0">
              <w:rPr>
                <w:rFonts w:asciiTheme="minorHAnsi" w:hAnsiTheme="minorHAnsi" w:cs="Arial"/>
                <w:sz w:val="22"/>
                <w:szCs w:val="22"/>
              </w:rPr>
              <w:fldChar w:fldCharType="end"/>
            </w:r>
            <w:bookmarkEnd w:id="1"/>
            <w:r w:rsidRPr="00FA6DB0">
              <w:rPr>
                <w:rFonts w:asciiTheme="minorHAnsi" w:hAnsiTheme="minorHAnsi" w:cs="Arial"/>
                <w:sz w:val="22"/>
                <w:szCs w:val="22"/>
              </w:rPr>
              <w:t xml:space="preserve">Authority Required – Telephone </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b/>
                <w:sz w:val="22"/>
                <w:szCs w:val="22"/>
              </w:rPr>
            </w:pPr>
            <w:r w:rsidRPr="00FA6DB0">
              <w:rPr>
                <w:rFonts w:asciiTheme="minorHAnsi" w:hAnsiTheme="minorHAnsi" w:cs="Arial"/>
                <w:b/>
                <w:sz w:val="22"/>
                <w:szCs w:val="22"/>
              </w:rPr>
              <w:t>Treatment criteria:</w:t>
            </w:r>
          </w:p>
          <w:p w:rsidR="008746E1" w:rsidRPr="00FA6DB0" w:rsidRDefault="008746E1" w:rsidP="00417950">
            <w:pPr>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p w:rsidR="008746E1" w:rsidRPr="00FA6DB0" w:rsidRDefault="008746E1" w:rsidP="00417950">
            <w:pPr>
              <w:rPr>
                <w:rFonts w:asciiTheme="minorHAnsi" w:hAnsiTheme="minorHAnsi" w:cs="Arial"/>
                <w:sz w:val="22"/>
                <w:szCs w:val="22"/>
              </w:rPr>
            </w:pP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Clinical criteria:</w:t>
            </w:r>
          </w:p>
          <w:p w:rsidR="008746E1" w:rsidRPr="00FA6DB0" w:rsidRDefault="008746E1" w:rsidP="00417950">
            <w:pPr>
              <w:jc w:val="both"/>
              <w:rPr>
                <w:rFonts w:asciiTheme="minorHAnsi" w:hAnsiTheme="minorHAnsi" w:cs="Arial"/>
                <w:i/>
                <w:sz w:val="22"/>
                <w:szCs w:val="22"/>
              </w:rPr>
            </w:pPr>
          </w:p>
          <w:p w:rsidR="008746E1" w:rsidRPr="00FA6DB0" w:rsidRDefault="008746E1" w:rsidP="00417950">
            <w:pPr>
              <w:jc w:val="both"/>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Patient must have previously received PBS-subsidised treatment with this drug for this condition,</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The treatment must be given concomitantly with standard of care for this condition,</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D00E34">
            <w:pPr>
              <w:rPr>
                <w:rFonts w:asciiTheme="minorHAnsi" w:hAnsiTheme="minorHAnsi" w:cs="Arial"/>
                <w:sz w:val="22"/>
                <w:szCs w:val="22"/>
              </w:rPr>
            </w:pPr>
            <w:r w:rsidRPr="00FA6DB0">
              <w:rPr>
                <w:rFonts w:asciiTheme="minorHAnsi" w:hAnsiTheme="minorHAnsi" w:cs="Arial"/>
                <w:sz w:val="22"/>
                <w:szCs w:val="22"/>
              </w:rPr>
              <w:t>The treatment must be ceased when invasive permanent assisted ventilation is required in the absence of a potentially reversible cause while being treated with this drug.</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Prescriber Instructions</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p w:rsidR="008746E1" w:rsidRPr="00FA6DB0" w:rsidRDefault="008746E1" w:rsidP="00417950">
            <w:pPr>
              <w:rPr>
                <w:rFonts w:asciiTheme="minorHAnsi" w:hAnsiTheme="minorHAnsi" w:cs="Arial"/>
                <w:sz w:val="22"/>
                <w:szCs w:val="22"/>
              </w:rPr>
            </w:pPr>
          </w:p>
          <w:p w:rsidR="007A6C73"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Invasive permanent assisted ventilation means ventilation via tracheostomy tube for greater than or equal to 16 hours per day. </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Administrative Advice</w:t>
            </w:r>
          </w:p>
          <w:p w:rsidR="008746E1" w:rsidRPr="00FA6DB0" w:rsidRDefault="008746E1" w:rsidP="00417950">
            <w:pPr>
              <w:jc w:val="both"/>
              <w:rPr>
                <w:rFonts w:asciiTheme="minorHAnsi" w:hAnsiTheme="minorHAnsi" w:cs="Arial"/>
                <w:i/>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No increase in the maximum quantity or number of units may be authorised.</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No increase in the maximum number of repeats may be authorised.</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Special Pricing Arrangements apply.</w:t>
            </w:r>
          </w:p>
          <w:p w:rsidR="008746E1" w:rsidRPr="00FA6DB0" w:rsidRDefault="008746E1" w:rsidP="00417950">
            <w:pPr>
              <w:rPr>
                <w:rFonts w:asciiTheme="minorHAnsi" w:hAnsiTheme="minorHAnsi" w:cs="Arial"/>
                <w:sz w:val="22"/>
                <w:szCs w:val="22"/>
              </w:rPr>
            </w:pPr>
          </w:p>
          <w:p w:rsidR="00256337" w:rsidRPr="00FA6DB0" w:rsidRDefault="008746E1" w:rsidP="00417950">
            <w:pPr>
              <w:rPr>
                <w:rFonts w:asciiTheme="minorHAnsi" w:hAnsiTheme="minorHAnsi" w:cs="Arial"/>
                <w:sz w:val="22"/>
                <w:szCs w:val="22"/>
              </w:rPr>
            </w:pPr>
            <w:r w:rsidRPr="00FA6DB0">
              <w:rPr>
                <w:rFonts w:asciiTheme="minorHAnsi" w:hAnsiTheme="minorHAnsi" w:cs="Arial"/>
                <w:sz w:val="22"/>
                <w:szCs w:val="22"/>
              </w:rPr>
              <w:t>Authority applications for continuing treatment may be made by telephone to the Department of Human Services on 1800 700 270 (hours of operation 8 a.m. to 5 p.m. EST Monday to Friday).</w:t>
            </w:r>
          </w:p>
        </w:tc>
      </w:tr>
    </w:tbl>
    <w:p w:rsidR="00D20EED" w:rsidRPr="00FA6DB0" w:rsidRDefault="00D20EED" w:rsidP="008746E1">
      <w:pPr>
        <w:rPr>
          <w:lang w:eastAsia="en-US"/>
        </w:rPr>
      </w:pPr>
    </w:p>
    <w:p w:rsidR="001C3CD9" w:rsidRPr="00FA6DB0" w:rsidRDefault="001C3CD9" w:rsidP="008746E1">
      <w:pPr>
        <w:rPr>
          <w:lang w:eastAsia="en-US"/>
        </w:rPr>
      </w:pPr>
    </w:p>
    <w:tbl>
      <w:tblPr>
        <w:tblW w:w="5000" w:type="pct"/>
        <w:tblLook w:val="0000" w:firstRow="0" w:lastRow="0" w:firstColumn="0" w:lastColumn="0" w:noHBand="0" w:noVBand="0"/>
      </w:tblPr>
      <w:tblGrid>
        <w:gridCol w:w="2843"/>
        <w:gridCol w:w="996"/>
        <w:gridCol w:w="852"/>
        <w:gridCol w:w="1279"/>
        <w:gridCol w:w="1279"/>
        <w:gridCol w:w="1993"/>
      </w:tblGrid>
      <w:tr w:rsidR="008746E1" w:rsidRPr="00FA6DB0" w:rsidTr="003E03B1">
        <w:trPr>
          <w:trHeight w:val="471"/>
        </w:trPr>
        <w:tc>
          <w:tcPr>
            <w:tcW w:w="2077" w:type="pct"/>
            <w:gridSpan w:val="2"/>
            <w:tcBorders>
              <w:bottom w:val="single" w:sz="4" w:space="0" w:color="auto"/>
            </w:tcBorders>
          </w:tcPr>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lastRenderedPageBreak/>
              <w:t>Name, Restriction,</w:t>
            </w:r>
          </w:p>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Manner of administration and form</w:t>
            </w:r>
          </w:p>
        </w:tc>
        <w:tc>
          <w:tcPr>
            <w:tcW w:w="461" w:type="pct"/>
            <w:tcBorders>
              <w:bottom w:val="single" w:sz="4" w:space="0" w:color="auto"/>
            </w:tcBorders>
          </w:tcPr>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Max.</w:t>
            </w:r>
          </w:p>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Qty</w:t>
            </w:r>
          </w:p>
        </w:tc>
        <w:tc>
          <w:tcPr>
            <w:tcW w:w="692" w:type="pct"/>
            <w:tcBorders>
              <w:bottom w:val="single" w:sz="4" w:space="0" w:color="auto"/>
            </w:tcBorders>
          </w:tcPr>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№.of</w:t>
            </w:r>
          </w:p>
          <w:p w:rsidR="008746E1" w:rsidRPr="00D00E34" w:rsidRDefault="008746E1" w:rsidP="00417950">
            <w:pPr>
              <w:keepNext/>
              <w:ind w:left="-108"/>
              <w:jc w:val="both"/>
              <w:rPr>
                <w:rFonts w:asciiTheme="minorHAnsi" w:hAnsiTheme="minorHAnsi" w:cs="Arial"/>
                <w:b/>
                <w:sz w:val="22"/>
                <w:szCs w:val="22"/>
              </w:rPr>
            </w:pPr>
            <w:r w:rsidRPr="00D00E34">
              <w:rPr>
                <w:rFonts w:asciiTheme="minorHAnsi" w:hAnsiTheme="minorHAnsi" w:cs="Arial"/>
                <w:b/>
                <w:sz w:val="22"/>
                <w:szCs w:val="22"/>
              </w:rPr>
              <w:t>Rpts</w:t>
            </w:r>
          </w:p>
        </w:tc>
        <w:tc>
          <w:tcPr>
            <w:tcW w:w="1769" w:type="pct"/>
            <w:gridSpan w:val="2"/>
            <w:tcBorders>
              <w:bottom w:val="single" w:sz="4" w:space="0" w:color="auto"/>
            </w:tcBorders>
          </w:tcPr>
          <w:p w:rsidR="008746E1" w:rsidRPr="00D00E34" w:rsidRDefault="008746E1" w:rsidP="00D00E34">
            <w:pPr>
              <w:keepNext/>
              <w:rPr>
                <w:rFonts w:asciiTheme="minorHAnsi" w:hAnsiTheme="minorHAnsi" w:cs="Arial"/>
                <w:b/>
                <w:sz w:val="22"/>
                <w:szCs w:val="22"/>
              </w:rPr>
            </w:pPr>
            <w:r w:rsidRPr="00D00E34">
              <w:rPr>
                <w:rFonts w:asciiTheme="minorHAnsi" w:hAnsiTheme="minorHAnsi" w:cs="Arial"/>
                <w:b/>
                <w:sz w:val="22"/>
                <w:szCs w:val="22"/>
              </w:rPr>
              <w:t>Proprietary Name and Manufacturer</w:t>
            </w:r>
          </w:p>
        </w:tc>
      </w:tr>
      <w:tr w:rsidR="008746E1" w:rsidRPr="00FA6DB0" w:rsidTr="003E03B1">
        <w:trPr>
          <w:trHeight w:val="577"/>
        </w:trPr>
        <w:tc>
          <w:tcPr>
            <w:tcW w:w="2077" w:type="pct"/>
            <w:gridSpan w:val="2"/>
          </w:tcPr>
          <w:p w:rsidR="008746E1" w:rsidRPr="00FA6DB0" w:rsidRDefault="008746E1" w:rsidP="008746E1">
            <w:pPr>
              <w:keepNext/>
              <w:ind w:left="-108"/>
              <w:jc w:val="both"/>
              <w:rPr>
                <w:rFonts w:asciiTheme="minorHAnsi" w:hAnsiTheme="minorHAnsi" w:cs="Arial"/>
                <w:sz w:val="22"/>
                <w:szCs w:val="22"/>
              </w:rPr>
            </w:pPr>
            <w:r w:rsidRPr="00FA6DB0">
              <w:rPr>
                <w:rFonts w:asciiTheme="minorHAnsi" w:hAnsiTheme="minorHAnsi" w:cs="Arial"/>
                <w:smallCaps/>
                <w:sz w:val="22"/>
                <w:szCs w:val="22"/>
              </w:rPr>
              <w:t>NUSINERSEN</w:t>
            </w:r>
          </w:p>
          <w:p w:rsidR="008746E1" w:rsidRPr="00FA6DB0" w:rsidRDefault="008746E1" w:rsidP="00417950">
            <w:pPr>
              <w:keepNext/>
              <w:ind w:left="-108"/>
              <w:jc w:val="both"/>
              <w:rPr>
                <w:rFonts w:asciiTheme="minorHAnsi" w:hAnsiTheme="minorHAnsi" w:cs="Arial"/>
                <w:sz w:val="22"/>
                <w:szCs w:val="22"/>
              </w:rPr>
            </w:pPr>
            <w:r w:rsidRPr="00FA6DB0">
              <w:rPr>
                <w:rFonts w:asciiTheme="minorHAnsi" w:hAnsiTheme="minorHAnsi" w:cs="Arial"/>
                <w:sz w:val="22"/>
                <w:szCs w:val="22"/>
              </w:rPr>
              <w:t>12 mg/5 mL injection, 5 mL vial</w:t>
            </w:r>
          </w:p>
        </w:tc>
        <w:tc>
          <w:tcPr>
            <w:tcW w:w="461" w:type="pct"/>
          </w:tcPr>
          <w:p w:rsidR="008746E1" w:rsidRPr="00FA6DB0" w:rsidRDefault="008746E1" w:rsidP="00417950">
            <w:pPr>
              <w:keepNext/>
              <w:ind w:left="-108"/>
              <w:jc w:val="both"/>
              <w:rPr>
                <w:rFonts w:asciiTheme="minorHAnsi" w:hAnsiTheme="minorHAnsi" w:cs="Arial"/>
                <w:sz w:val="22"/>
                <w:szCs w:val="22"/>
              </w:rPr>
            </w:pPr>
          </w:p>
          <w:p w:rsidR="008746E1" w:rsidRPr="00FA6DB0" w:rsidRDefault="008746E1" w:rsidP="00417950">
            <w:pPr>
              <w:keepNext/>
              <w:ind w:left="-108"/>
              <w:jc w:val="both"/>
              <w:rPr>
                <w:rFonts w:asciiTheme="minorHAnsi" w:hAnsiTheme="minorHAnsi" w:cs="Arial"/>
                <w:sz w:val="22"/>
                <w:szCs w:val="22"/>
              </w:rPr>
            </w:pPr>
            <w:r w:rsidRPr="00FA6DB0">
              <w:rPr>
                <w:rFonts w:asciiTheme="minorHAnsi" w:hAnsiTheme="minorHAnsi" w:cs="Arial"/>
                <w:sz w:val="22"/>
                <w:szCs w:val="22"/>
              </w:rPr>
              <w:t>1</w:t>
            </w:r>
          </w:p>
        </w:tc>
        <w:tc>
          <w:tcPr>
            <w:tcW w:w="692" w:type="pct"/>
          </w:tcPr>
          <w:p w:rsidR="008746E1" w:rsidRPr="00FA6DB0" w:rsidRDefault="008746E1" w:rsidP="00417950">
            <w:pPr>
              <w:keepNext/>
              <w:ind w:left="-108"/>
              <w:jc w:val="both"/>
              <w:rPr>
                <w:rFonts w:asciiTheme="minorHAnsi" w:hAnsiTheme="minorHAnsi" w:cs="Arial"/>
                <w:sz w:val="22"/>
                <w:szCs w:val="22"/>
              </w:rPr>
            </w:pPr>
          </w:p>
          <w:p w:rsidR="008746E1" w:rsidRPr="00FA6DB0" w:rsidRDefault="008746E1" w:rsidP="00417950">
            <w:pPr>
              <w:keepNext/>
              <w:ind w:left="-108"/>
              <w:jc w:val="both"/>
              <w:rPr>
                <w:rFonts w:asciiTheme="minorHAnsi" w:hAnsiTheme="minorHAnsi" w:cs="Arial"/>
                <w:sz w:val="22"/>
                <w:szCs w:val="22"/>
              </w:rPr>
            </w:pPr>
            <w:r w:rsidRPr="00FA6DB0">
              <w:rPr>
                <w:rFonts w:asciiTheme="minorHAnsi" w:hAnsiTheme="minorHAnsi" w:cs="Arial"/>
                <w:sz w:val="22"/>
                <w:szCs w:val="22"/>
              </w:rPr>
              <w:t>0</w:t>
            </w:r>
          </w:p>
        </w:tc>
        <w:tc>
          <w:tcPr>
            <w:tcW w:w="692" w:type="pct"/>
          </w:tcPr>
          <w:p w:rsidR="008746E1" w:rsidRPr="00FA6DB0" w:rsidRDefault="008746E1" w:rsidP="00417950">
            <w:pPr>
              <w:keepNext/>
              <w:jc w:val="both"/>
              <w:rPr>
                <w:rFonts w:asciiTheme="minorHAnsi" w:hAnsiTheme="minorHAnsi" w:cs="Arial"/>
                <w:sz w:val="22"/>
                <w:szCs w:val="22"/>
              </w:rPr>
            </w:pPr>
            <w:r w:rsidRPr="00FA6DB0">
              <w:rPr>
                <w:rFonts w:asciiTheme="minorHAnsi" w:hAnsiTheme="minorHAnsi" w:cs="Arial"/>
                <w:sz w:val="22"/>
                <w:szCs w:val="22"/>
              </w:rPr>
              <w:t>Spinraza</w:t>
            </w:r>
          </w:p>
        </w:tc>
        <w:tc>
          <w:tcPr>
            <w:tcW w:w="1077" w:type="pct"/>
          </w:tcPr>
          <w:p w:rsidR="008746E1" w:rsidRPr="00FA6DB0" w:rsidRDefault="008746E1" w:rsidP="00D00E34">
            <w:pPr>
              <w:keepNext/>
              <w:rPr>
                <w:rFonts w:asciiTheme="minorHAnsi" w:hAnsiTheme="minorHAnsi" w:cs="Arial"/>
                <w:sz w:val="22"/>
                <w:szCs w:val="22"/>
              </w:rPr>
            </w:pPr>
            <w:r w:rsidRPr="00FA6DB0">
              <w:rPr>
                <w:rFonts w:asciiTheme="minorHAnsi" w:hAnsiTheme="minorHAnsi" w:cs="Arial"/>
                <w:sz w:val="22"/>
                <w:szCs w:val="22"/>
              </w:rPr>
              <w:t>Biogen Australia Pty Ltd</w:t>
            </w:r>
          </w:p>
        </w:tc>
      </w:tr>
      <w:tr w:rsidR="008746E1" w:rsidRPr="00FA6DB0" w:rsidTr="003E03B1">
        <w:trPr>
          <w:trHeight w:val="360"/>
        </w:trPr>
        <w:tc>
          <w:tcPr>
            <w:tcW w:w="5000" w:type="pct"/>
            <w:gridSpan w:val="6"/>
            <w:tcBorders>
              <w:bottom w:val="single" w:sz="4" w:space="0" w:color="auto"/>
            </w:tcBorders>
          </w:tcPr>
          <w:p w:rsidR="008746E1" w:rsidRPr="00FA6DB0" w:rsidRDefault="008746E1" w:rsidP="00417950">
            <w:pPr>
              <w:jc w:val="both"/>
              <w:rPr>
                <w:rFonts w:asciiTheme="minorHAnsi" w:hAnsiTheme="minorHAnsi" w:cs="Arial"/>
                <w:sz w:val="22"/>
                <w:szCs w:val="22"/>
              </w:rPr>
            </w:pP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D00E34">
            <w:pPr>
              <w:jc w:val="both"/>
              <w:rPr>
                <w:rFonts w:asciiTheme="minorHAnsi" w:hAnsiTheme="minorHAnsi" w:cs="Arial"/>
                <w:b/>
                <w:sz w:val="22"/>
                <w:szCs w:val="22"/>
              </w:rPr>
            </w:pPr>
            <w:r w:rsidRPr="00FA6DB0">
              <w:rPr>
                <w:rFonts w:asciiTheme="minorHAnsi" w:hAnsiTheme="minorHAnsi" w:cs="Arial"/>
                <w:b/>
                <w:sz w:val="22"/>
                <w:szCs w:val="22"/>
              </w:rPr>
              <w:t>Category / Program</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Section 100 – Highly Specialised Drugs Program (Private Hospital)</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Prescriber type:</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fldChar w:fldCharType="begin">
                <w:ffData>
                  <w:name w:val=""/>
                  <w:enabled/>
                  <w:calcOnExit w:val="0"/>
                  <w:checkBox>
                    <w:sizeAuto/>
                    <w:default w:val="1"/>
                  </w:checkBox>
                </w:ffData>
              </w:fldChar>
            </w:r>
            <w:r w:rsidRPr="00FA6DB0">
              <w:rPr>
                <w:rFonts w:asciiTheme="minorHAnsi" w:hAnsiTheme="minorHAnsi" w:cs="Arial"/>
                <w:sz w:val="22"/>
                <w:szCs w:val="22"/>
              </w:rPr>
              <w:instrText xml:space="preserve"> FORMCHECKBOX </w:instrText>
            </w:r>
            <w:r w:rsidR="001D3C89">
              <w:rPr>
                <w:rFonts w:asciiTheme="minorHAnsi" w:hAnsiTheme="minorHAnsi" w:cs="Arial"/>
                <w:sz w:val="22"/>
                <w:szCs w:val="22"/>
              </w:rPr>
            </w:r>
            <w:r w:rsidR="001D3C89">
              <w:rPr>
                <w:rFonts w:asciiTheme="minorHAnsi" w:hAnsiTheme="minorHAnsi" w:cs="Arial"/>
                <w:sz w:val="22"/>
                <w:szCs w:val="22"/>
              </w:rPr>
              <w:fldChar w:fldCharType="separate"/>
            </w:r>
            <w:r w:rsidRPr="00FA6DB0">
              <w:rPr>
                <w:rFonts w:asciiTheme="minorHAnsi" w:hAnsiTheme="minorHAnsi" w:cs="Arial"/>
                <w:sz w:val="22"/>
                <w:szCs w:val="22"/>
              </w:rPr>
              <w:fldChar w:fldCharType="end"/>
            </w:r>
            <w:r w:rsidRPr="00FA6DB0">
              <w:rPr>
                <w:rFonts w:asciiTheme="minorHAnsi" w:hAnsiTheme="minorHAnsi" w:cs="Arial"/>
                <w:sz w:val="22"/>
                <w:szCs w:val="22"/>
              </w:rPr>
              <w:t xml:space="preserve">Medical Practitioners  </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D00E34" w:rsidRDefault="008746E1" w:rsidP="00417950">
            <w:pPr>
              <w:jc w:val="both"/>
              <w:rPr>
                <w:rFonts w:asciiTheme="minorHAnsi" w:hAnsiTheme="minorHAnsi" w:cs="Arial"/>
                <w:b/>
                <w:sz w:val="22"/>
                <w:szCs w:val="22"/>
              </w:rPr>
            </w:pPr>
            <w:r w:rsidRPr="00FA6DB0">
              <w:rPr>
                <w:rFonts w:asciiTheme="minorHAnsi" w:hAnsiTheme="minorHAnsi" w:cs="Arial"/>
                <w:b/>
                <w:sz w:val="22"/>
                <w:szCs w:val="22"/>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Spinal muscular atrophy (SMA)</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D00E34" w:rsidRDefault="008746E1" w:rsidP="00417950">
            <w:pPr>
              <w:jc w:val="both"/>
              <w:rPr>
                <w:rFonts w:asciiTheme="minorHAnsi" w:hAnsiTheme="minorHAnsi" w:cs="Arial"/>
                <w:b/>
                <w:sz w:val="22"/>
                <w:szCs w:val="22"/>
              </w:rPr>
            </w:pPr>
            <w:r w:rsidRPr="00FA6DB0">
              <w:rPr>
                <w:rFonts w:asciiTheme="minorHAnsi" w:hAnsiTheme="minorHAnsi" w:cs="Arial"/>
                <w:b/>
                <w:sz w:val="22"/>
                <w:szCs w:val="22"/>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Grandfather patients </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D00E34" w:rsidRDefault="008746E1" w:rsidP="00D00E34">
            <w:pPr>
              <w:jc w:val="both"/>
              <w:rPr>
                <w:rFonts w:asciiTheme="minorHAnsi" w:hAnsiTheme="minorHAnsi" w:cs="Arial"/>
                <w:b/>
                <w:sz w:val="22"/>
                <w:szCs w:val="22"/>
              </w:rPr>
            </w:pPr>
            <w:r w:rsidRPr="00FA6DB0">
              <w:rPr>
                <w:rFonts w:asciiTheme="minorHAnsi" w:hAnsiTheme="minorHAnsi" w:cs="Arial"/>
                <w:b/>
                <w:sz w:val="22"/>
                <w:szCs w:val="22"/>
              </w:rPr>
              <w:t>Restriction Level / Method:</w:t>
            </w: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fldChar w:fldCharType="begin">
                <w:ffData>
                  <w:name w:val=""/>
                  <w:enabled/>
                  <w:calcOnExit w:val="0"/>
                  <w:checkBox>
                    <w:sizeAuto/>
                    <w:default w:val="1"/>
                  </w:checkBox>
                </w:ffData>
              </w:fldChar>
            </w:r>
            <w:r w:rsidRPr="00FA6DB0">
              <w:rPr>
                <w:rFonts w:asciiTheme="minorHAnsi" w:hAnsiTheme="minorHAnsi" w:cs="Arial"/>
                <w:sz w:val="22"/>
                <w:szCs w:val="22"/>
              </w:rPr>
              <w:instrText xml:space="preserve"> FORMCHECKBOX </w:instrText>
            </w:r>
            <w:r w:rsidR="001D3C89">
              <w:rPr>
                <w:rFonts w:asciiTheme="minorHAnsi" w:hAnsiTheme="minorHAnsi" w:cs="Arial"/>
                <w:sz w:val="22"/>
                <w:szCs w:val="22"/>
              </w:rPr>
            </w:r>
            <w:r w:rsidR="001D3C89">
              <w:rPr>
                <w:rFonts w:asciiTheme="minorHAnsi" w:hAnsiTheme="minorHAnsi" w:cs="Arial"/>
                <w:sz w:val="22"/>
                <w:szCs w:val="22"/>
              </w:rPr>
              <w:fldChar w:fldCharType="separate"/>
            </w:r>
            <w:r w:rsidRPr="00FA6DB0">
              <w:rPr>
                <w:rFonts w:asciiTheme="minorHAnsi" w:hAnsiTheme="minorHAnsi" w:cs="Arial"/>
                <w:sz w:val="22"/>
                <w:szCs w:val="22"/>
              </w:rPr>
              <w:fldChar w:fldCharType="end"/>
            </w:r>
            <w:r w:rsidRPr="00FA6DB0">
              <w:rPr>
                <w:rFonts w:asciiTheme="minorHAnsi" w:hAnsiTheme="minorHAnsi" w:cs="Arial"/>
                <w:sz w:val="22"/>
                <w:szCs w:val="22"/>
              </w:rPr>
              <w:t>Authority Required - In Writing</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b/>
                <w:sz w:val="22"/>
                <w:szCs w:val="22"/>
              </w:rPr>
            </w:pPr>
            <w:r w:rsidRPr="00FA6DB0">
              <w:rPr>
                <w:rFonts w:asciiTheme="minorHAnsi" w:hAnsiTheme="minorHAnsi" w:cs="Arial"/>
                <w:b/>
                <w:sz w:val="22"/>
                <w:szCs w:val="22"/>
              </w:rPr>
              <w:t>Treatment criteria:</w:t>
            </w:r>
          </w:p>
          <w:p w:rsidR="008746E1" w:rsidRPr="00FA6DB0" w:rsidRDefault="008746E1" w:rsidP="00417950">
            <w:pPr>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Must be treated by a specialist medical practitioner experienced in the diagnosis and management of SMA </w:t>
            </w:r>
            <w:r w:rsidRPr="00FA6DB0">
              <w:rPr>
                <w:rFonts w:asciiTheme="minorHAnsi" w:hAnsiTheme="minorHAnsi"/>
                <w:sz w:val="22"/>
                <w:szCs w:val="22"/>
              </w:rPr>
              <w:t>associated with a neuromuscular clinic of a recognised hospital in the management of SMA</w:t>
            </w:r>
            <w:r w:rsidRPr="00FA6DB0">
              <w:rPr>
                <w:rFonts w:asciiTheme="minorHAnsi" w:hAnsiTheme="minorHAnsi" w:cs="Arial"/>
                <w:sz w:val="22"/>
                <w:szCs w:val="22"/>
              </w:rPr>
              <w:t xml:space="preserve">; or in consultation with a specialist medical practitioner experienced in the diagnosis and management of SMA </w:t>
            </w:r>
            <w:r w:rsidRPr="00FA6DB0">
              <w:rPr>
                <w:rFonts w:asciiTheme="minorHAnsi" w:hAnsiTheme="minorHAnsi"/>
                <w:sz w:val="22"/>
                <w:szCs w:val="22"/>
              </w:rPr>
              <w:t>associated with a neuromuscular clinic of a recognised hospital in the management of SMA</w:t>
            </w:r>
            <w:r w:rsidRPr="00FA6DB0">
              <w:rPr>
                <w:rFonts w:asciiTheme="minorHAnsi" w:hAnsiTheme="minorHAnsi" w:cs="Arial"/>
                <w:sz w:val="22"/>
                <w:szCs w:val="22"/>
              </w:rPr>
              <w:t>.</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Clinical criteria:</w:t>
            </w:r>
          </w:p>
          <w:p w:rsidR="008746E1" w:rsidRPr="00FA6DB0" w:rsidRDefault="008746E1" w:rsidP="00417950">
            <w:pPr>
              <w:jc w:val="both"/>
              <w:rPr>
                <w:rFonts w:asciiTheme="minorHAnsi" w:hAnsiTheme="minorHAnsi" w:cs="Arial"/>
                <w:i/>
                <w:sz w:val="22"/>
                <w:szCs w:val="22"/>
              </w:rPr>
            </w:pPr>
          </w:p>
          <w:p w:rsidR="008746E1" w:rsidRPr="00FA6DB0" w:rsidRDefault="008746E1" w:rsidP="00417950">
            <w:pPr>
              <w:jc w:val="both"/>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Patient must have previously received non-PBS-subsidised treatment for this condition with this drug prior to 1 June 2018,</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The condition must be 5q homozygous deletion, mutation of, or compound heterozygous mutation in the SMN1 gene of type I, II or  IIIa,</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 </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Patient must have had experienced at least two of the defined signs and symptoms of SMA type I, II or IIIa prior to 3 years of age,</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Patient must have previously received at least one of the four loading doses at days 0, 14, 28 and 63,</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The treatment must be given concomitantly with standard of care for this condition,</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AND</w:t>
            </w:r>
          </w:p>
          <w:p w:rsidR="008746E1" w:rsidRPr="00FA6DB0" w:rsidRDefault="008746E1" w:rsidP="00D00E34">
            <w:pPr>
              <w:rPr>
                <w:rFonts w:asciiTheme="minorHAnsi" w:hAnsiTheme="minorHAnsi" w:cs="Arial"/>
                <w:sz w:val="22"/>
                <w:szCs w:val="22"/>
              </w:rPr>
            </w:pPr>
            <w:r w:rsidRPr="00FA6DB0">
              <w:rPr>
                <w:rFonts w:asciiTheme="minorHAnsi" w:hAnsiTheme="minorHAnsi" w:cs="Arial"/>
                <w:sz w:val="22"/>
                <w:szCs w:val="22"/>
              </w:rPr>
              <w:t>The treatment must be ceased when invasive permanent assisted ventilation is required in the absence of a potentially reversible cause while being treated with this drug.</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t>Population criteria:</w:t>
            </w:r>
          </w:p>
          <w:p w:rsidR="008746E1" w:rsidRPr="00FA6DB0" w:rsidRDefault="008746E1" w:rsidP="00417950">
            <w:pPr>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Patient must have been 18 years of age or under at the time treatment with this drug was initiated for this condition;</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OR</w:t>
            </w:r>
          </w:p>
          <w:p w:rsidR="008746E1" w:rsidRPr="00FA6DB0" w:rsidRDefault="008746E1" w:rsidP="00417950">
            <w:pPr>
              <w:rPr>
                <w:rFonts w:asciiTheme="minorHAnsi" w:hAnsiTheme="minorHAnsi" w:cs="Arial"/>
                <w:sz w:val="22"/>
                <w:szCs w:val="22"/>
              </w:rPr>
            </w:pPr>
          </w:p>
          <w:p w:rsidR="008746E1" w:rsidRPr="00FA6DB0" w:rsidRDefault="008746E1" w:rsidP="00D00E34">
            <w:pPr>
              <w:rPr>
                <w:rFonts w:asciiTheme="minorHAnsi" w:hAnsiTheme="minorHAnsi" w:cs="Arial"/>
                <w:sz w:val="22"/>
                <w:szCs w:val="22"/>
              </w:rPr>
            </w:pPr>
            <w:r w:rsidRPr="00FA6DB0">
              <w:rPr>
                <w:rFonts w:asciiTheme="minorHAnsi" w:hAnsiTheme="minorHAnsi" w:cs="Arial"/>
                <w:sz w:val="22"/>
                <w:szCs w:val="22"/>
              </w:rPr>
              <w:t>Patient must have previously received treatment with this drug for this condition under the care of clinicians with the authorised prescriber number of AP17/83146.</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lastRenderedPageBreak/>
              <w:t>Prescriber Instructions</w:t>
            </w:r>
          </w:p>
          <w:p w:rsidR="008746E1" w:rsidRPr="00FA6DB0" w:rsidRDefault="008746E1" w:rsidP="00417950">
            <w:pPr>
              <w:jc w:val="both"/>
              <w:rPr>
                <w:rFonts w:asciiTheme="minorHAnsi" w:hAnsiTheme="minorHAnsi" w:cs="Arial"/>
                <w:i/>
                <w:sz w:val="22"/>
                <w:szCs w:val="22"/>
              </w:rPr>
            </w:pPr>
          </w:p>
          <w:p w:rsidR="008746E1" w:rsidRPr="00FA6DB0" w:rsidRDefault="008746E1" w:rsidP="00417950">
            <w:pPr>
              <w:jc w:val="both"/>
              <w:rPr>
                <w:rFonts w:asciiTheme="minorHAnsi" w:hAnsiTheme="minorHAnsi" w:cs="Arial"/>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Defined signs and symptoms of type I SMA are:</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 Onset before 6 months of age; 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 Failure to meet or regression in ability to perform age-appropriate motor milestones;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iii) Proximal weakness;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iv) Hypotonia;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 Absence of deep tendon reflexes;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 Failure to gain weight appropriate for age;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vii) Any active chronic neurogenic changes;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viii) A compound muscle action potential below normative values for an age-matched child.</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Defined signs and symptoms of type II SMA are:</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 Onset between 6 and 18 months; 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 Failure to meet or regression in ability to perform age-appropriate motor milestones;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iii) Proximal weakness;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iv)Weakness in trunk righting/derotation;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 Hypotonia; or</w:t>
            </w:r>
          </w:p>
          <w:p w:rsidR="008746E1" w:rsidRPr="00FA6DB0" w:rsidRDefault="008746E1" w:rsidP="00417950">
            <w:pPr>
              <w:tabs>
                <w:tab w:val="center" w:pos="3081"/>
              </w:tabs>
              <w:rPr>
                <w:rFonts w:asciiTheme="minorHAnsi" w:hAnsiTheme="minorHAnsi" w:cs="Arial"/>
                <w:sz w:val="22"/>
                <w:szCs w:val="22"/>
              </w:rPr>
            </w:pPr>
            <w:r w:rsidRPr="00FA6DB0">
              <w:rPr>
                <w:rFonts w:asciiTheme="minorHAnsi" w:hAnsiTheme="minorHAnsi" w:cs="Arial"/>
                <w:sz w:val="22"/>
                <w:szCs w:val="22"/>
              </w:rPr>
              <w:t>vi) Absence of deep tendon reflexes; or</w:t>
            </w:r>
            <w:r w:rsidRPr="00FA6DB0">
              <w:rPr>
                <w:rFonts w:asciiTheme="minorHAnsi" w:hAnsiTheme="minorHAnsi" w:cs="Arial"/>
                <w:sz w:val="22"/>
                <w:szCs w:val="22"/>
              </w:rPr>
              <w:tab/>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vii) Failure to gain weight appropriate for age;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viii) Any active chronic neurogenic changes;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ix) A compound muscle action potential below normative values for an age-matched child.</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Defined signs and symptoms of type IIIa SMA are:</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 Onset between 18 months and 3 years of age; 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 Failure to meet or regression in ability to perform age-appropriate motor milestones;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iii) Proximal weakness;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iv) Hypotonia; or </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 Absence of deep tendon reflexes;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w:t>
            </w:r>
            <w:r w:rsidRPr="00FA6DB0" w:rsidDel="00325DB0">
              <w:rPr>
                <w:rFonts w:asciiTheme="minorHAnsi" w:hAnsiTheme="minorHAnsi" w:cs="Arial"/>
                <w:sz w:val="22"/>
                <w:szCs w:val="22"/>
              </w:rPr>
              <w:t xml:space="preserve"> </w:t>
            </w:r>
            <w:r w:rsidRPr="00FA6DB0">
              <w:rPr>
                <w:rFonts w:asciiTheme="minorHAnsi" w:hAnsiTheme="minorHAnsi" w:cs="Arial"/>
                <w:sz w:val="22"/>
                <w:szCs w:val="22"/>
              </w:rPr>
              <w:t>Failure to gain weight appropriate for age;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vii) Any active chronic neurogenic changes; or</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viii) A compound muscle action potential below normative values for an age-matched child. </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Invasive permanent assisted ventilation means ventilation via tracheostomy tube for greater than or equal to 16 hours per day. </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lastRenderedPageBreak/>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Applications for authorisation of grandfathering treatment must be in writing and must include:</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 a completed authority prescription form; 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(b) a completed Spinal muscular atrophy PBS Authority Application for Grandfather patients - Supporting Information Form which includes the following: </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 specification of SMA type (I, II or IIIa); 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 sign(s) and symptom(s) that the patient has experienced; and</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(iii) patient’s age at the onset of sign(s) and symptom(s); and (iv) if relevant, a copy of a TGA-approval letter to clinician with the authorised prescriber number of AP17/83146.</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 patient may qualify for PBS-subsidised treatment under this restriction once only.</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For continuing PBS-subsidised treatment, a Grandfathered patient must qualify under the Continuing treatment criteria.</w:t>
            </w:r>
          </w:p>
        </w:tc>
      </w:tr>
      <w:tr w:rsidR="008746E1" w:rsidRPr="00FA6DB0" w:rsidTr="003E03B1">
        <w:trPr>
          <w:trHeight w:val="360"/>
        </w:trPr>
        <w:tc>
          <w:tcPr>
            <w:tcW w:w="1538" w:type="pct"/>
            <w:tcBorders>
              <w:top w:val="single" w:sz="4" w:space="0" w:color="auto"/>
              <w:left w:val="single" w:sz="4" w:space="0" w:color="auto"/>
              <w:bottom w:val="single" w:sz="4" w:space="0" w:color="auto"/>
              <w:right w:val="single" w:sz="4" w:space="0" w:color="auto"/>
            </w:tcBorders>
          </w:tcPr>
          <w:p w:rsidR="008746E1" w:rsidRPr="00FA6DB0" w:rsidRDefault="008746E1" w:rsidP="00417950">
            <w:pPr>
              <w:jc w:val="both"/>
              <w:rPr>
                <w:rFonts w:asciiTheme="minorHAnsi" w:hAnsiTheme="minorHAnsi" w:cs="Arial"/>
                <w:b/>
                <w:sz w:val="22"/>
                <w:szCs w:val="22"/>
              </w:rPr>
            </w:pPr>
            <w:r w:rsidRPr="00FA6DB0">
              <w:rPr>
                <w:rFonts w:asciiTheme="minorHAnsi" w:hAnsiTheme="minorHAnsi" w:cs="Arial"/>
                <w:b/>
                <w:sz w:val="22"/>
                <w:szCs w:val="22"/>
              </w:rPr>
              <w:lastRenderedPageBreak/>
              <w:t>Administrative Advice</w:t>
            </w:r>
          </w:p>
          <w:p w:rsidR="008746E1" w:rsidRPr="00FA6DB0" w:rsidRDefault="008746E1" w:rsidP="00417950">
            <w:pPr>
              <w:jc w:val="both"/>
              <w:rPr>
                <w:rFonts w:asciiTheme="minorHAnsi" w:hAnsiTheme="minorHAnsi" w:cs="Arial"/>
                <w:i/>
                <w:sz w:val="22"/>
                <w:szCs w:val="22"/>
              </w:rPr>
            </w:pPr>
          </w:p>
        </w:tc>
        <w:tc>
          <w:tcPr>
            <w:tcW w:w="3462" w:type="pct"/>
            <w:gridSpan w:val="5"/>
            <w:tcBorders>
              <w:top w:val="single" w:sz="4" w:space="0" w:color="auto"/>
              <w:left w:val="single" w:sz="4" w:space="0" w:color="auto"/>
              <w:bottom w:val="single" w:sz="4" w:space="0" w:color="auto"/>
              <w:right w:val="single" w:sz="4" w:space="0" w:color="auto"/>
            </w:tcBorders>
          </w:tcPr>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No increase in the maximum quantity or number of units may be authorised.</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 maximum number of repeats of up to 2 may be authorised for patients requiring loading doses for days 14, 28 and 63.</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A maximum number of repeats of up to 1 may be authorised for patients requiring loading doses for days 28 and 63.</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Special Pricing Arrangements apply.</w:t>
            </w:r>
          </w:p>
          <w:p w:rsidR="008746E1" w:rsidRPr="00FA6DB0" w:rsidRDefault="008746E1"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Any queries concerning the arrangements to prescribe may be directed to the Department of Human Services on 1800 700 270 (hours of operation 8 a.m. to 5 p.m. EST Monday to Friday). </w:t>
            </w:r>
          </w:p>
          <w:p w:rsidR="00014AD8" w:rsidRPr="00FA6DB0" w:rsidRDefault="00014AD8" w:rsidP="00417950">
            <w:pPr>
              <w:rPr>
                <w:rFonts w:asciiTheme="minorHAnsi" w:hAnsiTheme="minorHAnsi" w:cs="Arial"/>
                <w:sz w:val="22"/>
                <w:szCs w:val="22"/>
              </w:rPr>
            </w:pP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Prescribing information (including Authority Application forms and other relevant documentation as applicable) is available on the Department of Human Services website at www.humanservices.gov.au </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 xml:space="preserve">Applications for authority to prescribe should be forwarded to: </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Department of Human Services</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Complex Drugs</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lastRenderedPageBreak/>
              <w:t xml:space="preserve">Reply Paid 9826 </w:t>
            </w:r>
          </w:p>
          <w:p w:rsidR="008746E1" w:rsidRPr="00FA6DB0" w:rsidRDefault="008746E1" w:rsidP="00417950">
            <w:pPr>
              <w:rPr>
                <w:rFonts w:asciiTheme="minorHAnsi" w:hAnsiTheme="minorHAnsi" w:cs="Arial"/>
                <w:sz w:val="22"/>
                <w:szCs w:val="22"/>
              </w:rPr>
            </w:pPr>
            <w:r w:rsidRPr="00FA6DB0">
              <w:rPr>
                <w:rFonts w:asciiTheme="minorHAnsi" w:hAnsiTheme="minorHAnsi" w:cs="Arial"/>
                <w:sz w:val="22"/>
                <w:szCs w:val="22"/>
              </w:rPr>
              <w:t>HOBART TAS 7001</w:t>
            </w:r>
          </w:p>
        </w:tc>
      </w:tr>
    </w:tbl>
    <w:p w:rsidR="00157F67" w:rsidRDefault="00157F67" w:rsidP="008746E1">
      <w:pPr>
        <w:rPr>
          <w:lang w:eastAsia="en-US"/>
        </w:rPr>
      </w:pPr>
    </w:p>
    <w:p w:rsidR="00157F67" w:rsidRDefault="00157F67" w:rsidP="00157F67">
      <w:pPr>
        <w:rPr>
          <w:lang w:eastAsia="en-US"/>
        </w:rPr>
      </w:pPr>
    </w:p>
    <w:p w:rsidR="00157F67" w:rsidRDefault="00157F67" w:rsidP="00157F6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Context for Decision </w:t>
      </w:r>
    </w:p>
    <w:p w:rsidR="008746E1" w:rsidRPr="003E03B1" w:rsidRDefault="00157F67" w:rsidP="003E03B1">
      <w:pPr>
        <w:spacing w:line="276" w:lineRule="auto"/>
        <w:jc w:val="both"/>
        <w:rPr>
          <w:rFonts w:asciiTheme="minorHAnsi" w:eastAsiaTheme="minorHAnsi" w:hAnsiTheme="minorHAnsi" w:cs="Arial"/>
          <w:szCs w:val="22"/>
          <w:lang w:eastAsia="en-US"/>
        </w:rPr>
      </w:pPr>
      <w:r w:rsidRPr="00157F67">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sectPr w:rsidR="008746E1" w:rsidRPr="003E03B1"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89" w:rsidRDefault="001D3C89">
      <w:r>
        <w:separator/>
      </w:r>
    </w:p>
    <w:p w:rsidR="001D3C89" w:rsidRDefault="001D3C89"/>
  </w:endnote>
  <w:endnote w:type="continuationSeparator" w:id="0">
    <w:p w:rsidR="001D3C89" w:rsidRDefault="001D3C89">
      <w:r>
        <w:continuationSeparator/>
      </w:r>
    </w:p>
    <w:p w:rsidR="001D3C89" w:rsidRDefault="001D3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Default="00F80475" w:rsidP="00EF44A0">
    <w:pPr>
      <w:pStyle w:val="Footer"/>
      <w:jc w:val="center"/>
      <w:rPr>
        <w:rFonts w:ascii="Arial" w:hAnsi="Arial" w:cs="Arial"/>
        <w:b/>
        <w:sz w:val="20"/>
        <w:szCs w:val="20"/>
      </w:rPr>
    </w:pPr>
  </w:p>
  <w:p w:rsidR="00B946F2" w:rsidRPr="00D00E34" w:rsidRDefault="00B946F2" w:rsidP="00B946F2">
    <w:pPr>
      <w:tabs>
        <w:tab w:val="center" w:pos="4153"/>
        <w:tab w:val="right" w:pos="8306"/>
      </w:tabs>
      <w:spacing w:after="120"/>
      <w:ind w:left="360"/>
      <w:jc w:val="center"/>
      <w:rPr>
        <w:rFonts w:ascii="Calibri" w:hAnsi="Calibri" w:cs="Arial"/>
        <w:b/>
        <w:lang w:eastAsia="en-US"/>
      </w:rPr>
    </w:pPr>
    <w:r w:rsidRPr="00D00E34">
      <w:rPr>
        <w:rFonts w:ascii="Calibri" w:hAnsi="Calibri" w:cs="Arial"/>
        <w:b/>
        <w:lang w:eastAsia="en-US"/>
      </w:rPr>
      <w:fldChar w:fldCharType="begin"/>
    </w:r>
    <w:r w:rsidRPr="00D00E34">
      <w:rPr>
        <w:rFonts w:ascii="Calibri" w:hAnsi="Calibri" w:cs="Arial"/>
        <w:b/>
        <w:lang w:eastAsia="en-US"/>
      </w:rPr>
      <w:instrText xml:space="preserve"> PAGE   \* MERGEFORMAT </w:instrText>
    </w:r>
    <w:r w:rsidRPr="00D00E34">
      <w:rPr>
        <w:rFonts w:ascii="Calibri" w:hAnsi="Calibri" w:cs="Arial"/>
        <w:b/>
        <w:lang w:eastAsia="en-US"/>
      </w:rPr>
      <w:fldChar w:fldCharType="separate"/>
    </w:r>
    <w:r w:rsidR="001D3C89">
      <w:rPr>
        <w:rFonts w:ascii="Calibri" w:hAnsi="Calibri" w:cs="Arial"/>
        <w:b/>
        <w:noProof/>
        <w:lang w:eastAsia="en-US"/>
      </w:rPr>
      <w:t>1</w:t>
    </w:r>
    <w:r w:rsidRPr="00D00E34">
      <w:rPr>
        <w:rFonts w:ascii="Calibri" w:hAnsi="Calibri" w:cs="Arial"/>
        <w:b/>
        <w:noProof/>
        <w:lang w:eastAsia="en-US"/>
      </w:rPr>
      <w:fldChar w:fldCharType="end"/>
    </w:r>
  </w:p>
  <w:p w:rsidR="00F80475" w:rsidRPr="005E1333" w:rsidRDefault="00F80475" w:rsidP="00B946F2">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89" w:rsidRDefault="001D3C89">
      <w:r>
        <w:separator/>
      </w:r>
    </w:p>
    <w:p w:rsidR="001D3C89" w:rsidRDefault="001D3C89"/>
  </w:footnote>
  <w:footnote w:type="continuationSeparator" w:id="0">
    <w:p w:rsidR="001D3C89" w:rsidRDefault="001D3C89">
      <w:r>
        <w:continuationSeparator/>
      </w:r>
    </w:p>
    <w:p w:rsidR="001D3C89" w:rsidRDefault="001D3C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67" w:rsidRPr="00157F67" w:rsidRDefault="00157F67" w:rsidP="00157F67">
    <w:pPr>
      <w:tabs>
        <w:tab w:val="center" w:pos="4513"/>
        <w:tab w:val="right" w:pos="9026"/>
      </w:tabs>
      <w:jc w:val="center"/>
      <w:rPr>
        <w:rFonts w:asciiTheme="minorHAnsi" w:eastAsiaTheme="minorHAnsi" w:hAnsiTheme="minorHAnsi" w:cstheme="minorHAnsi"/>
        <w:i/>
        <w:color w:val="808080"/>
        <w:sz w:val="22"/>
        <w:szCs w:val="22"/>
        <w:lang w:eastAsia="en-US"/>
      </w:rPr>
    </w:pPr>
    <w:r w:rsidRPr="00157F67">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157F67">
      <w:rPr>
        <w:rFonts w:asciiTheme="minorHAnsi" w:eastAsiaTheme="minorHAnsi" w:hAnsiTheme="minorHAnsi" w:cstheme="minorHAnsi"/>
        <w:i/>
        <w:color w:val="808080"/>
        <w:sz w:val="22"/>
        <w:szCs w:val="22"/>
        <w:lang w:eastAsia="en-US"/>
      </w:rPr>
      <w:t xml:space="preserve"> PBAC Meeting</w:t>
    </w:r>
  </w:p>
  <w:p w:rsidR="00F80475" w:rsidRDefault="00F80475"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4AD8"/>
    <w:rsid w:val="0002464A"/>
    <w:rsid w:val="000246A1"/>
    <w:rsid w:val="0003106B"/>
    <w:rsid w:val="000421A1"/>
    <w:rsid w:val="0004240E"/>
    <w:rsid w:val="00045E26"/>
    <w:rsid w:val="000514B5"/>
    <w:rsid w:val="00060E64"/>
    <w:rsid w:val="00066755"/>
    <w:rsid w:val="00077143"/>
    <w:rsid w:val="00082169"/>
    <w:rsid w:val="000969AD"/>
    <w:rsid w:val="00097E2B"/>
    <w:rsid w:val="000B558D"/>
    <w:rsid w:val="000C6996"/>
    <w:rsid w:val="000D1EF9"/>
    <w:rsid w:val="000D23BA"/>
    <w:rsid w:val="000E681E"/>
    <w:rsid w:val="000E731E"/>
    <w:rsid w:val="000F0003"/>
    <w:rsid w:val="000F4E6A"/>
    <w:rsid w:val="00104227"/>
    <w:rsid w:val="0010537F"/>
    <w:rsid w:val="001107BF"/>
    <w:rsid w:val="00111516"/>
    <w:rsid w:val="001153EB"/>
    <w:rsid w:val="0012417C"/>
    <w:rsid w:val="00142395"/>
    <w:rsid w:val="00142714"/>
    <w:rsid w:val="001452ED"/>
    <w:rsid w:val="00157F67"/>
    <w:rsid w:val="00163329"/>
    <w:rsid w:val="00164623"/>
    <w:rsid w:val="00165B64"/>
    <w:rsid w:val="001830CE"/>
    <w:rsid w:val="0018643B"/>
    <w:rsid w:val="00196307"/>
    <w:rsid w:val="001A33EA"/>
    <w:rsid w:val="001B017F"/>
    <w:rsid w:val="001B2BBC"/>
    <w:rsid w:val="001B5129"/>
    <w:rsid w:val="001C1195"/>
    <w:rsid w:val="001C3CD9"/>
    <w:rsid w:val="001D3C89"/>
    <w:rsid w:val="001F1850"/>
    <w:rsid w:val="00203FAC"/>
    <w:rsid w:val="00213CFB"/>
    <w:rsid w:val="00217BE1"/>
    <w:rsid w:val="002554A7"/>
    <w:rsid w:val="00256337"/>
    <w:rsid w:val="00262A41"/>
    <w:rsid w:val="00271BA1"/>
    <w:rsid w:val="002762FA"/>
    <w:rsid w:val="00277505"/>
    <w:rsid w:val="00282608"/>
    <w:rsid w:val="0029458F"/>
    <w:rsid w:val="002A104C"/>
    <w:rsid w:val="002A1EB3"/>
    <w:rsid w:val="002A4960"/>
    <w:rsid w:val="002B1AE6"/>
    <w:rsid w:val="002B2DE8"/>
    <w:rsid w:val="002B30F8"/>
    <w:rsid w:val="002B5596"/>
    <w:rsid w:val="002C212F"/>
    <w:rsid w:val="002D4543"/>
    <w:rsid w:val="002E3153"/>
    <w:rsid w:val="002E72CA"/>
    <w:rsid w:val="00300AD6"/>
    <w:rsid w:val="00317C6C"/>
    <w:rsid w:val="00326E79"/>
    <w:rsid w:val="00332F03"/>
    <w:rsid w:val="00334D65"/>
    <w:rsid w:val="0033518A"/>
    <w:rsid w:val="003367EF"/>
    <w:rsid w:val="00341AE4"/>
    <w:rsid w:val="003476E9"/>
    <w:rsid w:val="0037255C"/>
    <w:rsid w:val="003872CF"/>
    <w:rsid w:val="0039782C"/>
    <w:rsid w:val="003A5B4A"/>
    <w:rsid w:val="003A7F56"/>
    <w:rsid w:val="003B23C5"/>
    <w:rsid w:val="003B2A75"/>
    <w:rsid w:val="003B6124"/>
    <w:rsid w:val="003C2FB5"/>
    <w:rsid w:val="003D4AC4"/>
    <w:rsid w:val="003D63B7"/>
    <w:rsid w:val="003E03B1"/>
    <w:rsid w:val="003E468B"/>
    <w:rsid w:val="003F3228"/>
    <w:rsid w:val="003F5C8C"/>
    <w:rsid w:val="003F7D16"/>
    <w:rsid w:val="004252EC"/>
    <w:rsid w:val="00425425"/>
    <w:rsid w:val="004465BD"/>
    <w:rsid w:val="00453842"/>
    <w:rsid w:val="004652CD"/>
    <w:rsid w:val="00466ADA"/>
    <w:rsid w:val="00476245"/>
    <w:rsid w:val="00483035"/>
    <w:rsid w:val="00485940"/>
    <w:rsid w:val="004A2484"/>
    <w:rsid w:val="004A5A85"/>
    <w:rsid w:val="004A71D1"/>
    <w:rsid w:val="004B5640"/>
    <w:rsid w:val="004C1BD7"/>
    <w:rsid w:val="004C31FE"/>
    <w:rsid w:val="004C691D"/>
    <w:rsid w:val="004C6C07"/>
    <w:rsid w:val="004E692D"/>
    <w:rsid w:val="00501554"/>
    <w:rsid w:val="00514CD7"/>
    <w:rsid w:val="005319B2"/>
    <w:rsid w:val="00532402"/>
    <w:rsid w:val="00532C74"/>
    <w:rsid w:val="00534E2E"/>
    <w:rsid w:val="00544552"/>
    <w:rsid w:val="00552C9A"/>
    <w:rsid w:val="00570708"/>
    <w:rsid w:val="00576310"/>
    <w:rsid w:val="00577C4D"/>
    <w:rsid w:val="00581932"/>
    <w:rsid w:val="005963BB"/>
    <w:rsid w:val="005A3173"/>
    <w:rsid w:val="005A3223"/>
    <w:rsid w:val="005A3DA3"/>
    <w:rsid w:val="005A52C4"/>
    <w:rsid w:val="005A6387"/>
    <w:rsid w:val="005D03AB"/>
    <w:rsid w:val="005D5017"/>
    <w:rsid w:val="005E1333"/>
    <w:rsid w:val="005E615E"/>
    <w:rsid w:val="00601A91"/>
    <w:rsid w:val="00602BA3"/>
    <w:rsid w:val="00612E34"/>
    <w:rsid w:val="00614159"/>
    <w:rsid w:val="00617C00"/>
    <w:rsid w:val="006263BF"/>
    <w:rsid w:val="0062748A"/>
    <w:rsid w:val="006306D5"/>
    <w:rsid w:val="00630A2C"/>
    <w:rsid w:val="0063682E"/>
    <w:rsid w:val="006421F4"/>
    <w:rsid w:val="006436CD"/>
    <w:rsid w:val="00651169"/>
    <w:rsid w:val="00653D69"/>
    <w:rsid w:val="006670BE"/>
    <w:rsid w:val="00670A76"/>
    <w:rsid w:val="006711AA"/>
    <w:rsid w:val="00672B57"/>
    <w:rsid w:val="00675622"/>
    <w:rsid w:val="006906DB"/>
    <w:rsid w:val="00691E6C"/>
    <w:rsid w:val="00696129"/>
    <w:rsid w:val="00697CF2"/>
    <w:rsid w:val="006A12A5"/>
    <w:rsid w:val="006B0D94"/>
    <w:rsid w:val="006B485D"/>
    <w:rsid w:val="006C708E"/>
    <w:rsid w:val="006D6EC7"/>
    <w:rsid w:val="006F5125"/>
    <w:rsid w:val="0070295D"/>
    <w:rsid w:val="00702B6F"/>
    <w:rsid w:val="0071340B"/>
    <w:rsid w:val="007174BB"/>
    <w:rsid w:val="0072025D"/>
    <w:rsid w:val="007353D3"/>
    <w:rsid w:val="00747CD5"/>
    <w:rsid w:val="0076420C"/>
    <w:rsid w:val="007753C2"/>
    <w:rsid w:val="007838B8"/>
    <w:rsid w:val="007A6C73"/>
    <w:rsid w:val="007C0F57"/>
    <w:rsid w:val="007C40B6"/>
    <w:rsid w:val="007C729F"/>
    <w:rsid w:val="007E1D28"/>
    <w:rsid w:val="007F2641"/>
    <w:rsid w:val="007F7C36"/>
    <w:rsid w:val="00806796"/>
    <w:rsid w:val="00812FA0"/>
    <w:rsid w:val="008151D6"/>
    <w:rsid w:val="00826F6D"/>
    <w:rsid w:val="008306F3"/>
    <w:rsid w:val="00855141"/>
    <w:rsid w:val="00856DDD"/>
    <w:rsid w:val="00863E68"/>
    <w:rsid w:val="00870A90"/>
    <w:rsid w:val="008746E1"/>
    <w:rsid w:val="00882085"/>
    <w:rsid w:val="00883188"/>
    <w:rsid w:val="00897D58"/>
    <w:rsid w:val="00897F22"/>
    <w:rsid w:val="008A1956"/>
    <w:rsid w:val="008A222A"/>
    <w:rsid w:val="008A4937"/>
    <w:rsid w:val="008A50F1"/>
    <w:rsid w:val="008C5365"/>
    <w:rsid w:val="008D1B5C"/>
    <w:rsid w:val="008D3C82"/>
    <w:rsid w:val="008D447E"/>
    <w:rsid w:val="008D7A41"/>
    <w:rsid w:val="008E3680"/>
    <w:rsid w:val="008E5870"/>
    <w:rsid w:val="008F1434"/>
    <w:rsid w:val="008F7355"/>
    <w:rsid w:val="009067B7"/>
    <w:rsid w:val="0091220E"/>
    <w:rsid w:val="00930913"/>
    <w:rsid w:val="00930937"/>
    <w:rsid w:val="00933E6C"/>
    <w:rsid w:val="00937958"/>
    <w:rsid w:val="00942160"/>
    <w:rsid w:val="0095146F"/>
    <w:rsid w:val="009602C5"/>
    <w:rsid w:val="00960A4E"/>
    <w:rsid w:val="00962223"/>
    <w:rsid w:val="00966D0D"/>
    <w:rsid w:val="009742C9"/>
    <w:rsid w:val="00974C21"/>
    <w:rsid w:val="00994192"/>
    <w:rsid w:val="0099454E"/>
    <w:rsid w:val="009B0F67"/>
    <w:rsid w:val="009C703C"/>
    <w:rsid w:val="009D3CAA"/>
    <w:rsid w:val="009F4E46"/>
    <w:rsid w:val="009F5B65"/>
    <w:rsid w:val="009F5F2E"/>
    <w:rsid w:val="00A06225"/>
    <w:rsid w:val="00A10848"/>
    <w:rsid w:val="00A128E6"/>
    <w:rsid w:val="00A27EA0"/>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C193C"/>
    <w:rsid w:val="00AC5206"/>
    <w:rsid w:val="00AE11A5"/>
    <w:rsid w:val="00AE13E2"/>
    <w:rsid w:val="00AE22D3"/>
    <w:rsid w:val="00AE575A"/>
    <w:rsid w:val="00AF62DF"/>
    <w:rsid w:val="00AF68CC"/>
    <w:rsid w:val="00B024CB"/>
    <w:rsid w:val="00B1059E"/>
    <w:rsid w:val="00B176C8"/>
    <w:rsid w:val="00B205AA"/>
    <w:rsid w:val="00B22E84"/>
    <w:rsid w:val="00B25F75"/>
    <w:rsid w:val="00B26B3F"/>
    <w:rsid w:val="00B40900"/>
    <w:rsid w:val="00B43E90"/>
    <w:rsid w:val="00B467DC"/>
    <w:rsid w:val="00B56118"/>
    <w:rsid w:val="00B6773F"/>
    <w:rsid w:val="00B73CB8"/>
    <w:rsid w:val="00B801BA"/>
    <w:rsid w:val="00B84D5C"/>
    <w:rsid w:val="00B946F2"/>
    <w:rsid w:val="00BA1786"/>
    <w:rsid w:val="00BB69F5"/>
    <w:rsid w:val="00BB7EC3"/>
    <w:rsid w:val="00BC4B9A"/>
    <w:rsid w:val="00BD02C4"/>
    <w:rsid w:val="00BD784C"/>
    <w:rsid w:val="00BF4CB6"/>
    <w:rsid w:val="00C00DA7"/>
    <w:rsid w:val="00C12768"/>
    <w:rsid w:val="00C27B58"/>
    <w:rsid w:val="00C33C84"/>
    <w:rsid w:val="00C35996"/>
    <w:rsid w:val="00C4747E"/>
    <w:rsid w:val="00C5342C"/>
    <w:rsid w:val="00C603D4"/>
    <w:rsid w:val="00C61F8A"/>
    <w:rsid w:val="00C6256A"/>
    <w:rsid w:val="00C77891"/>
    <w:rsid w:val="00C8194E"/>
    <w:rsid w:val="00C91449"/>
    <w:rsid w:val="00C92D10"/>
    <w:rsid w:val="00CB44EB"/>
    <w:rsid w:val="00CD23DE"/>
    <w:rsid w:val="00CE10C4"/>
    <w:rsid w:val="00CE27B5"/>
    <w:rsid w:val="00D00E34"/>
    <w:rsid w:val="00D0321E"/>
    <w:rsid w:val="00D05528"/>
    <w:rsid w:val="00D1455A"/>
    <w:rsid w:val="00D1769F"/>
    <w:rsid w:val="00D20EED"/>
    <w:rsid w:val="00D31150"/>
    <w:rsid w:val="00D3138B"/>
    <w:rsid w:val="00D3280C"/>
    <w:rsid w:val="00D3406A"/>
    <w:rsid w:val="00D3730E"/>
    <w:rsid w:val="00D4572C"/>
    <w:rsid w:val="00D469B2"/>
    <w:rsid w:val="00D741EB"/>
    <w:rsid w:val="00D83605"/>
    <w:rsid w:val="00D84934"/>
    <w:rsid w:val="00D90AAE"/>
    <w:rsid w:val="00D91271"/>
    <w:rsid w:val="00DA2CB5"/>
    <w:rsid w:val="00DA4BAC"/>
    <w:rsid w:val="00DE6D27"/>
    <w:rsid w:val="00DF217D"/>
    <w:rsid w:val="00DF26A7"/>
    <w:rsid w:val="00E15627"/>
    <w:rsid w:val="00E164B3"/>
    <w:rsid w:val="00E16910"/>
    <w:rsid w:val="00E170DD"/>
    <w:rsid w:val="00E34F90"/>
    <w:rsid w:val="00E42BDB"/>
    <w:rsid w:val="00E57EEB"/>
    <w:rsid w:val="00E61442"/>
    <w:rsid w:val="00E62D94"/>
    <w:rsid w:val="00E65E54"/>
    <w:rsid w:val="00E74B15"/>
    <w:rsid w:val="00E76501"/>
    <w:rsid w:val="00E80155"/>
    <w:rsid w:val="00E848C0"/>
    <w:rsid w:val="00E91B96"/>
    <w:rsid w:val="00E941A1"/>
    <w:rsid w:val="00E95CE3"/>
    <w:rsid w:val="00EA2825"/>
    <w:rsid w:val="00EB0B63"/>
    <w:rsid w:val="00EB5088"/>
    <w:rsid w:val="00ED1644"/>
    <w:rsid w:val="00ED2593"/>
    <w:rsid w:val="00ED7D9C"/>
    <w:rsid w:val="00EF44A0"/>
    <w:rsid w:val="00EF4FED"/>
    <w:rsid w:val="00F050BD"/>
    <w:rsid w:val="00F05657"/>
    <w:rsid w:val="00F25578"/>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629A"/>
    <w:rsid w:val="00F97EFC"/>
    <w:rsid w:val="00FA5883"/>
    <w:rsid w:val="00FA6055"/>
    <w:rsid w:val="00FA6DB0"/>
    <w:rsid w:val="00FB322F"/>
    <w:rsid w:val="00FB442F"/>
    <w:rsid w:val="00FC1929"/>
    <w:rsid w:val="00FC5B46"/>
    <w:rsid w:val="00FD2718"/>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AA3A-D7CB-4D40-93E8-A15083B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2353</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2018-10-19T01:33:00Z</dcterms:created>
  <dcterms:modified xsi:type="dcterms:W3CDTF">2018-10-19T01:34:00Z</dcterms:modified>
</cp:coreProperties>
</file>