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5B" w:rsidRDefault="0081587F" w:rsidP="00B858B1">
      <w:pPr>
        <w:pStyle w:val="Title"/>
        <w:spacing w:before="120" w:after="0"/>
        <w:ind w:left="720" w:hanging="720"/>
        <w:rPr>
          <w:rFonts w:asciiTheme="minorHAnsi" w:hAnsiTheme="minorHAnsi"/>
          <w:sz w:val="36"/>
          <w:szCs w:val="36"/>
        </w:rPr>
      </w:pPr>
      <w:r w:rsidRPr="008D6802">
        <w:rPr>
          <w:rFonts w:asciiTheme="minorHAnsi" w:hAnsiTheme="minorHAnsi"/>
          <w:sz w:val="36"/>
          <w:szCs w:val="36"/>
        </w:rPr>
        <w:t>6.12</w:t>
      </w:r>
      <w:r w:rsidR="006D6493" w:rsidRPr="008D6802">
        <w:rPr>
          <w:rFonts w:asciiTheme="minorHAnsi" w:hAnsiTheme="minorHAnsi"/>
          <w:sz w:val="36"/>
          <w:szCs w:val="36"/>
        </w:rPr>
        <w:tab/>
      </w:r>
      <w:r w:rsidRPr="008D6802">
        <w:rPr>
          <w:rFonts w:asciiTheme="minorHAnsi" w:hAnsiTheme="minorHAnsi"/>
          <w:sz w:val="36"/>
          <w:szCs w:val="36"/>
        </w:rPr>
        <w:t>OBINUTUZUMAB</w:t>
      </w:r>
      <w:r w:rsidR="006D6493" w:rsidRPr="008D6802">
        <w:rPr>
          <w:rFonts w:asciiTheme="minorHAnsi" w:hAnsiTheme="minorHAnsi"/>
          <w:sz w:val="36"/>
          <w:szCs w:val="36"/>
        </w:rPr>
        <w:t xml:space="preserve"> </w:t>
      </w:r>
      <w:r w:rsidR="006D6493" w:rsidRPr="008D6802">
        <w:rPr>
          <w:rFonts w:asciiTheme="minorHAnsi" w:hAnsiTheme="minorHAnsi"/>
          <w:sz w:val="36"/>
          <w:szCs w:val="36"/>
        </w:rPr>
        <w:br/>
      </w:r>
      <w:r w:rsidR="00AA2E98" w:rsidRPr="008D6802">
        <w:rPr>
          <w:rFonts w:asciiTheme="minorHAnsi" w:hAnsiTheme="minorHAnsi"/>
          <w:sz w:val="36"/>
          <w:szCs w:val="36"/>
        </w:rPr>
        <w:t xml:space="preserve">Solution for I.V. infusion </w:t>
      </w:r>
      <w:r w:rsidRPr="008D6802">
        <w:rPr>
          <w:rFonts w:asciiTheme="minorHAnsi" w:hAnsiTheme="minorHAnsi"/>
          <w:sz w:val="36"/>
          <w:szCs w:val="36"/>
        </w:rPr>
        <w:t>1000 mg/40 mL,</w:t>
      </w:r>
      <w:r w:rsidR="006D6493" w:rsidRPr="008D6802">
        <w:rPr>
          <w:rFonts w:asciiTheme="minorHAnsi" w:hAnsiTheme="minorHAnsi"/>
          <w:sz w:val="36"/>
          <w:szCs w:val="36"/>
        </w:rPr>
        <w:t xml:space="preserve"> </w:t>
      </w:r>
      <w:r w:rsidR="006D6493" w:rsidRPr="008D6802">
        <w:rPr>
          <w:rFonts w:asciiTheme="minorHAnsi" w:hAnsiTheme="minorHAnsi"/>
          <w:sz w:val="36"/>
          <w:szCs w:val="36"/>
        </w:rPr>
        <w:br/>
      </w:r>
      <w:r w:rsidR="0064194D" w:rsidRPr="008D6802">
        <w:rPr>
          <w:rFonts w:asciiTheme="minorHAnsi" w:hAnsiTheme="minorHAnsi"/>
          <w:sz w:val="36"/>
          <w:szCs w:val="36"/>
        </w:rPr>
        <w:t xml:space="preserve">Gazyva®, </w:t>
      </w:r>
    </w:p>
    <w:p w:rsidR="006D6493" w:rsidRPr="00B858B1" w:rsidRDefault="0064194D" w:rsidP="00B858B1">
      <w:pPr>
        <w:pStyle w:val="BodyText2"/>
        <w:ind w:firstLine="709"/>
        <w:rPr>
          <w:rFonts w:asciiTheme="minorHAnsi" w:hAnsiTheme="minorHAnsi" w:cstheme="minorHAnsi"/>
          <w:b/>
          <w:sz w:val="36"/>
        </w:rPr>
      </w:pPr>
      <w:r w:rsidRPr="00B858B1">
        <w:rPr>
          <w:rFonts w:asciiTheme="minorHAnsi" w:hAnsiTheme="minorHAnsi" w:cstheme="minorHAnsi"/>
          <w:b/>
          <w:sz w:val="36"/>
        </w:rPr>
        <w:t>Roche</w:t>
      </w:r>
      <w:r w:rsidR="00FB292E">
        <w:rPr>
          <w:rFonts w:asciiTheme="minorHAnsi" w:hAnsiTheme="minorHAnsi" w:cstheme="minorHAnsi"/>
          <w:b/>
          <w:sz w:val="36"/>
        </w:rPr>
        <w:t xml:space="preserve"> Pty Ltd</w:t>
      </w:r>
    </w:p>
    <w:p w:rsidR="008A50F1" w:rsidRPr="008D6802" w:rsidRDefault="00CE10C4" w:rsidP="00EB0B63">
      <w:pPr>
        <w:pStyle w:val="PBACHeading1"/>
        <w:spacing w:before="240" w:after="120"/>
        <w:ind w:left="709" w:hanging="709"/>
        <w:rPr>
          <w:rFonts w:asciiTheme="minorHAnsi" w:hAnsiTheme="minorHAnsi"/>
          <w:sz w:val="32"/>
          <w:szCs w:val="32"/>
        </w:rPr>
      </w:pPr>
      <w:r w:rsidRPr="008D6802">
        <w:rPr>
          <w:rFonts w:asciiTheme="minorHAnsi" w:hAnsiTheme="minorHAnsi"/>
          <w:sz w:val="32"/>
          <w:szCs w:val="32"/>
        </w:rPr>
        <w:t xml:space="preserve">Purpose of </w:t>
      </w:r>
      <w:r w:rsidR="0004240E" w:rsidRPr="008D6802">
        <w:rPr>
          <w:rFonts w:asciiTheme="minorHAnsi" w:hAnsiTheme="minorHAnsi"/>
          <w:sz w:val="32"/>
          <w:szCs w:val="32"/>
        </w:rPr>
        <w:t>Application</w:t>
      </w:r>
    </w:p>
    <w:p w:rsidR="00EF44A0" w:rsidRPr="008D6802" w:rsidRDefault="00EF44A0" w:rsidP="00D139E1">
      <w:pPr>
        <w:pStyle w:val="ListParagraph"/>
        <w:widowControl/>
        <w:numPr>
          <w:ilvl w:val="1"/>
          <w:numId w:val="5"/>
        </w:numPr>
        <w:spacing w:after="120"/>
        <w:contextualSpacing w:val="0"/>
        <w:rPr>
          <w:rFonts w:asciiTheme="minorHAnsi" w:hAnsiTheme="minorHAnsi"/>
          <w:sz w:val="24"/>
          <w:szCs w:val="24"/>
        </w:rPr>
      </w:pPr>
      <w:r w:rsidRPr="008D6802">
        <w:rPr>
          <w:rFonts w:asciiTheme="minorHAnsi" w:eastAsiaTheme="minorHAnsi" w:hAnsiTheme="minorHAnsi" w:cstheme="minorBidi"/>
          <w:snapToGrid/>
          <w:sz w:val="24"/>
          <w:szCs w:val="22"/>
        </w:rPr>
        <w:t>The mi</w:t>
      </w:r>
      <w:r w:rsidR="00FF2801" w:rsidRPr="008D6802">
        <w:rPr>
          <w:rFonts w:asciiTheme="minorHAnsi" w:eastAsiaTheme="minorHAnsi" w:hAnsiTheme="minorHAnsi" w:cstheme="minorBidi"/>
          <w:snapToGrid/>
          <w:sz w:val="24"/>
          <w:szCs w:val="22"/>
        </w:rPr>
        <w:t>nor submission requested</w:t>
      </w:r>
      <w:r w:rsidR="00D139E1" w:rsidRPr="008D6802">
        <w:rPr>
          <w:rFonts w:asciiTheme="minorHAnsi" w:eastAsiaTheme="minorHAnsi" w:hAnsiTheme="minorHAnsi" w:cstheme="minorBidi"/>
          <w:snapToGrid/>
          <w:sz w:val="24"/>
          <w:szCs w:val="22"/>
        </w:rPr>
        <w:t xml:space="preserve"> </w:t>
      </w:r>
      <w:r w:rsidR="00AA2E98" w:rsidRPr="008D6802">
        <w:rPr>
          <w:rFonts w:asciiTheme="minorHAnsi" w:eastAsiaTheme="minorHAnsi" w:hAnsiTheme="minorHAnsi" w:cstheme="minorBidi"/>
          <w:snapToGrid/>
          <w:sz w:val="24"/>
          <w:szCs w:val="22"/>
        </w:rPr>
        <w:t>to amend the current Authority Required</w:t>
      </w:r>
      <w:r w:rsidR="00D87074">
        <w:rPr>
          <w:rFonts w:asciiTheme="minorHAnsi" w:eastAsiaTheme="minorHAnsi" w:hAnsiTheme="minorHAnsi" w:cstheme="minorBidi"/>
          <w:snapToGrid/>
          <w:sz w:val="24"/>
          <w:szCs w:val="22"/>
        </w:rPr>
        <w:t xml:space="preserve"> (W</w:t>
      </w:r>
      <w:r w:rsidR="00BF1584" w:rsidRPr="008D6802">
        <w:rPr>
          <w:rFonts w:asciiTheme="minorHAnsi" w:eastAsiaTheme="minorHAnsi" w:hAnsiTheme="minorHAnsi" w:cstheme="minorBidi"/>
          <w:snapToGrid/>
          <w:sz w:val="24"/>
          <w:szCs w:val="22"/>
        </w:rPr>
        <w:t>ritten)</w:t>
      </w:r>
      <w:r w:rsidR="00AA2E98" w:rsidRPr="008D6802">
        <w:rPr>
          <w:rFonts w:asciiTheme="minorHAnsi" w:eastAsiaTheme="minorHAnsi" w:hAnsiTheme="minorHAnsi" w:cstheme="minorBidi"/>
          <w:snapToGrid/>
          <w:sz w:val="24"/>
          <w:szCs w:val="22"/>
        </w:rPr>
        <w:t xml:space="preserve"> listing to Authority Required (Streamlined) for </w:t>
      </w:r>
      <w:r w:rsidR="00633C07" w:rsidRPr="008D6802">
        <w:rPr>
          <w:rFonts w:asciiTheme="minorHAnsi" w:eastAsiaTheme="minorHAnsi" w:hAnsiTheme="minorHAnsi" w:cstheme="minorBidi"/>
          <w:snapToGrid/>
          <w:sz w:val="24"/>
          <w:szCs w:val="22"/>
        </w:rPr>
        <w:t xml:space="preserve">the </w:t>
      </w:r>
      <w:r w:rsidR="00AA2E98" w:rsidRPr="008D6802">
        <w:rPr>
          <w:rFonts w:asciiTheme="minorHAnsi" w:eastAsiaTheme="minorHAnsi" w:hAnsiTheme="minorHAnsi" w:cstheme="minorBidi"/>
          <w:snapToGrid/>
          <w:sz w:val="24"/>
          <w:szCs w:val="22"/>
        </w:rPr>
        <w:t>treatment of chronic lymphocytic leukaemia (CLL)</w:t>
      </w:r>
      <w:r w:rsidR="00D139E1" w:rsidRPr="008D6802">
        <w:rPr>
          <w:rFonts w:asciiTheme="minorHAnsi" w:eastAsiaTheme="minorHAnsi" w:hAnsiTheme="minorHAnsi" w:cstheme="minorBidi"/>
          <w:snapToGrid/>
          <w:sz w:val="24"/>
          <w:szCs w:val="22"/>
        </w:rPr>
        <w:t>.</w:t>
      </w:r>
    </w:p>
    <w:p w:rsidR="006A12A5" w:rsidRPr="008D6802" w:rsidRDefault="006A12A5" w:rsidP="00EB0B63">
      <w:pPr>
        <w:pStyle w:val="PBACHeading1"/>
        <w:spacing w:before="240" w:after="120"/>
        <w:ind w:left="709" w:hanging="709"/>
        <w:rPr>
          <w:rFonts w:asciiTheme="minorHAnsi" w:hAnsiTheme="minorHAnsi"/>
          <w:sz w:val="32"/>
          <w:szCs w:val="32"/>
        </w:rPr>
      </w:pPr>
      <w:r w:rsidRPr="008D6802">
        <w:rPr>
          <w:rFonts w:asciiTheme="minorHAnsi" w:hAnsiTheme="minorHAnsi"/>
          <w:sz w:val="32"/>
          <w:szCs w:val="32"/>
        </w:rPr>
        <w:t>Requested listing</w:t>
      </w:r>
    </w:p>
    <w:p w:rsidR="00826F6D" w:rsidRPr="008D6802" w:rsidRDefault="00AA2E98"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The </w:t>
      </w:r>
      <w:r w:rsidR="00D351B0" w:rsidRPr="008D6802">
        <w:rPr>
          <w:rFonts w:asciiTheme="minorHAnsi" w:eastAsiaTheme="minorHAnsi" w:hAnsiTheme="minorHAnsi" w:cstheme="minorBidi"/>
          <w:snapToGrid/>
          <w:sz w:val="24"/>
          <w:szCs w:val="22"/>
        </w:rPr>
        <w:t xml:space="preserve">minor </w:t>
      </w:r>
      <w:r w:rsidRPr="008D6802">
        <w:rPr>
          <w:rFonts w:asciiTheme="minorHAnsi" w:eastAsiaTheme="minorHAnsi" w:hAnsiTheme="minorHAnsi" w:cstheme="minorBidi"/>
          <w:snapToGrid/>
          <w:sz w:val="24"/>
          <w:szCs w:val="22"/>
        </w:rPr>
        <w:t xml:space="preserve">submission requested </w:t>
      </w:r>
      <w:r w:rsidR="003B6D55" w:rsidRPr="008D6802">
        <w:rPr>
          <w:rFonts w:asciiTheme="minorHAnsi" w:eastAsiaTheme="minorHAnsi" w:hAnsiTheme="minorHAnsi" w:cstheme="minorBidi"/>
          <w:snapToGrid/>
          <w:sz w:val="24"/>
          <w:szCs w:val="22"/>
        </w:rPr>
        <w:t xml:space="preserve">a </w:t>
      </w:r>
      <w:r w:rsidRPr="008D6802">
        <w:rPr>
          <w:rFonts w:asciiTheme="minorHAnsi" w:eastAsiaTheme="minorHAnsi" w:hAnsiTheme="minorHAnsi" w:cstheme="minorBidi"/>
          <w:snapToGrid/>
          <w:sz w:val="24"/>
          <w:szCs w:val="22"/>
        </w:rPr>
        <w:t xml:space="preserve">change in the restriction level of the existing restriction from Authority Required </w:t>
      </w:r>
      <w:r w:rsidR="00D87074">
        <w:rPr>
          <w:rFonts w:asciiTheme="minorHAnsi" w:eastAsiaTheme="minorHAnsi" w:hAnsiTheme="minorHAnsi" w:cstheme="minorBidi"/>
          <w:snapToGrid/>
          <w:sz w:val="24"/>
          <w:szCs w:val="22"/>
        </w:rPr>
        <w:t>(W</w:t>
      </w:r>
      <w:r w:rsidR="00693A46" w:rsidRPr="008D6802">
        <w:rPr>
          <w:rFonts w:asciiTheme="minorHAnsi" w:eastAsiaTheme="minorHAnsi" w:hAnsiTheme="minorHAnsi" w:cstheme="minorBidi"/>
          <w:snapToGrid/>
          <w:sz w:val="24"/>
          <w:szCs w:val="22"/>
        </w:rPr>
        <w:t xml:space="preserve">ritten) </w:t>
      </w:r>
      <w:r w:rsidRPr="008D6802">
        <w:rPr>
          <w:rFonts w:asciiTheme="minorHAnsi" w:eastAsiaTheme="minorHAnsi" w:hAnsiTheme="minorHAnsi" w:cstheme="minorBidi"/>
          <w:snapToGrid/>
          <w:sz w:val="24"/>
          <w:szCs w:val="22"/>
        </w:rPr>
        <w:t>to Authority Required (Streamlined), but no other changes to the existing listing.</w:t>
      </w:r>
    </w:p>
    <w:p w:rsidR="009D0430" w:rsidRDefault="0092585B" w:rsidP="009D043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p w:rsidR="009D0430" w:rsidRPr="009D0430" w:rsidRDefault="009D0430" w:rsidP="009D0430">
      <w:pPr>
        <w:spacing w:after="120"/>
        <w:rPr>
          <w:rFonts w:asciiTheme="minorHAnsi" w:eastAsiaTheme="minorHAnsi" w:hAnsiTheme="minorHAnsi" w:cstheme="minorBid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1"/>
        <w:gridCol w:w="1462"/>
        <w:gridCol w:w="914"/>
        <w:gridCol w:w="503"/>
        <w:gridCol w:w="93"/>
        <w:gridCol w:w="736"/>
        <w:gridCol w:w="3573"/>
      </w:tblGrid>
      <w:tr w:rsidR="00CC435F" w:rsidRPr="008D6802" w:rsidTr="000C7286">
        <w:trPr>
          <w:cantSplit/>
          <w:trHeight w:val="471"/>
        </w:trPr>
        <w:tc>
          <w:tcPr>
            <w:tcW w:w="1797" w:type="pct"/>
            <w:gridSpan w:val="2"/>
            <w:tcBorders>
              <w:top w:val="nil"/>
              <w:left w:val="nil"/>
              <w:bottom w:val="single" w:sz="4" w:space="0" w:color="auto"/>
              <w:right w:val="nil"/>
            </w:tcBorders>
          </w:tcPr>
          <w:p w:rsidR="0092585B" w:rsidRPr="008D6802" w:rsidRDefault="0092585B" w:rsidP="009D0430">
            <w:pPr>
              <w:keepNext/>
              <w:rPr>
                <w:rFonts w:ascii="Arial Narrow" w:hAnsi="Arial Narrow"/>
                <w:b/>
                <w:sz w:val="20"/>
              </w:rPr>
            </w:pPr>
            <w:r w:rsidRPr="008D6802">
              <w:rPr>
                <w:rFonts w:ascii="Arial Narrow" w:hAnsi="Arial Narrow"/>
                <w:b/>
                <w:sz w:val="20"/>
              </w:rPr>
              <w:lastRenderedPageBreak/>
              <w:t>Name, Restriction,</w:t>
            </w:r>
          </w:p>
          <w:p w:rsidR="0092585B" w:rsidRPr="008D6802" w:rsidRDefault="0092585B" w:rsidP="009D0430">
            <w:pPr>
              <w:keepNext/>
              <w:rPr>
                <w:rFonts w:ascii="Arial Narrow" w:hAnsi="Arial Narrow"/>
                <w:b/>
                <w:sz w:val="20"/>
              </w:rPr>
            </w:pPr>
            <w:r w:rsidRPr="008D6802">
              <w:rPr>
                <w:rFonts w:ascii="Arial Narrow" w:hAnsi="Arial Narrow"/>
                <w:b/>
                <w:sz w:val="20"/>
              </w:rPr>
              <w:t>Manner of administration and form</w:t>
            </w:r>
          </w:p>
        </w:tc>
        <w:tc>
          <w:tcPr>
            <w:tcW w:w="503" w:type="pct"/>
            <w:tcBorders>
              <w:top w:val="nil"/>
              <w:left w:val="nil"/>
              <w:bottom w:val="single" w:sz="4" w:space="0" w:color="auto"/>
              <w:right w:val="nil"/>
            </w:tcBorders>
          </w:tcPr>
          <w:p w:rsidR="0092585B" w:rsidRPr="008D6802" w:rsidRDefault="0092585B" w:rsidP="009D0430">
            <w:pPr>
              <w:keepNext/>
              <w:rPr>
                <w:rFonts w:ascii="Arial Narrow" w:hAnsi="Arial Narrow"/>
                <w:b/>
                <w:sz w:val="20"/>
              </w:rPr>
            </w:pPr>
            <w:r w:rsidRPr="008D6802">
              <w:rPr>
                <w:rFonts w:ascii="Arial Narrow" w:hAnsi="Arial Narrow"/>
                <w:b/>
                <w:sz w:val="20"/>
              </w:rPr>
              <w:t>Max.</w:t>
            </w:r>
          </w:p>
          <w:p w:rsidR="0092585B" w:rsidRPr="008D6802" w:rsidRDefault="0092585B" w:rsidP="009D0430">
            <w:pPr>
              <w:keepNext/>
              <w:rPr>
                <w:rFonts w:ascii="Arial Narrow" w:hAnsi="Arial Narrow"/>
                <w:b/>
                <w:sz w:val="20"/>
              </w:rPr>
            </w:pPr>
            <w:r w:rsidRPr="008D6802">
              <w:rPr>
                <w:rFonts w:ascii="Arial Narrow" w:hAnsi="Arial Narrow"/>
                <w:b/>
                <w:sz w:val="20"/>
              </w:rPr>
              <w:t>Qty</w:t>
            </w:r>
          </w:p>
        </w:tc>
        <w:tc>
          <w:tcPr>
            <w:tcW w:w="277" w:type="pct"/>
            <w:tcBorders>
              <w:top w:val="nil"/>
              <w:left w:val="nil"/>
              <w:bottom w:val="single" w:sz="4" w:space="0" w:color="auto"/>
              <w:right w:val="nil"/>
            </w:tcBorders>
          </w:tcPr>
          <w:p w:rsidR="0092585B" w:rsidRPr="008D6802" w:rsidRDefault="0092585B" w:rsidP="009D0430">
            <w:pPr>
              <w:keepNext/>
              <w:rPr>
                <w:rFonts w:ascii="Arial Narrow" w:hAnsi="Arial Narrow"/>
                <w:b/>
                <w:sz w:val="20"/>
              </w:rPr>
            </w:pPr>
            <w:r w:rsidRPr="008D6802">
              <w:rPr>
                <w:rFonts w:ascii="Arial Narrow" w:hAnsi="Arial Narrow"/>
                <w:b/>
                <w:sz w:val="20"/>
              </w:rPr>
              <w:t>№.of</w:t>
            </w:r>
          </w:p>
          <w:p w:rsidR="0092585B" w:rsidRPr="008D6802" w:rsidRDefault="0092585B" w:rsidP="009D0430">
            <w:pPr>
              <w:keepNext/>
              <w:rPr>
                <w:rFonts w:ascii="Arial Narrow" w:hAnsi="Arial Narrow"/>
                <w:b/>
                <w:sz w:val="20"/>
              </w:rPr>
            </w:pPr>
            <w:r w:rsidRPr="008D6802">
              <w:rPr>
                <w:rFonts w:ascii="Arial Narrow" w:hAnsi="Arial Narrow"/>
                <w:b/>
                <w:sz w:val="20"/>
              </w:rPr>
              <w:t>Rpts</w:t>
            </w:r>
          </w:p>
        </w:tc>
        <w:tc>
          <w:tcPr>
            <w:tcW w:w="51" w:type="pct"/>
            <w:tcBorders>
              <w:top w:val="nil"/>
              <w:left w:val="nil"/>
              <w:bottom w:val="single" w:sz="4" w:space="0" w:color="auto"/>
              <w:right w:val="nil"/>
            </w:tcBorders>
          </w:tcPr>
          <w:p w:rsidR="0092585B" w:rsidRPr="008D6802" w:rsidRDefault="0092585B" w:rsidP="009D0430">
            <w:pPr>
              <w:keepNext/>
              <w:rPr>
                <w:rFonts w:ascii="Arial Narrow" w:hAnsi="Arial Narrow"/>
                <w:b/>
                <w:sz w:val="20"/>
              </w:rPr>
            </w:pPr>
          </w:p>
        </w:tc>
        <w:tc>
          <w:tcPr>
            <w:tcW w:w="2372" w:type="pct"/>
            <w:gridSpan w:val="2"/>
            <w:tcBorders>
              <w:top w:val="nil"/>
              <w:left w:val="nil"/>
              <w:bottom w:val="single" w:sz="4" w:space="0" w:color="auto"/>
              <w:right w:val="nil"/>
            </w:tcBorders>
          </w:tcPr>
          <w:p w:rsidR="0092585B" w:rsidRPr="008D6802" w:rsidRDefault="0092585B" w:rsidP="009D0430">
            <w:pPr>
              <w:keepNext/>
              <w:rPr>
                <w:rFonts w:ascii="Arial Narrow" w:hAnsi="Arial Narrow"/>
                <w:b/>
                <w:sz w:val="20"/>
              </w:rPr>
            </w:pPr>
            <w:r w:rsidRPr="008D6802">
              <w:rPr>
                <w:rFonts w:ascii="Arial Narrow" w:hAnsi="Arial Narrow"/>
                <w:b/>
                <w:sz w:val="20"/>
              </w:rPr>
              <w:t>Proprietary Name and Manufacturer</w:t>
            </w:r>
          </w:p>
        </w:tc>
      </w:tr>
      <w:tr w:rsidR="0092585B" w:rsidRPr="008D6802" w:rsidTr="000C7286">
        <w:trPr>
          <w:cantSplit/>
          <w:trHeight w:val="577"/>
        </w:trPr>
        <w:tc>
          <w:tcPr>
            <w:tcW w:w="1797" w:type="pct"/>
            <w:gridSpan w:val="2"/>
            <w:tcBorders>
              <w:top w:val="single" w:sz="4" w:space="0" w:color="auto"/>
              <w:left w:val="nil"/>
              <w:bottom w:val="nil"/>
              <w:right w:val="nil"/>
            </w:tcBorders>
          </w:tcPr>
          <w:p w:rsidR="0092585B" w:rsidRPr="008D6802" w:rsidRDefault="0092585B" w:rsidP="009D0430">
            <w:pPr>
              <w:keepNext/>
              <w:rPr>
                <w:rFonts w:ascii="Arial Narrow" w:hAnsi="Arial Narrow"/>
                <w:sz w:val="20"/>
              </w:rPr>
            </w:pPr>
            <w:r w:rsidRPr="008D6802">
              <w:rPr>
                <w:rFonts w:ascii="Arial Narrow" w:hAnsi="Arial Narrow"/>
                <w:smallCaps/>
                <w:sz w:val="20"/>
              </w:rPr>
              <w:t>OBINUTUZUMAB</w:t>
            </w:r>
          </w:p>
          <w:p w:rsidR="0092585B" w:rsidRPr="008D6802" w:rsidRDefault="0092585B" w:rsidP="009D0430">
            <w:pPr>
              <w:keepNext/>
              <w:rPr>
                <w:rFonts w:ascii="Arial Narrow" w:hAnsi="Arial Narrow"/>
                <w:sz w:val="20"/>
              </w:rPr>
            </w:pPr>
            <w:r w:rsidRPr="008D6802">
              <w:rPr>
                <w:rFonts w:ascii="Arial Narrow" w:hAnsi="Arial Narrow"/>
                <w:sz w:val="20"/>
              </w:rPr>
              <w:t>solution for intravenous infusion</w:t>
            </w:r>
          </w:p>
          <w:p w:rsidR="0092585B" w:rsidRDefault="0092585B" w:rsidP="009D0430">
            <w:pPr>
              <w:keepNext/>
              <w:rPr>
                <w:rFonts w:ascii="Arial Narrow" w:hAnsi="Arial Narrow"/>
                <w:sz w:val="20"/>
              </w:rPr>
            </w:pPr>
            <w:r w:rsidRPr="008D6802">
              <w:rPr>
                <w:rFonts w:ascii="Arial Narrow" w:hAnsi="Arial Narrow"/>
                <w:sz w:val="20"/>
              </w:rPr>
              <w:t>1,000 mg in 40 mL</w:t>
            </w:r>
          </w:p>
          <w:p w:rsidR="009D0430" w:rsidRPr="008D6802" w:rsidRDefault="009D0430" w:rsidP="009D0430">
            <w:pPr>
              <w:keepNext/>
              <w:rPr>
                <w:rFonts w:ascii="Arial Narrow" w:hAnsi="Arial Narrow"/>
                <w:sz w:val="20"/>
              </w:rPr>
            </w:pPr>
          </w:p>
        </w:tc>
        <w:tc>
          <w:tcPr>
            <w:tcW w:w="503" w:type="pct"/>
            <w:tcBorders>
              <w:top w:val="single" w:sz="4" w:space="0" w:color="auto"/>
              <w:left w:val="nil"/>
              <w:bottom w:val="nil"/>
              <w:right w:val="nil"/>
            </w:tcBorders>
          </w:tcPr>
          <w:p w:rsidR="0092585B" w:rsidRPr="008D6802" w:rsidRDefault="0092585B" w:rsidP="009D0430">
            <w:pPr>
              <w:keepNext/>
              <w:rPr>
                <w:rFonts w:ascii="Arial Narrow" w:hAnsi="Arial Narrow"/>
                <w:sz w:val="20"/>
              </w:rPr>
            </w:pPr>
            <w:r w:rsidRPr="008D6802">
              <w:rPr>
                <w:rFonts w:ascii="Arial Narrow" w:hAnsi="Arial Narrow"/>
                <w:sz w:val="20"/>
              </w:rPr>
              <w:t>1,000 mg</w:t>
            </w:r>
          </w:p>
        </w:tc>
        <w:tc>
          <w:tcPr>
            <w:tcW w:w="277" w:type="pct"/>
            <w:tcBorders>
              <w:top w:val="single" w:sz="4" w:space="0" w:color="auto"/>
              <w:left w:val="nil"/>
              <w:bottom w:val="nil"/>
              <w:right w:val="nil"/>
            </w:tcBorders>
          </w:tcPr>
          <w:p w:rsidR="0092585B" w:rsidRPr="008D6802" w:rsidRDefault="0092585B" w:rsidP="009D0430">
            <w:pPr>
              <w:keepNext/>
              <w:rPr>
                <w:rFonts w:ascii="Arial Narrow" w:hAnsi="Arial Narrow"/>
                <w:sz w:val="20"/>
              </w:rPr>
            </w:pPr>
            <w:r w:rsidRPr="008D6802">
              <w:rPr>
                <w:rFonts w:ascii="Arial Narrow" w:hAnsi="Arial Narrow"/>
                <w:sz w:val="20"/>
              </w:rPr>
              <w:t>7</w:t>
            </w:r>
          </w:p>
        </w:tc>
        <w:tc>
          <w:tcPr>
            <w:tcW w:w="51" w:type="pct"/>
            <w:tcBorders>
              <w:top w:val="single" w:sz="4" w:space="0" w:color="auto"/>
              <w:left w:val="nil"/>
              <w:bottom w:val="nil"/>
              <w:right w:val="nil"/>
            </w:tcBorders>
          </w:tcPr>
          <w:p w:rsidR="0092585B" w:rsidRPr="008D6802" w:rsidRDefault="0092585B" w:rsidP="009D0430">
            <w:pPr>
              <w:keepNext/>
              <w:rPr>
                <w:rFonts w:ascii="Arial Narrow" w:hAnsi="Arial Narrow"/>
                <w:sz w:val="20"/>
              </w:rPr>
            </w:pPr>
          </w:p>
        </w:tc>
        <w:tc>
          <w:tcPr>
            <w:tcW w:w="405" w:type="pct"/>
            <w:tcBorders>
              <w:top w:val="single" w:sz="4" w:space="0" w:color="auto"/>
              <w:left w:val="nil"/>
              <w:bottom w:val="nil"/>
              <w:right w:val="nil"/>
            </w:tcBorders>
          </w:tcPr>
          <w:p w:rsidR="0092585B" w:rsidRPr="008D6802" w:rsidRDefault="0092585B" w:rsidP="009D0430">
            <w:pPr>
              <w:keepNext/>
              <w:rPr>
                <w:rFonts w:ascii="Arial Narrow" w:hAnsi="Arial Narrow"/>
                <w:sz w:val="20"/>
              </w:rPr>
            </w:pPr>
            <w:r w:rsidRPr="008D6802">
              <w:rPr>
                <w:rFonts w:ascii="Arial Narrow" w:hAnsi="Arial Narrow"/>
                <w:sz w:val="20"/>
              </w:rPr>
              <w:t>Gazyva</w:t>
            </w:r>
          </w:p>
        </w:tc>
        <w:tc>
          <w:tcPr>
            <w:tcW w:w="1967" w:type="pct"/>
            <w:tcBorders>
              <w:top w:val="single" w:sz="4" w:space="0" w:color="auto"/>
              <w:left w:val="nil"/>
              <w:bottom w:val="nil"/>
              <w:right w:val="nil"/>
            </w:tcBorders>
          </w:tcPr>
          <w:p w:rsidR="0092585B" w:rsidRPr="008D6802" w:rsidRDefault="0092585B" w:rsidP="009D0430">
            <w:pPr>
              <w:keepNext/>
              <w:rPr>
                <w:rFonts w:ascii="Arial Narrow" w:hAnsi="Arial Narrow"/>
                <w:sz w:val="20"/>
              </w:rPr>
            </w:pPr>
            <w:r w:rsidRPr="008D6802">
              <w:rPr>
                <w:rFonts w:ascii="Arial Narrow" w:hAnsi="Arial Narrow"/>
                <w:sz w:val="20"/>
              </w:rPr>
              <w:t>Roche Products Pty Ltd</w:t>
            </w:r>
          </w:p>
        </w:tc>
      </w:tr>
      <w:tr w:rsidR="0092585B" w:rsidRPr="008D6802" w:rsidTr="000C7286">
        <w:trPr>
          <w:cantSplit/>
          <w:trHeight w:val="269"/>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 xml:space="preserve">Category / </w:t>
            </w:r>
          </w:p>
          <w:p w:rsidR="0092585B" w:rsidRPr="008D6802" w:rsidRDefault="0092585B" w:rsidP="009D0430">
            <w:pPr>
              <w:keepNext/>
              <w:rPr>
                <w:rFonts w:ascii="Arial Narrow" w:hAnsi="Arial Narrow"/>
                <w:sz w:val="20"/>
              </w:rPr>
            </w:pPr>
            <w:r w:rsidRPr="008D6802">
              <w:rPr>
                <w:rFonts w:ascii="Arial Narrow" w:hAnsi="Arial Narrow"/>
                <w:sz w:val="20"/>
              </w:rPr>
              <w:t>Program</w:t>
            </w:r>
          </w:p>
        </w:tc>
        <w:tc>
          <w:tcPr>
            <w:tcW w:w="4008" w:type="pct"/>
            <w:gridSpan w:val="6"/>
          </w:tcPr>
          <w:p w:rsidR="0092585B" w:rsidRPr="008D6802" w:rsidRDefault="0092585B" w:rsidP="009D0430">
            <w:pPr>
              <w:keepNext/>
              <w:rPr>
                <w:rFonts w:ascii="Arial Narrow" w:hAnsi="Arial Narrow"/>
                <w:sz w:val="20"/>
              </w:rPr>
            </w:pPr>
            <w:r w:rsidRPr="008D6802">
              <w:rPr>
                <w:rFonts w:ascii="Arial Narrow" w:hAnsi="Arial Narrow"/>
                <w:sz w:val="20"/>
              </w:rPr>
              <w:t xml:space="preserve">Section 100 (efficient funding of chemotherapy arrangements) public/private hospital </w:t>
            </w:r>
          </w:p>
          <w:p w:rsidR="0092585B" w:rsidRPr="008D6802" w:rsidRDefault="0092585B" w:rsidP="009D0430">
            <w:pPr>
              <w:keepNext/>
              <w:rPr>
                <w:rFonts w:ascii="Arial Narrow" w:hAnsi="Arial Narrow"/>
                <w:i/>
                <w:sz w:val="20"/>
                <w:u w:val="single"/>
              </w:rPr>
            </w:pPr>
          </w:p>
        </w:tc>
      </w:tr>
      <w:tr w:rsidR="0092585B" w:rsidRPr="008D6802" w:rsidTr="000C7286">
        <w:trPr>
          <w:cantSplit/>
          <w:trHeight w:val="269"/>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Prescriber type:</w:t>
            </w:r>
          </w:p>
          <w:p w:rsidR="0092585B" w:rsidRPr="008D6802" w:rsidRDefault="0092585B" w:rsidP="009D0430">
            <w:pPr>
              <w:keepNext/>
              <w:rPr>
                <w:rFonts w:ascii="Arial Narrow" w:hAnsi="Arial Narrow"/>
                <w:sz w:val="20"/>
              </w:rPr>
            </w:pPr>
          </w:p>
        </w:tc>
        <w:tc>
          <w:tcPr>
            <w:tcW w:w="4008" w:type="pct"/>
            <w:gridSpan w:val="6"/>
          </w:tcPr>
          <w:p w:rsidR="0092585B" w:rsidRPr="008D6802" w:rsidRDefault="0092585B" w:rsidP="009D0430">
            <w:pPr>
              <w:keepNext/>
              <w:rPr>
                <w:rFonts w:ascii="Arial Narrow" w:hAnsi="Arial Narrow"/>
                <w:sz w:val="20"/>
              </w:rPr>
            </w:pPr>
            <w:r w:rsidRPr="008D6802">
              <w:rPr>
                <w:rFonts w:ascii="Arial Narrow" w:hAnsi="Arial Narrow"/>
                <w:sz w:val="20"/>
              </w:rPr>
              <w:fldChar w:fldCharType="begin">
                <w:ffData>
                  <w:name w:val="Check1"/>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 xml:space="preserve">Dental  </w:t>
            </w:r>
            <w:r w:rsidRPr="008D6802">
              <w:rPr>
                <w:rFonts w:ascii="Arial Narrow" w:hAnsi="Arial Narrow"/>
                <w:sz w:val="20"/>
              </w:rPr>
              <w:fldChar w:fldCharType="begin">
                <w:ffData>
                  <w:name w:val=""/>
                  <w:enabled/>
                  <w:calcOnExit w:val="0"/>
                  <w:checkBox>
                    <w:sizeAuto/>
                    <w:default w:val="1"/>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 xml:space="preserve">Medical Practitioners  </w:t>
            </w:r>
            <w:r w:rsidRPr="008D6802">
              <w:rPr>
                <w:rFonts w:ascii="Arial Narrow" w:hAnsi="Arial Narrow"/>
                <w:sz w:val="20"/>
              </w:rPr>
              <w:fldChar w:fldCharType="begin">
                <w:ffData>
                  <w:name w:val="Check3"/>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 xml:space="preserve">Nurse practitioners  </w:t>
            </w:r>
            <w:r w:rsidRPr="008D6802">
              <w:rPr>
                <w:rFonts w:ascii="Arial Narrow" w:hAnsi="Arial Narrow"/>
                <w:sz w:val="20"/>
              </w:rPr>
              <w:fldChar w:fldCharType="begin">
                <w:ffData>
                  <w:name w:val=""/>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Optometrists</w:t>
            </w:r>
          </w:p>
          <w:p w:rsidR="0092585B" w:rsidRPr="008D6802" w:rsidRDefault="0092585B" w:rsidP="009D0430">
            <w:pPr>
              <w:keepNext/>
              <w:rPr>
                <w:rFonts w:ascii="Arial Narrow" w:hAnsi="Arial Narrow"/>
                <w:sz w:val="20"/>
              </w:rPr>
            </w:pPr>
            <w:r w:rsidRPr="008D6802">
              <w:rPr>
                <w:rFonts w:ascii="Arial Narrow" w:hAnsi="Arial Narrow"/>
                <w:sz w:val="20"/>
              </w:rPr>
              <w:fldChar w:fldCharType="begin">
                <w:ffData>
                  <w:name w:val="Check5"/>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Midwives</w:t>
            </w:r>
          </w:p>
        </w:tc>
      </w:tr>
      <w:tr w:rsidR="0092585B" w:rsidRPr="008D6802" w:rsidTr="000C7286">
        <w:trPr>
          <w:cantSplit/>
          <w:trHeight w:val="269"/>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Condition:</w:t>
            </w:r>
          </w:p>
        </w:tc>
        <w:tc>
          <w:tcPr>
            <w:tcW w:w="4008" w:type="pct"/>
            <w:gridSpan w:val="6"/>
          </w:tcPr>
          <w:p w:rsidR="0092585B" w:rsidRPr="008D6802" w:rsidRDefault="0092585B" w:rsidP="009D0430">
            <w:pPr>
              <w:keepNext/>
              <w:rPr>
                <w:rFonts w:ascii="Arial Narrow" w:hAnsi="Arial Narrow"/>
                <w:i/>
                <w:sz w:val="20"/>
              </w:rPr>
            </w:pPr>
            <w:r w:rsidRPr="008D6802">
              <w:rPr>
                <w:rFonts w:ascii="Arial Narrow" w:hAnsi="Arial Narrow"/>
                <w:sz w:val="20"/>
                <w:szCs w:val="22"/>
                <w:lang w:bidi="en-US"/>
              </w:rPr>
              <w:t xml:space="preserve">Chronic </w:t>
            </w:r>
            <w:r w:rsidR="00CC3E25" w:rsidRPr="008D6802">
              <w:rPr>
                <w:rFonts w:ascii="Arial Narrow" w:hAnsi="Arial Narrow"/>
                <w:sz w:val="20"/>
                <w:szCs w:val="22"/>
                <w:lang w:bidi="en-US"/>
              </w:rPr>
              <w:t>l</w:t>
            </w:r>
            <w:r w:rsidRPr="008D6802">
              <w:rPr>
                <w:rFonts w:ascii="Arial Narrow" w:hAnsi="Arial Narrow"/>
                <w:sz w:val="20"/>
                <w:szCs w:val="22"/>
                <w:lang w:bidi="en-US"/>
              </w:rPr>
              <w:t xml:space="preserve">ymphocytic </w:t>
            </w:r>
            <w:r w:rsidR="00CC3E25" w:rsidRPr="008D6802">
              <w:rPr>
                <w:rFonts w:ascii="Arial Narrow" w:hAnsi="Arial Narrow"/>
                <w:sz w:val="20"/>
                <w:szCs w:val="22"/>
                <w:lang w:bidi="en-US"/>
              </w:rPr>
              <w:t>l</w:t>
            </w:r>
            <w:r w:rsidRPr="008D6802">
              <w:rPr>
                <w:rFonts w:ascii="Arial Narrow" w:hAnsi="Arial Narrow"/>
                <w:sz w:val="20"/>
                <w:szCs w:val="22"/>
                <w:lang w:bidi="en-US"/>
              </w:rPr>
              <w:t>eukaemia</w:t>
            </w:r>
            <w:r w:rsidR="00CC3E25" w:rsidRPr="008D6802">
              <w:rPr>
                <w:rFonts w:ascii="Arial Narrow" w:hAnsi="Arial Narrow"/>
                <w:sz w:val="20"/>
                <w:szCs w:val="22"/>
                <w:lang w:bidi="en-US"/>
              </w:rPr>
              <w:t xml:space="preserve"> (CLL)</w:t>
            </w:r>
          </w:p>
        </w:tc>
      </w:tr>
      <w:tr w:rsidR="0092585B" w:rsidRPr="008D6802" w:rsidTr="000C7286">
        <w:trPr>
          <w:cantSplit/>
          <w:trHeight w:val="269"/>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Indication:</w:t>
            </w:r>
          </w:p>
        </w:tc>
        <w:tc>
          <w:tcPr>
            <w:tcW w:w="4008" w:type="pct"/>
            <w:gridSpan w:val="6"/>
          </w:tcPr>
          <w:p w:rsidR="0092585B" w:rsidRPr="008D6802" w:rsidRDefault="0092585B" w:rsidP="009D0430">
            <w:pPr>
              <w:keepNext/>
              <w:rPr>
                <w:rFonts w:ascii="Arial Narrow" w:hAnsi="Arial Narrow"/>
                <w:sz w:val="20"/>
                <w:szCs w:val="22"/>
                <w:lang w:bidi="en-US"/>
              </w:rPr>
            </w:pPr>
            <w:r w:rsidRPr="008D6802">
              <w:rPr>
                <w:rFonts w:ascii="Arial Narrow" w:hAnsi="Arial Narrow"/>
                <w:sz w:val="20"/>
                <w:szCs w:val="22"/>
                <w:lang w:bidi="en-US"/>
              </w:rPr>
              <w:t xml:space="preserve">Chronic </w:t>
            </w:r>
            <w:r w:rsidR="00CC3E25" w:rsidRPr="008D6802">
              <w:rPr>
                <w:rFonts w:ascii="Arial Narrow" w:hAnsi="Arial Narrow"/>
                <w:sz w:val="20"/>
                <w:szCs w:val="22"/>
                <w:lang w:bidi="en-US"/>
              </w:rPr>
              <w:t>l</w:t>
            </w:r>
            <w:r w:rsidRPr="008D6802">
              <w:rPr>
                <w:rFonts w:ascii="Arial Narrow" w:hAnsi="Arial Narrow"/>
                <w:sz w:val="20"/>
                <w:szCs w:val="22"/>
                <w:lang w:bidi="en-US"/>
              </w:rPr>
              <w:t xml:space="preserve">ymphocytic </w:t>
            </w:r>
            <w:r w:rsidR="00CC3E25" w:rsidRPr="008D6802">
              <w:rPr>
                <w:rFonts w:ascii="Arial Narrow" w:hAnsi="Arial Narrow"/>
                <w:sz w:val="20"/>
                <w:szCs w:val="22"/>
                <w:lang w:bidi="en-US"/>
              </w:rPr>
              <w:t>l</w:t>
            </w:r>
            <w:r w:rsidRPr="008D6802">
              <w:rPr>
                <w:rFonts w:ascii="Arial Narrow" w:hAnsi="Arial Narrow"/>
                <w:sz w:val="20"/>
                <w:szCs w:val="22"/>
                <w:lang w:bidi="en-US"/>
              </w:rPr>
              <w:t>eukaemia</w:t>
            </w:r>
          </w:p>
        </w:tc>
      </w:tr>
      <w:tr w:rsidR="0092585B" w:rsidRPr="008D6802" w:rsidTr="000C7286">
        <w:trPr>
          <w:cantSplit/>
          <w:trHeight w:val="269"/>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Restriction Level / Method:</w:t>
            </w:r>
          </w:p>
          <w:p w:rsidR="0092585B" w:rsidRPr="008D6802" w:rsidRDefault="0092585B" w:rsidP="009D0430">
            <w:pPr>
              <w:keepNext/>
              <w:rPr>
                <w:rFonts w:ascii="Arial Narrow" w:hAnsi="Arial Narrow"/>
                <w:i/>
                <w:sz w:val="20"/>
              </w:rPr>
            </w:pPr>
          </w:p>
        </w:tc>
        <w:tc>
          <w:tcPr>
            <w:tcW w:w="4008" w:type="pct"/>
            <w:gridSpan w:val="6"/>
          </w:tcPr>
          <w:p w:rsidR="0092585B" w:rsidRPr="008D6802" w:rsidRDefault="0092585B" w:rsidP="009D0430">
            <w:pPr>
              <w:keepNext/>
              <w:rPr>
                <w:rFonts w:ascii="Arial Narrow" w:hAnsi="Arial Narrow"/>
                <w:sz w:val="20"/>
              </w:rPr>
            </w:pPr>
            <w:r w:rsidRPr="008D6802">
              <w:rPr>
                <w:rFonts w:ascii="Arial Narrow" w:hAnsi="Arial Narrow"/>
                <w:sz w:val="20"/>
              </w:rPr>
              <w:fldChar w:fldCharType="begin">
                <w:ffData>
                  <w:name w:val="Check1"/>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Restricted benefit</w:t>
            </w:r>
          </w:p>
          <w:p w:rsidR="0092585B" w:rsidRPr="008D6802" w:rsidRDefault="0092585B" w:rsidP="009D0430">
            <w:pPr>
              <w:keepNext/>
              <w:rPr>
                <w:rFonts w:ascii="Arial Narrow" w:hAnsi="Arial Narrow"/>
                <w:strike/>
                <w:sz w:val="20"/>
              </w:rPr>
            </w:pPr>
            <w:r w:rsidRPr="008D6802">
              <w:rPr>
                <w:rFonts w:ascii="Arial Narrow" w:hAnsi="Arial Narrow"/>
                <w:strike/>
                <w:sz w:val="20"/>
              </w:rPr>
              <w:fldChar w:fldCharType="begin">
                <w:ffData>
                  <w:name w:val=""/>
                  <w:enabled/>
                  <w:calcOnExit w:val="0"/>
                  <w:checkBox>
                    <w:sizeAuto/>
                    <w:default w:val="1"/>
                  </w:checkBox>
                </w:ffData>
              </w:fldChar>
            </w:r>
            <w:r w:rsidRPr="008D6802">
              <w:rPr>
                <w:rFonts w:ascii="Arial Narrow" w:hAnsi="Arial Narrow"/>
                <w:strike/>
                <w:sz w:val="20"/>
              </w:rPr>
              <w:instrText xml:space="preserve"> FORMCHECKBOX </w:instrText>
            </w:r>
            <w:r w:rsidR="000C7286">
              <w:rPr>
                <w:rFonts w:ascii="Arial Narrow" w:hAnsi="Arial Narrow"/>
                <w:strike/>
                <w:sz w:val="20"/>
              </w:rPr>
            </w:r>
            <w:r w:rsidR="000C7286">
              <w:rPr>
                <w:rFonts w:ascii="Arial Narrow" w:hAnsi="Arial Narrow"/>
                <w:strike/>
                <w:sz w:val="20"/>
              </w:rPr>
              <w:fldChar w:fldCharType="separate"/>
            </w:r>
            <w:r w:rsidRPr="008D6802">
              <w:rPr>
                <w:rFonts w:ascii="Arial Narrow" w:hAnsi="Arial Narrow"/>
                <w:strike/>
                <w:sz w:val="20"/>
              </w:rPr>
              <w:fldChar w:fldCharType="end"/>
            </w:r>
            <w:r w:rsidRPr="008D6802">
              <w:rPr>
                <w:rFonts w:ascii="Arial Narrow" w:hAnsi="Arial Narrow"/>
                <w:strike/>
                <w:sz w:val="20"/>
              </w:rPr>
              <w:t>Authority Required - In Writing</w:t>
            </w:r>
          </w:p>
          <w:p w:rsidR="0092585B" w:rsidRPr="008D6802" w:rsidRDefault="0092585B" w:rsidP="009D0430">
            <w:pPr>
              <w:keepNext/>
              <w:rPr>
                <w:rFonts w:ascii="Arial Narrow" w:hAnsi="Arial Narrow"/>
                <w:sz w:val="20"/>
              </w:rPr>
            </w:pPr>
            <w:r w:rsidRPr="008D6802">
              <w:rPr>
                <w:rFonts w:ascii="Arial Narrow" w:hAnsi="Arial Narrow"/>
                <w:sz w:val="20"/>
              </w:rPr>
              <w:fldChar w:fldCharType="begin">
                <w:ffData>
                  <w:name w:val="Check3"/>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Authority Required - Telephone</w:t>
            </w:r>
          </w:p>
          <w:p w:rsidR="0092585B" w:rsidRPr="008D6802" w:rsidRDefault="0092585B" w:rsidP="009D0430">
            <w:pPr>
              <w:keepNext/>
              <w:rPr>
                <w:rFonts w:ascii="Arial Narrow" w:hAnsi="Arial Narrow"/>
                <w:sz w:val="20"/>
              </w:rPr>
            </w:pPr>
            <w:r w:rsidRPr="008D6802">
              <w:rPr>
                <w:rFonts w:ascii="Arial Narrow" w:hAnsi="Arial Narrow"/>
                <w:sz w:val="20"/>
              </w:rPr>
              <w:fldChar w:fldCharType="begin">
                <w:ffData>
                  <w:name w:val=""/>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Authority Required – Emergency</w:t>
            </w:r>
          </w:p>
          <w:p w:rsidR="0092585B" w:rsidRPr="008D6802" w:rsidRDefault="0092585B" w:rsidP="009D0430">
            <w:pPr>
              <w:keepNext/>
              <w:rPr>
                <w:rFonts w:ascii="Arial Narrow" w:hAnsi="Arial Narrow"/>
                <w:sz w:val="20"/>
              </w:rPr>
            </w:pPr>
            <w:r w:rsidRPr="008D6802">
              <w:rPr>
                <w:rFonts w:ascii="Arial Narrow" w:hAnsi="Arial Narrow"/>
                <w:sz w:val="20"/>
              </w:rPr>
              <w:fldChar w:fldCharType="begin">
                <w:ffData>
                  <w:name w:val="Check5"/>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Authority Required - Electronic</w:t>
            </w:r>
          </w:p>
          <w:p w:rsidR="0092585B" w:rsidRPr="008D6802" w:rsidRDefault="0092585B" w:rsidP="009D0430">
            <w:pPr>
              <w:keepNext/>
              <w:rPr>
                <w:rFonts w:ascii="Arial Narrow" w:hAnsi="Arial Narrow"/>
                <w:i/>
                <w:sz w:val="20"/>
              </w:rPr>
            </w:pPr>
            <w:r w:rsidRPr="008D6802">
              <w:rPr>
                <w:rFonts w:ascii="Arial Narrow" w:hAnsi="Arial Narrow"/>
                <w:i/>
                <w:sz w:val="20"/>
              </w:rPr>
              <w:fldChar w:fldCharType="begin">
                <w:ffData>
                  <w:name w:val=""/>
                  <w:enabled/>
                  <w:calcOnExit w:val="0"/>
                  <w:checkBox>
                    <w:sizeAuto/>
                    <w:default w:val="1"/>
                  </w:checkBox>
                </w:ffData>
              </w:fldChar>
            </w:r>
            <w:r w:rsidRPr="008D6802">
              <w:rPr>
                <w:rFonts w:ascii="Arial Narrow" w:hAnsi="Arial Narrow"/>
                <w:i/>
                <w:sz w:val="20"/>
              </w:rPr>
              <w:instrText xml:space="preserve"> FORMCHECKBOX </w:instrText>
            </w:r>
            <w:r w:rsidR="000C7286">
              <w:rPr>
                <w:rFonts w:ascii="Arial Narrow" w:hAnsi="Arial Narrow"/>
                <w:i/>
                <w:sz w:val="20"/>
              </w:rPr>
            </w:r>
            <w:r w:rsidR="000C7286">
              <w:rPr>
                <w:rFonts w:ascii="Arial Narrow" w:hAnsi="Arial Narrow"/>
                <w:i/>
                <w:sz w:val="20"/>
              </w:rPr>
              <w:fldChar w:fldCharType="separate"/>
            </w:r>
            <w:r w:rsidRPr="008D6802">
              <w:rPr>
                <w:rFonts w:ascii="Arial Narrow" w:hAnsi="Arial Narrow"/>
                <w:i/>
                <w:sz w:val="20"/>
              </w:rPr>
              <w:fldChar w:fldCharType="end"/>
            </w:r>
            <w:r w:rsidRPr="008D6802">
              <w:rPr>
                <w:rFonts w:ascii="Arial Narrow" w:hAnsi="Arial Narrow"/>
                <w:i/>
                <w:sz w:val="20"/>
              </w:rPr>
              <w:t>Streamlined</w:t>
            </w:r>
          </w:p>
        </w:tc>
      </w:tr>
      <w:tr w:rsidR="0092585B" w:rsidRPr="008D6802" w:rsidTr="000C7286">
        <w:trPr>
          <w:cantSplit/>
          <w:trHeight w:val="458"/>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Treatment criteria:</w:t>
            </w:r>
          </w:p>
        </w:tc>
        <w:tc>
          <w:tcPr>
            <w:tcW w:w="4008" w:type="pct"/>
            <w:gridSpan w:val="6"/>
          </w:tcPr>
          <w:p w:rsidR="0092585B" w:rsidRPr="008D6802" w:rsidRDefault="0092585B" w:rsidP="009D0430">
            <w:pPr>
              <w:keepNext/>
              <w:rPr>
                <w:rFonts w:ascii="Arial Narrow" w:hAnsi="Arial Narrow"/>
                <w:sz w:val="20"/>
              </w:rPr>
            </w:pPr>
            <w:r w:rsidRPr="008D6802">
              <w:rPr>
                <w:rFonts w:ascii="Arial Narrow" w:hAnsi="Arial Narrow"/>
                <w:strike/>
                <w:sz w:val="20"/>
              </w:rPr>
              <w:t>Patient must require treatment for</w:t>
            </w:r>
            <w:r w:rsidRPr="008D6802">
              <w:rPr>
                <w:rFonts w:ascii="Arial Narrow" w:hAnsi="Arial Narrow"/>
                <w:sz w:val="20"/>
              </w:rPr>
              <w:t xml:space="preserve"> </w:t>
            </w:r>
            <w:r w:rsidRPr="008D6802">
              <w:rPr>
                <w:rFonts w:ascii="Arial Narrow" w:hAnsi="Arial Narrow"/>
                <w:i/>
                <w:sz w:val="20"/>
              </w:rPr>
              <w:t>The condition must be</w:t>
            </w:r>
            <w:r w:rsidRPr="008D6802">
              <w:rPr>
                <w:rFonts w:ascii="Arial Narrow" w:hAnsi="Arial Narrow"/>
                <w:sz w:val="20"/>
              </w:rPr>
              <w:t xml:space="preserve"> CD20 positive </w:t>
            </w:r>
            <w:r w:rsidR="00CC3E25" w:rsidRPr="008D6802">
              <w:rPr>
                <w:rFonts w:ascii="Arial Narrow" w:hAnsi="Arial Narrow"/>
                <w:sz w:val="20"/>
              </w:rPr>
              <w:t>c</w:t>
            </w:r>
            <w:r w:rsidRPr="008D6802">
              <w:rPr>
                <w:rFonts w:ascii="Arial Narrow" w:hAnsi="Arial Narrow"/>
                <w:sz w:val="20"/>
              </w:rPr>
              <w:t xml:space="preserve">hronic </w:t>
            </w:r>
            <w:r w:rsidR="00CC3E25" w:rsidRPr="008D6802">
              <w:rPr>
                <w:rFonts w:ascii="Arial Narrow" w:hAnsi="Arial Narrow"/>
                <w:sz w:val="20"/>
              </w:rPr>
              <w:t>l</w:t>
            </w:r>
            <w:r w:rsidRPr="008D6802">
              <w:rPr>
                <w:rFonts w:ascii="Arial Narrow" w:hAnsi="Arial Narrow"/>
                <w:sz w:val="20"/>
              </w:rPr>
              <w:t xml:space="preserve">ymphocytic </w:t>
            </w:r>
            <w:r w:rsidR="00CC3E25" w:rsidRPr="008D6802">
              <w:rPr>
                <w:rFonts w:ascii="Arial Narrow" w:hAnsi="Arial Narrow"/>
                <w:sz w:val="20"/>
              </w:rPr>
              <w:t>l</w:t>
            </w:r>
            <w:r w:rsidRPr="008D6802">
              <w:rPr>
                <w:rFonts w:ascii="Arial Narrow" w:hAnsi="Arial Narrow"/>
                <w:sz w:val="20"/>
              </w:rPr>
              <w:t>eukaemia (CLL)</w:t>
            </w:r>
            <w:r w:rsidR="00CC3E25" w:rsidRPr="008D6802">
              <w:rPr>
                <w:rFonts w:ascii="Arial Narrow" w:hAnsi="Arial Narrow"/>
                <w:sz w:val="20"/>
              </w:rPr>
              <w:t>,</w:t>
            </w:r>
          </w:p>
          <w:p w:rsidR="0092585B" w:rsidRPr="008D6802" w:rsidRDefault="0092585B" w:rsidP="009D0430">
            <w:pPr>
              <w:keepNext/>
              <w:rPr>
                <w:rFonts w:ascii="Arial Narrow" w:hAnsi="Arial Narrow"/>
                <w:b/>
                <w:sz w:val="20"/>
              </w:rPr>
            </w:pPr>
            <w:r w:rsidRPr="008D6802">
              <w:rPr>
                <w:rFonts w:ascii="Arial Narrow" w:hAnsi="Arial Narrow"/>
                <w:b/>
                <w:sz w:val="20"/>
              </w:rPr>
              <w:t>AND</w:t>
            </w:r>
          </w:p>
          <w:p w:rsidR="0092585B" w:rsidRPr="008D6802" w:rsidRDefault="0092585B" w:rsidP="009D0430">
            <w:pPr>
              <w:keepNext/>
              <w:rPr>
                <w:rFonts w:ascii="Arial Narrow" w:hAnsi="Arial Narrow"/>
                <w:sz w:val="20"/>
              </w:rPr>
            </w:pPr>
            <w:r w:rsidRPr="008D6802">
              <w:rPr>
                <w:rFonts w:ascii="Arial Narrow" w:hAnsi="Arial Narrow"/>
                <w:sz w:val="20"/>
              </w:rPr>
              <w:t>The condition must be previously untreated</w:t>
            </w:r>
            <w:r w:rsidR="00CC3E25" w:rsidRPr="008D6802">
              <w:rPr>
                <w:rFonts w:ascii="Arial Narrow" w:hAnsi="Arial Narrow"/>
                <w:sz w:val="20"/>
              </w:rPr>
              <w:t>,</w:t>
            </w:r>
          </w:p>
          <w:p w:rsidR="0092585B" w:rsidRPr="008D6802" w:rsidRDefault="0092585B" w:rsidP="009D0430">
            <w:pPr>
              <w:keepNext/>
              <w:rPr>
                <w:rFonts w:ascii="Arial Narrow" w:hAnsi="Arial Narrow"/>
                <w:b/>
                <w:sz w:val="20"/>
              </w:rPr>
            </w:pPr>
            <w:r w:rsidRPr="008D6802">
              <w:rPr>
                <w:rFonts w:ascii="Arial Narrow" w:hAnsi="Arial Narrow"/>
                <w:b/>
                <w:sz w:val="20"/>
              </w:rPr>
              <w:t>AND</w:t>
            </w:r>
          </w:p>
          <w:p w:rsidR="0092585B" w:rsidRPr="008D6802" w:rsidRDefault="0092585B" w:rsidP="009D0430">
            <w:pPr>
              <w:keepNext/>
              <w:rPr>
                <w:rFonts w:ascii="Arial Narrow" w:hAnsi="Arial Narrow"/>
                <w:sz w:val="20"/>
              </w:rPr>
            </w:pPr>
            <w:r w:rsidRPr="008D6802">
              <w:rPr>
                <w:rFonts w:ascii="Arial Narrow" w:hAnsi="Arial Narrow"/>
                <w:sz w:val="20"/>
              </w:rPr>
              <w:t>Patient must be inappropriate for fludarabine based chemo-immunotherapy</w:t>
            </w:r>
            <w:r w:rsidR="00CC3E25" w:rsidRPr="008D6802">
              <w:rPr>
                <w:rFonts w:ascii="Arial Narrow" w:hAnsi="Arial Narrow"/>
                <w:sz w:val="20"/>
              </w:rPr>
              <w:t>,</w:t>
            </w:r>
            <w:r w:rsidRPr="008D6802">
              <w:rPr>
                <w:rFonts w:ascii="Arial Narrow" w:hAnsi="Arial Narrow"/>
                <w:sz w:val="20"/>
              </w:rPr>
              <w:t xml:space="preserve"> </w:t>
            </w:r>
          </w:p>
          <w:p w:rsidR="0092585B" w:rsidRPr="008D6802" w:rsidRDefault="0092585B" w:rsidP="009D0430">
            <w:pPr>
              <w:keepNext/>
              <w:rPr>
                <w:rFonts w:ascii="Arial Narrow" w:hAnsi="Arial Narrow"/>
                <w:b/>
                <w:sz w:val="20"/>
              </w:rPr>
            </w:pPr>
            <w:r w:rsidRPr="008D6802">
              <w:rPr>
                <w:rFonts w:ascii="Arial Narrow" w:hAnsi="Arial Narrow"/>
                <w:b/>
                <w:sz w:val="20"/>
              </w:rPr>
              <w:t>AND</w:t>
            </w:r>
          </w:p>
          <w:p w:rsidR="0092585B" w:rsidRPr="008D6802" w:rsidRDefault="0092585B" w:rsidP="009D0430">
            <w:pPr>
              <w:keepNext/>
              <w:rPr>
                <w:rFonts w:ascii="Arial Narrow" w:hAnsi="Arial Narrow"/>
                <w:sz w:val="20"/>
              </w:rPr>
            </w:pPr>
            <w:r w:rsidRPr="008D6802">
              <w:rPr>
                <w:rFonts w:ascii="Arial Narrow" w:hAnsi="Arial Narrow"/>
                <w:sz w:val="20"/>
              </w:rPr>
              <w:t>The treatment must be in combination with chlorambucil</w:t>
            </w:r>
            <w:r w:rsidR="00CC3E25" w:rsidRPr="008D6802">
              <w:rPr>
                <w:rFonts w:ascii="Arial Narrow" w:hAnsi="Arial Narrow"/>
                <w:sz w:val="20"/>
              </w:rPr>
              <w:t>,</w:t>
            </w:r>
          </w:p>
          <w:p w:rsidR="0092585B" w:rsidRPr="008D6802" w:rsidRDefault="0092585B" w:rsidP="009D0430">
            <w:pPr>
              <w:keepNext/>
              <w:rPr>
                <w:rFonts w:ascii="Arial Narrow" w:hAnsi="Arial Narrow"/>
                <w:b/>
                <w:sz w:val="20"/>
              </w:rPr>
            </w:pPr>
            <w:r w:rsidRPr="008D6802">
              <w:rPr>
                <w:rFonts w:ascii="Arial Narrow" w:hAnsi="Arial Narrow"/>
                <w:b/>
                <w:sz w:val="20"/>
              </w:rPr>
              <w:t xml:space="preserve">AND </w:t>
            </w:r>
          </w:p>
          <w:p w:rsidR="0092585B" w:rsidRPr="008D6802" w:rsidRDefault="0092585B" w:rsidP="009D0430">
            <w:pPr>
              <w:keepNext/>
              <w:rPr>
                <w:rFonts w:ascii="Arial Narrow" w:hAnsi="Arial Narrow"/>
                <w:sz w:val="20"/>
              </w:rPr>
            </w:pPr>
            <w:r w:rsidRPr="008D6802">
              <w:rPr>
                <w:rFonts w:ascii="Arial Narrow" w:hAnsi="Arial Narrow"/>
                <w:sz w:val="20"/>
              </w:rPr>
              <w:t>Patient must have a creatinine clearance 30 mL/min or greater</w:t>
            </w:r>
            <w:r w:rsidR="00CC3E25" w:rsidRPr="008D6802">
              <w:rPr>
                <w:rFonts w:ascii="Arial Narrow" w:hAnsi="Arial Narrow"/>
                <w:sz w:val="20"/>
              </w:rPr>
              <w:t>,</w:t>
            </w:r>
          </w:p>
          <w:p w:rsidR="0092585B" w:rsidRPr="008D6802" w:rsidRDefault="0092585B" w:rsidP="009D0430">
            <w:pPr>
              <w:keepNext/>
              <w:rPr>
                <w:rFonts w:ascii="Arial Narrow" w:hAnsi="Arial Narrow"/>
                <w:b/>
                <w:sz w:val="20"/>
              </w:rPr>
            </w:pPr>
            <w:r w:rsidRPr="008D6802">
              <w:rPr>
                <w:rFonts w:ascii="Arial Narrow" w:hAnsi="Arial Narrow"/>
                <w:b/>
                <w:sz w:val="20"/>
              </w:rPr>
              <w:t>AND</w:t>
            </w:r>
          </w:p>
          <w:p w:rsidR="00CC3E25" w:rsidRPr="008D6802" w:rsidRDefault="0092585B" w:rsidP="009D0430">
            <w:pPr>
              <w:keepNext/>
              <w:rPr>
                <w:rFonts w:ascii="Arial Narrow" w:hAnsi="Arial Narrow"/>
                <w:sz w:val="20"/>
              </w:rPr>
            </w:pPr>
            <w:r w:rsidRPr="008D6802">
              <w:rPr>
                <w:rFonts w:ascii="Arial Narrow" w:hAnsi="Arial Narrow"/>
                <w:sz w:val="20"/>
              </w:rPr>
              <w:t>Patient must have a total cumulative illness rating scale (CIRS) score of greater than 6 (excluding CLL-induced illness or organ damage)</w:t>
            </w:r>
            <w:r w:rsidR="00CC3E25" w:rsidRPr="008D6802">
              <w:rPr>
                <w:rFonts w:ascii="Arial Narrow" w:hAnsi="Arial Narrow"/>
                <w:sz w:val="20"/>
              </w:rPr>
              <w:t xml:space="preserve">; </w:t>
            </w:r>
          </w:p>
          <w:p w:rsidR="00CC3E25" w:rsidRPr="008D6802" w:rsidRDefault="00CC3E25" w:rsidP="009D0430">
            <w:pPr>
              <w:keepNext/>
              <w:rPr>
                <w:rFonts w:ascii="Arial Narrow" w:hAnsi="Arial Narrow"/>
                <w:sz w:val="20"/>
              </w:rPr>
            </w:pPr>
            <w:r w:rsidRPr="008D6802">
              <w:rPr>
                <w:rFonts w:ascii="Arial Narrow" w:hAnsi="Arial Narrow"/>
                <w:b/>
                <w:sz w:val="20"/>
              </w:rPr>
              <w:t>OR</w:t>
            </w:r>
            <w:r w:rsidRPr="008D6802">
              <w:rPr>
                <w:rFonts w:ascii="Arial Narrow" w:hAnsi="Arial Narrow"/>
                <w:sz w:val="20"/>
              </w:rPr>
              <w:t xml:space="preserve"> </w:t>
            </w:r>
          </w:p>
          <w:p w:rsidR="0092585B" w:rsidRPr="008D6802" w:rsidRDefault="00CC3E25" w:rsidP="009D0430">
            <w:pPr>
              <w:keepNext/>
              <w:rPr>
                <w:rFonts w:ascii="Arial Narrow" w:hAnsi="Arial Narrow"/>
                <w:sz w:val="20"/>
              </w:rPr>
            </w:pPr>
            <w:r w:rsidRPr="008D6802">
              <w:rPr>
                <w:rFonts w:ascii="Arial Narrow" w:hAnsi="Arial Narrow"/>
                <w:sz w:val="20"/>
              </w:rPr>
              <w:t>Patient must have a creatinine clearance less than 70 mL/min.</w:t>
            </w:r>
          </w:p>
        </w:tc>
      </w:tr>
      <w:tr w:rsidR="0092585B" w:rsidRPr="008D6802" w:rsidTr="000C7286">
        <w:trPr>
          <w:cantSplit/>
          <w:trHeight w:val="458"/>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t>Prescriber Instructions</w:t>
            </w:r>
          </w:p>
        </w:tc>
        <w:tc>
          <w:tcPr>
            <w:tcW w:w="4008" w:type="pct"/>
            <w:gridSpan w:val="6"/>
          </w:tcPr>
          <w:p w:rsidR="0092585B" w:rsidRPr="008D6802" w:rsidRDefault="0092585B" w:rsidP="009D0430">
            <w:pPr>
              <w:keepNext/>
              <w:rPr>
                <w:rFonts w:ascii="Arial Narrow" w:hAnsi="Arial Narrow"/>
                <w:sz w:val="20"/>
              </w:rPr>
            </w:pPr>
            <w:r w:rsidRPr="008D6802">
              <w:rPr>
                <w:rFonts w:ascii="Arial Narrow" w:hAnsi="Arial Narrow"/>
                <w:sz w:val="20"/>
              </w:rPr>
              <w:t>Treatment  must be discontinued in patients who experience disease progression while on treatment</w:t>
            </w:r>
          </w:p>
          <w:p w:rsidR="0092585B" w:rsidRPr="008D6802" w:rsidRDefault="0092585B" w:rsidP="009D0430">
            <w:pPr>
              <w:keepNext/>
              <w:rPr>
                <w:rFonts w:ascii="Arial Narrow" w:hAnsi="Arial Narrow"/>
                <w:sz w:val="20"/>
              </w:rPr>
            </w:pPr>
          </w:p>
          <w:p w:rsidR="0092585B" w:rsidRPr="008D6802" w:rsidRDefault="0092585B" w:rsidP="009D0430">
            <w:pPr>
              <w:keepNext/>
              <w:rPr>
                <w:rFonts w:ascii="Arial Narrow" w:hAnsi="Arial Narrow"/>
                <w:strike/>
                <w:sz w:val="20"/>
              </w:rPr>
            </w:pPr>
            <w:r w:rsidRPr="008D6802">
              <w:rPr>
                <w:rFonts w:ascii="Arial Narrow" w:hAnsi="Arial Narrow"/>
                <w:strike/>
                <w:sz w:val="20"/>
              </w:rPr>
              <w:t>Applications for authorisation must be in writing and must include:</w:t>
            </w:r>
          </w:p>
          <w:p w:rsidR="0092585B" w:rsidRPr="008D6802" w:rsidRDefault="008275B9" w:rsidP="009D0430">
            <w:pPr>
              <w:keepNext/>
              <w:rPr>
                <w:rFonts w:ascii="Arial Narrow" w:hAnsi="Arial Narrow"/>
                <w:strike/>
                <w:sz w:val="20"/>
              </w:rPr>
            </w:pPr>
            <w:r w:rsidRPr="008D6802">
              <w:rPr>
                <w:rFonts w:ascii="Arial Narrow" w:hAnsi="Arial Narrow"/>
                <w:strike/>
                <w:sz w:val="20"/>
              </w:rPr>
              <w:t xml:space="preserve">(a) </w:t>
            </w:r>
            <w:r w:rsidR="00693A46" w:rsidRPr="008D6802">
              <w:rPr>
                <w:rFonts w:ascii="Arial Narrow" w:hAnsi="Arial Narrow"/>
                <w:strike/>
                <w:sz w:val="20"/>
              </w:rPr>
              <w:t xml:space="preserve">a </w:t>
            </w:r>
            <w:r w:rsidR="0092585B" w:rsidRPr="008D6802">
              <w:rPr>
                <w:rFonts w:ascii="Arial Narrow" w:hAnsi="Arial Narrow"/>
                <w:strike/>
                <w:sz w:val="20"/>
              </w:rPr>
              <w:t>completed authority prescription form; AND</w:t>
            </w:r>
          </w:p>
          <w:p w:rsidR="00CC3E25" w:rsidRPr="008D6802" w:rsidRDefault="008275B9" w:rsidP="009D0430">
            <w:pPr>
              <w:keepNext/>
              <w:rPr>
                <w:rFonts w:ascii="Arial Narrow" w:hAnsi="Arial Narrow"/>
                <w:strike/>
                <w:sz w:val="20"/>
              </w:rPr>
            </w:pPr>
            <w:r w:rsidRPr="008D6802">
              <w:rPr>
                <w:rFonts w:ascii="Arial Narrow" w:hAnsi="Arial Narrow"/>
                <w:strike/>
                <w:sz w:val="20"/>
              </w:rPr>
              <w:t>(b) a completed CD20 positive Chronic Lymphocytic Leukaemia PBS Authority Application - Supporting Information Form which includes:</w:t>
            </w:r>
          </w:p>
          <w:p w:rsidR="0092585B" w:rsidRPr="008D6802" w:rsidRDefault="008275B9" w:rsidP="009D0430">
            <w:pPr>
              <w:keepNext/>
              <w:rPr>
                <w:rFonts w:ascii="Arial Narrow" w:hAnsi="Arial Narrow"/>
                <w:strike/>
                <w:sz w:val="20"/>
              </w:rPr>
            </w:pPr>
            <w:r w:rsidRPr="008D6802">
              <w:rPr>
                <w:rFonts w:ascii="Arial Narrow" w:hAnsi="Arial Narrow"/>
                <w:strike/>
                <w:sz w:val="20"/>
              </w:rPr>
              <w:t xml:space="preserve">i) </w:t>
            </w:r>
            <w:r w:rsidR="0092585B" w:rsidRPr="008D6802">
              <w:rPr>
                <w:rFonts w:ascii="Arial Narrow" w:hAnsi="Arial Narrow"/>
                <w:strike/>
                <w:sz w:val="20"/>
              </w:rPr>
              <w:t>documentation that the patient has CD20 positive CLL (flow cytometry pathology report from blood or bone marrow, noting that this may be from some time earlier); AND</w:t>
            </w:r>
          </w:p>
          <w:p w:rsidR="0092585B" w:rsidRPr="008D6802" w:rsidRDefault="008275B9" w:rsidP="009D0430">
            <w:pPr>
              <w:keepNext/>
              <w:rPr>
                <w:rFonts w:ascii="Arial Narrow" w:hAnsi="Arial Narrow"/>
                <w:strike/>
                <w:sz w:val="20"/>
              </w:rPr>
            </w:pPr>
            <w:r w:rsidRPr="008D6802">
              <w:rPr>
                <w:rFonts w:ascii="Arial Narrow" w:hAnsi="Arial Narrow"/>
                <w:strike/>
                <w:sz w:val="20"/>
              </w:rPr>
              <w:t xml:space="preserve">ii) </w:t>
            </w:r>
            <w:r w:rsidR="0092585B" w:rsidRPr="008D6802">
              <w:rPr>
                <w:rFonts w:ascii="Arial Narrow" w:hAnsi="Arial Narrow"/>
                <w:strike/>
                <w:sz w:val="20"/>
              </w:rPr>
              <w:t>a statement that the patient is previously untreated, is inappropriate for fludarabine based chemo</w:t>
            </w:r>
            <w:r w:rsidR="0092585B" w:rsidRPr="008D6802">
              <w:rPr>
                <w:rFonts w:ascii="Arial Narrow" w:hAnsi="Arial Narrow"/>
                <w:strike/>
                <w:sz w:val="20"/>
              </w:rPr>
              <w:noBreakHyphen/>
              <w:t>immunotherapy, that treatment will be in combination with chlorambucil,</w:t>
            </w:r>
            <w:r w:rsidR="00693A46" w:rsidRPr="008D6802">
              <w:rPr>
                <w:rFonts w:ascii="Arial Narrow" w:hAnsi="Arial Narrow"/>
                <w:strike/>
                <w:sz w:val="20"/>
              </w:rPr>
              <w:t xml:space="preserve"> AND</w:t>
            </w:r>
          </w:p>
          <w:p w:rsidR="0092585B" w:rsidRPr="008D6802" w:rsidRDefault="008275B9" w:rsidP="009D0430">
            <w:pPr>
              <w:keepNext/>
              <w:rPr>
                <w:rFonts w:ascii="Arial Narrow" w:hAnsi="Arial Narrow"/>
                <w:strike/>
                <w:sz w:val="20"/>
              </w:rPr>
            </w:pPr>
            <w:r w:rsidRPr="008D6802">
              <w:rPr>
                <w:rFonts w:ascii="Arial Narrow" w:hAnsi="Arial Narrow"/>
                <w:strike/>
                <w:sz w:val="20"/>
              </w:rPr>
              <w:t xml:space="preserve">iii) </w:t>
            </w:r>
            <w:r w:rsidR="0092585B" w:rsidRPr="008D6802">
              <w:rPr>
                <w:rFonts w:ascii="Arial Narrow" w:hAnsi="Arial Narrow"/>
                <w:strike/>
                <w:sz w:val="20"/>
              </w:rPr>
              <w:t>documentation that the patient has a creatinine clearance 30 mL/min or greater; AND</w:t>
            </w:r>
          </w:p>
          <w:p w:rsidR="0092585B" w:rsidRPr="008D6802" w:rsidRDefault="008275B9" w:rsidP="009D0430">
            <w:pPr>
              <w:keepNext/>
              <w:rPr>
                <w:rFonts w:ascii="Arial Narrow" w:hAnsi="Arial Narrow"/>
                <w:strike/>
                <w:sz w:val="20"/>
              </w:rPr>
            </w:pPr>
            <w:r w:rsidRPr="008D6802">
              <w:rPr>
                <w:rFonts w:ascii="Arial Narrow" w:hAnsi="Arial Narrow"/>
                <w:strike/>
                <w:sz w:val="20"/>
              </w:rPr>
              <w:t xml:space="preserve">iv) </w:t>
            </w:r>
            <w:r w:rsidR="0092585B" w:rsidRPr="008D6802">
              <w:rPr>
                <w:rFonts w:ascii="Arial Narrow" w:hAnsi="Arial Narrow"/>
                <w:strike/>
                <w:sz w:val="20"/>
              </w:rPr>
              <w:t>One of the following, either:</w:t>
            </w:r>
          </w:p>
          <w:p w:rsidR="0092585B" w:rsidRPr="008D6802" w:rsidRDefault="0092585B" w:rsidP="009D0430">
            <w:pPr>
              <w:pStyle w:val="ListParagraph"/>
              <w:keepNext/>
              <w:widowControl/>
              <w:numPr>
                <w:ilvl w:val="0"/>
                <w:numId w:val="27"/>
              </w:numPr>
              <w:jc w:val="left"/>
              <w:rPr>
                <w:rFonts w:ascii="Arial Narrow" w:hAnsi="Arial Narrow"/>
                <w:strike/>
                <w:snapToGrid/>
                <w:sz w:val="20"/>
                <w:lang w:eastAsia="en-AU"/>
              </w:rPr>
            </w:pPr>
            <w:r w:rsidRPr="008D6802">
              <w:rPr>
                <w:rFonts w:ascii="Arial Narrow" w:hAnsi="Arial Narrow"/>
                <w:strike/>
                <w:snapToGrid/>
                <w:sz w:val="20"/>
                <w:lang w:eastAsia="en-AU"/>
              </w:rPr>
              <w:t>A completed cumulative illness rating scale (CIRS) score form demonstrating that the patient has a score of greater than 6 (excluding CLL-induced illness or organ damage)</w:t>
            </w:r>
          </w:p>
          <w:p w:rsidR="0092585B" w:rsidRPr="008D6802" w:rsidRDefault="0092585B" w:rsidP="009D0430">
            <w:pPr>
              <w:keepNext/>
              <w:ind w:left="1107"/>
              <w:rPr>
                <w:rFonts w:ascii="Arial Narrow" w:hAnsi="Arial Narrow"/>
                <w:strike/>
                <w:sz w:val="20"/>
              </w:rPr>
            </w:pPr>
            <w:r w:rsidRPr="008D6802">
              <w:rPr>
                <w:rFonts w:ascii="Arial Narrow" w:hAnsi="Arial Narrow"/>
                <w:strike/>
                <w:sz w:val="20"/>
              </w:rPr>
              <w:t>OR</w:t>
            </w:r>
          </w:p>
          <w:p w:rsidR="0092585B" w:rsidRPr="008D6802" w:rsidRDefault="0092585B" w:rsidP="009D0430">
            <w:pPr>
              <w:pStyle w:val="ListParagraph"/>
              <w:keepNext/>
              <w:widowControl/>
              <w:numPr>
                <w:ilvl w:val="0"/>
                <w:numId w:val="27"/>
              </w:numPr>
              <w:jc w:val="left"/>
              <w:rPr>
                <w:rFonts w:ascii="Arial Narrow" w:hAnsi="Arial Narrow"/>
                <w:snapToGrid/>
                <w:sz w:val="20"/>
                <w:lang w:eastAsia="en-AU"/>
              </w:rPr>
            </w:pPr>
            <w:r w:rsidRPr="008D6802">
              <w:rPr>
                <w:rFonts w:ascii="Arial Narrow" w:hAnsi="Arial Narrow"/>
                <w:strike/>
                <w:snapToGrid/>
                <w:sz w:val="20"/>
                <w:lang w:eastAsia="en-AU"/>
              </w:rPr>
              <w:t>Documentation that the patient has a creatinine clearance less than 70 mL/min;</w:t>
            </w:r>
          </w:p>
        </w:tc>
      </w:tr>
      <w:tr w:rsidR="0092585B" w:rsidRPr="008D6802" w:rsidTr="000C7286">
        <w:trPr>
          <w:cantSplit/>
          <w:trHeight w:val="2535"/>
        </w:trPr>
        <w:tc>
          <w:tcPr>
            <w:tcW w:w="992" w:type="pct"/>
          </w:tcPr>
          <w:p w:rsidR="0092585B" w:rsidRPr="008D6802" w:rsidRDefault="0092585B" w:rsidP="009D0430">
            <w:pPr>
              <w:keepNext/>
              <w:rPr>
                <w:rFonts w:ascii="Arial Narrow" w:hAnsi="Arial Narrow"/>
                <w:sz w:val="20"/>
              </w:rPr>
            </w:pPr>
            <w:r w:rsidRPr="008D6802">
              <w:rPr>
                <w:rFonts w:ascii="Arial Narrow" w:hAnsi="Arial Narrow"/>
                <w:sz w:val="20"/>
              </w:rPr>
              <w:lastRenderedPageBreak/>
              <w:t>Administrative advice</w:t>
            </w:r>
          </w:p>
        </w:tc>
        <w:tc>
          <w:tcPr>
            <w:tcW w:w="4008" w:type="pct"/>
            <w:gridSpan w:val="6"/>
          </w:tcPr>
          <w:p w:rsidR="008275B9" w:rsidRPr="008D6802" w:rsidRDefault="008275B9" w:rsidP="009D0430">
            <w:pPr>
              <w:keepNext/>
              <w:rPr>
                <w:rFonts w:ascii="Arial Narrow" w:hAnsi="Arial Narrow"/>
                <w:strike/>
                <w:sz w:val="20"/>
                <w:u w:val="single"/>
              </w:rPr>
            </w:pPr>
            <w:r w:rsidRPr="008D6802">
              <w:rPr>
                <w:rFonts w:ascii="Arial Narrow" w:hAnsi="Arial Narrow"/>
                <w:strike/>
                <w:sz w:val="20"/>
                <w:u w:val="single"/>
              </w:rPr>
              <w:t>Note</w:t>
            </w:r>
          </w:p>
          <w:p w:rsidR="008275B9" w:rsidRPr="008D6802" w:rsidRDefault="008275B9" w:rsidP="009D0430">
            <w:pPr>
              <w:keepNext/>
              <w:rPr>
                <w:rFonts w:ascii="Arial Narrow" w:hAnsi="Arial Narrow"/>
                <w:strike/>
                <w:sz w:val="20"/>
              </w:rPr>
            </w:pPr>
            <w:r w:rsidRPr="008D6802">
              <w:rPr>
                <w:rFonts w:ascii="Arial Narrow" w:hAnsi="Arial Narrow"/>
                <w:strike/>
                <w:sz w:val="20"/>
              </w:rPr>
              <w:t xml:space="preserve">Any queries concerning the arrangements to prescribe may be directed to the Department of Human Services on 1800 700 270 (hours of operation 8 a.m. to 5 p.m. EST Monday to Friday). </w:t>
            </w:r>
          </w:p>
          <w:p w:rsidR="008275B9" w:rsidRPr="008D6802" w:rsidRDefault="008275B9" w:rsidP="009D0430">
            <w:pPr>
              <w:keepNext/>
              <w:rPr>
                <w:rFonts w:ascii="Arial Narrow" w:hAnsi="Arial Narrow"/>
                <w:strike/>
                <w:sz w:val="20"/>
              </w:rPr>
            </w:pPr>
            <w:r w:rsidRPr="008D6802">
              <w:rPr>
                <w:rFonts w:ascii="Arial Narrow" w:hAnsi="Arial Narrow"/>
                <w:strike/>
                <w:sz w:val="20"/>
              </w:rPr>
              <w:t xml:space="preserve">Prescribing information (including Authority Application forms and other relevant documentation as applicable) is available on the Department of Human Services website at www.humanservices.gov.au </w:t>
            </w:r>
          </w:p>
          <w:p w:rsidR="008275B9" w:rsidRPr="008D6802" w:rsidRDefault="008275B9" w:rsidP="009D0430">
            <w:pPr>
              <w:keepNext/>
              <w:rPr>
                <w:rFonts w:ascii="Arial Narrow" w:hAnsi="Arial Narrow"/>
                <w:strike/>
                <w:sz w:val="20"/>
              </w:rPr>
            </w:pPr>
            <w:r w:rsidRPr="008D6802">
              <w:rPr>
                <w:rFonts w:ascii="Arial Narrow" w:hAnsi="Arial Narrow"/>
                <w:strike/>
                <w:sz w:val="20"/>
              </w:rPr>
              <w:t>Applications for authority to prescribe should be forwarded to:</w:t>
            </w:r>
          </w:p>
          <w:p w:rsidR="008275B9" w:rsidRPr="008D6802" w:rsidRDefault="008275B9" w:rsidP="009D0430">
            <w:pPr>
              <w:keepNext/>
              <w:rPr>
                <w:rFonts w:ascii="Arial Narrow" w:hAnsi="Arial Narrow"/>
                <w:strike/>
                <w:sz w:val="20"/>
              </w:rPr>
            </w:pPr>
            <w:r w:rsidRPr="008D6802">
              <w:rPr>
                <w:rFonts w:ascii="Arial Narrow" w:hAnsi="Arial Narrow"/>
                <w:strike/>
                <w:sz w:val="20"/>
              </w:rPr>
              <w:t xml:space="preserve">Department of Human Services </w:t>
            </w:r>
          </w:p>
          <w:p w:rsidR="008275B9" w:rsidRPr="008D6802" w:rsidRDefault="008275B9" w:rsidP="009D0430">
            <w:pPr>
              <w:keepNext/>
              <w:rPr>
                <w:rFonts w:ascii="Arial Narrow" w:hAnsi="Arial Narrow"/>
                <w:strike/>
                <w:sz w:val="20"/>
              </w:rPr>
            </w:pPr>
            <w:r w:rsidRPr="008D6802">
              <w:rPr>
                <w:rFonts w:ascii="Arial Narrow" w:hAnsi="Arial Narrow"/>
                <w:strike/>
                <w:sz w:val="20"/>
              </w:rPr>
              <w:t>Prior Written Approval of Complex Drugs</w:t>
            </w:r>
          </w:p>
          <w:p w:rsidR="008275B9" w:rsidRPr="008D6802" w:rsidRDefault="008275B9" w:rsidP="009D0430">
            <w:pPr>
              <w:keepNext/>
              <w:rPr>
                <w:rFonts w:ascii="Arial Narrow" w:hAnsi="Arial Narrow"/>
                <w:strike/>
                <w:sz w:val="20"/>
              </w:rPr>
            </w:pPr>
            <w:r w:rsidRPr="008D6802">
              <w:rPr>
                <w:rFonts w:ascii="Arial Narrow" w:hAnsi="Arial Narrow"/>
                <w:strike/>
                <w:sz w:val="20"/>
              </w:rPr>
              <w:t>Reply Paid 9826</w:t>
            </w:r>
          </w:p>
          <w:p w:rsidR="008275B9" w:rsidRPr="008D6802" w:rsidRDefault="008275B9" w:rsidP="009D0430">
            <w:pPr>
              <w:keepNext/>
              <w:rPr>
                <w:rFonts w:ascii="Arial Narrow" w:hAnsi="Arial Narrow"/>
                <w:strike/>
                <w:sz w:val="20"/>
              </w:rPr>
            </w:pPr>
            <w:r w:rsidRPr="008D6802">
              <w:rPr>
                <w:rFonts w:ascii="Arial Narrow" w:hAnsi="Arial Narrow"/>
                <w:strike/>
                <w:sz w:val="20"/>
              </w:rPr>
              <w:t>HOBART TAS 7001</w:t>
            </w:r>
          </w:p>
          <w:p w:rsidR="0092585B" w:rsidRPr="008D6802" w:rsidRDefault="0092585B" w:rsidP="009D0430">
            <w:pPr>
              <w:keepNext/>
              <w:rPr>
                <w:rFonts w:ascii="Arial Narrow" w:hAnsi="Arial Narrow"/>
                <w:sz w:val="20"/>
                <w:u w:val="single"/>
              </w:rPr>
            </w:pPr>
            <w:r w:rsidRPr="008D6802">
              <w:rPr>
                <w:rFonts w:ascii="Arial Narrow" w:hAnsi="Arial Narrow"/>
                <w:sz w:val="20"/>
                <w:u w:val="single"/>
              </w:rPr>
              <w:t>Note</w:t>
            </w:r>
          </w:p>
          <w:p w:rsidR="0092585B" w:rsidRPr="008D6802" w:rsidRDefault="0092585B" w:rsidP="009D0430">
            <w:pPr>
              <w:keepNext/>
              <w:rPr>
                <w:rFonts w:ascii="Arial Narrow" w:hAnsi="Arial Narrow"/>
                <w:sz w:val="20"/>
              </w:rPr>
            </w:pPr>
            <w:r w:rsidRPr="008D6802">
              <w:rPr>
                <w:rFonts w:ascii="Arial Narrow" w:hAnsi="Arial Narrow"/>
                <w:sz w:val="20"/>
              </w:rPr>
              <w:t>Obinutuzumab is not to be used as monotherapy or in combination with anti-cancer drugs other than chlorambucil</w:t>
            </w:r>
          </w:p>
          <w:p w:rsidR="0092585B" w:rsidRPr="008D6802" w:rsidRDefault="0092585B" w:rsidP="009D0430">
            <w:pPr>
              <w:keepNext/>
              <w:rPr>
                <w:rFonts w:ascii="Arial Narrow" w:hAnsi="Arial Narrow"/>
                <w:sz w:val="20"/>
                <w:u w:val="single"/>
              </w:rPr>
            </w:pPr>
            <w:r w:rsidRPr="008D6802">
              <w:rPr>
                <w:rFonts w:ascii="Arial Narrow" w:hAnsi="Arial Narrow"/>
                <w:sz w:val="20"/>
                <w:u w:val="single"/>
              </w:rPr>
              <w:t>Note</w:t>
            </w:r>
          </w:p>
          <w:p w:rsidR="0092585B" w:rsidRPr="008D6802" w:rsidRDefault="0092585B" w:rsidP="009D0430">
            <w:pPr>
              <w:keepNext/>
              <w:rPr>
                <w:rFonts w:ascii="Arial Narrow" w:hAnsi="Arial Narrow"/>
                <w:sz w:val="20"/>
              </w:rPr>
            </w:pPr>
            <w:r w:rsidRPr="008D6802">
              <w:rPr>
                <w:rFonts w:ascii="Arial Narrow" w:hAnsi="Arial Narrow"/>
                <w:sz w:val="20"/>
              </w:rPr>
              <w:t xml:space="preserve">A patient may only qualify for PBS-subsidised treatment under this restriction once in a lifetime. </w:t>
            </w:r>
          </w:p>
          <w:p w:rsidR="0092585B" w:rsidRPr="008D6802" w:rsidRDefault="0092585B" w:rsidP="009D0430">
            <w:pPr>
              <w:keepNext/>
              <w:rPr>
                <w:rFonts w:ascii="Arial Narrow" w:hAnsi="Arial Narrow"/>
                <w:sz w:val="20"/>
                <w:u w:val="single"/>
              </w:rPr>
            </w:pPr>
            <w:r w:rsidRPr="008D6802">
              <w:rPr>
                <w:rFonts w:ascii="Arial Narrow" w:hAnsi="Arial Narrow"/>
                <w:sz w:val="20"/>
                <w:u w:val="single"/>
              </w:rPr>
              <w:t>Note</w:t>
            </w:r>
          </w:p>
          <w:p w:rsidR="0092585B" w:rsidRPr="008D6802" w:rsidRDefault="0092585B" w:rsidP="009D0430">
            <w:pPr>
              <w:keepNext/>
              <w:rPr>
                <w:rFonts w:ascii="Arial Narrow" w:hAnsi="Arial Narrow"/>
                <w:sz w:val="20"/>
              </w:rPr>
            </w:pPr>
            <w:r w:rsidRPr="008D6802">
              <w:rPr>
                <w:rFonts w:ascii="Arial Narrow" w:hAnsi="Arial Narrow"/>
                <w:sz w:val="20"/>
              </w:rPr>
              <w:t>No increase in the maximum quantity or number of units may be authorised</w:t>
            </w:r>
          </w:p>
          <w:p w:rsidR="0092585B" w:rsidRPr="008D6802" w:rsidRDefault="0092585B" w:rsidP="009D0430">
            <w:pPr>
              <w:keepNext/>
              <w:rPr>
                <w:rFonts w:ascii="Arial Narrow" w:hAnsi="Arial Narrow"/>
                <w:sz w:val="20"/>
                <w:u w:val="single"/>
              </w:rPr>
            </w:pPr>
            <w:r w:rsidRPr="008D6802">
              <w:rPr>
                <w:rFonts w:ascii="Arial Narrow" w:hAnsi="Arial Narrow"/>
                <w:sz w:val="20"/>
                <w:u w:val="single"/>
              </w:rPr>
              <w:t>Note</w:t>
            </w:r>
          </w:p>
          <w:p w:rsidR="0092585B" w:rsidRPr="008D6802" w:rsidRDefault="0092585B" w:rsidP="009D0430">
            <w:pPr>
              <w:keepNext/>
              <w:rPr>
                <w:rFonts w:ascii="Arial Narrow" w:hAnsi="Arial Narrow"/>
                <w:sz w:val="20"/>
              </w:rPr>
            </w:pPr>
            <w:r w:rsidRPr="008D6802">
              <w:rPr>
                <w:rFonts w:ascii="Arial Narrow" w:hAnsi="Arial Narrow"/>
                <w:sz w:val="20"/>
              </w:rPr>
              <w:t>No increase in the maximum number of repeats may be authorised</w:t>
            </w:r>
          </w:p>
          <w:p w:rsidR="0092585B" w:rsidRPr="008D6802" w:rsidRDefault="0092585B" w:rsidP="009D0430">
            <w:pPr>
              <w:keepNext/>
              <w:rPr>
                <w:rFonts w:ascii="Arial Narrow" w:hAnsi="Arial Narrow"/>
                <w:sz w:val="20"/>
                <w:u w:val="single"/>
              </w:rPr>
            </w:pPr>
            <w:r w:rsidRPr="008D6802">
              <w:rPr>
                <w:rFonts w:ascii="Arial Narrow" w:hAnsi="Arial Narrow"/>
                <w:sz w:val="20"/>
                <w:u w:val="single"/>
              </w:rPr>
              <w:t>Note</w:t>
            </w:r>
          </w:p>
          <w:p w:rsidR="0092585B" w:rsidRPr="008D6802" w:rsidRDefault="0092585B" w:rsidP="009D0430">
            <w:pPr>
              <w:keepNext/>
              <w:rPr>
                <w:rFonts w:ascii="Arial Narrow" w:hAnsi="Arial Narrow"/>
                <w:sz w:val="20"/>
              </w:rPr>
            </w:pPr>
            <w:r w:rsidRPr="008D6802">
              <w:rPr>
                <w:rFonts w:ascii="Arial Narrow" w:hAnsi="Arial Narrow"/>
                <w:sz w:val="20"/>
              </w:rPr>
              <w:t>Special pricing arrangements apply</w:t>
            </w:r>
          </w:p>
        </w:tc>
      </w:tr>
    </w:tbl>
    <w:p w:rsidR="0092585B" w:rsidRPr="008D6802" w:rsidRDefault="0092585B" w:rsidP="0092585B">
      <w:pPr>
        <w:spacing w:after="120"/>
        <w:rPr>
          <w:rFonts w:asciiTheme="minorHAnsi" w:eastAsiaTheme="minorHAnsi" w:hAnsiTheme="minorHAnsi" w:cstheme="minorBidi"/>
          <w:szCs w:val="22"/>
        </w:rPr>
      </w:pPr>
    </w:p>
    <w:p w:rsidR="00D235A9" w:rsidRPr="000A6828" w:rsidRDefault="00D235A9" w:rsidP="000A6828">
      <w:pPr>
        <w:ind w:firstLine="709"/>
        <w:rPr>
          <w:rFonts w:ascii="Calibri" w:eastAsiaTheme="minorHAnsi" w:hAnsi="Calibri" w:cs="Calibri"/>
          <w:i/>
          <w:szCs w:val="22"/>
        </w:rPr>
      </w:pPr>
      <w:r w:rsidRPr="000A6828">
        <w:rPr>
          <w:rFonts w:ascii="Calibri" w:eastAsiaTheme="minorHAnsi" w:hAnsi="Calibri" w:cs="Calibri"/>
          <w:i/>
        </w:rPr>
        <w:t>For more detail on PBAC’s view, see section 5 PBAC outcome</w:t>
      </w:r>
      <w:r w:rsidRPr="000A6828">
        <w:rPr>
          <w:rFonts w:ascii="Calibri" w:eastAsiaTheme="minorHAnsi" w:hAnsi="Calibri" w:cs="Calibri"/>
          <w:i/>
          <w:szCs w:val="22"/>
        </w:rPr>
        <w:t>.</w:t>
      </w:r>
      <w:bookmarkStart w:id="0" w:name="_GoBack"/>
      <w:bookmarkEnd w:id="0"/>
    </w:p>
    <w:p w:rsidR="00C603D4" w:rsidRPr="008D6802" w:rsidRDefault="00CE10C4" w:rsidP="00696129">
      <w:pPr>
        <w:pStyle w:val="PBACHeading1"/>
        <w:spacing w:before="240" w:after="120"/>
        <w:ind w:left="709" w:hanging="709"/>
        <w:rPr>
          <w:rFonts w:asciiTheme="minorHAnsi" w:hAnsiTheme="minorHAnsi"/>
          <w:sz w:val="32"/>
          <w:szCs w:val="32"/>
        </w:rPr>
      </w:pPr>
      <w:r w:rsidRPr="008D6802">
        <w:rPr>
          <w:rFonts w:asciiTheme="minorHAnsi" w:hAnsiTheme="minorHAnsi"/>
          <w:sz w:val="32"/>
          <w:szCs w:val="32"/>
        </w:rPr>
        <w:t>Background</w:t>
      </w:r>
    </w:p>
    <w:p w:rsidR="006B0D94" w:rsidRPr="008D6802" w:rsidRDefault="0009123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Obinutuzumab was TGA registered in May 2014 for the treatment of patients with previously untreated </w:t>
      </w:r>
      <w:r w:rsidR="00782A97" w:rsidRPr="008D6802">
        <w:rPr>
          <w:rFonts w:asciiTheme="minorHAnsi" w:eastAsiaTheme="minorHAnsi" w:hAnsiTheme="minorHAnsi" w:cstheme="minorBidi"/>
          <w:snapToGrid/>
          <w:sz w:val="24"/>
          <w:szCs w:val="22"/>
        </w:rPr>
        <w:t>CLL</w:t>
      </w:r>
      <w:r w:rsidRPr="008D6802">
        <w:rPr>
          <w:rFonts w:asciiTheme="minorHAnsi" w:eastAsiaTheme="minorHAnsi" w:hAnsiTheme="minorHAnsi" w:cstheme="minorBidi"/>
          <w:snapToGrid/>
          <w:sz w:val="24"/>
          <w:szCs w:val="22"/>
        </w:rPr>
        <w:t>.</w:t>
      </w:r>
      <w:r w:rsidR="002B1AE6" w:rsidRPr="008D6802">
        <w:rPr>
          <w:rFonts w:asciiTheme="minorHAnsi" w:eastAsiaTheme="minorHAnsi" w:hAnsiTheme="minorHAnsi" w:cstheme="minorBidi"/>
          <w:snapToGrid/>
          <w:sz w:val="24"/>
          <w:szCs w:val="22"/>
        </w:rPr>
        <w:t xml:space="preserve"> </w:t>
      </w:r>
    </w:p>
    <w:p w:rsidR="0051322F" w:rsidRPr="008D6802" w:rsidRDefault="0051322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Obinutuzumab </w:t>
      </w:r>
      <w:r w:rsidR="00256362" w:rsidRPr="008D6802">
        <w:rPr>
          <w:rFonts w:asciiTheme="minorHAnsi" w:eastAsiaTheme="minorHAnsi" w:hAnsiTheme="minorHAnsi" w:cstheme="minorBidi"/>
          <w:snapToGrid/>
          <w:sz w:val="24"/>
          <w:szCs w:val="22"/>
        </w:rPr>
        <w:t xml:space="preserve">in combination with chlorambucil for previously untreated CLL in unfit patients who had comorbidities </w:t>
      </w:r>
      <w:r w:rsidRPr="008D6802">
        <w:rPr>
          <w:rFonts w:asciiTheme="minorHAnsi" w:eastAsiaTheme="minorHAnsi" w:hAnsiTheme="minorHAnsi" w:cstheme="minorBidi"/>
          <w:snapToGrid/>
          <w:sz w:val="24"/>
          <w:szCs w:val="22"/>
        </w:rPr>
        <w:t xml:space="preserve">was first considered by the PBAC in July 2014. </w:t>
      </w:r>
      <w:r w:rsidR="000833ED" w:rsidRPr="008D6802">
        <w:rPr>
          <w:rFonts w:asciiTheme="minorHAnsi" w:eastAsiaTheme="minorHAnsi" w:hAnsiTheme="minorHAnsi" w:cstheme="minorBidi"/>
          <w:snapToGrid/>
          <w:sz w:val="24"/>
          <w:szCs w:val="22"/>
        </w:rPr>
        <w:t>T</w:t>
      </w:r>
      <w:r w:rsidRPr="008D6802">
        <w:rPr>
          <w:rFonts w:asciiTheme="minorHAnsi" w:eastAsiaTheme="minorHAnsi" w:hAnsiTheme="minorHAnsi" w:cstheme="minorBidi"/>
          <w:snapToGrid/>
          <w:sz w:val="24"/>
          <w:szCs w:val="22"/>
        </w:rPr>
        <w:t>he PBAC</w:t>
      </w:r>
      <w:r w:rsidRPr="008D6802">
        <w:rPr>
          <w:szCs w:val="22"/>
        </w:rPr>
        <w:t xml:space="preserve"> </w:t>
      </w:r>
      <w:r w:rsidRPr="008D6802">
        <w:rPr>
          <w:rFonts w:asciiTheme="minorHAnsi" w:eastAsiaTheme="minorHAnsi" w:hAnsiTheme="minorHAnsi" w:cstheme="minorBidi"/>
          <w:snapToGrid/>
          <w:sz w:val="24"/>
          <w:szCs w:val="22"/>
        </w:rPr>
        <w:t xml:space="preserve">rejected </w:t>
      </w:r>
      <w:r w:rsidR="000833ED" w:rsidRPr="008D6802">
        <w:rPr>
          <w:rFonts w:asciiTheme="minorHAnsi" w:eastAsiaTheme="minorHAnsi" w:hAnsiTheme="minorHAnsi" w:cstheme="minorBidi"/>
          <w:snapToGrid/>
          <w:sz w:val="24"/>
          <w:szCs w:val="22"/>
        </w:rPr>
        <w:t>a</w:t>
      </w:r>
      <w:r w:rsidRPr="008D6802">
        <w:rPr>
          <w:rFonts w:asciiTheme="minorHAnsi" w:eastAsiaTheme="minorHAnsi" w:hAnsiTheme="minorHAnsi" w:cstheme="minorBidi"/>
          <w:snapToGrid/>
          <w:sz w:val="24"/>
          <w:szCs w:val="22"/>
        </w:rPr>
        <w:t xml:space="preserve"> submission to list obinutuzumab on the PBS for </w:t>
      </w:r>
      <w:r w:rsidR="00256362" w:rsidRPr="008D6802">
        <w:rPr>
          <w:rFonts w:asciiTheme="minorHAnsi" w:eastAsiaTheme="minorHAnsi" w:hAnsiTheme="minorHAnsi" w:cstheme="minorBidi"/>
          <w:snapToGrid/>
          <w:sz w:val="24"/>
          <w:szCs w:val="22"/>
        </w:rPr>
        <w:t>this indication</w:t>
      </w:r>
      <w:r w:rsidRPr="008D6802">
        <w:rPr>
          <w:rFonts w:asciiTheme="minorHAnsi" w:eastAsiaTheme="minorHAnsi" w:hAnsiTheme="minorHAnsi" w:cstheme="minorBidi"/>
          <w:snapToGrid/>
          <w:sz w:val="24"/>
          <w:szCs w:val="22"/>
        </w:rPr>
        <w:t xml:space="preserve"> as the submission failed to demonstrate that obinutuzumab was cost effective (paragraph 7.1, obinutuzumab </w:t>
      </w:r>
      <w:r w:rsidR="00256362" w:rsidRPr="008D6802">
        <w:rPr>
          <w:rFonts w:asciiTheme="minorHAnsi" w:eastAsiaTheme="minorHAnsi" w:hAnsiTheme="minorHAnsi" w:cstheme="minorBidi"/>
          <w:snapToGrid/>
          <w:sz w:val="24"/>
          <w:szCs w:val="22"/>
        </w:rPr>
        <w:t>P</w:t>
      </w:r>
      <w:r w:rsidRPr="008D6802">
        <w:rPr>
          <w:rFonts w:asciiTheme="minorHAnsi" w:eastAsiaTheme="minorHAnsi" w:hAnsiTheme="minorHAnsi" w:cstheme="minorBidi"/>
          <w:snapToGrid/>
          <w:sz w:val="24"/>
          <w:szCs w:val="22"/>
        </w:rPr>
        <w:t xml:space="preserve">ublic </w:t>
      </w:r>
      <w:r w:rsidR="00256362" w:rsidRPr="008D6802">
        <w:rPr>
          <w:rFonts w:asciiTheme="minorHAnsi" w:eastAsiaTheme="minorHAnsi" w:hAnsiTheme="minorHAnsi" w:cstheme="minorBidi"/>
          <w:snapToGrid/>
          <w:sz w:val="24"/>
          <w:szCs w:val="22"/>
        </w:rPr>
        <w:t>S</w:t>
      </w:r>
      <w:r w:rsidRPr="008D6802">
        <w:rPr>
          <w:rFonts w:asciiTheme="minorHAnsi" w:eastAsiaTheme="minorHAnsi" w:hAnsiTheme="minorHAnsi" w:cstheme="minorBidi"/>
          <w:snapToGrid/>
          <w:sz w:val="24"/>
          <w:szCs w:val="22"/>
        </w:rPr>
        <w:t xml:space="preserve">ummary </w:t>
      </w:r>
      <w:r w:rsidR="00256362" w:rsidRPr="008D6802">
        <w:rPr>
          <w:rFonts w:asciiTheme="minorHAnsi" w:eastAsiaTheme="minorHAnsi" w:hAnsiTheme="minorHAnsi" w:cstheme="minorBidi"/>
          <w:snapToGrid/>
          <w:sz w:val="24"/>
          <w:szCs w:val="22"/>
        </w:rPr>
        <w:t>D</w:t>
      </w:r>
      <w:r w:rsidRPr="008D6802">
        <w:rPr>
          <w:rFonts w:asciiTheme="minorHAnsi" w:eastAsiaTheme="minorHAnsi" w:hAnsiTheme="minorHAnsi" w:cstheme="minorBidi"/>
          <w:snapToGrid/>
          <w:sz w:val="24"/>
          <w:szCs w:val="22"/>
        </w:rPr>
        <w:t>ocument</w:t>
      </w:r>
      <w:r w:rsidR="00256362" w:rsidRPr="008D6802">
        <w:rPr>
          <w:rFonts w:asciiTheme="minorHAnsi" w:eastAsiaTheme="minorHAnsi" w:hAnsiTheme="minorHAnsi" w:cstheme="minorBidi"/>
          <w:snapToGrid/>
          <w:sz w:val="24"/>
          <w:szCs w:val="22"/>
        </w:rPr>
        <w:t xml:space="preserve"> (PSD)</w:t>
      </w:r>
      <w:r w:rsidRPr="008D6802">
        <w:rPr>
          <w:rFonts w:asciiTheme="minorHAnsi" w:eastAsiaTheme="minorHAnsi" w:hAnsiTheme="minorHAnsi" w:cstheme="minorBidi"/>
          <w:snapToGrid/>
          <w:sz w:val="24"/>
          <w:szCs w:val="22"/>
        </w:rPr>
        <w:t>, July 2014).</w:t>
      </w:r>
    </w:p>
    <w:p w:rsidR="001E4751" w:rsidRPr="008D6802" w:rsidRDefault="00F74B4E" w:rsidP="00AD6BF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At</w:t>
      </w:r>
      <w:r w:rsidR="001E4751" w:rsidRPr="008D6802">
        <w:rPr>
          <w:rFonts w:asciiTheme="minorHAnsi" w:eastAsiaTheme="minorHAnsi" w:hAnsiTheme="minorHAnsi" w:cstheme="minorBidi"/>
          <w:snapToGrid/>
          <w:sz w:val="24"/>
          <w:szCs w:val="22"/>
        </w:rPr>
        <w:t xml:space="preserve"> its July 2014 </w:t>
      </w:r>
      <w:r w:rsidRPr="008D6802">
        <w:rPr>
          <w:rFonts w:asciiTheme="minorHAnsi" w:eastAsiaTheme="minorHAnsi" w:hAnsiTheme="minorHAnsi" w:cstheme="minorBidi"/>
          <w:snapToGrid/>
          <w:sz w:val="24"/>
          <w:szCs w:val="22"/>
        </w:rPr>
        <w:t>meeting</w:t>
      </w:r>
      <w:r w:rsidR="001E4751" w:rsidRPr="008D6802">
        <w:rPr>
          <w:rFonts w:asciiTheme="minorHAnsi" w:eastAsiaTheme="minorHAnsi" w:hAnsiTheme="minorHAnsi" w:cstheme="minorBidi"/>
          <w:snapToGrid/>
          <w:sz w:val="24"/>
          <w:szCs w:val="22"/>
        </w:rPr>
        <w:t>, t</w:t>
      </w:r>
      <w:r w:rsidR="0051322F" w:rsidRPr="008D6802">
        <w:rPr>
          <w:rFonts w:asciiTheme="minorHAnsi" w:eastAsiaTheme="minorHAnsi" w:hAnsiTheme="minorHAnsi" w:cstheme="minorBidi"/>
          <w:snapToGrid/>
          <w:sz w:val="24"/>
          <w:szCs w:val="22"/>
        </w:rPr>
        <w:t xml:space="preserve">he </w:t>
      </w:r>
      <w:r w:rsidR="00EB2A47" w:rsidRPr="008D6802">
        <w:rPr>
          <w:rFonts w:asciiTheme="minorHAnsi" w:eastAsiaTheme="minorHAnsi" w:hAnsiTheme="minorHAnsi" w:cstheme="minorBidi"/>
          <w:snapToGrid/>
          <w:sz w:val="24"/>
          <w:szCs w:val="22"/>
        </w:rPr>
        <w:t>PBAC agreed with DUSC</w:t>
      </w:r>
      <w:r w:rsidR="005827B2" w:rsidRPr="008D6802">
        <w:rPr>
          <w:rFonts w:asciiTheme="minorHAnsi" w:eastAsiaTheme="minorHAnsi" w:hAnsiTheme="minorHAnsi" w:cstheme="minorBidi"/>
          <w:snapToGrid/>
          <w:sz w:val="24"/>
          <w:szCs w:val="22"/>
        </w:rPr>
        <w:t xml:space="preserve"> that it was</w:t>
      </w:r>
      <w:r w:rsidR="0051322F" w:rsidRPr="008D6802">
        <w:rPr>
          <w:rFonts w:asciiTheme="minorHAnsi" w:eastAsiaTheme="minorHAnsi" w:hAnsiTheme="minorHAnsi" w:cstheme="minorBidi"/>
          <w:snapToGrid/>
          <w:sz w:val="24"/>
          <w:szCs w:val="22"/>
        </w:rPr>
        <w:t xml:space="preserve"> difficult to reliably estimate the number of patients who </w:t>
      </w:r>
      <w:r w:rsidR="005827B2" w:rsidRPr="008D6802">
        <w:rPr>
          <w:rFonts w:asciiTheme="minorHAnsi" w:eastAsiaTheme="minorHAnsi" w:hAnsiTheme="minorHAnsi" w:cstheme="minorBidi"/>
          <w:snapToGrid/>
          <w:sz w:val="24"/>
          <w:szCs w:val="22"/>
        </w:rPr>
        <w:t>were</w:t>
      </w:r>
      <w:r w:rsidR="0051322F" w:rsidRPr="008D6802">
        <w:rPr>
          <w:rFonts w:asciiTheme="minorHAnsi" w:eastAsiaTheme="minorHAnsi" w:hAnsiTheme="minorHAnsi" w:cstheme="minorBidi"/>
          <w:snapToGrid/>
          <w:sz w:val="24"/>
          <w:szCs w:val="22"/>
        </w:rPr>
        <w:t xml:space="preserve"> likely to use obinutuzumab. In partic</w:t>
      </w:r>
      <w:r w:rsidR="003B6D55" w:rsidRPr="008D6802">
        <w:rPr>
          <w:rFonts w:asciiTheme="minorHAnsi" w:eastAsiaTheme="minorHAnsi" w:hAnsiTheme="minorHAnsi" w:cstheme="minorBidi"/>
          <w:snapToGrid/>
          <w:sz w:val="24"/>
          <w:szCs w:val="22"/>
        </w:rPr>
        <w:t>ular, the PBAC considered that th</w:t>
      </w:r>
      <w:r w:rsidR="0051322F" w:rsidRPr="008D6802">
        <w:rPr>
          <w:rFonts w:asciiTheme="minorHAnsi" w:eastAsiaTheme="minorHAnsi" w:hAnsiTheme="minorHAnsi" w:cstheme="minorBidi"/>
          <w:snapToGrid/>
          <w:sz w:val="24"/>
          <w:szCs w:val="22"/>
        </w:rPr>
        <w:t>ere was a risk of use of the drug outside the intended restriction, and ag</w:t>
      </w:r>
      <w:r w:rsidR="003B6D55" w:rsidRPr="008D6802">
        <w:rPr>
          <w:rFonts w:asciiTheme="minorHAnsi" w:eastAsiaTheme="minorHAnsi" w:hAnsiTheme="minorHAnsi" w:cstheme="minorBidi"/>
          <w:snapToGrid/>
          <w:sz w:val="24"/>
          <w:szCs w:val="22"/>
        </w:rPr>
        <w:t xml:space="preserve">reed with </w:t>
      </w:r>
      <w:r w:rsidR="005827B2" w:rsidRPr="008D6802">
        <w:rPr>
          <w:rFonts w:asciiTheme="minorHAnsi" w:eastAsiaTheme="minorHAnsi" w:hAnsiTheme="minorHAnsi" w:cstheme="minorBidi"/>
          <w:snapToGrid/>
          <w:sz w:val="24"/>
          <w:szCs w:val="22"/>
        </w:rPr>
        <w:t>DUSC that there was</w:t>
      </w:r>
      <w:r w:rsidR="0051322F" w:rsidRPr="008D6802">
        <w:rPr>
          <w:rFonts w:asciiTheme="minorHAnsi" w:eastAsiaTheme="minorHAnsi" w:hAnsiTheme="minorHAnsi" w:cstheme="minorBidi"/>
          <w:snapToGrid/>
          <w:sz w:val="24"/>
          <w:szCs w:val="22"/>
        </w:rPr>
        <w:t xml:space="preserve"> potential for retreatment with obinutuzumab and potential for use after relapse or progression on other treatments</w:t>
      </w:r>
      <w:r w:rsidR="00256362" w:rsidRPr="008D6802">
        <w:rPr>
          <w:rFonts w:asciiTheme="minorHAnsi" w:eastAsiaTheme="minorHAnsi" w:hAnsiTheme="minorHAnsi" w:cstheme="minorBidi"/>
          <w:snapToGrid/>
          <w:sz w:val="24"/>
          <w:szCs w:val="22"/>
        </w:rPr>
        <w:t xml:space="preserve"> (paragraph 7.19, obinutuzumab PSD, July 2014)</w:t>
      </w:r>
      <w:r w:rsidR="0051322F" w:rsidRPr="008D6802">
        <w:rPr>
          <w:rFonts w:asciiTheme="minorHAnsi" w:eastAsiaTheme="minorHAnsi" w:hAnsiTheme="minorHAnsi" w:cstheme="minorBidi"/>
          <w:snapToGrid/>
          <w:sz w:val="24"/>
          <w:szCs w:val="22"/>
        </w:rPr>
        <w:t>.</w:t>
      </w:r>
    </w:p>
    <w:p w:rsidR="00AD6BF4" w:rsidRPr="008D6802" w:rsidRDefault="0051322F" w:rsidP="00AD6BF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PBAC considered that this risk of use of obinutuzumab outside the requested restriction would be particularly high in the absence of suitable, alternative PBS</w:t>
      </w:r>
      <w:r w:rsidRPr="008D6802">
        <w:rPr>
          <w:rFonts w:asciiTheme="minorHAnsi" w:eastAsiaTheme="minorHAnsi" w:hAnsiTheme="minorHAnsi" w:cstheme="minorBidi"/>
          <w:snapToGrid/>
          <w:sz w:val="24"/>
          <w:szCs w:val="22"/>
        </w:rPr>
        <w:noBreakHyphen/>
        <w:t xml:space="preserve">listed treatment options for patients with CLL who cannot tolerate a fludarabine-based regimen. Therefore the PBAC considered that, should rituximab remain unlisted for use in combination with chemotherapy, this risk would need to </w:t>
      </w:r>
      <w:r w:rsidRPr="008D6802">
        <w:rPr>
          <w:rFonts w:asciiTheme="minorHAnsi" w:eastAsiaTheme="minorHAnsi" w:hAnsiTheme="minorHAnsi" w:cstheme="minorBidi"/>
          <w:snapToGrid/>
          <w:sz w:val="24"/>
          <w:szCs w:val="22"/>
        </w:rPr>
        <w:lastRenderedPageBreak/>
        <w:t>be mitigated though a written Authority Required listing</w:t>
      </w:r>
      <w:r w:rsidR="0064194D" w:rsidRPr="008D6802">
        <w:rPr>
          <w:rFonts w:asciiTheme="minorHAnsi" w:eastAsiaTheme="minorHAnsi" w:hAnsiTheme="minorHAnsi" w:cstheme="minorBidi"/>
          <w:snapToGrid/>
          <w:sz w:val="24"/>
          <w:szCs w:val="22"/>
        </w:rPr>
        <w:t xml:space="preserve"> (paragraph 7.20</w:t>
      </w:r>
      <w:r w:rsidR="00256362" w:rsidRPr="008D6802">
        <w:rPr>
          <w:rFonts w:asciiTheme="minorHAnsi" w:eastAsiaTheme="minorHAnsi" w:hAnsiTheme="minorHAnsi" w:cstheme="minorBidi"/>
          <w:snapToGrid/>
          <w:sz w:val="24"/>
          <w:szCs w:val="22"/>
        </w:rPr>
        <w:t>, obinutuzumab PSD, July 2014)</w:t>
      </w:r>
      <w:r w:rsidRPr="008D6802">
        <w:rPr>
          <w:rFonts w:asciiTheme="minorHAnsi" w:eastAsiaTheme="minorHAnsi" w:hAnsiTheme="minorHAnsi" w:cstheme="minorBidi"/>
          <w:snapToGrid/>
          <w:sz w:val="24"/>
          <w:szCs w:val="22"/>
        </w:rPr>
        <w:t xml:space="preserve">. </w:t>
      </w:r>
    </w:p>
    <w:p w:rsidR="0051322F" w:rsidRPr="008D6802" w:rsidRDefault="0051322F" w:rsidP="00AD6BF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Further, in light of the uncertain patient numbers and the risk of use of obinutuzumab outside the requested restriction, the PBAC pre-empted that a risk-sharing arrangement would be required should obinutuzumab be recommended for listing in the future. The PBAC considered that a hard cap would be required, with the price of obinutuzumab to revert to the price of the relevant PBS-listed alternative (i.e. either chlorambucil, or chlorambucil plus rituximab if rituximab is listed in this setting) should the cap be exceeded</w:t>
      </w:r>
      <w:r w:rsidR="001E4751" w:rsidRPr="008D6802">
        <w:rPr>
          <w:rFonts w:asciiTheme="minorHAnsi" w:eastAsiaTheme="minorHAnsi" w:hAnsiTheme="minorHAnsi" w:cstheme="minorBidi"/>
          <w:snapToGrid/>
          <w:sz w:val="24"/>
          <w:szCs w:val="22"/>
        </w:rPr>
        <w:t xml:space="preserve"> (paragraph 7.21, obinutuzumab </w:t>
      </w:r>
      <w:r w:rsidR="00256362" w:rsidRPr="008D6802">
        <w:rPr>
          <w:rFonts w:asciiTheme="minorHAnsi" w:eastAsiaTheme="minorHAnsi" w:hAnsiTheme="minorHAnsi" w:cstheme="minorBidi"/>
          <w:snapToGrid/>
          <w:sz w:val="24"/>
          <w:szCs w:val="22"/>
        </w:rPr>
        <w:t>PSD</w:t>
      </w:r>
      <w:r w:rsidR="001E4751" w:rsidRPr="008D6802">
        <w:rPr>
          <w:rFonts w:asciiTheme="minorHAnsi" w:eastAsiaTheme="minorHAnsi" w:hAnsiTheme="minorHAnsi" w:cstheme="minorBidi"/>
          <w:snapToGrid/>
          <w:sz w:val="24"/>
          <w:szCs w:val="22"/>
        </w:rPr>
        <w:t>, July 2014)</w:t>
      </w:r>
      <w:r w:rsidRPr="008D6802">
        <w:rPr>
          <w:rFonts w:asciiTheme="minorHAnsi" w:eastAsiaTheme="minorHAnsi" w:hAnsiTheme="minorHAnsi" w:cstheme="minorBidi"/>
          <w:snapToGrid/>
          <w:sz w:val="24"/>
          <w:szCs w:val="22"/>
        </w:rPr>
        <w:t xml:space="preserve">. </w:t>
      </w:r>
    </w:p>
    <w:p w:rsidR="00256362" w:rsidRPr="008D6802" w:rsidRDefault="00256362" w:rsidP="00256362">
      <w:pPr>
        <w:pStyle w:val="ListParagraph"/>
        <w:widowControl/>
        <w:numPr>
          <w:ilvl w:val="1"/>
          <w:numId w:val="14"/>
        </w:numPr>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On 1 December 2014, rituximab was listed for the treatment of CLL in combination with chemotherapy. Prior to this, rituximab was only listed for use in CLL in combination with fludarabine and cyclophosphamide (paragraph 3.5, obinutuzumab PSD, March 2015). The PBAC recommended ofatumumab for listing in combination with chlorambucil for CLL on the basis of a cost-minimisation with rituximab (</w:t>
      </w:r>
      <w:r w:rsidR="009D7914" w:rsidRPr="008D6802">
        <w:rPr>
          <w:rFonts w:asciiTheme="minorHAnsi" w:eastAsiaTheme="minorHAnsi" w:hAnsiTheme="minorHAnsi" w:cstheme="minorBidi"/>
          <w:snapToGrid/>
          <w:sz w:val="24"/>
          <w:szCs w:val="22"/>
        </w:rPr>
        <w:t>paragraph 7.1, ofatumumab PSD, November 2014)</w:t>
      </w:r>
      <w:r w:rsidR="003B6D55" w:rsidRPr="008D6802">
        <w:rPr>
          <w:rFonts w:asciiTheme="minorHAnsi" w:eastAsiaTheme="minorHAnsi" w:hAnsiTheme="minorHAnsi" w:cstheme="minorBidi"/>
          <w:snapToGrid/>
          <w:sz w:val="24"/>
          <w:szCs w:val="22"/>
        </w:rPr>
        <w:t>.</w:t>
      </w:r>
    </w:p>
    <w:p w:rsidR="00EF140D" w:rsidRPr="008D6802" w:rsidRDefault="0009123F" w:rsidP="00EF140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At its March 2015 meeting, the PBAC recommended listing obinutuzumab on the PBS</w:t>
      </w:r>
      <w:r w:rsidR="009B1401" w:rsidRPr="008D6802">
        <w:rPr>
          <w:rFonts w:asciiTheme="minorHAnsi" w:eastAsiaTheme="minorHAnsi" w:hAnsiTheme="minorHAnsi" w:cstheme="minorBidi"/>
          <w:snapToGrid/>
          <w:sz w:val="24"/>
          <w:szCs w:val="22"/>
        </w:rPr>
        <w:t xml:space="preserve"> for the treatment of CLL in patients with comorbidities on the basis that it should be available only under special arrangements under Section 100. The PBAC considered that a written authority listing would be appropriate for obinutuzumab to help prevent usage beyond the population in whom the comparative effectiveness and cost-effectiveness of the drug have been demonstrated, particularly given the restriction’s use of the potentially subjective cumulative illness rating scale</w:t>
      </w:r>
      <w:r w:rsidR="00C27B0E" w:rsidRPr="008D6802">
        <w:rPr>
          <w:rFonts w:asciiTheme="minorHAnsi" w:eastAsiaTheme="minorHAnsi" w:hAnsiTheme="minorHAnsi" w:cstheme="minorBidi"/>
          <w:snapToGrid/>
          <w:sz w:val="24"/>
          <w:szCs w:val="22"/>
        </w:rPr>
        <w:t xml:space="preserve"> (CIRS)</w:t>
      </w:r>
      <w:r w:rsidR="00872EC8" w:rsidRPr="008D6802">
        <w:rPr>
          <w:rFonts w:asciiTheme="minorHAnsi" w:eastAsiaTheme="minorHAnsi" w:hAnsiTheme="minorHAnsi" w:cstheme="minorBidi"/>
          <w:snapToGrid/>
          <w:sz w:val="24"/>
          <w:szCs w:val="22"/>
        </w:rPr>
        <w:t xml:space="preserve"> (paragraph 7.1, obinutuzumab </w:t>
      </w:r>
      <w:r w:rsidR="00256362" w:rsidRPr="008D6802">
        <w:rPr>
          <w:rFonts w:asciiTheme="minorHAnsi" w:eastAsiaTheme="minorHAnsi" w:hAnsiTheme="minorHAnsi" w:cstheme="minorBidi"/>
          <w:snapToGrid/>
          <w:sz w:val="24"/>
          <w:szCs w:val="22"/>
        </w:rPr>
        <w:t>PSD</w:t>
      </w:r>
      <w:r w:rsidR="00872EC8" w:rsidRPr="008D6802">
        <w:rPr>
          <w:rFonts w:asciiTheme="minorHAnsi" w:eastAsiaTheme="minorHAnsi" w:hAnsiTheme="minorHAnsi" w:cstheme="minorBidi"/>
          <w:snapToGrid/>
          <w:sz w:val="24"/>
          <w:szCs w:val="22"/>
        </w:rPr>
        <w:t>, March 2015)</w:t>
      </w:r>
      <w:r w:rsidR="009B1401" w:rsidRPr="008D6802">
        <w:rPr>
          <w:rFonts w:asciiTheme="minorHAnsi" w:eastAsiaTheme="minorHAnsi" w:hAnsiTheme="minorHAnsi" w:cstheme="minorBidi"/>
          <w:snapToGrid/>
          <w:sz w:val="24"/>
          <w:szCs w:val="22"/>
        </w:rPr>
        <w:t xml:space="preserve">. </w:t>
      </w:r>
    </w:p>
    <w:p w:rsidR="00782A97" w:rsidRPr="008D6802" w:rsidRDefault="00EF140D" w:rsidP="00EF140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The PBAC considered that there </w:t>
      </w:r>
      <w:r w:rsidR="00F00C55" w:rsidRPr="008D6802">
        <w:rPr>
          <w:rFonts w:asciiTheme="minorHAnsi" w:eastAsiaTheme="minorHAnsi" w:hAnsiTheme="minorHAnsi" w:cstheme="minorBidi"/>
          <w:snapToGrid/>
          <w:sz w:val="24"/>
          <w:szCs w:val="22"/>
        </w:rPr>
        <w:t>wa</w:t>
      </w:r>
      <w:r w:rsidRPr="008D6802">
        <w:rPr>
          <w:rFonts w:asciiTheme="minorHAnsi" w:eastAsiaTheme="minorHAnsi" w:hAnsiTheme="minorHAnsi" w:cstheme="minorBidi"/>
          <w:snapToGrid/>
          <w:sz w:val="24"/>
          <w:szCs w:val="22"/>
        </w:rPr>
        <w:t>s a high risk of usage of obinutuzumab outside the restriction and that this risk remain</w:t>
      </w:r>
      <w:r w:rsidR="00F00C55" w:rsidRPr="008D6802">
        <w:rPr>
          <w:rFonts w:asciiTheme="minorHAnsi" w:eastAsiaTheme="minorHAnsi" w:hAnsiTheme="minorHAnsi" w:cstheme="minorBidi"/>
          <w:snapToGrid/>
          <w:sz w:val="24"/>
          <w:szCs w:val="22"/>
        </w:rPr>
        <w:t>ed</w:t>
      </w:r>
      <w:r w:rsidRPr="008D6802">
        <w:rPr>
          <w:rFonts w:asciiTheme="minorHAnsi" w:eastAsiaTheme="minorHAnsi" w:hAnsiTheme="minorHAnsi" w:cstheme="minorBidi"/>
          <w:snapToGrid/>
          <w:sz w:val="24"/>
          <w:szCs w:val="22"/>
        </w:rPr>
        <w:t xml:space="preserve"> high, even with PBS-listed alternative/s for patients with CLL who cannot tolerate fludarabine-based regimens</w:t>
      </w:r>
      <w:r w:rsidR="00872EC8" w:rsidRPr="008D6802">
        <w:rPr>
          <w:rFonts w:asciiTheme="minorHAnsi" w:eastAsiaTheme="minorHAnsi" w:hAnsiTheme="minorHAnsi" w:cstheme="minorBidi"/>
          <w:snapToGrid/>
          <w:sz w:val="24"/>
          <w:szCs w:val="22"/>
        </w:rPr>
        <w:t xml:space="preserve"> (paragraph 7.5, obinutuzumab </w:t>
      </w:r>
      <w:r w:rsidR="009D7914" w:rsidRPr="008D6802">
        <w:rPr>
          <w:rFonts w:asciiTheme="minorHAnsi" w:eastAsiaTheme="minorHAnsi" w:hAnsiTheme="minorHAnsi" w:cstheme="minorBidi"/>
          <w:snapToGrid/>
          <w:sz w:val="24"/>
          <w:szCs w:val="22"/>
        </w:rPr>
        <w:t>PSD</w:t>
      </w:r>
      <w:r w:rsidR="00872EC8" w:rsidRPr="008D6802">
        <w:rPr>
          <w:rFonts w:asciiTheme="minorHAnsi" w:eastAsiaTheme="minorHAnsi" w:hAnsiTheme="minorHAnsi" w:cstheme="minorBidi"/>
          <w:snapToGrid/>
          <w:sz w:val="24"/>
          <w:szCs w:val="22"/>
        </w:rPr>
        <w:t>, March 2015)</w:t>
      </w:r>
      <w:r w:rsidRPr="008D6802">
        <w:rPr>
          <w:rFonts w:asciiTheme="minorHAnsi" w:eastAsiaTheme="minorHAnsi" w:hAnsiTheme="minorHAnsi" w:cstheme="minorBidi"/>
          <w:snapToGrid/>
          <w:sz w:val="24"/>
          <w:szCs w:val="22"/>
        </w:rPr>
        <w:t xml:space="preserve">. </w:t>
      </w:r>
    </w:p>
    <w:p w:rsidR="00EF140D" w:rsidRPr="008D6802" w:rsidRDefault="00EF140D" w:rsidP="008B570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In forming this view</w:t>
      </w:r>
      <w:r w:rsidR="00112B9C" w:rsidRPr="008D6802">
        <w:rPr>
          <w:rFonts w:asciiTheme="minorHAnsi" w:eastAsiaTheme="minorHAnsi" w:hAnsiTheme="minorHAnsi" w:cstheme="minorBidi"/>
          <w:snapToGrid/>
          <w:sz w:val="24"/>
          <w:szCs w:val="22"/>
        </w:rPr>
        <w:t>,</w:t>
      </w:r>
      <w:r w:rsidRPr="008D6802">
        <w:rPr>
          <w:rFonts w:asciiTheme="minorHAnsi" w:eastAsiaTheme="minorHAnsi" w:hAnsiTheme="minorHAnsi" w:cstheme="minorBidi"/>
          <w:snapToGrid/>
          <w:sz w:val="24"/>
          <w:szCs w:val="22"/>
        </w:rPr>
        <w:t xml:space="preserve"> the PBAC noted the concerns raised </w:t>
      </w:r>
      <w:r w:rsidR="00782A97" w:rsidRPr="008D6802">
        <w:rPr>
          <w:rFonts w:asciiTheme="minorHAnsi" w:eastAsiaTheme="minorHAnsi" w:hAnsiTheme="minorHAnsi" w:cstheme="minorBidi"/>
          <w:snapToGrid/>
          <w:sz w:val="24"/>
          <w:szCs w:val="22"/>
        </w:rPr>
        <w:t xml:space="preserve">by the ESC and DUSC, that “there is potential for patients who are ‘medically fit’ to be considered eligible for obinutuzumab because: the CIRS involves assessments that may be considered to be subjective; assessment of comorbidity other than CLL may be difficult to determine; and many patients would attain a score greater than six including some patients who </w:t>
      </w:r>
      <w:r w:rsidR="00DC7FF7" w:rsidRPr="008D6802">
        <w:rPr>
          <w:rFonts w:asciiTheme="minorHAnsi" w:eastAsiaTheme="minorHAnsi" w:hAnsiTheme="minorHAnsi" w:cstheme="minorBidi"/>
          <w:snapToGrid/>
          <w:sz w:val="24"/>
          <w:szCs w:val="22"/>
        </w:rPr>
        <w:t>may be eligible for fludarabine</w:t>
      </w:r>
      <w:r w:rsidR="00782A97" w:rsidRPr="008D6802">
        <w:rPr>
          <w:rFonts w:asciiTheme="minorHAnsi" w:eastAsiaTheme="minorHAnsi" w:hAnsiTheme="minorHAnsi" w:cstheme="minorBidi"/>
          <w:snapToGrid/>
          <w:sz w:val="24"/>
          <w:szCs w:val="22"/>
        </w:rPr>
        <w:t>”</w:t>
      </w:r>
      <w:r w:rsidR="009D7914" w:rsidRPr="008D6802">
        <w:rPr>
          <w:rFonts w:asciiTheme="minorHAnsi" w:eastAsiaTheme="minorHAnsi" w:hAnsiTheme="minorHAnsi" w:cstheme="minorBidi"/>
          <w:snapToGrid/>
          <w:sz w:val="24"/>
          <w:szCs w:val="22"/>
        </w:rPr>
        <w:t>.</w:t>
      </w:r>
      <w:r w:rsidR="00782A97" w:rsidRPr="008D6802">
        <w:rPr>
          <w:rFonts w:asciiTheme="minorHAnsi" w:eastAsiaTheme="minorHAnsi" w:hAnsiTheme="minorHAnsi" w:cstheme="minorBidi"/>
          <w:snapToGrid/>
          <w:sz w:val="24"/>
          <w:szCs w:val="22"/>
        </w:rPr>
        <w:t xml:space="preserve"> Further, the PBAC had noted that the interpretation of comorbidities in clinical practice may be broader than in the clinical trial, and also that there is potential for retreatment with obinutuzumab, and potential for use after relapse or progression on other treatments</w:t>
      </w:r>
      <w:r w:rsidR="00DC7FF7" w:rsidRPr="008D6802">
        <w:rPr>
          <w:rFonts w:asciiTheme="minorHAnsi" w:eastAsiaTheme="minorHAnsi" w:hAnsiTheme="minorHAnsi" w:cstheme="minorBidi"/>
          <w:snapToGrid/>
          <w:sz w:val="24"/>
          <w:szCs w:val="22"/>
        </w:rPr>
        <w:t xml:space="preserve"> (</w:t>
      </w:r>
      <w:r w:rsidR="008B570B" w:rsidRPr="008D6802">
        <w:rPr>
          <w:rFonts w:asciiTheme="minorHAnsi" w:eastAsiaTheme="minorHAnsi" w:hAnsiTheme="minorHAnsi" w:cstheme="minorBidi"/>
          <w:snapToGrid/>
          <w:sz w:val="24"/>
          <w:szCs w:val="22"/>
        </w:rPr>
        <w:t xml:space="preserve">paragraph 2.4, </w:t>
      </w:r>
      <w:r w:rsidR="00DC7FF7" w:rsidRPr="008D6802">
        <w:rPr>
          <w:rFonts w:asciiTheme="minorHAnsi" w:eastAsiaTheme="minorHAnsi" w:hAnsiTheme="minorHAnsi" w:cstheme="minorBidi"/>
          <w:snapToGrid/>
          <w:sz w:val="24"/>
          <w:szCs w:val="22"/>
        </w:rPr>
        <w:t xml:space="preserve">obinutuzumab </w:t>
      </w:r>
      <w:r w:rsidR="009D7914" w:rsidRPr="008D6802">
        <w:rPr>
          <w:rFonts w:asciiTheme="minorHAnsi" w:eastAsiaTheme="minorHAnsi" w:hAnsiTheme="minorHAnsi" w:cstheme="minorBidi"/>
          <w:snapToGrid/>
          <w:sz w:val="24"/>
          <w:szCs w:val="22"/>
        </w:rPr>
        <w:t>PSD</w:t>
      </w:r>
      <w:r w:rsidR="00DC7FF7" w:rsidRPr="008D6802">
        <w:rPr>
          <w:rFonts w:asciiTheme="minorHAnsi" w:eastAsiaTheme="minorHAnsi" w:hAnsiTheme="minorHAnsi" w:cstheme="minorBidi"/>
          <w:snapToGrid/>
          <w:sz w:val="24"/>
          <w:szCs w:val="22"/>
        </w:rPr>
        <w:t>, March 2015).</w:t>
      </w:r>
    </w:p>
    <w:p w:rsidR="008B570B" w:rsidRPr="008D6802" w:rsidRDefault="008B570B" w:rsidP="00EA79D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The PBAC considered that it </w:t>
      </w:r>
      <w:r w:rsidR="00F00C55" w:rsidRPr="008D6802">
        <w:rPr>
          <w:rFonts w:asciiTheme="minorHAnsi" w:eastAsiaTheme="minorHAnsi" w:hAnsiTheme="minorHAnsi" w:cstheme="minorBidi"/>
          <w:snapToGrid/>
          <w:sz w:val="24"/>
          <w:szCs w:val="22"/>
        </w:rPr>
        <w:t>wa</w:t>
      </w:r>
      <w:r w:rsidRPr="008D6802">
        <w:rPr>
          <w:rFonts w:asciiTheme="minorHAnsi" w:eastAsiaTheme="minorHAnsi" w:hAnsiTheme="minorHAnsi" w:cstheme="minorBidi"/>
          <w:snapToGrid/>
          <w:sz w:val="24"/>
          <w:szCs w:val="22"/>
        </w:rPr>
        <w:t>s difficult to reliably estim</w:t>
      </w:r>
      <w:r w:rsidR="00F00C55" w:rsidRPr="008D6802">
        <w:rPr>
          <w:rFonts w:asciiTheme="minorHAnsi" w:eastAsiaTheme="minorHAnsi" w:hAnsiTheme="minorHAnsi" w:cstheme="minorBidi"/>
          <w:snapToGrid/>
          <w:sz w:val="24"/>
          <w:szCs w:val="22"/>
        </w:rPr>
        <w:t>ate the number of patients who we</w:t>
      </w:r>
      <w:r w:rsidRPr="008D6802">
        <w:rPr>
          <w:rFonts w:asciiTheme="minorHAnsi" w:eastAsiaTheme="minorHAnsi" w:hAnsiTheme="minorHAnsi" w:cstheme="minorBidi"/>
          <w:snapToGrid/>
          <w:sz w:val="24"/>
          <w:szCs w:val="22"/>
        </w:rPr>
        <w:t xml:space="preserve">re likely to use obinutuzumab. The PBAC recalled that in July 2014 it had </w:t>
      </w:r>
      <w:r w:rsidRPr="008D6802">
        <w:rPr>
          <w:rFonts w:asciiTheme="minorHAnsi" w:eastAsiaTheme="minorHAnsi" w:hAnsiTheme="minorHAnsi" w:cstheme="minorBidi"/>
          <w:snapToGrid/>
          <w:sz w:val="24"/>
          <w:szCs w:val="22"/>
        </w:rPr>
        <w:lastRenderedPageBreak/>
        <w:t>noted the high risk of usage outside the intended restriction, and that the financial estimates relied on clinical opinion and market research. The PBAC considered that the use of a written authority for the first two years of listing would enable a more accurate estimation of the patient population</w:t>
      </w:r>
      <w:r w:rsidR="00F64FE4" w:rsidRPr="008D6802">
        <w:rPr>
          <w:rFonts w:asciiTheme="minorHAnsi" w:eastAsiaTheme="minorHAnsi" w:hAnsiTheme="minorHAnsi" w:cstheme="minorBidi"/>
          <w:snapToGrid/>
          <w:sz w:val="24"/>
          <w:szCs w:val="22"/>
        </w:rPr>
        <w:t xml:space="preserve"> (paragraph 7.12, obinutuzumab </w:t>
      </w:r>
      <w:r w:rsidR="009D7914" w:rsidRPr="008D6802">
        <w:rPr>
          <w:rFonts w:asciiTheme="minorHAnsi" w:eastAsiaTheme="minorHAnsi" w:hAnsiTheme="minorHAnsi" w:cstheme="minorBidi"/>
          <w:snapToGrid/>
          <w:sz w:val="24"/>
          <w:szCs w:val="22"/>
        </w:rPr>
        <w:t>PSD</w:t>
      </w:r>
      <w:r w:rsidR="00F64FE4" w:rsidRPr="008D6802">
        <w:rPr>
          <w:rFonts w:asciiTheme="minorHAnsi" w:eastAsiaTheme="minorHAnsi" w:hAnsiTheme="minorHAnsi" w:cstheme="minorBidi"/>
          <w:snapToGrid/>
          <w:sz w:val="24"/>
          <w:szCs w:val="22"/>
        </w:rPr>
        <w:t>, March 2015)</w:t>
      </w:r>
      <w:r w:rsidRPr="008D6802">
        <w:rPr>
          <w:rFonts w:asciiTheme="minorHAnsi" w:eastAsiaTheme="minorHAnsi" w:hAnsiTheme="minorHAnsi" w:cstheme="minorBidi"/>
          <w:snapToGrid/>
          <w:sz w:val="24"/>
          <w:szCs w:val="22"/>
        </w:rPr>
        <w:t>.</w:t>
      </w:r>
    </w:p>
    <w:p w:rsidR="0009123F" w:rsidRPr="008D6802" w:rsidRDefault="00EF140D" w:rsidP="00EF140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PBAC advised that the restriction level could be reviewed after the initial two years of listing, with a view to changing it to a streamlined authority listing if appropriate</w:t>
      </w:r>
      <w:r w:rsidR="00F64FE4" w:rsidRPr="008D6802">
        <w:rPr>
          <w:rFonts w:asciiTheme="minorHAnsi" w:eastAsiaTheme="minorHAnsi" w:hAnsiTheme="minorHAnsi" w:cstheme="minorBidi"/>
          <w:snapToGrid/>
          <w:sz w:val="24"/>
          <w:szCs w:val="22"/>
        </w:rPr>
        <w:t xml:space="preserve"> (paragraph 7.6, obinutuzumab </w:t>
      </w:r>
      <w:r w:rsidR="009D7914" w:rsidRPr="008D6802">
        <w:rPr>
          <w:rFonts w:asciiTheme="minorHAnsi" w:eastAsiaTheme="minorHAnsi" w:hAnsiTheme="minorHAnsi" w:cstheme="minorBidi"/>
          <w:snapToGrid/>
          <w:sz w:val="24"/>
          <w:szCs w:val="22"/>
        </w:rPr>
        <w:t>PSD</w:t>
      </w:r>
      <w:r w:rsidR="00F64FE4" w:rsidRPr="008D6802">
        <w:rPr>
          <w:rFonts w:asciiTheme="minorHAnsi" w:eastAsiaTheme="minorHAnsi" w:hAnsiTheme="minorHAnsi" w:cstheme="minorBidi"/>
          <w:snapToGrid/>
          <w:sz w:val="24"/>
          <w:szCs w:val="22"/>
        </w:rPr>
        <w:t>, March 2015)</w:t>
      </w:r>
      <w:r w:rsidRPr="008D6802">
        <w:rPr>
          <w:rFonts w:asciiTheme="minorHAnsi" w:eastAsiaTheme="minorHAnsi" w:hAnsiTheme="minorHAnsi" w:cstheme="minorBidi"/>
          <w:snapToGrid/>
          <w:sz w:val="24"/>
          <w:szCs w:val="22"/>
        </w:rPr>
        <w:t xml:space="preserve">. </w:t>
      </w:r>
    </w:p>
    <w:p w:rsidR="008A1956" w:rsidRPr="008D6802" w:rsidRDefault="0009123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Obinutuzumab was listed on the PBS on 1 August 2015.</w:t>
      </w:r>
    </w:p>
    <w:p w:rsidR="009D7914" w:rsidRPr="008D6802" w:rsidRDefault="009D791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PBAC recommended the listing of idelalisib in combination with rituximab fo</w:t>
      </w:r>
      <w:r w:rsidR="002A370D" w:rsidRPr="008D6802">
        <w:rPr>
          <w:rFonts w:asciiTheme="minorHAnsi" w:eastAsiaTheme="minorHAnsi" w:hAnsiTheme="minorHAnsi" w:cstheme="minorBidi"/>
          <w:snapToGrid/>
          <w:sz w:val="24"/>
          <w:szCs w:val="22"/>
        </w:rPr>
        <w:t xml:space="preserve">r use in patients with relapsed or </w:t>
      </w:r>
      <w:r w:rsidRPr="008D6802">
        <w:rPr>
          <w:rFonts w:asciiTheme="minorHAnsi" w:eastAsiaTheme="minorHAnsi" w:hAnsiTheme="minorHAnsi" w:cstheme="minorBidi"/>
          <w:snapToGrid/>
          <w:sz w:val="24"/>
          <w:szCs w:val="22"/>
        </w:rPr>
        <w:t xml:space="preserve">refractory </w:t>
      </w:r>
      <w:r w:rsidR="003B6D55" w:rsidRPr="008D6802">
        <w:rPr>
          <w:rFonts w:asciiTheme="minorHAnsi" w:eastAsiaTheme="minorHAnsi" w:hAnsiTheme="minorHAnsi" w:cstheme="minorBidi"/>
          <w:snapToGrid/>
          <w:sz w:val="24"/>
          <w:szCs w:val="22"/>
        </w:rPr>
        <w:t>CLL</w:t>
      </w:r>
      <w:r w:rsidRPr="008D6802">
        <w:rPr>
          <w:rFonts w:asciiTheme="minorHAnsi" w:eastAsiaTheme="minorHAnsi" w:hAnsiTheme="minorHAnsi" w:cstheme="minorBidi"/>
          <w:snapToGrid/>
          <w:sz w:val="24"/>
          <w:szCs w:val="22"/>
        </w:rPr>
        <w:t xml:space="preserve"> or small lymphocytic lymphoma at it</w:t>
      </w:r>
      <w:r w:rsidR="002A370D" w:rsidRPr="008D6802">
        <w:rPr>
          <w:rFonts w:asciiTheme="minorHAnsi" w:eastAsiaTheme="minorHAnsi" w:hAnsiTheme="minorHAnsi" w:cstheme="minorBidi"/>
          <w:snapToGrid/>
          <w:sz w:val="24"/>
          <w:szCs w:val="22"/>
        </w:rPr>
        <w:t>s July 2016 meeting (paragraph 5</w:t>
      </w:r>
      <w:r w:rsidRPr="008D6802">
        <w:rPr>
          <w:rFonts w:asciiTheme="minorHAnsi" w:eastAsiaTheme="minorHAnsi" w:hAnsiTheme="minorHAnsi" w:cstheme="minorBidi"/>
          <w:snapToGrid/>
          <w:sz w:val="24"/>
          <w:szCs w:val="22"/>
        </w:rPr>
        <w:t>.1, idelalisib PSD, July 2016). The PBAC recommended the listing of ibrutinib in r</w:t>
      </w:r>
      <w:r w:rsidR="008354D1" w:rsidRPr="008D6802">
        <w:rPr>
          <w:rFonts w:asciiTheme="minorHAnsi" w:eastAsiaTheme="minorHAnsi" w:hAnsiTheme="minorHAnsi" w:cstheme="minorBidi"/>
          <w:snapToGrid/>
          <w:sz w:val="24"/>
          <w:szCs w:val="22"/>
        </w:rPr>
        <w:t>elapsed or refractory CLL at it</w:t>
      </w:r>
      <w:r w:rsidRPr="008D6802">
        <w:rPr>
          <w:rFonts w:asciiTheme="minorHAnsi" w:eastAsiaTheme="minorHAnsi" w:hAnsiTheme="minorHAnsi" w:cstheme="minorBidi"/>
          <w:snapToGrid/>
          <w:sz w:val="24"/>
          <w:szCs w:val="22"/>
        </w:rPr>
        <w:t>s November 2016 meeting (Addendum to November 2016 PBAC minutes, ibrutinib PSD, November 2016).</w:t>
      </w:r>
    </w:p>
    <w:p w:rsidR="00F41D26" w:rsidRPr="000A6828" w:rsidRDefault="00F41D26" w:rsidP="000A6828">
      <w:pPr>
        <w:ind w:firstLine="709"/>
        <w:rPr>
          <w:rFonts w:asciiTheme="minorHAnsi" w:eastAsiaTheme="minorHAnsi" w:hAnsiTheme="minorHAnsi" w:cstheme="minorHAnsi"/>
          <w:b/>
          <w:i/>
        </w:rPr>
      </w:pPr>
      <w:r w:rsidRPr="000A6828">
        <w:rPr>
          <w:rFonts w:asciiTheme="minorHAnsi" w:eastAsiaTheme="minorHAnsi" w:hAnsiTheme="minorHAnsi" w:cstheme="minorHAnsi"/>
          <w:i/>
        </w:rPr>
        <w:t>For more detail on PBAC’s view, see section 5 PBAC outcome.</w:t>
      </w:r>
    </w:p>
    <w:p w:rsidR="000B558D" w:rsidRPr="008D6802"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8D6802">
        <w:rPr>
          <w:rFonts w:asciiTheme="minorHAnsi" w:hAnsiTheme="minorHAnsi"/>
          <w:sz w:val="32"/>
          <w:szCs w:val="32"/>
        </w:rPr>
        <w:t>C</w:t>
      </w:r>
      <w:r w:rsidR="00D84934" w:rsidRPr="008D6802">
        <w:rPr>
          <w:rFonts w:asciiTheme="minorHAnsi" w:hAnsiTheme="minorHAnsi"/>
          <w:sz w:val="32"/>
          <w:szCs w:val="32"/>
        </w:rPr>
        <w:t>onsideration of the evidence</w:t>
      </w:r>
    </w:p>
    <w:p w:rsidR="00F41D26" w:rsidRPr="000A6828" w:rsidRDefault="00F41D26" w:rsidP="000A6828">
      <w:pPr>
        <w:pStyle w:val="Heading2"/>
        <w:keepLines/>
        <w:spacing w:before="240" w:after="120"/>
        <w:rPr>
          <w:rFonts w:asciiTheme="minorHAnsi" w:eastAsiaTheme="majorEastAsia" w:hAnsiTheme="minorHAnsi" w:cstheme="majorBidi"/>
          <w:sz w:val="28"/>
          <w:szCs w:val="28"/>
          <w:lang w:eastAsia="en-US"/>
        </w:rPr>
      </w:pPr>
      <w:r w:rsidRPr="000A6828">
        <w:rPr>
          <w:rFonts w:asciiTheme="minorHAnsi" w:eastAsiaTheme="majorEastAsia" w:hAnsiTheme="minorHAnsi" w:cstheme="majorBidi"/>
          <w:sz w:val="28"/>
          <w:szCs w:val="28"/>
          <w:lang w:eastAsia="en-US"/>
        </w:rPr>
        <w:t>Sponsor hearing</w:t>
      </w:r>
    </w:p>
    <w:p w:rsidR="00F41D26" w:rsidRPr="008D6802" w:rsidRDefault="00F41D26" w:rsidP="00F41D26">
      <w:pPr>
        <w:widowControl w:val="0"/>
        <w:numPr>
          <w:ilvl w:val="1"/>
          <w:numId w:val="5"/>
        </w:numPr>
        <w:spacing w:after="120"/>
        <w:jc w:val="both"/>
        <w:rPr>
          <w:rFonts w:asciiTheme="minorHAnsi" w:hAnsiTheme="minorHAnsi" w:cs="Arial"/>
          <w:bCs/>
          <w:snapToGrid w:val="0"/>
        </w:rPr>
      </w:pPr>
      <w:r w:rsidRPr="008D6802">
        <w:rPr>
          <w:rFonts w:asciiTheme="minorHAnsi" w:hAnsiTheme="minorHAnsi" w:cs="Arial"/>
          <w:bCs/>
          <w:snapToGrid w:val="0"/>
        </w:rPr>
        <w:t>There was no hearing for this item as it was a minor submission.</w:t>
      </w:r>
    </w:p>
    <w:p w:rsidR="00F41D26" w:rsidRPr="000A6828" w:rsidRDefault="00F41D26" w:rsidP="000A6828">
      <w:pPr>
        <w:pStyle w:val="Heading2"/>
        <w:keepLines/>
        <w:spacing w:before="240" w:after="120"/>
        <w:rPr>
          <w:rFonts w:asciiTheme="minorHAnsi" w:eastAsiaTheme="majorEastAsia" w:hAnsiTheme="minorHAnsi" w:cstheme="majorBidi"/>
          <w:sz w:val="28"/>
          <w:szCs w:val="28"/>
          <w:lang w:eastAsia="en-US"/>
        </w:rPr>
      </w:pPr>
      <w:r w:rsidRPr="000A6828">
        <w:rPr>
          <w:rFonts w:asciiTheme="minorHAnsi" w:eastAsiaTheme="majorEastAsia" w:hAnsiTheme="minorHAnsi" w:cstheme="majorBidi"/>
          <w:sz w:val="28"/>
          <w:szCs w:val="28"/>
          <w:lang w:eastAsia="en-US"/>
        </w:rPr>
        <w:t>Consumer comments</w:t>
      </w:r>
    </w:p>
    <w:p w:rsidR="00F41D26" w:rsidRPr="008D6802" w:rsidRDefault="009A0AC9" w:rsidP="00F41D26">
      <w:pPr>
        <w:widowControl w:val="0"/>
        <w:numPr>
          <w:ilvl w:val="1"/>
          <w:numId w:val="5"/>
        </w:numPr>
        <w:spacing w:after="120"/>
        <w:jc w:val="both"/>
        <w:rPr>
          <w:rFonts w:asciiTheme="minorHAnsi" w:hAnsiTheme="minorHAnsi" w:cs="Arial"/>
          <w:bCs/>
          <w:snapToGrid w:val="0"/>
        </w:rPr>
      </w:pPr>
      <w:r w:rsidRPr="008D6802">
        <w:rPr>
          <w:rFonts w:asciiTheme="minorHAnsi" w:hAnsiTheme="minorHAnsi" w:cs="Arial"/>
          <w:bCs/>
          <w:snapToGrid w:val="0"/>
        </w:rPr>
        <w:t>The PBAC noted that no consumer comments were received for this submission.</w:t>
      </w:r>
    </w:p>
    <w:p w:rsidR="005A3173" w:rsidRPr="008D6802" w:rsidRDefault="005A3173" w:rsidP="008306F3">
      <w:pPr>
        <w:pStyle w:val="Heading2"/>
        <w:keepLines/>
        <w:spacing w:before="240" w:after="120"/>
        <w:rPr>
          <w:rFonts w:asciiTheme="minorHAnsi" w:eastAsiaTheme="majorEastAsia" w:hAnsiTheme="minorHAnsi" w:cstheme="majorBidi"/>
          <w:sz w:val="28"/>
          <w:szCs w:val="28"/>
          <w:lang w:eastAsia="en-US"/>
        </w:rPr>
      </w:pPr>
      <w:r w:rsidRPr="008D6802">
        <w:rPr>
          <w:rFonts w:asciiTheme="minorHAnsi" w:eastAsiaTheme="majorEastAsia" w:hAnsiTheme="minorHAnsi" w:cstheme="majorBidi"/>
          <w:sz w:val="28"/>
          <w:szCs w:val="28"/>
          <w:lang w:eastAsia="en-US"/>
        </w:rPr>
        <w:t>Estimated PBS usage &amp; financial implications</w:t>
      </w:r>
    </w:p>
    <w:p w:rsidR="00BB7EC3" w:rsidRPr="008D6802" w:rsidRDefault="00EA79D2" w:rsidP="00966A1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In support of its request for a</w:t>
      </w:r>
      <w:r w:rsidR="00993A5B" w:rsidRPr="008D6802">
        <w:rPr>
          <w:rFonts w:asciiTheme="minorHAnsi" w:eastAsiaTheme="minorHAnsi" w:hAnsiTheme="minorHAnsi" w:cstheme="minorBidi"/>
          <w:snapToGrid/>
          <w:sz w:val="24"/>
          <w:szCs w:val="22"/>
        </w:rPr>
        <w:t>n Authority Required (S</w:t>
      </w:r>
      <w:r w:rsidRPr="008D6802">
        <w:rPr>
          <w:rFonts w:asciiTheme="minorHAnsi" w:eastAsiaTheme="minorHAnsi" w:hAnsiTheme="minorHAnsi" w:cstheme="minorBidi"/>
          <w:snapToGrid/>
          <w:sz w:val="24"/>
          <w:szCs w:val="22"/>
        </w:rPr>
        <w:t>treamlined</w:t>
      </w:r>
      <w:r w:rsidR="00993A5B" w:rsidRPr="008D6802">
        <w:rPr>
          <w:rFonts w:asciiTheme="minorHAnsi" w:eastAsiaTheme="minorHAnsi" w:hAnsiTheme="minorHAnsi" w:cstheme="minorBidi"/>
          <w:snapToGrid/>
          <w:sz w:val="24"/>
          <w:szCs w:val="22"/>
        </w:rPr>
        <w:t>)</w:t>
      </w:r>
      <w:r w:rsidRPr="008D6802">
        <w:rPr>
          <w:rFonts w:asciiTheme="minorHAnsi" w:eastAsiaTheme="minorHAnsi" w:hAnsiTheme="minorHAnsi" w:cstheme="minorBidi"/>
          <w:snapToGrid/>
          <w:sz w:val="24"/>
          <w:szCs w:val="22"/>
        </w:rPr>
        <w:t xml:space="preserve"> listing, the </w:t>
      </w:r>
      <w:r w:rsidR="009D7914" w:rsidRPr="008D6802">
        <w:rPr>
          <w:rFonts w:asciiTheme="minorHAnsi" w:eastAsiaTheme="minorHAnsi" w:hAnsiTheme="minorHAnsi" w:cstheme="minorBidi"/>
          <w:snapToGrid/>
          <w:sz w:val="24"/>
          <w:szCs w:val="22"/>
        </w:rPr>
        <w:t>minor submission</w:t>
      </w:r>
      <w:r w:rsidRPr="008D6802">
        <w:rPr>
          <w:rFonts w:asciiTheme="minorHAnsi" w:eastAsiaTheme="minorHAnsi" w:hAnsiTheme="minorHAnsi" w:cstheme="minorBidi"/>
          <w:snapToGrid/>
          <w:sz w:val="24"/>
          <w:szCs w:val="22"/>
        </w:rPr>
        <w:t xml:space="preserve"> presented a comparison of pr</w:t>
      </w:r>
      <w:r w:rsidR="00993A5B" w:rsidRPr="008D6802">
        <w:rPr>
          <w:rFonts w:asciiTheme="minorHAnsi" w:eastAsiaTheme="minorHAnsi" w:hAnsiTheme="minorHAnsi" w:cstheme="minorBidi"/>
          <w:snapToGrid/>
          <w:sz w:val="24"/>
          <w:szCs w:val="22"/>
        </w:rPr>
        <w:t>edicted</w:t>
      </w:r>
      <w:r w:rsidRPr="008D6802">
        <w:rPr>
          <w:rFonts w:asciiTheme="minorHAnsi" w:eastAsiaTheme="minorHAnsi" w:hAnsiTheme="minorHAnsi" w:cstheme="minorBidi"/>
          <w:snapToGrid/>
          <w:sz w:val="24"/>
          <w:szCs w:val="22"/>
        </w:rPr>
        <w:t xml:space="preserve"> versus actual</w:t>
      </w:r>
      <w:r w:rsidR="00713F92" w:rsidRPr="008D6802">
        <w:rPr>
          <w:rFonts w:asciiTheme="minorHAnsi" w:eastAsiaTheme="minorHAnsi" w:hAnsiTheme="minorHAnsi" w:cstheme="minorBidi"/>
          <w:snapToGrid/>
          <w:sz w:val="24"/>
          <w:szCs w:val="22"/>
        </w:rPr>
        <w:t xml:space="preserve"> </w:t>
      </w:r>
      <w:r w:rsidRPr="008D6802">
        <w:rPr>
          <w:rFonts w:asciiTheme="minorHAnsi" w:eastAsiaTheme="minorHAnsi" w:hAnsiTheme="minorHAnsi" w:cstheme="minorBidi"/>
          <w:snapToGrid/>
          <w:sz w:val="24"/>
          <w:szCs w:val="22"/>
        </w:rPr>
        <w:t xml:space="preserve">utilisation </w:t>
      </w:r>
      <w:r w:rsidR="00993A5B" w:rsidRPr="008D6802">
        <w:rPr>
          <w:rFonts w:asciiTheme="minorHAnsi" w:eastAsiaTheme="minorHAnsi" w:hAnsiTheme="minorHAnsi" w:cstheme="minorBidi"/>
          <w:snapToGrid/>
          <w:sz w:val="24"/>
          <w:szCs w:val="22"/>
        </w:rPr>
        <w:t>for</w:t>
      </w:r>
      <w:r w:rsidRPr="008D6802">
        <w:rPr>
          <w:rFonts w:asciiTheme="minorHAnsi" w:eastAsiaTheme="minorHAnsi" w:hAnsiTheme="minorHAnsi" w:cstheme="minorBidi"/>
          <w:snapToGrid/>
          <w:sz w:val="24"/>
          <w:szCs w:val="22"/>
        </w:rPr>
        <w:t xml:space="preserve"> obinutuzumab</w:t>
      </w:r>
      <w:r w:rsidR="00993A5B" w:rsidRPr="008D6802">
        <w:rPr>
          <w:rFonts w:asciiTheme="minorHAnsi" w:eastAsiaTheme="minorHAnsi" w:hAnsiTheme="minorHAnsi" w:cstheme="minorBidi"/>
          <w:snapToGrid/>
          <w:sz w:val="24"/>
          <w:szCs w:val="22"/>
        </w:rPr>
        <w:t xml:space="preserve"> (Table 1).</w:t>
      </w:r>
      <w:r w:rsidR="00F679DB" w:rsidRPr="008D6802">
        <w:rPr>
          <w:rFonts w:asciiTheme="minorHAnsi" w:eastAsiaTheme="minorHAnsi" w:hAnsiTheme="minorHAnsi" w:cstheme="minorBidi"/>
          <w:snapToGrid/>
          <w:sz w:val="24"/>
          <w:szCs w:val="22"/>
        </w:rPr>
        <w:t xml:space="preserve"> </w:t>
      </w:r>
      <w:r w:rsidR="00993A5B" w:rsidRPr="008D6802">
        <w:rPr>
          <w:rFonts w:asciiTheme="minorHAnsi" w:eastAsiaTheme="minorHAnsi" w:hAnsiTheme="minorHAnsi" w:cstheme="minorBidi"/>
          <w:snapToGrid/>
          <w:sz w:val="24"/>
          <w:szCs w:val="22"/>
        </w:rPr>
        <w:t xml:space="preserve">The minor submission stated that the analysis shows that utilisation of obinutuzumab has been significantly below that estimated </w:t>
      </w:r>
      <w:r w:rsidR="00F679DB" w:rsidRPr="008D6802">
        <w:rPr>
          <w:rFonts w:asciiTheme="minorHAnsi" w:eastAsiaTheme="minorHAnsi" w:hAnsiTheme="minorHAnsi" w:cstheme="minorBidi"/>
          <w:snapToGrid/>
          <w:sz w:val="24"/>
          <w:szCs w:val="22"/>
        </w:rPr>
        <w:t xml:space="preserve">in the submission considered </w:t>
      </w:r>
      <w:r w:rsidR="00993A5B" w:rsidRPr="008D6802">
        <w:rPr>
          <w:rFonts w:asciiTheme="minorHAnsi" w:eastAsiaTheme="minorHAnsi" w:hAnsiTheme="minorHAnsi" w:cstheme="minorBidi"/>
          <w:snapToGrid/>
          <w:sz w:val="24"/>
          <w:szCs w:val="22"/>
        </w:rPr>
        <w:t xml:space="preserve">at </w:t>
      </w:r>
      <w:r w:rsidR="00F679DB" w:rsidRPr="008D6802">
        <w:rPr>
          <w:rFonts w:asciiTheme="minorHAnsi" w:eastAsiaTheme="minorHAnsi" w:hAnsiTheme="minorHAnsi" w:cstheme="minorBidi"/>
          <w:snapToGrid/>
          <w:sz w:val="24"/>
          <w:szCs w:val="22"/>
        </w:rPr>
        <w:t>the</w:t>
      </w:r>
      <w:r w:rsidR="00F00C55" w:rsidRPr="008D6802">
        <w:rPr>
          <w:rFonts w:asciiTheme="minorHAnsi" w:eastAsiaTheme="minorHAnsi" w:hAnsiTheme="minorHAnsi" w:cstheme="minorBidi"/>
          <w:snapToGrid/>
          <w:sz w:val="24"/>
          <w:szCs w:val="22"/>
        </w:rPr>
        <w:t xml:space="preserve"> </w:t>
      </w:r>
      <w:r w:rsidR="00993A5B" w:rsidRPr="008D6802">
        <w:rPr>
          <w:rFonts w:asciiTheme="minorHAnsi" w:eastAsiaTheme="minorHAnsi" w:hAnsiTheme="minorHAnsi" w:cstheme="minorBidi"/>
          <w:snapToGrid/>
          <w:sz w:val="24"/>
          <w:szCs w:val="22"/>
        </w:rPr>
        <w:t xml:space="preserve">March 2015 </w:t>
      </w:r>
      <w:r w:rsidR="00F00C55" w:rsidRPr="008D6802">
        <w:rPr>
          <w:rFonts w:asciiTheme="minorHAnsi" w:eastAsiaTheme="minorHAnsi" w:hAnsiTheme="minorHAnsi" w:cstheme="minorBidi"/>
          <w:snapToGrid/>
          <w:sz w:val="24"/>
          <w:szCs w:val="22"/>
        </w:rPr>
        <w:t>PBAC</w:t>
      </w:r>
      <w:r w:rsidR="00993A5B" w:rsidRPr="008D6802">
        <w:rPr>
          <w:rFonts w:asciiTheme="minorHAnsi" w:eastAsiaTheme="minorHAnsi" w:hAnsiTheme="minorHAnsi" w:cstheme="minorBidi"/>
          <w:snapToGrid/>
          <w:sz w:val="24"/>
          <w:szCs w:val="22"/>
        </w:rPr>
        <w:t xml:space="preserve"> </w:t>
      </w:r>
      <w:r w:rsidR="00F679DB" w:rsidRPr="008D6802">
        <w:rPr>
          <w:rFonts w:asciiTheme="minorHAnsi" w:eastAsiaTheme="minorHAnsi" w:hAnsiTheme="minorHAnsi" w:cstheme="minorBidi"/>
          <w:snapToGrid/>
          <w:sz w:val="24"/>
          <w:szCs w:val="22"/>
        </w:rPr>
        <w:t>meeting</w:t>
      </w:r>
      <w:r w:rsidR="00993A5B" w:rsidRPr="008D6802">
        <w:rPr>
          <w:rFonts w:asciiTheme="minorHAnsi" w:eastAsiaTheme="minorHAnsi" w:hAnsiTheme="minorHAnsi" w:cstheme="minorBidi"/>
          <w:snapToGrid/>
          <w:sz w:val="24"/>
          <w:szCs w:val="22"/>
        </w:rPr>
        <w:t>.</w:t>
      </w:r>
    </w:p>
    <w:p w:rsidR="00EA79D2" w:rsidRPr="008D6802" w:rsidRDefault="00EA79D2" w:rsidP="0069105B">
      <w:pPr>
        <w:keepNext/>
        <w:rPr>
          <w:rFonts w:ascii="Arial Narrow" w:eastAsiaTheme="minorHAnsi" w:hAnsi="Arial Narrow"/>
          <w:b/>
          <w:sz w:val="20"/>
          <w:szCs w:val="20"/>
        </w:rPr>
      </w:pPr>
      <w:r w:rsidRPr="008D6802">
        <w:rPr>
          <w:rFonts w:ascii="Arial Narrow" w:eastAsiaTheme="minorHAnsi" w:hAnsi="Arial Narrow"/>
          <w:b/>
          <w:sz w:val="20"/>
          <w:szCs w:val="20"/>
        </w:rPr>
        <w:t>Table 1. Comparison of projected versus actual PBS/RPBS utilisation for obinutuzumab</w:t>
      </w:r>
    </w:p>
    <w:tbl>
      <w:tblPr>
        <w:tblStyle w:val="TableGrid"/>
        <w:tblW w:w="5000" w:type="pct"/>
        <w:tblLook w:val="04A0" w:firstRow="1" w:lastRow="0" w:firstColumn="1" w:lastColumn="0" w:noHBand="0" w:noVBand="1"/>
        <w:tblCaption w:val="Table 1. Comparison of projected versus actual PBS/RPBS utilisation for obinutuzumab"/>
      </w:tblPr>
      <w:tblGrid>
        <w:gridCol w:w="2439"/>
        <w:gridCol w:w="1381"/>
        <w:gridCol w:w="1347"/>
        <w:gridCol w:w="1381"/>
        <w:gridCol w:w="1347"/>
        <w:gridCol w:w="1347"/>
      </w:tblGrid>
      <w:tr w:rsidR="00D23334" w:rsidRPr="008D6802" w:rsidTr="000C7286">
        <w:trPr>
          <w:cantSplit/>
          <w:tblHeader/>
        </w:trPr>
        <w:tc>
          <w:tcPr>
            <w:tcW w:w="1319" w:type="pct"/>
            <w:tcBorders>
              <w:bottom w:val="single" w:sz="4" w:space="0" w:color="auto"/>
            </w:tcBorders>
          </w:tcPr>
          <w:p w:rsidR="00EA79D2" w:rsidRPr="008D6802" w:rsidRDefault="00EA79D2"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Obinutuzumab</w:t>
            </w:r>
          </w:p>
          <w:p w:rsidR="00EA79D2" w:rsidRPr="008D6802" w:rsidRDefault="00EA79D2"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(PBS items 10407R and 10418H)</w:t>
            </w:r>
          </w:p>
        </w:tc>
        <w:tc>
          <w:tcPr>
            <w:tcW w:w="747" w:type="pct"/>
            <w:tcBorders>
              <w:bottom w:val="single" w:sz="4" w:space="0" w:color="auto"/>
            </w:tcBorders>
          </w:tcPr>
          <w:p w:rsidR="00EA79D2" w:rsidRPr="008D6802" w:rsidRDefault="00D23334" w:rsidP="0069105B">
            <w:pPr>
              <w:pStyle w:val="PBACHeading1"/>
              <w:keepNext/>
              <w:numPr>
                <w:ilvl w:val="0"/>
                <w:numId w:val="0"/>
              </w:numPr>
              <w:jc w:val="center"/>
              <w:rPr>
                <w:rFonts w:ascii="Arial Narrow" w:hAnsi="Arial Narrow"/>
                <w:sz w:val="20"/>
                <w:szCs w:val="20"/>
              </w:rPr>
            </w:pPr>
            <w:r w:rsidRPr="008D6802">
              <w:rPr>
                <w:rFonts w:ascii="Arial Narrow" w:hAnsi="Arial Narrow"/>
                <w:sz w:val="20"/>
                <w:szCs w:val="20"/>
              </w:rPr>
              <w:t>Year 1</w:t>
            </w:r>
          </w:p>
        </w:tc>
        <w:tc>
          <w:tcPr>
            <w:tcW w:w="729" w:type="pct"/>
            <w:tcBorders>
              <w:bottom w:val="single" w:sz="4" w:space="0" w:color="auto"/>
            </w:tcBorders>
          </w:tcPr>
          <w:p w:rsidR="00EA79D2" w:rsidRPr="008D6802" w:rsidRDefault="00D23334" w:rsidP="0069105B">
            <w:pPr>
              <w:pStyle w:val="PBACHeading1"/>
              <w:keepNext/>
              <w:numPr>
                <w:ilvl w:val="0"/>
                <w:numId w:val="0"/>
              </w:numPr>
              <w:jc w:val="center"/>
              <w:rPr>
                <w:rFonts w:ascii="Arial Narrow" w:hAnsi="Arial Narrow"/>
                <w:sz w:val="20"/>
                <w:szCs w:val="20"/>
              </w:rPr>
            </w:pPr>
            <w:r w:rsidRPr="008D6802">
              <w:rPr>
                <w:rFonts w:ascii="Arial Narrow" w:hAnsi="Arial Narrow"/>
                <w:sz w:val="20"/>
                <w:szCs w:val="20"/>
              </w:rPr>
              <w:t>Year 2</w:t>
            </w:r>
          </w:p>
        </w:tc>
        <w:tc>
          <w:tcPr>
            <w:tcW w:w="747" w:type="pct"/>
            <w:tcBorders>
              <w:bottom w:val="single" w:sz="4" w:space="0" w:color="auto"/>
            </w:tcBorders>
          </w:tcPr>
          <w:p w:rsidR="00EA79D2" w:rsidRPr="008D6802" w:rsidRDefault="00D23334" w:rsidP="0069105B">
            <w:pPr>
              <w:pStyle w:val="PBACHeading1"/>
              <w:keepNext/>
              <w:numPr>
                <w:ilvl w:val="0"/>
                <w:numId w:val="0"/>
              </w:numPr>
              <w:jc w:val="center"/>
              <w:rPr>
                <w:rFonts w:ascii="Arial Narrow" w:hAnsi="Arial Narrow"/>
                <w:sz w:val="20"/>
                <w:szCs w:val="20"/>
              </w:rPr>
            </w:pPr>
            <w:r w:rsidRPr="008D6802">
              <w:rPr>
                <w:rFonts w:ascii="Arial Narrow" w:hAnsi="Arial Narrow"/>
                <w:sz w:val="20"/>
                <w:szCs w:val="20"/>
              </w:rPr>
              <w:t>Year 3</w:t>
            </w:r>
          </w:p>
        </w:tc>
        <w:tc>
          <w:tcPr>
            <w:tcW w:w="729" w:type="pct"/>
            <w:tcBorders>
              <w:bottom w:val="single" w:sz="4" w:space="0" w:color="auto"/>
            </w:tcBorders>
          </w:tcPr>
          <w:p w:rsidR="00EA79D2" w:rsidRPr="008D6802" w:rsidRDefault="00D23334" w:rsidP="0069105B">
            <w:pPr>
              <w:pStyle w:val="PBACHeading1"/>
              <w:keepNext/>
              <w:numPr>
                <w:ilvl w:val="0"/>
                <w:numId w:val="0"/>
              </w:numPr>
              <w:jc w:val="center"/>
              <w:rPr>
                <w:rFonts w:ascii="Arial Narrow" w:hAnsi="Arial Narrow"/>
                <w:sz w:val="20"/>
                <w:szCs w:val="20"/>
              </w:rPr>
            </w:pPr>
            <w:r w:rsidRPr="008D6802">
              <w:rPr>
                <w:rFonts w:ascii="Arial Narrow" w:hAnsi="Arial Narrow"/>
                <w:sz w:val="20"/>
                <w:szCs w:val="20"/>
              </w:rPr>
              <w:t>Year 4</w:t>
            </w:r>
          </w:p>
        </w:tc>
        <w:tc>
          <w:tcPr>
            <w:tcW w:w="729" w:type="pct"/>
            <w:tcBorders>
              <w:bottom w:val="single" w:sz="4" w:space="0" w:color="auto"/>
            </w:tcBorders>
          </w:tcPr>
          <w:p w:rsidR="00EA79D2" w:rsidRPr="008D6802" w:rsidRDefault="00D23334" w:rsidP="0069105B">
            <w:pPr>
              <w:pStyle w:val="PBACHeading1"/>
              <w:keepNext/>
              <w:numPr>
                <w:ilvl w:val="0"/>
                <w:numId w:val="0"/>
              </w:numPr>
              <w:jc w:val="center"/>
              <w:rPr>
                <w:rFonts w:ascii="Arial Narrow" w:hAnsi="Arial Narrow"/>
                <w:sz w:val="20"/>
                <w:szCs w:val="20"/>
              </w:rPr>
            </w:pPr>
            <w:r w:rsidRPr="008D6802">
              <w:rPr>
                <w:rFonts w:ascii="Arial Narrow" w:hAnsi="Arial Narrow"/>
                <w:sz w:val="20"/>
                <w:szCs w:val="20"/>
              </w:rPr>
              <w:t>Year 5</w:t>
            </w:r>
          </w:p>
        </w:tc>
      </w:tr>
      <w:tr w:rsidR="00D23334" w:rsidRPr="008D6802" w:rsidTr="000C7286">
        <w:trPr>
          <w:cantSplit/>
        </w:trPr>
        <w:tc>
          <w:tcPr>
            <w:tcW w:w="5000" w:type="pct"/>
            <w:gridSpan w:val="6"/>
            <w:shd w:val="clear" w:color="auto" w:fill="auto"/>
          </w:tcPr>
          <w:p w:rsidR="00D23334" w:rsidRPr="008D6802" w:rsidRDefault="00D23334" w:rsidP="0069105B">
            <w:pPr>
              <w:keepNext/>
              <w:rPr>
                <w:rFonts w:ascii="Arial Narrow" w:hAnsi="Arial Narrow"/>
                <w:b/>
                <w:sz w:val="20"/>
                <w:szCs w:val="20"/>
              </w:rPr>
            </w:pPr>
            <w:r w:rsidRPr="008D6802">
              <w:rPr>
                <w:rFonts w:ascii="Arial Narrow" w:hAnsi="Arial Narrow"/>
                <w:b/>
                <w:sz w:val="20"/>
                <w:szCs w:val="20"/>
              </w:rPr>
              <w:t>PBS Services</w:t>
            </w:r>
          </w:p>
        </w:tc>
      </w:tr>
      <w:tr w:rsidR="00D23334" w:rsidRPr="008D6802" w:rsidTr="000C7286">
        <w:trPr>
          <w:cantSplit/>
        </w:trPr>
        <w:tc>
          <w:tcPr>
            <w:tcW w:w="1319" w:type="pct"/>
            <w:shd w:val="clear" w:color="auto" w:fill="auto"/>
          </w:tcPr>
          <w:p w:rsidR="00EA79D2" w:rsidRPr="008D6802" w:rsidRDefault="00D23334"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Projected script volume</w:t>
            </w:r>
          </w:p>
        </w:tc>
        <w:tc>
          <w:tcPr>
            <w:tcW w:w="747" w:type="pct"/>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29" w:type="pct"/>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47" w:type="pct"/>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29" w:type="pct"/>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29" w:type="pct"/>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D23334" w:rsidRPr="008D6802" w:rsidTr="000C7286">
        <w:trPr>
          <w:cantSplit/>
        </w:trPr>
        <w:tc>
          <w:tcPr>
            <w:tcW w:w="1319" w:type="pct"/>
            <w:tcBorders>
              <w:bottom w:val="single" w:sz="4" w:space="0" w:color="auto"/>
            </w:tcBorders>
            <w:shd w:val="clear" w:color="auto" w:fill="auto"/>
          </w:tcPr>
          <w:p w:rsidR="00EA79D2" w:rsidRPr="008D6802" w:rsidRDefault="00D23334"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Actual script volume</w:t>
            </w:r>
          </w:p>
        </w:tc>
        <w:tc>
          <w:tcPr>
            <w:tcW w:w="747" w:type="pct"/>
            <w:tcBorders>
              <w:bottom w:val="single" w:sz="4" w:space="0" w:color="auto"/>
            </w:tcBorders>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29" w:type="pct"/>
            <w:tcBorders>
              <w:bottom w:val="single" w:sz="4" w:space="0" w:color="auto"/>
            </w:tcBorders>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47" w:type="pct"/>
            <w:tcBorders>
              <w:bottom w:val="single" w:sz="4" w:space="0" w:color="auto"/>
            </w:tcBorders>
            <w:shd w:val="clear" w:color="auto" w:fill="auto"/>
          </w:tcPr>
          <w:p w:rsidR="00EA79D2" w:rsidRPr="00594542" w:rsidRDefault="00594542" w:rsidP="0069105B">
            <w:pPr>
              <w:pStyle w:val="PBACHeading1"/>
              <w:keepNext/>
              <w:numPr>
                <w:ilvl w:val="0"/>
                <w:numId w:val="0"/>
              </w:numPr>
              <w:jc w:val="cente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729" w:type="pct"/>
            <w:tcBorders>
              <w:bottom w:val="single" w:sz="4" w:space="0" w:color="auto"/>
            </w:tcBorders>
            <w:shd w:val="clear" w:color="auto" w:fill="auto"/>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N/A</w:t>
            </w:r>
          </w:p>
        </w:tc>
        <w:tc>
          <w:tcPr>
            <w:tcW w:w="729" w:type="pct"/>
            <w:tcBorders>
              <w:bottom w:val="single" w:sz="4" w:space="0" w:color="auto"/>
            </w:tcBorders>
            <w:shd w:val="clear" w:color="auto" w:fill="auto"/>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N/A</w:t>
            </w:r>
          </w:p>
        </w:tc>
      </w:tr>
      <w:tr w:rsidR="00D23334" w:rsidRPr="008D6802" w:rsidTr="000C7286">
        <w:trPr>
          <w:cantSplit/>
        </w:trPr>
        <w:tc>
          <w:tcPr>
            <w:tcW w:w="5000" w:type="pct"/>
            <w:gridSpan w:val="6"/>
            <w:shd w:val="clear" w:color="auto" w:fill="auto"/>
          </w:tcPr>
          <w:p w:rsidR="00D23334" w:rsidRPr="008D6802" w:rsidRDefault="00D23334"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PBS Benefit</w:t>
            </w:r>
          </w:p>
        </w:tc>
      </w:tr>
      <w:tr w:rsidR="00D23334" w:rsidRPr="008D6802" w:rsidTr="000C7286">
        <w:trPr>
          <w:cantSplit/>
        </w:trPr>
        <w:tc>
          <w:tcPr>
            <w:tcW w:w="1319" w:type="pct"/>
          </w:tcPr>
          <w:p w:rsidR="00EA79D2" w:rsidRPr="008D6802" w:rsidRDefault="00D23334"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Projected expenditure</w:t>
            </w:r>
          </w:p>
        </w:tc>
        <w:tc>
          <w:tcPr>
            <w:tcW w:w="747"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29"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47"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29"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29"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r>
      <w:tr w:rsidR="00D23334" w:rsidRPr="008D6802" w:rsidTr="000C7286">
        <w:trPr>
          <w:cantSplit/>
        </w:trPr>
        <w:tc>
          <w:tcPr>
            <w:tcW w:w="1319" w:type="pct"/>
          </w:tcPr>
          <w:p w:rsidR="00EA79D2" w:rsidRPr="008D6802" w:rsidRDefault="00D23334" w:rsidP="0069105B">
            <w:pPr>
              <w:pStyle w:val="PBACHeading1"/>
              <w:keepNext/>
              <w:numPr>
                <w:ilvl w:val="0"/>
                <w:numId w:val="0"/>
              </w:numPr>
              <w:rPr>
                <w:rFonts w:ascii="Arial Narrow" w:hAnsi="Arial Narrow"/>
                <w:sz w:val="20"/>
                <w:szCs w:val="20"/>
              </w:rPr>
            </w:pPr>
            <w:r w:rsidRPr="008D6802">
              <w:rPr>
                <w:rFonts w:ascii="Arial Narrow" w:hAnsi="Arial Narrow"/>
                <w:sz w:val="20"/>
                <w:szCs w:val="20"/>
              </w:rPr>
              <w:t>Actual expenditure</w:t>
            </w:r>
          </w:p>
        </w:tc>
        <w:tc>
          <w:tcPr>
            <w:tcW w:w="747"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29"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47"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w:t>
            </w:r>
            <w:r w:rsidR="00594542">
              <w:rPr>
                <w:rFonts w:ascii="Arial Narrow" w:hAnsi="Arial Narrow"/>
                <w:b w:val="0"/>
                <w:noProof/>
                <w:color w:val="000000"/>
                <w:sz w:val="20"/>
                <w:szCs w:val="20"/>
                <w:highlight w:val="black"/>
              </w:rPr>
              <w:t>'''''''''''''''''''''''</w:t>
            </w:r>
          </w:p>
        </w:tc>
        <w:tc>
          <w:tcPr>
            <w:tcW w:w="729"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N/A</w:t>
            </w:r>
          </w:p>
        </w:tc>
        <w:tc>
          <w:tcPr>
            <w:tcW w:w="729" w:type="pct"/>
          </w:tcPr>
          <w:p w:rsidR="00EA79D2" w:rsidRPr="008D6802" w:rsidRDefault="00D23334" w:rsidP="0069105B">
            <w:pPr>
              <w:pStyle w:val="PBACHeading1"/>
              <w:keepNext/>
              <w:numPr>
                <w:ilvl w:val="0"/>
                <w:numId w:val="0"/>
              </w:numPr>
              <w:jc w:val="center"/>
              <w:rPr>
                <w:rFonts w:ascii="Arial Narrow" w:hAnsi="Arial Narrow"/>
                <w:b w:val="0"/>
                <w:sz w:val="20"/>
                <w:szCs w:val="20"/>
              </w:rPr>
            </w:pPr>
            <w:r w:rsidRPr="008D6802">
              <w:rPr>
                <w:rFonts w:ascii="Arial Narrow" w:hAnsi="Arial Narrow"/>
                <w:b w:val="0"/>
                <w:sz w:val="20"/>
                <w:szCs w:val="20"/>
              </w:rPr>
              <w:t>N/A</w:t>
            </w:r>
          </w:p>
        </w:tc>
      </w:tr>
    </w:tbl>
    <w:p w:rsidR="00EA79D2" w:rsidRPr="008D6802" w:rsidRDefault="00B0254C" w:rsidP="0069105B">
      <w:pPr>
        <w:keepNext/>
        <w:rPr>
          <w:rFonts w:ascii="Arial Narrow" w:hAnsi="Arial Narrow" w:cs="Arial"/>
          <w:b/>
          <w:sz w:val="20"/>
          <w:szCs w:val="20"/>
        </w:rPr>
      </w:pPr>
      <w:r w:rsidRPr="008D6802">
        <w:rPr>
          <w:rFonts w:ascii="Arial Narrow" w:hAnsi="Arial Narrow" w:cs="Arial"/>
          <w:sz w:val="20"/>
          <w:szCs w:val="20"/>
        </w:rPr>
        <w:t>Note: Figures are for calendar years and are based on the date of processing.</w:t>
      </w:r>
    </w:p>
    <w:p w:rsidR="00B0254C" w:rsidRPr="00D34C65" w:rsidRDefault="00D34C65" w:rsidP="0069105B">
      <w:pPr>
        <w:keepNext/>
        <w:rPr>
          <w:rFonts w:asciiTheme="minorHAnsi" w:hAnsiTheme="minorHAnsi" w:cstheme="minorHAnsi"/>
        </w:rPr>
      </w:pPr>
      <w:r w:rsidRPr="00D34C65">
        <w:rPr>
          <w:rFonts w:asciiTheme="minorHAnsi" w:hAnsiTheme="minorHAnsi" w:cstheme="minorHAnsi"/>
        </w:rPr>
        <w:t>The R</w:t>
      </w:r>
      <w:r>
        <w:rPr>
          <w:rFonts w:asciiTheme="minorHAnsi" w:hAnsiTheme="minorHAnsi" w:cstheme="minorHAnsi"/>
        </w:rPr>
        <w:t xml:space="preserve">edacted table shows that at year 5, the projected expenditure was $10-$20 million per year and the actual expenditure at year 3 was less than $10 million. </w:t>
      </w:r>
    </w:p>
    <w:p w:rsidR="00D34C65" w:rsidRPr="008D6802" w:rsidRDefault="00D34C65" w:rsidP="000A6828"/>
    <w:p w:rsidR="00B606D1" w:rsidRPr="008D6802" w:rsidRDefault="00B606D1" w:rsidP="00B606D1">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8D6802">
        <w:rPr>
          <w:rFonts w:asciiTheme="minorHAnsi" w:eastAsiaTheme="minorHAnsi" w:hAnsiTheme="minorHAnsi" w:cstheme="minorBidi"/>
          <w:snapToGrid/>
          <w:sz w:val="24"/>
          <w:szCs w:val="22"/>
        </w:rPr>
        <w:t xml:space="preserve">The minor submission proposed that use of obinutuzumab outside of the PBS restriction is less likely following the reimbursement of ibrutinib and idelalisib in relapsed CLL. </w:t>
      </w:r>
    </w:p>
    <w:p w:rsidR="00633C07" w:rsidRPr="008D6802" w:rsidRDefault="00633C07" w:rsidP="00633C0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minor submission noted that an Authority Required (Streamlined) listing would bring obinutuzumab in line with ofatumumab and rituximab for CLL. The PBAC noted that the PBS listings of ofatumumab and rituximab allow use in patients with CLL who cannot tolerate a fludarabine-based regimen.</w:t>
      </w:r>
    </w:p>
    <w:p w:rsidR="00B606D1" w:rsidRPr="008D6802" w:rsidRDefault="00B606D1" w:rsidP="00B606D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The minor submission also stated that a Deed of Agreement </w:t>
      </w:r>
      <w:r w:rsidR="001C3EED">
        <w:rPr>
          <w:rFonts w:asciiTheme="minorHAnsi" w:eastAsiaTheme="minorHAnsi" w:hAnsiTheme="minorHAnsi" w:cstheme="minorBidi"/>
          <w:snapToGrid/>
          <w:sz w:val="24"/>
          <w:szCs w:val="22"/>
        </w:rPr>
        <w:t>containing a</w:t>
      </w:r>
      <w:r w:rsidR="001C3EED" w:rsidRPr="008D6802">
        <w:rPr>
          <w:rFonts w:asciiTheme="minorHAnsi" w:eastAsiaTheme="minorHAnsi" w:hAnsiTheme="minorHAnsi" w:cstheme="minorBidi"/>
          <w:snapToGrid/>
          <w:sz w:val="24"/>
          <w:szCs w:val="22"/>
        </w:rPr>
        <w:t xml:space="preserve"> </w:t>
      </w:r>
      <w:r w:rsidR="001C3EED">
        <w:rPr>
          <w:rFonts w:asciiTheme="minorHAnsi" w:eastAsiaTheme="minorHAnsi" w:hAnsiTheme="minorHAnsi" w:cstheme="minorBidi"/>
          <w:snapToGrid/>
          <w:sz w:val="24"/>
          <w:szCs w:val="22"/>
        </w:rPr>
        <w:t>R</w:t>
      </w:r>
      <w:r w:rsidRPr="008D6802">
        <w:rPr>
          <w:rFonts w:asciiTheme="minorHAnsi" w:eastAsiaTheme="minorHAnsi" w:hAnsiTheme="minorHAnsi" w:cstheme="minorBidi"/>
          <w:snapToGrid/>
          <w:sz w:val="24"/>
          <w:szCs w:val="22"/>
        </w:rPr>
        <w:t>isk</w:t>
      </w:r>
      <w:r w:rsidR="001C3EED">
        <w:rPr>
          <w:rFonts w:asciiTheme="minorHAnsi" w:eastAsiaTheme="minorHAnsi" w:hAnsiTheme="minorHAnsi" w:cstheme="minorBidi"/>
          <w:snapToGrid/>
          <w:sz w:val="24"/>
          <w:szCs w:val="22"/>
        </w:rPr>
        <w:t xml:space="preserve"> </w:t>
      </w:r>
      <w:r w:rsidR="00B14D19">
        <w:rPr>
          <w:rFonts w:asciiTheme="minorHAnsi" w:eastAsiaTheme="minorHAnsi" w:hAnsiTheme="minorHAnsi" w:cstheme="minorBidi"/>
          <w:snapToGrid/>
          <w:sz w:val="24"/>
          <w:szCs w:val="22"/>
        </w:rPr>
        <w:t>S</w:t>
      </w:r>
      <w:r w:rsidRPr="008D6802">
        <w:rPr>
          <w:rFonts w:asciiTheme="minorHAnsi" w:eastAsiaTheme="minorHAnsi" w:hAnsiTheme="minorHAnsi" w:cstheme="minorBidi"/>
          <w:snapToGrid/>
          <w:sz w:val="24"/>
          <w:szCs w:val="22"/>
        </w:rPr>
        <w:t>har</w:t>
      </w:r>
      <w:r w:rsidR="001C3EED">
        <w:rPr>
          <w:rFonts w:asciiTheme="minorHAnsi" w:eastAsiaTheme="minorHAnsi" w:hAnsiTheme="minorHAnsi" w:cstheme="minorBidi"/>
          <w:snapToGrid/>
          <w:sz w:val="24"/>
          <w:szCs w:val="22"/>
        </w:rPr>
        <w:t>ing</w:t>
      </w:r>
      <w:r w:rsidRPr="008D6802">
        <w:rPr>
          <w:rFonts w:asciiTheme="minorHAnsi" w:eastAsiaTheme="minorHAnsi" w:hAnsiTheme="minorHAnsi" w:cstheme="minorBidi"/>
          <w:snapToGrid/>
          <w:sz w:val="24"/>
          <w:szCs w:val="22"/>
        </w:rPr>
        <w:t xml:space="preserve"> </w:t>
      </w:r>
      <w:r w:rsidR="001C3EED">
        <w:rPr>
          <w:rFonts w:asciiTheme="minorHAnsi" w:eastAsiaTheme="minorHAnsi" w:hAnsiTheme="minorHAnsi" w:cstheme="minorBidi"/>
          <w:snapToGrid/>
          <w:sz w:val="24"/>
          <w:szCs w:val="22"/>
        </w:rPr>
        <w:t>A</w:t>
      </w:r>
      <w:r w:rsidRPr="008D6802">
        <w:rPr>
          <w:rFonts w:asciiTheme="minorHAnsi" w:eastAsiaTheme="minorHAnsi" w:hAnsiTheme="minorHAnsi" w:cstheme="minorBidi"/>
          <w:snapToGrid/>
          <w:sz w:val="24"/>
          <w:szCs w:val="22"/>
        </w:rPr>
        <w:t xml:space="preserve">rrangement (in the form of subsidisation cap above </w:t>
      </w:r>
      <w:r w:rsidR="008D6802">
        <w:rPr>
          <w:rFonts w:asciiTheme="minorHAnsi" w:eastAsiaTheme="minorHAnsi" w:hAnsiTheme="minorHAnsi" w:cstheme="minorBidi"/>
          <w:snapToGrid/>
          <w:sz w:val="24"/>
          <w:szCs w:val="22"/>
        </w:rPr>
        <w:t xml:space="preserve">agreed </w:t>
      </w:r>
      <w:r w:rsidRPr="008D6802">
        <w:rPr>
          <w:rFonts w:asciiTheme="minorHAnsi" w:eastAsiaTheme="minorHAnsi" w:hAnsiTheme="minorHAnsi" w:cstheme="minorBidi"/>
          <w:snapToGrid/>
          <w:sz w:val="24"/>
          <w:szCs w:val="22"/>
        </w:rPr>
        <w:t>use) is in place for the use of obinutuzumab for CLL.</w:t>
      </w:r>
    </w:p>
    <w:p w:rsidR="00C66D8F" w:rsidRPr="008D6802" w:rsidRDefault="00633C07" w:rsidP="00966A1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PBAC noted that a</w:t>
      </w:r>
      <w:r w:rsidR="00B33786" w:rsidRPr="008D6802">
        <w:rPr>
          <w:rFonts w:asciiTheme="minorHAnsi" w:eastAsiaTheme="minorHAnsi" w:hAnsiTheme="minorHAnsi" w:cstheme="minorBidi"/>
          <w:snapToGrid/>
          <w:sz w:val="24"/>
          <w:szCs w:val="22"/>
        </w:rPr>
        <w:t xml:space="preserve">n additional utilisation analysis of obinutuzumab </w:t>
      </w:r>
      <w:r w:rsidR="00B614A1" w:rsidRPr="008D6802">
        <w:rPr>
          <w:rFonts w:asciiTheme="minorHAnsi" w:eastAsiaTheme="minorHAnsi" w:hAnsiTheme="minorHAnsi" w:cstheme="minorBidi"/>
          <w:snapToGrid/>
          <w:sz w:val="24"/>
          <w:szCs w:val="22"/>
        </w:rPr>
        <w:t>(</w:t>
      </w:r>
      <w:r w:rsidR="00B33786" w:rsidRPr="008D6802">
        <w:rPr>
          <w:rFonts w:asciiTheme="minorHAnsi" w:eastAsiaTheme="minorHAnsi" w:hAnsiTheme="minorHAnsi" w:cstheme="minorBidi"/>
          <w:snapToGrid/>
          <w:sz w:val="24"/>
          <w:szCs w:val="22"/>
        </w:rPr>
        <w:t>and ofatumumab</w:t>
      </w:r>
      <w:r w:rsidR="00713F92" w:rsidRPr="008D6802">
        <w:rPr>
          <w:rFonts w:asciiTheme="minorHAnsi" w:eastAsiaTheme="minorHAnsi" w:hAnsiTheme="minorHAnsi" w:cstheme="minorBidi"/>
          <w:snapToGrid/>
          <w:sz w:val="24"/>
          <w:szCs w:val="22"/>
        </w:rPr>
        <w:t>)</w:t>
      </w:r>
      <w:r w:rsidR="00B33786" w:rsidRPr="008D6802">
        <w:rPr>
          <w:rFonts w:asciiTheme="minorHAnsi" w:eastAsiaTheme="minorHAnsi" w:hAnsiTheme="minorHAnsi" w:cstheme="minorBidi"/>
          <w:snapToGrid/>
          <w:sz w:val="24"/>
          <w:szCs w:val="22"/>
        </w:rPr>
        <w:t xml:space="preserve"> </w:t>
      </w:r>
      <w:r w:rsidRPr="008D6802">
        <w:rPr>
          <w:rFonts w:asciiTheme="minorHAnsi" w:eastAsiaTheme="minorHAnsi" w:hAnsiTheme="minorHAnsi" w:cstheme="minorBidi"/>
          <w:snapToGrid/>
          <w:sz w:val="24"/>
          <w:szCs w:val="22"/>
        </w:rPr>
        <w:t xml:space="preserve">was </w:t>
      </w:r>
      <w:r w:rsidR="00B33786" w:rsidRPr="008D6802">
        <w:rPr>
          <w:rFonts w:asciiTheme="minorHAnsi" w:eastAsiaTheme="minorHAnsi" w:hAnsiTheme="minorHAnsi" w:cstheme="minorBidi"/>
          <w:snapToGrid/>
          <w:sz w:val="24"/>
          <w:szCs w:val="22"/>
        </w:rPr>
        <w:t xml:space="preserve">undertaken by the </w:t>
      </w:r>
      <w:r w:rsidR="003B6D55" w:rsidRPr="008D6802">
        <w:rPr>
          <w:rFonts w:asciiTheme="minorHAnsi" w:eastAsiaTheme="minorHAnsi" w:hAnsiTheme="minorHAnsi" w:cstheme="minorBidi"/>
          <w:snapToGrid/>
          <w:sz w:val="24"/>
          <w:szCs w:val="22"/>
        </w:rPr>
        <w:t>DUSC</w:t>
      </w:r>
      <w:r w:rsidR="00B33786" w:rsidRPr="008D6802">
        <w:rPr>
          <w:rFonts w:asciiTheme="minorHAnsi" w:eastAsiaTheme="minorHAnsi" w:hAnsiTheme="minorHAnsi" w:cstheme="minorBidi"/>
          <w:snapToGrid/>
          <w:sz w:val="24"/>
          <w:szCs w:val="22"/>
        </w:rPr>
        <w:t xml:space="preserve"> Secretariat. </w:t>
      </w:r>
      <w:r w:rsidR="00B614A1" w:rsidRPr="008D6802">
        <w:rPr>
          <w:rFonts w:asciiTheme="minorHAnsi" w:eastAsiaTheme="minorHAnsi" w:hAnsiTheme="minorHAnsi" w:cstheme="minorBidi"/>
          <w:snapToGrid/>
          <w:sz w:val="24"/>
          <w:szCs w:val="22"/>
        </w:rPr>
        <w:t>PBS p</w:t>
      </w:r>
      <w:r w:rsidR="002A370D" w:rsidRPr="008D6802">
        <w:rPr>
          <w:rFonts w:asciiTheme="minorHAnsi" w:eastAsiaTheme="minorHAnsi" w:hAnsiTheme="minorHAnsi" w:cstheme="minorBidi"/>
          <w:snapToGrid/>
          <w:sz w:val="24"/>
          <w:szCs w:val="22"/>
        </w:rPr>
        <w:t xml:space="preserve">rescription data </w:t>
      </w:r>
      <w:r w:rsidR="00B614A1" w:rsidRPr="008D6802">
        <w:rPr>
          <w:rFonts w:asciiTheme="minorHAnsi" w:eastAsiaTheme="minorHAnsi" w:hAnsiTheme="minorHAnsi" w:cstheme="minorBidi"/>
          <w:snapToGrid/>
          <w:sz w:val="24"/>
          <w:szCs w:val="22"/>
        </w:rPr>
        <w:t xml:space="preserve">were extracted from the Department of Human Services prescription </w:t>
      </w:r>
      <w:r w:rsidR="000B7854" w:rsidRPr="008D6802">
        <w:rPr>
          <w:rFonts w:asciiTheme="minorHAnsi" w:eastAsiaTheme="minorHAnsi" w:hAnsiTheme="minorHAnsi" w:cstheme="minorBidi"/>
          <w:snapToGrid/>
          <w:sz w:val="24"/>
          <w:szCs w:val="22"/>
        </w:rPr>
        <w:t xml:space="preserve">claims </w:t>
      </w:r>
      <w:r w:rsidR="00B614A1" w:rsidRPr="008D6802">
        <w:rPr>
          <w:rFonts w:asciiTheme="minorHAnsi" w:eastAsiaTheme="minorHAnsi" w:hAnsiTheme="minorHAnsi" w:cstheme="minorBidi"/>
          <w:snapToGrid/>
          <w:sz w:val="24"/>
          <w:szCs w:val="22"/>
        </w:rPr>
        <w:t>database for date of supply between 1 A</w:t>
      </w:r>
      <w:r w:rsidR="00C66D8F" w:rsidRPr="008D6802">
        <w:rPr>
          <w:rFonts w:asciiTheme="minorHAnsi" w:eastAsiaTheme="minorHAnsi" w:hAnsiTheme="minorHAnsi" w:cstheme="minorBidi"/>
          <w:snapToGrid/>
          <w:sz w:val="24"/>
          <w:szCs w:val="22"/>
        </w:rPr>
        <w:t>pril</w:t>
      </w:r>
      <w:r w:rsidR="00B614A1" w:rsidRPr="008D6802">
        <w:rPr>
          <w:rFonts w:asciiTheme="minorHAnsi" w:eastAsiaTheme="minorHAnsi" w:hAnsiTheme="minorHAnsi" w:cstheme="minorBidi"/>
          <w:snapToGrid/>
          <w:sz w:val="24"/>
          <w:szCs w:val="22"/>
        </w:rPr>
        <w:t xml:space="preserve"> 2015 to 31 January 2018. </w:t>
      </w:r>
      <w:r w:rsidR="00C66D8F" w:rsidRPr="008D6802">
        <w:rPr>
          <w:rFonts w:asciiTheme="minorHAnsi" w:eastAsiaTheme="minorHAnsi" w:hAnsiTheme="minorHAnsi" w:cstheme="minorBidi"/>
          <w:snapToGrid/>
          <w:sz w:val="24"/>
          <w:szCs w:val="22"/>
        </w:rPr>
        <w:t>Claims records for chlorambucil were also extracted from 1 January 2015 to 30 March 2018. The co</w:t>
      </w:r>
      <w:r w:rsidR="008D6802">
        <w:rPr>
          <w:rFonts w:asciiTheme="minorHAnsi" w:eastAsiaTheme="minorHAnsi" w:hAnsiTheme="minorHAnsi" w:cstheme="minorBidi"/>
          <w:snapToGrid/>
          <w:sz w:val="24"/>
          <w:szCs w:val="22"/>
        </w:rPr>
        <w:t>-</w:t>
      </w:r>
      <w:r w:rsidR="00C66D8F" w:rsidRPr="008D6802">
        <w:rPr>
          <w:rFonts w:asciiTheme="minorHAnsi" w:eastAsiaTheme="minorHAnsi" w:hAnsiTheme="minorHAnsi" w:cstheme="minorBidi"/>
          <w:snapToGrid/>
          <w:sz w:val="24"/>
          <w:szCs w:val="22"/>
        </w:rPr>
        <w:t xml:space="preserve">administration of obinutuzumab or ofatumumab with chlorambucil was investigated using </w:t>
      </w:r>
      <w:r w:rsidR="00BF1584" w:rsidRPr="008D6802">
        <w:rPr>
          <w:rFonts w:asciiTheme="minorHAnsi" w:eastAsiaTheme="minorHAnsi" w:hAnsiTheme="minorHAnsi" w:cstheme="minorBidi"/>
          <w:snapToGrid/>
          <w:sz w:val="24"/>
          <w:szCs w:val="22"/>
        </w:rPr>
        <w:t xml:space="preserve">non-identifying </w:t>
      </w:r>
      <w:r w:rsidR="00C66D8F" w:rsidRPr="008D6802">
        <w:rPr>
          <w:rFonts w:asciiTheme="minorHAnsi" w:eastAsiaTheme="minorHAnsi" w:hAnsiTheme="minorHAnsi" w:cstheme="minorBidi"/>
          <w:snapToGrid/>
          <w:sz w:val="24"/>
          <w:szCs w:val="22"/>
        </w:rPr>
        <w:t>person specific numbers for all patients who received a supply of obinutuzumab or ofatumumab.</w:t>
      </w:r>
    </w:p>
    <w:p w:rsidR="00C66D8F" w:rsidRPr="008D6802" w:rsidRDefault="00C66D8F" w:rsidP="00C66D8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 xml:space="preserve">The </w:t>
      </w:r>
      <w:r w:rsidR="00633C07" w:rsidRPr="008D6802">
        <w:rPr>
          <w:rFonts w:asciiTheme="minorHAnsi" w:eastAsiaTheme="minorHAnsi" w:hAnsiTheme="minorHAnsi" w:cstheme="minorBidi"/>
          <w:snapToGrid/>
          <w:sz w:val="24"/>
          <w:szCs w:val="22"/>
        </w:rPr>
        <w:t xml:space="preserve">PBAC noted that the </w:t>
      </w:r>
      <w:r w:rsidRPr="008D6802">
        <w:rPr>
          <w:rFonts w:asciiTheme="minorHAnsi" w:eastAsiaTheme="minorHAnsi" w:hAnsiTheme="minorHAnsi" w:cstheme="minorBidi"/>
          <w:snapToGrid/>
          <w:sz w:val="24"/>
          <w:szCs w:val="22"/>
        </w:rPr>
        <w:t xml:space="preserve">number of patients first initiating on obinutuzumab or ofatumumab was relatively stable between Quarter 2 to Quarter 4 in 2017 (Figure 1). Based on the number of overall treated patients, the </w:t>
      </w:r>
      <w:r w:rsidR="00633C07" w:rsidRPr="008D6802">
        <w:rPr>
          <w:rFonts w:asciiTheme="minorHAnsi" w:eastAsiaTheme="minorHAnsi" w:hAnsiTheme="minorHAnsi" w:cstheme="minorBidi"/>
          <w:snapToGrid/>
          <w:sz w:val="24"/>
          <w:szCs w:val="22"/>
        </w:rPr>
        <w:t xml:space="preserve">PBAC considered that the </w:t>
      </w:r>
      <w:r w:rsidRPr="008D6802">
        <w:rPr>
          <w:rFonts w:asciiTheme="minorHAnsi" w:eastAsiaTheme="minorHAnsi" w:hAnsiTheme="minorHAnsi" w:cstheme="minorBidi"/>
          <w:snapToGrid/>
          <w:sz w:val="24"/>
          <w:szCs w:val="22"/>
        </w:rPr>
        <w:t>market appears to have stabilised since mid-2017 (Figure 2).</w:t>
      </w:r>
    </w:p>
    <w:p w:rsidR="00C66D8F" w:rsidRPr="008D6802" w:rsidRDefault="00C66D8F" w:rsidP="000A6828">
      <w:r w:rsidRPr="008D6802">
        <w:rPr>
          <w:noProof/>
        </w:rPr>
        <w:lastRenderedPageBreak/>
        <w:drawing>
          <wp:inline distT="0" distB="0" distL="0" distR="0" wp14:anchorId="32B2BCB7" wp14:editId="0DFE8403">
            <wp:extent cx="4816746" cy="3154510"/>
            <wp:effectExtent l="0" t="0" r="3175" b="8255"/>
            <wp:docPr id="2" name="Picture 2" title="Figure 1: Number of first initiators to obinutuzumab or ofatumumab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350" cy="3156870"/>
                    </a:xfrm>
                    <a:prstGeom prst="rect">
                      <a:avLst/>
                    </a:prstGeom>
                    <a:noFill/>
                  </pic:spPr>
                </pic:pic>
              </a:graphicData>
            </a:graphic>
          </wp:inline>
        </w:drawing>
      </w:r>
    </w:p>
    <w:p w:rsidR="00C66D8F" w:rsidRPr="000805DE" w:rsidRDefault="00C66D8F" w:rsidP="000C7286">
      <w:pPr>
        <w:pStyle w:val="BodyText2"/>
        <w:rPr>
          <w:rFonts w:ascii="Arial Narrow" w:eastAsiaTheme="minorHAnsi" w:hAnsi="Arial Narrow"/>
          <w:b/>
          <w:snapToGrid/>
          <w:szCs w:val="18"/>
        </w:rPr>
      </w:pPr>
      <w:r w:rsidRPr="000805DE">
        <w:rPr>
          <w:rFonts w:ascii="Arial Narrow" w:eastAsiaTheme="minorHAnsi" w:hAnsi="Arial Narrow"/>
          <w:b/>
          <w:snapToGrid/>
          <w:szCs w:val="18"/>
        </w:rPr>
        <w:t>Figure 1: Number of first initiators to obinutuzumab or ofatumumab by quarter</w:t>
      </w:r>
    </w:p>
    <w:p w:rsidR="00C66D8F" w:rsidRPr="000805DE" w:rsidRDefault="00C66D8F" w:rsidP="000C7286">
      <w:pPr>
        <w:pStyle w:val="BodyText2"/>
        <w:rPr>
          <w:rFonts w:ascii="Arial Narrow" w:eastAsiaTheme="minorHAnsi" w:hAnsi="Arial Narrow"/>
          <w:b/>
          <w:snapToGrid/>
          <w:sz w:val="18"/>
          <w:szCs w:val="18"/>
        </w:rPr>
      </w:pPr>
      <w:r w:rsidRPr="000805DE">
        <w:rPr>
          <w:rFonts w:ascii="Arial Narrow" w:eastAsiaTheme="minorHAnsi" w:hAnsi="Arial Narrow"/>
          <w:snapToGrid/>
          <w:sz w:val="18"/>
          <w:szCs w:val="18"/>
        </w:rPr>
        <w:t>Source: DHS Prescription Claims Database. Data extracted on 30 April 2018 based on the date of supply.</w:t>
      </w:r>
    </w:p>
    <w:p w:rsidR="00C66D8F" w:rsidRPr="008D6802" w:rsidRDefault="00C66D8F" w:rsidP="000A6828"/>
    <w:p w:rsidR="00C66D8F" w:rsidRPr="008D6802" w:rsidRDefault="00C66D8F" w:rsidP="000A6828">
      <w:r w:rsidRPr="008D6802">
        <w:rPr>
          <w:noProof/>
        </w:rPr>
        <w:drawing>
          <wp:inline distT="0" distB="0" distL="0" distR="0" wp14:anchorId="781B1E29" wp14:editId="4360F824">
            <wp:extent cx="4990561" cy="2916562"/>
            <wp:effectExtent l="0" t="0" r="635" b="0"/>
            <wp:docPr id="1" name="Picture 1" title="Figure 2: Number of patients treated with obinutuzumab or ofatumumab, April 2015 to Januar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2848" cy="2917899"/>
                    </a:xfrm>
                    <a:prstGeom prst="rect">
                      <a:avLst/>
                    </a:prstGeom>
                    <a:noFill/>
                  </pic:spPr>
                </pic:pic>
              </a:graphicData>
            </a:graphic>
          </wp:inline>
        </w:drawing>
      </w:r>
    </w:p>
    <w:p w:rsidR="00C66D8F" w:rsidRPr="000805DE" w:rsidRDefault="00C66D8F" w:rsidP="000C7286">
      <w:pPr>
        <w:pStyle w:val="BodyText2"/>
        <w:rPr>
          <w:rFonts w:ascii="Arial Narrow" w:eastAsiaTheme="minorHAnsi" w:hAnsi="Arial Narrow"/>
          <w:b/>
          <w:snapToGrid/>
        </w:rPr>
      </w:pPr>
      <w:r w:rsidRPr="000805DE">
        <w:rPr>
          <w:rFonts w:ascii="Arial Narrow" w:eastAsiaTheme="minorHAnsi" w:hAnsi="Arial Narrow"/>
          <w:b/>
          <w:snapToGrid/>
        </w:rPr>
        <w:t>Figure 2: Number of patients treated with obinutuzumab or ofatumumab, April 2015 to January 2018.</w:t>
      </w:r>
    </w:p>
    <w:p w:rsidR="00B614A1" w:rsidRPr="000805DE" w:rsidRDefault="00C66D8F" w:rsidP="000C7286">
      <w:pPr>
        <w:pStyle w:val="BodyText2"/>
        <w:rPr>
          <w:rFonts w:ascii="Arial Narrow" w:eastAsiaTheme="minorHAnsi" w:hAnsi="Arial Narrow"/>
          <w:b/>
          <w:snapToGrid/>
          <w:sz w:val="18"/>
          <w:szCs w:val="18"/>
        </w:rPr>
      </w:pPr>
      <w:r w:rsidRPr="000805DE">
        <w:rPr>
          <w:rFonts w:ascii="Arial Narrow" w:eastAsiaTheme="minorHAnsi" w:hAnsi="Arial Narrow"/>
          <w:snapToGrid/>
          <w:sz w:val="18"/>
          <w:szCs w:val="18"/>
        </w:rPr>
        <w:t>Source: DHS Prescription Claims Database. Data extracted on 30 April 2018 based on the date of supply.</w:t>
      </w:r>
    </w:p>
    <w:p w:rsidR="00A35EEB" w:rsidRPr="008D6802" w:rsidRDefault="00A35EEB" w:rsidP="000A6828">
      <w:pPr>
        <w:rPr>
          <w:rFonts w:eastAsiaTheme="minorHAnsi"/>
        </w:rPr>
      </w:pPr>
    </w:p>
    <w:p w:rsidR="00E54037" w:rsidRPr="008D6802" w:rsidRDefault="00633C07" w:rsidP="00A35EE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PBAC noted that</w:t>
      </w:r>
      <w:r w:rsidR="00017D78" w:rsidRPr="008D6802">
        <w:rPr>
          <w:rFonts w:asciiTheme="minorHAnsi" w:eastAsiaTheme="minorHAnsi" w:hAnsiTheme="minorHAnsi" w:cstheme="minorBidi"/>
          <w:snapToGrid/>
          <w:sz w:val="24"/>
          <w:szCs w:val="22"/>
        </w:rPr>
        <w:t xml:space="preserve"> t</w:t>
      </w:r>
      <w:r w:rsidR="00B33786" w:rsidRPr="008D6802">
        <w:rPr>
          <w:rFonts w:asciiTheme="minorHAnsi" w:eastAsiaTheme="minorHAnsi" w:hAnsiTheme="minorHAnsi" w:cstheme="minorBidi"/>
          <w:snapToGrid/>
          <w:sz w:val="24"/>
          <w:szCs w:val="22"/>
        </w:rPr>
        <w:t xml:space="preserve">he </w:t>
      </w:r>
      <w:r w:rsidR="003B6D55" w:rsidRPr="008D6802">
        <w:rPr>
          <w:rFonts w:asciiTheme="minorHAnsi" w:eastAsiaTheme="minorHAnsi" w:hAnsiTheme="minorHAnsi" w:cstheme="minorBidi"/>
          <w:snapToGrid/>
          <w:sz w:val="24"/>
          <w:szCs w:val="22"/>
        </w:rPr>
        <w:t xml:space="preserve">actual </w:t>
      </w:r>
      <w:r w:rsidR="00EB2A47" w:rsidRPr="008D6802">
        <w:rPr>
          <w:rFonts w:asciiTheme="minorHAnsi" w:eastAsiaTheme="minorHAnsi" w:hAnsiTheme="minorHAnsi" w:cstheme="minorBidi"/>
          <w:snapToGrid/>
          <w:sz w:val="24"/>
          <w:szCs w:val="22"/>
        </w:rPr>
        <w:t xml:space="preserve">number of prescriptions </w:t>
      </w:r>
      <w:r w:rsidR="003B6D55" w:rsidRPr="008D6802">
        <w:rPr>
          <w:rFonts w:asciiTheme="minorHAnsi" w:eastAsiaTheme="minorHAnsi" w:hAnsiTheme="minorHAnsi" w:cstheme="minorBidi"/>
          <w:snapToGrid/>
          <w:sz w:val="24"/>
          <w:szCs w:val="22"/>
        </w:rPr>
        <w:t xml:space="preserve">for year 1 and year 2 in the DUSC </w:t>
      </w:r>
      <w:r w:rsidR="00B63B68" w:rsidRPr="008D6802">
        <w:rPr>
          <w:rFonts w:asciiTheme="minorHAnsi" w:eastAsiaTheme="minorHAnsi" w:hAnsiTheme="minorHAnsi" w:cstheme="minorBidi"/>
          <w:snapToGrid/>
          <w:sz w:val="24"/>
          <w:szCs w:val="22"/>
        </w:rPr>
        <w:t xml:space="preserve">Secretariat </w:t>
      </w:r>
      <w:r w:rsidR="00B33786" w:rsidRPr="008D6802">
        <w:rPr>
          <w:rFonts w:asciiTheme="minorHAnsi" w:eastAsiaTheme="minorHAnsi" w:hAnsiTheme="minorHAnsi" w:cstheme="minorBidi"/>
          <w:snapToGrid/>
          <w:sz w:val="24"/>
          <w:szCs w:val="22"/>
        </w:rPr>
        <w:t xml:space="preserve">utilisation analysis </w:t>
      </w:r>
      <w:r w:rsidRPr="008D6802">
        <w:rPr>
          <w:rFonts w:asciiTheme="minorHAnsi" w:eastAsiaTheme="minorHAnsi" w:hAnsiTheme="minorHAnsi" w:cstheme="minorBidi"/>
          <w:snapToGrid/>
          <w:sz w:val="24"/>
          <w:szCs w:val="22"/>
        </w:rPr>
        <w:t xml:space="preserve">(Table 2) </w:t>
      </w:r>
      <w:r w:rsidR="003B6D55" w:rsidRPr="008D6802">
        <w:rPr>
          <w:rFonts w:asciiTheme="minorHAnsi" w:eastAsiaTheme="minorHAnsi" w:hAnsiTheme="minorHAnsi" w:cstheme="minorBidi"/>
          <w:snapToGrid/>
          <w:sz w:val="24"/>
          <w:szCs w:val="22"/>
        </w:rPr>
        <w:t xml:space="preserve">was </w:t>
      </w:r>
      <w:r w:rsidR="00B614A1" w:rsidRPr="008D6802">
        <w:rPr>
          <w:rFonts w:asciiTheme="minorHAnsi" w:eastAsiaTheme="minorHAnsi" w:hAnsiTheme="minorHAnsi" w:cstheme="minorBidi"/>
          <w:snapToGrid/>
          <w:sz w:val="24"/>
          <w:szCs w:val="22"/>
        </w:rPr>
        <w:t xml:space="preserve">consistent with </w:t>
      </w:r>
      <w:r w:rsidR="003B6D55" w:rsidRPr="008D6802">
        <w:rPr>
          <w:rFonts w:asciiTheme="minorHAnsi" w:eastAsiaTheme="minorHAnsi" w:hAnsiTheme="minorHAnsi" w:cstheme="minorBidi"/>
          <w:snapToGrid/>
          <w:sz w:val="24"/>
          <w:szCs w:val="22"/>
        </w:rPr>
        <w:t xml:space="preserve">the </w:t>
      </w:r>
      <w:r w:rsidR="00017D78" w:rsidRPr="008D6802">
        <w:rPr>
          <w:rFonts w:asciiTheme="minorHAnsi" w:eastAsiaTheme="minorHAnsi" w:hAnsiTheme="minorHAnsi" w:cstheme="minorBidi"/>
          <w:snapToGrid/>
          <w:sz w:val="24"/>
          <w:szCs w:val="22"/>
        </w:rPr>
        <w:t>data provided in the minor submission</w:t>
      </w:r>
      <w:r w:rsidR="003B6D55" w:rsidRPr="008D6802">
        <w:rPr>
          <w:rFonts w:asciiTheme="minorHAnsi" w:eastAsiaTheme="minorHAnsi" w:hAnsiTheme="minorHAnsi" w:cstheme="minorBidi"/>
          <w:snapToGrid/>
          <w:sz w:val="24"/>
          <w:szCs w:val="22"/>
        </w:rPr>
        <w:t xml:space="preserve">. </w:t>
      </w:r>
      <w:r w:rsidR="00310FD8" w:rsidRPr="008D6802">
        <w:rPr>
          <w:rFonts w:asciiTheme="minorHAnsi" w:eastAsiaTheme="minorHAnsi" w:hAnsiTheme="minorHAnsi" w:cstheme="minorBidi"/>
          <w:snapToGrid/>
          <w:sz w:val="24"/>
          <w:szCs w:val="22"/>
        </w:rPr>
        <w:t xml:space="preserve">The </w:t>
      </w:r>
      <w:r w:rsidRPr="008D6802">
        <w:rPr>
          <w:rFonts w:asciiTheme="minorHAnsi" w:eastAsiaTheme="minorHAnsi" w:hAnsiTheme="minorHAnsi" w:cstheme="minorBidi"/>
          <w:snapToGrid/>
          <w:sz w:val="24"/>
          <w:szCs w:val="22"/>
        </w:rPr>
        <w:t xml:space="preserve">PBAC considered that the </w:t>
      </w:r>
      <w:r w:rsidR="00310FD8" w:rsidRPr="008D6802">
        <w:rPr>
          <w:rFonts w:asciiTheme="minorHAnsi" w:eastAsiaTheme="minorHAnsi" w:hAnsiTheme="minorHAnsi" w:cstheme="minorBidi"/>
          <w:snapToGrid/>
          <w:sz w:val="24"/>
          <w:szCs w:val="22"/>
        </w:rPr>
        <w:t>utilisation analys</w:t>
      </w:r>
      <w:r w:rsidR="003B6D55" w:rsidRPr="008D6802">
        <w:rPr>
          <w:rFonts w:asciiTheme="minorHAnsi" w:eastAsiaTheme="minorHAnsi" w:hAnsiTheme="minorHAnsi" w:cstheme="minorBidi"/>
          <w:snapToGrid/>
          <w:sz w:val="24"/>
          <w:szCs w:val="22"/>
        </w:rPr>
        <w:t xml:space="preserve">is </w:t>
      </w:r>
      <w:r w:rsidR="00B33786" w:rsidRPr="008D6802">
        <w:rPr>
          <w:rFonts w:asciiTheme="minorHAnsi" w:eastAsiaTheme="minorHAnsi" w:hAnsiTheme="minorHAnsi" w:cstheme="minorBidi"/>
          <w:snapToGrid/>
          <w:sz w:val="24"/>
          <w:szCs w:val="22"/>
        </w:rPr>
        <w:t xml:space="preserve">indicated that the predicted number of eligible patients for obinutuzumab in the March 2015 submission was substantially over-estimated. </w:t>
      </w:r>
    </w:p>
    <w:p w:rsidR="00AA01A8" w:rsidRPr="008D6802" w:rsidRDefault="00E54037" w:rsidP="00A35EE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lastRenderedPageBreak/>
        <w:t xml:space="preserve">The </w:t>
      </w:r>
      <w:r w:rsidR="00633C07" w:rsidRPr="008D6802">
        <w:rPr>
          <w:rFonts w:asciiTheme="minorHAnsi" w:eastAsiaTheme="minorHAnsi" w:hAnsiTheme="minorHAnsi" w:cstheme="minorBidi"/>
          <w:snapToGrid/>
          <w:sz w:val="24"/>
          <w:szCs w:val="22"/>
        </w:rPr>
        <w:t xml:space="preserve">PBAC noted that the </w:t>
      </w:r>
      <w:r w:rsidRPr="008D6802">
        <w:rPr>
          <w:rFonts w:asciiTheme="minorHAnsi" w:eastAsiaTheme="minorHAnsi" w:hAnsiTheme="minorHAnsi" w:cstheme="minorBidi"/>
          <w:snapToGrid/>
          <w:sz w:val="24"/>
          <w:szCs w:val="22"/>
        </w:rPr>
        <w:t>DUSC Secretariat utilisation analysis reported the actual number of prescriptions per patient and rate of continuation was similar to the predicted assumptions. In addition, very few cases were identified where obinutuzumab was potentially supplied without a co-supply of chlorambucil and no cases were identified where there was switching between obinutuzumab and ofatumumab since the first listing of these agents to 31 December 2017.</w:t>
      </w:r>
    </w:p>
    <w:p w:rsidR="004207A6" w:rsidRPr="008D6802" w:rsidRDefault="00017D78" w:rsidP="006B22D9">
      <w:pPr>
        <w:rPr>
          <w:rFonts w:ascii="Arial Narrow" w:eastAsiaTheme="minorHAnsi" w:hAnsi="Arial Narrow"/>
          <w:b/>
          <w:sz w:val="20"/>
          <w:szCs w:val="20"/>
        </w:rPr>
      </w:pPr>
      <w:r w:rsidRPr="008D6802">
        <w:rPr>
          <w:rFonts w:ascii="Arial Narrow" w:eastAsiaTheme="minorHAnsi" w:hAnsi="Arial Narrow"/>
          <w:b/>
          <w:sz w:val="20"/>
          <w:szCs w:val="20"/>
        </w:rPr>
        <w:t>Table 2</w:t>
      </w:r>
      <w:r w:rsidR="004207A6" w:rsidRPr="008D6802">
        <w:rPr>
          <w:rFonts w:ascii="Arial Narrow" w:eastAsiaTheme="minorHAnsi" w:hAnsi="Arial Narrow"/>
          <w:b/>
          <w:sz w:val="20"/>
          <w:szCs w:val="20"/>
        </w:rPr>
        <w:t>: Predicted versus actual utilisation of obinutuzumab</w:t>
      </w:r>
    </w:p>
    <w:tbl>
      <w:tblPr>
        <w:tblStyle w:val="TableGrid"/>
        <w:tblW w:w="5000" w:type="pct"/>
        <w:tblLook w:val="04A0" w:firstRow="1" w:lastRow="0" w:firstColumn="1" w:lastColumn="0" w:noHBand="0" w:noVBand="1"/>
        <w:tblCaption w:val="Table 2: Predicted versus actual utilisation of obinutuzumab"/>
      </w:tblPr>
      <w:tblGrid>
        <w:gridCol w:w="3042"/>
        <w:gridCol w:w="2878"/>
        <w:gridCol w:w="3322"/>
      </w:tblGrid>
      <w:tr w:rsidR="004207A6" w:rsidRPr="008D6802" w:rsidTr="000C7286">
        <w:trPr>
          <w:tblHeader/>
        </w:trPr>
        <w:tc>
          <w:tcPr>
            <w:tcW w:w="1646" w:type="pct"/>
            <w:shd w:val="clear" w:color="auto" w:fill="auto"/>
          </w:tcPr>
          <w:p w:rsidR="004207A6" w:rsidRPr="008D6802" w:rsidRDefault="004207A6" w:rsidP="00BD37AE">
            <w:pPr>
              <w:rPr>
                <w:rFonts w:ascii="Arial Narrow" w:hAnsi="Arial Narrow"/>
                <w:b/>
                <w:sz w:val="20"/>
                <w:szCs w:val="20"/>
              </w:rPr>
            </w:pPr>
            <w:r w:rsidRPr="008D6802">
              <w:rPr>
                <w:rFonts w:ascii="Arial Narrow" w:hAnsi="Arial Narrow"/>
                <w:b/>
                <w:sz w:val="20"/>
                <w:szCs w:val="20"/>
              </w:rPr>
              <w:t>Parameter</w:t>
            </w:r>
          </w:p>
        </w:tc>
        <w:tc>
          <w:tcPr>
            <w:tcW w:w="1557" w:type="pct"/>
            <w:shd w:val="clear" w:color="auto" w:fill="auto"/>
          </w:tcPr>
          <w:p w:rsidR="004207A6" w:rsidRPr="008D6802" w:rsidRDefault="004207A6" w:rsidP="009D0430">
            <w:pPr>
              <w:jc w:val="center"/>
              <w:rPr>
                <w:rFonts w:ascii="Arial Narrow" w:hAnsi="Arial Narrow"/>
                <w:b/>
                <w:sz w:val="20"/>
                <w:szCs w:val="20"/>
              </w:rPr>
            </w:pPr>
            <w:r w:rsidRPr="008D6802">
              <w:rPr>
                <w:rFonts w:ascii="Arial Narrow" w:hAnsi="Arial Narrow"/>
                <w:b/>
                <w:sz w:val="20"/>
                <w:szCs w:val="20"/>
              </w:rPr>
              <w:t>Deed Year 1</w:t>
            </w:r>
          </w:p>
          <w:p w:rsidR="004207A6" w:rsidRPr="008D6802" w:rsidRDefault="004207A6" w:rsidP="009D0430">
            <w:pPr>
              <w:jc w:val="center"/>
              <w:rPr>
                <w:rFonts w:ascii="Arial Narrow" w:hAnsi="Arial Narrow"/>
                <w:b/>
                <w:sz w:val="20"/>
                <w:szCs w:val="20"/>
              </w:rPr>
            </w:pPr>
            <w:r w:rsidRPr="008D6802">
              <w:rPr>
                <w:rFonts w:ascii="Arial Narrow" w:hAnsi="Arial Narrow"/>
                <w:b/>
                <w:sz w:val="20"/>
                <w:szCs w:val="20"/>
              </w:rPr>
              <w:t>(Aug 2015-Jul 2016)</w:t>
            </w:r>
          </w:p>
        </w:tc>
        <w:tc>
          <w:tcPr>
            <w:tcW w:w="1797" w:type="pct"/>
            <w:shd w:val="clear" w:color="auto" w:fill="auto"/>
          </w:tcPr>
          <w:p w:rsidR="004207A6" w:rsidRPr="008D6802" w:rsidRDefault="004207A6" w:rsidP="009D0430">
            <w:pPr>
              <w:jc w:val="center"/>
              <w:rPr>
                <w:rFonts w:ascii="Arial Narrow" w:hAnsi="Arial Narrow"/>
                <w:b/>
                <w:sz w:val="20"/>
                <w:szCs w:val="20"/>
              </w:rPr>
            </w:pPr>
            <w:r w:rsidRPr="008D6802">
              <w:rPr>
                <w:rFonts w:ascii="Arial Narrow" w:hAnsi="Arial Narrow"/>
                <w:b/>
                <w:sz w:val="20"/>
                <w:szCs w:val="20"/>
              </w:rPr>
              <w:t>Deed Year 2</w:t>
            </w:r>
          </w:p>
          <w:p w:rsidR="004207A6" w:rsidRPr="008D6802" w:rsidRDefault="004207A6" w:rsidP="009D0430">
            <w:pPr>
              <w:jc w:val="center"/>
              <w:rPr>
                <w:rFonts w:ascii="Arial Narrow" w:hAnsi="Arial Narrow"/>
                <w:b/>
                <w:sz w:val="20"/>
                <w:szCs w:val="20"/>
              </w:rPr>
            </w:pPr>
            <w:r w:rsidRPr="008D6802">
              <w:rPr>
                <w:rFonts w:ascii="Arial Narrow" w:hAnsi="Arial Narrow"/>
                <w:b/>
                <w:sz w:val="20"/>
                <w:szCs w:val="20"/>
              </w:rPr>
              <w:t>(Aug 2016 – Jul 2017)</w:t>
            </w:r>
          </w:p>
        </w:tc>
      </w:tr>
      <w:tr w:rsidR="004207A6" w:rsidRPr="008D6802" w:rsidTr="000C7286">
        <w:tc>
          <w:tcPr>
            <w:tcW w:w="5000" w:type="pct"/>
            <w:gridSpan w:val="3"/>
            <w:shd w:val="clear" w:color="auto" w:fill="auto"/>
          </w:tcPr>
          <w:p w:rsidR="004207A6" w:rsidRPr="008D6802" w:rsidRDefault="004207A6" w:rsidP="00BD37AE">
            <w:pPr>
              <w:rPr>
                <w:rFonts w:ascii="Arial Narrow" w:hAnsi="Arial Narrow"/>
                <w:b/>
                <w:sz w:val="20"/>
                <w:szCs w:val="20"/>
                <w:vertAlign w:val="superscript"/>
              </w:rPr>
            </w:pPr>
            <w:r w:rsidRPr="008D6802">
              <w:rPr>
                <w:rFonts w:ascii="Arial Narrow" w:hAnsi="Arial Narrow"/>
                <w:b/>
                <w:sz w:val="20"/>
                <w:szCs w:val="20"/>
              </w:rPr>
              <w:t>Number of patients</w:t>
            </w:r>
            <w:r w:rsidRPr="008D6802">
              <w:rPr>
                <w:rFonts w:ascii="Arial Narrow" w:hAnsi="Arial Narrow"/>
                <w:b/>
                <w:sz w:val="20"/>
                <w:szCs w:val="20"/>
                <w:vertAlign w:val="superscript"/>
              </w:rPr>
              <w:t>1</w:t>
            </w:r>
          </w:p>
        </w:tc>
      </w:tr>
      <w:tr w:rsidR="004207A6" w:rsidRPr="008D6802" w:rsidTr="000C7286">
        <w:tc>
          <w:tcPr>
            <w:tcW w:w="1646" w:type="pct"/>
            <w:shd w:val="clear" w:color="auto" w:fill="auto"/>
          </w:tcPr>
          <w:p w:rsidR="004207A6" w:rsidRPr="008D6802" w:rsidRDefault="004207A6" w:rsidP="00BD37AE">
            <w:pPr>
              <w:rPr>
                <w:rFonts w:ascii="Arial Narrow" w:hAnsi="Arial Narrow"/>
                <w:sz w:val="20"/>
                <w:szCs w:val="20"/>
              </w:rPr>
            </w:pPr>
            <w:r w:rsidRPr="008D6802">
              <w:rPr>
                <w:rFonts w:ascii="Arial Narrow" w:hAnsi="Arial Narrow"/>
                <w:sz w:val="20"/>
                <w:szCs w:val="20"/>
              </w:rPr>
              <w:t>Predicted</w:t>
            </w:r>
          </w:p>
        </w:tc>
        <w:tc>
          <w:tcPr>
            <w:tcW w:w="1557" w:type="pct"/>
            <w:shd w:val="clear" w:color="auto" w:fill="auto"/>
            <w:vAlign w:val="bottom"/>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7" w:type="pct"/>
            <w:shd w:val="clear" w:color="auto" w:fill="auto"/>
            <w:vAlign w:val="bottom"/>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207A6" w:rsidRPr="008D6802" w:rsidTr="000C7286">
        <w:tc>
          <w:tcPr>
            <w:tcW w:w="1646" w:type="pct"/>
            <w:shd w:val="clear" w:color="auto" w:fill="auto"/>
          </w:tcPr>
          <w:p w:rsidR="004207A6" w:rsidRPr="008D6802" w:rsidRDefault="004207A6" w:rsidP="00BD37AE">
            <w:pPr>
              <w:rPr>
                <w:rFonts w:ascii="Arial Narrow" w:hAnsi="Arial Narrow"/>
                <w:sz w:val="20"/>
                <w:szCs w:val="20"/>
              </w:rPr>
            </w:pPr>
            <w:r w:rsidRPr="008D6802">
              <w:rPr>
                <w:rFonts w:ascii="Arial Narrow" w:hAnsi="Arial Narrow"/>
                <w:sz w:val="20"/>
                <w:szCs w:val="20"/>
              </w:rPr>
              <w:t>Actual</w:t>
            </w:r>
          </w:p>
        </w:tc>
        <w:tc>
          <w:tcPr>
            <w:tcW w:w="1557" w:type="pct"/>
            <w:shd w:val="clear" w:color="auto" w:fill="auto"/>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7" w:type="pct"/>
            <w:shd w:val="clear" w:color="auto" w:fill="auto"/>
          </w:tcPr>
          <w:p w:rsidR="004207A6" w:rsidRPr="00594542" w:rsidRDefault="0019102D" w:rsidP="0019102D">
            <w:pPr>
              <w:tabs>
                <w:tab w:val="left" w:pos="1335"/>
                <w:tab w:val="center" w:pos="1522"/>
              </w:tabs>
              <w:rPr>
                <w:rFonts w:ascii="Arial Narrow" w:hAnsi="Arial Narrow"/>
                <w:sz w:val="20"/>
                <w:szCs w:val="20"/>
                <w:highlight w:val="black"/>
              </w:rPr>
            </w:pPr>
            <w:r>
              <w:rPr>
                <w:rFonts w:ascii="Arial Narrow" w:hAnsi="Arial Narrow"/>
                <w:sz w:val="20"/>
                <w:szCs w:val="20"/>
              </w:rPr>
              <w:tab/>
            </w:r>
            <w:r w:rsidR="00594542">
              <w:rPr>
                <w:rFonts w:ascii="Arial Narrow" w:hAnsi="Arial Narrow"/>
                <w:noProof/>
                <w:color w:val="000000"/>
                <w:sz w:val="20"/>
                <w:szCs w:val="20"/>
                <w:highlight w:val="black"/>
              </w:rPr>
              <w:t>''''''''''</w:t>
            </w:r>
          </w:p>
        </w:tc>
      </w:tr>
      <w:tr w:rsidR="004207A6" w:rsidRPr="008D6802" w:rsidTr="000C7286">
        <w:tc>
          <w:tcPr>
            <w:tcW w:w="1646" w:type="pct"/>
            <w:shd w:val="clear" w:color="auto" w:fill="auto"/>
          </w:tcPr>
          <w:p w:rsidR="004207A6" w:rsidRPr="008D6802" w:rsidRDefault="004207A6" w:rsidP="00BD37AE">
            <w:pPr>
              <w:rPr>
                <w:rFonts w:ascii="Arial Narrow" w:hAnsi="Arial Narrow"/>
                <w:sz w:val="20"/>
                <w:szCs w:val="20"/>
              </w:rPr>
            </w:pPr>
            <w:r w:rsidRPr="008D6802">
              <w:rPr>
                <w:rFonts w:ascii="Arial Narrow" w:hAnsi="Arial Narrow"/>
                <w:sz w:val="20"/>
                <w:szCs w:val="20"/>
              </w:rPr>
              <w:t>Difference (Actual vs Predicted), %</w:t>
            </w:r>
          </w:p>
        </w:tc>
        <w:tc>
          <w:tcPr>
            <w:tcW w:w="1557" w:type="pct"/>
            <w:shd w:val="clear" w:color="auto" w:fill="auto"/>
          </w:tcPr>
          <w:p w:rsidR="004207A6" w:rsidRPr="008D6802" w:rsidRDefault="000805DE" w:rsidP="00BD37AE">
            <w:pPr>
              <w:jc w:val="center"/>
              <w:rPr>
                <w:rFonts w:ascii="Arial Narrow" w:hAnsi="Arial Narrow"/>
                <w:sz w:val="20"/>
                <w:szCs w:val="20"/>
              </w:rPr>
            </w:pPr>
            <w:r>
              <w:rPr>
                <w:rFonts w:ascii="Arial Narrow" w:hAnsi="Arial Narrow"/>
                <w:noProof/>
                <w:color w:val="000000"/>
                <w:sz w:val="20"/>
                <w:szCs w:val="20"/>
                <w:highlight w:val="black"/>
              </w:rPr>
              <w:t>'''</w:t>
            </w:r>
            <w:r w:rsidR="00594542">
              <w:rPr>
                <w:rFonts w:ascii="Arial Narrow" w:hAnsi="Arial Narrow"/>
                <w:noProof/>
                <w:color w:val="000000"/>
                <w:sz w:val="20"/>
                <w:szCs w:val="20"/>
                <w:highlight w:val="black"/>
              </w:rPr>
              <w:t>'''''''''''</w:t>
            </w:r>
            <w:r w:rsidR="004207A6" w:rsidRPr="008D6802">
              <w:rPr>
                <w:rFonts w:ascii="Arial Narrow" w:hAnsi="Arial Narrow"/>
                <w:sz w:val="20"/>
                <w:szCs w:val="20"/>
              </w:rPr>
              <w:t>%</w:t>
            </w:r>
          </w:p>
        </w:tc>
        <w:tc>
          <w:tcPr>
            <w:tcW w:w="1797" w:type="pct"/>
            <w:shd w:val="clear" w:color="auto" w:fill="auto"/>
          </w:tcPr>
          <w:p w:rsidR="004207A6" w:rsidRPr="008D6802" w:rsidRDefault="000805DE" w:rsidP="00BD37AE">
            <w:pPr>
              <w:jc w:val="center"/>
              <w:rPr>
                <w:rFonts w:ascii="Arial Narrow" w:hAnsi="Arial Narrow"/>
                <w:sz w:val="20"/>
                <w:szCs w:val="20"/>
              </w:rPr>
            </w:pPr>
            <w:r>
              <w:rPr>
                <w:rFonts w:ascii="Arial Narrow" w:hAnsi="Arial Narrow"/>
                <w:noProof/>
                <w:color w:val="000000"/>
                <w:sz w:val="20"/>
                <w:szCs w:val="20"/>
                <w:highlight w:val="black"/>
              </w:rPr>
              <w:t>'''</w:t>
            </w:r>
            <w:r w:rsidR="00594542">
              <w:rPr>
                <w:rFonts w:ascii="Arial Narrow" w:hAnsi="Arial Narrow"/>
                <w:noProof/>
                <w:color w:val="000000"/>
                <w:sz w:val="20"/>
                <w:szCs w:val="20"/>
                <w:highlight w:val="black"/>
              </w:rPr>
              <w:t>''''''''''</w:t>
            </w:r>
            <w:r w:rsidR="004207A6" w:rsidRPr="008D6802">
              <w:rPr>
                <w:rFonts w:ascii="Arial Narrow" w:hAnsi="Arial Narrow"/>
                <w:sz w:val="20"/>
                <w:szCs w:val="20"/>
              </w:rPr>
              <w:t>%</w:t>
            </w:r>
          </w:p>
        </w:tc>
      </w:tr>
      <w:tr w:rsidR="004207A6" w:rsidRPr="008D6802" w:rsidTr="000C7286">
        <w:tc>
          <w:tcPr>
            <w:tcW w:w="5000" w:type="pct"/>
            <w:gridSpan w:val="3"/>
            <w:shd w:val="clear" w:color="auto" w:fill="auto"/>
          </w:tcPr>
          <w:p w:rsidR="004207A6" w:rsidRPr="008D6802" w:rsidRDefault="004207A6" w:rsidP="00BD37AE">
            <w:pPr>
              <w:rPr>
                <w:rFonts w:ascii="Arial Narrow" w:hAnsi="Arial Narrow"/>
                <w:b/>
                <w:sz w:val="20"/>
                <w:szCs w:val="20"/>
                <w:vertAlign w:val="superscript"/>
              </w:rPr>
            </w:pPr>
            <w:r w:rsidRPr="008D6802">
              <w:rPr>
                <w:rFonts w:ascii="Arial Narrow" w:hAnsi="Arial Narrow"/>
                <w:b/>
                <w:sz w:val="20"/>
                <w:szCs w:val="20"/>
              </w:rPr>
              <w:t>Number of prescriptions</w:t>
            </w:r>
            <w:r w:rsidRPr="008D6802">
              <w:rPr>
                <w:rFonts w:ascii="Arial Narrow" w:hAnsi="Arial Narrow"/>
                <w:b/>
                <w:sz w:val="20"/>
                <w:szCs w:val="20"/>
                <w:vertAlign w:val="superscript"/>
              </w:rPr>
              <w:t>1</w:t>
            </w:r>
          </w:p>
        </w:tc>
      </w:tr>
      <w:tr w:rsidR="004207A6" w:rsidRPr="008D6802" w:rsidTr="000C7286">
        <w:tc>
          <w:tcPr>
            <w:tcW w:w="1646" w:type="pct"/>
            <w:shd w:val="clear" w:color="auto" w:fill="auto"/>
          </w:tcPr>
          <w:p w:rsidR="004207A6" w:rsidRPr="008D6802" w:rsidRDefault="004207A6" w:rsidP="00BD37AE">
            <w:pPr>
              <w:rPr>
                <w:rFonts w:ascii="Arial Narrow" w:hAnsi="Arial Narrow"/>
                <w:sz w:val="20"/>
                <w:szCs w:val="20"/>
              </w:rPr>
            </w:pPr>
            <w:r w:rsidRPr="008D6802">
              <w:rPr>
                <w:rFonts w:ascii="Arial Narrow" w:hAnsi="Arial Narrow"/>
                <w:sz w:val="20"/>
                <w:szCs w:val="20"/>
              </w:rPr>
              <w:t>Predicted</w:t>
            </w:r>
          </w:p>
        </w:tc>
        <w:tc>
          <w:tcPr>
            <w:tcW w:w="1557" w:type="pct"/>
            <w:shd w:val="clear" w:color="auto" w:fill="auto"/>
            <w:vAlign w:val="bottom"/>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7" w:type="pct"/>
            <w:shd w:val="clear" w:color="auto" w:fill="auto"/>
            <w:vAlign w:val="bottom"/>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207A6" w:rsidRPr="008D6802" w:rsidTr="000C7286">
        <w:tc>
          <w:tcPr>
            <w:tcW w:w="1646" w:type="pct"/>
            <w:shd w:val="clear" w:color="auto" w:fill="auto"/>
          </w:tcPr>
          <w:p w:rsidR="004207A6" w:rsidRPr="008D6802" w:rsidRDefault="004207A6" w:rsidP="00BD37AE">
            <w:pPr>
              <w:rPr>
                <w:rFonts w:ascii="Arial Narrow" w:hAnsi="Arial Narrow"/>
                <w:sz w:val="20"/>
                <w:szCs w:val="20"/>
              </w:rPr>
            </w:pPr>
            <w:r w:rsidRPr="008D6802">
              <w:rPr>
                <w:rFonts w:ascii="Arial Narrow" w:hAnsi="Arial Narrow"/>
                <w:sz w:val="20"/>
                <w:szCs w:val="20"/>
              </w:rPr>
              <w:t>Actual</w:t>
            </w:r>
          </w:p>
        </w:tc>
        <w:tc>
          <w:tcPr>
            <w:tcW w:w="1557" w:type="pct"/>
            <w:shd w:val="clear" w:color="auto" w:fill="auto"/>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7" w:type="pct"/>
            <w:shd w:val="clear" w:color="auto" w:fill="auto"/>
          </w:tcPr>
          <w:p w:rsidR="004207A6" w:rsidRPr="00594542" w:rsidRDefault="00594542" w:rsidP="00BD37A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207A6" w:rsidRPr="008D6802" w:rsidTr="000C7286">
        <w:tc>
          <w:tcPr>
            <w:tcW w:w="1646" w:type="pct"/>
            <w:shd w:val="clear" w:color="auto" w:fill="auto"/>
          </w:tcPr>
          <w:p w:rsidR="004207A6" w:rsidRPr="008D6802" w:rsidRDefault="004207A6" w:rsidP="00BD37AE">
            <w:pPr>
              <w:rPr>
                <w:rFonts w:ascii="Arial Narrow" w:hAnsi="Arial Narrow"/>
                <w:sz w:val="20"/>
                <w:szCs w:val="20"/>
              </w:rPr>
            </w:pPr>
            <w:r w:rsidRPr="008D6802">
              <w:rPr>
                <w:rFonts w:ascii="Arial Narrow" w:hAnsi="Arial Narrow"/>
                <w:sz w:val="20"/>
                <w:szCs w:val="20"/>
              </w:rPr>
              <w:t>Difference (Actual vs Predicted), %</w:t>
            </w:r>
          </w:p>
        </w:tc>
        <w:tc>
          <w:tcPr>
            <w:tcW w:w="1557" w:type="pct"/>
            <w:shd w:val="clear" w:color="auto" w:fill="auto"/>
          </w:tcPr>
          <w:p w:rsidR="004207A6" w:rsidRPr="008D6802" w:rsidRDefault="000805DE" w:rsidP="00BD37AE">
            <w:pPr>
              <w:jc w:val="center"/>
              <w:rPr>
                <w:rFonts w:ascii="Arial Narrow" w:hAnsi="Arial Narrow"/>
                <w:sz w:val="20"/>
                <w:szCs w:val="20"/>
              </w:rPr>
            </w:pPr>
            <w:r>
              <w:rPr>
                <w:rFonts w:ascii="Arial Narrow" w:hAnsi="Arial Narrow"/>
                <w:noProof/>
                <w:color w:val="000000"/>
                <w:sz w:val="20"/>
                <w:szCs w:val="20"/>
                <w:highlight w:val="black"/>
              </w:rPr>
              <w:t>'''</w:t>
            </w:r>
            <w:r w:rsidR="00594542">
              <w:rPr>
                <w:rFonts w:ascii="Arial Narrow" w:hAnsi="Arial Narrow"/>
                <w:noProof/>
                <w:color w:val="000000"/>
                <w:sz w:val="20"/>
                <w:szCs w:val="20"/>
                <w:highlight w:val="black"/>
              </w:rPr>
              <w:t>''''''''''</w:t>
            </w:r>
            <w:r w:rsidR="004207A6" w:rsidRPr="008D6802">
              <w:rPr>
                <w:rFonts w:ascii="Arial Narrow" w:hAnsi="Arial Narrow"/>
                <w:sz w:val="20"/>
                <w:szCs w:val="20"/>
              </w:rPr>
              <w:t>%</w:t>
            </w:r>
          </w:p>
        </w:tc>
        <w:tc>
          <w:tcPr>
            <w:tcW w:w="1797" w:type="pct"/>
            <w:shd w:val="clear" w:color="auto" w:fill="auto"/>
          </w:tcPr>
          <w:p w:rsidR="004207A6" w:rsidRPr="008D6802" w:rsidRDefault="000805DE" w:rsidP="00BD37AE">
            <w:pPr>
              <w:jc w:val="center"/>
              <w:rPr>
                <w:rFonts w:ascii="Arial Narrow" w:hAnsi="Arial Narrow"/>
                <w:sz w:val="20"/>
                <w:szCs w:val="20"/>
              </w:rPr>
            </w:pPr>
            <w:r>
              <w:rPr>
                <w:rFonts w:ascii="Arial Narrow" w:hAnsi="Arial Narrow"/>
                <w:noProof/>
                <w:color w:val="000000"/>
                <w:sz w:val="20"/>
                <w:szCs w:val="20"/>
                <w:highlight w:val="black"/>
              </w:rPr>
              <w:t>''</w:t>
            </w:r>
            <w:r w:rsidR="00594542">
              <w:rPr>
                <w:rFonts w:ascii="Arial Narrow" w:hAnsi="Arial Narrow"/>
                <w:noProof/>
                <w:color w:val="000000"/>
                <w:sz w:val="20"/>
                <w:szCs w:val="20"/>
                <w:highlight w:val="black"/>
              </w:rPr>
              <w:t>''''''''''</w:t>
            </w:r>
            <w:r w:rsidR="004207A6" w:rsidRPr="008D6802">
              <w:rPr>
                <w:rFonts w:ascii="Arial Narrow" w:hAnsi="Arial Narrow"/>
                <w:sz w:val="20"/>
                <w:szCs w:val="20"/>
              </w:rPr>
              <w:t>%</w:t>
            </w:r>
          </w:p>
        </w:tc>
      </w:tr>
      <w:tr w:rsidR="004207A6" w:rsidRPr="008D6802" w:rsidTr="000C7286">
        <w:tc>
          <w:tcPr>
            <w:tcW w:w="5000" w:type="pct"/>
            <w:gridSpan w:val="3"/>
            <w:shd w:val="clear" w:color="auto" w:fill="auto"/>
          </w:tcPr>
          <w:p w:rsidR="004207A6" w:rsidRPr="008D6802" w:rsidRDefault="004207A6" w:rsidP="00BD37AE">
            <w:pPr>
              <w:rPr>
                <w:rFonts w:ascii="Arial Narrow" w:hAnsi="Arial Narrow"/>
                <w:b/>
                <w:color w:val="000000"/>
                <w:sz w:val="20"/>
                <w:szCs w:val="20"/>
              </w:rPr>
            </w:pPr>
            <w:r w:rsidRPr="008D6802">
              <w:rPr>
                <w:rFonts w:ascii="Arial Narrow" w:hAnsi="Arial Narrow"/>
                <w:b/>
                <w:color w:val="000000"/>
                <w:sz w:val="20"/>
                <w:szCs w:val="20"/>
              </w:rPr>
              <w:t>Net cost to Government</w:t>
            </w:r>
          </w:p>
        </w:tc>
      </w:tr>
      <w:tr w:rsidR="004207A6" w:rsidRPr="008D6802" w:rsidTr="000C7286">
        <w:tc>
          <w:tcPr>
            <w:tcW w:w="1646" w:type="pct"/>
          </w:tcPr>
          <w:p w:rsidR="004207A6" w:rsidRPr="008D6802" w:rsidRDefault="004207A6" w:rsidP="00BD37AE">
            <w:pPr>
              <w:rPr>
                <w:rFonts w:ascii="Arial Narrow" w:hAnsi="Arial Narrow"/>
                <w:sz w:val="20"/>
                <w:szCs w:val="20"/>
              </w:rPr>
            </w:pPr>
            <w:r w:rsidRPr="008D6802">
              <w:rPr>
                <w:rFonts w:ascii="Arial Narrow" w:hAnsi="Arial Narrow"/>
                <w:sz w:val="20"/>
                <w:szCs w:val="20"/>
              </w:rPr>
              <w:t>Subsidisation cap</w:t>
            </w:r>
          </w:p>
        </w:tc>
        <w:tc>
          <w:tcPr>
            <w:tcW w:w="1557" w:type="pct"/>
            <w:vAlign w:val="bottom"/>
          </w:tcPr>
          <w:p w:rsidR="004207A6" w:rsidRPr="008D6802" w:rsidRDefault="004207A6" w:rsidP="00BD37AE">
            <w:pPr>
              <w:jc w:val="center"/>
              <w:rPr>
                <w:rFonts w:ascii="Arial Narrow" w:hAnsi="Arial Narrow"/>
                <w:color w:val="000000"/>
                <w:sz w:val="20"/>
                <w:szCs w:val="20"/>
              </w:rPr>
            </w:pPr>
            <w:r w:rsidRPr="008D6802">
              <w:rPr>
                <w:rFonts w:ascii="Arial Narrow" w:hAnsi="Arial Narrow"/>
                <w:color w:val="000000"/>
                <w:sz w:val="20"/>
                <w:szCs w:val="20"/>
              </w:rPr>
              <w:t>$</w:t>
            </w:r>
            <w:r w:rsidR="00594542">
              <w:rPr>
                <w:rFonts w:ascii="Arial Narrow" w:hAnsi="Arial Narrow"/>
                <w:noProof/>
                <w:color w:val="000000"/>
                <w:sz w:val="20"/>
                <w:szCs w:val="20"/>
                <w:highlight w:val="black"/>
              </w:rPr>
              <w:t>''''''''''''''''''''''''''''</w:t>
            </w:r>
          </w:p>
        </w:tc>
        <w:tc>
          <w:tcPr>
            <w:tcW w:w="1797" w:type="pct"/>
            <w:vAlign w:val="bottom"/>
          </w:tcPr>
          <w:p w:rsidR="004207A6" w:rsidRPr="008D6802" w:rsidRDefault="004207A6" w:rsidP="00BD37AE">
            <w:pPr>
              <w:jc w:val="center"/>
              <w:rPr>
                <w:rFonts w:ascii="Arial Narrow" w:hAnsi="Arial Narrow"/>
                <w:color w:val="000000"/>
                <w:sz w:val="20"/>
                <w:szCs w:val="20"/>
              </w:rPr>
            </w:pPr>
            <w:r w:rsidRPr="008D6802">
              <w:rPr>
                <w:rFonts w:ascii="Arial Narrow" w:hAnsi="Arial Narrow"/>
                <w:color w:val="000000"/>
                <w:sz w:val="20"/>
                <w:szCs w:val="20"/>
              </w:rPr>
              <w:t>$</w:t>
            </w:r>
            <w:r w:rsidR="00594542">
              <w:rPr>
                <w:rFonts w:ascii="Arial Narrow" w:hAnsi="Arial Narrow"/>
                <w:noProof/>
                <w:color w:val="000000"/>
                <w:sz w:val="20"/>
                <w:szCs w:val="20"/>
                <w:highlight w:val="black"/>
              </w:rPr>
              <w:t>'''''''''''''''''''''''</w:t>
            </w:r>
          </w:p>
        </w:tc>
      </w:tr>
      <w:tr w:rsidR="004207A6" w:rsidRPr="008D6802" w:rsidTr="000C7286">
        <w:tc>
          <w:tcPr>
            <w:tcW w:w="1646" w:type="pct"/>
          </w:tcPr>
          <w:p w:rsidR="004207A6" w:rsidRPr="008D6802" w:rsidRDefault="004207A6" w:rsidP="00BD37AE">
            <w:pPr>
              <w:rPr>
                <w:rFonts w:ascii="Arial Narrow" w:hAnsi="Arial Narrow"/>
                <w:sz w:val="20"/>
                <w:szCs w:val="20"/>
              </w:rPr>
            </w:pPr>
            <w:r w:rsidRPr="008D6802">
              <w:rPr>
                <w:rFonts w:ascii="Arial Narrow" w:hAnsi="Arial Narrow"/>
                <w:sz w:val="20"/>
                <w:szCs w:val="20"/>
              </w:rPr>
              <w:t>Proportion of cap reached</w:t>
            </w:r>
          </w:p>
        </w:tc>
        <w:tc>
          <w:tcPr>
            <w:tcW w:w="1557" w:type="pct"/>
            <w:vAlign w:val="bottom"/>
          </w:tcPr>
          <w:p w:rsidR="004207A6" w:rsidRPr="008D6802" w:rsidRDefault="00594542" w:rsidP="00BD37AE">
            <w:pPr>
              <w:jc w:val="center"/>
              <w:rPr>
                <w:rFonts w:ascii="Arial Narrow" w:hAnsi="Arial Narrow"/>
                <w:color w:val="000000"/>
                <w:sz w:val="20"/>
                <w:szCs w:val="20"/>
              </w:rPr>
            </w:pPr>
            <w:r>
              <w:rPr>
                <w:rFonts w:ascii="Arial Narrow" w:hAnsi="Arial Narrow"/>
                <w:noProof/>
                <w:color w:val="000000"/>
                <w:sz w:val="20"/>
                <w:szCs w:val="20"/>
                <w:highlight w:val="black"/>
              </w:rPr>
              <w:t>''''''''''''''</w:t>
            </w:r>
            <w:r w:rsidR="004207A6" w:rsidRPr="008D6802">
              <w:rPr>
                <w:rFonts w:ascii="Arial Narrow" w:hAnsi="Arial Narrow"/>
                <w:color w:val="000000"/>
                <w:sz w:val="20"/>
                <w:szCs w:val="20"/>
              </w:rPr>
              <w:t>%</w:t>
            </w:r>
          </w:p>
        </w:tc>
        <w:tc>
          <w:tcPr>
            <w:tcW w:w="1797" w:type="pct"/>
            <w:vAlign w:val="bottom"/>
          </w:tcPr>
          <w:p w:rsidR="004207A6" w:rsidRPr="008D6802" w:rsidRDefault="00594542" w:rsidP="00BD37AE">
            <w:pPr>
              <w:jc w:val="center"/>
              <w:rPr>
                <w:rFonts w:ascii="Arial Narrow" w:hAnsi="Arial Narrow"/>
                <w:color w:val="000000"/>
                <w:sz w:val="20"/>
                <w:szCs w:val="20"/>
              </w:rPr>
            </w:pPr>
            <w:r>
              <w:rPr>
                <w:rFonts w:ascii="Arial Narrow" w:hAnsi="Arial Narrow"/>
                <w:noProof/>
                <w:color w:val="000000"/>
                <w:sz w:val="20"/>
                <w:szCs w:val="20"/>
                <w:highlight w:val="black"/>
              </w:rPr>
              <w:t>'''''''''''''''</w:t>
            </w:r>
            <w:r w:rsidR="004207A6" w:rsidRPr="008D6802">
              <w:rPr>
                <w:rFonts w:ascii="Arial Narrow" w:hAnsi="Arial Narrow"/>
                <w:color w:val="000000"/>
                <w:sz w:val="20"/>
                <w:szCs w:val="20"/>
              </w:rPr>
              <w:t>%</w:t>
            </w:r>
          </w:p>
        </w:tc>
      </w:tr>
      <w:tr w:rsidR="004207A6" w:rsidRPr="008D6802" w:rsidTr="000C7286">
        <w:tc>
          <w:tcPr>
            <w:tcW w:w="1646" w:type="pct"/>
          </w:tcPr>
          <w:p w:rsidR="004207A6" w:rsidRPr="008D6802" w:rsidRDefault="004207A6" w:rsidP="00BD37AE">
            <w:pPr>
              <w:rPr>
                <w:rFonts w:ascii="Arial Narrow" w:hAnsi="Arial Narrow"/>
                <w:sz w:val="20"/>
                <w:szCs w:val="20"/>
              </w:rPr>
            </w:pPr>
            <w:r w:rsidRPr="008D6802">
              <w:rPr>
                <w:rFonts w:ascii="Arial Narrow" w:hAnsi="Arial Narrow"/>
                <w:sz w:val="20"/>
                <w:szCs w:val="20"/>
              </w:rPr>
              <w:t>Actual expenditure</w:t>
            </w:r>
          </w:p>
        </w:tc>
        <w:tc>
          <w:tcPr>
            <w:tcW w:w="1557" w:type="pct"/>
            <w:vAlign w:val="bottom"/>
          </w:tcPr>
          <w:p w:rsidR="004207A6" w:rsidRPr="008D6802" w:rsidRDefault="004207A6" w:rsidP="00BD37AE">
            <w:pPr>
              <w:jc w:val="center"/>
              <w:rPr>
                <w:rFonts w:ascii="Arial Narrow" w:hAnsi="Arial Narrow"/>
                <w:color w:val="000000"/>
                <w:sz w:val="20"/>
                <w:szCs w:val="20"/>
              </w:rPr>
            </w:pPr>
            <w:r w:rsidRPr="008D6802">
              <w:rPr>
                <w:rFonts w:ascii="Arial Narrow" w:hAnsi="Arial Narrow"/>
                <w:color w:val="000000"/>
                <w:sz w:val="20"/>
                <w:szCs w:val="20"/>
              </w:rPr>
              <w:t>$</w:t>
            </w:r>
            <w:r w:rsidR="00594542">
              <w:rPr>
                <w:rFonts w:ascii="Arial Narrow" w:hAnsi="Arial Narrow"/>
                <w:noProof/>
                <w:color w:val="000000"/>
                <w:sz w:val="20"/>
                <w:szCs w:val="20"/>
                <w:highlight w:val="black"/>
              </w:rPr>
              <w:t>'''''''''''''''''''''</w:t>
            </w:r>
          </w:p>
        </w:tc>
        <w:tc>
          <w:tcPr>
            <w:tcW w:w="1797" w:type="pct"/>
            <w:vAlign w:val="bottom"/>
          </w:tcPr>
          <w:p w:rsidR="004207A6" w:rsidRPr="008D6802" w:rsidRDefault="004207A6" w:rsidP="00BD37AE">
            <w:pPr>
              <w:jc w:val="center"/>
              <w:rPr>
                <w:rFonts w:ascii="Arial Narrow" w:hAnsi="Arial Narrow"/>
                <w:color w:val="000000"/>
                <w:sz w:val="20"/>
                <w:szCs w:val="20"/>
              </w:rPr>
            </w:pPr>
            <w:r w:rsidRPr="008D6802">
              <w:rPr>
                <w:rFonts w:ascii="Arial Narrow" w:hAnsi="Arial Narrow"/>
                <w:color w:val="000000"/>
                <w:sz w:val="20"/>
                <w:szCs w:val="20"/>
              </w:rPr>
              <w:t>$</w:t>
            </w:r>
            <w:r w:rsidR="00594542">
              <w:rPr>
                <w:rFonts w:ascii="Arial Narrow" w:hAnsi="Arial Narrow"/>
                <w:noProof/>
                <w:color w:val="000000"/>
                <w:sz w:val="20"/>
                <w:szCs w:val="20"/>
                <w:highlight w:val="black"/>
              </w:rPr>
              <w:t>''''''''''''''''''''''''''</w:t>
            </w:r>
          </w:p>
        </w:tc>
      </w:tr>
    </w:tbl>
    <w:p w:rsidR="004207A6" w:rsidRPr="008D6802" w:rsidRDefault="004207A6" w:rsidP="006B22D9">
      <w:pPr>
        <w:rPr>
          <w:rFonts w:ascii="Arial Narrow" w:hAnsi="Arial Narrow" w:cs="Arial"/>
          <w:snapToGrid w:val="0"/>
          <w:sz w:val="18"/>
          <w:szCs w:val="18"/>
          <w:lang w:eastAsia="en-US"/>
        </w:rPr>
      </w:pPr>
      <w:r w:rsidRPr="008D6802">
        <w:rPr>
          <w:rFonts w:ascii="Arial Narrow" w:hAnsi="Arial Narrow" w:cs="Arial"/>
          <w:snapToGrid w:val="0"/>
          <w:sz w:val="18"/>
          <w:szCs w:val="18"/>
          <w:lang w:eastAsia="en-US"/>
        </w:rPr>
        <w:t>Note: Expenditure figures are based on the effective price.</w:t>
      </w:r>
      <w:r w:rsidR="00F9228C" w:rsidRPr="008D6802">
        <w:rPr>
          <w:rFonts w:ascii="Arial Narrow" w:hAnsi="Arial Narrow" w:cs="Arial"/>
          <w:snapToGrid w:val="0"/>
          <w:sz w:val="18"/>
          <w:szCs w:val="18"/>
          <w:lang w:eastAsia="en-US"/>
        </w:rPr>
        <w:t xml:space="preserve"> Data extraction was based on the date of supply.</w:t>
      </w:r>
    </w:p>
    <w:p w:rsidR="004207A6" w:rsidRPr="008D6802" w:rsidRDefault="00B606D1" w:rsidP="006B22D9">
      <w:pPr>
        <w:rPr>
          <w:b/>
        </w:rPr>
      </w:pPr>
      <w:r w:rsidRPr="008D6802">
        <w:rPr>
          <w:rFonts w:ascii="Arial Narrow" w:hAnsi="Arial Narrow" w:cs="Arial"/>
          <w:snapToGrid w:val="0"/>
          <w:sz w:val="18"/>
          <w:szCs w:val="18"/>
          <w:vertAlign w:val="superscript"/>
          <w:lang w:eastAsia="en-US"/>
        </w:rPr>
        <w:t>1</w:t>
      </w:r>
      <w:r w:rsidRPr="008D6802">
        <w:rPr>
          <w:rFonts w:ascii="Arial Narrow" w:hAnsi="Arial Narrow" w:cs="Arial"/>
          <w:snapToGrid w:val="0"/>
          <w:sz w:val="18"/>
          <w:szCs w:val="18"/>
          <w:lang w:eastAsia="en-US"/>
        </w:rPr>
        <w:t xml:space="preserve"> </w:t>
      </w:r>
      <w:r w:rsidR="004207A6" w:rsidRPr="008D6802">
        <w:rPr>
          <w:rFonts w:ascii="Arial Narrow" w:hAnsi="Arial Narrow" w:cs="Arial"/>
          <w:snapToGrid w:val="0"/>
          <w:sz w:val="18"/>
          <w:szCs w:val="18"/>
          <w:lang w:eastAsia="en-US"/>
        </w:rPr>
        <w:t>Figures are adjusted for the listing commencing on 1 August 2015.</w:t>
      </w:r>
    </w:p>
    <w:p w:rsidR="00D322B6" w:rsidRPr="008D6802" w:rsidRDefault="00633C07" w:rsidP="00D322B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D6802">
        <w:rPr>
          <w:rFonts w:asciiTheme="minorHAnsi" w:eastAsiaTheme="minorHAnsi" w:hAnsiTheme="minorHAnsi" w:cstheme="minorBidi"/>
          <w:snapToGrid/>
          <w:sz w:val="24"/>
          <w:szCs w:val="22"/>
        </w:rPr>
        <w:t>The PBAC noted that a</w:t>
      </w:r>
      <w:r w:rsidR="00D322B6" w:rsidRPr="008D6802">
        <w:rPr>
          <w:rFonts w:asciiTheme="minorHAnsi" w:eastAsiaTheme="minorHAnsi" w:hAnsiTheme="minorHAnsi" w:cstheme="minorBidi"/>
          <w:snapToGrid/>
          <w:sz w:val="24"/>
          <w:szCs w:val="22"/>
        </w:rPr>
        <w:t xml:space="preserve">t its February 2018 meeting, DUSC </w:t>
      </w:r>
      <w:r w:rsidR="008D6802">
        <w:rPr>
          <w:rFonts w:asciiTheme="minorHAnsi" w:eastAsiaTheme="minorHAnsi" w:hAnsiTheme="minorHAnsi" w:cstheme="minorBidi"/>
          <w:snapToGrid/>
          <w:sz w:val="24"/>
          <w:szCs w:val="22"/>
        </w:rPr>
        <w:t xml:space="preserve">indicated </w:t>
      </w:r>
      <w:r w:rsidR="00D322B6" w:rsidRPr="008D6802">
        <w:rPr>
          <w:rFonts w:asciiTheme="minorHAnsi" w:eastAsiaTheme="minorHAnsi" w:hAnsiTheme="minorHAnsi" w:cstheme="minorBidi"/>
          <w:snapToGrid/>
          <w:sz w:val="24"/>
          <w:szCs w:val="22"/>
        </w:rPr>
        <w:t>its intent to undertake a 24 month predicted versus actual analysis of obinutuzumab and ofatumumab for the treatment of chronic lymphocytic leukaemia.</w:t>
      </w:r>
      <w:r w:rsidR="009E1FDA" w:rsidRPr="008D6802">
        <w:rPr>
          <w:rStyle w:val="FootnoteReference"/>
          <w:rFonts w:asciiTheme="minorHAnsi" w:eastAsiaTheme="minorHAnsi" w:hAnsiTheme="minorHAnsi" w:cstheme="minorBidi"/>
          <w:snapToGrid/>
          <w:sz w:val="24"/>
          <w:szCs w:val="22"/>
        </w:rPr>
        <w:footnoteReference w:id="1"/>
      </w:r>
      <w:r w:rsidR="00D322B6" w:rsidRPr="008D6802">
        <w:rPr>
          <w:rFonts w:asciiTheme="minorHAnsi" w:eastAsiaTheme="minorHAnsi" w:hAnsiTheme="minorHAnsi" w:cstheme="minorBidi"/>
          <w:snapToGrid/>
          <w:sz w:val="24"/>
          <w:szCs w:val="22"/>
        </w:rPr>
        <w:t xml:space="preserve"> </w:t>
      </w:r>
    </w:p>
    <w:p w:rsidR="00CE10C4" w:rsidRPr="000805DE" w:rsidRDefault="00F41D26" w:rsidP="000805DE">
      <w:pPr>
        <w:pStyle w:val="BodyText2"/>
        <w:ind w:firstLine="709"/>
        <w:rPr>
          <w:rFonts w:asciiTheme="minorHAnsi" w:eastAsiaTheme="minorHAnsi" w:hAnsiTheme="minorHAnsi" w:cstheme="minorHAnsi"/>
          <w:b/>
          <w:i/>
          <w:snapToGrid/>
          <w:sz w:val="24"/>
        </w:rPr>
      </w:pPr>
      <w:r w:rsidRPr="000805DE">
        <w:rPr>
          <w:rFonts w:asciiTheme="minorHAnsi" w:eastAsiaTheme="minorHAnsi" w:hAnsiTheme="minorHAnsi" w:cstheme="minorHAnsi"/>
          <w:i/>
          <w:snapToGrid/>
          <w:sz w:val="24"/>
        </w:rPr>
        <w:t>For more detail on PBAC’s view, see section 5 PBAC outcome.</w:t>
      </w:r>
    </w:p>
    <w:p w:rsidR="00F41D26" w:rsidRPr="000A6828" w:rsidRDefault="00F41D26" w:rsidP="000A682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A6828">
        <w:rPr>
          <w:rFonts w:asciiTheme="minorHAnsi" w:hAnsiTheme="minorHAnsi"/>
          <w:sz w:val="32"/>
          <w:szCs w:val="32"/>
        </w:rPr>
        <w:t>PBAC Outcome</w:t>
      </w:r>
    </w:p>
    <w:p w:rsidR="00F41D26" w:rsidRPr="008D6802" w:rsidRDefault="00F41D26" w:rsidP="00F41D26">
      <w:pPr>
        <w:widowControl w:val="0"/>
        <w:numPr>
          <w:ilvl w:val="1"/>
          <w:numId w:val="5"/>
        </w:numPr>
        <w:spacing w:after="120"/>
        <w:jc w:val="both"/>
        <w:rPr>
          <w:rFonts w:asciiTheme="minorHAnsi" w:hAnsiTheme="minorHAnsi" w:cs="Arial"/>
          <w:bCs/>
          <w:snapToGrid w:val="0"/>
        </w:rPr>
      </w:pPr>
      <w:r w:rsidRPr="008D6802">
        <w:rPr>
          <w:rFonts w:asciiTheme="minorHAnsi" w:hAnsiTheme="minorHAnsi" w:cs="Arial"/>
          <w:bCs/>
          <w:snapToGrid w:val="0"/>
        </w:rPr>
        <w:t xml:space="preserve">The PBAC recommended </w:t>
      </w:r>
      <w:r w:rsidR="002D73B1">
        <w:rPr>
          <w:rFonts w:asciiTheme="minorHAnsi" w:eastAsiaTheme="minorHAnsi" w:hAnsiTheme="minorHAnsi" w:cstheme="minorBidi"/>
          <w:szCs w:val="22"/>
        </w:rPr>
        <w:t xml:space="preserve">changing </w:t>
      </w:r>
      <w:r w:rsidR="00EA2E06" w:rsidRPr="008D6802">
        <w:rPr>
          <w:rFonts w:asciiTheme="minorHAnsi" w:eastAsiaTheme="minorHAnsi" w:hAnsiTheme="minorHAnsi" w:cstheme="minorBidi"/>
          <w:szCs w:val="22"/>
        </w:rPr>
        <w:t xml:space="preserve">the current </w:t>
      </w:r>
      <w:r w:rsidR="00825B1D">
        <w:rPr>
          <w:rFonts w:asciiTheme="minorHAnsi" w:eastAsiaTheme="minorHAnsi" w:hAnsiTheme="minorHAnsi" w:cstheme="minorBidi"/>
          <w:szCs w:val="22"/>
        </w:rPr>
        <w:t xml:space="preserve">S100 Efficient Funding of Chemotherapy </w:t>
      </w:r>
      <w:r w:rsidR="00BE707C">
        <w:rPr>
          <w:rFonts w:asciiTheme="minorHAnsi" w:eastAsiaTheme="minorHAnsi" w:hAnsiTheme="minorHAnsi" w:cstheme="minorBidi"/>
          <w:szCs w:val="22"/>
        </w:rPr>
        <w:t xml:space="preserve">(EFC) </w:t>
      </w:r>
      <w:r w:rsidR="00825B1D">
        <w:rPr>
          <w:rFonts w:asciiTheme="minorHAnsi" w:eastAsiaTheme="minorHAnsi" w:hAnsiTheme="minorHAnsi" w:cstheme="minorBidi"/>
          <w:szCs w:val="22"/>
        </w:rPr>
        <w:t xml:space="preserve">Program </w:t>
      </w:r>
      <w:r w:rsidR="00EA2E06" w:rsidRPr="008D6802">
        <w:rPr>
          <w:rFonts w:asciiTheme="minorHAnsi" w:eastAsiaTheme="minorHAnsi" w:hAnsiTheme="minorHAnsi" w:cstheme="minorBidi"/>
          <w:szCs w:val="22"/>
        </w:rPr>
        <w:t>Authority Required (</w:t>
      </w:r>
      <w:r w:rsidR="001C3EED">
        <w:rPr>
          <w:rFonts w:asciiTheme="minorHAnsi" w:eastAsiaTheme="minorHAnsi" w:hAnsiTheme="minorHAnsi" w:cstheme="minorBidi"/>
          <w:szCs w:val="22"/>
        </w:rPr>
        <w:t>W</w:t>
      </w:r>
      <w:r w:rsidR="001C3EED" w:rsidRPr="008D6802">
        <w:rPr>
          <w:rFonts w:asciiTheme="minorHAnsi" w:eastAsiaTheme="minorHAnsi" w:hAnsiTheme="minorHAnsi" w:cstheme="minorBidi"/>
          <w:szCs w:val="22"/>
        </w:rPr>
        <w:t>ritten</w:t>
      </w:r>
      <w:r w:rsidR="00EA2E06" w:rsidRPr="008D6802">
        <w:rPr>
          <w:rFonts w:asciiTheme="minorHAnsi" w:eastAsiaTheme="minorHAnsi" w:hAnsiTheme="minorHAnsi" w:cstheme="minorBidi"/>
          <w:szCs w:val="22"/>
        </w:rPr>
        <w:t xml:space="preserve">) listing for obinutuzumab to </w:t>
      </w:r>
      <w:r w:rsidR="00D26E22">
        <w:rPr>
          <w:rFonts w:asciiTheme="minorHAnsi" w:eastAsiaTheme="minorHAnsi" w:hAnsiTheme="minorHAnsi" w:cstheme="minorBidi"/>
          <w:szCs w:val="22"/>
        </w:rPr>
        <w:t xml:space="preserve">a </w:t>
      </w:r>
      <w:r w:rsidR="00570916">
        <w:rPr>
          <w:rFonts w:asciiTheme="minorHAnsi" w:eastAsiaTheme="minorHAnsi" w:hAnsiTheme="minorHAnsi" w:cstheme="minorBidi"/>
          <w:szCs w:val="22"/>
        </w:rPr>
        <w:t xml:space="preserve">S100 EFC </w:t>
      </w:r>
      <w:r w:rsidR="00EA2E06" w:rsidRPr="008D6802">
        <w:rPr>
          <w:rFonts w:asciiTheme="minorHAnsi" w:eastAsiaTheme="minorHAnsi" w:hAnsiTheme="minorHAnsi" w:cstheme="minorBidi"/>
          <w:szCs w:val="22"/>
        </w:rPr>
        <w:t>Authority Required (Streamlined) for treatment of CLL.</w:t>
      </w:r>
    </w:p>
    <w:p w:rsidR="007B6894" w:rsidRPr="008D6802" w:rsidRDefault="004B3A8D" w:rsidP="00F41D26">
      <w:pPr>
        <w:widowControl w:val="0"/>
        <w:numPr>
          <w:ilvl w:val="1"/>
          <w:numId w:val="5"/>
        </w:numPr>
        <w:spacing w:after="120"/>
        <w:jc w:val="both"/>
        <w:rPr>
          <w:rFonts w:asciiTheme="minorHAnsi" w:hAnsiTheme="minorHAnsi" w:cs="Arial"/>
          <w:bCs/>
          <w:snapToGrid w:val="0"/>
        </w:rPr>
      </w:pPr>
      <w:r w:rsidRPr="008D6802">
        <w:rPr>
          <w:rFonts w:asciiTheme="minorHAnsi" w:eastAsiaTheme="minorHAnsi" w:hAnsiTheme="minorHAnsi" w:cstheme="minorBidi"/>
          <w:szCs w:val="22"/>
        </w:rPr>
        <w:t>The PBAC re</w:t>
      </w:r>
      <w:r w:rsidR="00AF360D" w:rsidRPr="008D6802">
        <w:rPr>
          <w:rFonts w:asciiTheme="minorHAnsi" w:eastAsiaTheme="minorHAnsi" w:hAnsiTheme="minorHAnsi" w:cstheme="minorBidi"/>
          <w:szCs w:val="22"/>
        </w:rPr>
        <w:t>called that at its March 2015</w:t>
      </w:r>
      <w:r w:rsidRPr="008D6802">
        <w:rPr>
          <w:rFonts w:asciiTheme="minorHAnsi" w:eastAsiaTheme="minorHAnsi" w:hAnsiTheme="minorHAnsi" w:cstheme="minorBidi"/>
          <w:szCs w:val="22"/>
        </w:rPr>
        <w:t xml:space="preserve"> </w:t>
      </w:r>
      <w:r w:rsidR="006D5E91" w:rsidRPr="008D6802">
        <w:rPr>
          <w:rFonts w:asciiTheme="minorHAnsi" w:eastAsiaTheme="minorHAnsi" w:hAnsiTheme="minorHAnsi" w:cstheme="minorBidi"/>
          <w:szCs w:val="22"/>
        </w:rPr>
        <w:t>meeting</w:t>
      </w:r>
      <w:r w:rsidRPr="008D6802">
        <w:rPr>
          <w:rFonts w:asciiTheme="minorHAnsi" w:eastAsiaTheme="minorHAnsi" w:hAnsiTheme="minorHAnsi" w:cstheme="minorBidi"/>
          <w:szCs w:val="22"/>
        </w:rPr>
        <w:t xml:space="preserve"> it </w:t>
      </w:r>
      <w:r w:rsidR="006D5E91" w:rsidRPr="008D6802">
        <w:rPr>
          <w:rFonts w:asciiTheme="minorHAnsi" w:eastAsiaTheme="minorHAnsi" w:hAnsiTheme="minorHAnsi" w:cstheme="minorBidi"/>
          <w:szCs w:val="22"/>
        </w:rPr>
        <w:t xml:space="preserve">had </w:t>
      </w:r>
      <w:r w:rsidRPr="008D6802">
        <w:rPr>
          <w:rFonts w:asciiTheme="minorHAnsi" w:eastAsiaTheme="minorHAnsi" w:hAnsiTheme="minorHAnsi" w:cstheme="minorBidi"/>
          <w:szCs w:val="22"/>
        </w:rPr>
        <w:t xml:space="preserve">considered a </w:t>
      </w:r>
      <w:r w:rsidR="001C3EED">
        <w:rPr>
          <w:rFonts w:asciiTheme="minorHAnsi" w:eastAsiaTheme="minorHAnsi" w:hAnsiTheme="minorHAnsi" w:cstheme="minorBidi"/>
          <w:szCs w:val="22"/>
        </w:rPr>
        <w:t>W</w:t>
      </w:r>
      <w:r w:rsidR="001C3EED" w:rsidRPr="008D6802">
        <w:rPr>
          <w:rFonts w:asciiTheme="minorHAnsi" w:eastAsiaTheme="minorHAnsi" w:hAnsiTheme="minorHAnsi" w:cstheme="minorBidi"/>
          <w:szCs w:val="22"/>
        </w:rPr>
        <w:t xml:space="preserve">ritten </w:t>
      </w:r>
      <w:r w:rsidR="001C3EED">
        <w:rPr>
          <w:rFonts w:asciiTheme="minorHAnsi" w:eastAsiaTheme="minorHAnsi" w:hAnsiTheme="minorHAnsi" w:cstheme="minorBidi"/>
          <w:szCs w:val="22"/>
        </w:rPr>
        <w:t>A</w:t>
      </w:r>
      <w:r w:rsidR="001C3EED" w:rsidRPr="008D6802">
        <w:rPr>
          <w:rFonts w:asciiTheme="minorHAnsi" w:eastAsiaTheme="minorHAnsi" w:hAnsiTheme="minorHAnsi" w:cstheme="minorBidi"/>
          <w:szCs w:val="22"/>
        </w:rPr>
        <w:t xml:space="preserve">uthority </w:t>
      </w:r>
      <w:r w:rsidRPr="008D6802">
        <w:rPr>
          <w:rFonts w:asciiTheme="minorHAnsi" w:eastAsiaTheme="minorHAnsi" w:hAnsiTheme="minorHAnsi" w:cstheme="minorBidi"/>
          <w:szCs w:val="22"/>
        </w:rPr>
        <w:t xml:space="preserve">listing appropriate for obinutuzumab to help prevent usage </w:t>
      </w:r>
      <w:r w:rsidR="008D6802">
        <w:rPr>
          <w:rFonts w:asciiTheme="minorHAnsi" w:eastAsiaTheme="minorHAnsi" w:hAnsiTheme="minorHAnsi" w:cstheme="minorBidi"/>
          <w:szCs w:val="22"/>
        </w:rPr>
        <w:t xml:space="preserve">outside </w:t>
      </w:r>
      <w:r w:rsidRPr="008D6802">
        <w:rPr>
          <w:rFonts w:asciiTheme="minorHAnsi" w:eastAsiaTheme="minorHAnsi" w:hAnsiTheme="minorHAnsi" w:cstheme="minorBidi"/>
          <w:szCs w:val="22"/>
        </w:rPr>
        <w:t xml:space="preserve">the population in whom the comparative effectiveness and cost-effectiveness of the </w:t>
      </w:r>
      <w:r w:rsidR="008D6802">
        <w:rPr>
          <w:rFonts w:asciiTheme="minorHAnsi" w:eastAsiaTheme="minorHAnsi" w:hAnsiTheme="minorHAnsi" w:cstheme="minorBidi"/>
          <w:szCs w:val="22"/>
        </w:rPr>
        <w:t xml:space="preserve">medicine </w:t>
      </w:r>
      <w:r w:rsidRPr="008D6802">
        <w:rPr>
          <w:rFonts w:asciiTheme="minorHAnsi" w:eastAsiaTheme="minorHAnsi" w:hAnsiTheme="minorHAnsi" w:cstheme="minorBidi"/>
          <w:szCs w:val="22"/>
        </w:rPr>
        <w:t>have been demonstrated.</w:t>
      </w:r>
      <w:r w:rsidR="006D5E91" w:rsidRPr="008D6802">
        <w:rPr>
          <w:rFonts w:asciiTheme="minorHAnsi" w:eastAsiaTheme="minorHAnsi" w:hAnsiTheme="minorHAnsi" w:cstheme="minorBidi"/>
          <w:szCs w:val="22"/>
        </w:rPr>
        <w:t xml:space="preserve"> The committee also recalled that it had advised that the restriction level could be reviewed after the first two years of listing, </w:t>
      </w:r>
      <w:r w:rsidR="007B6894" w:rsidRPr="008D6802">
        <w:rPr>
          <w:rFonts w:asciiTheme="minorHAnsi" w:eastAsiaTheme="minorHAnsi" w:hAnsiTheme="minorHAnsi" w:cstheme="minorBidi"/>
          <w:szCs w:val="22"/>
        </w:rPr>
        <w:t xml:space="preserve">with a view to changing it to a </w:t>
      </w:r>
      <w:r w:rsidR="001C3EED">
        <w:rPr>
          <w:rFonts w:asciiTheme="minorHAnsi" w:eastAsiaTheme="minorHAnsi" w:hAnsiTheme="minorHAnsi" w:cstheme="minorBidi"/>
          <w:szCs w:val="22"/>
        </w:rPr>
        <w:t>S</w:t>
      </w:r>
      <w:r w:rsidR="001C3EED" w:rsidRPr="008D6802">
        <w:rPr>
          <w:rFonts w:asciiTheme="minorHAnsi" w:eastAsiaTheme="minorHAnsi" w:hAnsiTheme="minorHAnsi" w:cstheme="minorBidi"/>
          <w:szCs w:val="22"/>
        </w:rPr>
        <w:t xml:space="preserve">treamlined </w:t>
      </w:r>
      <w:r w:rsidR="001C3EED">
        <w:rPr>
          <w:rFonts w:asciiTheme="minorHAnsi" w:eastAsiaTheme="minorHAnsi" w:hAnsiTheme="minorHAnsi" w:cstheme="minorBidi"/>
          <w:szCs w:val="22"/>
        </w:rPr>
        <w:t>A</w:t>
      </w:r>
      <w:r w:rsidR="007B6894" w:rsidRPr="008D6802">
        <w:rPr>
          <w:rFonts w:asciiTheme="minorHAnsi" w:eastAsiaTheme="minorHAnsi" w:hAnsiTheme="minorHAnsi" w:cstheme="minorBidi"/>
          <w:szCs w:val="22"/>
        </w:rPr>
        <w:t>uthority listing if appropriate.</w:t>
      </w:r>
    </w:p>
    <w:p w:rsidR="00CF0B24" w:rsidRPr="008D6802" w:rsidRDefault="004B3A8D">
      <w:pPr>
        <w:widowControl w:val="0"/>
        <w:numPr>
          <w:ilvl w:val="1"/>
          <w:numId w:val="5"/>
        </w:numPr>
        <w:spacing w:after="120"/>
        <w:jc w:val="both"/>
        <w:rPr>
          <w:rFonts w:asciiTheme="minorHAnsi" w:hAnsiTheme="minorHAnsi" w:cs="Arial"/>
          <w:bCs/>
          <w:snapToGrid w:val="0"/>
        </w:rPr>
      </w:pPr>
      <w:r w:rsidRPr="008D6802">
        <w:rPr>
          <w:rFonts w:asciiTheme="minorHAnsi" w:eastAsiaTheme="minorHAnsi" w:hAnsiTheme="minorHAnsi" w:cstheme="minorBidi"/>
          <w:szCs w:val="22"/>
        </w:rPr>
        <w:t xml:space="preserve">The PBAC noted the </w:t>
      </w:r>
      <w:r w:rsidR="006D3B76" w:rsidRPr="008D6802">
        <w:rPr>
          <w:rFonts w:asciiTheme="minorHAnsi" w:eastAsiaTheme="minorHAnsi" w:hAnsiTheme="minorHAnsi" w:cstheme="minorBidi"/>
          <w:szCs w:val="22"/>
        </w:rPr>
        <w:t xml:space="preserve">data </w:t>
      </w:r>
      <w:r w:rsidRPr="008D6802">
        <w:rPr>
          <w:rFonts w:asciiTheme="minorHAnsi" w:eastAsiaTheme="minorHAnsi" w:hAnsiTheme="minorHAnsi" w:cstheme="minorBidi"/>
          <w:szCs w:val="22"/>
        </w:rPr>
        <w:t>pr</w:t>
      </w:r>
      <w:r w:rsidR="006D3B76" w:rsidRPr="008D6802">
        <w:rPr>
          <w:rFonts w:asciiTheme="minorHAnsi" w:eastAsiaTheme="minorHAnsi" w:hAnsiTheme="minorHAnsi" w:cstheme="minorBidi"/>
          <w:szCs w:val="22"/>
        </w:rPr>
        <w:t>ovided</w:t>
      </w:r>
      <w:r w:rsidRPr="008D6802">
        <w:rPr>
          <w:rFonts w:asciiTheme="minorHAnsi" w:eastAsiaTheme="minorHAnsi" w:hAnsiTheme="minorHAnsi" w:cstheme="minorBidi"/>
          <w:szCs w:val="22"/>
        </w:rPr>
        <w:t xml:space="preserve"> in the minor submission </w:t>
      </w:r>
      <w:r w:rsidR="006D3B76" w:rsidRPr="008D6802">
        <w:rPr>
          <w:rFonts w:asciiTheme="minorHAnsi" w:eastAsiaTheme="minorHAnsi" w:hAnsiTheme="minorHAnsi" w:cstheme="minorBidi"/>
          <w:szCs w:val="22"/>
        </w:rPr>
        <w:t xml:space="preserve">and by the DUSC </w:t>
      </w:r>
      <w:r w:rsidR="006D3B76" w:rsidRPr="008D6802">
        <w:rPr>
          <w:rFonts w:asciiTheme="minorHAnsi" w:eastAsiaTheme="minorHAnsi" w:hAnsiTheme="minorHAnsi" w:cstheme="minorBidi"/>
          <w:szCs w:val="22"/>
        </w:rPr>
        <w:lastRenderedPageBreak/>
        <w:t>Secretariat</w:t>
      </w:r>
      <w:r w:rsidR="00436A6B" w:rsidRPr="008D6802">
        <w:rPr>
          <w:rFonts w:asciiTheme="minorHAnsi" w:eastAsiaTheme="minorHAnsi" w:hAnsiTheme="minorHAnsi" w:cstheme="minorBidi"/>
          <w:szCs w:val="22"/>
        </w:rPr>
        <w:t xml:space="preserve"> on obinutuzumab utilisation in the first two years post listing</w:t>
      </w:r>
      <w:r w:rsidR="006D3B76" w:rsidRPr="008D6802">
        <w:rPr>
          <w:rFonts w:asciiTheme="minorHAnsi" w:eastAsiaTheme="minorHAnsi" w:hAnsiTheme="minorHAnsi" w:cstheme="minorBidi"/>
          <w:szCs w:val="22"/>
        </w:rPr>
        <w:t xml:space="preserve">.  The PBAC considered that the data provided indicated that the </w:t>
      </w:r>
      <w:r w:rsidRPr="008D6802">
        <w:rPr>
          <w:rFonts w:asciiTheme="minorHAnsi" w:eastAsiaTheme="minorHAnsi" w:hAnsiTheme="minorHAnsi" w:cstheme="minorBidi"/>
          <w:szCs w:val="22"/>
        </w:rPr>
        <w:t xml:space="preserve">utilisation of obinutuzumab has been significantly </w:t>
      </w:r>
      <w:r w:rsidR="00894EBB" w:rsidRPr="008D6802">
        <w:rPr>
          <w:rFonts w:asciiTheme="minorHAnsi" w:eastAsiaTheme="minorHAnsi" w:hAnsiTheme="minorHAnsi" w:cstheme="minorBidi"/>
          <w:szCs w:val="22"/>
        </w:rPr>
        <w:t>lower than</w:t>
      </w:r>
      <w:r w:rsidRPr="008D6802">
        <w:rPr>
          <w:rFonts w:asciiTheme="minorHAnsi" w:eastAsiaTheme="minorHAnsi" w:hAnsiTheme="minorHAnsi" w:cstheme="minorBidi"/>
          <w:szCs w:val="22"/>
        </w:rPr>
        <w:t xml:space="preserve"> that estimated in the </w:t>
      </w:r>
      <w:r w:rsidR="00894EBB" w:rsidRPr="008D6802">
        <w:rPr>
          <w:rFonts w:asciiTheme="minorHAnsi" w:eastAsiaTheme="minorHAnsi" w:hAnsiTheme="minorHAnsi" w:cstheme="minorBidi"/>
          <w:szCs w:val="22"/>
        </w:rPr>
        <w:t xml:space="preserve">March 2015 </w:t>
      </w:r>
      <w:r w:rsidRPr="008D6802">
        <w:rPr>
          <w:rFonts w:asciiTheme="minorHAnsi" w:eastAsiaTheme="minorHAnsi" w:hAnsiTheme="minorHAnsi" w:cstheme="minorBidi"/>
          <w:szCs w:val="22"/>
        </w:rPr>
        <w:t>submission.</w:t>
      </w:r>
      <w:r w:rsidR="006D3B76" w:rsidRPr="008D6802">
        <w:rPr>
          <w:rFonts w:asciiTheme="minorHAnsi" w:eastAsiaTheme="minorHAnsi" w:hAnsiTheme="minorHAnsi" w:cstheme="minorBidi"/>
          <w:szCs w:val="22"/>
        </w:rPr>
        <w:t xml:space="preserve"> </w:t>
      </w:r>
      <w:r w:rsidR="001E6C0A" w:rsidRPr="008D6802">
        <w:rPr>
          <w:rFonts w:asciiTheme="minorHAnsi" w:eastAsiaTheme="minorHAnsi" w:hAnsiTheme="minorHAnsi" w:cstheme="minorBidi"/>
          <w:szCs w:val="22"/>
        </w:rPr>
        <w:t xml:space="preserve">The PBAC also </w:t>
      </w:r>
      <w:r w:rsidR="006D3B76" w:rsidRPr="008D6802">
        <w:rPr>
          <w:rFonts w:asciiTheme="minorHAnsi" w:eastAsiaTheme="minorHAnsi" w:hAnsiTheme="minorHAnsi" w:cstheme="minorBidi"/>
          <w:szCs w:val="22"/>
        </w:rPr>
        <w:t>considered</w:t>
      </w:r>
      <w:r w:rsidR="001E6C0A" w:rsidRPr="008D6802">
        <w:rPr>
          <w:rFonts w:asciiTheme="minorHAnsi" w:eastAsiaTheme="minorHAnsi" w:hAnsiTheme="minorHAnsi" w:cstheme="minorBidi"/>
          <w:szCs w:val="22"/>
        </w:rPr>
        <w:t xml:space="preserve"> that the </w:t>
      </w:r>
      <w:r w:rsidR="006D3B76" w:rsidRPr="008D6802">
        <w:rPr>
          <w:rFonts w:asciiTheme="minorHAnsi" w:eastAsiaTheme="minorHAnsi" w:hAnsiTheme="minorHAnsi" w:cstheme="minorBidi"/>
          <w:szCs w:val="22"/>
        </w:rPr>
        <w:t xml:space="preserve">utilisation </w:t>
      </w:r>
      <w:r w:rsidR="001E6C0A" w:rsidRPr="008D6802">
        <w:rPr>
          <w:rFonts w:asciiTheme="minorHAnsi" w:eastAsiaTheme="minorHAnsi" w:hAnsiTheme="minorHAnsi" w:cstheme="minorBidi"/>
          <w:szCs w:val="22"/>
        </w:rPr>
        <w:t>analysis</w:t>
      </w:r>
      <w:r w:rsidR="006D3B76" w:rsidRPr="008D6802">
        <w:rPr>
          <w:rFonts w:asciiTheme="minorHAnsi" w:eastAsiaTheme="minorHAnsi" w:hAnsiTheme="minorHAnsi" w:cstheme="minorBidi"/>
          <w:szCs w:val="22"/>
        </w:rPr>
        <w:t xml:space="preserve"> undertaken by the DUSC Secretariat</w:t>
      </w:r>
      <w:r w:rsidR="001E6C0A" w:rsidRPr="008D6802">
        <w:rPr>
          <w:rFonts w:asciiTheme="minorHAnsi" w:eastAsiaTheme="minorHAnsi" w:hAnsiTheme="minorHAnsi" w:cstheme="minorBidi"/>
          <w:szCs w:val="22"/>
        </w:rPr>
        <w:t xml:space="preserve"> </w:t>
      </w:r>
      <w:r w:rsidR="006D3B76" w:rsidRPr="008D6802">
        <w:rPr>
          <w:rFonts w:asciiTheme="minorHAnsi" w:eastAsiaTheme="minorHAnsi" w:hAnsiTheme="minorHAnsi" w:cstheme="minorBidi"/>
          <w:szCs w:val="22"/>
        </w:rPr>
        <w:t>indicate</w:t>
      </w:r>
      <w:r w:rsidR="00894EBB" w:rsidRPr="008D6802">
        <w:rPr>
          <w:rFonts w:asciiTheme="minorHAnsi" w:eastAsiaTheme="minorHAnsi" w:hAnsiTheme="minorHAnsi" w:cstheme="minorBidi"/>
          <w:szCs w:val="22"/>
        </w:rPr>
        <w:t>d</w:t>
      </w:r>
      <w:r w:rsidR="001E6C0A" w:rsidRPr="008D6802">
        <w:rPr>
          <w:rFonts w:asciiTheme="minorHAnsi" w:eastAsiaTheme="minorHAnsi" w:hAnsiTheme="minorHAnsi" w:cstheme="minorBidi"/>
          <w:szCs w:val="22"/>
        </w:rPr>
        <w:t xml:space="preserve"> that the obinutuzumab market appears to have stabilised.</w:t>
      </w:r>
      <w:r w:rsidR="00894EBB" w:rsidRPr="008D6802">
        <w:rPr>
          <w:rFonts w:asciiTheme="minorHAnsi" w:eastAsiaTheme="minorHAnsi" w:hAnsiTheme="minorHAnsi" w:cstheme="minorBidi"/>
          <w:szCs w:val="22"/>
        </w:rPr>
        <w:t xml:space="preserve"> </w:t>
      </w:r>
      <w:r w:rsidR="006D3B76" w:rsidRPr="008D6802">
        <w:rPr>
          <w:rFonts w:asciiTheme="minorHAnsi" w:eastAsiaTheme="minorHAnsi" w:hAnsiTheme="minorHAnsi" w:cstheme="minorBidi"/>
          <w:szCs w:val="22"/>
        </w:rPr>
        <w:t xml:space="preserve"> </w:t>
      </w:r>
    </w:p>
    <w:p w:rsidR="00AF360D" w:rsidRPr="008D6802" w:rsidRDefault="00AF360D" w:rsidP="00AF360D">
      <w:pPr>
        <w:widowControl w:val="0"/>
        <w:numPr>
          <w:ilvl w:val="1"/>
          <w:numId w:val="5"/>
        </w:numPr>
        <w:spacing w:after="120"/>
        <w:jc w:val="both"/>
        <w:rPr>
          <w:rFonts w:asciiTheme="minorHAnsi" w:hAnsiTheme="minorHAnsi" w:cs="Arial"/>
          <w:bCs/>
          <w:snapToGrid w:val="0"/>
        </w:rPr>
      </w:pPr>
      <w:r w:rsidRPr="008D6802">
        <w:rPr>
          <w:rFonts w:asciiTheme="minorHAnsi" w:eastAsiaTheme="minorHAnsi" w:hAnsiTheme="minorHAnsi" w:cstheme="minorBidi"/>
          <w:szCs w:val="22"/>
        </w:rPr>
        <w:t xml:space="preserve">The PBAC noted that an Authority Required (Streamlined) listing for obinutuzumab would be consistent with the PBS listings for other medicines available for patients with CLL who cannot tolerate a </w:t>
      </w:r>
      <w:r w:rsidR="008D6802" w:rsidRPr="008D6802">
        <w:rPr>
          <w:rFonts w:asciiTheme="minorHAnsi" w:eastAsiaTheme="minorHAnsi" w:hAnsiTheme="minorHAnsi" w:cstheme="minorBidi"/>
          <w:szCs w:val="22"/>
        </w:rPr>
        <w:t>fludarabine-based</w:t>
      </w:r>
      <w:r w:rsidR="00D87074">
        <w:rPr>
          <w:rFonts w:asciiTheme="minorHAnsi" w:eastAsiaTheme="minorHAnsi" w:hAnsiTheme="minorHAnsi" w:cstheme="minorBidi"/>
          <w:szCs w:val="22"/>
        </w:rPr>
        <w:t xml:space="preserve"> regimen, including of</w:t>
      </w:r>
      <w:r w:rsidRPr="008D6802">
        <w:rPr>
          <w:rFonts w:asciiTheme="minorHAnsi" w:eastAsiaTheme="minorHAnsi" w:hAnsiTheme="minorHAnsi" w:cstheme="minorBidi"/>
          <w:szCs w:val="22"/>
        </w:rPr>
        <w:t xml:space="preserve">atumumab and rituximab. </w:t>
      </w:r>
    </w:p>
    <w:p w:rsidR="00EA2E06" w:rsidRPr="008D6802" w:rsidRDefault="00EA2E06" w:rsidP="00F41D26">
      <w:pPr>
        <w:widowControl w:val="0"/>
        <w:numPr>
          <w:ilvl w:val="1"/>
          <w:numId w:val="5"/>
        </w:numPr>
        <w:spacing w:after="120"/>
        <w:jc w:val="both"/>
        <w:rPr>
          <w:rFonts w:asciiTheme="minorHAnsi" w:hAnsiTheme="minorHAnsi" w:cs="Arial"/>
          <w:bCs/>
          <w:snapToGrid w:val="0"/>
        </w:rPr>
      </w:pPr>
      <w:r w:rsidRPr="008D6802">
        <w:rPr>
          <w:rFonts w:asciiTheme="minorHAnsi" w:eastAsiaTheme="minorHAnsi" w:hAnsiTheme="minorHAnsi" w:cstheme="minorBidi"/>
          <w:szCs w:val="22"/>
        </w:rPr>
        <w:t xml:space="preserve">The PBAC noted that a </w:t>
      </w:r>
      <w:r w:rsidR="001C3EED">
        <w:rPr>
          <w:rFonts w:asciiTheme="minorHAnsi" w:eastAsiaTheme="minorHAnsi" w:hAnsiTheme="minorHAnsi" w:cstheme="minorBidi"/>
          <w:szCs w:val="22"/>
        </w:rPr>
        <w:t>R</w:t>
      </w:r>
      <w:r w:rsidRPr="008D6802">
        <w:rPr>
          <w:rFonts w:asciiTheme="minorHAnsi" w:eastAsiaTheme="minorHAnsi" w:hAnsiTheme="minorHAnsi" w:cstheme="minorBidi"/>
          <w:szCs w:val="22"/>
        </w:rPr>
        <w:t>isk</w:t>
      </w:r>
      <w:r w:rsidR="001C3EED">
        <w:rPr>
          <w:rFonts w:asciiTheme="minorHAnsi" w:eastAsiaTheme="minorHAnsi" w:hAnsiTheme="minorHAnsi" w:cstheme="minorBidi"/>
          <w:szCs w:val="22"/>
        </w:rPr>
        <w:t xml:space="preserve"> S</w:t>
      </w:r>
      <w:r w:rsidRPr="008D6802">
        <w:rPr>
          <w:rFonts w:asciiTheme="minorHAnsi" w:eastAsiaTheme="minorHAnsi" w:hAnsiTheme="minorHAnsi" w:cstheme="minorBidi"/>
          <w:szCs w:val="22"/>
        </w:rPr>
        <w:t xml:space="preserve">haring </w:t>
      </w:r>
      <w:r w:rsidR="001C3EED">
        <w:rPr>
          <w:rFonts w:asciiTheme="minorHAnsi" w:eastAsiaTheme="minorHAnsi" w:hAnsiTheme="minorHAnsi" w:cstheme="minorBidi"/>
          <w:szCs w:val="22"/>
        </w:rPr>
        <w:t>A</w:t>
      </w:r>
      <w:r w:rsidRPr="008D6802">
        <w:rPr>
          <w:rFonts w:asciiTheme="minorHAnsi" w:eastAsiaTheme="minorHAnsi" w:hAnsiTheme="minorHAnsi" w:cstheme="minorBidi"/>
          <w:szCs w:val="22"/>
        </w:rPr>
        <w:t xml:space="preserve">rrangement </w:t>
      </w:r>
      <w:r w:rsidR="00436A6B" w:rsidRPr="008D6802">
        <w:rPr>
          <w:rFonts w:asciiTheme="minorHAnsi" w:eastAsiaTheme="minorHAnsi" w:hAnsiTheme="minorHAnsi" w:cstheme="minorBidi"/>
          <w:szCs w:val="22"/>
        </w:rPr>
        <w:t xml:space="preserve">with a subsidisation cap </w:t>
      </w:r>
      <w:r w:rsidR="00FE6CD9" w:rsidRPr="008D6802">
        <w:rPr>
          <w:rFonts w:asciiTheme="minorHAnsi" w:eastAsiaTheme="minorHAnsi" w:hAnsiTheme="minorHAnsi" w:cstheme="minorBidi"/>
          <w:szCs w:val="22"/>
        </w:rPr>
        <w:t>is in place for obinutuzumab</w:t>
      </w:r>
      <w:r w:rsidR="00C36231" w:rsidRPr="008D6802">
        <w:rPr>
          <w:rFonts w:asciiTheme="minorHAnsi" w:eastAsiaTheme="minorHAnsi" w:hAnsiTheme="minorHAnsi" w:cstheme="minorBidi"/>
          <w:szCs w:val="22"/>
        </w:rPr>
        <w:t xml:space="preserve">, and </w:t>
      </w:r>
      <w:r w:rsidR="00436A6B" w:rsidRPr="008D6802">
        <w:rPr>
          <w:rFonts w:asciiTheme="minorHAnsi" w:eastAsiaTheme="minorHAnsi" w:hAnsiTheme="minorHAnsi" w:cstheme="minorBidi"/>
          <w:szCs w:val="22"/>
        </w:rPr>
        <w:t>considered</w:t>
      </w:r>
      <w:r w:rsidR="00C36231" w:rsidRPr="008D6802">
        <w:rPr>
          <w:rFonts w:asciiTheme="minorHAnsi" w:eastAsiaTheme="minorHAnsi" w:hAnsiTheme="minorHAnsi" w:cstheme="minorBidi"/>
          <w:szCs w:val="22"/>
        </w:rPr>
        <w:t xml:space="preserve"> that this provided further protection </w:t>
      </w:r>
      <w:r w:rsidR="00894EBB" w:rsidRPr="008D6802">
        <w:rPr>
          <w:rFonts w:asciiTheme="minorHAnsi" w:eastAsiaTheme="minorHAnsi" w:hAnsiTheme="minorHAnsi" w:cstheme="minorBidi"/>
          <w:szCs w:val="22"/>
        </w:rPr>
        <w:t xml:space="preserve">to the Commonwealth </w:t>
      </w:r>
      <w:r w:rsidR="00C36231" w:rsidRPr="008D6802">
        <w:rPr>
          <w:rFonts w:asciiTheme="minorHAnsi" w:eastAsiaTheme="minorHAnsi" w:hAnsiTheme="minorHAnsi" w:cstheme="minorBidi"/>
          <w:szCs w:val="22"/>
        </w:rPr>
        <w:t xml:space="preserve">against </w:t>
      </w:r>
      <w:r w:rsidR="004B3A8D" w:rsidRPr="008D6802">
        <w:rPr>
          <w:rFonts w:asciiTheme="minorHAnsi" w:eastAsiaTheme="minorHAnsi" w:hAnsiTheme="minorHAnsi" w:cstheme="minorBidi"/>
          <w:szCs w:val="22"/>
        </w:rPr>
        <w:t>costs associated with</w:t>
      </w:r>
      <w:r w:rsidR="00C36231" w:rsidRPr="008D6802">
        <w:rPr>
          <w:rFonts w:asciiTheme="minorHAnsi" w:eastAsiaTheme="minorHAnsi" w:hAnsiTheme="minorHAnsi" w:cstheme="minorBidi"/>
          <w:szCs w:val="22"/>
        </w:rPr>
        <w:t xml:space="preserve"> potential use of obinutuzumab outside of the restriction.</w:t>
      </w:r>
    </w:p>
    <w:p w:rsidR="00E23392" w:rsidRPr="008D6802" w:rsidRDefault="00E23392" w:rsidP="00F41D26">
      <w:pPr>
        <w:widowControl w:val="0"/>
        <w:numPr>
          <w:ilvl w:val="1"/>
          <w:numId w:val="5"/>
        </w:numPr>
        <w:spacing w:after="120"/>
        <w:jc w:val="both"/>
        <w:rPr>
          <w:rFonts w:asciiTheme="minorHAnsi" w:hAnsiTheme="minorHAnsi" w:cs="Arial"/>
          <w:bCs/>
          <w:snapToGrid w:val="0"/>
        </w:rPr>
      </w:pPr>
      <w:r w:rsidRPr="008D6802">
        <w:rPr>
          <w:rFonts w:asciiTheme="minorHAnsi" w:eastAsiaTheme="minorHAnsi" w:hAnsiTheme="minorHAnsi" w:cstheme="minorBidi"/>
          <w:szCs w:val="22"/>
        </w:rPr>
        <w:t xml:space="preserve">The PBAC noted </w:t>
      </w:r>
      <w:r w:rsidR="00436A6B" w:rsidRPr="008D6802">
        <w:rPr>
          <w:rFonts w:asciiTheme="minorHAnsi" w:eastAsiaTheme="minorHAnsi" w:hAnsiTheme="minorHAnsi" w:cstheme="minorBidi"/>
          <w:szCs w:val="22"/>
        </w:rPr>
        <w:t xml:space="preserve">that </w:t>
      </w:r>
      <w:r w:rsidRPr="008D6802">
        <w:rPr>
          <w:rFonts w:asciiTheme="minorHAnsi" w:eastAsiaTheme="minorHAnsi" w:hAnsiTheme="minorHAnsi" w:cstheme="minorBidi"/>
          <w:szCs w:val="22"/>
        </w:rPr>
        <w:t>DUSC inten</w:t>
      </w:r>
      <w:r w:rsidR="00436A6B" w:rsidRPr="008D6802">
        <w:rPr>
          <w:rFonts w:asciiTheme="minorHAnsi" w:eastAsiaTheme="minorHAnsi" w:hAnsiTheme="minorHAnsi" w:cstheme="minorBidi"/>
          <w:szCs w:val="22"/>
        </w:rPr>
        <w:t>ded</w:t>
      </w:r>
      <w:r w:rsidRPr="008D6802">
        <w:rPr>
          <w:rFonts w:asciiTheme="minorHAnsi" w:eastAsiaTheme="minorHAnsi" w:hAnsiTheme="minorHAnsi" w:cstheme="minorBidi"/>
          <w:szCs w:val="22"/>
        </w:rPr>
        <w:t xml:space="preserve"> to undertake a 24 month predicted versus actual analysis of obinutuzumab and ofatumumab for the treatment of CLL. The PBAC advised that the predicted versus actual analysis presented by the DUSC Secretariat</w:t>
      </w:r>
      <w:r w:rsidR="00DD78B9" w:rsidRPr="008D6802">
        <w:rPr>
          <w:rFonts w:asciiTheme="minorHAnsi" w:eastAsiaTheme="minorHAnsi" w:hAnsiTheme="minorHAnsi" w:cstheme="minorBidi"/>
          <w:szCs w:val="22"/>
        </w:rPr>
        <w:t xml:space="preserve"> for this submission</w:t>
      </w:r>
      <w:r w:rsidRPr="008D6802">
        <w:rPr>
          <w:rFonts w:asciiTheme="minorHAnsi" w:eastAsiaTheme="minorHAnsi" w:hAnsiTheme="minorHAnsi" w:cstheme="minorBidi"/>
          <w:szCs w:val="22"/>
        </w:rPr>
        <w:t xml:space="preserve"> was adequate as a 24 month review of these medicines.</w:t>
      </w:r>
    </w:p>
    <w:p w:rsidR="00FE6CD9" w:rsidRPr="005A0330" w:rsidRDefault="00F41D26" w:rsidP="00FE6CD9">
      <w:pPr>
        <w:widowControl w:val="0"/>
        <w:numPr>
          <w:ilvl w:val="1"/>
          <w:numId w:val="5"/>
        </w:numPr>
        <w:spacing w:after="120"/>
        <w:jc w:val="both"/>
        <w:rPr>
          <w:rFonts w:asciiTheme="minorHAnsi" w:hAnsiTheme="minorHAnsi" w:cs="Arial"/>
          <w:bCs/>
          <w:snapToGrid w:val="0"/>
        </w:rPr>
      </w:pPr>
      <w:r w:rsidRPr="008D6802">
        <w:rPr>
          <w:rFonts w:asciiTheme="minorHAnsi" w:hAnsiTheme="minorHAnsi" w:cs="Arial"/>
          <w:bCs/>
          <w:snapToGrid w:val="0"/>
        </w:rPr>
        <w:t xml:space="preserve">The PBAC noted that this submission </w:t>
      </w:r>
      <w:r w:rsidR="00FE6CD9" w:rsidRPr="008D6802">
        <w:rPr>
          <w:rFonts w:asciiTheme="minorHAnsi" w:hAnsiTheme="minorHAnsi" w:cs="Arial"/>
          <w:bCs/>
          <w:snapToGrid w:val="0"/>
        </w:rPr>
        <w:t>i</w:t>
      </w:r>
      <w:r w:rsidRPr="008D6802">
        <w:rPr>
          <w:rFonts w:asciiTheme="minorHAnsi" w:hAnsiTheme="minorHAnsi" w:cs="Arial"/>
          <w:bCs/>
          <w:snapToGrid w:val="0"/>
        </w:rPr>
        <w:t>s not eligible for an Independent Review</w:t>
      </w:r>
      <w:r w:rsidR="00FE6CD9" w:rsidRPr="008D6802">
        <w:rPr>
          <w:rFonts w:asciiTheme="minorHAnsi" w:hAnsiTheme="minorHAnsi" w:cs="Arial"/>
          <w:bCs/>
          <w:snapToGrid w:val="0"/>
        </w:rPr>
        <w:t xml:space="preserve"> as it received a positive recommendation.</w:t>
      </w:r>
    </w:p>
    <w:p w:rsidR="00F41D26" w:rsidRPr="008D6802" w:rsidRDefault="00F41D26" w:rsidP="00FE6CD9">
      <w:pPr>
        <w:widowControl w:val="0"/>
        <w:spacing w:after="120"/>
        <w:jc w:val="both"/>
        <w:rPr>
          <w:rFonts w:asciiTheme="minorHAnsi" w:hAnsiTheme="minorHAnsi" w:cs="Arial"/>
          <w:b/>
          <w:bCs/>
          <w:snapToGrid w:val="0"/>
        </w:rPr>
      </w:pPr>
      <w:r w:rsidRPr="008D6802">
        <w:rPr>
          <w:rFonts w:asciiTheme="minorHAnsi" w:hAnsiTheme="minorHAnsi" w:cs="Arial"/>
          <w:b/>
          <w:bCs/>
          <w:snapToGrid w:val="0"/>
        </w:rPr>
        <w:t>Outcome:</w:t>
      </w:r>
    </w:p>
    <w:p w:rsidR="00F41D26" w:rsidRPr="008D6802" w:rsidRDefault="00F41D26" w:rsidP="00F41D26">
      <w:pPr>
        <w:jc w:val="both"/>
        <w:rPr>
          <w:rFonts w:asciiTheme="minorHAnsi" w:hAnsiTheme="minorHAnsi" w:cs="Arial"/>
          <w:bCs/>
          <w:snapToGrid w:val="0"/>
        </w:rPr>
      </w:pPr>
      <w:r w:rsidRPr="008D6802">
        <w:rPr>
          <w:rFonts w:asciiTheme="minorHAnsi" w:hAnsiTheme="minorHAnsi" w:cs="Arial"/>
          <w:bCs/>
          <w:snapToGrid w:val="0"/>
        </w:rPr>
        <w:t xml:space="preserve">Recommended </w:t>
      </w:r>
    </w:p>
    <w:p w:rsidR="00F41D26" w:rsidRPr="000A6828" w:rsidRDefault="00F41D26" w:rsidP="000A682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A6828">
        <w:rPr>
          <w:rFonts w:asciiTheme="minorHAnsi" w:hAnsiTheme="minorHAnsi"/>
          <w:sz w:val="32"/>
          <w:szCs w:val="32"/>
        </w:rPr>
        <w:t>Recommended listing</w:t>
      </w:r>
    </w:p>
    <w:p w:rsidR="00F41D26" w:rsidRPr="008D6802" w:rsidRDefault="009D0430" w:rsidP="00AF6E10">
      <w:pPr>
        <w:widowControl w:val="0"/>
        <w:jc w:val="both"/>
        <w:rPr>
          <w:rFonts w:asciiTheme="minorHAnsi" w:hAnsiTheme="minorHAnsi" w:cs="Arial"/>
          <w:bCs/>
          <w:snapToGrid w:val="0"/>
        </w:rPr>
      </w:pPr>
      <w:r>
        <w:rPr>
          <w:rFonts w:asciiTheme="minorHAnsi" w:hAnsiTheme="minorHAnsi" w:cs="Arial"/>
          <w:bCs/>
          <w:snapToGrid w:val="0"/>
        </w:rPr>
        <w:t>6.1</w:t>
      </w:r>
      <w:r>
        <w:rPr>
          <w:rFonts w:asciiTheme="minorHAnsi" w:hAnsiTheme="minorHAnsi" w:cs="Arial"/>
          <w:bCs/>
          <w:snapToGrid w:val="0"/>
        </w:rPr>
        <w:tab/>
      </w:r>
      <w:r w:rsidR="00F41D26" w:rsidRPr="008D6802">
        <w:rPr>
          <w:rFonts w:asciiTheme="minorHAnsi" w:hAnsiTheme="minorHAnsi" w:cs="Arial"/>
          <w:bCs/>
          <w:snapToGrid w:val="0"/>
        </w:rPr>
        <w:t xml:space="preserve">Amend </w:t>
      </w:r>
      <w:r w:rsidR="0092585B" w:rsidRPr="008D6802">
        <w:rPr>
          <w:rFonts w:asciiTheme="minorHAnsi" w:hAnsiTheme="minorHAnsi" w:cs="Arial"/>
          <w:bCs/>
          <w:snapToGrid w:val="0"/>
        </w:rPr>
        <w:t>item</w:t>
      </w:r>
      <w:r w:rsidR="00F41D26" w:rsidRPr="008D6802">
        <w:rPr>
          <w:rFonts w:asciiTheme="minorHAnsi" w:hAnsiTheme="minorHAnsi" w:cs="Arial"/>
          <w:bCs/>
          <w:snapToGrid w:val="0"/>
        </w:rPr>
        <w:t>:</w:t>
      </w:r>
    </w:p>
    <w:p w:rsidR="006F6CA8" w:rsidRPr="008D6802" w:rsidRDefault="006F6CA8" w:rsidP="00AF6E10">
      <w:pPr>
        <w:widowControl w:val="0"/>
        <w:jc w:val="both"/>
        <w:rPr>
          <w:rFonts w:asciiTheme="minorHAnsi" w:hAnsiTheme="minorHAnsi" w:cs="Arial"/>
          <w:bCs/>
          <w:snapToGrid w:val="0"/>
        </w:rPr>
      </w:pPr>
    </w:p>
    <w:tbl>
      <w:tblPr>
        <w:tblW w:w="5000" w:type="pct"/>
        <w:tblCellMar>
          <w:left w:w="28" w:type="dxa"/>
          <w:right w:w="28" w:type="dxa"/>
        </w:tblCellMar>
        <w:tblLook w:val="0000" w:firstRow="0" w:lastRow="0" w:firstColumn="0" w:lastColumn="0" w:noHBand="0" w:noVBand="0"/>
      </w:tblPr>
      <w:tblGrid>
        <w:gridCol w:w="1696"/>
        <w:gridCol w:w="1356"/>
        <w:gridCol w:w="817"/>
        <w:gridCol w:w="440"/>
        <w:gridCol w:w="703"/>
        <w:gridCol w:w="613"/>
        <w:gridCol w:w="3457"/>
      </w:tblGrid>
      <w:tr w:rsidR="00157726" w:rsidRPr="008D6802" w:rsidTr="000C7286">
        <w:trPr>
          <w:cantSplit/>
          <w:trHeight w:val="471"/>
        </w:trPr>
        <w:tc>
          <w:tcPr>
            <w:tcW w:w="1681" w:type="pct"/>
            <w:gridSpan w:val="2"/>
            <w:tcBorders>
              <w:bottom w:val="single" w:sz="4" w:space="0" w:color="auto"/>
            </w:tcBorders>
          </w:tcPr>
          <w:p w:rsidR="00157726" w:rsidRPr="008D6802" w:rsidRDefault="00157726" w:rsidP="00693A46">
            <w:pPr>
              <w:rPr>
                <w:rFonts w:ascii="Arial Narrow" w:hAnsi="Arial Narrow"/>
                <w:b/>
                <w:sz w:val="20"/>
              </w:rPr>
            </w:pPr>
            <w:r w:rsidRPr="008D6802">
              <w:rPr>
                <w:rFonts w:ascii="Arial Narrow" w:hAnsi="Arial Narrow"/>
                <w:b/>
                <w:sz w:val="20"/>
              </w:rPr>
              <w:t>Name, Restriction,</w:t>
            </w:r>
          </w:p>
          <w:p w:rsidR="00157726" w:rsidRPr="008D6802" w:rsidRDefault="00157726" w:rsidP="00693A46">
            <w:pPr>
              <w:rPr>
                <w:rFonts w:ascii="Arial Narrow" w:hAnsi="Arial Narrow"/>
                <w:b/>
                <w:sz w:val="20"/>
              </w:rPr>
            </w:pPr>
            <w:r w:rsidRPr="008D6802">
              <w:rPr>
                <w:rFonts w:ascii="Arial Narrow" w:hAnsi="Arial Narrow"/>
                <w:b/>
                <w:sz w:val="20"/>
              </w:rPr>
              <w:t>Manner of administration and form</w:t>
            </w:r>
          </w:p>
        </w:tc>
        <w:tc>
          <w:tcPr>
            <w:tcW w:w="450" w:type="pct"/>
            <w:tcBorders>
              <w:bottom w:val="single" w:sz="4" w:space="0" w:color="auto"/>
            </w:tcBorders>
          </w:tcPr>
          <w:p w:rsidR="00157726" w:rsidRPr="008D6802" w:rsidRDefault="00157726" w:rsidP="00693A46">
            <w:pPr>
              <w:rPr>
                <w:rFonts w:ascii="Arial Narrow" w:hAnsi="Arial Narrow"/>
                <w:b/>
                <w:sz w:val="20"/>
              </w:rPr>
            </w:pPr>
            <w:r w:rsidRPr="008D6802">
              <w:rPr>
                <w:rFonts w:ascii="Arial Narrow" w:hAnsi="Arial Narrow"/>
                <w:b/>
                <w:sz w:val="20"/>
              </w:rPr>
              <w:t>Max.</w:t>
            </w:r>
          </w:p>
          <w:p w:rsidR="00157726" w:rsidRPr="008D6802" w:rsidRDefault="00157726" w:rsidP="00693A46">
            <w:pPr>
              <w:rPr>
                <w:rFonts w:ascii="Arial Narrow" w:hAnsi="Arial Narrow"/>
                <w:b/>
                <w:sz w:val="20"/>
              </w:rPr>
            </w:pPr>
            <w:r w:rsidRPr="008D6802">
              <w:rPr>
                <w:rFonts w:ascii="Arial Narrow" w:hAnsi="Arial Narrow"/>
                <w:b/>
                <w:sz w:val="20"/>
              </w:rPr>
              <w:t>Qty</w:t>
            </w:r>
          </w:p>
        </w:tc>
        <w:tc>
          <w:tcPr>
            <w:tcW w:w="242" w:type="pct"/>
            <w:tcBorders>
              <w:bottom w:val="single" w:sz="4" w:space="0" w:color="auto"/>
            </w:tcBorders>
          </w:tcPr>
          <w:p w:rsidR="00157726" w:rsidRPr="008D6802" w:rsidRDefault="00157726" w:rsidP="00693A46">
            <w:pPr>
              <w:rPr>
                <w:rFonts w:ascii="Arial Narrow" w:hAnsi="Arial Narrow"/>
                <w:b/>
                <w:sz w:val="20"/>
              </w:rPr>
            </w:pPr>
            <w:r w:rsidRPr="008D6802">
              <w:rPr>
                <w:rFonts w:ascii="Arial Narrow" w:hAnsi="Arial Narrow"/>
                <w:b/>
                <w:sz w:val="20"/>
              </w:rPr>
              <w:t>№.of</w:t>
            </w:r>
          </w:p>
          <w:p w:rsidR="00157726" w:rsidRPr="008D6802" w:rsidRDefault="00157726" w:rsidP="00693A46">
            <w:pPr>
              <w:rPr>
                <w:rFonts w:ascii="Arial Narrow" w:hAnsi="Arial Narrow"/>
                <w:b/>
                <w:sz w:val="20"/>
              </w:rPr>
            </w:pPr>
            <w:r w:rsidRPr="008D6802">
              <w:rPr>
                <w:rFonts w:ascii="Arial Narrow" w:hAnsi="Arial Narrow"/>
                <w:b/>
                <w:sz w:val="20"/>
              </w:rPr>
              <w:t>Rpts</w:t>
            </w:r>
          </w:p>
        </w:tc>
        <w:tc>
          <w:tcPr>
            <w:tcW w:w="387" w:type="pct"/>
            <w:tcBorders>
              <w:bottom w:val="single" w:sz="4" w:space="0" w:color="auto"/>
            </w:tcBorders>
          </w:tcPr>
          <w:p w:rsidR="00157726" w:rsidRPr="008D6802" w:rsidRDefault="00157726" w:rsidP="00693A46">
            <w:pPr>
              <w:rPr>
                <w:rFonts w:ascii="Arial Narrow" w:hAnsi="Arial Narrow"/>
                <w:b/>
                <w:sz w:val="20"/>
              </w:rPr>
            </w:pPr>
          </w:p>
        </w:tc>
        <w:tc>
          <w:tcPr>
            <w:tcW w:w="2240" w:type="pct"/>
            <w:gridSpan w:val="2"/>
            <w:tcBorders>
              <w:bottom w:val="single" w:sz="4" w:space="0" w:color="auto"/>
            </w:tcBorders>
          </w:tcPr>
          <w:p w:rsidR="00157726" w:rsidRPr="008D6802" w:rsidRDefault="00157726" w:rsidP="00693A46">
            <w:pPr>
              <w:rPr>
                <w:rFonts w:ascii="Arial Narrow" w:hAnsi="Arial Narrow"/>
                <w:b/>
                <w:sz w:val="20"/>
              </w:rPr>
            </w:pPr>
            <w:r w:rsidRPr="008D6802">
              <w:rPr>
                <w:rFonts w:ascii="Arial Narrow" w:hAnsi="Arial Narrow"/>
                <w:b/>
                <w:sz w:val="20"/>
              </w:rPr>
              <w:t>Proprietary Name and Manufacturer</w:t>
            </w:r>
          </w:p>
        </w:tc>
      </w:tr>
      <w:tr w:rsidR="00157726" w:rsidRPr="008D6802" w:rsidTr="000C7286">
        <w:trPr>
          <w:cantSplit/>
          <w:trHeight w:val="577"/>
        </w:trPr>
        <w:tc>
          <w:tcPr>
            <w:tcW w:w="1681" w:type="pct"/>
            <w:gridSpan w:val="2"/>
            <w:tcBorders>
              <w:bottom w:val="single" w:sz="4" w:space="0" w:color="auto"/>
            </w:tcBorders>
          </w:tcPr>
          <w:p w:rsidR="00157726" w:rsidRPr="008D6802" w:rsidRDefault="00157726" w:rsidP="00693A46">
            <w:pPr>
              <w:rPr>
                <w:rFonts w:ascii="Arial Narrow" w:hAnsi="Arial Narrow"/>
                <w:sz w:val="20"/>
              </w:rPr>
            </w:pPr>
            <w:r w:rsidRPr="008D6802">
              <w:rPr>
                <w:rFonts w:ascii="Arial Narrow" w:hAnsi="Arial Narrow"/>
                <w:smallCaps/>
                <w:sz w:val="20"/>
              </w:rPr>
              <w:t>OBINUTUZUMAB</w:t>
            </w:r>
          </w:p>
          <w:p w:rsidR="00157726" w:rsidRPr="008D6802" w:rsidRDefault="00157726" w:rsidP="00693A46">
            <w:pPr>
              <w:rPr>
                <w:rFonts w:ascii="Arial Narrow" w:hAnsi="Arial Narrow"/>
                <w:sz w:val="20"/>
              </w:rPr>
            </w:pPr>
            <w:r w:rsidRPr="008D6802">
              <w:rPr>
                <w:rFonts w:ascii="Arial Narrow" w:hAnsi="Arial Narrow"/>
                <w:sz w:val="20"/>
              </w:rPr>
              <w:t>solution for intravenous infusion</w:t>
            </w:r>
          </w:p>
          <w:p w:rsidR="00157726" w:rsidRDefault="00157726" w:rsidP="00693A46">
            <w:pPr>
              <w:rPr>
                <w:rFonts w:ascii="Arial Narrow" w:hAnsi="Arial Narrow"/>
                <w:sz w:val="20"/>
              </w:rPr>
            </w:pPr>
            <w:r w:rsidRPr="008D6802">
              <w:rPr>
                <w:rFonts w:ascii="Arial Narrow" w:hAnsi="Arial Narrow"/>
                <w:sz w:val="20"/>
              </w:rPr>
              <w:t>1,000 mg in 40 mL</w:t>
            </w:r>
          </w:p>
          <w:p w:rsidR="00B326FB" w:rsidRPr="008D6802" w:rsidRDefault="00B326FB" w:rsidP="00693A46">
            <w:pPr>
              <w:rPr>
                <w:rFonts w:ascii="Arial Narrow" w:hAnsi="Arial Narrow"/>
                <w:sz w:val="20"/>
              </w:rPr>
            </w:pPr>
          </w:p>
        </w:tc>
        <w:tc>
          <w:tcPr>
            <w:tcW w:w="450" w:type="pct"/>
            <w:tcBorders>
              <w:bottom w:val="single" w:sz="4" w:space="0" w:color="auto"/>
            </w:tcBorders>
          </w:tcPr>
          <w:p w:rsidR="00157726" w:rsidRPr="008D6802" w:rsidRDefault="00157726" w:rsidP="00693A46">
            <w:pPr>
              <w:rPr>
                <w:rFonts w:ascii="Arial Narrow" w:hAnsi="Arial Narrow"/>
                <w:sz w:val="20"/>
              </w:rPr>
            </w:pPr>
            <w:r w:rsidRPr="008D6802">
              <w:rPr>
                <w:rFonts w:ascii="Arial Narrow" w:hAnsi="Arial Narrow"/>
                <w:sz w:val="20"/>
              </w:rPr>
              <w:t>1,000 mg</w:t>
            </w:r>
          </w:p>
        </w:tc>
        <w:tc>
          <w:tcPr>
            <w:tcW w:w="242" w:type="pct"/>
            <w:tcBorders>
              <w:bottom w:val="single" w:sz="4" w:space="0" w:color="auto"/>
            </w:tcBorders>
          </w:tcPr>
          <w:p w:rsidR="00157726" w:rsidRPr="008D6802" w:rsidRDefault="00157726" w:rsidP="00693A46">
            <w:pPr>
              <w:rPr>
                <w:rFonts w:ascii="Arial Narrow" w:hAnsi="Arial Narrow"/>
                <w:sz w:val="20"/>
              </w:rPr>
            </w:pPr>
            <w:r w:rsidRPr="008D6802">
              <w:rPr>
                <w:rFonts w:ascii="Arial Narrow" w:hAnsi="Arial Narrow"/>
                <w:sz w:val="20"/>
              </w:rPr>
              <w:t>7</w:t>
            </w:r>
          </w:p>
        </w:tc>
        <w:tc>
          <w:tcPr>
            <w:tcW w:w="387" w:type="pct"/>
            <w:tcBorders>
              <w:bottom w:val="single" w:sz="4" w:space="0" w:color="auto"/>
            </w:tcBorders>
          </w:tcPr>
          <w:p w:rsidR="00157726" w:rsidRPr="008D6802" w:rsidRDefault="00157726" w:rsidP="00693A46">
            <w:pPr>
              <w:rPr>
                <w:rFonts w:ascii="Arial Narrow" w:hAnsi="Arial Narrow"/>
                <w:sz w:val="20"/>
              </w:rPr>
            </w:pPr>
          </w:p>
        </w:tc>
        <w:tc>
          <w:tcPr>
            <w:tcW w:w="337" w:type="pct"/>
            <w:tcBorders>
              <w:bottom w:val="single" w:sz="4" w:space="0" w:color="auto"/>
            </w:tcBorders>
          </w:tcPr>
          <w:p w:rsidR="00157726" w:rsidRPr="008D6802" w:rsidRDefault="00157726" w:rsidP="00693A46">
            <w:pPr>
              <w:rPr>
                <w:rFonts w:ascii="Arial Narrow" w:hAnsi="Arial Narrow"/>
                <w:sz w:val="20"/>
              </w:rPr>
            </w:pPr>
            <w:r w:rsidRPr="008D6802">
              <w:rPr>
                <w:rFonts w:ascii="Arial Narrow" w:hAnsi="Arial Narrow"/>
                <w:sz w:val="20"/>
              </w:rPr>
              <w:t>Gazyva</w:t>
            </w:r>
          </w:p>
        </w:tc>
        <w:tc>
          <w:tcPr>
            <w:tcW w:w="1902" w:type="pct"/>
            <w:tcBorders>
              <w:bottom w:val="single" w:sz="4" w:space="0" w:color="auto"/>
            </w:tcBorders>
          </w:tcPr>
          <w:p w:rsidR="00157726" w:rsidRPr="008D6802" w:rsidRDefault="00157726" w:rsidP="00693A46">
            <w:pPr>
              <w:rPr>
                <w:rFonts w:ascii="Arial Narrow" w:hAnsi="Arial Narrow"/>
                <w:sz w:val="20"/>
              </w:rPr>
            </w:pPr>
            <w:r w:rsidRPr="008D6802">
              <w:rPr>
                <w:rFonts w:ascii="Arial Narrow" w:hAnsi="Arial Narrow"/>
                <w:sz w:val="20"/>
              </w:rPr>
              <w:t>Roche Products Pty Ltd</w:t>
            </w:r>
          </w:p>
        </w:tc>
      </w:tr>
      <w:tr w:rsidR="00157726" w:rsidRPr="008D6802" w:rsidTr="000C7286">
        <w:trPr>
          <w:cantSplit/>
          <w:trHeight w:val="269"/>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B326FB">
            <w:pPr>
              <w:rPr>
                <w:rFonts w:ascii="Arial Narrow" w:hAnsi="Arial Narrow"/>
                <w:b/>
                <w:sz w:val="20"/>
              </w:rPr>
            </w:pPr>
            <w:r w:rsidRPr="00B326FB">
              <w:rPr>
                <w:rFonts w:ascii="Arial Narrow" w:hAnsi="Arial Narrow"/>
                <w:b/>
                <w:sz w:val="20"/>
              </w:rPr>
              <w:t>Category / Program</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sz w:val="20"/>
              </w:rPr>
            </w:pPr>
            <w:r w:rsidRPr="008D6802">
              <w:rPr>
                <w:rFonts w:ascii="Arial Narrow" w:hAnsi="Arial Narrow"/>
                <w:sz w:val="20"/>
              </w:rPr>
              <w:t xml:space="preserve">Section 100 (efficient funding of chemotherapy arrangements) public/private hospital </w:t>
            </w:r>
          </w:p>
        </w:tc>
      </w:tr>
      <w:tr w:rsidR="00157726" w:rsidRPr="008D6802" w:rsidTr="000C7286">
        <w:trPr>
          <w:cantSplit/>
          <w:trHeight w:val="269"/>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t>Prescriber type:</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157726" w:rsidP="00B326FB">
            <w:pPr>
              <w:rPr>
                <w:rFonts w:ascii="Arial Narrow" w:hAnsi="Arial Narrow"/>
                <w:sz w:val="20"/>
              </w:rPr>
            </w:pPr>
            <w:r w:rsidRPr="008D6802">
              <w:rPr>
                <w:rFonts w:ascii="Arial Narrow" w:hAnsi="Arial Narrow"/>
                <w:sz w:val="20"/>
              </w:rPr>
              <w:fldChar w:fldCharType="begin">
                <w:ffData>
                  <w:name w:val="Check1"/>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 xml:space="preserve">Dental  </w:t>
            </w:r>
            <w:r w:rsidRPr="008D6802">
              <w:rPr>
                <w:rFonts w:ascii="Arial Narrow" w:hAnsi="Arial Narrow"/>
                <w:sz w:val="20"/>
              </w:rPr>
              <w:fldChar w:fldCharType="begin">
                <w:ffData>
                  <w:name w:val=""/>
                  <w:enabled/>
                  <w:calcOnExit w:val="0"/>
                  <w:checkBox>
                    <w:sizeAuto/>
                    <w:default w:val="1"/>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 xml:space="preserve">Medical Practitioners  </w:t>
            </w:r>
            <w:r w:rsidRPr="008D6802">
              <w:rPr>
                <w:rFonts w:ascii="Arial Narrow" w:hAnsi="Arial Narrow"/>
                <w:sz w:val="20"/>
              </w:rPr>
              <w:fldChar w:fldCharType="begin">
                <w:ffData>
                  <w:name w:val="Check3"/>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 xml:space="preserve">Nurse practitioners  </w:t>
            </w:r>
            <w:r w:rsidRPr="008D6802">
              <w:rPr>
                <w:rFonts w:ascii="Arial Narrow" w:hAnsi="Arial Narrow"/>
                <w:sz w:val="20"/>
              </w:rPr>
              <w:fldChar w:fldCharType="begin">
                <w:ffData>
                  <w:name w:val=""/>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Optometrists</w:t>
            </w:r>
            <w:r w:rsidR="00B326FB">
              <w:rPr>
                <w:rFonts w:ascii="Arial Narrow" w:hAnsi="Arial Narrow"/>
                <w:sz w:val="20"/>
              </w:rPr>
              <w:t xml:space="preserve"> </w:t>
            </w:r>
            <w:r w:rsidRPr="008D6802">
              <w:rPr>
                <w:rFonts w:ascii="Arial Narrow" w:hAnsi="Arial Narrow"/>
                <w:sz w:val="20"/>
              </w:rPr>
              <w:fldChar w:fldCharType="begin">
                <w:ffData>
                  <w:name w:val="Check5"/>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Midwives</w:t>
            </w:r>
          </w:p>
        </w:tc>
      </w:tr>
      <w:tr w:rsidR="00157726" w:rsidRPr="008D6802" w:rsidTr="000C7286">
        <w:trPr>
          <w:cantSplit/>
          <w:trHeight w:val="269"/>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t>Condition:</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157726" w:rsidP="00693A46">
            <w:pPr>
              <w:rPr>
                <w:rFonts w:ascii="Arial Narrow" w:hAnsi="Arial Narrow"/>
                <w:i/>
                <w:sz w:val="20"/>
              </w:rPr>
            </w:pPr>
            <w:r w:rsidRPr="008D6802">
              <w:rPr>
                <w:rFonts w:ascii="Arial Narrow" w:hAnsi="Arial Narrow"/>
                <w:sz w:val="20"/>
                <w:szCs w:val="22"/>
                <w:lang w:bidi="en-US"/>
              </w:rPr>
              <w:t>Chronic lymphocytic leukaemia (CLL)</w:t>
            </w:r>
          </w:p>
        </w:tc>
      </w:tr>
      <w:tr w:rsidR="00157726" w:rsidRPr="008D6802" w:rsidTr="000C7286">
        <w:trPr>
          <w:cantSplit/>
          <w:trHeight w:val="269"/>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t>Indication:</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157726" w:rsidP="00693A46">
            <w:pPr>
              <w:rPr>
                <w:rFonts w:ascii="Arial Narrow" w:hAnsi="Arial Narrow"/>
                <w:sz w:val="20"/>
                <w:szCs w:val="22"/>
                <w:lang w:bidi="en-US"/>
              </w:rPr>
            </w:pPr>
            <w:r w:rsidRPr="008D6802">
              <w:rPr>
                <w:rFonts w:ascii="Arial Narrow" w:hAnsi="Arial Narrow"/>
                <w:sz w:val="20"/>
                <w:szCs w:val="22"/>
                <w:lang w:bidi="en-US"/>
              </w:rPr>
              <w:t>Chronic lymphocytic leukaemia</w:t>
            </w:r>
          </w:p>
        </w:tc>
      </w:tr>
      <w:tr w:rsidR="00157726" w:rsidRPr="008D6802" w:rsidTr="000C7286">
        <w:trPr>
          <w:cantSplit/>
          <w:trHeight w:val="269"/>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t>Restriction Level / Method:</w:t>
            </w:r>
          </w:p>
          <w:p w:rsidR="00157726" w:rsidRPr="00B326FB" w:rsidRDefault="00157726" w:rsidP="00693A46">
            <w:pPr>
              <w:rPr>
                <w:rFonts w:ascii="Arial Narrow" w:hAnsi="Arial Narrow"/>
                <w:b/>
                <w:i/>
                <w:sz w:val="20"/>
              </w:rPr>
            </w:pP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157726" w:rsidP="00693A46">
            <w:pPr>
              <w:rPr>
                <w:rFonts w:ascii="Arial Narrow" w:hAnsi="Arial Narrow"/>
                <w:sz w:val="20"/>
              </w:rPr>
            </w:pPr>
            <w:r w:rsidRPr="008D6802">
              <w:rPr>
                <w:rFonts w:ascii="Arial Narrow" w:hAnsi="Arial Narrow"/>
                <w:sz w:val="20"/>
              </w:rPr>
              <w:fldChar w:fldCharType="begin">
                <w:ffData>
                  <w:name w:val="Check1"/>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Restricted benefit</w:t>
            </w:r>
          </w:p>
          <w:p w:rsidR="00157726" w:rsidRPr="008D6802" w:rsidRDefault="00157726" w:rsidP="00693A46">
            <w:pPr>
              <w:rPr>
                <w:rFonts w:ascii="Arial Narrow" w:hAnsi="Arial Narrow"/>
                <w:strike/>
                <w:sz w:val="20"/>
              </w:rPr>
            </w:pPr>
            <w:r w:rsidRPr="008D6802">
              <w:rPr>
                <w:rFonts w:ascii="Arial Narrow" w:hAnsi="Arial Narrow"/>
                <w:strike/>
                <w:sz w:val="20"/>
              </w:rPr>
              <w:fldChar w:fldCharType="begin">
                <w:ffData>
                  <w:name w:val=""/>
                  <w:enabled/>
                  <w:calcOnExit w:val="0"/>
                  <w:checkBox>
                    <w:sizeAuto/>
                    <w:default w:val="1"/>
                  </w:checkBox>
                </w:ffData>
              </w:fldChar>
            </w:r>
            <w:r w:rsidRPr="008D6802">
              <w:rPr>
                <w:rFonts w:ascii="Arial Narrow" w:hAnsi="Arial Narrow"/>
                <w:strike/>
                <w:sz w:val="20"/>
              </w:rPr>
              <w:instrText xml:space="preserve"> FORMCHECKBOX </w:instrText>
            </w:r>
            <w:r w:rsidR="000C7286">
              <w:rPr>
                <w:rFonts w:ascii="Arial Narrow" w:hAnsi="Arial Narrow"/>
                <w:strike/>
                <w:sz w:val="20"/>
              </w:rPr>
            </w:r>
            <w:r w:rsidR="000C7286">
              <w:rPr>
                <w:rFonts w:ascii="Arial Narrow" w:hAnsi="Arial Narrow"/>
                <w:strike/>
                <w:sz w:val="20"/>
              </w:rPr>
              <w:fldChar w:fldCharType="separate"/>
            </w:r>
            <w:r w:rsidRPr="008D6802">
              <w:rPr>
                <w:rFonts w:ascii="Arial Narrow" w:hAnsi="Arial Narrow"/>
                <w:strike/>
                <w:sz w:val="20"/>
              </w:rPr>
              <w:fldChar w:fldCharType="end"/>
            </w:r>
            <w:r w:rsidRPr="008D6802">
              <w:rPr>
                <w:rFonts w:ascii="Arial Narrow" w:hAnsi="Arial Narrow"/>
                <w:strike/>
                <w:sz w:val="20"/>
              </w:rPr>
              <w:t>Authority Required - In Writing</w:t>
            </w:r>
          </w:p>
          <w:p w:rsidR="00157726" w:rsidRPr="008D6802" w:rsidRDefault="00157726" w:rsidP="00693A46">
            <w:pPr>
              <w:rPr>
                <w:rFonts w:ascii="Arial Narrow" w:hAnsi="Arial Narrow"/>
                <w:sz w:val="20"/>
              </w:rPr>
            </w:pPr>
            <w:r w:rsidRPr="008D6802">
              <w:rPr>
                <w:rFonts w:ascii="Arial Narrow" w:hAnsi="Arial Narrow"/>
                <w:sz w:val="20"/>
              </w:rPr>
              <w:fldChar w:fldCharType="begin">
                <w:ffData>
                  <w:name w:val="Check3"/>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Authority Required - Telephone</w:t>
            </w:r>
          </w:p>
          <w:p w:rsidR="00157726" w:rsidRPr="008D6802" w:rsidRDefault="00157726" w:rsidP="00693A46">
            <w:pPr>
              <w:rPr>
                <w:rFonts w:ascii="Arial Narrow" w:hAnsi="Arial Narrow"/>
                <w:sz w:val="20"/>
              </w:rPr>
            </w:pPr>
            <w:r w:rsidRPr="008D6802">
              <w:rPr>
                <w:rFonts w:ascii="Arial Narrow" w:hAnsi="Arial Narrow"/>
                <w:sz w:val="20"/>
              </w:rPr>
              <w:fldChar w:fldCharType="begin">
                <w:ffData>
                  <w:name w:val=""/>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Authority Required – Emergency</w:t>
            </w:r>
          </w:p>
          <w:p w:rsidR="00157726" w:rsidRPr="008D6802" w:rsidRDefault="00157726" w:rsidP="00693A46">
            <w:pPr>
              <w:rPr>
                <w:rFonts w:ascii="Arial Narrow" w:hAnsi="Arial Narrow"/>
                <w:sz w:val="20"/>
              </w:rPr>
            </w:pPr>
            <w:r w:rsidRPr="008D6802">
              <w:rPr>
                <w:rFonts w:ascii="Arial Narrow" w:hAnsi="Arial Narrow"/>
                <w:sz w:val="20"/>
              </w:rPr>
              <w:fldChar w:fldCharType="begin">
                <w:ffData>
                  <w:name w:val="Check5"/>
                  <w:enabled/>
                  <w:calcOnExit w:val="0"/>
                  <w:checkBox>
                    <w:sizeAuto/>
                    <w:default w:val="0"/>
                  </w:checkBox>
                </w:ffData>
              </w:fldChar>
            </w:r>
            <w:r w:rsidRPr="008D6802">
              <w:rPr>
                <w:rFonts w:ascii="Arial Narrow" w:hAnsi="Arial Narrow"/>
                <w:sz w:val="20"/>
              </w:rPr>
              <w:instrText xml:space="preserve"> FORMCHECKBOX </w:instrText>
            </w:r>
            <w:r w:rsidR="000C7286">
              <w:rPr>
                <w:rFonts w:ascii="Arial Narrow" w:hAnsi="Arial Narrow"/>
                <w:sz w:val="20"/>
              </w:rPr>
            </w:r>
            <w:r w:rsidR="000C7286">
              <w:rPr>
                <w:rFonts w:ascii="Arial Narrow" w:hAnsi="Arial Narrow"/>
                <w:sz w:val="20"/>
              </w:rPr>
              <w:fldChar w:fldCharType="separate"/>
            </w:r>
            <w:r w:rsidRPr="008D6802">
              <w:rPr>
                <w:rFonts w:ascii="Arial Narrow" w:hAnsi="Arial Narrow"/>
                <w:sz w:val="20"/>
              </w:rPr>
              <w:fldChar w:fldCharType="end"/>
            </w:r>
            <w:r w:rsidRPr="008D6802">
              <w:rPr>
                <w:rFonts w:ascii="Arial Narrow" w:hAnsi="Arial Narrow"/>
                <w:sz w:val="20"/>
              </w:rPr>
              <w:t>Authority Required - Electronic</w:t>
            </w:r>
          </w:p>
          <w:p w:rsidR="00157726" w:rsidRPr="008D6802" w:rsidRDefault="00157726" w:rsidP="00693A46">
            <w:pPr>
              <w:rPr>
                <w:rFonts w:ascii="Arial Narrow" w:hAnsi="Arial Narrow"/>
                <w:i/>
                <w:sz w:val="20"/>
              </w:rPr>
            </w:pPr>
            <w:r w:rsidRPr="008D6802">
              <w:rPr>
                <w:rFonts w:ascii="Arial Narrow" w:hAnsi="Arial Narrow"/>
                <w:i/>
                <w:sz w:val="20"/>
              </w:rPr>
              <w:fldChar w:fldCharType="begin">
                <w:ffData>
                  <w:name w:val=""/>
                  <w:enabled/>
                  <w:calcOnExit w:val="0"/>
                  <w:checkBox>
                    <w:sizeAuto/>
                    <w:default w:val="1"/>
                  </w:checkBox>
                </w:ffData>
              </w:fldChar>
            </w:r>
            <w:r w:rsidRPr="008D6802">
              <w:rPr>
                <w:rFonts w:ascii="Arial Narrow" w:hAnsi="Arial Narrow"/>
                <w:i/>
                <w:sz w:val="20"/>
              </w:rPr>
              <w:instrText xml:space="preserve"> FORMCHECKBOX </w:instrText>
            </w:r>
            <w:r w:rsidR="000C7286">
              <w:rPr>
                <w:rFonts w:ascii="Arial Narrow" w:hAnsi="Arial Narrow"/>
                <w:i/>
                <w:sz w:val="20"/>
              </w:rPr>
            </w:r>
            <w:r w:rsidR="000C7286">
              <w:rPr>
                <w:rFonts w:ascii="Arial Narrow" w:hAnsi="Arial Narrow"/>
                <w:i/>
                <w:sz w:val="20"/>
              </w:rPr>
              <w:fldChar w:fldCharType="separate"/>
            </w:r>
            <w:r w:rsidRPr="008D6802">
              <w:rPr>
                <w:rFonts w:ascii="Arial Narrow" w:hAnsi="Arial Narrow"/>
                <w:i/>
                <w:sz w:val="20"/>
              </w:rPr>
              <w:fldChar w:fldCharType="end"/>
            </w:r>
            <w:r w:rsidRPr="008D6802">
              <w:rPr>
                <w:rFonts w:ascii="Arial Narrow" w:hAnsi="Arial Narrow"/>
                <w:b/>
                <w:i/>
                <w:sz w:val="20"/>
              </w:rPr>
              <w:t>Streamlined</w:t>
            </w:r>
          </w:p>
        </w:tc>
      </w:tr>
      <w:tr w:rsidR="00157726" w:rsidRPr="008D6802" w:rsidTr="000C7286">
        <w:trPr>
          <w:cantSplit/>
          <w:trHeight w:val="458"/>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lastRenderedPageBreak/>
              <w:t>Treatment criteria:</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157726" w:rsidP="00693A46">
            <w:pPr>
              <w:rPr>
                <w:rFonts w:ascii="Arial Narrow" w:hAnsi="Arial Narrow"/>
                <w:sz w:val="20"/>
              </w:rPr>
            </w:pPr>
            <w:r w:rsidRPr="008D6802">
              <w:rPr>
                <w:rFonts w:ascii="Arial Narrow" w:hAnsi="Arial Narrow"/>
                <w:strike/>
                <w:sz w:val="20"/>
              </w:rPr>
              <w:t>Patient must require treatment for</w:t>
            </w:r>
            <w:r w:rsidRPr="008D6802">
              <w:rPr>
                <w:rFonts w:ascii="Arial Narrow" w:hAnsi="Arial Narrow"/>
                <w:sz w:val="20"/>
              </w:rPr>
              <w:t xml:space="preserve"> </w:t>
            </w:r>
            <w:r w:rsidRPr="008D6802">
              <w:rPr>
                <w:rFonts w:ascii="Arial Narrow" w:hAnsi="Arial Narrow"/>
                <w:b/>
                <w:i/>
                <w:sz w:val="20"/>
              </w:rPr>
              <w:t>The condition must be</w:t>
            </w:r>
            <w:r w:rsidRPr="008D6802">
              <w:rPr>
                <w:rFonts w:ascii="Arial Narrow" w:hAnsi="Arial Narrow"/>
                <w:sz w:val="20"/>
              </w:rPr>
              <w:t xml:space="preserve"> CD20 </w:t>
            </w:r>
            <w:r w:rsidRPr="002B3B5A">
              <w:rPr>
                <w:rFonts w:ascii="Arial Narrow" w:hAnsi="Arial Narrow"/>
                <w:sz w:val="20"/>
              </w:rPr>
              <w:t>positive</w:t>
            </w:r>
            <w:r w:rsidRPr="00B14D19">
              <w:rPr>
                <w:rFonts w:ascii="Arial Narrow" w:hAnsi="Arial Narrow"/>
                <w:strike/>
                <w:sz w:val="20"/>
              </w:rPr>
              <w:t xml:space="preserve"> chronic lymphocytic leukaemia (CLL)</w:t>
            </w:r>
            <w:r w:rsidRPr="008D6802">
              <w:rPr>
                <w:rFonts w:ascii="Arial Narrow" w:hAnsi="Arial Narrow"/>
                <w:sz w:val="20"/>
              </w:rPr>
              <w:t>,</w:t>
            </w:r>
          </w:p>
          <w:p w:rsidR="00157726" w:rsidRPr="008D6802" w:rsidRDefault="00157726" w:rsidP="00693A46">
            <w:pPr>
              <w:rPr>
                <w:rFonts w:ascii="Arial Narrow" w:hAnsi="Arial Narrow"/>
                <w:b/>
                <w:sz w:val="20"/>
              </w:rPr>
            </w:pPr>
            <w:r w:rsidRPr="008D6802">
              <w:rPr>
                <w:rFonts w:ascii="Arial Narrow" w:hAnsi="Arial Narrow"/>
                <w:b/>
                <w:sz w:val="20"/>
              </w:rPr>
              <w:t>AND</w:t>
            </w:r>
          </w:p>
          <w:p w:rsidR="00157726" w:rsidRPr="008D6802" w:rsidRDefault="00157726" w:rsidP="00693A46">
            <w:pPr>
              <w:rPr>
                <w:rFonts w:ascii="Arial Narrow" w:hAnsi="Arial Narrow"/>
                <w:sz w:val="20"/>
              </w:rPr>
            </w:pPr>
            <w:r w:rsidRPr="008D6802">
              <w:rPr>
                <w:rFonts w:ascii="Arial Narrow" w:hAnsi="Arial Narrow"/>
                <w:sz w:val="20"/>
              </w:rPr>
              <w:t>The condition must be previously untreated,</w:t>
            </w:r>
          </w:p>
          <w:p w:rsidR="00157726" w:rsidRPr="008D6802" w:rsidRDefault="00157726" w:rsidP="00693A46">
            <w:pPr>
              <w:rPr>
                <w:rFonts w:ascii="Arial Narrow" w:hAnsi="Arial Narrow"/>
                <w:b/>
                <w:sz w:val="20"/>
              </w:rPr>
            </w:pPr>
            <w:r w:rsidRPr="008D6802">
              <w:rPr>
                <w:rFonts w:ascii="Arial Narrow" w:hAnsi="Arial Narrow"/>
                <w:b/>
                <w:sz w:val="20"/>
              </w:rPr>
              <w:t>AND</w:t>
            </w:r>
          </w:p>
          <w:p w:rsidR="00157726" w:rsidRPr="008D6802" w:rsidRDefault="00157726" w:rsidP="00693A46">
            <w:pPr>
              <w:rPr>
                <w:rFonts w:ascii="Arial Narrow" w:hAnsi="Arial Narrow"/>
                <w:sz w:val="20"/>
              </w:rPr>
            </w:pPr>
            <w:r w:rsidRPr="008D6802">
              <w:rPr>
                <w:rFonts w:ascii="Arial Narrow" w:hAnsi="Arial Narrow"/>
                <w:sz w:val="20"/>
              </w:rPr>
              <w:t xml:space="preserve">Patient must be inappropriate for fludarabine based chemo-immunotherapy, </w:t>
            </w:r>
          </w:p>
          <w:p w:rsidR="00157726" w:rsidRPr="008D6802" w:rsidRDefault="00157726" w:rsidP="00693A46">
            <w:pPr>
              <w:rPr>
                <w:rFonts w:ascii="Arial Narrow" w:hAnsi="Arial Narrow"/>
                <w:b/>
                <w:sz w:val="20"/>
              </w:rPr>
            </w:pPr>
            <w:r w:rsidRPr="008D6802">
              <w:rPr>
                <w:rFonts w:ascii="Arial Narrow" w:hAnsi="Arial Narrow"/>
                <w:b/>
                <w:sz w:val="20"/>
              </w:rPr>
              <w:t>AND</w:t>
            </w:r>
          </w:p>
          <w:p w:rsidR="00157726" w:rsidRPr="008D6802" w:rsidRDefault="00157726" w:rsidP="00693A46">
            <w:pPr>
              <w:rPr>
                <w:rFonts w:ascii="Arial Narrow" w:hAnsi="Arial Narrow"/>
                <w:sz w:val="20"/>
              </w:rPr>
            </w:pPr>
            <w:r w:rsidRPr="008D6802">
              <w:rPr>
                <w:rFonts w:ascii="Arial Narrow" w:hAnsi="Arial Narrow"/>
                <w:sz w:val="20"/>
              </w:rPr>
              <w:t>The treatment must be in combination with chlorambucil,</w:t>
            </w:r>
          </w:p>
          <w:p w:rsidR="00157726" w:rsidRPr="008D6802" w:rsidRDefault="00157726" w:rsidP="00693A46">
            <w:pPr>
              <w:rPr>
                <w:rFonts w:ascii="Arial Narrow" w:hAnsi="Arial Narrow"/>
                <w:b/>
                <w:sz w:val="20"/>
              </w:rPr>
            </w:pPr>
            <w:r w:rsidRPr="008D6802">
              <w:rPr>
                <w:rFonts w:ascii="Arial Narrow" w:hAnsi="Arial Narrow"/>
                <w:b/>
                <w:sz w:val="20"/>
              </w:rPr>
              <w:t xml:space="preserve">AND </w:t>
            </w:r>
          </w:p>
          <w:p w:rsidR="00157726" w:rsidRPr="008D6802" w:rsidRDefault="00157726" w:rsidP="00693A46">
            <w:pPr>
              <w:rPr>
                <w:rFonts w:ascii="Arial Narrow" w:hAnsi="Arial Narrow"/>
                <w:sz w:val="20"/>
              </w:rPr>
            </w:pPr>
            <w:r w:rsidRPr="008D6802">
              <w:rPr>
                <w:rFonts w:ascii="Arial Narrow" w:hAnsi="Arial Narrow"/>
                <w:sz w:val="20"/>
              </w:rPr>
              <w:t>Patient must have a creatinine clearance 30 mL/min or greater,</w:t>
            </w:r>
          </w:p>
          <w:p w:rsidR="00157726" w:rsidRPr="008D6802" w:rsidRDefault="00157726" w:rsidP="00693A46">
            <w:pPr>
              <w:rPr>
                <w:rFonts w:ascii="Arial Narrow" w:hAnsi="Arial Narrow"/>
                <w:b/>
                <w:sz w:val="20"/>
              </w:rPr>
            </w:pPr>
            <w:r w:rsidRPr="008D6802">
              <w:rPr>
                <w:rFonts w:ascii="Arial Narrow" w:hAnsi="Arial Narrow"/>
                <w:b/>
                <w:sz w:val="20"/>
              </w:rPr>
              <w:t>AND</w:t>
            </w:r>
          </w:p>
          <w:p w:rsidR="00157726" w:rsidRPr="008D6802" w:rsidRDefault="00157726" w:rsidP="00693A46">
            <w:pPr>
              <w:rPr>
                <w:rFonts w:ascii="Arial Narrow" w:hAnsi="Arial Narrow"/>
                <w:sz w:val="20"/>
              </w:rPr>
            </w:pPr>
            <w:r w:rsidRPr="008D6802">
              <w:rPr>
                <w:rFonts w:ascii="Arial Narrow" w:hAnsi="Arial Narrow"/>
                <w:sz w:val="20"/>
              </w:rPr>
              <w:t xml:space="preserve">Patient must have a total cumulative illness rating scale (CIRS) score of greater than 6 (excluding CLL-induced illness or organ damage); </w:t>
            </w:r>
          </w:p>
          <w:p w:rsidR="00157726" w:rsidRPr="008D6802" w:rsidRDefault="00157726" w:rsidP="00693A46">
            <w:pPr>
              <w:rPr>
                <w:rFonts w:ascii="Arial Narrow" w:hAnsi="Arial Narrow"/>
                <w:sz w:val="20"/>
              </w:rPr>
            </w:pPr>
            <w:r w:rsidRPr="008D6802">
              <w:rPr>
                <w:rFonts w:ascii="Arial Narrow" w:hAnsi="Arial Narrow"/>
                <w:b/>
                <w:sz w:val="20"/>
              </w:rPr>
              <w:t>OR</w:t>
            </w:r>
            <w:r w:rsidRPr="008D6802">
              <w:rPr>
                <w:rFonts w:ascii="Arial Narrow" w:hAnsi="Arial Narrow"/>
                <w:sz w:val="20"/>
              </w:rPr>
              <w:t xml:space="preserve"> </w:t>
            </w:r>
          </w:p>
          <w:p w:rsidR="00157726" w:rsidRPr="008D6802" w:rsidRDefault="00157726" w:rsidP="00693A46">
            <w:pPr>
              <w:rPr>
                <w:rFonts w:ascii="Arial Narrow" w:hAnsi="Arial Narrow"/>
                <w:sz w:val="20"/>
              </w:rPr>
            </w:pPr>
            <w:r w:rsidRPr="008D6802">
              <w:rPr>
                <w:rFonts w:ascii="Arial Narrow" w:hAnsi="Arial Narrow"/>
                <w:sz w:val="20"/>
              </w:rPr>
              <w:t>Patient must have a creatinine clearance less than 70 mL/min.</w:t>
            </w:r>
          </w:p>
        </w:tc>
      </w:tr>
      <w:tr w:rsidR="00157726" w:rsidRPr="008D6802" w:rsidTr="000C7286">
        <w:trPr>
          <w:cantSplit/>
          <w:trHeight w:val="458"/>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t>Prescriber Instructions</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0758DA" w:rsidP="00693A46">
            <w:pPr>
              <w:rPr>
                <w:rFonts w:ascii="Arial Narrow" w:hAnsi="Arial Narrow"/>
                <w:sz w:val="20"/>
              </w:rPr>
            </w:pPr>
            <w:r w:rsidRPr="008D6802">
              <w:rPr>
                <w:rFonts w:ascii="Arial Narrow" w:hAnsi="Arial Narrow"/>
                <w:sz w:val="20"/>
              </w:rPr>
              <w:t xml:space="preserve">Treatment </w:t>
            </w:r>
            <w:r w:rsidR="00157726" w:rsidRPr="008D6802">
              <w:rPr>
                <w:rFonts w:ascii="Arial Narrow" w:hAnsi="Arial Narrow"/>
                <w:sz w:val="20"/>
              </w:rPr>
              <w:t>must be discontinued in patients who experience disease progression while on treatment</w:t>
            </w:r>
            <w:r w:rsidR="006F6CA8" w:rsidRPr="008D6802">
              <w:rPr>
                <w:rFonts w:ascii="Arial Narrow" w:hAnsi="Arial Narrow"/>
                <w:sz w:val="20"/>
              </w:rPr>
              <w:t>.</w:t>
            </w:r>
          </w:p>
          <w:p w:rsidR="00B57D48" w:rsidRPr="00B57D48" w:rsidRDefault="00B57D48" w:rsidP="00B57D48">
            <w:pPr>
              <w:rPr>
                <w:rFonts w:ascii="Arial Narrow" w:hAnsi="Arial Narrow"/>
                <w:sz w:val="20"/>
              </w:rPr>
            </w:pPr>
          </w:p>
          <w:p w:rsidR="00B57D48" w:rsidRPr="004A3AB3" w:rsidRDefault="00B57D48" w:rsidP="00B57D48">
            <w:pPr>
              <w:rPr>
                <w:rFonts w:ascii="Arial Narrow" w:hAnsi="Arial Narrow"/>
                <w:i/>
                <w:sz w:val="20"/>
              </w:rPr>
            </w:pPr>
            <w:r w:rsidRPr="004A3AB3">
              <w:rPr>
                <w:rFonts w:ascii="Arial Narrow" w:hAnsi="Arial Narrow"/>
                <w:i/>
                <w:sz w:val="20"/>
              </w:rPr>
              <w:t>A patient may only qualify for PBS-subsidised treatment under this restriction once in a lifetime.</w:t>
            </w:r>
          </w:p>
          <w:p w:rsidR="00B57D48" w:rsidRPr="008D6802" w:rsidRDefault="00B57D48" w:rsidP="00B57D48">
            <w:pPr>
              <w:rPr>
                <w:rFonts w:ascii="Arial Narrow" w:hAnsi="Arial Narrow"/>
                <w:sz w:val="20"/>
              </w:rPr>
            </w:pPr>
          </w:p>
          <w:p w:rsidR="00157726" w:rsidRPr="008D6802" w:rsidRDefault="00157726" w:rsidP="00693A46">
            <w:pPr>
              <w:rPr>
                <w:rFonts w:ascii="Arial Narrow" w:hAnsi="Arial Narrow"/>
                <w:strike/>
                <w:sz w:val="20"/>
              </w:rPr>
            </w:pPr>
            <w:r w:rsidRPr="008D6802">
              <w:rPr>
                <w:rFonts w:ascii="Arial Narrow" w:hAnsi="Arial Narrow"/>
                <w:strike/>
                <w:sz w:val="20"/>
              </w:rPr>
              <w:t>Applications for authorisation must be in writing and must include:</w:t>
            </w:r>
          </w:p>
          <w:p w:rsidR="00157726" w:rsidRPr="008D6802" w:rsidRDefault="00157726" w:rsidP="00693A46">
            <w:pPr>
              <w:rPr>
                <w:rFonts w:ascii="Arial Narrow" w:hAnsi="Arial Narrow"/>
                <w:strike/>
                <w:sz w:val="20"/>
              </w:rPr>
            </w:pPr>
            <w:r w:rsidRPr="008D6802">
              <w:rPr>
                <w:rFonts w:ascii="Arial Narrow" w:hAnsi="Arial Narrow"/>
                <w:strike/>
                <w:sz w:val="20"/>
              </w:rPr>
              <w:t xml:space="preserve">(a) </w:t>
            </w:r>
            <w:r w:rsidR="00693A46" w:rsidRPr="008D6802">
              <w:rPr>
                <w:rFonts w:ascii="Arial Narrow" w:hAnsi="Arial Narrow"/>
                <w:strike/>
                <w:sz w:val="20"/>
              </w:rPr>
              <w:t xml:space="preserve">a </w:t>
            </w:r>
            <w:r w:rsidRPr="008D6802">
              <w:rPr>
                <w:rFonts w:ascii="Arial Narrow" w:hAnsi="Arial Narrow"/>
                <w:strike/>
                <w:sz w:val="20"/>
              </w:rPr>
              <w:t>completed authority prescription form; AND</w:t>
            </w:r>
          </w:p>
          <w:p w:rsidR="00157726" w:rsidRPr="008D6802" w:rsidRDefault="00157726" w:rsidP="00693A46">
            <w:pPr>
              <w:rPr>
                <w:rFonts w:ascii="Arial Narrow" w:hAnsi="Arial Narrow"/>
                <w:strike/>
                <w:sz w:val="20"/>
              </w:rPr>
            </w:pPr>
            <w:r w:rsidRPr="008D6802">
              <w:rPr>
                <w:rFonts w:ascii="Arial Narrow" w:hAnsi="Arial Narrow"/>
                <w:strike/>
                <w:sz w:val="20"/>
              </w:rPr>
              <w:t>(b) a completed CD20 positive Chronic Lymphocytic Leukaemia PBS Authority Application - Supporting Information Form which includes:</w:t>
            </w:r>
          </w:p>
          <w:p w:rsidR="00157726" w:rsidRPr="008D6802" w:rsidRDefault="00157726" w:rsidP="00693A46">
            <w:pPr>
              <w:rPr>
                <w:rFonts w:ascii="Arial Narrow" w:hAnsi="Arial Narrow"/>
                <w:strike/>
                <w:sz w:val="20"/>
              </w:rPr>
            </w:pPr>
            <w:r w:rsidRPr="008D6802">
              <w:rPr>
                <w:rFonts w:ascii="Arial Narrow" w:hAnsi="Arial Narrow"/>
                <w:strike/>
                <w:sz w:val="20"/>
              </w:rPr>
              <w:t>i) documentation that the patient has CD20 positive CLL (flow cytometry pathology report from blood or bone marrow, noting that this may be from some time earlier); AND</w:t>
            </w:r>
          </w:p>
          <w:p w:rsidR="00157726" w:rsidRPr="008D6802" w:rsidRDefault="00157726" w:rsidP="00693A46">
            <w:pPr>
              <w:rPr>
                <w:rFonts w:ascii="Arial Narrow" w:hAnsi="Arial Narrow"/>
                <w:strike/>
                <w:sz w:val="20"/>
              </w:rPr>
            </w:pPr>
            <w:r w:rsidRPr="008D6802">
              <w:rPr>
                <w:rFonts w:ascii="Arial Narrow" w:hAnsi="Arial Narrow"/>
                <w:strike/>
                <w:sz w:val="20"/>
              </w:rPr>
              <w:t>ii) a statement that the patient is previously untreated, is inappropriate for fludarabine based chemo</w:t>
            </w:r>
            <w:r w:rsidRPr="008D6802">
              <w:rPr>
                <w:rFonts w:ascii="Arial Narrow" w:hAnsi="Arial Narrow"/>
                <w:strike/>
                <w:sz w:val="20"/>
              </w:rPr>
              <w:noBreakHyphen/>
              <w:t>immunotherapy, that treatment will be in combination with chlorambucil,</w:t>
            </w:r>
            <w:r w:rsidR="00693A46" w:rsidRPr="008D6802">
              <w:rPr>
                <w:rFonts w:ascii="Arial Narrow" w:hAnsi="Arial Narrow"/>
                <w:strike/>
                <w:sz w:val="20"/>
              </w:rPr>
              <w:t xml:space="preserve"> AND</w:t>
            </w:r>
          </w:p>
          <w:p w:rsidR="00157726" w:rsidRPr="008D6802" w:rsidRDefault="00157726" w:rsidP="00693A46">
            <w:pPr>
              <w:rPr>
                <w:rFonts w:ascii="Arial Narrow" w:hAnsi="Arial Narrow"/>
                <w:strike/>
                <w:sz w:val="20"/>
              </w:rPr>
            </w:pPr>
            <w:r w:rsidRPr="008D6802">
              <w:rPr>
                <w:rFonts w:ascii="Arial Narrow" w:hAnsi="Arial Narrow"/>
                <w:strike/>
                <w:sz w:val="20"/>
              </w:rPr>
              <w:t>iii) documentation that the patient has a creatinine clearance 30 mL/min or greater; AND</w:t>
            </w:r>
          </w:p>
          <w:p w:rsidR="00157726" w:rsidRPr="008D6802" w:rsidRDefault="00157726" w:rsidP="00693A46">
            <w:pPr>
              <w:rPr>
                <w:rFonts w:ascii="Arial Narrow" w:hAnsi="Arial Narrow"/>
                <w:strike/>
                <w:sz w:val="20"/>
              </w:rPr>
            </w:pPr>
            <w:r w:rsidRPr="008D6802">
              <w:rPr>
                <w:rFonts w:ascii="Arial Narrow" w:hAnsi="Arial Narrow"/>
                <w:strike/>
                <w:sz w:val="20"/>
              </w:rPr>
              <w:t>iv) One of the following, either:</w:t>
            </w:r>
          </w:p>
          <w:p w:rsidR="00157726" w:rsidRPr="008D6802" w:rsidRDefault="00157726" w:rsidP="00693A46">
            <w:pPr>
              <w:pStyle w:val="ListParagraph"/>
              <w:widowControl/>
              <w:numPr>
                <w:ilvl w:val="0"/>
                <w:numId w:val="27"/>
              </w:numPr>
              <w:jc w:val="left"/>
              <w:rPr>
                <w:rFonts w:ascii="Arial Narrow" w:hAnsi="Arial Narrow"/>
                <w:strike/>
                <w:snapToGrid/>
                <w:sz w:val="20"/>
                <w:lang w:eastAsia="en-AU"/>
              </w:rPr>
            </w:pPr>
            <w:r w:rsidRPr="008D6802">
              <w:rPr>
                <w:rFonts w:ascii="Arial Narrow" w:hAnsi="Arial Narrow"/>
                <w:strike/>
                <w:snapToGrid/>
                <w:sz w:val="20"/>
                <w:lang w:eastAsia="en-AU"/>
              </w:rPr>
              <w:t>A completed cumulative illness rating scale (CIRS) score form demonstrating that the patient has a score of greater than 6 (excluding CLL-induced illness or organ damage)</w:t>
            </w:r>
          </w:p>
          <w:p w:rsidR="00157726" w:rsidRPr="008D6802" w:rsidRDefault="00157726" w:rsidP="00693A46">
            <w:pPr>
              <w:ind w:left="1107"/>
              <w:rPr>
                <w:rFonts w:ascii="Arial Narrow" w:hAnsi="Arial Narrow"/>
                <w:strike/>
                <w:sz w:val="20"/>
              </w:rPr>
            </w:pPr>
            <w:r w:rsidRPr="008D6802">
              <w:rPr>
                <w:rFonts w:ascii="Arial Narrow" w:hAnsi="Arial Narrow"/>
                <w:strike/>
                <w:sz w:val="20"/>
              </w:rPr>
              <w:t>OR</w:t>
            </w:r>
          </w:p>
          <w:p w:rsidR="00157726" w:rsidRPr="008D6802" w:rsidRDefault="00157726" w:rsidP="00693A46">
            <w:pPr>
              <w:pStyle w:val="ListParagraph"/>
              <w:widowControl/>
              <w:numPr>
                <w:ilvl w:val="0"/>
                <w:numId w:val="27"/>
              </w:numPr>
              <w:jc w:val="left"/>
              <w:rPr>
                <w:rFonts w:ascii="Arial Narrow" w:hAnsi="Arial Narrow"/>
                <w:snapToGrid/>
                <w:sz w:val="20"/>
                <w:lang w:eastAsia="en-AU"/>
              </w:rPr>
            </w:pPr>
            <w:r w:rsidRPr="008D6802">
              <w:rPr>
                <w:rFonts w:ascii="Arial Narrow" w:hAnsi="Arial Narrow"/>
                <w:strike/>
                <w:snapToGrid/>
                <w:sz w:val="20"/>
                <w:lang w:eastAsia="en-AU"/>
              </w:rPr>
              <w:t>Documentation that the patient has a creatinine clearance less than 70 mL/min;</w:t>
            </w:r>
          </w:p>
        </w:tc>
      </w:tr>
      <w:tr w:rsidR="00157726" w:rsidRPr="008D6802" w:rsidTr="000C7286">
        <w:trPr>
          <w:cantSplit/>
          <w:trHeight w:val="2535"/>
        </w:trPr>
        <w:tc>
          <w:tcPr>
            <w:tcW w:w="934" w:type="pct"/>
            <w:tcBorders>
              <w:top w:val="single" w:sz="4" w:space="0" w:color="auto"/>
              <w:left w:val="single" w:sz="4" w:space="0" w:color="auto"/>
              <w:bottom w:val="single" w:sz="4" w:space="0" w:color="auto"/>
              <w:right w:val="single" w:sz="4" w:space="0" w:color="auto"/>
            </w:tcBorders>
          </w:tcPr>
          <w:p w:rsidR="00157726" w:rsidRPr="00B326FB" w:rsidRDefault="00157726" w:rsidP="00693A46">
            <w:pPr>
              <w:rPr>
                <w:rFonts w:ascii="Arial Narrow" w:hAnsi="Arial Narrow"/>
                <w:b/>
                <w:sz w:val="20"/>
              </w:rPr>
            </w:pPr>
            <w:r w:rsidRPr="00B326FB">
              <w:rPr>
                <w:rFonts w:ascii="Arial Narrow" w:hAnsi="Arial Narrow"/>
                <w:b/>
                <w:sz w:val="20"/>
              </w:rPr>
              <w:t>Administrative advice</w:t>
            </w:r>
          </w:p>
        </w:tc>
        <w:tc>
          <w:tcPr>
            <w:tcW w:w="4066" w:type="pct"/>
            <w:gridSpan w:val="6"/>
            <w:tcBorders>
              <w:top w:val="single" w:sz="4" w:space="0" w:color="auto"/>
              <w:left w:val="single" w:sz="4" w:space="0" w:color="auto"/>
              <w:bottom w:val="single" w:sz="4" w:space="0" w:color="auto"/>
              <w:right w:val="single" w:sz="4" w:space="0" w:color="auto"/>
            </w:tcBorders>
          </w:tcPr>
          <w:p w:rsidR="00157726" w:rsidRPr="008D6802" w:rsidRDefault="00157726" w:rsidP="00693A46">
            <w:pPr>
              <w:rPr>
                <w:rFonts w:ascii="Arial Narrow" w:hAnsi="Arial Narrow"/>
                <w:strike/>
                <w:sz w:val="20"/>
                <w:u w:val="single"/>
              </w:rPr>
            </w:pPr>
            <w:r w:rsidRPr="008D6802">
              <w:rPr>
                <w:rFonts w:ascii="Arial Narrow" w:hAnsi="Arial Narrow"/>
                <w:strike/>
                <w:sz w:val="20"/>
                <w:u w:val="single"/>
              </w:rPr>
              <w:t>Note</w:t>
            </w:r>
          </w:p>
          <w:p w:rsidR="00157726" w:rsidRPr="008D6802" w:rsidRDefault="00157726" w:rsidP="00693A46">
            <w:pPr>
              <w:rPr>
                <w:rFonts w:ascii="Arial Narrow" w:hAnsi="Arial Narrow"/>
                <w:strike/>
                <w:sz w:val="20"/>
              </w:rPr>
            </w:pPr>
            <w:r w:rsidRPr="008D6802">
              <w:rPr>
                <w:rFonts w:ascii="Arial Narrow" w:hAnsi="Arial Narrow"/>
                <w:strike/>
                <w:sz w:val="20"/>
              </w:rPr>
              <w:t xml:space="preserve">Any queries concerning the arrangements to prescribe may be directed to the Department of Human Services on 1800 700 270 (hours of operation 8 a.m. to 5 p.m. EST Monday to Friday). </w:t>
            </w:r>
          </w:p>
          <w:p w:rsidR="00157726" w:rsidRPr="008D6802" w:rsidRDefault="00157726" w:rsidP="00693A46">
            <w:pPr>
              <w:rPr>
                <w:rFonts w:ascii="Arial Narrow" w:hAnsi="Arial Narrow"/>
                <w:strike/>
                <w:sz w:val="20"/>
              </w:rPr>
            </w:pPr>
            <w:r w:rsidRPr="008D6802">
              <w:rPr>
                <w:rFonts w:ascii="Arial Narrow" w:hAnsi="Arial Narrow"/>
                <w:strike/>
                <w:sz w:val="20"/>
              </w:rPr>
              <w:t xml:space="preserve">Prescribing information (including Authority Application forms and other relevant documentation as applicable) is available on the Department of Human Services website at www.humanservices.gov.au </w:t>
            </w:r>
          </w:p>
          <w:p w:rsidR="00157726" w:rsidRPr="008D6802" w:rsidRDefault="00157726" w:rsidP="00693A46">
            <w:pPr>
              <w:rPr>
                <w:rFonts w:ascii="Arial Narrow" w:hAnsi="Arial Narrow"/>
                <w:strike/>
                <w:sz w:val="20"/>
              </w:rPr>
            </w:pPr>
            <w:r w:rsidRPr="008D6802">
              <w:rPr>
                <w:rFonts w:ascii="Arial Narrow" w:hAnsi="Arial Narrow"/>
                <w:strike/>
                <w:sz w:val="20"/>
              </w:rPr>
              <w:t>Applications for authority to prescribe should be forwarded to:</w:t>
            </w:r>
          </w:p>
          <w:p w:rsidR="00157726" w:rsidRPr="008D6802" w:rsidRDefault="00157726" w:rsidP="00693A46">
            <w:pPr>
              <w:rPr>
                <w:rFonts w:ascii="Arial Narrow" w:hAnsi="Arial Narrow"/>
                <w:strike/>
                <w:sz w:val="20"/>
              </w:rPr>
            </w:pPr>
            <w:r w:rsidRPr="008D6802">
              <w:rPr>
                <w:rFonts w:ascii="Arial Narrow" w:hAnsi="Arial Narrow"/>
                <w:strike/>
                <w:sz w:val="20"/>
              </w:rPr>
              <w:t xml:space="preserve">Department of Human Services </w:t>
            </w:r>
          </w:p>
          <w:p w:rsidR="00157726" w:rsidRPr="008D6802" w:rsidRDefault="00157726" w:rsidP="00693A46">
            <w:pPr>
              <w:rPr>
                <w:rFonts w:ascii="Arial Narrow" w:hAnsi="Arial Narrow"/>
                <w:strike/>
                <w:sz w:val="20"/>
              </w:rPr>
            </w:pPr>
            <w:r w:rsidRPr="008D6802">
              <w:rPr>
                <w:rFonts w:ascii="Arial Narrow" w:hAnsi="Arial Narrow"/>
                <w:strike/>
                <w:sz w:val="20"/>
              </w:rPr>
              <w:t>Prior Written Approval of Complex Drugs</w:t>
            </w:r>
          </w:p>
          <w:p w:rsidR="00157726" w:rsidRPr="008D6802" w:rsidRDefault="00157726" w:rsidP="00693A46">
            <w:pPr>
              <w:rPr>
                <w:rFonts w:ascii="Arial Narrow" w:hAnsi="Arial Narrow"/>
                <w:strike/>
                <w:sz w:val="20"/>
              </w:rPr>
            </w:pPr>
            <w:r w:rsidRPr="008D6802">
              <w:rPr>
                <w:rFonts w:ascii="Arial Narrow" w:hAnsi="Arial Narrow"/>
                <w:strike/>
                <w:sz w:val="20"/>
              </w:rPr>
              <w:t>Reply Paid 9826</w:t>
            </w:r>
          </w:p>
          <w:p w:rsidR="00157726" w:rsidRPr="008D6802" w:rsidRDefault="00157726" w:rsidP="00693A46">
            <w:pPr>
              <w:rPr>
                <w:rFonts w:ascii="Arial Narrow" w:hAnsi="Arial Narrow"/>
                <w:strike/>
                <w:sz w:val="20"/>
              </w:rPr>
            </w:pPr>
            <w:r w:rsidRPr="008D6802">
              <w:rPr>
                <w:rFonts w:ascii="Arial Narrow" w:hAnsi="Arial Narrow"/>
                <w:strike/>
                <w:sz w:val="20"/>
              </w:rPr>
              <w:t>HOBART TAS 7001</w:t>
            </w:r>
          </w:p>
          <w:p w:rsidR="00157726" w:rsidRPr="008D6802" w:rsidRDefault="00157726" w:rsidP="00693A46">
            <w:pPr>
              <w:rPr>
                <w:rFonts w:ascii="Arial Narrow" w:hAnsi="Arial Narrow"/>
                <w:sz w:val="20"/>
                <w:u w:val="single"/>
              </w:rPr>
            </w:pPr>
            <w:r w:rsidRPr="008D6802">
              <w:rPr>
                <w:rFonts w:ascii="Arial Narrow" w:hAnsi="Arial Narrow"/>
                <w:sz w:val="20"/>
                <w:u w:val="single"/>
              </w:rPr>
              <w:t>Note</w:t>
            </w:r>
          </w:p>
          <w:p w:rsidR="00157726" w:rsidRPr="008D6802" w:rsidRDefault="00157726" w:rsidP="00693A46">
            <w:pPr>
              <w:rPr>
                <w:rFonts w:ascii="Arial Narrow" w:hAnsi="Arial Narrow"/>
                <w:sz w:val="20"/>
              </w:rPr>
            </w:pPr>
            <w:r w:rsidRPr="008D6802">
              <w:rPr>
                <w:rFonts w:ascii="Arial Narrow" w:hAnsi="Arial Narrow"/>
                <w:sz w:val="20"/>
              </w:rPr>
              <w:t>Obinutuzumab is not to be used as monotherapy or in combination with anti-cancer drugs other than chlorambucil</w:t>
            </w:r>
          </w:p>
          <w:p w:rsidR="00157726" w:rsidRPr="00607AD0" w:rsidRDefault="00157726" w:rsidP="00693A46">
            <w:pPr>
              <w:rPr>
                <w:rFonts w:ascii="Arial Narrow" w:hAnsi="Arial Narrow"/>
                <w:strike/>
                <w:sz w:val="20"/>
                <w:u w:val="single"/>
              </w:rPr>
            </w:pPr>
            <w:r w:rsidRPr="00607AD0">
              <w:rPr>
                <w:rFonts w:ascii="Arial Narrow" w:hAnsi="Arial Narrow"/>
                <w:strike/>
                <w:sz w:val="20"/>
                <w:u w:val="single"/>
              </w:rPr>
              <w:t>Note</w:t>
            </w:r>
          </w:p>
          <w:p w:rsidR="00157726" w:rsidRPr="00607AD0" w:rsidRDefault="00157726" w:rsidP="00693A46">
            <w:pPr>
              <w:rPr>
                <w:rFonts w:ascii="Arial Narrow" w:hAnsi="Arial Narrow"/>
                <w:strike/>
                <w:sz w:val="20"/>
              </w:rPr>
            </w:pPr>
            <w:r w:rsidRPr="00607AD0">
              <w:rPr>
                <w:rFonts w:ascii="Arial Narrow" w:hAnsi="Arial Narrow"/>
                <w:strike/>
                <w:sz w:val="20"/>
              </w:rPr>
              <w:t xml:space="preserve">A patient may only qualify for PBS-subsidised treatment under this restriction once in a lifetime. </w:t>
            </w:r>
          </w:p>
          <w:p w:rsidR="00157726" w:rsidRPr="008D6802" w:rsidRDefault="00157726" w:rsidP="00693A46">
            <w:pPr>
              <w:rPr>
                <w:rFonts w:ascii="Arial Narrow" w:hAnsi="Arial Narrow"/>
                <w:sz w:val="20"/>
                <w:u w:val="single"/>
              </w:rPr>
            </w:pPr>
            <w:r w:rsidRPr="008D6802">
              <w:rPr>
                <w:rFonts w:ascii="Arial Narrow" w:hAnsi="Arial Narrow"/>
                <w:sz w:val="20"/>
                <w:u w:val="single"/>
              </w:rPr>
              <w:t>Note</w:t>
            </w:r>
          </w:p>
          <w:p w:rsidR="00157726" w:rsidRPr="008D6802" w:rsidRDefault="00157726" w:rsidP="00693A46">
            <w:pPr>
              <w:rPr>
                <w:rFonts w:ascii="Arial Narrow" w:hAnsi="Arial Narrow"/>
                <w:sz w:val="20"/>
              </w:rPr>
            </w:pPr>
            <w:r w:rsidRPr="008D6802">
              <w:rPr>
                <w:rFonts w:ascii="Arial Narrow" w:hAnsi="Arial Narrow"/>
                <w:sz w:val="20"/>
              </w:rPr>
              <w:t>No increase in the maximum quantity or number of units may be authorised</w:t>
            </w:r>
          </w:p>
          <w:p w:rsidR="00157726" w:rsidRPr="008D6802" w:rsidRDefault="00157726" w:rsidP="00693A46">
            <w:pPr>
              <w:rPr>
                <w:rFonts w:ascii="Arial Narrow" w:hAnsi="Arial Narrow"/>
                <w:sz w:val="20"/>
                <w:u w:val="single"/>
              </w:rPr>
            </w:pPr>
            <w:r w:rsidRPr="008D6802">
              <w:rPr>
                <w:rFonts w:ascii="Arial Narrow" w:hAnsi="Arial Narrow"/>
                <w:sz w:val="20"/>
                <w:u w:val="single"/>
              </w:rPr>
              <w:t>Note</w:t>
            </w:r>
          </w:p>
          <w:p w:rsidR="00157726" w:rsidRPr="008D6802" w:rsidRDefault="00157726" w:rsidP="00693A46">
            <w:pPr>
              <w:rPr>
                <w:rFonts w:ascii="Arial Narrow" w:hAnsi="Arial Narrow"/>
                <w:sz w:val="20"/>
              </w:rPr>
            </w:pPr>
            <w:r w:rsidRPr="008D6802">
              <w:rPr>
                <w:rFonts w:ascii="Arial Narrow" w:hAnsi="Arial Narrow"/>
                <w:sz w:val="20"/>
              </w:rPr>
              <w:t>No increase in the maximum number of repeats may be authorised</w:t>
            </w:r>
          </w:p>
          <w:p w:rsidR="00157726" w:rsidRPr="008D6802" w:rsidRDefault="00157726" w:rsidP="00693A46">
            <w:pPr>
              <w:rPr>
                <w:rFonts w:ascii="Arial Narrow" w:hAnsi="Arial Narrow"/>
                <w:sz w:val="20"/>
                <w:u w:val="single"/>
              </w:rPr>
            </w:pPr>
            <w:r w:rsidRPr="008D6802">
              <w:rPr>
                <w:rFonts w:ascii="Arial Narrow" w:hAnsi="Arial Narrow"/>
                <w:sz w:val="20"/>
                <w:u w:val="single"/>
              </w:rPr>
              <w:t>Note</w:t>
            </w:r>
          </w:p>
          <w:p w:rsidR="00157726" w:rsidRPr="008D6802" w:rsidRDefault="00157726" w:rsidP="00693A46">
            <w:pPr>
              <w:rPr>
                <w:rFonts w:ascii="Arial Narrow" w:hAnsi="Arial Narrow"/>
                <w:sz w:val="20"/>
              </w:rPr>
            </w:pPr>
            <w:r w:rsidRPr="008D6802">
              <w:rPr>
                <w:rFonts w:ascii="Arial Narrow" w:hAnsi="Arial Narrow"/>
                <w:sz w:val="20"/>
              </w:rPr>
              <w:t>Special pricing arrangements apply</w:t>
            </w:r>
            <w:r w:rsidR="006F6CA8" w:rsidRPr="008D6802">
              <w:rPr>
                <w:rFonts w:ascii="Arial Narrow" w:hAnsi="Arial Narrow"/>
                <w:sz w:val="20"/>
              </w:rPr>
              <w:t>.</w:t>
            </w:r>
          </w:p>
        </w:tc>
      </w:tr>
    </w:tbl>
    <w:p w:rsidR="00F41D26" w:rsidRPr="008D6802" w:rsidRDefault="00F41D26" w:rsidP="00F41D26">
      <w:pPr>
        <w:pStyle w:val="NoSpacing"/>
      </w:pPr>
    </w:p>
    <w:p w:rsidR="00F41D26" w:rsidRDefault="000A6828" w:rsidP="000A682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A6828">
        <w:rPr>
          <w:rFonts w:asciiTheme="minorHAnsi" w:hAnsiTheme="minorHAnsi"/>
          <w:sz w:val="32"/>
          <w:szCs w:val="32"/>
        </w:rPr>
        <w:t>Context for Decision</w:t>
      </w:r>
    </w:p>
    <w:p w:rsidR="000A6828" w:rsidRPr="0019102D" w:rsidRDefault="000A6828" w:rsidP="0019102D">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A6828" w:rsidRPr="000A6828" w:rsidRDefault="000A6828" w:rsidP="000A682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Sponsor’s Comment </w:t>
      </w:r>
    </w:p>
    <w:p w:rsidR="000A6828" w:rsidRPr="00C07617" w:rsidRDefault="000A6828" w:rsidP="000A6828">
      <w:pPr>
        <w:spacing w:after="120"/>
        <w:jc w:val="both"/>
        <w:rPr>
          <w:rFonts w:asciiTheme="minorHAnsi" w:hAnsiTheme="minorHAnsi" w:cs="Arial"/>
          <w:bCs/>
        </w:rPr>
      </w:pPr>
      <w:r w:rsidRPr="00C07617">
        <w:rPr>
          <w:rFonts w:asciiTheme="minorHAnsi" w:hAnsiTheme="minorHAnsi" w:cs="Arial"/>
          <w:bCs/>
        </w:rPr>
        <w:t>The sponsor had no comment.</w:t>
      </w:r>
    </w:p>
    <w:p w:rsidR="000A6828" w:rsidRPr="000A6828" w:rsidRDefault="000A6828" w:rsidP="000A6828">
      <w:pPr>
        <w:rPr>
          <w:lang w:eastAsia="en-US"/>
        </w:rPr>
      </w:pPr>
    </w:p>
    <w:sectPr w:rsidR="000A6828" w:rsidRPr="000A6828" w:rsidSect="00C27B58">
      <w:headerReference w:type="even" r:id="rId11"/>
      <w:headerReference w:type="default" r:id="rId12"/>
      <w:footerReference w:type="even" r:id="rId13"/>
      <w:footerReference w:type="defaul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DE" w:rsidRDefault="000805DE">
      <w:r>
        <w:separator/>
      </w:r>
    </w:p>
    <w:p w:rsidR="000805DE" w:rsidRDefault="000805DE"/>
  </w:endnote>
  <w:endnote w:type="continuationSeparator" w:id="0">
    <w:p w:rsidR="000805DE" w:rsidRDefault="000805DE">
      <w:r>
        <w:continuationSeparator/>
      </w:r>
    </w:p>
    <w:p w:rsidR="000805DE" w:rsidRDefault="0008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14D19" w:rsidTr="005A3173">
      <w:trPr>
        <w:trHeight w:val="151"/>
      </w:trPr>
      <w:tc>
        <w:tcPr>
          <w:tcW w:w="2250" w:type="pct"/>
          <w:tcBorders>
            <w:top w:val="nil"/>
            <w:left w:val="nil"/>
            <w:bottom w:val="single" w:sz="4" w:space="0" w:color="4F81BD"/>
            <w:right w:val="nil"/>
          </w:tcBorders>
        </w:tcPr>
        <w:p w:rsidR="00B14D19" w:rsidRPr="005A3173" w:rsidRDefault="00B14D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14D19" w:rsidRPr="005A3173" w:rsidRDefault="00B14D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14D19" w:rsidRPr="005A3173" w:rsidRDefault="00B14D19" w:rsidP="005A3173">
          <w:pPr>
            <w:pStyle w:val="Header"/>
            <w:spacing w:line="276" w:lineRule="auto"/>
            <w:rPr>
              <w:rFonts w:ascii="Calibri" w:eastAsia="MS Gothic" w:hAnsi="Calibri"/>
              <w:b/>
              <w:bCs/>
              <w:color w:val="4F81BD"/>
            </w:rPr>
          </w:pPr>
        </w:p>
      </w:tc>
    </w:tr>
    <w:tr w:rsidR="00B14D19" w:rsidTr="005A3173">
      <w:trPr>
        <w:trHeight w:val="150"/>
      </w:trPr>
      <w:tc>
        <w:tcPr>
          <w:tcW w:w="2250" w:type="pct"/>
          <w:tcBorders>
            <w:top w:val="single" w:sz="4" w:space="0" w:color="4F81BD"/>
            <w:left w:val="nil"/>
            <w:bottom w:val="nil"/>
            <w:right w:val="nil"/>
          </w:tcBorders>
        </w:tcPr>
        <w:p w:rsidR="00B14D19" w:rsidRPr="005A3173" w:rsidRDefault="00B14D19" w:rsidP="005A3173">
          <w:pPr>
            <w:pStyle w:val="Header"/>
            <w:spacing w:line="276" w:lineRule="auto"/>
            <w:rPr>
              <w:rFonts w:ascii="Calibri" w:eastAsia="MS Gothic" w:hAnsi="Calibri"/>
              <w:b/>
              <w:bCs/>
              <w:color w:val="4F81BD"/>
            </w:rPr>
          </w:pPr>
        </w:p>
      </w:tc>
      <w:tc>
        <w:tcPr>
          <w:tcW w:w="0" w:type="auto"/>
          <w:vMerge/>
          <w:vAlign w:val="center"/>
          <w:hideMark/>
        </w:tcPr>
        <w:p w:rsidR="00B14D19" w:rsidRPr="005A3173" w:rsidRDefault="00B14D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14D19" w:rsidRPr="005A3173" w:rsidRDefault="00B14D19" w:rsidP="005A3173">
          <w:pPr>
            <w:pStyle w:val="Header"/>
            <w:spacing w:line="276" w:lineRule="auto"/>
            <w:rPr>
              <w:rFonts w:ascii="Calibri" w:eastAsia="MS Gothic" w:hAnsi="Calibri"/>
              <w:b/>
              <w:bCs/>
              <w:color w:val="4F81BD"/>
            </w:rPr>
          </w:pPr>
        </w:p>
      </w:tc>
    </w:tr>
  </w:tbl>
  <w:p w:rsidR="00B14D19" w:rsidRDefault="00B14D1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4D19" w:rsidRDefault="00B14D19">
    <w:pPr>
      <w:pStyle w:val="Footer"/>
    </w:pPr>
  </w:p>
  <w:p w:rsidR="00B14D19" w:rsidRDefault="00B14D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14760"/>
      <w:docPartObj>
        <w:docPartGallery w:val="Page Numbers (Bottom of Page)"/>
        <w:docPartUnique/>
      </w:docPartObj>
    </w:sdtPr>
    <w:sdtEndPr>
      <w:rPr>
        <w:rFonts w:asciiTheme="minorHAnsi" w:hAnsiTheme="minorHAnsi"/>
        <w:noProof/>
      </w:rPr>
    </w:sdtEndPr>
    <w:sdtContent>
      <w:p w:rsidR="00B14D19" w:rsidRPr="00F41D26" w:rsidRDefault="00B14D19">
        <w:pPr>
          <w:pStyle w:val="Footer"/>
          <w:jc w:val="center"/>
          <w:rPr>
            <w:rFonts w:asciiTheme="minorHAnsi" w:hAnsiTheme="minorHAnsi"/>
          </w:rPr>
        </w:pPr>
        <w:r w:rsidRPr="00F41D26">
          <w:rPr>
            <w:rFonts w:asciiTheme="minorHAnsi" w:hAnsiTheme="minorHAnsi"/>
          </w:rPr>
          <w:fldChar w:fldCharType="begin"/>
        </w:r>
        <w:r w:rsidRPr="00F41D26">
          <w:rPr>
            <w:rFonts w:asciiTheme="minorHAnsi" w:hAnsiTheme="minorHAnsi"/>
          </w:rPr>
          <w:instrText xml:space="preserve"> PAGE   \* MERGEFORMAT </w:instrText>
        </w:r>
        <w:r w:rsidRPr="00F41D26">
          <w:rPr>
            <w:rFonts w:asciiTheme="minorHAnsi" w:hAnsiTheme="minorHAnsi"/>
          </w:rPr>
          <w:fldChar w:fldCharType="separate"/>
        </w:r>
        <w:r w:rsidR="000C7286">
          <w:rPr>
            <w:rFonts w:asciiTheme="minorHAnsi" w:hAnsiTheme="minorHAnsi"/>
            <w:noProof/>
          </w:rPr>
          <w:t>1</w:t>
        </w:r>
        <w:r w:rsidRPr="00F41D26">
          <w:rPr>
            <w:rFonts w:asciiTheme="minorHAnsi" w:hAnsiTheme="minorHAnsi"/>
            <w:noProof/>
          </w:rPr>
          <w:fldChar w:fldCharType="end"/>
        </w:r>
      </w:p>
    </w:sdtContent>
  </w:sdt>
  <w:p w:rsidR="00B14D19" w:rsidRPr="005E1333" w:rsidRDefault="00B14D19"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14D19" w:rsidTr="005A3173">
      <w:trPr>
        <w:trHeight w:val="151"/>
      </w:trPr>
      <w:tc>
        <w:tcPr>
          <w:tcW w:w="2250" w:type="pct"/>
          <w:tcBorders>
            <w:top w:val="nil"/>
            <w:left w:val="nil"/>
            <w:bottom w:val="single" w:sz="4" w:space="0" w:color="4F81BD"/>
            <w:right w:val="nil"/>
          </w:tcBorders>
        </w:tcPr>
        <w:p w:rsidR="00B14D19" w:rsidRPr="005A3173" w:rsidRDefault="00B14D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14D19" w:rsidRPr="005A3173" w:rsidRDefault="00B14D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14D19" w:rsidRPr="005A3173" w:rsidRDefault="00B14D19" w:rsidP="005A3173">
          <w:pPr>
            <w:pStyle w:val="Header"/>
            <w:spacing w:line="276" w:lineRule="auto"/>
            <w:rPr>
              <w:rFonts w:ascii="Calibri" w:eastAsia="MS Gothic" w:hAnsi="Calibri"/>
              <w:b/>
              <w:bCs/>
              <w:color w:val="4F81BD"/>
            </w:rPr>
          </w:pPr>
        </w:p>
      </w:tc>
    </w:tr>
    <w:tr w:rsidR="00B14D19" w:rsidTr="005A3173">
      <w:trPr>
        <w:trHeight w:val="150"/>
      </w:trPr>
      <w:tc>
        <w:tcPr>
          <w:tcW w:w="2250" w:type="pct"/>
          <w:tcBorders>
            <w:top w:val="single" w:sz="4" w:space="0" w:color="4F81BD"/>
            <w:left w:val="nil"/>
            <w:bottom w:val="nil"/>
            <w:right w:val="nil"/>
          </w:tcBorders>
        </w:tcPr>
        <w:p w:rsidR="00B14D19" w:rsidRPr="005A3173" w:rsidRDefault="00B14D19" w:rsidP="005A3173">
          <w:pPr>
            <w:pStyle w:val="Header"/>
            <w:spacing w:line="276" w:lineRule="auto"/>
            <w:rPr>
              <w:rFonts w:ascii="Calibri" w:eastAsia="MS Gothic" w:hAnsi="Calibri"/>
              <w:b/>
              <w:bCs/>
              <w:color w:val="4F81BD"/>
            </w:rPr>
          </w:pPr>
        </w:p>
      </w:tc>
      <w:tc>
        <w:tcPr>
          <w:tcW w:w="0" w:type="auto"/>
          <w:vMerge/>
          <w:vAlign w:val="center"/>
          <w:hideMark/>
        </w:tcPr>
        <w:p w:rsidR="00B14D19" w:rsidRPr="005A3173" w:rsidRDefault="00B14D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14D19" w:rsidRPr="005A3173" w:rsidRDefault="00B14D1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14D19" w:rsidTr="005A3173">
      <w:trPr>
        <w:trHeight w:val="151"/>
      </w:trPr>
      <w:tc>
        <w:tcPr>
          <w:tcW w:w="2250" w:type="pct"/>
          <w:tcBorders>
            <w:top w:val="nil"/>
            <w:left w:val="nil"/>
            <w:bottom w:val="single" w:sz="4" w:space="0" w:color="4F81BD"/>
            <w:right w:val="nil"/>
          </w:tcBorders>
        </w:tcPr>
        <w:p w:rsidR="00B14D19" w:rsidRPr="005A3173" w:rsidRDefault="00B14D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14D19" w:rsidRPr="005A3173" w:rsidRDefault="00B14D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14D19" w:rsidRPr="005A3173" w:rsidRDefault="00B14D19" w:rsidP="005A3173">
          <w:pPr>
            <w:pStyle w:val="Header"/>
            <w:spacing w:line="276" w:lineRule="auto"/>
            <w:rPr>
              <w:rFonts w:ascii="Calibri" w:eastAsia="MS Gothic" w:hAnsi="Calibri"/>
              <w:b/>
              <w:bCs/>
              <w:color w:val="4F81BD"/>
            </w:rPr>
          </w:pPr>
        </w:p>
      </w:tc>
    </w:tr>
    <w:tr w:rsidR="00B14D19" w:rsidTr="005A3173">
      <w:trPr>
        <w:trHeight w:val="150"/>
      </w:trPr>
      <w:tc>
        <w:tcPr>
          <w:tcW w:w="2250" w:type="pct"/>
          <w:tcBorders>
            <w:top w:val="single" w:sz="4" w:space="0" w:color="4F81BD"/>
            <w:left w:val="nil"/>
            <w:bottom w:val="nil"/>
            <w:right w:val="nil"/>
          </w:tcBorders>
        </w:tcPr>
        <w:p w:rsidR="00B14D19" w:rsidRPr="005A3173" w:rsidRDefault="00B14D19" w:rsidP="005A3173">
          <w:pPr>
            <w:pStyle w:val="Header"/>
            <w:spacing w:line="276" w:lineRule="auto"/>
            <w:rPr>
              <w:rFonts w:ascii="Calibri" w:eastAsia="MS Gothic" w:hAnsi="Calibri"/>
              <w:b/>
              <w:bCs/>
              <w:color w:val="4F81BD"/>
            </w:rPr>
          </w:pPr>
        </w:p>
      </w:tc>
      <w:tc>
        <w:tcPr>
          <w:tcW w:w="0" w:type="auto"/>
          <w:vMerge/>
          <w:vAlign w:val="center"/>
          <w:hideMark/>
        </w:tcPr>
        <w:p w:rsidR="00B14D19" w:rsidRPr="005A3173" w:rsidRDefault="00B14D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14D19" w:rsidRPr="005A3173" w:rsidRDefault="00B14D19" w:rsidP="005A3173">
          <w:pPr>
            <w:pStyle w:val="Header"/>
            <w:spacing w:line="276" w:lineRule="auto"/>
            <w:rPr>
              <w:rFonts w:ascii="Calibri" w:eastAsia="MS Gothic" w:hAnsi="Calibri"/>
              <w:b/>
              <w:bCs/>
              <w:color w:val="4F81BD"/>
            </w:rPr>
          </w:pPr>
        </w:p>
      </w:tc>
    </w:tr>
  </w:tbl>
  <w:p w:rsidR="00B14D19" w:rsidRPr="007C0F57" w:rsidRDefault="00B14D1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14D19" w:rsidRPr="007C0F57" w:rsidRDefault="00B14D19" w:rsidP="007C0F57">
    <w:pPr>
      <w:pStyle w:val="Footer"/>
      <w:jc w:val="center"/>
      <w:rPr>
        <w:b/>
        <w:i/>
        <w:sz w:val="20"/>
        <w:szCs w:val="20"/>
      </w:rPr>
    </w:pPr>
    <w:r w:rsidRPr="007C0F57">
      <w:rPr>
        <w:b/>
        <w:i/>
        <w:sz w:val="20"/>
        <w:szCs w:val="20"/>
      </w:rPr>
      <w:t>Commercial-in-Confidence</w:t>
    </w:r>
  </w:p>
  <w:p w:rsidR="00B14D19" w:rsidRDefault="00B14D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DE" w:rsidRDefault="000805DE">
      <w:r>
        <w:separator/>
      </w:r>
    </w:p>
    <w:p w:rsidR="000805DE" w:rsidRDefault="000805DE"/>
  </w:footnote>
  <w:footnote w:type="continuationSeparator" w:id="0">
    <w:p w:rsidR="000805DE" w:rsidRDefault="000805DE">
      <w:r>
        <w:continuationSeparator/>
      </w:r>
    </w:p>
    <w:p w:rsidR="000805DE" w:rsidRDefault="000805DE"/>
  </w:footnote>
  <w:footnote w:id="1">
    <w:p w:rsidR="00B14D19" w:rsidRPr="009D0430" w:rsidRDefault="00B14D19" w:rsidP="009E1FDA">
      <w:pPr>
        <w:pStyle w:val="Heading3"/>
        <w:shd w:val="clear" w:color="auto" w:fill="FFFFFF"/>
        <w:spacing w:before="0" w:after="120"/>
        <w:rPr>
          <w:rFonts w:ascii="Arial Narrow" w:hAnsi="Arial Narrow" w:cs="Arial"/>
          <w:b w:val="0"/>
          <w:bCs w:val="0"/>
          <w:color w:val="auto"/>
          <w:sz w:val="20"/>
          <w:szCs w:val="20"/>
        </w:rPr>
      </w:pPr>
      <w:r w:rsidRPr="009D0430">
        <w:rPr>
          <w:rStyle w:val="FootnoteReference"/>
          <w:rFonts w:ascii="Arial Narrow" w:hAnsi="Arial Narrow"/>
          <w:color w:val="auto"/>
          <w:sz w:val="20"/>
          <w:szCs w:val="20"/>
        </w:rPr>
        <w:footnoteRef/>
      </w:r>
      <w:r w:rsidRPr="009D0430">
        <w:rPr>
          <w:rFonts w:ascii="Arial Narrow" w:hAnsi="Arial Narrow"/>
          <w:color w:val="auto"/>
          <w:sz w:val="20"/>
          <w:szCs w:val="20"/>
        </w:rPr>
        <w:t xml:space="preserve"> </w:t>
      </w:r>
      <w:r w:rsidRPr="009D0430">
        <w:rPr>
          <w:rFonts w:ascii="Arial Narrow" w:hAnsi="Arial Narrow" w:cs="Arial"/>
          <w:b w:val="0"/>
          <w:bCs w:val="0"/>
          <w:color w:val="auto"/>
          <w:sz w:val="20"/>
          <w:szCs w:val="20"/>
        </w:rPr>
        <w:t>Outcome Statement from the February 2018 DUSC Meeting. Accessed on 13 June 2018 at: http://www.pbs.gov.au/info/industry/listing/elements/dusc-meetings/dos</w:t>
      </w:r>
    </w:p>
    <w:p w:rsidR="00B14D19" w:rsidRDefault="00B14D1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14D19" w:rsidRPr="008E0D90" w:rsidTr="00A06225">
      <w:trPr>
        <w:trHeight w:val="151"/>
      </w:trPr>
      <w:tc>
        <w:tcPr>
          <w:tcW w:w="2389" w:type="pct"/>
          <w:tcBorders>
            <w:top w:val="nil"/>
            <w:left w:val="nil"/>
            <w:bottom w:val="single" w:sz="4" w:space="0" w:color="4F81BD"/>
            <w:right w:val="nil"/>
          </w:tcBorders>
        </w:tcPr>
        <w:p w:rsidR="00B14D19" w:rsidRPr="00A06225" w:rsidRDefault="00B14D19">
          <w:pPr>
            <w:pStyle w:val="Header"/>
            <w:spacing w:line="276" w:lineRule="auto"/>
            <w:rPr>
              <w:rFonts w:ascii="Cambria" w:eastAsia="MS Gothic" w:hAnsi="Cambria"/>
              <w:b/>
              <w:bCs/>
              <w:color w:val="4F81BD"/>
            </w:rPr>
          </w:pPr>
        </w:p>
      </w:tc>
      <w:tc>
        <w:tcPr>
          <w:tcW w:w="333" w:type="pct"/>
          <w:vMerge w:val="restart"/>
          <w:noWrap/>
          <w:vAlign w:val="center"/>
          <w:hideMark/>
        </w:tcPr>
        <w:p w:rsidR="00B14D19" w:rsidRPr="00A06225" w:rsidRDefault="00B14D1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14D19" w:rsidRPr="00A06225" w:rsidRDefault="00B14D19">
          <w:pPr>
            <w:pStyle w:val="Header"/>
            <w:spacing w:line="276" w:lineRule="auto"/>
            <w:rPr>
              <w:rFonts w:ascii="Cambria" w:eastAsia="MS Gothic" w:hAnsi="Cambria"/>
              <w:b/>
              <w:bCs/>
              <w:color w:val="4F81BD"/>
            </w:rPr>
          </w:pPr>
        </w:p>
      </w:tc>
    </w:tr>
    <w:tr w:rsidR="00B14D19" w:rsidRPr="008E0D90" w:rsidTr="00A06225">
      <w:trPr>
        <w:trHeight w:val="150"/>
      </w:trPr>
      <w:tc>
        <w:tcPr>
          <w:tcW w:w="2389" w:type="pct"/>
          <w:tcBorders>
            <w:top w:val="single" w:sz="4" w:space="0" w:color="4F81BD"/>
            <w:left w:val="nil"/>
            <w:bottom w:val="nil"/>
            <w:right w:val="nil"/>
          </w:tcBorders>
        </w:tcPr>
        <w:p w:rsidR="00B14D19" w:rsidRPr="00A06225" w:rsidRDefault="00B14D19">
          <w:pPr>
            <w:pStyle w:val="Header"/>
            <w:spacing w:line="276" w:lineRule="auto"/>
            <w:rPr>
              <w:rFonts w:ascii="Cambria" w:eastAsia="MS Gothic" w:hAnsi="Cambria"/>
              <w:b/>
              <w:bCs/>
              <w:color w:val="4F81BD"/>
            </w:rPr>
          </w:pPr>
        </w:p>
      </w:tc>
      <w:tc>
        <w:tcPr>
          <w:tcW w:w="0" w:type="auto"/>
          <w:vMerge/>
          <w:vAlign w:val="center"/>
          <w:hideMark/>
        </w:tcPr>
        <w:p w:rsidR="00B14D19" w:rsidRPr="00A06225" w:rsidRDefault="00B14D19">
          <w:pPr>
            <w:rPr>
              <w:rFonts w:ascii="Cambria" w:hAnsi="Cambria"/>
              <w:color w:val="4F81BD"/>
              <w:sz w:val="22"/>
              <w:szCs w:val="22"/>
            </w:rPr>
          </w:pPr>
        </w:p>
      </w:tc>
      <w:tc>
        <w:tcPr>
          <w:tcW w:w="2278" w:type="pct"/>
          <w:tcBorders>
            <w:top w:val="single" w:sz="4" w:space="0" w:color="4F81BD"/>
            <w:left w:val="nil"/>
            <w:bottom w:val="nil"/>
            <w:right w:val="nil"/>
          </w:tcBorders>
        </w:tcPr>
        <w:p w:rsidR="00B14D19" w:rsidRPr="00A06225" w:rsidRDefault="00B14D19">
          <w:pPr>
            <w:pStyle w:val="Header"/>
            <w:spacing w:line="276" w:lineRule="auto"/>
            <w:rPr>
              <w:rFonts w:ascii="Cambria" w:eastAsia="MS Gothic" w:hAnsi="Cambria"/>
              <w:b/>
              <w:bCs/>
              <w:color w:val="4F81BD"/>
            </w:rPr>
          </w:pPr>
        </w:p>
      </w:tc>
    </w:tr>
  </w:tbl>
  <w:p w:rsidR="00B14D19" w:rsidRDefault="00B14D19">
    <w:pPr>
      <w:pStyle w:val="Header"/>
    </w:pPr>
  </w:p>
  <w:p w:rsidR="00B14D19" w:rsidRDefault="00B14D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51" w:rsidRPr="00C27751" w:rsidRDefault="00C27751" w:rsidP="00C27751">
    <w:pPr>
      <w:tabs>
        <w:tab w:val="center" w:pos="4513"/>
        <w:tab w:val="right" w:pos="9026"/>
      </w:tabs>
      <w:jc w:val="center"/>
      <w:rPr>
        <w:rFonts w:asciiTheme="minorHAnsi" w:eastAsiaTheme="minorHAnsi" w:hAnsiTheme="minorHAnsi" w:cstheme="minorHAnsi"/>
        <w:i/>
        <w:color w:val="808080"/>
        <w:sz w:val="22"/>
        <w:szCs w:val="22"/>
        <w:lang w:eastAsia="en-US"/>
      </w:rPr>
    </w:pPr>
    <w:r w:rsidRPr="00C27751">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C27751">
      <w:rPr>
        <w:rFonts w:asciiTheme="minorHAnsi" w:eastAsiaTheme="minorHAnsi" w:hAnsiTheme="minorHAnsi" w:cstheme="minorHAnsi"/>
        <w:i/>
        <w:color w:val="808080"/>
        <w:sz w:val="22"/>
        <w:szCs w:val="22"/>
        <w:lang w:eastAsia="en-US"/>
      </w:rPr>
      <w:t xml:space="preserve"> PBAC Meeting</w:t>
    </w:r>
  </w:p>
  <w:p w:rsidR="00B14D19" w:rsidRDefault="00B14D19"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368"/>
    <w:multiLevelType w:val="hybridMultilevel"/>
    <w:tmpl w:val="8C622D76"/>
    <w:lvl w:ilvl="0" w:tplc="ECDE8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29644E8"/>
    <w:multiLevelType w:val="hybridMultilevel"/>
    <w:tmpl w:val="9B8826D8"/>
    <w:lvl w:ilvl="0" w:tplc="70F83F9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5F4A5B"/>
    <w:multiLevelType w:val="multilevel"/>
    <w:tmpl w:val="B652212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96246"/>
    <w:multiLevelType w:val="multilevel"/>
    <w:tmpl w:val="E5EC2F7A"/>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A6A15A1"/>
    <w:multiLevelType w:val="hybridMultilevel"/>
    <w:tmpl w:val="C9D0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C14C08"/>
    <w:multiLevelType w:val="multilevel"/>
    <w:tmpl w:val="0B74A36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FAF5741"/>
    <w:multiLevelType w:val="hybridMultilevel"/>
    <w:tmpl w:val="3C784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7A012E4"/>
    <w:multiLevelType w:val="multilevel"/>
    <w:tmpl w:val="BB7ACD24"/>
    <w:lvl w:ilvl="0">
      <w:start w:val="7"/>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7"/>
  </w:num>
  <w:num w:numId="4">
    <w:abstractNumId w:val="19"/>
  </w:num>
  <w:num w:numId="5">
    <w:abstractNumId w:val="26"/>
  </w:num>
  <w:num w:numId="6">
    <w:abstractNumId w:val="9"/>
  </w:num>
  <w:num w:numId="7">
    <w:abstractNumId w:val="16"/>
  </w:num>
  <w:num w:numId="8">
    <w:abstractNumId w:val="5"/>
  </w:num>
  <w:num w:numId="9">
    <w:abstractNumId w:val="14"/>
  </w:num>
  <w:num w:numId="10">
    <w:abstractNumId w:val="13"/>
  </w:num>
  <w:num w:numId="11">
    <w:abstractNumId w:val="12"/>
  </w:num>
  <w:num w:numId="12">
    <w:abstractNumId w:val="1"/>
  </w:num>
  <w:num w:numId="13">
    <w:abstractNumId w:val="0"/>
  </w:num>
  <w:num w:numId="14">
    <w:abstractNumId w:val="26"/>
  </w:num>
  <w:num w:numId="15">
    <w:abstractNumId w:val="25"/>
  </w:num>
  <w:num w:numId="16">
    <w:abstractNumId w:val="15"/>
  </w:num>
  <w:num w:numId="17">
    <w:abstractNumId w:val="23"/>
  </w:num>
  <w:num w:numId="18">
    <w:abstractNumId w:val="24"/>
  </w:num>
  <w:num w:numId="19">
    <w:abstractNumId w:val="26"/>
    <w:lvlOverride w:ilvl="0">
      <w:startOverride w:val="1"/>
    </w:lvlOverride>
  </w:num>
  <w:num w:numId="20">
    <w:abstractNumId w:val="17"/>
  </w:num>
  <w:num w:numId="21">
    <w:abstractNumId w:val="18"/>
  </w:num>
  <w:num w:numId="22">
    <w:abstractNumId w:val="21"/>
  </w:num>
  <w:num w:numId="23">
    <w:abstractNumId w:val="22"/>
  </w:num>
  <w:num w:numId="24">
    <w:abstractNumId w:val="6"/>
  </w:num>
  <w:num w:numId="25">
    <w:abstractNumId w:val="2"/>
  </w:num>
  <w:num w:numId="26">
    <w:abstractNumId w:val="11"/>
  </w:num>
  <w:num w:numId="27">
    <w:abstractNumId w:val="8"/>
  </w:num>
  <w:num w:numId="28">
    <w:abstractNumId w:val="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620A"/>
    <w:rsid w:val="00017D78"/>
    <w:rsid w:val="0002464A"/>
    <w:rsid w:val="0003106B"/>
    <w:rsid w:val="00041CFF"/>
    <w:rsid w:val="000421A1"/>
    <w:rsid w:val="00042393"/>
    <w:rsid w:val="0004240E"/>
    <w:rsid w:val="00045E26"/>
    <w:rsid w:val="00050873"/>
    <w:rsid w:val="000514B5"/>
    <w:rsid w:val="000519EF"/>
    <w:rsid w:val="00060392"/>
    <w:rsid w:val="00060C2C"/>
    <w:rsid w:val="00060E64"/>
    <w:rsid w:val="0006118D"/>
    <w:rsid w:val="00066755"/>
    <w:rsid w:val="000758DA"/>
    <w:rsid w:val="00077143"/>
    <w:rsid w:val="000805DE"/>
    <w:rsid w:val="00082169"/>
    <w:rsid w:val="000833ED"/>
    <w:rsid w:val="00084B5F"/>
    <w:rsid w:val="0009123F"/>
    <w:rsid w:val="000941D4"/>
    <w:rsid w:val="000969AD"/>
    <w:rsid w:val="000A6828"/>
    <w:rsid w:val="000B0867"/>
    <w:rsid w:val="000B558D"/>
    <w:rsid w:val="000B7854"/>
    <w:rsid w:val="000C6996"/>
    <w:rsid w:val="000C7286"/>
    <w:rsid w:val="000C7298"/>
    <w:rsid w:val="000D23BA"/>
    <w:rsid w:val="000E4D7F"/>
    <w:rsid w:val="000E681E"/>
    <w:rsid w:val="000F0003"/>
    <w:rsid w:val="000F3228"/>
    <w:rsid w:val="000F3A1E"/>
    <w:rsid w:val="000F4E6A"/>
    <w:rsid w:val="00104227"/>
    <w:rsid w:val="001107BF"/>
    <w:rsid w:val="00112B9C"/>
    <w:rsid w:val="00115E47"/>
    <w:rsid w:val="0012417C"/>
    <w:rsid w:val="00142395"/>
    <w:rsid w:val="00142714"/>
    <w:rsid w:val="001452ED"/>
    <w:rsid w:val="00157726"/>
    <w:rsid w:val="00163329"/>
    <w:rsid w:val="00164623"/>
    <w:rsid w:val="00165B64"/>
    <w:rsid w:val="00180713"/>
    <w:rsid w:val="00182424"/>
    <w:rsid w:val="001830CE"/>
    <w:rsid w:val="00185642"/>
    <w:rsid w:val="0018643B"/>
    <w:rsid w:val="0019102D"/>
    <w:rsid w:val="00196307"/>
    <w:rsid w:val="001A2713"/>
    <w:rsid w:val="001A33EA"/>
    <w:rsid w:val="001B017F"/>
    <w:rsid w:val="001B29B5"/>
    <w:rsid w:val="001B2BBC"/>
    <w:rsid w:val="001B5129"/>
    <w:rsid w:val="001C1195"/>
    <w:rsid w:val="001C3EED"/>
    <w:rsid w:val="001C4F75"/>
    <w:rsid w:val="001E4751"/>
    <w:rsid w:val="001E6C0A"/>
    <w:rsid w:val="001F1850"/>
    <w:rsid w:val="00203FAC"/>
    <w:rsid w:val="00213CFB"/>
    <w:rsid w:val="00217BE1"/>
    <w:rsid w:val="00242658"/>
    <w:rsid w:val="00256362"/>
    <w:rsid w:val="00271BA1"/>
    <w:rsid w:val="002762FA"/>
    <w:rsid w:val="00277505"/>
    <w:rsid w:val="0029458F"/>
    <w:rsid w:val="002A104C"/>
    <w:rsid w:val="002A370D"/>
    <w:rsid w:val="002A4960"/>
    <w:rsid w:val="002B1AE6"/>
    <w:rsid w:val="002B2DE8"/>
    <w:rsid w:val="002B30F8"/>
    <w:rsid w:val="002B3B5A"/>
    <w:rsid w:val="002B5596"/>
    <w:rsid w:val="002C212F"/>
    <w:rsid w:val="002C5615"/>
    <w:rsid w:val="002D0402"/>
    <w:rsid w:val="002D4543"/>
    <w:rsid w:val="002D73B1"/>
    <w:rsid w:val="002E3153"/>
    <w:rsid w:val="002E72CA"/>
    <w:rsid w:val="002F600D"/>
    <w:rsid w:val="00300AD6"/>
    <w:rsid w:val="00310FD8"/>
    <w:rsid w:val="00317C6C"/>
    <w:rsid w:val="00326E79"/>
    <w:rsid w:val="0033518A"/>
    <w:rsid w:val="003367EF"/>
    <w:rsid w:val="00341AE4"/>
    <w:rsid w:val="0034539F"/>
    <w:rsid w:val="003562E5"/>
    <w:rsid w:val="003872CF"/>
    <w:rsid w:val="00387618"/>
    <w:rsid w:val="0039782C"/>
    <w:rsid w:val="003A5B4A"/>
    <w:rsid w:val="003B23C5"/>
    <w:rsid w:val="003B2A75"/>
    <w:rsid w:val="003B6124"/>
    <w:rsid w:val="003B6D55"/>
    <w:rsid w:val="003C2FB5"/>
    <w:rsid w:val="003D4AC4"/>
    <w:rsid w:val="003D63B7"/>
    <w:rsid w:val="003E0A67"/>
    <w:rsid w:val="003E16D8"/>
    <w:rsid w:val="003E468B"/>
    <w:rsid w:val="003F3228"/>
    <w:rsid w:val="003F5C8C"/>
    <w:rsid w:val="004207A6"/>
    <w:rsid w:val="004252EC"/>
    <w:rsid w:val="00425933"/>
    <w:rsid w:val="00427EE1"/>
    <w:rsid w:val="00433A12"/>
    <w:rsid w:val="00436A6B"/>
    <w:rsid w:val="004465BD"/>
    <w:rsid w:val="004522A3"/>
    <w:rsid w:val="00466ADA"/>
    <w:rsid w:val="00476245"/>
    <w:rsid w:val="00483035"/>
    <w:rsid w:val="00485940"/>
    <w:rsid w:val="004A2484"/>
    <w:rsid w:val="004A3AB3"/>
    <w:rsid w:val="004A5A85"/>
    <w:rsid w:val="004A71D1"/>
    <w:rsid w:val="004B3A8D"/>
    <w:rsid w:val="004B5640"/>
    <w:rsid w:val="004C1BD7"/>
    <w:rsid w:val="004C31FE"/>
    <w:rsid w:val="004C691D"/>
    <w:rsid w:val="004C6C07"/>
    <w:rsid w:val="004E692D"/>
    <w:rsid w:val="00501554"/>
    <w:rsid w:val="0051322F"/>
    <w:rsid w:val="00514CD7"/>
    <w:rsid w:val="005222E5"/>
    <w:rsid w:val="00524FA9"/>
    <w:rsid w:val="005319B2"/>
    <w:rsid w:val="00532402"/>
    <w:rsid w:val="00532C74"/>
    <w:rsid w:val="00534E2E"/>
    <w:rsid w:val="00544552"/>
    <w:rsid w:val="005471C8"/>
    <w:rsid w:val="00570916"/>
    <w:rsid w:val="00577C4D"/>
    <w:rsid w:val="00581932"/>
    <w:rsid w:val="005827B2"/>
    <w:rsid w:val="00594542"/>
    <w:rsid w:val="005963BB"/>
    <w:rsid w:val="005A0330"/>
    <w:rsid w:val="005A3173"/>
    <w:rsid w:val="005A3223"/>
    <w:rsid w:val="005A3DA3"/>
    <w:rsid w:val="005A52C4"/>
    <w:rsid w:val="005D03AB"/>
    <w:rsid w:val="005D5017"/>
    <w:rsid w:val="005E1333"/>
    <w:rsid w:val="00601A91"/>
    <w:rsid w:val="00602BA3"/>
    <w:rsid w:val="006076A7"/>
    <w:rsid w:val="00607AD0"/>
    <w:rsid w:val="00612E34"/>
    <w:rsid w:val="00614159"/>
    <w:rsid w:val="00617C00"/>
    <w:rsid w:val="006263BF"/>
    <w:rsid w:val="00626F10"/>
    <w:rsid w:val="0062748A"/>
    <w:rsid w:val="00630A2C"/>
    <w:rsid w:val="00633C07"/>
    <w:rsid w:val="0063682E"/>
    <w:rsid w:val="0064194D"/>
    <w:rsid w:val="006419C5"/>
    <w:rsid w:val="006436CD"/>
    <w:rsid w:val="00651169"/>
    <w:rsid w:val="00653D69"/>
    <w:rsid w:val="006670BE"/>
    <w:rsid w:val="00670A76"/>
    <w:rsid w:val="006711AA"/>
    <w:rsid w:val="00672B57"/>
    <w:rsid w:val="00675622"/>
    <w:rsid w:val="0067747D"/>
    <w:rsid w:val="00684C54"/>
    <w:rsid w:val="006906DB"/>
    <w:rsid w:val="0069105B"/>
    <w:rsid w:val="00691E6C"/>
    <w:rsid w:val="00693A46"/>
    <w:rsid w:val="00696129"/>
    <w:rsid w:val="00697CF2"/>
    <w:rsid w:val="006A12A5"/>
    <w:rsid w:val="006B0D94"/>
    <w:rsid w:val="006B22D9"/>
    <w:rsid w:val="006B485D"/>
    <w:rsid w:val="006C3325"/>
    <w:rsid w:val="006C708E"/>
    <w:rsid w:val="006D14E7"/>
    <w:rsid w:val="006D3B76"/>
    <w:rsid w:val="006D5E91"/>
    <w:rsid w:val="006D6493"/>
    <w:rsid w:val="006D6EC7"/>
    <w:rsid w:val="006F5125"/>
    <w:rsid w:val="006F6CA8"/>
    <w:rsid w:val="00702B6F"/>
    <w:rsid w:val="0071340B"/>
    <w:rsid w:val="00713F92"/>
    <w:rsid w:val="007174BB"/>
    <w:rsid w:val="0072025D"/>
    <w:rsid w:val="007353D3"/>
    <w:rsid w:val="00745EB6"/>
    <w:rsid w:val="0075465C"/>
    <w:rsid w:val="0076420C"/>
    <w:rsid w:val="007753C2"/>
    <w:rsid w:val="00782A97"/>
    <w:rsid w:val="007838B8"/>
    <w:rsid w:val="007A6334"/>
    <w:rsid w:val="007A6AEA"/>
    <w:rsid w:val="007B6894"/>
    <w:rsid w:val="007C0F57"/>
    <w:rsid w:val="007C40B6"/>
    <w:rsid w:val="007C729F"/>
    <w:rsid w:val="007E1D28"/>
    <w:rsid w:val="007F2641"/>
    <w:rsid w:val="007F7C36"/>
    <w:rsid w:val="00806796"/>
    <w:rsid w:val="008151D6"/>
    <w:rsid w:val="0081587F"/>
    <w:rsid w:val="00820920"/>
    <w:rsid w:val="0082243E"/>
    <w:rsid w:val="00825B1D"/>
    <w:rsid w:val="00826F6D"/>
    <w:rsid w:val="008275B9"/>
    <w:rsid w:val="008306F3"/>
    <w:rsid w:val="008354D1"/>
    <w:rsid w:val="00854983"/>
    <w:rsid w:val="00856DDD"/>
    <w:rsid w:val="00863E68"/>
    <w:rsid w:val="008708F4"/>
    <w:rsid w:val="00872EC8"/>
    <w:rsid w:val="0087414E"/>
    <w:rsid w:val="00882085"/>
    <w:rsid w:val="00883188"/>
    <w:rsid w:val="00894EBB"/>
    <w:rsid w:val="00897D58"/>
    <w:rsid w:val="00897F22"/>
    <w:rsid w:val="008A1956"/>
    <w:rsid w:val="008A4937"/>
    <w:rsid w:val="008A50F1"/>
    <w:rsid w:val="008A7E27"/>
    <w:rsid w:val="008B570B"/>
    <w:rsid w:val="008C1814"/>
    <w:rsid w:val="008D1B5C"/>
    <w:rsid w:val="008D3C82"/>
    <w:rsid w:val="008D447E"/>
    <w:rsid w:val="008D6802"/>
    <w:rsid w:val="008D7A41"/>
    <w:rsid w:val="008E3680"/>
    <w:rsid w:val="008E5870"/>
    <w:rsid w:val="008F1434"/>
    <w:rsid w:val="008F7355"/>
    <w:rsid w:val="009067B7"/>
    <w:rsid w:val="00914702"/>
    <w:rsid w:val="0092585B"/>
    <w:rsid w:val="00930937"/>
    <w:rsid w:val="00933E6C"/>
    <w:rsid w:val="00937958"/>
    <w:rsid w:val="00942160"/>
    <w:rsid w:val="0095146F"/>
    <w:rsid w:val="00951F0C"/>
    <w:rsid w:val="009602C5"/>
    <w:rsid w:val="00962223"/>
    <w:rsid w:val="00966A12"/>
    <w:rsid w:val="00966D0D"/>
    <w:rsid w:val="00974C21"/>
    <w:rsid w:val="00993A5B"/>
    <w:rsid w:val="009A0AC9"/>
    <w:rsid w:val="009A1226"/>
    <w:rsid w:val="009B0F67"/>
    <w:rsid w:val="009B1401"/>
    <w:rsid w:val="009C703C"/>
    <w:rsid w:val="009D0430"/>
    <w:rsid w:val="009D3CAA"/>
    <w:rsid w:val="009D7914"/>
    <w:rsid w:val="009E1FDA"/>
    <w:rsid w:val="009E40E1"/>
    <w:rsid w:val="009F4E46"/>
    <w:rsid w:val="009F5B65"/>
    <w:rsid w:val="009F5F2E"/>
    <w:rsid w:val="00A06225"/>
    <w:rsid w:val="00A128E6"/>
    <w:rsid w:val="00A34E6C"/>
    <w:rsid w:val="00A35EEB"/>
    <w:rsid w:val="00A37C8D"/>
    <w:rsid w:val="00A5273B"/>
    <w:rsid w:val="00A53A9D"/>
    <w:rsid w:val="00A55FEE"/>
    <w:rsid w:val="00A62C1A"/>
    <w:rsid w:val="00A6426D"/>
    <w:rsid w:val="00A665C1"/>
    <w:rsid w:val="00A70622"/>
    <w:rsid w:val="00A70977"/>
    <w:rsid w:val="00A77613"/>
    <w:rsid w:val="00A8390C"/>
    <w:rsid w:val="00A928BD"/>
    <w:rsid w:val="00AA01A8"/>
    <w:rsid w:val="00AA2E98"/>
    <w:rsid w:val="00AA4D1C"/>
    <w:rsid w:val="00AA5267"/>
    <w:rsid w:val="00AC193C"/>
    <w:rsid w:val="00AC5206"/>
    <w:rsid w:val="00AD16E8"/>
    <w:rsid w:val="00AD6BF4"/>
    <w:rsid w:val="00AE11A5"/>
    <w:rsid w:val="00AE13E2"/>
    <w:rsid w:val="00AE22D3"/>
    <w:rsid w:val="00AF360D"/>
    <w:rsid w:val="00AF62DF"/>
    <w:rsid w:val="00AF68CC"/>
    <w:rsid w:val="00AF6E10"/>
    <w:rsid w:val="00B0254C"/>
    <w:rsid w:val="00B05857"/>
    <w:rsid w:val="00B1059E"/>
    <w:rsid w:val="00B14D19"/>
    <w:rsid w:val="00B176C8"/>
    <w:rsid w:val="00B177BE"/>
    <w:rsid w:val="00B205AA"/>
    <w:rsid w:val="00B22E84"/>
    <w:rsid w:val="00B25F75"/>
    <w:rsid w:val="00B26B3F"/>
    <w:rsid w:val="00B326FB"/>
    <w:rsid w:val="00B33786"/>
    <w:rsid w:val="00B43E90"/>
    <w:rsid w:val="00B467DC"/>
    <w:rsid w:val="00B56118"/>
    <w:rsid w:val="00B57D48"/>
    <w:rsid w:val="00B606D1"/>
    <w:rsid w:val="00B614A1"/>
    <w:rsid w:val="00B63B68"/>
    <w:rsid w:val="00B6773F"/>
    <w:rsid w:val="00B7625E"/>
    <w:rsid w:val="00B801BA"/>
    <w:rsid w:val="00B815C6"/>
    <w:rsid w:val="00B846D8"/>
    <w:rsid w:val="00B84D5C"/>
    <w:rsid w:val="00B858B1"/>
    <w:rsid w:val="00B86FD0"/>
    <w:rsid w:val="00BB69F5"/>
    <w:rsid w:val="00BB7EC3"/>
    <w:rsid w:val="00BC4B9A"/>
    <w:rsid w:val="00BD37AE"/>
    <w:rsid w:val="00BD784C"/>
    <w:rsid w:val="00BE707C"/>
    <w:rsid w:val="00BF1584"/>
    <w:rsid w:val="00BF2152"/>
    <w:rsid w:val="00BF4CB6"/>
    <w:rsid w:val="00C00DA7"/>
    <w:rsid w:val="00C12768"/>
    <w:rsid w:val="00C27751"/>
    <w:rsid w:val="00C27B0E"/>
    <w:rsid w:val="00C27B58"/>
    <w:rsid w:val="00C35996"/>
    <w:rsid w:val="00C36231"/>
    <w:rsid w:val="00C4747E"/>
    <w:rsid w:val="00C5342C"/>
    <w:rsid w:val="00C603D4"/>
    <w:rsid w:val="00C6256A"/>
    <w:rsid w:val="00C66D8F"/>
    <w:rsid w:val="00C77891"/>
    <w:rsid w:val="00C832AC"/>
    <w:rsid w:val="00C839F6"/>
    <w:rsid w:val="00C91449"/>
    <w:rsid w:val="00C92746"/>
    <w:rsid w:val="00C92D10"/>
    <w:rsid w:val="00CC2537"/>
    <w:rsid w:val="00CC3E25"/>
    <w:rsid w:val="00CC435F"/>
    <w:rsid w:val="00CC455C"/>
    <w:rsid w:val="00CE10C4"/>
    <w:rsid w:val="00CE27B5"/>
    <w:rsid w:val="00CF0B24"/>
    <w:rsid w:val="00D0321E"/>
    <w:rsid w:val="00D04667"/>
    <w:rsid w:val="00D139E1"/>
    <w:rsid w:val="00D1455A"/>
    <w:rsid w:val="00D23334"/>
    <w:rsid w:val="00D235A9"/>
    <w:rsid w:val="00D26E22"/>
    <w:rsid w:val="00D31150"/>
    <w:rsid w:val="00D3138B"/>
    <w:rsid w:val="00D322B6"/>
    <w:rsid w:val="00D3280C"/>
    <w:rsid w:val="00D3406A"/>
    <w:rsid w:val="00D34C65"/>
    <w:rsid w:val="00D351B0"/>
    <w:rsid w:val="00D4572C"/>
    <w:rsid w:val="00D469B2"/>
    <w:rsid w:val="00D741EB"/>
    <w:rsid w:val="00D75A4C"/>
    <w:rsid w:val="00D83605"/>
    <w:rsid w:val="00D84934"/>
    <w:rsid w:val="00D87074"/>
    <w:rsid w:val="00D91271"/>
    <w:rsid w:val="00D919F5"/>
    <w:rsid w:val="00D94F03"/>
    <w:rsid w:val="00DA2CB5"/>
    <w:rsid w:val="00DA4BAC"/>
    <w:rsid w:val="00DC7FF7"/>
    <w:rsid w:val="00DD78B9"/>
    <w:rsid w:val="00DE4E55"/>
    <w:rsid w:val="00DE6D27"/>
    <w:rsid w:val="00DF217D"/>
    <w:rsid w:val="00DF26A7"/>
    <w:rsid w:val="00E1491E"/>
    <w:rsid w:val="00E15627"/>
    <w:rsid w:val="00E164B3"/>
    <w:rsid w:val="00E16910"/>
    <w:rsid w:val="00E23392"/>
    <w:rsid w:val="00E31E9B"/>
    <w:rsid w:val="00E42BDB"/>
    <w:rsid w:val="00E54037"/>
    <w:rsid w:val="00E57EEB"/>
    <w:rsid w:val="00E62D94"/>
    <w:rsid w:val="00E65E54"/>
    <w:rsid w:val="00E72704"/>
    <w:rsid w:val="00E80155"/>
    <w:rsid w:val="00E81F28"/>
    <w:rsid w:val="00E848C0"/>
    <w:rsid w:val="00E91B96"/>
    <w:rsid w:val="00E941A1"/>
    <w:rsid w:val="00E95CE3"/>
    <w:rsid w:val="00EA2825"/>
    <w:rsid w:val="00EA2E06"/>
    <w:rsid w:val="00EA4ADA"/>
    <w:rsid w:val="00EA79D2"/>
    <w:rsid w:val="00EB0B63"/>
    <w:rsid w:val="00EB1936"/>
    <w:rsid w:val="00EB2A47"/>
    <w:rsid w:val="00EB5088"/>
    <w:rsid w:val="00EC6987"/>
    <w:rsid w:val="00ED1644"/>
    <w:rsid w:val="00ED2593"/>
    <w:rsid w:val="00ED7D9C"/>
    <w:rsid w:val="00EE301F"/>
    <w:rsid w:val="00EF140D"/>
    <w:rsid w:val="00EF44A0"/>
    <w:rsid w:val="00EF4FED"/>
    <w:rsid w:val="00F00C55"/>
    <w:rsid w:val="00F050BD"/>
    <w:rsid w:val="00F05657"/>
    <w:rsid w:val="00F1500D"/>
    <w:rsid w:val="00F25578"/>
    <w:rsid w:val="00F258E5"/>
    <w:rsid w:val="00F300BC"/>
    <w:rsid w:val="00F3334E"/>
    <w:rsid w:val="00F36CCB"/>
    <w:rsid w:val="00F374E5"/>
    <w:rsid w:val="00F41D26"/>
    <w:rsid w:val="00F43AF2"/>
    <w:rsid w:val="00F44100"/>
    <w:rsid w:val="00F50D92"/>
    <w:rsid w:val="00F50EC4"/>
    <w:rsid w:val="00F550CF"/>
    <w:rsid w:val="00F5514B"/>
    <w:rsid w:val="00F57A6D"/>
    <w:rsid w:val="00F638CC"/>
    <w:rsid w:val="00F64CC1"/>
    <w:rsid w:val="00F64FE4"/>
    <w:rsid w:val="00F679DB"/>
    <w:rsid w:val="00F719EE"/>
    <w:rsid w:val="00F72317"/>
    <w:rsid w:val="00F74B4E"/>
    <w:rsid w:val="00F80475"/>
    <w:rsid w:val="00F8247A"/>
    <w:rsid w:val="00F9228C"/>
    <w:rsid w:val="00F9629A"/>
    <w:rsid w:val="00F97EFC"/>
    <w:rsid w:val="00FA1657"/>
    <w:rsid w:val="00FA5883"/>
    <w:rsid w:val="00FA6055"/>
    <w:rsid w:val="00FB292E"/>
    <w:rsid w:val="00FB322F"/>
    <w:rsid w:val="00FB442F"/>
    <w:rsid w:val="00FC1929"/>
    <w:rsid w:val="00FC5B46"/>
    <w:rsid w:val="00FD003A"/>
    <w:rsid w:val="00FD6D8E"/>
    <w:rsid w:val="00FE0E94"/>
    <w:rsid w:val="00FE6CD9"/>
    <w:rsid w:val="00FF00BD"/>
    <w:rsid w:val="00FF01C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rsid w:val="00D04667"/>
    <w:rPr>
      <w:rFonts w:ascii="Arial" w:hAnsi="Arial"/>
      <w:lang w:eastAsia="en-US"/>
    </w:rPr>
  </w:style>
  <w:style w:type="paragraph" w:styleId="NormalWeb">
    <w:name w:val="Normal (Web)"/>
    <w:basedOn w:val="Normal"/>
    <w:uiPriority w:val="99"/>
    <w:unhideWhenUsed/>
    <w:rsid w:val="009D7914"/>
    <w:pPr>
      <w:spacing w:before="100" w:beforeAutospacing="1" w:after="100" w:afterAutospacing="1"/>
    </w:pPr>
    <w:rPr>
      <w:rFonts w:eastAsiaTheme="minorHAnsi"/>
    </w:rPr>
  </w:style>
  <w:style w:type="paragraph" w:styleId="FootnoteText">
    <w:name w:val="footnote text"/>
    <w:basedOn w:val="Normal"/>
    <w:link w:val="FootnoteTextChar"/>
    <w:rsid w:val="00AA01A8"/>
    <w:rPr>
      <w:sz w:val="20"/>
      <w:szCs w:val="20"/>
      <w:lang w:eastAsia="en-US"/>
    </w:rPr>
  </w:style>
  <w:style w:type="character" w:customStyle="1" w:styleId="FootnoteTextChar">
    <w:name w:val="Footnote Text Char"/>
    <w:basedOn w:val="DefaultParagraphFont"/>
    <w:link w:val="FootnoteText"/>
    <w:rsid w:val="00AA01A8"/>
    <w:rPr>
      <w:lang w:eastAsia="en-US"/>
    </w:rPr>
  </w:style>
  <w:style w:type="character" w:styleId="FootnoteReference">
    <w:name w:val="footnote reference"/>
    <w:basedOn w:val="DefaultParagraphFont"/>
    <w:rsid w:val="00AA01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rsid w:val="00D04667"/>
    <w:rPr>
      <w:rFonts w:ascii="Arial" w:hAnsi="Arial"/>
      <w:lang w:eastAsia="en-US"/>
    </w:rPr>
  </w:style>
  <w:style w:type="paragraph" w:styleId="NormalWeb">
    <w:name w:val="Normal (Web)"/>
    <w:basedOn w:val="Normal"/>
    <w:uiPriority w:val="99"/>
    <w:unhideWhenUsed/>
    <w:rsid w:val="009D7914"/>
    <w:pPr>
      <w:spacing w:before="100" w:beforeAutospacing="1" w:after="100" w:afterAutospacing="1"/>
    </w:pPr>
    <w:rPr>
      <w:rFonts w:eastAsiaTheme="minorHAnsi"/>
    </w:rPr>
  </w:style>
  <w:style w:type="paragraph" w:styleId="FootnoteText">
    <w:name w:val="footnote text"/>
    <w:basedOn w:val="Normal"/>
    <w:link w:val="FootnoteTextChar"/>
    <w:rsid w:val="00AA01A8"/>
    <w:rPr>
      <w:sz w:val="20"/>
      <w:szCs w:val="20"/>
      <w:lang w:eastAsia="en-US"/>
    </w:rPr>
  </w:style>
  <w:style w:type="character" w:customStyle="1" w:styleId="FootnoteTextChar">
    <w:name w:val="Footnote Text Char"/>
    <w:basedOn w:val="DefaultParagraphFont"/>
    <w:link w:val="FootnoteText"/>
    <w:rsid w:val="00AA01A8"/>
    <w:rPr>
      <w:lang w:eastAsia="en-US"/>
    </w:rPr>
  </w:style>
  <w:style w:type="character" w:styleId="FootnoteReference">
    <w:name w:val="footnote reference"/>
    <w:basedOn w:val="DefaultParagraphFont"/>
    <w:rsid w:val="00AA0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32839624">
      <w:bodyDiv w:val="1"/>
      <w:marLeft w:val="0"/>
      <w:marRight w:val="0"/>
      <w:marTop w:val="0"/>
      <w:marBottom w:val="0"/>
      <w:divBdr>
        <w:top w:val="none" w:sz="0" w:space="0" w:color="auto"/>
        <w:left w:val="none" w:sz="0" w:space="0" w:color="auto"/>
        <w:bottom w:val="none" w:sz="0" w:space="0" w:color="auto"/>
        <w:right w:val="none" w:sz="0" w:space="0" w:color="auto"/>
      </w:divBdr>
      <w:divsChild>
        <w:div w:id="1391538307">
          <w:marLeft w:val="0"/>
          <w:marRight w:val="0"/>
          <w:marTop w:val="0"/>
          <w:marBottom w:val="0"/>
          <w:divBdr>
            <w:top w:val="none" w:sz="0" w:space="0" w:color="auto"/>
            <w:left w:val="none" w:sz="0" w:space="0" w:color="auto"/>
            <w:bottom w:val="none" w:sz="0" w:space="0" w:color="auto"/>
            <w:right w:val="none" w:sz="0" w:space="0" w:color="auto"/>
          </w:divBdr>
          <w:divsChild>
            <w:div w:id="665473449">
              <w:marLeft w:val="0"/>
              <w:marRight w:val="0"/>
              <w:marTop w:val="0"/>
              <w:marBottom w:val="0"/>
              <w:divBdr>
                <w:top w:val="none" w:sz="0" w:space="0" w:color="auto"/>
                <w:left w:val="none" w:sz="0" w:space="0" w:color="auto"/>
                <w:bottom w:val="none" w:sz="0" w:space="0" w:color="auto"/>
                <w:right w:val="none" w:sz="0" w:space="0" w:color="auto"/>
              </w:divBdr>
              <w:divsChild>
                <w:div w:id="4397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7336670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D567-4123-4532-8DE9-139DC31C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3126</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2018-09-21T06:45:00Z</dcterms:created>
  <dcterms:modified xsi:type="dcterms:W3CDTF">2018-10-16T07:00:00Z</dcterms:modified>
</cp:coreProperties>
</file>