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BE" w:rsidRPr="00DA2267" w:rsidRDefault="00E942BE" w:rsidP="00A42329">
      <w:pPr>
        <w:rPr>
          <w:rFonts w:asciiTheme="minorHAnsi" w:hAnsiTheme="minorHAnsi" w:cstheme="minorHAnsi"/>
          <w:b/>
          <w:szCs w:val="24"/>
          <w:u w:val="single"/>
        </w:rPr>
      </w:pPr>
    </w:p>
    <w:p w:rsidR="00FB132B" w:rsidRPr="00A42329" w:rsidRDefault="00FB132B" w:rsidP="00A42329">
      <w:pPr>
        <w:jc w:val="left"/>
        <w:rPr>
          <w:rFonts w:asciiTheme="minorHAnsi" w:hAnsiTheme="minorHAnsi" w:cstheme="minorHAnsi"/>
          <w:b/>
          <w:szCs w:val="24"/>
        </w:rPr>
      </w:pPr>
    </w:p>
    <w:p w:rsidR="00433044" w:rsidRPr="00F14289" w:rsidRDefault="004D54CA" w:rsidP="00F14289">
      <w:pPr>
        <w:jc w:val="left"/>
        <w:outlineLvl w:val="0"/>
        <w:rPr>
          <w:b/>
          <w:sz w:val="36"/>
          <w:szCs w:val="36"/>
        </w:rPr>
      </w:pPr>
      <w:r w:rsidRPr="004D54CA">
        <w:rPr>
          <w:b/>
          <w:sz w:val="36"/>
          <w:szCs w:val="36"/>
        </w:rPr>
        <w:t>5.11</w:t>
      </w:r>
      <w:r w:rsidRPr="004D54CA">
        <w:rPr>
          <w:b/>
          <w:sz w:val="36"/>
          <w:szCs w:val="36"/>
        </w:rPr>
        <w:tab/>
      </w:r>
      <w:r w:rsidRPr="004D54CA">
        <w:rPr>
          <w:b/>
          <w:sz w:val="36"/>
          <w:szCs w:val="36"/>
        </w:rPr>
        <w:tab/>
        <w:t>TILDRAKIZUMAB</w:t>
      </w:r>
      <w:proofErr w:type="gramStart"/>
      <w:r w:rsidRPr="004D54CA">
        <w:rPr>
          <w:b/>
          <w:sz w:val="36"/>
          <w:szCs w:val="36"/>
        </w:rPr>
        <w:t>,</w:t>
      </w:r>
      <w:proofErr w:type="gramEnd"/>
      <w:r w:rsidRPr="004D54CA">
        <w:rPr>
          <w:b/>
          <w:sz w:val="36"/>
          <w:szCs w:val="36"/>
        </w:rPr>
        <w:br/>
        <w:t xml:space="preserve">Injection 100 mg in 1 mL single use pre-filled syringe, </w:t>
      </w:r>
      <w:proofErr w:type="spellStart"/>
      <w:r w:rsidRPr="004D54CA">
        <w:rPr>
          <w:b/>
          <w:sz w:val="36"/>
          <w:szCs w:val="36"/>
        </w:rPr>
        <w:t>Ilumya</w:t>
      </w:r>
      <w:proofErr w:type="spellEnd"/>
      <w:r w:rsidRPr="004D54CA">
        <w:rPr>
          <w:b/>
          <w:sz w:val="36"/>
          <w:szCs w:val="36"/>
        </w:rPr>
        <w:t>®, Sun Pharma ANZ Pty Ltd</w:t>
      </w:r>
    </w:p>
    <w:p w:rsidR="00B50DB8" w:rsidRPr="00A42329" w:rsidRDefault="00B50DB8" w:rsidP="00F14289">
      <w:pPr>
        <w:pStyle w:val="PBACHeading1"/>
        <w:spacing w:before="240"/>
      </w:pPr>
      <w:bookmarkStart w:id="0" w:name="_Toc514171459"/>
      <w:r w:rsidRPr="00A42329">
        <w:t>Purpose of Application</w:t>
      </w:r>
      <w:bookmarkEnd w:id="0"/>
    </w:p>
    <w:p w:rsidR="00AC041A" w:rsidRPr="00815ADC" w:rsidRDefault="00AC041A" w:rsidP="00A42329">
      <w:pPr>
        <w:pStyle w:val="ListParagraph"/>
        <w:widowControl/>
        <w:numPr>
          <w:ilvl w:val="1"/>
          <w:numId w:val="3"/>
        </w:numPr>
        <w:spacing w:after="120"/>
      </w:pPr>
      <w:r w:rsidRPr="00815ADC">
        <w:t xml:space="preserve">Authority </w:t>
      </w:r>
      <w:proofErr w:type="gramStart"/>
      <w:r w:rsidRPr="00815ADC">
        <w:t>Required</w:t>
      </w:r>
      <w:proofErr w:type="gramEnd"/>
      <w:r w:rsidR="00FF2C1E" w:rsidRPr="00815ADC">
        <w:t xml:space="preserve"> (in writing)</w:t>
      </w:r>
      <w:r w:rsidR="00C1025E" w:rsidRPr="00815ADC">
        <w:t xml:space="preserve"> listing for </w:t>
      </w:r>
      <w:proofErr w:type="spellStart"/>
      <w:r w:rsidR="00C1025E" w:rsidRPr="00815ADC">
        <w:t>tildrakizumab</w:t>
      </w:r>
      <w:proofErr w:type="spellEnd"/>
      <w:r w:rsidRPr="00815ADC">
        <w:t xml:space="preserve"> </w:t>
      </w:r>
      <w:r w:rsidR="006E576B" w:rsidRPr="00815ADC">
        <w:t xml:space="preserve">(TIL) </w:t>
      </w:r>
      <w:r w:rsidRPr="00815ADC">
        <w:t>for treatment of severe chronic plaque psoriasis</w:t>
      </w:r>
      <w:r w:rsidR="00FF2C1E" w:rsidRPr="00815ADC">
        <w:t xml:space="preserve"> (CPP) in patients meeting</w:t>
      </w:r>
      <w:r w:rsidR="006E0537" w:rsidRPr="00815ADC">
        <w:t xml:space="preserve"> specified PBS</w:t>
      </w:r>
      <w:r w:rsidR="00FF2C1E" w:rsidRPr="00815ADC">
        <w:t xml:space="preserve"> criteria</w:t>
      </w:r>
      <w:r w:rsidRPr="00815ADC">
        <w:t xml:space="preserve">. </w:t>
      </w:r>
      <w:r w:rsidR="00FF2C1E" w:rsidRPr="00815ADC">
        <w:t xml:space="preserve"> </w:t>
      </w:r>
      <w:r w:rsidRPr="00815ADC">
        <w:t xml:space="preserve">The PBAC has not previously considered </w:t>
      </w:r>
      <w:r w:rsidR="00C1025E" w:rsidRPr="00815ADC">
        <w:t>TIL</w:t>
      </w:r>
      <w:r w:rsidR="000169E9" w:rsidRPr="00815ADC">
        <w:t>.</w:t>
      </w:r>
    </w:p>
    <w:p w:rsidR="00164786" w:rsidRDefault="00010342" w:rsidP="00A42329">
      <w:pPr>
        <w:pStyle w:val="ListParagraph"/>
        <w:widowControl/>
        <w:numPr>
          <w:ilvl w:val="1"/>
          <w:numId w:val="3"/>
        </w:numPr>
        <w:spacing w:after="120"/>
        <w:rPr>
          <w:rStyle w:val="CommentReference"/>
        </w:rPr>
      </w:pPr>
      <w:r w:rsidRPr="00815ADC">
        <w:t xml:space="preserve">The </w:t>
      </w:r>
      <w:r w:rsidR="00DF63F7" w:rsidRPr="00815ADC">
        <w:t>basis for the request</w:t>
      </w:r>
      <w:r w:rsidR="000169E9" w:rsidRPr="00815ADC">
        <w:t>ed</w:t>
      </w:r>
      <w:r w:rsidR="00DF63F7" w:rsidRPr="00815ADC">
        <w:t xml:space="preserve"> listing was </w:t>
      </w:r>
      <w:r w:rsidR="00C62BC5" w:rsidRPr="00815ADC">
        <w:t xml:space="preserve">a </w:t>
      </w:r>
      <w:r w:rsidRPr="00815ADC">
        <w:t xml:space="preserve">cost-minimisation </w:t>
      </w:r>
      <w:r w:rsidR="00DF63F7" w:rsidRPr="00815ADC">
        <w:t xml:space="preserve">analysis versus </w:t>
      </w:r>
      <w:r w:rsidRPr="00815ADC">
        <w:t>ustekinumab (UST</w:t>
      </w:r>
      <w:r w:rsidR="00FF2C1E" w:rsidRPr="00815ADC">
        <w:t>)</w:t>
      </w:r>
      <w:r w:rsidRPr="00815ADC">
        <w:t>.</w:t>
      </w:r>
      <w:r w:rsidR="00FF2C1E" w:rsidRPr="00815ADC">
        <w:t xml:space="preserve">  Other biologic disease-modifying anti-rheumatic drugs (bDMARDs) currently listed on the PBS for CPP include adalimumab (ADA), </w:t>
      </w:r>
      <w:r w:rsidR="0077076F" w:rsidRPr="00815ADC">
        <w:t xml:space="preserve">etanercept (ETN), </w:t>
      </w:r>
      <w:r w:rsidR="00FF2C1E" w:rsidRPr="00815ADC">
        <w:t>inflixi</w:t>
      </w:r>
      <w:r w:rsidR="00EA3F7B" w:rsidRPr="00815ADC">
        <w:t>mab (IFX)</w:t>
      </w:r>
      <w:r w:rsidR="00A67917" w:rsidRPr="00815ADC">
        <w:t>,</w:t>
      </w:r>
      <w:r w:rsidR="00EA3F7B" w:rsidRPr="00815ADC">
        <w:t xml:space="preserve"> </w:t>
      </w:r>
      <w:proofErr w:type="spellStart"/>
      <w:r w:rsidR="00EA3F7B" w:rsidRPr="00815ADC">
        <w:t>secukin</w:t>
      </w:r>
      <w:r w:rsidR="00FF2C1E" w:rsidRPr="00815ADC">
        <w:t>umab</w:t>
      </w:r>
      <w:proofErr w:type="spellEnd"/>
      <w:r w:rsidR="00FF2C1E" w:rsidRPr="00815ADC">
        <w:t xml:space="preserve"> (SEC) and ixekizumab (IXE).  </w:t>
      </w:r>
      <w:proofErr w:type="spellStart"/>
      <w:r w:rsidR="0077076F" w:rsidRPr="00815ADC">
        <w:t>Biosimilars</w:t>
      </w:r>
      <w:proofErr w:type="spellEnd"/>
      <w:r w:rsidR="0077076F" w:rsidRPr="00815ADC">
        <w:t xml:space="preserve"> are also available on</w:t>
      </w:r>
      <w:r w:rsidR="00CA11B2" w:rsidRPr="00815ADC">
        <w:t xml:space="preserve"> PBS for IFX and ETN</w:t>
      </w:r>
      <w:r w:rsidR="007800FE" w:rsidRPr="00815ADC">
        <w:t xml:space="preserve">. </w:t>
      </w:r>
      <w:r w:rsidR="001F04C7" w:rsidRPr="00815ADC">
        <w:t xml:space="preserve"> </w:t>
      </w:r>
      <w:r w:rsidR="0077076F" w:rsidRPr="00815ADC">
        <w:t xml:space="preserve">The submission also presented supportive </w:t>
      </w:r>
      <w:r w:rsidR="007800FE" w:rsidRPr="00815ADC">
        <w:t>compara</w:t>
      </w:r>
      <w:r w:rsidR="008446F1" w:rsidRPr="00815ADC">
        <w:t xml:space="preserve">tive evidence against </w:t>
      </w:r>
      <w:r w:rsidR="008446F1" w:rsidRPr="002F7F99">
        <w:t>ETN</w:t>
      </w:r>
      <w:r w:rsidR="0077076F" w:rsidRPr="002F7F99">
        <w:t xml:space="preserve"> (</w:t>
      </w:r>
      <w:r w:rsidR="002E755A" w:rsidRPr="002F7F99">
        <w:rPr>
          <w:rFonts w:asciiTheme="minorHAnsi" w:eastAsiaTheme="minorEastAsia" w:hAnsiTheme="minorHAnsi" w:cstheme="minorBidi"/>
          <w:snapToGrid/>
          <w:sz w:val="22"/>
          <w:lang w:eastAsia="en-AU"/>
        </w:rPr>
        <w:t>suggesting</w:t>
      </w:r>
      <w:r w:rsidR="0077076F" w:rsidRPr="00815ADC">
        <w:t xml:space="preserve"> superiority)</w:t>
      </w:r>
      <w:r w:rsidR="008446F1" w:rsidRPr="00815ADC">
        <w:t xml:space="preserve"> and ADA (suggesting non-inferiority)</w:t>
      </w:r>
      <w:r w:rsidR="0077076F" w:rsidRPr="00815ADC">
        <w:t>.</w:t>
      </w:r>
    </w:p>
    <w:p w:rsidR="006C09A1" w:rsidRPr="00C725E4" w:rsidRDefault="006C09A1" w:rsidP="00164786">
      <w:pPr>
        <w:widowControl/>
        <w:jc w:val="left"/>
      </w:pPr>
      <w:r w:rsidRPr="00C725E4">
        <w:rPr>
          <w:rStyle w:val="CommentReference"/>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5"/>
        <w:gridCol w:w="8131"/>
      </w:tblGrid>
      <w:tr w:rsidR="006C09A1" w:rsidRPr="00C725E4" w:rsidTr="007C6DE0">
        <w:tc>
          <w:tcPr>
            <w:tcW w:w="988" w:type="dxa"/>
            <w:vAlign w:val="center"/>
          </w:tcPr>
          <w:p w:rsidR="006C09A1" w:rsidRPr="00C725E4" w:rsidRDefault="006C09A1" w:rsidP="005A0854">
            <w:pPr>
              <w:pStyle w:val="Tabletext"/>
              <w:rPr>
                <w:b/>
              </w:rPr>
            </w:pPr>
            <w:r w:rsidRPr="00C725E4">
              <w:rPr>
                <w:b/>
              </w:rPr>
              <w:t>Component</w:t>
            </w:r>
          </w:p>
        </w:tc>
        <w:tc>
          <w:tcPr>
            <w:tcW w:w="8168" w:type="dxa"/>
            <w:vAlign w:val="center"/>
          </w:tcPr>
          <w:p w:rsidR="006C09A1" w:rsidRPr="00C725E4" w:rsidRDefault="006C09A1" w:rsidP="005A0854">
            <w:pPr>
              <w:pStyle w:val="Tabletext"/>
              <w:jc w:val="center"/>
              <w:rPr>
                <w:b/>
              </w:rPr>
            </w:pPr>
            <w:r w:rsidRPr="00C725E4">
              <w:rPr>
                <w:b/>
              </w:rPr>
              <w:t>Description</w:t>
            </w:r>
          </w:p>
        </w:tc>
      </w:tr>
      <w:tr w:rsidR="006C09A1" w:rsidRPr="00C725E4" w:rsidTr="007C6DE0">
        <w:tc>
          <w:tcPr>
            <w:tcW w:w="988" w:type="dxa"/>
            <w:vAlign w:val="center"/>
          </w:tcPr>
          <w:p w:rsidR="006C09A1" w:rsidRPr="00C725E4" w:rsidRDefault="006C09A1" w:rsidP="005A0854">
            <w:pPr>
              <w:pStyle w:val="Tabletext"/>
            </w:pPr>
            <w:r w:rsidRPr="00C725E4">
              <w:t>Population</w:t>
            </w:r>
          </w:p>
        </w:tc>
        <w:tc>
          <w:tcPr>
            <w:tcW w:w="8168" w:type="dxa"/>
            <w:vAlign w:val="center"/>
          </w:tcPr>
          <w:p w:rsidR="006C09A1" w:rsidRPr="00A71BAA" w:rsidRDefault="006C09A1" w:rsidP="005A0854">
            <w:pPr>
              <w:pStyle w:val="Tabletext"/>
            </w:pPr>
            <w:r w:rsidRPr="00A71BAA">
              <w:t xml:space="preserve">Adult patients with severe CPP </w:t>
            </w:r>
            <w:r w:rsidRPr="00A71BAA">
              <w:rPr>
                <w:iCs/>
              </w:rPr>
              <w:t>who have failed conventional therapy</w:t>
            </w:r>
          </w:p>
        </w:tc>
      </w:tr>
      <w:tr w:rsidR="006C09A1" w:rsidRPr="00C725E4" w:rsidTr="007C6DE0">
        <w:tc>
          <w:tcPr>
            <w:tcW w:w="988" w:type="dxa"/>
            <w:vAlign w:val="center"/>
          </w:tcPr>
          <w:p w:rsidR="006C09A1" w:rsidRPr="00C725E4" w:rsidRDefault="006C09A1" w:rsidP="005A0854">
            <w:pPr>
              <w:pStyle w:val="Tabletext"/>
            </w:pPr>
            <w:r w:rsidRPr="00C725E4">
              <w:t>Intervention</w:t>
            </w:r>
          </w:p>
        </w:tc>
        <w:tc>
          <w:tcPr>
            <w:tcW w:w="8168" w:type="dxa"/>
            <w:vAlign w:val="center"/>
          </w:tcPr>
          <w:p w:rsidR="006C09A1" w:rsidRPr="00A71BAA" w:rsidRDefault="00DC691C" w:rsidP="00DC691C">
            <w:pPr>
              <w:pStyle w:val="Tabletext"/>
            </w:pPr>
            <w:r w:rsidRPr="00A71BAA">
              <w:t xml:space="preserve">TIL </w:t>
            </w:r>
            <w:r w:rsidR="006C09A1" w:rsidRPr="00A71BAA">
              <w:t xml:space="preserve">(2 x 100 mg) subcutaneously at Weeks 0, 4 then </w:t>
            </w:r>
            <w:r w:rsidRPr="00A71BAA">
              <w:t>Q12W</w:t>
            </w:r>
            <w:r w:rsidR="006C09A1" w:rsidRPr="00A71BAA">
              <w:t xml:space="preserve"> thereafter.</w:t>
            </w:r>
          </w:p>
        </w:tc>
      </w:tr>
      <w:tr w:rsidR="006C09A1" w:rsidRPr="00C725E4" w:rsidTr="007C6DE0">
        <w:tc>
          <w:tcPr>
            <w:tcW w:w="988" w:type="dxa"/>
            <w:vAlign w:val="center"/>
          </w:tcPr>
          <w:p w:rsidR="006C09A1" w:rsidRPr="00C725E4" w:rsidRDefault="006C09A1" w:rsidP="005A0854">
            <w:pPr>
              <w:pStyle w:val="Tabletext"/>
            </w:pPr>
            <w:r w:rsidRPr="00C725E4">
              <w:t>Comparator</w:t>
            </w:r>
          </w:p>
        </w:tc>
        <w:tc>
          <w:tcPr>
            <w:tcW w:w="8168" w:type="dxa"/>
            <w:vAlign w:val="center"/>
          </w:tcPr>
          <w:p w:rsidR="006C09A1" w:rsidRPr="00A71BAA" w:rsidRDefault="006C09A1" w:rsidP="00DC691C">
            <w:pPr>
              <w:pStyle w:val="Tabletext"/>
            </w:pPr>
            <w:r w:rsidRPr="00A71BAA">
              <w:t>Primary:</w:t>
            </w:r>
            <w:r w:rsidR="00DC691C" w:rsidRPr="00A71BAA">
              <w:t xml:space="preserve"> UST</w:t>
            </w:r>
            <w:r w:rsidRPr="00A71BAA">
              <w:t>; Supplementary:</w:t>
            </w:r>
            <w:r w:rsidR="00DC691C" w:rsidRPr="00A71BAA">
              <w:t xml:space="preserve"> ETN</w:t>
            </w:r>
            <w:r w:rsidRPr="00A71BAA">
              <w:t xml:space="preserve">; </w:t>
            </w:r>
            <w:r w:rsidR="00DC691C" w:rsidRPr="00A71BAA">
              <w:t>ADA</w:t>
            </w:r>
          </w:p>
        </w:tc>
      </w:tr>
      <w:tr w:rsidR="006C09A1" w:rsidRPr="00C725E4" w:rsidTr="007C6DE0">
        <w:tc>
          <w:tcPr>
            <w:tcW w:w="988" w:type="dxa"/>
            <w:vAlign w:val="center"/>
          </w:tcPr>
          <w:p w:rsidR="006C09A1" w:rsidRPr="00C725E4" w:rsidRDefault="006C09A1" w:rsidP="005A0854">
            <w:pPr>
              <w:pStyle w:val="Tabletext"/>
            </w:pPr>
            <w:r w:rsidRPr="00C725E4">
              <w:t>Outcomes</w:t>
            </w:r>
          </w:p>
        </w:tc>
        <w:tc>
          <w:tcPr>
            <w:tcW w:w="8168" w:type="dxa"/>
            <w:vAlign w:val="center"/>
          </w:tcPr>
          <w:p w:rsidR="006C09A1" w:rsidRPr="00A71BAA" w:rsidRDefault="006C09A1" w:rsidP="005A0854">
            <w:pPr>
              <w:pStyle w:val="Tabletext"/>
            </w:pPr>
            <w:r w:rsidRPr="00A71BAA">
              <w:t>PASI 75 response at Week 12</w:t>
            </w:r>
          </w:p>
        </w:tc>
      </w:tr>
      <w:tr w:rsidR="006C09A1" w:rsidRPr="00C725E4" w:rsidTr="007C6DE0">
        <w:tc>
          <w:tcPr>
            <w:tcW w:w="988" w:type="dxa"/>
            <w:vAlign w:val="center"/>
          </w:tcPr>
          <w:p w:rsidR="006C09A1" w:rsidRPr="00C725E4" w:rsidRDefault="006C09A1" w:rsidP="005A0854">
            <w:pPr>
              <w:pStyle w:val="Tabletext"/>
            </w:pPr>
            <w:r w:rsidRPr="00C725E4">
              <w:t>Clinical claims</w:t>
            </w:r>
          </w:p>
        </w:tc>
        <w:tc>
          <w:tcPr>
            <w:tcW w:w="8168" w:type="dxa"/>
            <w:vAlign w:val="center"/>
          </w:tcPr>
          <w:p w:rsidR="006C09A1" w:rsidRPr="00A71BAA" w:rsidRDefault="006C09A1" w:rsidP="005A0854">
            <w:pPr>
              <w:pStyle w:val="Tabletext"/>
            </w:pPr>
            <w:r w:rsidRPr="00A71BAA">
              <w:t>In patients with severe CPP, the submission claimed TIL to be:</w:t>
            </w:r>
          </w:p>
          <w:p w:rsidR="006C09A1" w:rsidRPr="00A71BAA" w:rsidRDefault="006C09A1" w:rsidP="00EF310E">
            <w:pPr>
              <w:pStyle w:val="Tabletext"/>
              <w:numPr>
                <w:ilvl w:val="0"/>
                <w:numId w:val="20"/>
              </w:numPr>
              <w:ind w:left="225" w:hanging="142"/>
              <w:rPr>
                <w:iCs/>
              </w:rPr>
            </w:pPr>
            <w:r w:rsidRPr="00A71BAA">
              <w:t>No worse than UST at improving PASI 75 response at Week12 and no worse than UST in terms of safety. The cl</w:t>
            </w:r>
            <w:r w:rsidR="00A67917">
              <w:t>aim of non-inferior efficacy might</w:t>
            </w:r>
            <w:r w:rsidRPr="00A71BAA">
              <w:t xml:space="preserve"> not be supported.  Results of indirect comparisons using PBO as common reference generally did not favour TIL for attainment of PASI75 response at Week 12, with lower 95%CI exceeding -10% for the RD statistic.  The indirect comparison also reached statistical significance for the OR statistic between TIL and UST 90mg (OR (95%CI): 0.45 (0.24, 0.86)), indicating TIL may be inferior to UST 90mg.  </w:t>
            </w:r>
            <w:r w:rsidR="00A67917">
              <w:t>Inappropriately, a</w:t>
            </w:r>
            <w:r w:rsidR="007C6DE0" w:rsidRPr="00A71BAA">
              <w:t xml:space="preserve"> non-inferiority margin was not nominated by the submission.</w:t>
            </w:r>
          </w:p>
          <w:p w:rsidR="006C09A1" w:rsidRPr="00A71BAA" w:rsidRDefault="006C09A1" w:rsidP="00EF310E">
            <w:pPr>
              <w:pStyle w:val="Tabletext"/>
              <w:numPr>
                <w:ilvl w:val="0"/>
                <w:numId w:val="20"/>
              </w:numPr>
              <w:ind w:left="225" w:hanging="142"/>
            </w:pPr>
            <w:r w:rsidRPr="00A71BAA">
              <w:t xml:space="preserve">More effective than ETN at improving PASI 75 response at Week 12 and superior to ETN in terms of safety.  </w:t>
            </w:r>
            <w:r w:rsidRPr="00A71BAA">
              <w:rPr>
                <w:iCs/>
              </w:rPr>
              <w:t>The claim of superior safety may not be reasonable based on the trial evidence.  TIL patients have significantly less injection site reactions compared to ETN patients, but serious AEs and discontinuations due to AEs were similar between TIL and ETN.</w:t>
            </w:r>
          </w:p>
          <w:p w:rsidR="006C09A1" w:rsidRPr="00A71BAA" w:rsidRDefault="006C09A1" w:rsidP="00EF310E">
            <w:pPr>
              <w:pStyle w:val="Tabletext"/>
              <w:numPr>
                <w:ilvl w:val="0"/>
                <w:numId w:val="20"/>
              </w:numPr>
              <w:ind w:left="225" w:hanging="142"/>
            </w:pPr>
            <w:r w:rsidRPr="00A71BAA">
              <w:t>No worse than ADA at improving PASI 75 response Week 12, and no worse than ADA in terms of safety.  This claim appeared to be reasonable.</w:t>
            </w:r>
          </w:p>
        </w:tc>
      </w:tr>
    </w:tbl>
    <w:p w:rsidR="006C09A1" w:rsidRPr="00C725E4" w:rsidRDefault="006C09A1" w:rsidP="006C09A1">
      <w:pPr>
        <w:spacing w:after="120"/>
        <w:contextualSpacing/>
        <w:rPr>
          <w:rFonts w:ascii="Arial Narrow" w:hAnsi="Arial Narrow"/>
          <w:sz w:val="18"/>
          <w:szCs w:val="20"/>
        </w:rPr>
      </w:pPr>
      <w:r w:rsidRPr="00C725E4">
        <w:rPr>
          <w:rFonts w:ascii="Arial Narrow" w:hAnsi="Arial Narrow"/>
          <w:sz w:val="18"/>
          <w:szCs w:val="20"/>
        </w:rPr>
        <w:t>CPP = chronic plaque psoriasis</w:t>
      </w:r>
      <w:r w:rsidR="00A557C1">
        <w:rPr>
          <w:rFonts w:ascii="Arial Narrow" w:hAnsi="Arial Narrow"/>
          <w:sz w:val="18"/>
          <w:szCs w:val="20"/>
        </w:rPr>
        <w:t>;</w:t>
      </w:r>
      <w:r w:rsidRPr="00C725E4">
        <w:rPr>
          <w:rFonts w:ascii="Arial Narrow" w:hAnsi="Arial Narrow"/>
          <w:sz w:val="18"/>
          <w:szCs w:val="20"/>
        </w:rPr>
        <w:t xml:space="preserve"> PASI </w:t>
      </w:r>
      <w:r w:rsidR="007C6DE0">
        <w:rPr>
          <w:rFonts w:ascii="Arial Narrow" w:hAnsi="Arial Narrow"/>
          <w:sz w:val="18"/>
          <w:szCs w:val="20"/>
        </w:rPr>
        <w:t>= Psoriasis Area Severity Index</w:t>
      </w:r>
      <w:r w:rsidR="00A557C1">
        <w:rPr>
          <w:rFonts w:ascii="Arial Narrow" w:hAnsi="Arial Narrow"/>
          <w:sz w:val="18"/>
          <w:szCs w:val="20"/>
        </w:rPr>
        <w:t>;</w:t>
      </w:r>
      <w:r w:rsidR="007C6DE0">
        <w:rPr>
          <w:rFonts w:ascii="Arial Narrow" w:hAnsi="Arial Narrow"/>
          <w:sz w:val="18"/>
          <w:szCs w:val="20"/>
        </w:rPr>
        <w:t xml:space="preserve"> AE</w:t>
      </w:r>
      <w:r w:rsidR="00A67917">
        <w:rPr>
          <w:rFonts w:ascii="Arial Narrow" w:hAnsi="Arial Narrow"/>
          <w:sz w:val="18"/>
          <w:szCs w:val="20"/>
        </w:rPr>
        <w:t xml:space="preserve"> </w:t>
      </w:r>
      <w:r w:rsidR="007C6DE0">
        <w:rPr>
          <w:rFonts w:ascii="Arial Narrow" w:hAnsi="Arial Narrow"/>
          <w:sz w:val="18"/>
          <w:szCs w:val="20"/>
        </w:rPr>
        <w:t>=</w:t>
      </w:r>
      <w:r w:rsidR="00A67917">
        <w:rPr>
          <w:rFonts w:ascii="Arial Narrow" w:hAnsi="Arial Narrow"/>
          <w:sz w:val="18"/>
          <w:szCs w:val="20"/>
        </w:rPr>
        <w:t xml:space="preserve"> </w:t>
      </w:r>
      <w:r w:rsidR="007C6DE0">
        <w:rPr>
          <w:rFonts w:ascii="Arial Narrow" w:hAnsi="Arial Narrow"/>
          <w:sz w:val="18"/>
          <w:szCs w:val="20"/>
        </w:rPr>
        <w:t>adverse events</w:t>
      </w:r>
      <w:r w:rsidR="00A557C1">
        <w:rPr>
          <w:rFonts w:ascii="Arial Narrow" w:hAnsi="Arial Narrow"/>
          <w:sz w:val="18"/>
          <w:szCs w:val="20"/>
        </w:rPr>
        <w:t>;</w:t>
      </w:r>
      <w:r w:rsidR="007C6DE0">
        <w:rPr>
          <w:rFonts w:ascii="Arial Narrow" w:hAnsi="Arial Narrow"/>
          <w:sz w:val="18"/>
          <w:szCs w:val="20"/>
        </w:rPr>
        <w:t xml:space="preserve"> ADA</w:t>
      </w:r>
      <w:r w:rsidR="00A67917">
        <w:rPr>
          <w:rFonts w:ascii="Arial Narrow" w:hAnsi="Arial Narrow"/>
          <w:sz w:val="18"/>
          <w:szCs w:val="20"/>
        </w:rPr>
        <w:t xml:space="preserve"> </w:t>
      </w:r>
      <w:r w:rsidR="007C6DE0">
        <w:rPr>
          <w:rFonts w:ascii="Arial Narrow" w:hAnsi="Arial Narrow"/>
          <w:sz w:val="18"/>
          <w:szCs w:val="20"/>
        </w:rPr>
        <w:t>=</w:t>
      </w:r>
      <w:r w:rsidR="00A67917">
        <w:rPr>
          <w:rFonts w:ascii="Arial Narrow" w:hAnsi="Arial Narrow"/>
          <w:sz w:val="18"/>
          <w:szCs w:val="20"/>
        </w:rPr>
        <w:t xml:space="preserve"> </w:t>
      </w:r>
      <w:r w:rsidR="007C6DE0">
        <w:rPr>
          <w:rFonts w:ascii="Arial Narrow" w:hAnsi="Arial Narrow"/>
          <w:sz w:val="18"/>
          <w:szCs w:val="20"/>
        </w:rPr>
        <w:t>adalimumab</w:t>
      </w:r>
      <w:r w:rsidR="00A557C1">
        <w:rPr>
          <w:rFonts w:ascii="Arial Narrow" w:hAnsi="Arial Narrow"/>
          <w:sz w:val="18"/>
          <w:szCs w:val="20"/>
        </w:rPr>
        <w:t>;</w:t>
      </w:r>
      <w:r w:rsidR="007C6DE0">
        <w:rPr>
          <w:rFonts w:ascii="Arial Narrow" w:hAnsi="Arial Narrow"/>
          <w:sz w:val="18"/>
          <w:szCs w:val="20"/>
        </w:rPr>
        <w:t xml:space="preserve"> ETN</w:t>
      </w:r>
      <w:r w:rsidR="00A67917">
        <w:rPr>
          <w:rFonts w:ascii="Arial Narrow" w:hAnsi="Arial Narrow"/>
          <w:sz w:val="18"/>
          <w:szCs w:val="20"/>
        </w:rPr>
        <w:t xml:space="preserve"> </w:t>
      </w:r>
      <w:r w:rsidR="007C6DE0">
        <w:rPr>
          <w:rFonts w:ascii="Arial Narrow" w:hAnsi="Arial Narrow"/>
          <w:sz w:val="18"/>
          <w:szCs w:val="20"/>
        </w:rPr>
        <w:t>=</w:t>
      </w:r>
      <w:r w:rsidR="00A67917">
        <w:rPr>
          <w:rFonts w:ascii="Arial Narrow" w:hAnsi="Arial Narrow"/>
          <w:sz w:val="18"/>
          <w:szCs w:val="20"/>
        </w:rPr>
        <w:t xml:space="preserve"> </w:t>
      </w:r>
      <w:r w:rsidR="007C6DE0">
        <w:rPr>
          <w:rFonts w:ascii="Arial Narrow" w:hAnsi="Arial Narrow"/>
          <w:sz w:val="18"/>
          <w:szCs w:val="20"/>
        </w:rPr>
        <w:t>etanercept</w:t>
      </w:r>
      <w:r w:rsidR="00A557C1">
        <w:rPr>
          <w:rFonts w:ascii="Arial Narrow" w:hAnsi="Arial Narrow"/>
          <w:sz w:val="18"/>
          <w:szCs w:val="20"/>
        </w:rPr>
        <w:t>;</w:t>
      </w:r>
      <w:r w:rsidR="007C6DE0">
        <w:rPr>
          <w:rFonts w:ascii="Arial Narrow" w:hAnsi="Arial Narrow"/>
          <w:sz w:val="18"/>
          <w:szCs w:val="20"/>
        </w:rPr>
        <w:t xml:space="preserve"> TIL</w:t>
      </w:r>
      <w:r w:rsidR="00A67917">
        <w:rPr>
          <w:rFonts w:ascii="Arial Narrow" w:hAnsi="Arial Narrow"/>
          <w:sz w:val="18"/>
          <w:szCs w:val="20"/>
        </w:rPr>
        <w:t xml:space="preserve"> </w:t>
      </w:r>
      <w:r w:rsidR="007C6DE0">
        <w:rPr>
          <w:rFonts w:ascii="Arial Narrow" w:hAnsi="Arial Narrow"/>
          <w:sz w:val="18"/>
          <w:szCs w:val="20"/>
        </w:rPr>
        <w:t>=</w:t>
      </w:r>
      <w:r w:rsidR="00A67917">
        <w:rPr>
          <w:rFonts w:ascii="Arial Narrow" w:hAnsi="Arial Narrow"/>
          <w:sz w:val="18"/>
          <w:szCs w:val="20"/>
        </w:rPr>
        <w:t xml:space="preserve"> </w:t>
      </w:r>
      <w:proofErr w:type="spellStart"/>
      <w:r w:rsidR="007C6DE0">
        <w:rPr>
          <w:rFonts w:ascii="Arial Narrow" w:hAnsi="Arial Narrow"/>
          <w:sz w:val="18"/>
          <w:szCs w:val="20"/>
        </w:rPr>
        <w:t>tildrakizumab</w:t>
      </w:r>
      <w:proofErr w:type="spellEnd"/>
      <w:r w:rsidR="00A557C1">
        <w:rPr>
          <w:rFonts w:ascii="Arial Narrow" w:hAnsi="Arial Narrow"/>
          <w:sz w:val="18"/>
          <w:szCs w:val="20"/>
        </w:rPr>
        <w:t>;</w:t>
      </w:r>
      <w:r w:rsidR="007C6DE0">
        <w:rPr>
          <w:rFonts w:ascii="Arial Narrow" w:hAnsi="Arial Narrow"/>
          <w:sz w:val="18"/>
          <w:szCs w:val="20"/>
        </w:rPr>
        <w:t xml:space="preserve"> PASI 75</w:t>
      </w:r>
      <w:r w:rsidR="00A67917">
        <w:rPr>
          <w:rFonts w:ascii="Arial Narrow" w:hAnsi="Arial Narrow"/>
          <w:sz w:val="18"/>
          <w:szCs w:val="20"/>
        </w:rPr>
        <w:t xml:space="preserve"> </w:t>
      </w:r>
      <w:r w:rsidR="007C6DE0">
        <w:rPr>
          <w:rFonts w:ascii="Arial Narrow" w:hAnsi="Arial Narrow"/>
          <w:sz w:val="18"/>
          <w:szCs w:val="20"/>
        </w:rPr>
        <w:t>=</w:t>
      </w:r>
      <w:r w:rsidR="00A67917">
        <w:rPr>
          <w:rFonts w:ascii="Arial Narrow" w:hAnsi="Arial Narrow"/>
          <w:sz w:val="18"/>
          <w:szCs w:val="20"/>
        </w:rPr>
        <w:t xml:space="preserve"> </w:t>
      </w:r>
      <w:r w:rsidR="007C6DE0">
        <w:rPr>
          <w:rFonts w:ascii="Arial Narrow" w:hAnsi="Arial Narrow"/>
          <w:sz w:val="18"/>
          <w:szCs w:val="20"/>
        </w:rPr>
        <w:t>achieving at least a 75% improvement on the</w:t>
      </w:r>
      <w:r w:rsidR="00DC691C">
        <w:rPr>
          <w:rFonts w:ascii="Arial Narrow" w:hAnsi="Arial Narrow"/>
          <w:sz w:val="18"/>
          <w:szCs w:val="20"/>
        </w:rPr>
        <w:t xml:space="preserve"> Psoriasis Area Severity Index</w:t>
      </w:r>
      <w:r w:rsidR="00A557C1">
        <w:rPr>
          <w:rFonts w:ascii="Arial Narrow" w:hAnsi="Arial Narrow"/>
          <w:sz w:val="18"/>
          <w:szCs w:val="20"/>
        </w:rPr>
        <w:t>;</w:t>
      </w:r>
      <w:r w:rsidR="00DC691C">
        <w:rPr>
          <w:rFonts w:ascii="Arial Narrow" w:hAnsi="Arial Narrow"/>
          <w:sz w:val="18"/>
          <w:szCs w:val="20"/>
        </w:rPr>
        <w:t xml:space="preserve"> Q12W</w:t>
      </w:r>
      <w:r w:rsidR="00A67917">
        <w:rPr>
          <w:rFonts w:ascii="Arial Narrow" w:hAnsi="Arial Narrow"/>
          <w:sz w:val="18"/>
          <w:szCs w:val="20"/>
        </w:rPr>
        <w:t xml:space="preserve"> </w:t>
      </w:r>
      <w:r w:rsidR="00DC691C">
        <w:rPr>
          <w:rFonts w:ascii="Arial Narrow" w:hAnsi="Arial Narrow"/>
          <w:sz w:val="18"/>
          <w:szCs w:val="20"/>
        </w:rPr>
        <w:t>=</w:t>
      </w:r>
      <w:r w:rsidR="00A67917">
        <w:rPr>
          <w:rFonts w:ascii="Arial Narrow" w:hAnsi="Arial Narrow"/>
          <w:sz w:val="18"/>
          <w:szCs w:val="20"/>
        </w:rPr>
        <w:t xml:space="preserve"> </w:t>
      </w:r>
      <w:r w:rsidR="00DC691C">
        <w:rPr>
          <w:rFonts w:ascii="Arial Narrow" w:hAnsi="Arial Narrow"/>
          <w:sz w:val="18"/>
          <w:szCs w:val="20"/>
        </w:rPr>
        <w:t>every 12 weeks</w:t>
      </w:r>
    </w:p>
    <w:p w:rsidR="006C09A1" w:rsidRPr="00C725E4" w:rsidRDefault="006C09A1" w:rsidP="006C09A1">
      <w:pPr>
        <w:spacing w:after="120"/>
        <w:contextualSpacing/>
        <w:rPr>
          <w:rFonts w:ascii="Arial Narrow" w:hAnsi="Arial Narrow"/>
          <w:sz w:val="18"/>
          <w:szCs w:val="18"/>
        </w:rPr>
      </w:pPr>
      <w:r w:rsidRPr="00C725E4">
        <w:rPr>
          <w:rFonts w:ascii="Arial Narrow" w:hAnsi="Arial Narrow"/>
          <w:sz w:val="18"/>
          <w:szCs w:val="18"/>
        </w:rPr>
        <w:t>Source: Table 1-1, p3 of the submission.</w:t>
      </w:r>
      <w:r>
        <w:rPr>
          <w:rFonts w:ascii="Arial Narrow" w:hAnsi="Arial Narrow"/>
          <w:sz w:val="18"/>
          <w:szCs w:val="18"/>
        </w:rPr>
        <w:t xml:space="preserve"> </w:t>
      </w:r>
      <w:proofErr w:type="gramStart"/>
      <w:r>
        <w:rPr>
          <w:rFonts w:ascii="Arial Narrow" w:hAnsi="Arial Narrow"/>
          <w:sz w:val="18"/>
          <w:szCs w:val="18"/>
        </w:rPr>
        <w:t>Appendix 1 Section 2c, p88, and Appendix 1 Section 2b, p.30.</w:t>
      </w:r>
      <w:proofErr w:type="gramEnd"/>
    </w:p>
    <w:p w:rsidR="004E43B2" w:rsidRPr="00C725E4" w:rsidRDefault="004E43B2" w:rsidP="004B1CB4"/>
    <w:p w:rsidR="00B60939" w:rsidRDefault="00B50DB8" w:rsidP="00A42329">
      <w:pPr>
        <w:pStyle w:val="PBACHeading1"/>
      </w:pPr>
      <w:bookmarkStart w:id="1" w:name="_Toc514171460"/>
      <w:r w:rsidRPr="00C725E4">
        <w:t>Requested listing</w:t>
      </w:r>
      <w:bookmarkEnd w:id="1"/>
    </w:p>
    <w:p w:rsidR="00526A1D" w:rsidRDefault="00D57DD5" w:rsidP="00195D2F">
      <w:pPr>
        <w:pStyle w:val="ListParagraph"/>
        <w:widowControl/>
        <w:numPr>
          <w:ilvl w:val="1"/>
          <w:numId w:val="3"/>
        </w:numPr>
      </w:pPr>
      <w:r>
        <w:t xml:space="preserve">An identical listing to that of existing biologic therapies in CPP was requested by the submission.  The requested quantities (including repeats) would permit for up to </w:t>
      </w:r>
      <w:r w:rsidR="008446F1">
        <w:t xml:space="preserve">28 </w:t>
      </w:r>
      <w:r w:rsidR="008446F1">
        <w:lastRenderedPageBreak/>
        <w:t>weeks of initial treatment (3</w:t>
      </w:r>
      <w:r>
        <w:t xml:space="preserve"> doses) followed by 2</w:t>
      </w:r>
      <w:r w:rsidR="008446F1">
        <w:t>4 weeks of continuing therapy (2</w:t>
      </w:r>
      <w:r>
        <w:t xml:space="preserve"> doses) on each prescription.</w:t>
      </w:r>
    </w:p>
    <w:tbl>
      <w:tblPr>
        <w:tblW w:w="5000" w:type="pct"/>
        <w:tblInd w:w="28" w:type="dxa"/>
        <w:tblCellMar>
          <w:left w:w="28" w:type="dxa"/>
          <w:right w:w="28" w:type="dxa"/>
        </w:tblCellMar>
        <w:tblLook w:val="0000" w:firstRow="0" w:lastRow="0" w:firstColumn="0" w:lastColumn="0" w:noHBand="0" w:noVBand="0"/>
      </w:tblPr>
      <w:tblGrid>
        <w:gridCol w:w="2141"/>
        <w:gridCol w:w="1504"/>
        <w:gridCol w:w="1021"/>
        <w:gridCol w:w="788"/>
        <w:gridCol w:w="1439"/>
        <w:gridCol w:w="779"/>
        <w:gridCol w:w="1411"/>
      </w:tblGrid>
      <w:tr w:rsidR="00195D2F" w:rsidRPr="00C725E4" w:rsidTr="00962F98">
        <w:trPr>
          <w:cantSplit/>
          <w:trHeight w:val="463"/>
        </w:trPr>
        <w:tc>
          <w:tcPr>
            <w:tcW w:w="2006" w:type="pct"/>
            <w:gridSpan w:val="2"/>
            <w:tcBorders>
              <w:top w:val="single" w:sz="4" w:space="0" w:color="auto"/>
              <w:bottom w:val="single" w:sz="4" w:space="0" w:color="auto"/>
            </w:tcBorders>
            <w:vAlign w:val="center"/>
          </w:tcPr>
          <w:p w:rsidR="00195D2F" w:rsidRPr="00C725E4" w:rsidRDefault="00195D2F" w:rsidP="00734DF9">
            <w:pPr>
              <w:keepNext/>
              <w:jc w:val="left"/>
              <w:rPr>
                <w:rFonts w:ascii="Arial Narrow" w:hAnsi="Arial Narrow"/>
                <w:b/>
                <w:sz w:val="20"/>
              </w:rPr>
            </w:pPr>
            <w:r w:rsidRPr="00C725E4">
              <w:rPr>
                <w:rFonts w:ascii="Arial Narrow" w:hAnsi="Arial Narrow"/>
                <w:b/>
                <w:sz w:val="20"/>
              </w:rPr>
              <w:t>Name, Restriction,</w:t>
            </w:r>
          </w:p>
          <w:p w:rsidR="00195D2F" w:rsidRPr="00C725E4" w:rsidRDefault="00195D2F" w:rsidP="00734DF9">
            <w:pPr>
              <w:keepNext/>
              <w:jc w:val="left"/>
              <w:rPr>
                <w:rFonts w:ascii="Arial Narrow" w:hAnsi="Arial Narrow"/>
                <w:b/>
                <w:sz w:val="20"/>
              </w:rPr>
            </w:pPr>
            <w:r w:rsidRPr="00C725E4">
              <w:rPr>
                <w:rFonts w:ascii="Arial Narrow" w:hAnsi="Arial Narrow"/>
                <w:b/>
                <w:sz w:val="20"/>
              </w:rPr>
              <w:t>Manner of administration and form</w:t>
            </w:r>
          </w:p>
        </w:tc>
        <w:tc>
          <w:tcPr>
            <w:tcW w:w="562" w:type="pct"/>
            <w:tcBorders>
              <w:top w:val="single" w:sz="4" w:space="0" w:color="auto"/>
              <w:bottom w:val="single" w:sz="4" w:space="0" w:color="auto"/>
            </w:tcBorders>
            <w:vAlign w:val="center"/>
          </w:tcPr>
          <w:p w:rsidR="00195D2F" w:rsidRPr="00C725E4" w:rsidRDefault="00195D2F" w:rsidP="00734DF9">
            <w:pPr>
              <w:keepNext/>
              <w:jc w:val="center"/>
              <w:rPr>
                <w:rFonts w:ascii="Arial Narrow" w:hAnsi="Arial Narrow"/>
                <w:b/>
                <w:sz w:val="20"/>
              </w:rPr>
            </w:pPr>
            <w:r w:rsidRPr="00C725E4">
              <w:rPr>
                <w:rFonts w:ascii="Arial Narrow" w:hAnsi="Arial Narrow"/>
                <w:b/>
                <w:sz w:val="20"/>
              </w:rPr>
              <w:t>Max.</w:t>
            </w:r>
          </w:p>
          <w:p w:rsidR="00195D2F" w:rsidRPr="00C725E4" w:rsidRDefault="00195D2F" w:rsidP="00526A1D">
            <w:pPr>
              <w:keepNext/>
              <w:jc w:val="center"/>
              <w:rPr>
                <w:rFonts w:ascii="Arial Narrow" w:hAnsi="Arial Narrow"/>
                <w:b/>
                <w:sz w:val="20"/>
              </w:rPr>
            </w:pPr>
            <w:r w:rsidRPr="00C725E4">
              <w:rPr>
                <w:rFonts w:ascii="Arial Narrow" w:hAnsi="Arial Narrow"/>
                <w:b/>
                <w:sz w:val="20"/>
              </w:rPr>
              <w:t>Qty</w:t>
            </w:r>
            <w:r w:rsidR="00702912">
              <w:rPr>
                <w:rFonts w:ascii="Arial Narrow" w:hAnsi="Arial Narrow"/>
                <w:b/>
                <w:sz w:val="20"/>
              </w:rPr>
              <w:t xml:space="preserve"> (units)</w:t>
            </w:r>
          </w:p>
        </w:tc>
        <w:tc>
          <w:tcPr>
            <w:tcW w:w="434" w:type="pct"/>
            <w:tcBorders>
              <w:top w:val="single" w:sz="4" w:space="0" w:color="auto"/>
              <w:bottom w:val="single" w:sz="4" w:space="0" w:color="auto"/>
            </w:tcBorders>
            <w:vAlign w:val="center"/>
          </w:tcPr>
          <w:p w:rsidR="00195D2F" w:rsidRPr="00C725E4" w:rsidRDefault="00195D2F" w:rsidP="00734DF9">
            <w:pPr>
              <w:keepNext/>
              <w:jc w:val="center"/>
              <w:rPr>
                <w:rFonts w:ascii="Arial Narrow" w:hAnsi="Arial Narrow"/>
                <w:b/>
                <w:sz w:val="20"/>
              </w:rPr>
            </w:pPr>
            <w:r w:rsidRPr="00C725E4">
              <w:rPr>
                <w:rFonts w:ascii="Arial Narrow" w:hAnsi="Arial Narrow" w:cs="Times New Roman"/>
                <w:b/>
                <w:sz w:val="20"/>
              </w:rPr>
              <w:t>№</w:t>
            </w:r>
            <w:r w:rsidRPr="00C725E4">
              <w:rPr>
                <w:rFonts w:ascii="Arial Narrow" w:hAnsi="Arial Narrow"/>
                <w:b/>
                <w:sz w:val="20"/>
              </w:rPr>
              <w:t>.of</w:t>
            </w:r>
          </w:p>
          <w:p w:rsidR="00195D2F" w:rsidRPr="00C725E4" w:rsidRDefault="00195D2F" w:rsidP="00734DF9">
            <w:pPr>
              <w:keepNext/>
              <w:jc w:val="center"/>
              <w:rPr>
                <w:rFonts w:ascii="Arial Narrow" w:hAnsi="Arial Narrow"/>
                <w:b/>
                <w:sz w:val="20"/>
              </w:rPr>
            </w:pPr>
            <w:r w:rsidRPr="00C725E4">
              <w:rPr>
                <w:rFonts w:ascii="Arial Narrow" w:hAnsi="Arial Narrow"/>
                <w:b/>
                <w:sz w:val="20"/>
              </w:rPr>
              <w:t>Rpts</w:t>
            </w:r>
          </w:p>
        </w:tc>
        <w:tc>
          <w:tcPr>
            <w:tcW w:w="792" w:type="pct"/>
            <w:tcBorders>
              <w:top w:val="single" w:sz="4" w:space="0" w:color="auto"/>
              <w:bottom w:val="single" w:sz="4" w:space="0" w:color="auto"/>
            </w:tcBorders>
            <w:vAlign w:val="center"/>
          </w:tcPr>
          <w:p w:rsidR="00195D2F" w:rsidRPr="00C725E4" w:rsidRDefault="00195D2F" w:rsidP="00C21E5D">
            <w:pPr>
              <w:keepNext/>
              <w:jc w:val="center"/>
              <w:rPr>
                <w:rFonts w:ascii="Arial Narrow" w:hAnsi="Arial Narrow"/>
                <w:b/>
                <w:sz w:val="20"/>
              </w:rPr>
            </w:pPr>
            <w:r w:rsidRPr="00C725E4">
              <w:rPr>
                <w:rFonts w:ascii="Arial Narrow" w:hAnsi="Arial Narrow"/>
                <w:b/>
                <w:sz w:val="20"/>
              </w:rPr>
              <w:t>Dispensed Price for Max. Qty</w:t>
            </w:r>
          </w:p>
        </w:tc>
        <w:tc>
          <w:tcPr>
            <w:tcW w:w="1206" w:type="pct"/>
            <w:gridSpan w:val="2"/>
            <w:tcBorders>
              <w:top w:val="single" w:sz="4" w:space="0" w:color="auto"/>
              <w:bottom w:val="single" w:sz="4" w:space="0" w:color="auto"/>
            </w:tcBorders>
            <w:vAlign w:val="center"/>
          </w:tcPr>
          <w:p w:rsidR="00195D2F" w:rsidRPr="00C725E4" w:rsidRDefault="00195D2F" w:rsidP="00734DF9">
            <w:pPr>
              <w:keepNext/>
              <w:jc w:val="center"/>
              <w:rPr>
                <w:rFonts w:ascii="Arial Narrow" w:hAnsi="Arial Narrow"/>
                <w:b/>
                <w:sz w:val="20"/>
              </w:rPr>
            </w:pPr>
            <w:r w:rsidRPr="00C725E4">
              <w:rPr>
                <w:rFonts w:ascii="Arial Narrow" w:hAnsi="Arial Narrow"/>
                <w:b/>
                <w:sz w:val="20"/>
              </w:rPr>
              <w:t>Proprietary Name and Manufacturer</w:t>
            </w:r>
          </w:p>
        </w:tc>
      </w:tr>
      <w:tr w:rsidR="00195D2F" w:rsidRPr="00C725E4" w:rsidTr="00962F98">
        <w:trPr>
          <w:cantSplit/>
          <w:trHeight w:val="567"/>
        </w:trPr>
        <w:tc>
          <w:tcPr>
            <w:tcW w:w="2006" w:type="pct"/>
            <w:gridSpan w:val="2"/>
            <w:vAlign w:val="center"/>
          </w:tcPr>
          <w:p w:rsidR="00195D2F" w:rsidRPr="00C725E4" w:rsidRDefault="00D56C7F" w:rsidP="00734DF9">
            <w:pPr>
              <w:keepNext/>
              <w:jc w:val="left"/>
              <w:rPr>
                <w:rFonts w:ascii="Arial Narrow" w:hAnsi="Arial Narrow"/>
                <w:sz w:val="20"/>
              </w:rPr>
            </w:pPr>
            <w:r>
              <w:rPr>
                <w:rFonts w:ascii="Arial Narrow" w:hAnsi="Arial Narrow"/>
                <w:smallCaps/>
                <w:sz w:val="20"/>
              </w:rPr>
              <w:t>TILDRAKIZUMAB</w:t>
            </w:r>
          </w:p>
          <w:p w:rsidR="00195D2F" w:rsidRPr="00EC4590" w:rsidRDefault="00EC4590" w:rsidP="00572C8A">
            <w:pPr>
              <w:keepNext/>
              <w:jc w:val="left"/>
              <w:rPr>
                <w:rFonts w:ascii="Arial Narrow" w:hAnsi="Arial Narrow"/>
                <w:iCs/>
                <w:sz w:val="20"/>
                <w:szCs w:val="20"/>
              </w:rPr>
            </w:pPr>
            <w:r w:rsidRPr="00EC4590">
              <w:rPr>
                <w:rFonts w:ascii="Arial Narrow" w:hAnsi="Arial Narrow"/>
                <w:iCs/>
                <w:sz w:val="20"/>
                <w:szCs w:val="20"/>
              </w:rPr>
              <w:t>100 mg/1 mL solution for injection, pre-filled single use syringe</w:t>
            </w:r>
          </w:p>
        </w:tc>
        <w:tc>
          <w:tcPr>
            <w:tcW w:w="562" w:type="pct"/>
          </w:tcPr>
          <w:p w:rsidR="00195D2F" w:rsidRPr="00C725E4" w:rsidRDefault="00EC4590" w:rsidP="00526A1D">
            <w:pPr>
              <w:keepNext/>
              <w:jc w:val="center"/>
              <w:rPr>
                <w:rFonts w:ascii="Arial Narrow" w:hAnsi="Arial Narrow"/>
                <w:sz w:val="20"/>
              </w:rPr>
            </w:pPr>
            <w:r>
              <w:rPr>
                <w:rFonts w:ascii="Arial Narrow" w:hAnsi="Arial Narrow"/>
                <w:sz w:val="20"/>
              </w:rPr>
              <w:t>2</w:t>
            </w:r>
          </w:p>
        </w:tc>
        <w:tc>
          <w:tcPr>
            <w:tcW w:w="434" w:type="pct"/>
          </w:tcPr>
          <w:p w:rsidR="00526A1D" w:rsidRDefault="00EC4590" w:rsidP="00526A1D">
            <w:pPr>
              <w:keepNext/>
              <w:jc w:val="center"/>
              <w:rPr>
                <w:rFonts w:ascii="Arial Narrow" w:hAnsi="Arial Narrow"/>
                <w:sz w:val="20"/>
              </w:rPr>
            </w:pPr>
            <w:r>
              <w:rPr>
                <w:rFonts w:ascii="Arial Narrow" w:hAnsi="Arial Narrow"/>
                <w:sz w:val="20"/>
              </w:rPr>
              <w:t>2</w:t>
            </w:r>
            <w:r w:rsidR="00526A1D" w:rsidRPr="00526A1D">
              <w:rPr>
                <w:rFonts w:ascii="Arial Narrow" w:hAnsi="Arial Narrow"/>
                <w:sz w:val="20"/>
                <w:vertAlign w:val="superscript"/>
              </w:rPr>
              <w:t>a</w:t>
            </w:r>
          </w:p>
          <w:p w:rsidR="00195D2F" w:rsidRPr="00C725E4" w:rsidRDefault="00EC4590" w:rsidP="00526A1D">
            <w:pPr>
              <w:keepNext/>
              <w:jc w:val="center"/>
              <w:rPr>
                <w:rFonts w:ascii="Arial Narrow" w:hAnsi="Arial Narrow"/>
                <w:sz w:val="20"/>
              </w:rPr>
            </w:pPr>
            <w:r>
              <w:rPr>
                <w:rFonts w:ascii="Arial Narrow" w:hAnsi="Arial Narrow"/>
                <w:sz w:val="20"/>
              </w:rPr>
              <w:t>1</w:t>
            </w:r>
            <w:r w:rsidR="00526A1D">
              <w:rPr>
                <w:rFonts w:ascii="Arial Narrow" w:hAnsi="Arial Narrow"/>
                <w:sz w:val="20"/>
                <w:vertAlign w:val="superscript"/>
              </w:rPr>
              <w:t>b</w:t>
            </w:r>
          </w:p>
        </w:tc>
        <w:tc>
          <w:tcPr>
            <w:tcW w:w="792" w:type="pct"/>
          </w:tcPr>
          <w:p w:rsidR="00195D2F" w:rsidRPr="00526A1D" w:rsidRDefault="00A50214" w:rsidP="00526A1D">
            <w:pPr>
              <w:keepNext/>
              <w:jc w:val="center"/>
              <w:rPr>
                <w:rFonts w:ascii="Arial Narrow" w:hAnsi="Arial Narrow"/>
                <w:sz w:val="20"/>
                <w:vertAlign w:val="superscript"/>
              </w:rPr>
            </w:pPr>
            <w:r>
              <w:rPr>
                <w:rFonts w:ascii="Arial Narrow" w:hAnsi="Arial Narrow"/>
                <w:sz w:val="20"/>
              </w:rPr>
              <w:t>$</w:t>
            </w:r>
            <w:r w:rsidR="001B3204">
              <w:rPr>
                <w:rFonts w:ascii="Arial Narrow" w:eastAsiaTheme="minorEastAsia" w:hAnsi="Arial Narrow" w:cstheme="minorBidi"/>
                <w:noProof/>
                <w:snapToGrid/>
                <w:color w:val="000000"/>
                <w:sz w:val="20"/>
                <w:highlight w:val="black"/>
                <w:lang w:eastAsia="en-AU"/>
              </w:rPr>
              <w:t>''''''''''''''''''''''''</w:t>
            </w:r>
            <w:r w:rsidR="00526A1D" w:rsidRPr="002F7F99">
              <w:rPr>
                <w:rFonts w:ascii="Arial Narrow" w:hAnsi="Arial Narrow"/>
                <w:sz w:val="20"/>
                <w:vertAlign w:val="superscript"/>
              </w:rPr>
              <w:t>#</w:t>
            </w:r>
          </w:p>
        </w:tc>
        <w:tc>
          <w:tcPr>
            <w:tcW w:w="429" w:type="pct"/>
          </w:tcPr>
          <w:p w:rsidR="00195D2F" w:rsidRPr="00C725E4" w:rsidRDefault="00A50214" w:rsidP="00526A1D">
            <w:pPr>
              <w:keepNext/>
              <w:jc w:val="center"/>
              <w:rPr>
                <w:rFonts w:ascii="Arial Narrow" w:hAnsi="Arial Narrow"/>
                <w:sz w:val="20"/>
              </w:rPr>
            </w:pPr>
            <w:proofErr w:type="spellStart"/>
            <w:r>
              <w:rPr>
                <w:rFonts w:ascii="Arial Narrow" w:hAnsi="Arial Narrow"/>
                <w:sz w:val="20"/>
              </w:rPr>
              <w:t>Ilum</w:t>
            </w:r>
            <w:r w:rsidR="00195D2F" w:rsidRPr="00C725E4">
              <w:rPr>
                <w:rFonts w:ascii="Arial Narrow" w:hAnsi="Arial Narrow"/>
                <w:sz w:val="20"/>
              </w:rPr>
              <w:t>ya</w:t>
            </w:r>
            <w:proofErr w:type="spellEnd"/>
            <w:r w:rsidR="00195D2F" w:rsidRPr="00C725E4">
              <w:rPr>
                <w:rFonts w:ascii="Arial Narrow" w:hAnsi="Arial Narrow"/>
                <w:sz w:val="20"/>
              </w:rPr>
              <w:t>®</w:t>
            </w:r>
          </w:p>
        </w:tc>
        <w:tc>
          <w:tcPr>
            <w:tcW w:w="777" w:type="pct"/>
          </w:tcPr>
          <w:p w:rsidR="00195D2F" w:rsidRPr="00C725E4" w:rsidRDefault="00A50214" w:rsidP="00526A1D">
            <w:pPr>
              <w:keepNext/>
              <w:jc w:val="center"/>
              <w:rPr>
                <w:rFonts w:ascii="Arial Narrow" w:hAnsi="Arial Narrow"/>
                <w:sz w:val="20"/>
              </w:rPr>
            </w:pPr>
            <w:r>
              <w:rPr>
                <w:rFonts w:ascii="Arial Narrow" w:hAnsi="Arial Narrow"/>
                <w:sz w:val="20"/>
              </w:rPr>
              <w:t>Sun Pharma</w:t>
            </w:r>
          </w:p>
          <w:p w:rsidR="00195D2F" w:rsidRPr="00C725E4" w:rsidRDefault="00195D2F" w:rsidP="00526A1D">
            <w:pPr>
              <w:keepNext/>
              <w:jc w:val="center"/>
              <w:rPr>
                <w:rFonts w:ascii="Arial Narrow" w:hAnsi="Arial Narrow"/>
                <w:sz w:val="20"/>
              </w:rPr>
            </w:pPr>
            <w:r w:rsidRPr="00C725E4">
              <w:rPr>
                <w:rFonts w:ascii="Arial Narrow" w:hAnsi="Arial Narrow"/>
                <w:sz w:val="20"/>
              </w:rPr>
              <w:t>Ltd</w:t>
            </w:r>
          </w:p>
        </w:tc>
      </w:tr>
      <w:tr w:rsidR="00195D2F" w:rsidRPr="00C725E4"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C725E4" w:rsidRDefault="00195D2F" w:rsidP="00734DF9">
            <w:pPr>
              <w:pStyle w:val="Tabletext"/>
              <w:rPr>
                <w:lang w:eastAsia="en-AU"/>
              </w:rPr>
            </w:pPr>
            <w:r w:rsidRPr="00C725E4">
              <w:rPr>
                <w:lang w:eastAsia="en-AU"/>
              </w:rPr>
              <w:t>Category/Program:</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C725E4" w:rsidRDefault="00A841CE" w:rsidP="00734DF9">
            <w:pPr>
              <w:pStyle w:val="Tabletext"/>
              <w:rPr>
                <w:lang w:eastAsia="en-AU"/>
              </w:rPr>
            </w:pPr>
            <w:r>
              <w:rPr>
                <w:lang w:eastAsia="en-AU"/>
              </w:rPr>
              <w:t>General Schedule (Code GE)</w:t>
            </w:r>
          </w:p>
        </w:tc>
      </w:tr>
      <w:tr w:rsidR="00195D2F" w:rsidRPr="00C725E4"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C725E4" w:rsidRDefault="00195D2F" w:rsidP="00734DF9">
            <w:pPr>
              <w:pStyle w:val="Tabletext"/>
              <w:rPr>
                <w:lang w:eastAsia="en-AU"/>
              </w:rPr>
            </w:pPr>
            <w:r w:rsidRPr="00C725E4">
              <w:rPr>
                <w:lang w:eastAsia="en-AU"/>
              </w:rPr>
              <w:t>PBS indication:</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C725E4" w:rsidRDefault="00195D2F" w:rsidP="00734DF9">
            <w:pPr>
              <w:pStyle w:val="Tabletext"/>
              <w:rPr>
                <w:lang w:eastAsia="en-AU"/>
              </w:rPr>
            </w:pPr>
            <w:r w:rsidRPr="00C725E4">
              <w:t>Severe chronic plaque psoriasis</w:t>
            </w:r>
          </w:p>
        </w:tc>
      </w:tr>
      <w:tr w:rsidR="00195D2F" w:rsidRPr="00C725E4"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7"/>
        </w:trPr>
        <w:tc>
          <w:tcPr>
            <w:tcW w:w="1178" w:type="pct"/>
            <w:tcBorders>
              <w:top w:val="single" w:sz="4" w:space="0" w:color="auto"/>
              <w:left w:val="single" w:sz="4" w:space="0" w:color="auto"/>
              <w:bottom w:val="single" w:sz="4" w:space="0" w:color="auto"/>
              <w:right w:val="single" w:sz="4" w:space="0" w:color="auto"/>
            </w:tcBorders>
            <w:hideMark/>
          </w:tcPr>
          <w:p w:rsidR="00195D2F" w:rsidRPr="00C725E4" w:rsidRDefault="00195D2F" w:rsidP="00734DF9">
            <w:pPr>
              <w:pStyle w:val="Tabletext"/>
              <w:rPr>
                <w:lang w:eastAsia="en-AU"/>
              </w:rPr>
            </w:pPr>
            <w:r w:rsidRPr="00C725E4">
              <w:rPr>
                <w:lang w:eastAsia="en-AU"/>
              </w:rPr>
              <w:t>Treatment phase:</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C725E4" w:rsidRDefault="00195D2F" w:rsidP="00734DF9">
            <w:pPr>
              <w:pStyle w:val="Tabletext"/>
              <w:rPr>
                <w:lang w:eastAsia="en-AU"/>
              </w:rPr>
            </w:pPr>
            <w:r w:rsidRPr="00C725E4">
              <w:rPr>
                <w:lang w:eastAsia="en-AU"/>
              </w:rPr>
              <w:t>Initial treatment, and continuing treatment</w:t>
            </w:r>
          </w:p>
        </w:tc>
      </w:tr>
      <w:tr w:rsidR="00195D2F" w:rsidRPr="00C725E4"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C725E4" w:rsidRDefault="00195D2F" w:rsidP="00734DF9">
            <w:pPr>
              <w:pStyle w:val="Tabletext"/>
              <w:rPr>
                <w:lang w:eastAsia="en-AU"/>
              </w:rPr>
            </w:pPr>
            <w:r w:rsidRPr="00C725E4">
              <w:rPr>
                <w:lang w:eastAsia="en-AU"/>
              </w:rPr>
              <w:t>Restriction:</w:t>
            </w:r>
          </w:p>
        </w:tc>
        <w:tc>
          <w:tcPr>
            <w:tcW w:w="3822" w:type="pct"/>
            <w:gridSpan w:val="6"/>
            <w:tcBorders>
              <w:top w:val="single" w:sz="4" w:space="0" w:color="auto"/>
              <w:left w:val="single" w:sz="4" w:space="0" w:color="auto"/>
              <w:bottom w:val="single" w:sz="4" w:space="0" w:color="auto"/>
              <w:right w:val="single" w:sz="4" w:space="0" w:color="auto"/>
            </w:tcBorders>
          </w:tcPr>
          <w:p w:rsidR="004E7E12" w:rsidRPr="00962F98" w:rsidRDefault="004E7E12" w:rsidP="00962F98">
            <w:pPr>
              <w:widowControl/>
              <w:jc w:val="left"/>
            </w:pPr>
            <w:r>
              <w:rPr>
                <w:rFonts w:ascii="Arial Narrow" w:hAnsi="Arial Narrow"/>
                <w:snapToGrid/>
                <w:sz w:val="20"/>
                <w:szCs w:val="20"/>
                <w:lang w:eastAsia="en-AU"/>
              </w:rPr>
              <w:fldChar w:fldCharType="begin">
                <w:ffData>
                  <w:name w:val=""/>
                  <w:enabled/>
                  <w:calcOnExit w:val="0"/>
                  <w:checkBox>
                    <w:sizeAuto/>
                    <w:default w:val="1"/>
                  </w:checkBox>
                </w:ffData>
              </w:fldChar>
            </w:r>
            <w:r>
              <w:rPr>
                <w:rFonts w:ascii="Arial Narrow" w:hAnsi="Arial Narrow"/>
                <w:snapToGrid/>
                <w:sz w:val="20"/>
                <w:szCs w:val="20"/>
                <w:lang w:eastAsia="en-AU"/>
              </w:rPr>
              <w:instrText xml:space="preserve"> FORMCHECKBOX </w:instrText>
            </w:r>
            <w:r w:rsidR="00F14289">
              <w:rPr>
                <w:rFonts w:ascii="Arial Narrow" w:hAnsi="Arial Narrow"/>
                <w:snapToGrid/>
                <w:sz w:val="20"/>
                <w:szCs w:val="20"/>
                <w:lang w:eastAsia="en-AU"/>
              </w:rPr>
            </w:r>
            <w:r w:rsidR="00F14289">
              <w:rPr>
                <w:rFonts w:ascii="Arial Narrow" w:hAnsi="Arial Narrow"/>
                <w:snapToGrid/>
                <w:sz w:val="20"/>
                <w:szCs w:val="20"/>
                <w:lang w:eastAsia="en-AU"/>
              </w:rPr>
              <w:fldChar w:fldCharType="separate"/>
            </w:r>
            <w:r>
              <w:rPr>
                <w:rFonts w:ascii="Arial Narrow" w:hAnsi="Arial Narrow"/>
                <w:snapToGrid/>
                <w:sz w:val="20"/>
                <w:szCs w:val="20"/>
                <w:lang w:eastAsia="en-AU"/>
              </w:rPr>
              <w:fldChar w:fldCharType="end"/>
            </w:r>
            <w:r w:rsidRPr="004E7E12">
              <w:rPr>
                <w:rFonts w:ascii="Arial Narrow" w:hAnsi="Arial Narrow"/>
                <w:snapToGrid/>
                <w:sz w:val="20"/>
                <w:szCs w:val="20"/>
                <w:lang w:eastAsia="en-AU"/>
              </w:rPr>
              <w:t>Authority Required - In Writing</w:t>
            </w:r>
          </w:p>
        </w:tc>
      </w:tr>
      <w:tr w:rsidR="00195D2F" w:rsidRPr="00C725E4"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C725E4" w:rsidRDefault="00195D2F" w:rsidP="00734DF9">
            <w:pPr>
              <w:pStyle w:val="Tabletext"/>
              <w:rPr>
                <w:lang w:eastAsia="en-AU"/>
              </w:rPr>
            </w:pPr>
            <w:r w:rsidRPr="00C725E4">
              <w:rPr>
                <w:lang w:eastAsia="en-AU"/>
              </w:rPr>
              <w:t>Treatment criteria:</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C725E4" w:rsidRDefault="00195D2F" w:rsidP="00734DF9">
            <w:pPr>
              <w:pStyle w:val="Tabletext"/>
              <w:rPr>
                <w:lang w:eastAsia="en-AU"/>
              </w:rPr>
            </w:pPr>
            <w:r w:rsidRPr="00C725E4">
              <w:rPr>
                <w:lang w:eastAsia="en-AU"/>
              </w:rPr>
              <w:t>Must be treated by a dermatologist</w:t>
            </w:r>
          </w:p>
        </w:tc>
      </w:tr>
      <w:tr w:rsidR="00195D2F" w:rsidRPr="00C725E4"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0"/>
        </w:trPr>
        <w:tc>
          <w:tcPr>
            <w:tcW w:w="1178" w:type="pct"/>
            <w:tcBorders>
              <w:top w:val="single" w:sz="4" w:space="0" w:color="auto"/>
              <w:left w:val="single" w:sz="4" w:space="0" w:color="auto"/>
              <w:bottom w:val="single" w:sz="4" w:space="0" w:color="auto"/>
              <w:right w:val="single" w:sz="4" w:space="0" w:color="auto"/>
            </w:tcBorders>
            <w:hideMark/>
          </w:tcPr>
          <w:p w:rsidR="00195D2F" w:rsidRPr="00C725E4" w:rsidRDefault="00195D2F" w:rsidP="00734DF9">
            <w:pPr>
              <w:pStyle w:val="Tabletext"/>
              <w:rPr>
                <w:lang w:eastAsia="en-AU"/>
              </w:rPr>
            </w:pPr>
            <w:r w:rsidRPr="00C725E4">
              <w:rPr>
                <w:lang w:eastAsia="en-AU"/>
              </w:rPr>
              <w:t>Clinical criteria:</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962F98" w:rsidRDefault="006E0537" w:rsidP="00734DF9">
            <w:pPr>
              <w:pStyle w:val="Tabletext"/>
              <w:rPr>
                <w:lang w:eastAsia="en-AU"/>
              </w:rPr>
            </w:pPr>
            <w:r w:rsidRPr="00962F98">
              <w:rPr>
                <w:rFonts w:cs="Arial"/>
              </w:rPr>
              <w:t xml:space="preserve">As per current </w:t>
            </w:r>
            <w:r w:rsidR="00007489" w:rsidRPr="00962F98">
              <w:rPr>
                <w:rFonts w:cs="Arial"/>
              </w:rPr>
              <w:t>PBS listed</w:t>
            </w:r>
            <w:r w:rsidRPr="00962F98">
              <w:rPr>
                <w:rFonts w:cs="Arial"/>
              </w:rPr>
              <w:t xml:space="preserve"> ustekinumab.</w:t>
            </w:r>
          </w:p>
        </w:tc>
      </w:tr>
    </w:tbl>
    <w:p w:rsidR="00526A1D" w:rsidRPr="00C725E4" w:rsidRDefault="00526A1D" w:rsidP="00E234BD">
      <w:pPr>
        <w:pStyle w:val="TableFooter"/>
      </w:pPr>
      <w:proofErr w:type="spellStart"/>
      <w:proofErr w:type="gramStart"/>
      <w:r w:rsidRPr="00C725E4">
        <w:rPr>
          <w:vertAlign w:val="superscript"/>
        </w:rPr>
        <w:t>a</w:t>
      </w:r>
      <w:proofErr w:type="spellEnd"/>
      <w:proofErr w:type="gramEnd"/>
      <w:r w:rsidRPr="00C725E4">
        <w:tab/>
        <w:t>Initial treatment</w:t>
      </w:r>
      <w:r w:rsidR="00E234BD">
        <w:t xml:space="preserve">; </w:t>
      </w:r>
      <w:r w:rsidRPr="00C725E4">
        <w:rPr>
          <w:vertAlign w:val="superscript"/>
        </w:rPr>
        <w:t>b</w:t>
      </w:r>
      <w:r w:rsidRPr="00C725E4">
        <w:tab/>
        <w:t>Continuing treatment.</w:t>
      </w:r>
    </w:p>
    <w:p w:rsidR="00526A1D" w:rsidRPr="00C725E4" w:rsidRDefault="00526A1D" w:rsidP="00526A1D">
      <w:pPr>
        <w:ind w:left="165" w:hanging="165"/>
        <w:contextualSpacing/>
        <w:rPr>
          <w:rFonts w:ascii="Arial Narrow" w:hAnsi="Arial Narrow"/>
          <w:sz w:val="18"/>
          <w:szCs w:val="18"/>
        </w:rPr>
      </w:pPr>
      <w:r w:rsidRPr="00C725E4">
        <w:rPr>
          <w:rFonts w:ascii="Arial Narrow" w:hAnsi="Arial Narrow"/>
          <w:sz w:val="18"/>
          <w:szCs w:val="18"/>
        </w:rPr>
        <w:t xml:space="preserve"># </w:t>
      </w:r>
      <w:r>
        <w:rPr>
          <w:rFonts w:ascii="Arial Narrow" w:hAnsi="Arial Narrow"/>
          <w:sz w:val="18"/>
          <w:szCs w:val="18"/>
        </w:rPr>
        <w:tab/>
      </w:r>
      <w:r w:rsidRPr="00C725E4">
        <w:rPr>
          <w:rFonts w:ascii="Arial Narrow" w:hAnsi="Arial Narrow"/>
          <w:sz w:val="18"/>
          <w:szCs w:val="18"/>
        </w:rPr>
        <w:t xml:space="preserve">Note: Calculated in the submission based on cost-minimisation of ex-manufacturer prices to </w:t>
      </w:r>
      <w:r w:rsidR="00DE08C5">
        <w:rPr>
          <w:rFonts w:ascii="Arial Narrow" w:hAnsi="Arial Narrow"/>
          <w:sz w:val="18"/>
          <w:szCs w:val="18"/>
        </w:rPr>
        <w:t>published</w:t>
      </w:r>
      <w:r w:rsidRPr="00C725E4">
        <w:rPr>
          <w:rFonts w:ascii="Arial Narrow" w:hAnsi="Arial Narrow"/>
          <w:sz w:val="18"/>
          <w:szCs w:val="18"/>
        </w:rPr>
        <w:t xml:space="preserve"> price of ustekinumab over 104 weeks of treatment. </w:t>
      </w:r>
    </w:p>
    <w:p w:rsidR="00526A1D" w:rsidRDefault="00526A1D" w:rsidP="00DE08C5">
      <w:pPr>
        <w:pStyle w:val="TableFooter"/>
      </w:pPr>
      <w:r w:rsidRPr="00C725E4">
        <w:t xml:space="preserve">Source: </w:t>
      </w:r>
      <w:r w:rsidR="00DE08C5">
        <w:t>Table 1.4-2</w:t>
      </w:r>
      <w:r w:rsidR="00DE08C5" w:rsidRPr="00C725E4">
        <w:t>, p</w:t>
      </w:r>
      <w:r w:rsidR="00DE08C5">
        <w:t>17</w:t>
      </w:r>
      <w:r w:rsidR="00DE08C5" w:rsidRPr="00C725E4">
        <w:t xml:space="preserve"> of the submission</w:t>
      </w:r>
      <w:r w:rsidRPr="00C725E4">
        <w:t>.</w:t>
      </w:r>
    </w:p>
    <w:p w:rsidR="004156B1" w:rsidRPr="00C725E4" w:rsidRDefault="004156B1" w:rsidP="004156B1"/>
    <w:p w:rsidR="004C06B2" w:rsidRPr="00815ADC" w:rsidRDefault="004C06B2" w:rsidP="00952E39">
      <w:pPr>
        <w:pStyle w:val="ListParagraph"/>
        <w:widowControl/>
        <w:numPr>
          <w:ilvl w:val="1"/>
          <w:numId w:val="3"/>
        </w:numPr>
        <w:spacing w:after="120"/>
      </w:pPr>
      <w:r w:rsidRPr="00E87980">
        <w:rPr>
          <w:iCs/>
        </w:rPr>
        <w:t xml:space="preserve">The Sponsor requested a special pricing arrangement, the effective price </w:t>
      </w:r>
      <w:r w:rsidR="004F5F89" w:rsidRPr="00E87980">
        <w:rPr>
          <w:iCs/>
        </w:rPr>
        <w:t>for TIL</w:t>
      </w:r>
      <w:r w:rsidR="00675CFE" w:rsidRPr="00E87980">
        <w:rPr>
          <w:iCs/>
        </w:rPr>
        <w:t xml:space="preserve"> </w:t>
      </w:r>
      <w:r w:rsidRPr="00E87980">
        <w:rPr>
          <w:iCs/>
        </w:rPr>
        <w:t xml:space="preserve">to be determined on a cost-minimisation basis using the indication-specific effective price </w:t>
      </w:r>
      <w:r w:rsidRPr="00815ADC">
        <w:rPr>
          <w:iCs/>
        </w:rPr>
        <w:t>for UST</w:t>
      </w:r>
      <w:r w:rsidR="00BA4EDE" w:rsidRPr="00815ADC">
        <w:rPr>
          <w:iCs/>
        </w:rPr>
        <w:t>.</w:t>
      </w:r>
      <w:r w:rsidR="00BA4EDE" w:rsidRPr="00815ADC">
        <w:t xml:space="preserve"> </w:t>
      </w:r>
      <w:r w:rsidR="00DF63F7" w:rsidRPr="00815ADC">
        <w:t xml:space="preserve"> </w:t>
      </w:r>
      <w:r w:rsidR="007800FE" w:rsidRPr="00815ADC">
        <w:t>T</w:t>
      </w:r>
      <w:r w:rsidRPr="00815ADC">
        <w:t>he proposed price for TIL</w:t>
      </w:r>
      <w:r w:rsidR="00C21E5D" w:rsidRPr="00815ADC">
        <w:t xml:space="preserve"> was derived based on </w:t>
      </w:r>
      <w:r w:rsidR="00331AB5" w:rsidRPr="00815ADC">
        <w:t xml:space="preserve">a </w:t>
      </w:r>
      <w:r w:rsidR="00C21E5D" w:rsidRPr="00815ADC">
        <w:t>co</w:t>
      </w:r>
      <w:r w:rsidR="007800FE" w:rsidRPr="00815ADC">
        <w:t>st-minimisation</w:t>
      </w:r>
      <w:r w:rsidR="00331AB5" w:rsidRPr="00815ADC">
        <w:t xml:space="preserve"> analysis versus the</w:t>
      </w:r>
      <w:r w:rsidRPr="00815ADC">
        <w:t xml:space="preserve"> published UST</w:t>
      </w:r>
      <w:r w:rsidR="00C21E5D" w:rsidRPr="00815ADC">
        <w:t xml:space="preserve"> </w:t>
      </w:r>
      <w:r w:rsidR="00331AB5" w:rsidRPr="00815ADC">
        <w:t xml:space="preserve">price </w:t>
      </w:r>
      <w:r w:rsidR="00C21E5D" w:rsidRPr="00815ADC">
        <w:t>over 104 weeks (2 years) of treatment</w:t>
      </w:r>
      <w:r w:rsidR="00DF63F7" w:rsidRPr="00815ADC">
        <w:t>.</w:t>
      </w:r>
      <w:r w:rsidRPr="00815ADC">
        <w:t xml:space="preserve"> </w:t>
      </w:r>
    </w:p>
    <w:p w:rsidR="00C21E5D" w:rsidRPr="00815ADC" w:rsidRDefault="00C21E5D" w:rsidP="00952E39">
      <w:pPr>
        <w:pStyle w:val="ListParagraph"/>
        <w:widowControl/>
        <w:numPr>
          <w:ilvl w:val="1"/>
          <w:numId w:val="3"/>
        </w:numPr>
        <w:spacing w:after="120"/>
        <w:rPr>
          <w:iCs/>
        </w:rPr>
      </w:pPr>
      <w:r w:rsidRPr="00815ADC">
        <w:t xml:space="preserve">The maximum quantity and the number of repeats requested would be sufficient to complete a 28-week initial treatment course </w:t>
      </w:r>
      <w:r w:rsidR="004C06B2" w:rsidRPr="00815ADC">
        <w:t>of TIL (3</w:t>
      </w:r>
      <w:r w:rsidR="00DC691C" w:rsidRPr="00815ADC">
        <w:t xml:space="preserve"> doses)</w:t>
      </w:r>
      <w:r w:rsidRPr="00815ADC">
        <w:t xml:space="preserve"> and a 24-week co</w:t>
      </w:r>
      <w:r w:rsidR="007800FE" w:rsidRPr="00815ADC">
        <w:t>ntinuin</w:t>
      </w:r>
      <w:r w:rsidR="004C06B2" w:rsidRPr="00815ADC">
        <w:t>g treatment course of TIL (2</w:t>
      </w:r>
      <w:r w:rsidRPr="00815ADC">
        <w:t xml:space="preserve"> doses).  </w:t>
      </w:r>
      <w:r w:rsidRPr="00815ADC">
        <w:rPr>
          <w:iCs/>
        </w:rPr>
        <w:t xml:space="preserve">The requested treatment duration </w:t>
      </w:r>
      <w:r w:rsidR="00331AB5" w:rsidRPr="00815ADC">
        <w:rPr>
          <w:iCs/>
        </w:rPr>
        <w:t>for</w:t>
      </w:r>
      <w:r w:rsidR="006C09A1" w:rsidRPr="00815ADC">
        <w:rPr>
          <w:iCs/>
        </w:rPr>
        <w:t xml:space="preserve"> continuing therapy wa</w:t>
      </w:r>
      <w:r w:rsidRPr="00815ADC">
        <w:rPr>
          <w:iCs/>
        </w:rPr>
        <w:t>s consistent with all listed biologics for severe CPP</w:t>
      </w:r>
      <w:r w:rsidR="00DF63F7" w:rsidRPr="00815ADC">
        <w:rPr>
          <w:iCs/>
        </w:rPr>
        <w:t xml:space="preserve"> (</w:t>
      </w:r>
      <w:r w:rsidRPr="00815ADC">
        <w:rPr>
          <w:iCs/>
        </w:rPr>
        <w:t xml:space="preserve">all </w:t>
      </w:r>
      <w:r w:rsidR="00DF63F7" w:rsidRPr="00815ADC">
        <w:rPr>
          <w:iCs/>
        </w:rPr>
        <w:t xml:space="preserve">provide up to </w:t>
      </w:r>
      <w:r w:rsidRPr="00815ADC">
        <w:rPr>
          <w:iCs/>
        </w:rPr>
        <w:t>24 weeks</w:t>
      </w:r>
      <w:r w:rsidR="00DF63F7" w:rsidRPr="00815ADC">
        <w:rPr>
          <w:iCs/>
        </w:rPr>
        <w:t xml:space="preserve"> of therapy)</w:t>
      </w:r>
      <w:r w:rsidRPr="00815ADC">
        <w:rPr>
          <w:iCs/>
        </w:rPr>
        <w:t xml:space="preserve">.  The initial treatment period </w:t>
      </w:r>
      <w:r w:rsidR="00DF63F7" w:rsidRPr="00815ADC">
        <w:rPr>
          <w:iCs/>
        </w:rPr>
        <w:t>wa</w:t>
      </w:r>
      <w:r w:rsidR="004F5F89" w:rsidRPr="00815ADC">
        <w:rPr>
          <w:iCs/>
        </w:rPr>
        <w:t>s similar to UST</w:t>
      </w:r>
      <w:r w:rsidRPr="00815ADC">
        <w:rPr>
          <w:iCs/>
        </w:rPr>
        <w:t xml:space="preserve"> (also 28 weeks) but differ</w:t>
      </w:r>
      <w:r w:rsidR="00DF63F7" w:rsidRPr="00815ADC">
        <w:rPr>
          <w:iCs/>
        </w:rPr>
        <w:t>ed</w:t>
      </w:r>
      <w:r w:rsidRPr="00815ADC">
        <w:rPr>
          <w:iCs/>
        </w:rPr>
        <w:t xml:space="preserve"> </w:t>
      </w:r>
      <w:r w:rsidR="004F5F89" w:rsidRPr="00815ADC">
        <w:rPr>
          <w:iCs/>
        </w:rPr>
        <w:t>to IFX</w:t>
      </w:r>
      <w:r w:rsidR="00DF63F7" w:rsidRPr="00815ADC">
        <w:rPr>
          <w:iCs/>
        </w:rPr>
        <w:t xml:space="preserve"> (22 weeks) </w:t>
      </w:r>
      <w:r w:rsidRPr="00815ADC">
        <w:rPr>
          <w:iCs/>
        </w:rPr>
        <w:t>and 16 weeks for the others</w:t>
      </w:r>
      <w:r w:rsidR="007E5289" w:rsidRPr="00815ADC">
        <w:rPr>
          <w:iCs/>
        </w:rPr>
        <w:t xml:space="preserve"> agents</w:t>
      </w:r>
      <w:r w:rsidRPr="00815ADC">
        <w:rPr>
          <w:iCs/>
        </w:rPr>
        <w:t>.</w:t>
      </w:r>
    </w:p>
    <w:p w:rsidR="008B3942" w:rsidRPr="00815ADC" w:rsidRDefault="00EF3486" w:rsidP="00952E39">
      <w:pPr>
        <w:pStyle w:val="ListParagraph"/>
        <w:spacing w:after="120"/>
        <w:rPr>
          <w:rFonts w:asciiTheme="minorHAnsi" w:hAnsiTheme="minorHAnsi" w:cstheme="minorHAnsi"/>
          <w:szCs w:val="24"/>
        </w:rPr>
      </w:pPr>
      <w:r w:rsidRPr="00815ADC">
        <w:rPr>
          <w:rFonts w:asciiTheme="minorHAnsi" w:hAnsiTheme="minorHAnsi" w:cstheme="minorHAnsi"/>
          <w:iCs/>
          <w:szCs w:val="24"/>
        </w:rPr>
        <w:t>The submission proposed that a grandfather clause be incorporated in the listing, to allow app</w:t>
      </w:r>
      <w:r w:rsidR="00697C90" w:rsidRPr="00815ADC">
        <w:rPr>
          <w:rFonts w:asciiTheme="minorHAnsi" w:hAnsiTheme="minorHAnsi" w:cstheme="minorHAnsi"/>
          <w:iCs/>
          <w:szCs w:val="24"/>
        </w:rPr>
        <w:t>roximately 250-350</w:t>
      </w:r>
      <w:r w:rsidR="007800FE" w:rsidRPr="00815ADC">
        <w:rPr>
          <w:rFonts w:asciiTheme="minorHAnsi" w:hAnsiTheme="minorHAnsi" w:cstheme="minorHAnsi"/>
          <w:iCs/>
          <w:szCs w:val="24"/>
        </w:rPr>
        <w:t xml:space="preserve"> patients in a </w:t>
      </w:r>
      <w:r w:rsidR="00697C90" w:rsidRPr="00815ADC">
        <w:t>TIL</w:t>
      </w:r>
      <w:r w:rsidRPr="00815ADC">
        <w:rPr>
          <w:rFonts w:asciiTheme="minorHAnsi" w:hAnsiTheme="minorHAnsi" w:cstheme="minorHAnsi"/>
          <w:iCs/>
          <w:szCs w:val="24"/>
        </w:rPr>
        <w:t xml:space="preserve"> Patient Familiarisation Program (PFP) to </w:t>
      </w:r>
      <w:r w:rsidR="007800FE" w:rsidRPr="00815ADC">
        <w:rPr>
          <w:rFonts w:asciiTheme="minorHAnsi" w:hAnsiTheme="minorHAnsi" w:cstheme="minorHAnsi"/>
          <w:iCs/>
          <w:szCs w:val="24"/>
        </w:rPr>
        <w:t xml:space="preserve">transition to PBS subsidised </w:t>
      </w:r>
      <w:r w:rsidR="00697C90" w:rsidRPr="00815ADC">
        <w:t>TIL</w:t>
      </w:r>
      <w:r w:rsidRPr="00815ADC">
        <w:rPr>
          <w:rFonts w:asciiTheme="minorHAnsi" w:hAnsiTheme="minorHAnsi" w:cstheme="minorHAnsi"/>
          <w:iCs/>
          <w:szCs w:val="24"/>
        </w:rPr>
        <w:t xml:space="preserve">.  Furthermore, </w:t>
      </w:r>
      <w:r w:rsidR="00697C90" w:rsidRPr="00815ADC">
        <w:rPr>
          <w:rFonts w:asciiTheme="minorHAnsi" w:hAnsiTheme="minorHAnsi" w:cstheme="minorHAnsi"/>
          <w:iCs/>
          <w:szCs w:val="24"/>
        </w:rPr>
        <w:t>t</w:t>
      </w:r>
      <w:r w:rsidRPr="00815ADC">
        <w:rPr>
          <w:rFonts w:asciiTheme="minorHAnsi" w:hAnsiTheme="minorHAnsi" w:cstheme="minorHAnsi"/>
          <w:iCs/>
          <w:szCs w:val="24"/>
        </w:rPr>
        <w:t>he submiss</w:t>
      </w:r>
      <w:r w:rsidR="00697C90" w:rsidRPr="00815ADC">
        <w:rPr>
          <w:rFonts w:asciiTheme="minorHAnsi" w:hAnsiTheme="minorHAnsi" w:cstheme="minorHAnsi"/>
          <w:iCs/>
          <w:szCs w:val="24"/>
        </w:rPr>
        <w:t>ion stated that 58</w:t>
      </w:r>
      <w:r w:rsidRPr="00815ADC">
        <w:rPr>
          <w:rFonts w:asciiTheme="minorHAnsi" w:hAnsiTheme="minorHAnsi" w:cstheme="minorHAnsi"/>
          <w:iCs/>
          <w:szCs w:val="24"/>
        </w:rPr>
        <w:t xml:space="preserve"> patie</w:t>
      </w:r>
      <w:r w:rsidR="00697C90" w:rsidRPr="00815ADC">
        <w:rPr>
          <w:rFonts w:asciiTheme="minorHAnsi" w:hAnsiTheme="minorHAnsi" w:cstheme="minorHAnsi"/>
          <w:iCs/>
          <w:szCs w:val="24"/>
        </w:rPr>
        <w:t>nts currently enrolled in clinical trials</w:t>
      </w:r>
      <w:r w:rsidRPr="00815ADC">
        <w:rPr>
          <w:rFonts w:asciiTheme="minorHAnsi" w:hAnsiTheme="minorHAnsi" w:cstheme="minorHAnsi"/>
          <w:iCs/>
          <w:szCs w:val="24"/>
        </w:rPr>
        <w:t xml:space="preserve"> </w:t>
      </w:r>
      <w:r w:rsidR="00371F7C" w:rsidRPr="00815ADC">
        <w:rPr>
          <w:rFonts w:asciiTheme="minorHAnsi" w:hAnsiTheme="minorHAnsi" w:cstheme="minorHAnsi"/>
          <w:iCs/>
          <w:szCs w:val="24"/>
        </w:rPr>
        <w:t>would</w:t>
      </w:r>
      <w:r w:rsidRPr="00815ADC">
        <w:rPr>
          <w:rFonts w:asciiTheme="minorHAnsi" w:hAnsiTheme="minorHAnsi" w:cstheme="minorHAnsi"/>
          <w:iCs/>
          <w:szCs w:val="24"/>
        </w:rPr>
        <w:t xml:space="preserve"> need to be grand</w:t>
      </w:r>
      <w:r w:rsidR="006C09A1" w:rsidRPr="00815ADC">
        <w:rPr>
          <w:rFonts w:asciiTheme="minorHAnsi" w:hAnsiTheme="minorHAnsi" w:cstheme="minorHAnsi"/>
          <w:iCs/>
          <w:szCs w:val="24"/>
        </w:rPr>
        <w:t xml:space="preserve">fathered across to PBS supply.  The submission stated that these patients are not likely to meet the clinical criteria specified in the proposed initial treatment restrictions.  Given no further details (e.g. baseline PASI score, BSA or prior therapies) were provided </w:t>
      </w:r>
      <w:r w:rsidR="00DC691C" w:rsidRPr="00815ADC">
        <w:rPr>
          <w:rFonts w:asciiTheme="minorHAnsi" w:hAnsiTheme="minorHAnsi" w:cstheme="minorHAnsi"/>
          <w:iCs/>
          <w:szCs w:val="24"/>
        </w:rPr>
        <w:t xml:space="preserve">on these patients in </w:t>
      </w:r>
      <w:r w:rsidR="006C09A1" w:rsidRPr="00815ADC">
        <w:rPr>
          <w:rFonts w:asciiTheme="minorHAnsi" w:hAnsiTheme="minorHAnsi" w:cstheme="minorHAnsi"/>
          <w:iCs/>
          <w:szCs w:val="24"/>
        </w:rPr>
        <w:t>the submission, it was uncertain why these patients would not fit the PBS eligibility criteria.</w:t>
      </w:r>
    </w:p>
    <w:p w:rsidR="00D329DC" w:rsidRPr="00815ADC" w:rsidRDefault="00D329DC" w:rsidP="00952E39">
      <w:pPr>
        <w:pStyle w:val="ListParagraph"/>
        <w:widowControl/>
        <w:numPr>
          <w:ilvl w:val="1"/>
          <w:numId w:val="3"/>
        </w:numPr>
        <w:spacing w:after="120"/>
        <w:rPr>
          <w:rFonts w:asciiTheme="minorHAnsi" w:hAnsiTheme="minorHAnsi" w:cstheme="minorHAnsi"/>
          <w:szCs w:val="24"/>
        </w:rPr>
      </w:pPr>
      <w:r w:rsidRPr="00815ADC">
        <w:rPr>
          <w:rFonts w:asciiTheme="minorHAnsi" w:hAnsiTheme="minorHAnsi" w:cstheme="minorHAnsi"/>
          <w:szCs w:val="24"/>
        </w:rPr>
        <w:t xml:space="preserve">The Pre-Sub-Committee-Response (PSCR) clarified that what was meant by </w:t>
      </w:r>
      <w:r w:rsidR="00A67917" w:rsidRPr="00815ADC">
        <w:rPr>
          <w:rFonts w:asciiTheme="minorHAnsi" w:hAnsiTheme="minorHAnsi" w:cstheme="minorHAnsi"/>
          <w:szCs w:val="24"/>
        </w:rPr>
        <w:t>‘</w:t>
      </w:r>
      <w:r w:rsidRPr="00815ADC">
        <w:rPr>
          <w:rFonts w:asciiTheme="minorHAnsi" w:hAnsiTheme="minorHAnsi" w:cstheme="minorHAnsi"/>
          <w:szCs w:val="24"/>
        </w:rPr>
        <w:t>patients not fitting the PBS eligibility criteria</w:t>
      </w:r>
      <w:r w:rsidR="00A67917" w:rsidRPr="00815ADC">
        <w:rPr>
          <w:rFonts w:asciiTheme="minorHAnsi" w:hAnsiTheme="minorHAnsi" w:cstheme="minorHAnsi"/>
          <w:szCs w:val="24"/>
        </w:rPr>
        <w:t>’</w:t>
      </w:r>
      <w:r w:rsidRPr="00815ADC">
        <w:rPr>
          <w:rFonts w:asciiTheme="minorHAnsi" w:hAnsiTheme="minorHAnsi" w:cstheme="minorHAnsi"/>
          <w:szCs w:val="24"/>
        </w:rPr>
        <w:t xml:space="preserve"> was </w:t>
      </w:r>
      <w:r w:rsidR="00A67917" w:rsidRPr="00815ADC">
        <w:rPr>
          <w:rFonts w:asciiTheme="minorHAnsi" w:hAnsiTheme="minorHAnsi" w:cstheme="minorHAnsi"/>
          <w:szCs w:val="24"/>
        </w:rPr>
        <w:t>‘</w:t>
      </w:r>
      <w:r w:rsidRPr="00815ADC">
        <w:rPr>
          <w:rFonts w:asciiTheme="minorHAnsi" w:hAnsiTheme="minorHAnsi" w:cstheme="minorHAnsi"/>
          <w:szCs w:val="24"/>
        </w:rPr>
        <w:t>patients not fitting the eligibility criteria for initial treatment</w:t>
      </w:r>
      <w:r w:rsidR="00A67917" w:rsidRPr="00815ADC">
        <w:rPr>
          <w:rFonts w:asciiTheme="minorHAnsi" w:hAnsiTheme="minorHAnsi" w:cstheme="minorHAnsi"/>
          <w:szCs w:val="24"/>
        </w:rPr>
        <w:t>’</w:t>
      </w:r>
      <w:r w:rsidRPr="00815ADC">
        <w:rPr>
          <w:rFonts w:asciiTheme="minorHAnsi" w:hAnsiTheme="minorHAnsi" w:cstheme="minorHAnsi"/>
          <w:szCs w:val="24"/>
        </w:rPr>
        <w:t xml:space="preserve">. The submission requested that up to approximately 400 patients in a TIL Patient Familiarisation Program (PFP) and currently enrolled in clinical trials, be grandfathered into initiation of PBS-subsidised continuing therapy.  The PSCR explained that these patients would have demonstrated response to initial treatment and would not </w:t>
      </w:r>
      <w:r w:rsidR="00DC3A8A">
        <w:rPr>
          <w:rFonts w:asciiTheme="minorHAnsi" w:hAnsiTheme="minorHAnsi" w:cstheme="minorHAnsi"/>
          <w:szCs w:val="24"/>
        </w:rPr>
        <w:t xml:space="preserve">now </w:t>
      </w:r>
      <w:r w:rsidRPr="00815ADC">
        <w:rPr>
          <w:rFonts w:asciiTheme="minorHAnsi" w:hAnsiTheme="minorHAnsi" w:cstheme="minorHAnsi"/>
          <w:szCs w:val="24"/>
        </w:rPr>
        <w:t xml:space="preserve">fit the eligibility criteria for initial treatment. </w:t>
      </w:r>
    </w:p>
    <w:p w:rsidR="00D41EE1" w:rsidRPr="00815ADC" w:rsidRDefault="00D41EE1" w:rsidP="00952E39">
      <w:pPr>
        <w:pStyle w:val="ListParagraph"/>
        <w:widowControl/>
        <w:numPr>
          <w:ilvl w:val="1"/>
          <w:numId w:val="3"/>
        </w:numPr>
        <w:spacing w:after="120"/>
        <w:rPr>
          <w:rFonts w:asciiTheme="minorHAnsi" w:hAnsiTheme="minorHAnsi" w:cstheme="minorHAnsi"/>
          <w:szCs w:val="24"/>
        </w:rPr>
      </w:pPr>
      <w:r w:rsidRPr="00815ADC">
        <w:rPr>
          <w:rFonts w:asciiTheme="minorHAnsi" w:hAnsiTheme="minorHAnsi" w:cstheme="minorHAnsi"/>
          <w:szCs w:val="24"/>
        </w:rPr>
        <w:lastRenderedPageBreak/>
        <w:t>The requested PBS restriction was narrower than the proposed TGA indication with stricter criteria for prior failed therapies and disease severity</w:t>
      </w:r>
      <w:r w:rsidR="00530383" w:rsidRPr="00815ADC">
        <w:rPr>
          <w:rFonts w:asciiTheme="minorHAnsi" w:hAnsiTheme="minorHAnsi" w:cstheme="minorHAnsi"/>
          <w:szCs w:val="24"/>
        </w:rPr>
        <w:t xml:space="preserve">.  </w:t>
      </w:r>
      <w:r w:rsidR="00A83222" w:rsidRPr="00815ADC">
        <w:rPr>
          <w:rFonts w:asciiTheme="minorHAnsi" w:hAnsiTheme="minorHAnsi" w:cstheme="minorHAnsi"/>
          <w:szCs w:val="24"/>
        </w:rPr>
        <w:t>However,</w:t>
      </w:r>
      <w:r w:rsidR="00EF3486" w:rsidRPr="00815ADC">
        <w:rPr>
          <w:rFonts w:asciiTheme="minorHAnsi" w:hAnsiTheme="minorHAnsi" w:cstheme="minorHAnsi"/>
          <w:szCs w:val="24"/>
        </w:rPr>
        <w:t xml:space="preserve"> </w:t>
      </w:r>
      <w:r w:rsidR="002F49A8" w:rsidRPr="00815ADC">
        <w:rPr>
          <w:rFonts w:asciiTheme="minorHAnsi" w:hAnsiTheme="minorHAnsi" w:cstheme="minorHAnsi"/>
          <w:szCs w:val="24"/>
        </w:rPr>
        <w:t xml:space="preserve">the evidence is </w:t>
      </w:r>
      <w:r w:rsidR="00EF3486" w:rsidRPr="00815ADC">
        <w:rPr>
          <w:rFonts w:asciiTheme="minorHAnsi" w:hAnsiTheme="minorHAnsi" w:cstheme="minorHAnsi"/>
          <w:szCs w:val="24"/>
        </w:rPr>
        <w:t xml:space="preserve">comparable to </w:t>
      </w:r>
      <w:r w:rsidR="002F49A8" w:rsidRPr="00815ADC">
        <w:rPr>
          <w:rFonts w:asciiTheme="minorHAnsi" w:hAnsiTheme="minorHAnsi" w:cstheme="minorHAnsi"/>
          <w:szCs w:val="24"/>
        </w:rPr>
        <w:t>that</w:t>
      </w:r>
      <w:r w:rsidR="00EF3486" w:rsidRPr="00815ADC">
        <w:rPr>
          <w:rFonts w:asciiTheme="minorHAnsi" w:hAnsiTheme="minorHAnsi" w:cstheme="minorHAnsi"/>
          <w:szCs w:val="24"/>
        </w:rPr>
        <w:t xml:space="preserve"> for </w:t>
      </w:r>
      <w:r w:rsidRPr="00815ADC">
        <w:rPr>
          <w:rFonts w:asciiTheme="minorHAnsi" w:hAnsiTheme="minorHAnsi" w:cstheme="minorHAnsi"/>
          <w:szCs w:val="24"/>
        </w:rPr>
        <w:t xml:space="preserve">all other biologics </w:t>
      </w:r>
      <w:r w:rsidR="00EF3486" w:rsidRPr="00815ADC">
        <w:rPr>
          <w:rFonts w:asciiTheme="minorHAnsi" w:hAnsiTheme="minorHAnsi" w:cstheme="minorHAnsi"/>
          <w:szCs w:val="24"/>
        </w:rPr>
        <w:t xml:space="preserve">listed </w:t>
      </w:r>
      <w:r w:rsidRPr="00815ADC">
        <w:rPr>
          <w:rFonts w:asciiTheme="minorHAnsi" w:hAnsiTheme="minorHAnsi" w:cstheme="minorHAnsi"/>
          <w:szCs w:val="24"/>
        </w:rPr>
        <w:t xml:space="preserve">on </w:t>
      </w:r>
      <w:r w:rsidR="00EF3486" w:rsidRPr="00815ADC">
        <w:rPr>
          <w:rFonts w:asciiTheme="minorHAnsi" w:hAnsiTheme="minorHAnsi" w:cstheme="minorHAnsi"/>
          <w:szCs w:val="24"/>
        </w:rPr>
        <w:t xml:space="preserve">the </w:t>
      </w:r>
      <w:r w:rsidRPr="00815ADC">
        <w:rPr>
          <w:rFonts w:asciiTheme="minorHAnsi" w:hAnsiTheme="minorHAnsi" w:cstheme="minorHAnsi"/>
          <w:szCs w:val="24"/>
        </w:rPr>
        <w:t>PBS</w:t>
      </w:r>
      <w:r w:rsidR="002F49A8" w:rsidRPr="00815ADC">
        <w:rPr>
          <w:rFonts w:asciiTheme="minorHAnsi" w:hAnsiTheme="minorHAnsi" w:cstheme="minorHAnsi"/>
          <w:szCs w:val="24"/>
        </w:rPr>
        <w:t>.</w:t>
      </w:r>
      <w:r w:rsidR="00DC691C" w:rsidRPr="00815ADC">
        <w:rPr>
          <w:rFonts w:asciiTheme="minorHAnsi" w:hAnsiTheme="minorHAnsi" w:cstheme="minorHAnsi"/>
          <w:szCs w:val="24"/>
        </w:rPr>
        <w:t xml:space="preserve"> </w:t>
      </w:r>
      <w:r w:rsidR="00530383" w:rsidRPr="00815ADC">
        <w:rPr>
          <w:rFonts w:asciiTheme="minorHAnsi" w:hAnsiTheme="minorHAnsi" w:cstheme="minorHAnsi"/>
          <w:szCs w:val="24"/>
        </w:rPr>
        <w:t xml:space="preserve"> </w:t>
      </w:r>
      <w:r w:rsidR="002F49A8" w:rsidRPr="00815ADC">
        <w:rPr>
          <w:rFonts w:asciiTheme="minorHAnsi" w:hAnsiTheme="minorHAnsi" w:cstheme="minorHAnsi"/>
          <w:szCs w:val="24"/>
        </w:rPr>
        <w:t>O</w:t>
      </w:r>
      <w:r w:rsidRPr="00815ADC">
        <w:rPr>
          <w:rFonts w:asciiTheme="minorHAnsi" w:hAnsiTheme="minorHAnsi" w:cstheme="minorHAnsi"/>
          <w:szCs w:val="24"/>
        </w:rPr>
        <w:t>verall</w:t>
      </w:r>
      <w:r w:rsidR="00FD1F49" w:rsidRPr="00815ADC">
        <w:rPr>
          <w:rFonts w:asciiTheme="minorHAnsi" w:hAnsiTheme="minorHAnsi" w:cstheme="minorHAnsi"/>
          <w:szCs w:val="24"/>
        </w:rPr>
        <w:t>,</w:t>
      </w:r>
      <w:r w:rsidRPr="00815ADC">
        <w:rPr>
          <w:rFonts w:asciiTheme="minorHAnsi" w:hAnsiTheme="minorHAnsi" w:cstheme="minorHAnsi"/>
          <w:szCs w:val="24"/>
        </w:rPr>
        <w:t xml:space="preserve"> the requested restriction </w:t>
      </w:r>
      <w:r w:rsidR="00E759EF" w:rsidRPr="00815ADC">
        <w:rPr>
          <w:rFonts w:asciiTheme="minorHAnsi" w:hAnsiTheme="minorHAnsi" w:cstheme="minorHAnsi"/>
          <w:szCs w:val="24"/>
        </w:rPr>
        <w:t xml:space="preserve">was </w:t>
      </w:r>
      <w:r w:rsidRPr="00815ADC">
        <w:rPr>
          <w:rFonts w:asciiTheme="minorHAnsi" w:hAnsiTheme="minorHAnsi" w:cstheme="minorHAnsi"/>
          <w:szCs w:val="24"/>
        </w:rPr>
        <w:t>appropriate</w:t>
      </w:r>
      <w:r w:rsidR="00DC691C" w:rsidRPr="00815ADC">
        <w:rPr>
          <w:rFonts w:asciiTheme="minorHAnsi" w:hAnsiTheme="minorHAnsi" w:cstheme="minorHAnsi"/>
          <w:szCs w:val="24"/>
        </w:rPr>
        <w:t>.</w:t>
      </w:r>
    </w:p>
    <w:p w:rsidR="00D41EE1" w:rsidRDefault="00D41EE1" w:rsidP="00952E39">
      <w:pPr>
        <w:pStyle w:val="ListParagraph"/>
        <w:widowControl/>
        <w:numPr>
          <w:ilvl w:val="1"/>
          <w:numId w:val="3"/>
        </w:numPr>
        <w:spacing w:after="120"/>
        <w:rPr>
          <w:iCs/>
        </w:rPr>
      </w:pPr>
      <w:r w:rsidRPr="00815ADC">
        <w:rPr>
          <w:iCs/>
        </w:rPr>
        <w:t>It was noted that prima</w:t>
      </w:r>
      <w:r w:rsidR="00311510" w:rsidRPr="00815ADC">
        <w:rPr>
          <w:iCs/>
        </w:rPr>
        <w:t>ry endp</w:t>
      </w:r>
      <w:r w:rsidR="00697C90" w:rsidRPr="00815ADC">
        <w:rPr>
          <w:iCs/>
        </w:rPr>
        <w:t>oints in the included TIL trials (</w:t>
      </w:r>
      <w:proofErr w:type="spellStart"/>
      <w:r w:rsidR="00697C90" w:rsidRPr="00815ADC">
        <w:rPr>
          <w:iCs/>
        </w:rPr>
        <w:t>reSURFACE</w:t>
      </w:r>
      <w:proofErr w:type="spellEnd"/>
      <w:r w:rsidR="00697C90" w:rsidRPr="00815ADC">
        <w:rPr>
          <w:iCs/>
        </w:rPr>
        <w:t xml:space="preserve"> 1-2) were measured at 12</w:t>
      </w:r>
      <w:r w:rsidRPr="00815ADC">
        <w:rPr>
          <w:iCs/>
        </w:rPr>
        <w:t xml:space="preserve"> weeks</w:t>
      </w:r>
      <w:r w:rsidR="00697C90" w:rsidRPr="00815ADC">
        <w:rPr>
          <w:iCs/>
        </w:rPr>
        <w:t xml:space="preserve"> and in the TIL phase </w:t>
      </w:r>
      <w:proofErr w:type="spellStart"/>
      <w:r w:rsidR="00697C90" w:rsidRPr="00815ADC">
        <w:rPr>
          <w:iCs/>
        </w:rPr>
        <w:t>IIb</w:t>
      </w:r>
      <w:proofErr w:type="spellEnd"/>
      <w:r w:rsidR="00697C90" w:rsidRPr="00815ADC">
        <w:rPr>
          <w:iCs/>
        </w:rPr>
        <w:t xml:space="preserve"> trial at 16 weeks</w:t>
      </w:r>
      <w:r w:rsidRPr="00815ADC">
        <w:rPr>
          <w:iCs/>
        </w:rPr>
        <w:t xml:space="preserve">, which </w:t>
      </w:r>
      <w:r w:rsidRPr="002F7F99">
        <w:rPr>
          <w:iCs/>
        </w:rPr>
        <w:t xml:space="preserve">is </w:t>
      </w:r>
      <w:r w:rsidR="002E755A" w:rsidRPr="002F7F99">
        <w:rPr>
          <w:rFonts w:asciiTheme="minorHAnsi" w:eastAsiaTheme="minorEastAsia" w:hAnsiTheme="minorHAnsi" w:cstheme="minorBidi"/>
          <w:iCs/>
          <w:snapToGrid/>
          <w:sz w:val="22"/>
          <w:lang w:eastAsia="en-AU"/>
        </w:rPr>
        <w:t>significantly</w:t>
      </w:r>
      <w:r w:rsidRPr="00815ADC">
        <w:rPr>
          <w:iCs/>
        </w:rPr>
        <w:t xml:space="preserve"> shorter than the proposed length of the initial</w:t>
      </w:r>
      <w:r w:rsidR="00DC691C" w:rsidRPr="00815ADC">
        <w:rPr>
          <w:iCs/>
        </w:rPr>
        <w:t xml:space="preserve"> treatment period of 28 weeks.</w:t>
      </w:r>
    </w:p>
    <w:p w:rsidR="00DE5C97" w:rsidRPr="00DE5C97" w:rsidRDefault="00DE5C97" w:rsidP="00952E39">
      <w:pPr>
        <w:pStyle w:val="ListParagraph"/>
        <w:widowControl/>
        <w:spacing w:after="120"/>
        <w:rPr>
          <w:i/>
          <w:iCs/>
        </w:rPr>
      </w:pPr>
      <w:r w:rsidRPr="00DE5C97">
        <w:rPr>
          <w:i/>
          <w:iCs/>
        </w:rPr>
        <w:t>For more detail on PBAC’s view, see section 7 PBAC outcome.</w:t>
      </w:r>
    </w:p>
    <w:p w:rsidR="00B50DB8" w:rsidRPr="00C725E4" w:rsidRDefault="00B50DB8" w:rsidP="00F14289">
      <w:pPr>
        <w:pStyle w:val="PBACHeading1"/>
        <w:spacing w:before="240"/>
      </w:pPr>
      <w:bookmarkStart w:id="2" w:name="_Toc514171461"/>
      <w:r w:rsidRPr="00C725E4">
        <w:t>Background</w:t>
      </w:r>
      <w:bookmarkEnd w:id="2"/>
    </w:p>
    <w:p w:rsidR="00B60939" w:rsidRPr="00F6555F" w:rsidRDefault="00591957" w:rsidP="00952E39">
      <w:pPr>
        <w:pStyle w:val="Heading2"/>
      </w:pPr>
      <w:r w:rsidRPr="00F6555F">
        <w:t>Registration status</w:t>
      </w:r>
    </w:p>
    <w:p w:rsidR="00B60939" w:rsidRPr="00273DA3" w:rsidRDefault="004315BE" w:rsidP="00952E39">
      <w:pPr>
        <w:pStyle w:val="ListParagraph"/>
        <w:keepNext/>
        <w:widowControl/>
        <w:numPr>
          <w:ilvl w:val="1"/>
          <w:numId w:val="3"/>
        </w:numPr>
        <w:spacing w:after="120"/>
      </w:pPr>
      <w:r w:rsidRPr="00815ADC">
        <w:t xml:space="preserve">The submission was made under the TGA/PBAC Parallel Process. </w:t>
      </w:r>
      <w:r w:rsidR="00B24B15">
        <w:t xml:space="preserve">The TGA’s </w:t>
      </w:r>
      <w:r w:rsidR="006A0C14">
        <w:t>clinical evaluator’s report</w:t>
      </w:r>
      <w:r w:rsidR="00FA3148">
        <w:t>s</w:t>
      </w:r>
      <w:r w:rsidR="006A0C14">
        <w:t>,</w:t>
      </w:r>
      <w:r w:rsidR="00FA3148">
        <w:t xml:space="preserve"> and</w:t>
      </w:r>
      <w:r w:rsidR="006A0C14">
        <w:t xml:space="preserve"> TGA </w:t>
      </w:r>
      <w:r w:rsidR="00B24B15">
        <w:t xml:space="preserve">delegate overview was available at the time of the PBAC meeting. </w:t>
      </w:r>
      <w:r w:rsidR="00311510" w:rsidRPr="00273DA3">
        <w:t xml:space="preserve">The proposed indication </w:t>
      </w:r>
      <w:r w:rsidR="000706E3" w:rsidRPr="00273DA3">
        <w:t>for TIL</w:t>
      </w:r>
      <w:r w:rsidR="00A20F70" w:rsidRPr="00273DA3">
        <w:t xml:space="preserve"> was: </w:t>
      </w:r>
      <w:r w:rsidR="000706E3" w:rsidRPr="00CB2900">
        <w:rPr>
          <w:szCs w:val="24"/>
        </w:rPr>
        <w:t>“</w:t>
      </w:r>
      <w:proofErr w:type="spellStart"/>
      <w:r w:rsidR="000706E3" w:rsidRPr="00CB2900">
        <w:rPr>
          <w:rFonts w:asciiTheme="minorHAnsi" w:eastAsiaTheme="minorHAnsi" w:hAnsiTheme="minorHAnsi" w:cstheme="minorHAnsi"/>
          <w:snapToGrid/>
          <w:szCs w:val="24"/>
        </w:rPr>
        <w:t>Tildrakizumab</w:t>
      </w:r>
      <w:proofErr w:type="spellEnd"/>
      <w:r w:rsidR="000706E3" w:rsidRPr="00CB2900">
        <w:rPr>
          <w:rFonts w:asciiTheme="minorHAnsi" w:eastAsiaTheme="minorHAnsi" w:hAnsiTheme="minorHAnsi" w:cstheme="minorHAnsi"/>
          <w:snapToGrid/>
          <w:szCs w:val="24"/>
        </w:rPr>
        <w:t xml:space="preserve"> is indicated for the treatment of adults with moderate-to-severe plaque psoriasis who are candidates for systemic therapy</w:t>
      </w:r>
      <w:r w:rsidR="000706E3" w:rsidRPr="00CB2900">
        <w:rPr>
          <w:szCs w:val="24"/>
        </w:rPr>
        <w:t>”</w:t>
      </w:r>
      <w:r w:rsidR="00AC5316" w:rsidRPr="00273DA3">
        <w:t xml:space="preserve">. </w:t>
      </w:r>
    </w:p>
    <w:p w:rsidR="00CB2900" w:rsidRPr="00CB2900" w:rsidRDefault="00A11046" w:rsidP="00952E39">
      <w:pPr>
        <w:pStyle w:val="ListParagraph"/>
        <w:widowControl/>
        <w:numPr>
          <w:ilvl w:val="1"/>
          <w:numId w:val="3"/>
        </w:numPr>
        <w:spacing w:after="120"/>
      </w:pPr>
      <w:r w:rsidRPr="009B2C4A">
        <w:rPr>
          <w:iCs/>
        </w:rPr>
        <w:t xml:space="preserve">The </w:t>
      </w:r>
      <w:r w:rsidR="00A20F70" w:rsidRPr="009B2C4A">
        <w:rPr>
          <w:iCs/>
        </w:rPr>
        <w:t xml:space="preserve">approved </w:t>
      </w:r>
      <w:r w:rsidRPr="009B2C4A">
        <w:rPr>
          <w:iCs/>
        </w:rPr>
        <w:t>dos</w:t>
      </w:r>
      <w:r w:rsidR="00A20F70" w:rsidRPr="009B2C4A">
        <w:rPr>
          <w:iCs/>
        </w:rPr>
        <w:t xml:space="preserve">age of TIL </w:t>
      </w:r>
      <w:r w:rsidRPr="009B2C4A">
        <w:rPr>
          <w:iCs/>
        </w:rPr>
        <w:t xml:space="preserve">in the US </w:t>
      </w:r>
      <w:r w:rsidR="00A20F70" w:rsidRPr="009B2C4A">
        <w:rPr>
          <w:iCs/>
        </w:rPr>
        <w:t xml:space="preserve">differs to those proposed in Australia.  The approved US dosage </w:t>
      </w:r>
      <w:r w:rsidRPr="009B2C4A">
        <w:rPr>
          <w:iCs/>
        </w:rPr>
        <w:t>is 100 mg at Weeks 0, 4</w:t>
      </w:r>
      <w:r w:rsidR="00A20F70" w:rsidRPr="009B2C4A">
        <w:rPr>
          <w:iCs/>
        </w:rPr>
        <w:t xml:space="preserve"> and every 12 weeks thereafter (approved by the FDA in March 2018) whereas the draft </w:t>
      </w:r>
      <w:r w:rsidRPr="009B2C4A">
        <w:rPr>
          <w:iCs/>
        </w:rPr>
        <w:t>Australian PI propose</w:t>
      </w:r>
      <w:r w:rsidR="00A20F70" w:rsidRPr="009B2C4A">
        <w:rPr>
          <w:iCs/>
        </w:rPr>
        <w:t>d</w:t>
      </w:r>
      <w:r w:rsidRPr="009B2C4A">
        <w:rPr>
          <w:iCs/>
        </w:rPr>
        <w:t xml:space="preserve"> the same dosing frequency regimen </w:t>
      </w:r>
      <w:r w:rsidR="00A20F70" w:rsidRPr="009B2C4A">
        <w:rPr>
          <w:iCs/>
        </w:rPr>
        <w:t xml:space="preserve">but at the higher </w:t>
      </w:r>
      <w:r w:rsidRPr="009B2C4A">
        <w:rPr>
          <w:iCs/>
        </w:rPr>
        <w:t>200 mg dose</w:t>
      </w:r>
      <w:r w:rsidR="00FA3148">
        <w:rPr>
          <w:iCs/>
        </w:rPr>
        <w:t>.</w:t>
      </w:r>
    </w:p>
    <w:p w:rsidR="00E55BB5" w:rsidRDefault="00DE5C97" w:rsidP="00952E39">
      <w:pPr>
        <w:pStyle w:val="ListParagraph"/>
        <w:widowControl/>
        <w:spacing w:after="120"/>
      </w:pPr>
      <w:r w:rsidRPr="009B2C4A">
        <w:rPr>
          <w:i/>
        </w:rPr>
        <w:t>For more detail on PBAC’s view, see section 7 PBAC outcome</w:t>
      </w:r>
      <w:r w:rsidRPr="00DE5C97">
        <w:t>.</w:t>
      </w:r>
    </w:p>
    <w:p w:rsidR="00B50DB8" w:rsidRPr="00C725E4" w:rsidRDefault="00203181" w:rsidP="00F14289">
      <w:pPr>
        <w:pStyle w:val="PBACHeading1"/>
        <w:spacing w:before="240"/>
      </w:pPr>
      <w:bookmarkStart w:id="3" w:name="_Toc514171462"/>
      <w:r w:rsidRPr="00C725E4">
        <w:t xml:space="preserve">Population and </w:t>
      </w:r>
      <w:r w:rsidR="008E0D3C" w:rsidRPr="00C725E4">
        <w:t>d</w:t>
      </w:r>
      <w:r w:rsidRPr="00C725E4">
        <w:t>isease</w:t>
      </w:r>
      <w:bookmarkEnd w:id="3"/>
    </w:p>
    <w:p w:rsidR="002A0647" w:rsidRPr="00273DA3" w:rsidRDefault="002A0647" w:rsidP="00952E39">
      <w:pPr>
        <w:pStyle w:val="ListParagraph"/>
        <w:widowControl/>
        <w:numPr>
          <w:ilvl w:val="1"/>
          <w:numId w:val="3"/>
        </w:numPr>
        <w:spacing w:after="120"/>
      </w:pPr>
      <w:r w:rsidRPr="00273DA3">
        <w:t>Psoriasis manifests as chronic inflammation of the skin, characterised by disfiguring, scaling and erythematous plaques that may be painful and severely pruritic and may cause significant reduction</w:t>
      </w:r>
      <w:r w:rsidR="004C20C4" w:rsidRPr="00273DA3">
        <w:t>s</w:t>
      </w:r>
      <w:r w:rsidRPr="00273DA3">
        <w:t xml:space="preserve"> in quality of life (QoL).  The ta</w:t>
      </w:r>
      <w:r w:rsidR="00311510" w:rsidRPr="00273DA3">
        <w:t xml:space="preserve">rget population proposed for </w:t>
      </w:r>
      <w:r w:rsidR="00A87707" w:rsidRPr="00273DA3">
        <w:t>TIL</w:t>
      </w:r>
      <w:r w:rsidRPr="00273DA3">
        <w:t xml:space="preserve"> is the same as that for other biologics on the PBS for severe CPP.  The initial treatment criteria for PBS-subsidised biologic therapy for whole body psoriasis requires patients to have a PASI &gt; 15 and have failed to achieve an adequate response, are intolerant or contraindicated to at least three of the four systemic therapies (methotrexate, cyclosporin and acitretin) and/or phototherapy (either PUVA or UVB).</w:t>
      </w:r>
    </w:p>
    <w:p w:rsidR="004C20C4" w:rsidRPr="00273DA3" w:rsidRDefault="00A37233" w:rsidP="00952E39">
      <w:pPr>
        <w:pStyle w:val="ListParagraph"/>
        <w:widowControl/>
        <w:numPr>
          <w:ilvl w:val="1"/>
          <w:numId w:val="3"/>
        </w:numPr>
        <w:spacing w:after="120"/>
        <w:rPr>
          <w:iCs/>
        </w:rPr>
      </w:pPr>
      <w:r w:rsidRPr="00273DA3">
        <w:t>TIL</w:t>
      </w:r>
      <w:r w:rsidR="00C61D53" w:rsidRPr="00273DA3">
        <w:t xml:space="preserve"> is proposed as an alternative </w:t>
      </w:r>
      <w:proofErr w:type="spellStart"/>
      <w:r w:rsidR="00C61D53" w:rsidRPr="00273DA3">
        <w:t>bDMARD</w:t>
      </w:r>
      <w:proofErr w:type="spellEnd"/>
      <w:r w:rsidR="00C61D53" w:rsidRPr="00273DA3">
        <w:t xml:space="preserve"> in the treatment of </w:t>
      </w:r>
      <w:r w:rsidR="003031CB" w:rsidRPr="00273DA3">
        <w:t xml:space="preserve">severe </w:t>
      </w:r>
      <w:r w:rsidR="00C61D53" w:rsidRPr="00273DA3">
        <w:t>chronic plaque psoriasis.</w:t>
      </w:r>
      <w:r w:rsidR="00067072" w:rsidRPr="00273DA3">
        <w:t xml:space="preserve">  </w:t>
      </w:r>
      <w:r w:rsidRPr="00273DA3">
        <w:t>TIL</w:t>
      </w:r>
      <w:r w:rsidR="0077076F" w:rsidRPr="00273DA3">
        <w:t xml:space="preserve"> will become one of several bDMARDs listed on PBS for patients with severe CPP who have failed to achieve adequate response to non-biologic therapies.  The addition of </w:t>
      </w:r>
      <w:r w:rsidRPr="00273DA3">
        <w:t>TIL</w:t>
      </w:r>
      <w:r w:rsidR="006458D2" w:rsidRPr="00273DA3">
        <w:t xml:space="preserve"> </w:t>
      </w:r>
      <w:r w:rsidR="0077076F" w:rsidRPr="00273DA3">
        <w:t>to the clinical management algorithm will not alter current practice, but will allow for an additional option with a different mechanism of action.  T</w:t>
      </w:r>
      <w:r w:rsidR="00311510" w:rsidRPr="00273DA3">
        <w:t>he subm</w:t>
      </w:r>
      <w:r w:rsidRPr="00273DA3">
        <w:t>ission suggested that TIL</w:t>
      </w:r>
      <w:r w:rsidR="0077076F" w:rsidRPr="00273DA3">
        <w:t xml:space="preserve"> </w:t>
      </w:r>
      <w:r w:rsidR="003B2AC0" w:rsidRPr="00273DA3">
        <w:t>would</w:t>
      </w:r>
      <w:r w:rsidR="0077076F" w:rsidRPr="00273DA3">
        <w:t xml:space="preserve"> m</w:t>
      </w:r>
      <w:r w:rsidR="00CA11B2" w:rsidRPr="00273DA3">
        <w:t>ostly replace therapy with UST followed by ADA</w:t>
      </w:r>
      <w:r w:rsidRPr="00273DA3">
        <w:t xml:space="preserve"> (in maintenance)</w:t>
      </w:r>
      <w:r w:rsidR="005E1988" w:rsidRPr="00273DA3">
        <w:t xml:space="preserve">.  </w:t>
      </w:r>
      <w:r w:rsidR="005E1988" w:rsidRPr="00273DA3">
        <w:rPr>
          <w:iCs/>
        </w:rPr>
        <w:t>However,</w:t>
      </w:r>
      <w:r w:rsidR="0077076F" w:rsidRPr="00273DA3">
        <w:rPr>
          <w:iCs/>
        </w:rPr>
        <w:t xml:space="preserve"> given the therapeutic relativities of listed biologics </w:t>
      </w:r>
      <w:r w:rsidR="0077076F" w:rsidRPr="00273DA3">
        <w:rPr>
          <w:iCs/>
        </w:rPr>
        <w:lastRenderedPageBreak/>
        <w:t>and that clinicians are free to choose among them</w:t>
      </w:r>
      <w:r w:rsidR="0088249A" w:rsidRPr="00273DA3">
        <w:rPr>
          <w:iCs/>
        </w:rPr>
        <w:t>, TIL</w:t>
      </w:r>
      <w:r w:rsidR="005E1988" w:rsidRPr="00273DA3">
        <w:rPr>
          <w:iCs/>
        </w:rPr>
        <w:t xml:space="preserve"> could replace any of the listed bDMARDs.</w:t>
      </w:r>
    </w:p>
    <w:p w:rsidR="004315BE" w:rsidRDefault="004315BE" w:rsidP="00952E39">
      <w:pPr>
        <w:pStyle w:val="ListParagraph"/>
        <w:numPr>
          <w:ilvl w:val="1"/>
          <w:numId w:val="3"/>
        </w:numPr>
        <w:spacing w:after="120"/>
        <w:rPr>
          <w:iCs/>
        </w:rPr>
      </w:pPr>
      <w:r w:rsidRPr="00273DA3">
        <w:rPr>
          <w:iCs/>
        </w:rPr>
        <w:t xml:space="preserve">The ESC noted that currently </w:t>
      </w:r>
      <w:r w:rsidR="00A67917" w:rsidRPr="00273DA3">
        <w:rPr>
          <w:iCs/>
        </w:rPr>
        <w:t>six</w:t>
      </w:r>
      <w:r w:rsidRPr="00273DA3">
        <w:rPr>
          <w:iCs/>
        </w:rPr>
        <w:t xml:space="preserve"> bDMARDs are PBS listed for this indication. The ESC acknowledged that the direct comparison demonstrated superior efficacy of TIL</w:t>
      </w:r>
      <w:r w:rsidRPr="004315BE">
        <w:rPr>
          <w:iCs/>
        </w:rPr>
        <w:t xml:space="preserve"> </w:t>
      </w:r>
      <w:r w:rsidRPr="00273DA3">
        <w:rPr>
          <w:iCs/>
        </w:rPr>
        <w:t xml:space="preserve">versus ETN. However, the ESC was not satisfied that TIL offers any significant clinical benefits over the currently listed bDMARDs for this indication in terms of efficacy and safety profile nor any administration advantages. The ESC considered that there did not appear to be a clinical need for the listing of a </w:t>
      </w:r>
      <w:r w:rsidR="00A67917" w:rsidRPr="00273DA3">
        <w:rPr>
          <w:iCs/>
        </w:rPr>
        <w:t>seventh</w:t>
      </w:r>
      <w:r w:rsidRPr="00273DA3">
        <w:rPr>
          <w:iCs/>
        </w:rPr>
        <w:t xml:space="preserve"> biological agent for CPP.</w:t>
      </w:r>
      <w:r w:rsidR="002C0175">
        <w:rPr>
          <w:iCs/>
        </w:rPr>
        <w:t xml:space="preserve">  The Pre-PBAC response argued that there is a clinical need for TIL, concluding ‘</w:t>
      </w:r>
      <w:r w:rsidR="002C0175">
        <w:t>as there is no cure for chronic plaque psoriasis, patients require continuous treatment over their lifetime and many patients will relapse over time despite receiving treatment. Consequently, the availability of several therapies which have different methods of action is critically important to allow physicians to provide patients with a treatment with a different mode of action when relapse occurs.’</w:t>
      </w:r>
    </w:p>
    <w:p w:rsidR="00DE5C97" w:rsidRPr="00DE5C97" w:rsidRDefault="00DE5C97" w:rsidP="00F14289">
      <w:pPr>
        <w:pStyle w:val="ListParagraph"/>
        <w:spacing w:before="240" w:after="120"/>
        <w:rPr>
          <w:i/>
          <w:iCs/>
        </w:rPr>
      </w:pPr>
      <w:r w:rsidRPr="00DE5C97">
        <w:rPr>
          <w:i/>
          <w:iCs/>
        </w:rPr>
        <w:t>For more detail on PBAC’s view, see section 7 PBAC outcome.</w:t>
      </w:r>
    </w:p>
    <w:p w:rsidR="00B50DB8" w:rsidRPr="00273DA3" w:rsidRDefault="00B50DB8" w:rsidP="00F14289">
      <w:pPr>
        <w:pStyle w:val="PBACHeading1"/>
        <w:spacing w:before="240"/>
      </w:pPr>
      <w:bookmarkStart w:id="4" w:name="_Toc514171463"/>
      <w:r w:rsidRPr="00273DA3">
        <w:t>Comparator</w:t>
      </w:r>
      <w:bookmarkEnd w:id="4"/>
    </w:p>
    <w:p w:rsidR="005E1988" w:rsidRPr="00273DA3" w:rsidRDefault="00311510" w:rsidP="00952E39">
      <w:pPr>
        <w:pStyle w:val="ListParagraph"/>
        <w:widowControl/>
        <w:numPr>
          <w:ilvl w:val="1"/>
          <w:numId w:val="3"/>
        </w:numPr>
        <w:spacing w:after="120"/>
      </w:pPr>
      <w:r w:rsidRPr="00273DA3">
        <w:rPr>
          <w:rFonts w:cs="Calibri"/>
          <w:snapToGrid/>
          <w:szCs w:val="24"/>
          <w:lang w:eastAsia="en-AU"/>
        </w:rPr>
        <w:t xml:space="preserve">The submission nominated </w:t>
      </w:r>
      <w:r w:rsidR="00A20F70" w:rsidRPr="00273DA3">
        <w:rPr>
          <w:rFonts w:cs="Calibri"/>
          <w:snapToGrid/>
          <w:szCs w:val="24"/>
          <w:lang w:eastAsia="en-AU"/>
        </w:rPr>
        <w:t xml:space="preserve">UST </w:t>
      </w:r>
      <w:r w:rsidR="00227B6F" w:rsidRPr="00273DA3">
        <w:rPr>
          <w:rFonts w:cs="Calibri"/>
          <w:snapToGrid/>
          <w:szCs w:val="24"/>
          <w:lang w:eastAsia="en-AU"/>
        </w:rPr>
        <w:t>as the main comparator</w:t>
      </w:r>
      <w:r w:rsidR="005E1988" w:rsidRPr="00273DA3">
        <w:rPr>
          <w:rFonts w:cs="Calibri"/>
          <w:snapToGrid/>
          <w:szCs w:val="24"/>
          <w:lang w:eastAsia="en-AU"/>
        </w:rPr>
        <w:t xml:space="preserve"> (and </w:t>
      </w:r>
      <w:r w:rsidR="004C20C4" w:rsidRPr="00273DA3">
        <w:rPr>
          <w:rFonts w:cs="Calibri"/>
          <w:snapToGrid/>
          <w:szCs w:val="24"/>
          <w:lang w:eastAsia="en-AU"/>
        </w:rPr>
        <w:t xml:space="preserve">the </w:t>
      </w:r>
      <w:r w:rsidR="005E1988" w:rsidRPr="00273DA3">
        <w:rPr>
          <w:rFonts w:cs="Calibri"/>
          <w:snapToGrid/>
          <w:szCs w:val="24"/>
          <w:lang w:eastAsia="en-AU"/>
        </w:rPr>
        <w:t>only comparator considered in the cost</w:t>
      </w:r>
      <w:r w:rsidR="003031CB" w:rsidRPr="00273DA3">
        <w:rPr>
          <w:rFonts w:cs="Calibri"/>
          <w:snapToGrid/>
          <w:szCs w:val="24"/>
          <w:lang w:eastAsia="en-AU"/>
        </w:rPr>
        <w:t>-</w:t>
      </w:r>
      <w:r w:rsidR="005E1988" w:rsidRPr="00273DA3">
        <w:rPr>
          <w:rFonts w:cs="Calibri"/>
          <w:snapToGrid/>
          <w:szCs w:val="24"/>
          <w:lang w:eastAsia="en-AU"/>
        </w:rPr>
        <w:t>minimisation analysis)</w:t>
      </w:r>
      <w:r w:rsidR="00227B6F" w:rsidRPr="00273DA3">
        <w:rPr>
          <w:rFonts w:cs="Calibri"/>
          <w:snapToGrid/>
          <w:szCs w:val="24"/>
          <w:lang w:eastAsia="en-AU"/>
        </w:rPr>
        <w:t>.  This was based on</w:t>
      </w:r>
      <w:r w:rsidRPr="00273DA3">
        <w:t xml:space="preserve"> </w:t>
      </w:r>
      <w:r w:rsidR="00A20F70" w:rsidRPr="00273DA3">
        <w:t xml:space="preserve">UST </w:t>
      </w:r>
      <w:r w:rsidR="00227B6F" w:rsidRPr="00273DA3">
        <w:t>being the most commonly used PBS-subsidised biologic for severe CP</w:t>
      </w:r>
      <w:r w:rsidRPr="00273DA3">
        <w:t xml:space="preserve">P </w:t>
      </w:r>
      <w:r w:rsidR="00550D57" w:rsidRPr="00273DA3">
        <w:t>and TIL</w:t>
      </w:r>
      <w:r w:rsidR="00227B6F" w:rsidRPr="00273DA3">
        <w:t xml:space="preserve"> being an exclusive IL-23 inhibitor, having a si</w:t>
      </w:r>
      <w:r w:rsidRPr="00273DA3">
        <w:t xml:space="preserve">milar mechanism of action to </w:t>
      </w:r>
      <w:r w:rsidR="00A20F70" w:rsidRPr="00273DA3">
        <w:t xml:space="preserve">UST </w:t>
      </w:r>
      <w:r w:rsidR="00227B6F" w:rsidRPr="00273DA3">
        <w:t>an IL-12/23 inhibitor.  The</w:t>
      </w:r>
      <w:r w:rsidR="00550D57" w:rsidRPr="00273DA3">
        <w:t xml:space="preserve"> submission </w:t>
      </w:r>
      <w:r w:rsidR="00A20F70" w:rsidRPr="00273DA3">
        <w:t xml:space="preserve">also </w:t>
      </w:r>
      <w:r w:rsidR="00550D57" w:rsidRPr="00273DA3">
        <w:t>nominated ETN</w:t>
      </w:r>
      <w:r w:rsidR="00227B6F" w:rsidRPr="00273DA3">
        <w:t xml:space="preserve"> </w:t>
      </w:r>
      <w:r w:rsidR="00A20F70" w:rsidRPr="00273DA3">
        <w:t xml:space="preserve">and ADA </w:t>
      </w:r>
      <w:r w:rsidR="00227B6F" w:rsidRPr="00273DA3">
        <w:t xml:space="preserve">as supplementary </w:t>
      </w:r>
      <w:r w:rsidR="005E1988" w:rsidRPr="00273DA3">
        <w:t xml:space="preserve">efficacy </w:t>
      </w:r>
      <w:r w:rsidR="00550D57" w:rsidRPr="00273DA3">
        <w:t>comparator</w:t>
      </w:r>
      <w:r w:rsidR="00A20F70" w:rsidRPr="00273DA3">
        <w:t>s</w:t>
      </w:r>
      <w:r w:rsidR="00550D57" w:rsidRPr="00273DA3">
        <w:t>, based on ETN</w:t>
      </w:r>
      <w:r w:rsidR="00227B6F" w:rsidRPr="00273DA3">
        <w:t xml:space="preserve"> being the</w:t>
      </w:r>
      <w:r w:rsidR="005E1988" w:rsidRPr="00273DA3">
        <w:t xml:space="preserve"> active</w:t>
      </w:r>
      <w:r w:rsidR="00227B6F" w:rsidRPr="00273DA3">
        <w:t xml:space="preserve"> comparator </w:t>
      </w:r>
      <w:r w:rsidR="005E1988" w:rsidRPr="00273DA3">
        <w:t>(</w:t>
      </w:r>
      <w:r w:rsidR="00227B6F" w:rsidRPr="00273DA3">
        <w:t>up to</w:t>
      </w:r>
      <w:r w:rsidR="00550D57" w:rsidRPr="00273DA3">
        <w:t xml:space="preserve"> 28</w:t>
      </w:r>
      <w:r w:rsidR="00227B6F" w:rsidRPr="00273DA3">
        <w:t xml:space="preserve"> weeks</w:t>
      </w:r>
      <w:r w:rsidR="005E1988" w:rsidRPr="00273DA3">
        <w:t>)</w:t>
      </w:r>
      <w:r w:rsidR="00227B6F" w:rsidRPr="00273DA3">
        <w:t xml:space="preserve"> in </w:t>
      </w:r>
      <w:r w:rsidR="00550D57" w:rsidRPr="00273DA3">
        <w:t>one of the</w:t>
      </w:r>
      <w:r w:rsidR="00227B6F" w:rsidRPr="00273DA3">
        <w:t xml:space="preserve"> </w:t>
      </w:r>
      <w:r w:rsidR="005E1988" w:rsidRPr="00273DA3">
        <w:t xml:space="preserve">main trials supporting the submission (the </w:t>
      </w:r>
      <w:proofErr w:type="spellStart"/>
      <w:r w:rsidR="00550D57" w:rsidRPr="00273DA3">
        <w:t>reSURFACE</w:t>
      </w:r>
      <w:proofErr w:type="spellEnd"/>
      <w:r w:rsidR="00550D57" w:rsidRPr="00273DA3">
        <w:t xml:space="preserve"> </w:t>
      </w:r>
      <w:r w:rsidR="005E1988" w:rsidRPr="00273DA3">
        <w:t>2</w:t>
      </w:r>
      <w:r w:rsidR="00227B6F" w:rsidRPr="00273DA3">
        <w:t xml:space="preserve"> trial</w:t>
      </w:r>
      <w:r w:rsidR="005E1988" w:rsidRPr="00273DA3">
        <w:t>)</w:t>
      </w:r>
      <w:r w:rsidR="00A20F70" w:rsidRPr="00273DA3">
        <w:t xml:space="preserve"> and citing ADA as the </w:t>
      </w:r>
      <w:r w:rsidR="00550D57" w:rsidRPr="00273DA3">
        <w:t xml:space="preserve">most commonly used PBS-subsidised biologic for severe CPP in maintenance </w:t>
      </w:r>
      <w:r w:rsidR="00A26E26" w:rsidRPr="00273DA3">
        <w:t>therapy (although current utilisation illustrate its usage is behind UST).</w:t>
      </w:r>
    </w:p>
    <w:p w:rsidR="00A26E26" w:rsidRPr="00273DA3" w:rsidRDefault="00A26E26" w:rsidP="00952E39">
      <w:pPr>
        <w:pStyle w:val="ListParagraph"/>
        <w:widowControl/>
        <w:numPr>
          <w:ilvl w:val="1"/>
          <w:numId w:val="3"/>
        </w:numPr>
        <w:spacing w:after="120"/>
        <w:rPr>
          <w:rFonts w:cs="Calibri"/>
          <w:iCs/>
          <w:snapToGrid/>
          <w:szCs w:val="24"/>
          <w:lang w:eastAsia="en-AU"/>
        </w:rPr>
      </w:pPr>
      <w:r w:rsidRPr="00273DA3">
        <w:rPr>
          <w:rFonts w:cs="Calibri"/>
          <w:iCs/>
          <w:snapToGrid/>
          <w:szCs w:val="24"/>
          <w:lang w:eastAsia="en-AU"/>
        </w:rPr>
        <w:t xml:space="preserve">Given all PBS listed biologics for CPP share a similar </w:t>
      </w:r>
      <w:proofErr w:type="gramStart"/>
      <w:r w:rsidRPr="00273DA3">
        <w:rPr>
          <w:rFonts w:cs="Calibri"/>
          <w:iCs/>
          <w:snapToGrid/>
          <w:szCs w:val="24"/>
          <w:lang w:eastAsia="en-AU"/>
        </w:rPr>
        <w:t>listing,</w:t>
      </w:r>
      <w:proofErr w:type="gramEnd"/>
      <w:r w:rsidRPr="00273DA3">
        <w:rPr>
          <w:rFonts w:cs="Calibri"/>
          <w:iCs/>
          <w:snapToGrid/>
          <w:szCs w:val="24"/>
          <w:lang w:eastAsia="en-AU"/>
        </w:rPr>
        <w:t xml:space="preserve"> other listed biologics will be replaced in practice.</w:t>
      </w:r>
    </w:p>
    <w:p w:rsidR="00A26E26" w:rsidRPr="00273DA3" w:rsidRDefault="00A26E26" w:rsidP="00952E39">
      <w:pPr>
        <w:pStyle w:val="ListParagraph"/>
        <w:widowControl/>
        <w:numPr>
          <w:ilvl w:val="1"/>
          <w:numId w:val="3"/>
        </w:numPr>
        <w:spacing w:after="120"/>
        <w:rPr>
          <w:rFonts w:cs="Calibri"/>
          <w:iCs/>
          <w:snapToGrid/>
          <w:szCs w:val="24"/>
          <w:lang w:eastAsia="en-AU"/>
        </w:rPr>
      </w:pPr>
      <w:r w:rsidRPr="00273DA3">
        <w:rPr>
          <w:rFonts w:cs="Calibri"/>
          <w:iCs/>
          <w:snapToGrid/>
          <w:szCs w:val="24"/>
          <w:lang w:eastAsia="en-AU"/>
        </w:rPr>
        <w:t xml:space="preserve">The </w:t>
      </w:r>
      <w:r w:rsidRPr="004878B5">
        <w:rPr>
          <w:rFonts w:cs="Calibri"/>
          <w:i/>
          <w:iCs/>
          <w:snapToGrid/>
          <w:szCs w:val="24"/>
          <w:lang w:eastAsia="en-AU"/>
        </w:rPr>
        <w:t>National Health Act 1953</w:t>
      </w:r>
      <w:r w:rsidRPr="00273DA3">
        <w:rPr>
          <w:rFonts w:cs="Calibri"/>
          <w:iCs/>
          <w:snapToGrid/>
          <w:szCs w:val="24"/>
          <w:lang w:eastAsia="en-AU"/>
        </w:rPr>
        <w:t>, Section 101(3B) stipulates if the requested treatment is substantially more costly than alternative therapies, then the PBAC could only recommend listing at a higher price, if it is satisfied that the treatment provides, for some patients, a significant improvement in efficacy or reduction of toxicity over the existing therapies.  Insufficient data was presented in the submission to permit this assessment to be conducted for TIL:</w:t>
      </w:r>
    </w:p>
    <w:p w:rsidR="00A26E26" w:rsidRPr="00273DA3" w:rsidRDefault="00A26E26" w:rsidP="00952E39">
      <w:pPr>
        <w:pStyle w:val="ListParagraph"/>
        <w:widowControl/>
        <w:numPr>
          <w:ilvl w:val="0"/>
          <w:numId w:val="24"/>
        </w:numPr>
        <w:spacing w:after="120"/>
        <w:ind w:left="1134" w:hanging="425"/>
        <w:rPr>
          <w:rFonts w:cs="Calibri"/>
          <w:iCs/>
          <w:snapToGrid/>
          <w:szCs w:val="24"/>
          <w:lang w:eastAsia="en-AU"/>
        </w:rPr>
      </w:pPr>
      <w:r w:rsidRPr="00273DA3">
        <w:rPr>
          <w:rFonts w:cs="Calibri"/>
          <w:iCs/>
          <w:snapToGrid/>
          <w:szCs w:val="24"/>
          <w:lang w:eastAsia="en-AU"/>
        </w:rPr>
        <w:t xml:space="preserve">As acknowledged by the submission, similar to UST, IFX was also listed on a cost effectiveness basis versus ETN, and given recent introduction of biosimilar brands on the </w:t>
      </w:r>
      <w:proofErr w:type="gramStart"/>
      <w:r w:rsidRPr="00273DA3">
        <w:rPr>
          <w:rFonts w:cs="Calibri"/>
          <w:iCs/>
          <w:snapToGrid/>
          <w:szCs w:val="24"/>
          <w:lang w:eastAsia="en-AU"/>
        </w:rPr>
        <w:t>PBS,</w:t>
      </w:r>
      <w:proofErr w:type="gramEnd"/>
      <w:r w:rsidRPr="00273DA3">
        <w:rPr>
          <w:rFonts w:cs="Calibri"/>
          <w:iCs/>
          <w:snapToGrid/>
          <w:szCs w:val="24"/>
          <w:lang w:eastAsia="en-AU"/>
        </w:rPr>
        <w:t xml:space="preserve"> IFX is also now less costly than other listed bDMARDs.  To attain a higher price than IFX, TIL must therefore provide evidence that it is better than IFX.  Evidence versus IFX was not presented in the submission.</w:t>
      </w:r>
    </w:p>
    <w:p w:rsidR="00A26E26" w:rsidRDefault="00A26E26" w:rsidP="00952E39">
      <w:pPr>
        <w:pStyle w:val="ListParagraph"/>
        <w:widowControl/>
        <w:numPr>
          <w:ilvl w:val="0"/>
          <w:numId w:val="24"/>
        </w:numPr>
        <w:spacing w:after="120"/>
        <w:ind w:left="1134" w:hanging="425"/>
        <w:rPr>
          <w:rFonts w:cs="Calibri"/>
          <w:iCs/>
          <w:snapToGrid/>
          <w:szCs w:val="24"/>
          <w:lang w:eastAsia="en-AU"/>
        </w:rPr>
      </w:pPr>
      <w:r w:rsidRPr="00273DA3">
        <w:rPr>
          <w:rFonts w:cs="Calibri"/>
          <w:iCs/>
          <w:snapToGrid/>
          <w:szCs w:val="24"/>
          <w:lang w:eastAsia="en-AU"/>
        </w:rPr>
        <w:lastRenderedPageBreak/>
        <w:t xml:space="preserve">ETN, ADA, SEC and IXE were cost-minimised against each other or the least expensive biological.  Data in the </w:t>
      </w:r>
      <w:r w:rsidR="00FB585C" w:rsidRPr="00273DA3">
        <w:rPr>
          <w:rFonts w:cs="Calibri"/>
          <w:iCs/>
          <w:snapToGrid/>
          <w:szCs w:val="24"/>
          <w:lang w:eastAsia="en-AU"/>
        </w:rPr>
        <w:t xml:space="preserve">draft </w:t>
      </w:r>
      <w:r w:rsidRPr="00273DA3">
        <w:rPr>
          <w:rFonts w:cs="Calibri"/>
          <w:iCs/>
          <w:snapToGrid/>
          <w:szCs w:val="24"/>
          <w:lang w:eastAsia="en-AU"/>
        </w:rPr>
        <w:t xml:space="preserve">report to the PBAC for the Post-market review (PMR) of biologics in the treatment of severe chronic plaque psoriasis suggested IXE </w:t>
      </w:r>
      <w:r w:rsidR="00DC3A8A">
        <w:rPr>
          <w:rFonts w:cs="Calibri"/>
          <w:iCs/>
          <w:snapToGrid/>
          <w:szCs w:val="24"/>
          <w:lang w:eastAsia="en-AU"/>
        </w:rPr>
        <w:t xml:space="preserve">may </w:t>
      </w:r>
      <w:r w:rsidRPr="00273DA3">
        <w:rPr>
          <w:rFonts w:cs="Calibri"/>
          <w:iCs/>
          <w:snapToGrid/>
          <w:szCs w:val="24"/>
          <w:lang w:eastAsia="en-AU"/>
        </w:rPr>
        <w:t>be the most effective of the PBS listed biologics</w:t>
      </w:r>
      <w:r w:rsidR="006443F5" w:rsidRPr="00D83436">
        <w:rPr>
          <w:rStyle w:val="FootnoteReference"/>
          <w:iCs/>
        </w:rPr>
        <w:footnoteReference w:id="2"/>
      </w:r>
      <w:r w:rsidRPr="00273DA3">
        <w:rPr>
          <w:rFonts w:cs="Calibri"/>
          <w:iCs/>
          <w:snapToGrid/>
          <w:szCs w:val="24"/>
          <w:lang w:eastAsia="en-AU"/>
        </w:rPr>
        <w:t xml:space="preserve">.  This was echoed in a recent PBAC decision for </w:t>
      </w:r>
      <w:proofErr w:type="spellStart"/>
      <w:r w:rsidRPr="00273DA3">
        <w:rPr>
          <w:rFonts w:cs="Calibri"/>
          <w:iCs/>
          <w:snapToGrid/>
          <w:szCs w:val="24"/>
          <w:lang w:eastAsia="en-AU"/>
        </w:rPr>
        <w:t>guselkumab</w:t>
      </w:r>
      <w:proofErr w:type="spellEnd"/>
      <w:r w:rsidRPr="00273DA3">
        <w:rPr>
          <w:rFonts w:cs="Calibri"/>
          <w:iCs/>
          <w:snapToGrid/>
          <w:szCs w:val="24"/>
          <w:lang w:eastAsia="en-AU"/>
        </w:rPr>
        <w:t xml:space="preserve"> for CPP in March 2018, the PBAC rejected the application stating that evidence versus IFX and IXE would also be required</w:t>
      </w:r>
      <w:r w:rsidR="002D48B9">
        <w:rPr>
          <w:rFonts w:cs="Calibri"/>
          <w:iCs/>
          <w:snapToGrid/>
          <w:szCs w:val="24"/>
          <w:lang w:eastAsia="en-AU"/>
        </w:rPr>
        <w:t>.</w:t>
      </w:r>
      <w:r w:rsidRPr="00273DA3">
        <w:rPr>
          <w:rFonts w:cs="Calibri"/>
          <w:iCs/>
          <w:snapToGrid/>
          <w:szCs w:val="24"/>
          <w:lang w:eastAsia="en-AU"/>
        </w:rPr>
        <w:t xml:space="preserve"> No comparative evidence versus IXE was presented in this submission.</w:t>
      </w:r>
    </w:p>
    <w:p w:rsidR="00C62E74" w:rsidRPr="002D48B9" w:rsidRDefault="00C62E74" w:rsidP="00952E39">
      <w:pPr>
        <w:pStyle w:val="ListParagraph"/>
        <w:widowControl/>
        <w:numPr>
          <w:ilvl w:val="1"/>
          <w:numId w:val="3"/>
        </w:numPr>
        <w:spacing w:after="120"/>
        <w:rPr>
          <w:iCs/>
        </w:rPr>
      </w:pPr>
      <w:r>
        <w:t>A</w:t>
      </w:r>
      <w:r w:rsidRPr="00815ADC">
        <w:t xml:space="preserve"> drug with similar mechanism of action to TIL, </w:t>
      </w:r>
      <w:proofErr w:type="spellStart"/>
      <w:r w:rsidRPr="00815ADC">
        <w:t>g</w:t>
      </w:r>
      <w:r w:rsidRPr="00164786">
        <w:rPr>
          <w:iCs/>
        </w:rPr>
        <w:t>uselkumab</w:t>
      </w:r>
      <w:proofErr w:type="spellEnd"/>
      <w:r w:rsidRPr="00164786">
        <w:rPr>
          <w:iCs/>
        </w:rPr>
        <w:t xml:space="preserve"> (GUS) was rejected at the March 2018 PBAC meeting for CPP.  In making its decision, the PBAC considered that UST was an inappropriate choice as a main comparator.  The PBAC considered that any of the biologic agents on the PBS for CPP may be replaced by GUS and hence be a relevant comparator.  Comparative evidence versus IFX and IXE was also requested by the PBAC.  A minor resubmission to request an Authority </w:t>
      </w:r>
      <w:proofErr w:type="gramStart"/>
      <w:r w:rsidRPr="00164786">
        <w:rPr>
          <w:iCs/>
        </w:rPr>
        <w:t>Required</w:t>
      </w:r>
      <w:proofErr w:type="gramEnd"/>
      <w:r w:rsidRPr="00164786">
        <w:rPr>
          <w:iCs/>
        </w:rPr>
        <w:t xml:space="preserve"> listing of GUS for the treatment of severe chronic plaque psoriasis has been lodged for the July 2018 PBAC meeting.</w:t>
      </w:r>
    </w:p>
    <w:p w:rsidR="00DE5C97" w:rsidRPr="00952E39" w:rsidRDefault="00DE5C97" w:rsidP="00952E39">
      <w:pPr>
        <w:widowControl/>
        <w:spacing w:after="120"/>
        <w:ind w:left="510" w:firstLine="170"/>
        <w:rPr>
          <w:rFonts w:cs="Calibri"/>
          <w:i/>
          <w:iCs/>
          <w:snapToGrid/>
          <w:szCs w:val="24"/>
          <w:lang w:eastAsia="en-AU"/>
        </w:rPr>
      </w:pPr>
      <w:r w:rsidRPr="00952E39">
        <w:rPr>
          <w:rFonts w:cs="Calibri"/>
          <w:i/>
          <w:iCs/>
          <w:snapToGrid/>
          <w:szCs w:val="24"/>
          <w:lang w:eastAsia="en-AU"/>
        </w:rPr>
        <w:t>For more detail on PBAC’s view, see section 7 PBAC outcome.</w:t>
      </w:r>
    </w:p>
    <w:p w:rsidR="00EF0480" w:rsidRPr="00EF0480" w:rsidRDefault="00BD6CF3" w:rsidP="00F14289">
      <w:pPr>
        <w:pStyle w:val="PBACHeading1"/>
        <w:spacing w:before="240"/>
      </w:pPr>
      <w:bookmarkStart w:id="5" w:name="_Toc514171464"/>
      <w:r w:rsidRPr="00273DA3">
        <w:t>C</w:t>
      </w:r>
      <w:r w:rsidR="00B50DB8" w:rsidRPr="00273DA3">
        <w:t>onsideration of the evidence</w:t>
      </w:r>
      <w:bookmarkEnd w:id="5"/>
    </w:p>
    <w:p w:rsidR="00542F0B" w:rsidRPr="00952E39" w:rsidRDefault="00542F0B" w:rsidP="00952E39">
      <w:pPr>
        <w:pStyle w:val="Heading2"/>
        <w:spacing w:after="120"/>
      </w:pPr>
      <w:r w:rsidRPr="00952E39">
        <w:t>Sponsor hearing</w:t>
      </w:r>
    </w:p>
    <w:p w:rsidR="00542F0B" w:rsidRDefault="00542F0B" w:rsidP="00952E39">
      <w:pPr>
        <w:pStyle w:val="ListParagraph"/>
        <w:widowControl/>
        <w:numPr>
          <w:ilvl w:val="1"/>
          <w:numId w:val="3"/>
        </w:numPr>
        <w:spacing w:after="120"/>
        <w:rPr>
          <w:b/>
          <w:szCs w:val="24"/>
        </w:rPr>
      </w:pPr>
      <w:r>
        <w:rPr>
          <w:szCs w:val="24"/>
        </w:rPr>
        <w:t>There was no hearing for this item.</w:t>
      </w:r>
    </w:p>
    <w:p w:rsidR="000E3C42" w:rsidRDefault="000E3C42" w:rsidP="00952E39">
      <w:pPr>
        <w:pStyle w:val="Heading2"/>
        <w:spacing w:after="120"/>
      </w:pPr>
      <w:r w:rsidRPr="00FA3633">
        <w:t>Consumer comments</w:t>
      </w:r>
    </w:p>
    <w:p w:rsidR="00CA05B5" w:rsidRPr="00273DA3" w:rsidRDefault="00FA3633" w:rsidP="00952E39">
      <w:pPr>
        <w:pStyle w:val="ListParagraph"/>
        <w:widowControl/>
        <w:numPr>
          <w:ilvl w:val="1"/>
          <w:numId w:val="3"/>
        </w:numPr>
        <w:spacing w:after="120"/>
      </w:pPr>
      <w:r w:rsidRPr="00FA3633">
        <w:rPr>
          <w:szCs w:val="24"/>
        </w:rPr>
        <w:t>The PBAC noted that no consumer comments were received for this item.</w:t>
      </w:r>
      <w:r w:rsidRPr="00FA3633" w:rsidDel="00FA3633">
        <w:rPr>
          <w:szCs w:val="24"/>
        </w:rPr>
        <w:t xml:space="preserve"> </w:t>
      </w:r>
    </w:p>
    <w:p w:rsidR="00B60939" w:rsidRPr="00273DA3" w:rsidRDefault="00B60939" w:rsidP="00952E39">
      <w:pPr>
        <w:pStyle w:val="Heading2"/>
        <w:spacing w:after="120"/>
      </w:pPr>
      <w:bookmarkStart w:id="6" w:name="_Toc514171465"/>
      <w:r w:rsidRPr="00273DA3">
        <w:t>Clinical trials</w:t>
      </w:r>
      <w:bookmarkEnd w:id="6"/>
    </w:p>
    <w:p w:rsidR="00A26E26" w:rsidRPr="00273DA3" w:rsidRDefault="00A26E26" w:rsidP="00952E39">
      <w:pPr>
        <w:pStyle w:val="ListParagraph"/>
        <w:widowControl/>
        <w:numPr>
          <w:ilvl w:val="1"/>
          <w:numId w:val="3"/>
        </w:numPr>
        <w:spacing w:after="120"/>
      </w:pPr>
      <w:r w:rsidRPr="00273DA3">
        <w:t>Overall, the submission was based on 16 trials that formed the basis for 3 indirect and 1 direct comparison versus the nominated comparators.  The trial evidence include</w:t>
      </w:r>
      <w:r w:rsidR="00164C65" w:rsidRPr="00273DA3">
        <w:t>d</w:t>
      </w:r>
      <w:r w:rsidRPr="00273DA3">
        <w:t>:</w:t>
      </w:r>
    </w:p>
    <w:p w:rsidR="00A26E26" w:rsidRPr="00273DA3" w:rsidRDefault="00A26E26" w:rsidP="00952E39">
      <w:pPr>
        <w:pStyle w:val="ListParagraph"/>
        <w:widowControl/>
        <w:numPr>
          <w:ilvl w:val="1"/>
          <w:numId w:val="25"/>
        </w:numPr>
        <w:spacing w:after="0"/>
        <w:ind w:left="1134" w:hanging="425"/>
      </w:pPr>
      <w:r w:rsidRPr="00273DA3">
        <w:t xml:space="preserve">three RCTs comparing TIL to PBO and active comparator ETN: </w:t>
      </w:r>
      <w:proofErr w:type="spellStart"/>
      <w:r w:rsidRPr="00273DA3">
        <w:t>reSURFACE</w:t>
      </w:r>
      <w:proofErr w:type="spellEnd"/>
      <w:r w:rsidRPr="00273DA3">
        <w:t xml:space="preserve"> 1 and </w:t>
      </w:r>
      <w:proofErr w:type="spellStart"/>
      <w:r w:rsidRPr="00273DA3">
        <w:t>reSURFACE</w:t>
      </w:r>
      <w:proofErr w:type="spellEnd"/>
      <w:r w:rsidRPr="00273DA3">
        <w:t xml:space="preserve"> 2 (results reported at 12 weeks) and Phase </w:t>
      </w:r>
      <w:proofErr w:type="spellStart"/>
      <w:r w:rsidRPr="00273DA3">
        <w:t>IIb</w:t>
      </w:r>
      <w:proofErr w:type="spellEnd"/>
      <w:r w:rsidRPr="00273DA3">
        <w:t xml:space="preserve"> trial (results reported at 12 and 16 weeks);  </w:t>
      </w:r>
    </w:p>
    <w:p w:rsidR="00A26E26" w:rsidRPr="00273DA3" w:rsidRDefault="00A26E26" w:rsidP="00952E39">
      <w:pPr>
        <w:pStyle w:val="ListParagraph"/>
        <w:widowControl/>
        <w:numPr>
          <w:ilvl w:val="1"/>
          <w:numId w:val="25"/>
        </w:numPr>
        <w:spacing w:after="0"/>
        <w:ind w:left="1134" w:hanging="425"/>
      </w:pPr>
      <w:proofErr w:type="gramStart"/>
      <w:r w:rsidRPr="00273DA3">
        <w:t>eight</w:t>
      </w:r>
      <w:proofErr w:type="gramEnd"/>
      <w:r w:rsidRPr="00273DA3">
        <w:t xml:space="preserve"> RCTs comparing UST to either PBO or active comparator ETN: PHOENIX-1, PHOENIX-2, Igarashi 2012, PEARL, LOTUS. AMAGINE-2, AMAGINE-3 and ACCEPT(results reported at 12 weeks);</w:t>
      </w:r>
    </w:p>
    <w:p w:rsidR="00A26E26" w:rsidRPr="00273DA3" w:rsidRDefault="00A26E26" w:rsidP="00952E39">
      <w:pPr>
        <w:pStyle w:val="ListParagraph"/>
        <w:widowControl/>
        <w:numPr>
          <w:ilvl w:val="1"/>
          <w:numId w:val="25"/>
        </w:numPr>
        <w:spacing w:after="120"/>
        <w:ind w:left="1134" w:hanging="425"/>
      </w:pPr>
      <w:proofErr w:type="gramStart"/>
      <w:r w:rsidRPr="00273DA3">
        <w:lastRenderedPageBreak/>
        <w:t>five</w:t>
      </w:r>
      <w:proofErr w:type="gramEnd"/>
      <w:r w:rsidRPr="00273DA3">
        <w:t xml:space="preserve"> RCTs comparing ADA to PBO: CHAMPION, REVEAL, Gordon 2006, </w:t>
      </w:r>
      <w:proofErr w:type="spellStart"/>
      <w:r w:rsidRPr="00273DA3">
        <w:t>Asahina</w:t>
      </w:r>
      <w:proofErr w:type="spellEnd"/>
      <w:r w:rsidRPr="00273DA3">
        <w:t xml:space="preserve"> 2010 and </w:t>
      </w:r>
      <w:proofErr w:type="spellStart"/>
      <w:r w:rsidRPr="00273DA3">
        <w:t>Cai</w:t>
      </w:r>
      <w:proofErr w:type="spellEnd"/>
      <w:r w:rsidRPr="00273DA3">
        <w:t xml:space="preserve"> 2017 (results reported at 12 and 16 weeks).</w:t>
      </w:r>
    </w:p>
    <w:p w:rsidR="00164C65" w:rsidRPr="00273DA3" w:rsidRDefault="00164C65" w:rsidP="00CB64E7">
      <w:pPr>
        <w:pStyle w:val="ListParagraph"/>
        <w:widowControl/>
        <w:numPr>
          <w:ilvl w:val="1"/>
          <w:numId w:val="3"/>
        </w:numPr>
        <w:spacing w:after="120"/>
      </w:pPr>
      <w:r w:rsidRPr="00273DA3">
        <w:t>The comparisons presented in the submission were:</w:t>
      </w:r>
    </w:p>
    <w:p w:rsidR="00164C65" w:rsidRPr="00273DA3" w:rsidRDefault="00164C65" w:rsidP="00CB64E7">
      <w:pPr>
        <w:pStyle w:val="ListParagraph"/>
        <w:widowControl/>
        <w:numPr>
          <w:ilvl w:val="1"/>
          <w:numId w:val="25"/>
        </w:numPr>
        <w:spacing w:after="0"/>
        <w:ind w:left="1134" w:hanging="425"/>
      </w:pPr>
      <w:r w:rsidRPr="00273DA3">
        <w:t>an indirect comparison of TIL versus UST based on PBO as the common reference;</w:t>
      </w:r>
    </w:p>
    <w:p w:rsidR="00164C65" w:rsidRPr="00273DA3" w:rsidRDefault="00164C65" w:rsidP="00CB64E7">
      <w:pPr>
        <w:pStyle w:val="ListParagraph"/>
        <w:widowControl/>
        <w:numPr>
          <w:ilvl w:val="1"/>
          <w:numId w:val="25"/>
        </w:numPr>
        <w:spacing w:after="0"/>
        <w:ind w:left="1134" w:hanging="425"/>
      </w:pPr>
      <w:r w:rsidRPr="00273DA3">
        <w:t xml:space="preserve">a direct comparison of TIL versus ETN from the </w:t>
      </w:r>
      <w:proofErr w:type="spellStart"/>
      <w:r w:rsidRPr="00273DA3">
        <w:t>reSURFACE</w:t>
      </w:r>
      <w:proofErr w:type="spellEnd"/>
      <w:r w:rsidRPr="00273DA3">
        <w:t xml:space="preserve"> 2 trial; </w:t>
      </w:r>
    </w:p>
    <w:p w:rsidR="00164C65" w:rsidRPr="00273DA3" w:rsidRDefault="00164C65" w:rsidP="00CB64E7">
      <w:pPr>
        <w:pStyle w:val="ListParagraph"/>
        <w:widowControl/>
        <w:numPr>
          <w:ilvl w:val="1"/>
          <w:numId w:val="25"/>
        </w:numPr>
        <w:spacing w:after="0"/>
        <w:ind w:left="1134" w:hanging="425"/>
      </w:pPr>
      <w:r w:rsidRPr="00273DA3">
        <w:t>an indirect comparison of TIL versus UST based on ETN as the common reference; and</w:t>
      </w:r>
    </w:p>
    <w:p w:rsidR="00164C65" w:rsidRPr="00273DA3" w:rsidRDefault="00164C65" w:rsidP="00CB64E7">
      <w:pPr>
        <w:pStyle w:val="ListParagraph"/>
        <w:widowControl/>
        <w:numPr>
          <w:ilvl w:val="1"/>
          <w:numId w:val="25"/>
        </w:numPr>
        <w:spacing w:after="120"/>
        <w:ind w:left="1134" w:hanging="425"/>
      </w:pPr>
      <w:proofErr w:type="gramStart"/>
      <w:r w:rsidRPr="00273DA3">
        <w:t>an</w:t>
      </w:r>
      <w:proofErr w:type="gramEnd"/>
      <w:r w:rsidRPr="00273DA3">
        <w:t xml:space="preserve"> indirect comparison of TIL versus ADA based on P</w:t>
      </w:r>
      <w:r w:rsidR="005031DB" w:rsidRPr="00273DA3">
        <w:t>BO as the common reference</w:t>
      </w:r>
      <w:r w:rsidRPr="00273DA3">
        <w:t>.</w:t>
      </w:r>
    </w:p>
    <w:p w:rsidR="00B4528F" w:rsidRPr="00273DA3" w:rsidRDefault="00B4528F" w:rsidP="00952E39">
      <w:pPr>
        <w:pStyle w:val="ListParagraph"/>
        <w:widowControl/>
        <w:numPr>
          <w:ilvl w:val="1"/>
          <w:numId w:val="3"/>
        </w:numPr>
        <w:spacing w:after="120"/>
      </w:pPr>
      <w:r w:rsidRPr="00273DA3">
        <w:rPr>
          <w:rFonts w:cs="Calibri"/>
          <w:snapToGrid/>
          <w:szCs w:val="24"/>
          <w:lang w:eastAsia="en-AU"/>
        </w:rPr>
        <w:t>Details of the trials presented in the s</w:t>
      </w:r>
      <w:r w:rsidR="003F588C" w:rsidRPr="00273DA3">
        <w:rPr>
          <w:rFonts w:cs="Calibri"/>
          <w:snapToGrid/>
          <w:szCs w:val="24"/>
          <w:lang w:eastAsia="en-AU"/>
        </w:rPr>
        <w:t>ubmission</w:t>
      </w:r>
      <w:r w:rsidR="00164C65" w:rsidRPr="00273DA3">
        <w:rPr>
          <w:rFonts w:cs="Calibri"/>
          <w:snapToGrid/>
          <w:szCs w:val="24"/>
          <w:lang w:eastAsia="en-AU"/>
        </w:rPr>
        <w:t xml:space="preserve"> are provided in Table 2.</w:t>
      </w:r>
    </w:p>
    <w:p w:rsidR="0057331C" w:rsidRPr="00F13C21" w:rsidRDefault="0057331C" w:rsidP="004156B1">
      <w:pPr>
        <w:keepNext/>
        <w:rPr>
          <w:rStyle w:val="CommentReference"/>
          <w:b w:val="0"/>
          <w:bCs/>
        </w:rPr>
      </w:pPr>
      <w:bookmarkStart w:id="7" w:name="_Toc503212786"/>
      <w:bookmarkStart w:id="8" w:name="_Toc512339656"/>
      <w:r w:rsidRPr="00C725E4">
        <w:rPr>
          <w:rStyle w:val="CommentReference"/>
          <w:bCs/>
        </w:rPr>
        <w:t xml:space="preserve">Table 2:  </w:t>
      </w:r>
      <w:r w:rsidRPr="00F13C21">
        <w:rPr>
          <w:rStyle w:val="CommentReference"/>
          <w:bCs/>
        </w:rPr>
        <w:t>Trials and associated reports presented in the submission</w:t>
      </w:r>
      <w:bookmarkEnd w:id="7"/>
      <w:bookmarkEnd w:id="8"/>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1"/>
        <w:gridCol w:w="5428"/>
        <w:gridCol w:w="2547"/>
      </w:tblGrid>
      <w:tr w:rsidR="0057331C" w:rsidRPr="00F13C21" w:rsidTr="008172A5">
        <w:trPr>
          <w:tblHeader/>
        </w:trPr>
        <w:tc>
          <w:tcPr>
            <w:tcW w:w="692" w:type="pct"/>
            <w:vAlign w:val="center"/>
          </w:tcPr>
          <w:p w:rsidR="0057331C" w:rsidRPr="00F13C21" w:rsidRDefault="0057331C" w:rsidP="00952E39">
            <w:pPr>
              <w:pStyle w:val="Tabletext"/>
              <w:rPr>
                <w:b/>
              </w:rPr>
            </w:pPr>
            <w:r w:rsidRPr="00F13C21">
              <w:rPr>
                <w:b/>
              </w:rPr>
              <w:t>Trial ID</w:t>
            </w:r>
          </w:p>
        </w:tc>
        <w:tc>
          <w:tcPr>
            <w:tcW w:w="2932" w:type="pct"/>
            <w:vAlign w:val="center"/>
          </w:tcPr>
          <w:p w:rsidR="0057331C" w:rsidRPr="00F13C21" w:rsidRDefault="0057331C" w:rsidP="00952E39">
            <w:pPr>
              <w:pStyle w:val="Tabletext"/>
              <w:jc w:val="center"/>
              <w:rPr>
                <w:b/>
              </w:rPr>
            </w:pPr>
            <w:r w:rsidRPr="00F13C21">
              <w:rPr>
                <w:b/>
              </w:rPr>
              <w:t>Protocol title/ Publication title</w:t>
            </w:r>
          </w:p>
        </w:tc>
        <w:tc>
          <w:tcPr>
            <w:tcW w:w="1376" w:type="pct"/>
            <w:vAlign w:val="center"/>
          </w:tcPr>
          <w:p w:rsidR="0057331C" w:rsidRPr="00F13C21" w:rsidRDefault="0057331C" w:rsidP="00952E39">
            <w:pPr>
              <w:pStyle w:val="Tabletext"/>
              <w:jc w:val="center"/>
              <w:rPr>
                <w:b/>
              </w:rPr>
            </w:pPr>
            <w:r w:rsidRPr="00F13C21">
              <w:rPr>
                <w:b/>
              </w:rPr>
              <w:t>Publication citation</w:t>
            </w:r>
          </w:p>
        </w:tc>
      </w:tr>
      <w:tr w:rsidR="0057331C" w:rsidRPr="00F13C21" w:rsidTr="00952E39">
        <w:tc>
          <w:tcPr>
            <w:tcW w:w="5000" w:type="pct"/>
            <w:gridSpan w:val="3"/>
            <w:tcBorders>
              <w:bottom w:val="nil"/>
            </w:tcBorders>
            <w:vAlign w:val="center"/>
          </w:tcPr>
          <w:p w:rsidR="0057331C" w:rsidRPr="00F13C21" w:rsidRDefault="0057331C" w:rsidP="00952E39">
            <w:pPr>
              <w:pStyle w:val="Tabletext"/>
              <w:rPr>
                <w:b/>
                <w:bCs/>
              </w:rPr>
            </w:pPr>
            <w:r w:rsidRPr="00F13C21">
              <w:rPr>
                <w:b/>
                <w:bCs/>
              </w:rPr>
              <w:t>TIL vs PBO and ETN</w:t>
            </w:r>
          </w:p>
        </w:tc>
      </w:tr>
      <w:tr w:rsidR="0057331C" w:rsidRPr="00F13C21" w:rsidTr="008172A5">
        <w:tc>
          <w:tcPr>
            <w:tcW w:w="692" w:type="pct"/>
            <w:vMerge w:val="restart"/>
            <w:vAlign w:val="center"/>
          </w:tcPr>
          <w:p w:rsidR="0057331C" w:rsidRPr="00F13C21" w:rsidRDefault="0057331C" w:rsidP="00952E39">
            <w:pPr>
              <w:pStyle w:val="Tabletext"/>
            </w:pPr>
            <w:proofErr w:type="spellStart"/>
            <w:r w:rsidRPr="00F13C21">
              <w:t>reSURFACE</w:t>
            </w:r>
            <w:proofErr w:type="spellEnd"/>
            <w:r w:rsidRPr="00F13C21">
              <w:t xml:space="preserve"> 1</w:t>
            </w:r>
          </w:p>
          <w:p w:rsidR="0057331C" w:rsidRPr="00F13C21" w:rsidRDefault="0057331C" w:rsidP="00952E39">
            <w:pPr>
              <w:pStyle w:val="Tabletext"/>
              <w:rPr>
                <w:rFonts w:ascii="Times" w:hAnsi="Times"/>
              </w:rPr>
            </w:pPr>
            <w:r w:rsidRPr="00F13C21">
              <w:t>(TIL</w:t>
            </w:r>
            <w:r w:rsidRPr="00F13C21">
              <w:rPr>
                <w:vertAlign w:val="subscript"/>
              </w:rPr>
              <w:t>1</w:t>
            </w:r>
            <w:r w:rsidRPr="00F13C21">
              <w:t>)</w:t>
            </w:r>
          </w:p>
        </w:tc>
        <w:tc>
          <w:tcPr>
            <w:tcW w:w="2932" w:type="pct"/>
            <w:tcBorders>
              <w:bottom w:val="nil"/>
            </w:tcBorders>
          </w:tcPr>
          <w:p w:rsidR="0057331C" w:rsidRPr="00F13C21" w:rsidRDefault="0057331C" w:rsidP="00952E39">
            <w:pPr>
              <w:widowControl/>
              <w:autoSpaceDE w:val="0"/>
              <w:autoSpaceDN w:val="0"/>
              <w:adjustRightInd w:val="0"/>
              <w:jc w:val="left"/>
              <w:rPr>
                <w:rFonts w:ascii="Arial Narrow" w:hAnsi="Arial Narrow" w:cs="Times New Roman"/>
                <w:snapToGrid/>
                <w:sz w:val="20"/>
                <w:szCs w:val="20"/>
                <w:lang w:eastAsia="en-AU"/>
              </w:rPr>
            </w:pPr>
            <w:r w:rsidRPr="00F13C21">
              <w:rPr>
                <w:rFonts w:ascii="Arial Narrow" w:hAnsi="Arial Narrow"/>
                <w:sz w:val="20"/>
                <w:szCs w:val="20"/>
              </w:rPr>
              <w:t xml:space="preserve">A 64-week, Phase 3, Randomized, Placebo-controlled, Parallel Design Study to Evaluate the Efficacy and Safety/Tolerability of Subcutaneous </w:t>
            </w:r>
            <w:proofErr w:type="spellStart"/>
            <w:r w:rsidRPr="00F13C21">
              <w:rPr>
                <w:rFonts w:ascii="Arial Narrow" w:hAnsi="Arial Narrow"/>
                <w:sz w:val="20"/>
                <w:szCs w:val="20"/>
              </w:rPr>
              <w:t>Tildrakizumab</w:t>
            </w:r>
            <w:proofErr w:type="spellEnd"/>
            <w:r w:rsidRPr="00F13C21">
              <w:rPr>
                <w:rFonts w:ascii="Arial Narrow" w:hAnsi="Arial Narrow" w:cs="Times New Roman"/>
                <w:snapToGrid/>
                <w:sz w:val="20"/>
                <w:szCs w:val="20"/>
                <w:lang w:eastAsia="en-AU"/>
              </w:rPr>
              <w:t xml:space="preserve"> (SCH 900222/MK-3222), Followed by an Optional Long-Term Safety Extension Study, in Subjects With </w:t>
            </w:r>
            <w:r w:rsidRPr="00F13C21">
              <w:rPr>
                <w:rFonts w:ascii="Arial Narrow" w:hAnsi="Arial Narrow"/>
                <w:sz w:val="20"/>
                <w:szCs w:val="20"/>
                <w:lang w:eastAsia="en-AU"/>
              </w:rPr>
              <w:t>Moderate-to-Severe Chronic Plaque Psoriasis.</w:t>
            </w:r>
            <w:r w:rsidRPr="00F13C21">
              <w:rPr>
                <w:rFonts w:ascii="Arial Narrow" w:hAnsi="Arial Narrow"/>
                <w:sz w:val="20"/>
                <w:szCs w:val="20"/>
              </w:rPr>
              <w:t xml:space="preserve"> </w:t>
            </w:r>
          </w:p>
          <w:p w:rsidR="0057331C" w:rsidRPr="00F13C21" w:rsidRDefault="0057331C" w:rsidP="00952E39">
            <w:pPr>
              <w:pStyle w:val="Tabletext"/>
              <w:rPr>
                <w:szCs w:val="18"/>
              </w:rPr>
            </w:pPr>
          </w:p>
        </w:tc>
        <w:tc>
          <w:tcPr>
            <w:tcW w:w="1376" w:type="pct"/>
            <w:tcBorders>
              <w:bottom w:val="nil"/>
            </w:tcBorders>
          </w:tcPr>
          <w:p w:rsidR="0057331C" w:rsidRPr="00F13C21" w:rsidRDefault="0057331C" w:rsidP="00952E39">
            <w:pPr>
              <w:pStyle w:val="Tabletext"/>
              <w:rPr>
                <w:rFonts w:ascii="Times" w:hAnsi="Times"/>
              </w:rPr>
            </w:pPr>
            <w:r w:rsidRPr="00F13C21">
              <w:t>February 2017</w:t>
            </w:r>
          </w:p>
        </w:tc>
      </w:tr>
      <w:tr w:rsidR="0057331C" w:rsidRPr="00F13C21" w:rsidTr="008172A5">
        <w:tc>
          <w:tcPr>
            <w:tcW w:w="692" w:type="pct"/>
            <w:vMerge/>
            <w:tcBorders>
              <w:bottom w:val="nil"/>
            </w:tcBorders>
          </w:tcPr>
          <w:p w:rsidR="0057331C" w:rsidRPr="00F13C21" w:rsidRDefault="0057331C" w:rsidP="00952E39">
            <w:pPr>
              <w:pStyle w:val="Tabletext"/>
            </w:pPr>
          </w:p>
        </w:tc>
        <w:tc>
          <w:tcPr>
            <w:tcW w:w="2932" w:type="pct"/>
            <w:tcBorders>
              <w:top w:val="nil"/>
              <w:bottom w:val="nil"/>
            </w:tcBorders>
          </w:tcPr>
          <w:p w:rsidR="0057331C" w:rsidRPr="00F13C21" w:rsidRDefault="0057331C" w:rsidP="00952E39">
            <w:pPr>
              <w:pStyle w:val="Tabletext"/>
              <w:rPr>
                <w:szCs w:val="18"/>
                <w:lang w:eastAsia="en-AU"/>
              </w:rPr>
            </w:pPr>
            <w:r w:rsidRPr="00F13C21">
              <w:rPr>
                <w:szCs w:val="18"/>
                <w:lang w:val="de-DE" w:eastAsia="en-AU"/>
              </w:rPr>
              <w:t xml:space="preserve">Reich K, Papp K, Blauvelt A, et al.  </w:t>
            </w:r>
            <w:proofErr w:type="spellStart"/>
            <w:r w:rsidRPr="00F13C21">
              <w:rPr>
                <w:szCs w:val="18"/>
                <w:lang w:eastAsia="en-AU"/>
              </w:rPr>
              <w:t>Tildrakizumab</w:t>
            </w:r>
            <w:proofErr w:type="spellEnd"/>
            <w:r w:rsidRPr="00F13C21">
              <w:rPr>
                <w:szCs w:val="18"/>
                <w:lang w:eastAsia="en-AU"/>
              </w:rPr>
              <w:t xml:space="preserve"> versus placebo or etanercept for chronic plaque psoriasis (</w:t>
            </w:r>
            <w:proofErr w:type="spellStart"/>
            <w:r w:rsidRPr="00F13C21">
              <w:rPr>
                <w:szCs w:val="18"/>
                <w:lang w:eastAsia="en-AU"/>
              </w:rPr>
              <w:t>reSURFACE</w:t>
            </w:r>
            <w:proofErr w:type="spellEnd"/>
            <w:r w:rsidRPr="00F13C21">
              <w:rPr>
                <w:szCs w:val="18"/>
                <w:lang w:eastAsia="en-AU"/>
              </w:rPr>
              <w:t xml:space="preserve"> 1 and </w:t>
            </w:r>
            <w:proofErr w:type="spellStart"/>
            <w:r w:rsidRPr="00F13C21">
              <w:rPr>
                <w:szCs w:val="18"/>
                <w:lang w:eastAsia="en-AU"/>
              </w:rPr>
              <w:t>reSURFACE</w:t>
            </w:r>
            <w:proofErr w:type="spellEnd"/>
            <w:r w:rsidRPr="00F13C21">
              <w:rPr>
                <w:szCs w:val="18"/>
                <w:lang w:eastAsia="en-AU"/>
              </w:rPr>
              <w:t xml:space="preserve"> 2): Results from two randomised controlled, phase 3 trials.</w:t>
            </w:r>
          </w:p>
        </w:tc>
        <w:tc>
          <w:tcPr>
            <w:tcW w:w="1376" w:type="pct"/>
            <w:tcBorders>
              <w:top w:val="nil"/>
              <w:bottom w:val="nil"/>
            </w:tcBorders>
          </w:tcPr>
          <w:p w:rsidR="0057331C" w:rsidRPr="00F13C21" w:rsidRDefault="0057331C" w:rsidP="00952E39">
            <w:pPr>
              <w:pStyle w:val="Tabletext"/>
              <w:rPr>
                <w:szCs w:val="18"/>
                <w:lang w:eastAsia="en-AU"/>
              </w:rPr>
            </w:pPr>
            <w:r w:rsidRPr="00F13C21">
              <w:rPr>
                <w:iCs/>
              </w:rPr>
              <w:t>Lancet</w:t>
            </w:r>
            <w:r w:rsidRPr="00F13C21">
              <w:t xml:space="preserve"> 2017; 390: 276-288</w:t>
            </w:r>
            <w:r w:rsidRPr="00F13C21">
              <w:rPr>
                <w:szCs w:val="18"/>
                <w:lang w:eastAsia="en-AU"/>
              </w:rPr>
              <w:t>.</w:t>
            </w:r>
          </w:p>
        </w:tc>
      </w:tr>
      <w:tr w:rsidR="0057331C" w:rsidRPr="00F13C21" w:rsidTr="008172A5">
        <w:tc>
          <w:tcPr>
            <w:tcW w:w="692" w:type="pct"/>
            <w:vMerge w:val="restart"/>
            <w:vAlign w:val="center"/>
          </w:tcPr>
          <w:p w:rsidR="0057331C" w:rsidRPr="00F13C21" w:rsidRDefault="0057331C" w:rsidP="00952E39">
            <w:pPr>
              <w:pStyle w:val="Tabletext"/>
            </w:pPr>
            <w:proofErr w:type="spellStart"/>
            <w:r w:rsidRPr="00F13C21">
              <w:t>reSURFACE</w:t>
            </w:r>
            <w:proofErr w:type="spellEnd"/>
            <w:r w:rsidRPr="00F13C21">
              <w:t xml:space="preserve"> 2</w:t>
            </w:r>
          </w:p>
          <w:p w:rsidR="0057331C" w:rsidRPr="00F13C21" w:rsidRDefault="0057331C" w:rsidP="00952E39">
            <w:pPr>
              <w:pStyle w:val="Tabletext"/>
            </w:pPr>
            <w:r w:rsidRPr="00F13C21">
              <w:t>(TIL</w:t>
            </w:r>
            <w:r w:rsidRPr="00F13C21">
              <w:rPr>
                <w:vertAlign w:val="subscript"/>
              </w:rPr>
              <w:t>2</w:t>
            </w:r>
            <w:r w:rsidRPr="00F13C21">
              <w:t>)</w:t>
            </w:r>
          </w:p>
        </w:tc>
        <w:tc>
          <w:tcPr>
            <w:tcW w:w="2932" w:type="pct"/>
            <w:tcBorders>
              <w:bottom w:val="nil"/>
            </w:tcBorders>
          </w:tcPr>
          <w:p w:rsidR="0057331C" w:rsidRPr="00F13C21" w:rsidRDefault="0057331C" w:rsidP="00952E39">
            <w:pPr>
              <w:widowControl/>
              <w:autoSpaceDE w:val="0"/>
              <w:autoSpaceDN w:val="0"/>
              <w:adjustRightInd w:val="0"/>
              <w:jc w:val="left"/>
              <w:rPr>
                <w:rFonts w:ascii="Arial Narrow" w:hAnsi="Arial Narrow" w:cs="Times New Roman"/>
                <w:snapToGrid/>
                <w:sz w:val="20"/>
                <w:szCs w:val="20"/>
                <w:lang w:eastAsia="en-AU"/>
              </w:rPr>
            </w:pPr>
            <w:r w:rsidRPr="00F13C21">
              <w:rPr>
                <w:rFonts w:ascii="Arial Narrow" w:hAnsi="Arial Narrow"/>
                <w:sz w:val="20"/>
                <w:szCs w:val="20"/>
              </w:rPr>
              <w:t xml:space="preserve">A 52-week, Phase 3, Randomized, Active Comparator and Placebo-controlled, Parallel Design Study to Evaluate the Efficacy and Safety/Tolerability of Subcutaneous </w:t>
            </w:r>
            <w:proofErr w:type="spellStart"/>
            <w:r w:rsidRPr="00F13C21">
              <w:rPr>
                <w:rFonts w:ascii="Arial Narrow" w:hAnsi="Arial Narrow"/>
                <w:sz w:val="20"/>
                <w:szCs w:val="20"/>
              </w:rPr>
              <w:t>Tildrakizumab</w:t>
            </w:r>
            <w:proofErr w:type="spellEnd"/>
            <w:r w:rsidRPr="00F13C21">
              <w:rPr>
                <w:rFonts w:ascii="Arial Narrow" w:hAnsi="Arial Narrow" w:cs="Times New Roman"/>
                <w:snapToGrid/>
                <w:sz w:val="20"/>
                <w:szCs w:val="20"/>
                <w:lang w:eastAsia="en-AU"/>
              </w:rPr>
              <w:t xml:space="preserve"> (SCH 900222/MK-3222), Followed by an Optional Long-Term Safety Extension Study, in Subjects With </w:t>
            </w:r>
            <w:r w:rsidRPr="00F13C21">
              <w:rPr>
                <w:rFonts w:ascii="Arial Narrow" w:hAnsi="Arial Narrow"/>
                <w:sz w:val="20"/>
                <w:szCs w:val="20"/>
                <w:lang w:eastAsia="en-AU"/>
              </w:rPr>
              <w:t>Moderate-to-Severe Chronic Plaque Psoriasis.</w:t>
            </w:r>
            <w:r w:rsidRPr="00F13C21">
              <w:rPr>
                <w:rFonts w:ascii="Arial Narrow" w:hAnsi="Arial Narrow"/>
                <w:sz w:val="20"/>
                <w:szCs w:val="20"/>
              </w:rPr>
              <w:t xml:space="preserve"> </w:t>
            </w:r>
          </w:p>
          <w:p w:rsidR="0057331C" w:rsidRPr="00F13C21" w:rsidRDefault="0057331C" w:rsidP="00952E39">
            <w:pPr>
              <w:pStyle w:val="Tabletext"/>
              <w:rPr>
                <w:szCs w:val="18"/>
                <w:lang w:eastAsia="en-AU"/>
              </w:rPr>
            </w:pPr>
          </w:p>
        </w:tc>
        <w:tc>
          <w:tcPr>
            <w:tcW w:w="1376" w:type="pct"/>
            <w:tcBorders>
              <w:bottom w:val="nil"/>
            </w:tcBorders>
          </w:tcPr>
          <w:p w:rsidR="0057331C" w:rsidRPr="00F13C21" w:rsidRDefault="0057331C" w:rsidP="00952E39">
            <w:pPr>
              <w:pStyle w:val="Tabletext"/>
              <w:rPr>
                <w:szCs w:val="18"/>
                <w:lang w:eastAsia="en-AU"/>
              </w:rPr>
            </w:pPr>
            <w:r w:rsidRPr="00F13C21">
              <w:t>February 2017</w:t>
            </w:r>
          </w:p>
        </w:tc>
      </w:tr>
      <w:tr w:rsidR="0057331C" w:rsidRPr="00F13C21" w:rsidTr="008172A5">
        <w:tc>
          <w:tcPr>
            <w:tcW w:w="692" w:type="pct"/>
            <w:vMerge/>
            <w:tcBorders>
              <w:bottom w:val="single" w:sz="4" w:space="0" w:color="auto"/>
            </w:tcBorders>
          </w:tcPr>
          <w:p w:rsidR="0057331C" w:rsidRPr="00F13C21" w:rsidRDefault="0057331C" w:rsidP="00952E39">
            <w:pPr>
              <w:pStyle w:val="Tabletext"/>
              <w:rPr>
                <w:rFonts w:ascii="Times" w:hAnsi="Times"/>
              </w:rPr>
            </w:pPr>
          </w:p>
        </w:tc>
        <w:tc>
          <w:tcPr>
            <w:tcW w:w="2932" w:type="pct"/>
            <w:tcBorders>
              <w:top w:val="nil"/>
              <w:bottom w:val="single" w:sz="4" w:space="0" w:color="auto"/>
            </w:tcBorders>
          </w:tcPr>
          <w:p w:rsidR="0057331C" w:rsidRPr="00F13C21" w:rsidRDefault="0057331C" w:rsidP="00952E39">
            <w:pPr>
              <w:pStyle w:val="Tabletext"/>
              <w:rPr>
                <w:rFonts w:ascii="Times" w:hAnsi="Times"/>
              </w:rPr>
            </w:pPr>
            <w:r w:rsidRPr="00F13C21">
              <w:rPr>
                <w:szCs w:val="18"/>
                <w:lang w:val="de-DE" w:eastAsia="en-AU"/>
              </w:rPr>
              <w:t xml:space="preserve">Reich K, Papp K, Blauvelt A, et al.  </w:t>
            </w:r>
            <w:proofErr w:type="spellStart"/>
            <w:r w:rsidRPr="00F13C21">
              <w:rPr>
                <w:szCs w:val="18"/>
                <w:lang w:eastAsia="en-AU"/>
              </w:rPr>
              <w:t>Tildrakizumab</w:t>
            </w:r>
            <w:proofErr w:type="spellEnd"/>
            <w:r w:rsidRPr="00F13C21">
              <w:rPr>
                <w:szCs w:val="18"/>
                <w:lang w:eastAsia="en-AU"/>
              </w:rPr>
              <w:t xml:space="preserve"> versus placebo or etanercept for chronic plaque psoriasis (</w:t>
            </w:r>
            <w:proofErr w:type="spellStart"/>
            <w:r w:rsidRPr="00F13C21">
              <w:rPr>
                <w:szCs w:val="18"/>
                <w:lang w:eastAsia="en-AU"/>
              </w:rPr>
              <w:t>reSURFACE</w:t>
            </w:r>
            <w:proofErr w:type="spellEnd"/>
            <w:r w:rsidRPr="00F13C21">
              <w:rPr>
                <w:szCs w:val="18"/>
                <w:lang w:eastAsia="en-AU"/>
              </w:rPr>
              <w:t xml:space="preserve"> 1 and </w:t>
            </w:r>
            <w:proofErr w:type="spellStart"/>
            <w:r w:rsidRPr="00F13C21">
              <w:rPr>
                <w:szCs w:val="18"/>
                <w:lang w:eastAsia="en-AU"/>
              </w:rPr>
              <w:t>reSURFACE</w:t>
            </w:r>
            <w:proofErr w:type="spellEnd"/>
            <w:r w:rsidRPr="00F13C21">
              <w:rPr>
                <w:szCs w:val="18"/>
                <w:lang w:eastAsia="en-AU"/>
              </w:rPr>
              <w:t xml:space="preserve"> 2): Results from two randomised controlled, phase 3 trials.</w:t>
            </w:r>
          </w:p>
        </w:tc>
        <w:tc>
          <w:tcPr>
            <w:tcW w:w="1376" w:type="pct"/>
            <w:tcBorders>
              <w:top w:val="nil"/>
              <w:bottom w:val="single" w:sz="4" w:space="0" w:color="auto"/>
            </w:tcBorders>
          </w:tcPr>
          <w:p w:rsidR="0057331C" w:rsidRPr="00F13C21" w:rsidRDefault="0057331C" w:rsidP="00952E39">
            <w:pPr>
              <w:pStyle w:val="Tabletext"/>
              <w:rPr>
                <w:szCs w:val="18"/>
                <w:lang w:eastAsia="en-AU"/>
              </w:rPr>
            </w:pPr>
          </w:p>
          <w:p w:rsidR="0057331C" w:rsidRPr="00F13C21" w:rsidRDefault="0057331C" w:rsidP="00952E39">
            <w:pPr>
              <w:pStyle w:val="Tabletext"/>
            </w:pPr>
            <w:r w:rsidRPr="00F13C21">
              <w:rPr>
                <w:iCs/>
              </w:rPr>
              <w:t>Lancet</w:t>
            </w:r>
            <w:r w:rsidRPr="00F13C21">
              <w:t xml:space="preserve"> 2017; 390: 276-288</w:t>
            </w:r>
            <w:r w:rsidRPr="00F13C21">
              <w:rPr>
                <w:szCs w:val="18"/>
                <w:lang w:eastAsia="en-AU"/>
              </w:rPr>
              <w:t>.</w:t>
            </w:r>
          </w:p>
        </w:tc>
      </w:tr>
      <w:tr w:rsidR="008172A5" w:rsidRPr="00F13C21" w:rsidTr="008172A5">
        <w:tc>
          <w:tcPr>
            <w:tcW w:w="692" w:type="pct"/>
            <w:vMerge w:val="restart"/>
            <w:tcBorders>
              <w:top w:val="single" w:sz="4" w:space="0" w:color="auto"/>
              <w:right w:val="single" w:sz="4" w:space="0" w:color="auto"/>
            </w:tcBorders>
            <w:vAlign w:val="center"/>
          </w:tcPr>
          <w:p w:rsidR="008172A5" w:rsidRPr="00F13C21" w:rsidRDefault="008172A5" w:rsidP="00952E39">
            <w:pPr>
              <w:pStyle w:val="Tabletext"/>
            </w:pPr>
            <w:r w:rsidRPr="00F13C21">
              <w:t xml:space="preserve">Phase </w:t>
            </w:r>
            <w:proofErr w:type="spellStart"/>
            <w:r w:rsidRPr="00F13C21">
              <w:t>IIb</w:t>
            </w:r>
            <w:proofErr w:type="spellEnd"/>
            <w:r w:rsidRPr="00F13C21">
              <w:t xml:space="preserve"> trial</w:t>
            </w:r>
          </w:p>
          <w:p w:rsidR="008172A5" w:rsidRPr="00F13C21" w:rsidRDefault="008172A5" w:rsidP="00952E39">
            <w:pPr>
              <w:pStyle w:val="Tabletext"/>
              <w:rPr>
                <w:rFonts w:ascii="Times" w:hAnsi="Times"/>
              </w:rPr>
            </w:pPr>
            <w:r w:rsidRPr="00F13C21">
              <w:t>(TIL</w:t>
            </w:r>
            <w:r w:rsidRPr="00F13C21">
              <w:rPr>
                <w:vertAlign w:val="subscript"/>
              </w:rPr>
              <w:t>3</w:t>
            </w:r>
            <w:r w:rsidRPr="00F13C21">
              <w:t>)</w:t>
            </w:r>
          </w:p>
        </w:tc>
        <w:tc>
          <w:tcPr>
            <w:tcW w:w="2932" w:type="pct"/>
            <w:tcBorders>
              <w:top w:val="single" w:sz="4" w:space="0" w:color="auto"/>
              <w:left w:val="single" w:sz="4" w:space="0" w:color="auto"/>
              <w:bottom w:val="nil"/>
              <w:right w:val="single" w:sz="4" w:space="0" w:color="auto"/>
            </w:tcBorders>
          </w:tcPr>
          <w:p w:rsidR="008172A5" w:rsidRPr="00F13C21" w:rsidRDefault="008172A5" w:rsidP="00952E39">
            <w:pPr>
              <w:pStyle w:val="Tabletext"/>
              <w:rPr>
                <w:szCs w:val="20"/>
                <w:lang w:eastAsia="en-AU"/>
              </w:rPr>
            </w:pPr>
            <w:r w:rsidRPr="00F13C21">
              <w:rPr>
                <w:szCs w:val="18"/>
              </w:rPr>
              <w:t xml:space="preserve">Randomized, double-blinded, placebo-controlled, parallel-design, dose-range finding study of subcutaneous </w:t>
            </w:r>
            <w:proofErr w:type="spellStart"/>
            <w:r w:rsidRPr="00F13C21">
              <w:rPr>
                <w:szCs w:val="18"/>
              </w:rPr>
              <w:t>tildrakizumab</w:t>
            </w:r>
            <w:proofErr w:type="spellEnd"/>
            <w:r w:rsidRPr="00F13C21">
              <w:rPr>
                <w:szCs w:val="18"/>
              </w:rPr>
              <w:t xml:space="preserve"> </w:t>
            </w:r>
            <w:r w:rsidRPr="00F13C21">
              <w:rPr>
                <w:szCs w:val="20"/>
                <w:lang w:eastAsia="en-AU"/>
              </w:rPr>
              <w:t>(SCH 900222/MK-3222) in subjects with moderate-to-severe chronic plaque psoriasis.</w:t>
            </w:r>
          </w:p>
        </w:tc>
        <w:tc>
          <w:tcPr>
            <w:tcW w:w="1376" w:type="pct"/>
            <w:tcBorders>
              <w:top w:val="single" w:sz="4" w:space="0" w:color="auto"/>
              <w:left w:val="single" w:sz="4" w:space="0" w:color="auto"/>
              <w:bottom w:val="nil"/>
              <w:right w:val="single" w:sz="4" w:space="0" w:color="auto"/>
            </w:tcBorders>
          </w:tcPr>
          <w:p w:rsidR="008172A5" w:rsidRPr="00F13C21" w:rsidRDefault="008172A5" w:rsidP="00952E39">
            <w:pPr>
              <w:pStyle w:val="Tabletext"/>
              <w:rPr>
                <w:szCs w:val="18"/>
                <w:lang w:val="fr-FR" w:eastAsia="en-AU"/>
              </w:rPr>
            </w:pPr>
            <w:proofErr w:type="spellStart"/>
            <w:r w:rsidRPr="00F13C21">
              <w:rPr>
                <w:szCs w:val="18"/>
                <w:lang w:val="fr-FR" w:eastAsia="en-AU"/>
              </w:rPr>
              <w:t>February</w:t>
            </w:r>
            <w:proofErr w:type="spellEnd"/>
            <w:r w:rsidRPr="00F13C21">
              <w:rPr>
                <w:szCs w:val="18"/>
                <w:lang w:val="fr-FR" w:eastAsia="en-AU"/>
              </w:rPr>
              <w:t xml:space="preserve"> 2017</w:t>
            </w:r>
          </w:p>
          <w:p w:rsidR="008172A5" w:rsidRPr="00F13C21" w:rsidRDefault="008172A5" w:rsidP="00952E39">
            <w:pPr>
              <w:pStyle w:val="Tabletext"/>
              <w:rPr>
                <w:szCs w:val="18"/>
                <w:lang w:val="fr-FR" w:eastAsia="en-AU"/>
              </w:rPr>
            </w:pPr>
          </w:p>
          <w:p w:rsidR="008172A5" w:rsidRPr="00F13C21" w:rsidRDefault="008172A5" w:rsidP="00952E39">
            <w:pPr>
              <w:pStyle w:val="Tabletext"/>
              <w:rPr>
                <w:szCs w:val="18"/>
                <w:lang w:eastAsia="en-AU"/>
              </w:rPr>
            </w:pPr>
          </w:p>
        </w:tc>
      </w:tr>
      <w:tr w:rsidR="008172A5" w:rsidRPr="00F13C21" w:rsidTr="008172A5">
        <w:tc>
          <w:tcPr>
            <w:tcW w:w="692" w:type="pct"/>
            <w:vMerge/>
            <w:tcBorders>
              <w:bottom w:val="single" w:sz="4" w:space="0" w:color="auto"/>
              <w:right w:val="single" w:sz="4" w:space="0" w:color="auto"/>
            </w:tcBorders>
            <w:vAlign w:val="center"/>
          </w:tcPr>
          <w:p w:rsidR="008172A5" w:rsidRPr="00F13C21" w:rsidRDefault="008172A5" w:rsidP="00952E39">
            <w:pPr>
              <w:pStyle w:val="Tabletext"/>
            </w:pPr>
          </w:p>
        </w:tc>
        <w:tc>
          <w:tcPr>
            <w:tcW w:w="2932" w:type="pct"/>
            <w:tcBorders>
              <w:top w:val="nil"/>
              <w:left w:val="single" w:sz="4" w:space="0" w:color="auto"/>
              <w:bottom w:val="nil"/>
              <w:right w:val="single" w:sz="4" w:space="0" w:color="auto"/>
            </w:tcBorders>
          </w:tcPr>
          <w:p w:rsidR="008172A5" w:rsidRPr="00F13C21" w:rsidRDefault="008172A5" w:rsidP="00952E39">
            <w:pPr>
              <w:pStyle w:val="Tabletext"/>
              <w:rPr>
                <w:szCs w:val="18"/>
              </w:rPr>
            </w:pPr>
            <w:r w:rsidRPr="008172A5">
              <w:rPr>
                <w:szCs w:val="18"/>
              </w:rPr>
              <w:t xml:space="preserve">Papp K, </w:t>
            </w:r>
            <w:proofErr w:type="spellStart"/>
            <w:r w:rsidRPr="008172A5">
              <w:rPr>
                <w:szCs w:val="18"/>
              </w:rPr>
              <w:t>Thaci</w:t>
            </w:r>
            <w:proofErr w:type="spellEnd"/>
            <w:r w:rsidRPr="008172A5">
              <w:rPr>
                <w:szCs w:val="18"/>
              </w:rPr>
              <w:t xml:space="preserve"> D, Reich K et al. </w:t>
            </w:r>
            <w:proofErr w:type="spellStart"/>
            <w:r w:rsidRPr="008172A5">
              <w:rPr>
                <w:szCs w:val="18"/>
              </w:rPr>
              <w:t>Tildrakizumab</w:t>
            </w:r>
            <w:proofErr w:type="spellEnd"/>
            <w:r w:rsidRPr="008172A5">
              <w:rPr>
                <w:szCs w:val="18"/>
              </w:rPr>
              <w:t xml:space="preserve"> (MK-3222), an anti-interleukin-23p19 monoclonal antibody, improves psoriasis in a phase </w:t>
            </w:r>
            <w:proofErr w:type="spellStart"/>
            <w:r w:rsidRPr="008172A5">
              <w:rPr>
                <w:szCs w:val="18"/>
              </w:rPr>
              <w:t>IIb</w:t>
            </w:r>
            <w:proofErr w:type="spellEnd"/>
            <w:r w:rsidRPr="008172A5">
              <w:rPr>
                <w:szCs w:val="18"/>
              </w:rPr>
              <w:t xml:space="preserve"> randomised placebo-controlled trial.</w:t>
            </w:r>
          </w:p>
        </w:tc>
        <w:tc>
          <w:tcPr>
            <w:tcW w:w="1376" w:type="pct"/>
            <w:tcBorders>
              <w:top w:val="nil"/>
              <w:left w:val="single" w:sz="4" w:space="0" w:color="auto"/>
              <w:bottom w:val="nil"/>
              <w:right w:val="single" w:sz="4" w:space="0" w:color="auto"/>
            </w:tcBorders>
          </w:tcPr>
          <w:p w:rsidR="008172A5" w:rsidRPr="00F13C21" w:rsidRDefault="008172A5" w:rsidP="00952E39">
            <w:pPr>
              <w:pStyle w:val="Tabletext"/>
              <w:rPr>
                <w:szCs w:val="18"/>
                <w:lang w:val="fr-FR" w:eastAsia="en-AU"/>
              </w:rPr>
            </w:pPr>
            <w:r>
              <w:rPr>
                <w:szCs w:val="18"/>
              </w:rPr>
              <w:t>British Journal of Dermatology 2015; 173: 930-939</w:t>
            </w:r>
          </w:p>
        </w:tc>
      </w:tr>
      <w:tr w:rsidR="0057331C" w:rsidRPr="00F13C21" w:rsidTr="00952E39">
        <w:tc>
          <w:tcPr>
            <w:tcW w:w="5000" w:type="pct"/>
            <w:gridSpan w:val="3"/>
            <w:tcBorders>
              <w:top w:val="single" w:sz="4" w:space="0" w:color="auto"/>
              <w:bottom w:val="single" w:sz="4" w:space="0" w:color="auto"/>
            </w:tcBorders>
            <w:vAlign w:val="center"/>
          </w:tcPr>
          <w:p w:rsidR="0057331C" w:rsidRPr="00F13C21" w:rsidRDefault="0057331C" w:rsidP="00952E39">
            <w:pPr>
              <w:pStyle w:val="Tabletext"/>
              <w:rPr>
                <w:szCs w:val="18"/>
                <w:lang w:eastAsia="en-AU"/>
              </w:rPr>
            </w:pPr>
            <w:r w:rsidRPr="00F13C21">
              <w:rPr>
                <w:b/>
                <w:bCs/>
              </w:rPr>
              <w:t>UST vs ETN</w:t>
            </w:r>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t>ACCEPT</w:t>
            </w:r>
          </w:p>
          <w:p w:rsidR="0057331C" w:rsidRPr="00F13C21" w:rsidRDefault="0057331C" w:rsidP="00952E39">
            <w:pPr>
              <w:pStyle w:val="Tabletext"/>
            </w:pPr>
            <w:r w:rsidRPr="00F13C21">
              <w:t>(UST</w:t>
            </w:r>
            <w:r w:rsidRPr="00F13C21">
              <w:rPr>
                <w:vertAlign w:val="subscript"/>
              </w:rPr>
              <w:t>1</w:t>
            </w:r>
            <w:r w:rsidRPr="00F13C21">
              <w:t>)</w:t>
            </w:r>
          </w:p>
        </w:tc>
        <w:tc>
          <w:tcPr>
            <w:tcW w:w="2932" w:type="pct"/>
            <w:tcBorders>
              <w:top w:val="single" w:sz="4" w:space="0" w:color="auto"/>
              <w:bottom w:val="single" w:sz="4" w:space="0" w:color="auto"/>
            </w:tcBorders>
            <w:vAlign w:val="center"/>
          </w:tcPr>
          <w:p w:rsidR="0057331C" w:rsidRPr="00F13C21" w:rsidRDefault="0057331C" w:rsidP="00952E39">
            <w:pPr>
              <w:pStyle w:val="Tabletext"/>
              <w:rPr>
                <w:szCs w:val="18"/>
              </w:rPr>
            </w:pPr>
            <w:r w:rsidRPr="00F13C21">
              <w:rPr>
                <w:szCs w:val="18"/>
              </w:rPr>
              <w:t xml:space="preserve">Griffiths CE, Strober BE, van de </w:t>
            </w:r>
            <w:proofErr w:type="spellStart"/>
            <w:r w:rsidRPr="00F13C21">
              <w:rPr>
                <w:szCs w:val="18"/>
              </w:rPr>
              <w:t>Kerkhof</w:t>
            </w:r>
            <w:proofErr w:type="spellEnd"/>
            <w:r w:rsidRPr="00F13C21">
              <w:rPr>
                <w:szCs w:val="18"/>
              </w:rPr>
              <w:t xml:space="preserve"> P et al. Comparison of ustekinumab and etanercept for moderate-to-severe psoriasis.</w:t>
            </w:r>
          </w:p>
        </w:tc>
        <w:tc>
          <w:tcPr>
            <w:tcW w:w="1376" w:type="pct"/>
            <w:tcBorders>
              <w:top w:val="single" w:sz="4" w:space="0" w:color="auto"/>
              <w:bottom w:val="single" w:sz="4" w:space="0" w:color="auto"/>
            </w:tcBorders>
            <w:vAlign w:val="center"/>
          </w:tcPr>
          <w:p w:rsidR="0057331C" w:rsidRPr="00F13C21" w:rsidRDefault="0057331C" w:rsidP="00952E39">
            <w:pPr>
              <w:pStyle w:val="Tabletext"/>
              <w:rPr>
                <w:szCs w:val="18"/>
                <w:lang w:eastAsia="en-AU"/>
              </w:rPr>
            </w:pPr>
            <w:r w:rsidRPr="00F13C21">
              <w:rPr>
                <w:iCs/>
              </w:rPr>
              <w:t xml:space="preserve">NEJM </w:t>
            </w:r>
            <w:r w:rsidRPr="00F13C21">
              <w:t>2010; 362: 118-128</w:t>
            </w:r>
          </w:p>
        </w:tc>
      </w:tr>
      <w:tr w:rsidR="0057331C" w:rsidRPr="00F13C21" w:rsidTr="00952E39">
        <w:tc>
          <w:tcPr>
            <w:tcW w:w="5000" w:type="pct"/>
            <w:gridSpan w:val="3"/>
            <w:tcBorders>
              <w:top w:val="single" w:sz="4" w:space="0" w:color="auto"/>
              <w:bottom w:val="single" w:sz="4" w:space="0" w:color="auto"/>
            </w:tcBorders>
            <w:vAlign w:val="center"/>
          </w:tcPr>
          <w:p w:rsidR="0057331C" w:rsidRPr="00F13C21" w:rsidRDefault="0057331C" w:rsidP="00952E39">
            <w:pPr>
              <w:pStyle w:val="Tabletext"/>
              <w:rPr>
                <w:iCs/>
              </w:rPr>
            </w:pPr>
            <w:r w:rsidRPr="00F13C21">
              <w:rPr>
                <w:b/>
                <w:bCs/>
              </w:rPr>
              <w:t>UST vs PBO</w:t>
            </w:r>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t>PHOENIX 1</w:t>
            </w:r>
          </w:p>
          <w:p w:rsidR="0057331C" w:rsidRPr="00F13C21" w:rsidRDefault="0057331C" w:rsidP="00952E39">
            <w:pPr>
              <w:pStyle w:val="Tabletext"/>
            </w:pPr>
            <w:r w:rsidRPr="00F13C21">
              <w:t>(UST</w:t>
            </w:r>
            <w:r w:rsidRPr="00F13C21">
              <w:rPr>
                <w:vertAlign w:val="subscript"/>
              </w:rPr>
              <w:t>2</w:t>
            </w:r>
            <w:r w:rsidRPr="00F13C21">
              <w:t>)</w:t>
            </w:r>
          </w:p>
        </w:tc>
        <w:tc>
          <w:tcPr>
            <w:tcW w:w="2932" w:type="pct"/>
            <w:tcBorders>
              <w:top w:val="single" w:sz="4" w:space="0" w:color="auto"/>
              <w:bottom w:val="single" w:sz="4" w:space="0" w:color="auto"/>
            </w:tcBorders>
            <w:vAlign w:val="center"/>
          </w:tcPr>
          <w:p w:rsidR="0057331C" w:rsidRPr="00F13C21" w:rsidRDefault="0057331C" w:rsidP="00952E39">
            <w:pPr>
              <w:pStyle w:val="Tabletext"/>
              <w:rPr>
                <w:szCs w:val="18"/>
              </w:rPr>
            </w:pPr>
            <w:r w:rsidRPr="00F13C21">
              <w:rPr>
                <w:szCs w:val="18"/>
                <w:lang w:val="it-IT"/>
              </w:rPr>
              <w:t xml:space="preserve">Leonardi C, Kimball A, Papp K et al.  </w:t>
            </w:r>
            <w:r w:rsidRPr="00F13C21">
              <w:rPr>
                <w:szCs w:val="18"/>
              </w:rPr>
              <w:t>Efficacy and safety of ustekinumab, human interleukin-12/23 monoclonal antibody, in patients with psoriasis: 76-week results from a randomised, double blind, placebo-controlled trial (PHOENIX 1)</w:t>
            </w:r>
          </w:p>
        </w:tc>
        <w:tc>
          <w:tcPr>
            <w:tcW w:w="1376" w:type="pct"/>
            <w:tcBorders>
              <w:top w:val="single" w:sz="4" w:space="0" w:color="auto"/>
              <w:bottom w:val="single" w:sz="4" w:space="0" w:color="auto"/>
            </w:tcBorders>
            <w:vAlign w:val="center"/>
          </w:tcPr>
          <w:p w:rsidR="0057331C" w:rsidRPr="00F13C21" w:rsidRDefault="0057331C" w:rsidP="00952E39">
            <w:pPr>
              <w:pStyle w:val="Tabletext"/>
              <w:rPr>
                <w:iCs/>
              </w:rPr>
            </w:pPr>
            <w:r w:rsidRPr="00F13C21">
              <w:rPr>
                <w:iCs/>
              </w:rPr>
              <w:t>Lancet</w:t>
            </w:r>
            <w:r w:rsidRPr="00F13C21">
              <w:t xml:space="preserve"> 2008; 371: 1665-1674.</w:t>
            </w:r>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t>PHOENIX 2</w:t>
            </w:r>
          </w:p>
          <w:p w:rsidR="0057331C" w:rsidRPr="00F13C21" w:rsidRDefault="0057331C" w:rsidP="00952E39">
            <w:pPr>
              <w:pStyle w:val="Tabletext"/>
            </w:pPr>
            <w:r w:rsidRPr="00F13C21">
              <w:t>(UST</w:t>
            </w:r>
            <w:r w:rsidRPr="00F13C21">
              <w:rPr>
                <w:vertAlign w:val="subscript"/>
              </w:rPr>
              <w:t>3</w:t>
            </w:r>
            <w:r w:rsidRPr="00F13C21">
              <w:t>)</w:t>
            </w:r>
          </w:p>
        </w:tc>
        <w:tc>
          <w:tcPr>
            <w:tcW w:w="2932" w:type="pct"/>
            <w:tcBorders>
              <w:top w:val="single" w:sz="4" w:space="0" w:color="auto"/>
              <w:bottom w:val="single" w:sz="4" w:space="0" w:color="auto"/>
            </w:tcBorders>
            <w:vAlign w:val="center"/>
          </w:tcPr>
          <w:p w:rsidR="0057331C" w:rsidRPr="00F13C21" w:rsidRDefault="0057331C" w:rsidP="00952E39">
            <w:pPr>
              <w:pStyle w:val="Tabletext"/>
              <w:rPr>
                <w:szCs w:val="18"/>
              </w:rPr>
            </w:pPr>
            <w:r w:rsidRPr="00F13C21">
              <w:rPr>
                <w:szCs w:val="18"/>
              </w:rPr>
              <w:t xml:space="preserve">Papp K, Langley R, </w:t>
            </w:r>
            <w:proofErr w:type="spellStart"/>
            <w:r w:rsidRPr="00F13C21">
              <w:rPr>
                <w:szCs w:val="18"/>
              </w:rPr>
              <w:t>Lebwohl</w:t>
            </w:r>
            <w:proofErr w:type="spellEnd"/>
            <w:r w:rsidRPr="00F13C21">
              <w:rPr>
                <w:szCs w:val="18"/>
              </w:rPr>
              <w:t xml:space="preserve"> G et al.  Efficacy and safety of ustekinumab, human interleukin-12/23 monoclonal antibody, in patients with psoriasis: 52-week results from a randomised, double blind, placebo-controlled trial </w:t>
            </w:r>
            <w:r w:rsidRPr="00F13C21">
              <w:rPr>
                <w:szCs w:val="18"/>
              </w:rPr>
              <w:lastRenderedPageBreak/>
              <w:t>(PHOENIX 2)</w:t>
            </w:r>
          </w:p>
        </w:tc>
        <w:tc>
          <w:tcPr>
            <w:tcW w:w="1376" w:type="pct"/>
            <w:tcBorders>
              <w:top w:val="single" w:sz="4" w:space="0" w:color="auto"/>
              <w:bottom w:val="single" w:sz="4" w:space="0" w:color="auto"/>
            </w:tcBorders>
            <w:vAlign w:val="center"/>
          </w:tcPr>
          <w:p w:rsidR="0057331C" w:rsidRPr="00F13C21" w:rsidRDefault="0057331C" w:rsidP="00952E39">
            <w:pPr>
              <w:pStyle w:val="Tabletext"/>
              <w:rPr>
                <w:iCs/>
              </w:rPr>
            </w:pPr>
            <w:r w:rsidRPr="00F13C21">
              <w:rPr>
                <w:iCs/>
              </w:rPr>
              <w:lastRenderedPageBreak/>
              <w:t>Lancet</w:t>
            </w:r>
            <w:r w:rsidRPr="00F13C21">
              <w:t xml:space="preserve"> 2008; 371: 1675-1684.</w:t>
            </w:r>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lastRenderedPageBreak/>
              <w:t>Igarashi 2012</w:t>
            </w:r>
          </w:p>
          <w:p w:rsidR="0057331C" w:rsidRPr="00F13C21" w:rsidRDefault="0057331C" w:rsidP="00952E39">
            <w:pPr>
              <w:pStyle w:val="Tabletext"/>
            </w:pPr>
            <w:r w:rsidRPr="00F13C21">
              <w:t>(UST</w:t>
            </w:r>
            <w:r w:rsidRPr="00F13C21">
              <w:rPr>
                <w:vertAlign w:val="subscript"/>
              </w:rPr>
              <w:t>4</w:t>
            </w:r>
            <w:r w:rsidRPr="00F13C21">
              <w:t>)</w:t>
            </w:r>
          </w:p>
        </w:tc>
        <w:tc>
          <w:tcPr>
            <w:tcW w:w="2932" w:type="pct"/>
            <w:tcBorders>
              <w:top w:val="single" w:sz="4" w:space="0" w:color="auto"/>
              <w:bottom w:val="single" w:sz="4" w:space="0" w:color="auto"/>
            </w:tcBorders>
            <w:vAlign w:val="center"/>
          </w:tcPr>
          <w:p w:rsidR="0057331C" w:rsidRPr="00F13C21" w:rsidRDefault="0057331C" w:rsidP="00952E39">
            <w:pPr>
              <w:pStyle w:val="Tabletext"/>
              <w:rPr>
                <w:szCs w:val="18"/>
              </w:rPr>
            </w:pPr>
            <w:r w:rsidRPr="00F13C21">
              <w:rPr>
                <w:szCs w:val="18"/>
              </w:rPr>
              <w:t>Igarashi A, Kato T, Kato M et al. Efficacy and safety of ustekinumab in Japanese patients with moderate-to-severe plaque-type psoriasis: Long-term results from a phase 2/3 clinical trial.</w:t>
            </w:r>
          </w:p>
        </w:tc>
        <w:tc>
          <w:tcPr>
            <w:tcW w:w="1376" w:type="pct"/>
            <w:tcBorders>
              <w:top w:val="single" w:sz="4" w:space="0" w:color="auto"/>
              <w:bottom w:val="single" w:sz="4" w:space="0" w:color="auto"/>
            </w:tcBorders>
            <w:vAlign w:val="center"/>
          </w:tcPr>
          <w:p w:rsidR="0057331C" w:rsidRPr="00F13C21" w:rsidRDefault="0057331C" w:rsidP="00952E39">
            <w:pPr>
              <w:pStyle w:val="Tabletext"/>
              <w:rPr>
                <w:iCs/>
              </w:rPr>
            </w:pPr>
            <w:r w:rsidRPr="00F13C21">
              <w:rPr>
                <w:iCs/>
              </w:rPr>
              <w:t xml:space="preserve">J </w:t>
            </w:r>
            <w:proofErr w:type="spellStart"/>
            <w:r w:rsidRPr="00F13C21">
              <w:rPr>
                <w:iCs/>
              </w:rPr>
              <w:t>Dermatol</w:t>
            </w:r>
            <w:proofErr w:type="spellEnd"/>
            <w:r w:rsidRPr="00F13C21">
              <w:rPr>
                <w:iCs/>
              </w:rPr>
              <w:t>.</w:t>
            </w:r>
            <w:r w:rsidRPr="00F13C21">
              <w:t xml:space="preserve"> 2012; 39: 242-252</w:t>
            </w:r>
            <w:proofErr w:type="gramStart"/>
            <w:r w:rsidRPr="00F13C21">
              <w:t>..</w:t>
            </w:r>
            <w:proofErr w:type="gramEnd"/>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t>PEARL</w:t>
            </w:r>
          </w:p>
          <w:p w:rsidR="0057331C" w:rsidRPr="00F13C21" w:rsidRDefault="0057331C" w:rsidP="00952E39">
            <w:pPr>
              <w:pStyle w:val="Tabletext"/>
            </w:pPr>
            <w:r w:rsidRPr="00F13C21">
              <w:t>(UST</w:t>
            </w:r>
            <w:r w:rsidRPr="00F13C21">
              <w:rPr>
                <w:vertAlign w:val="subscript"/>
              </w:rPr>
              <w:t>5</w:t>
            </w:r>
            <w:r w:rsidRPr="00F13C21">
              <w:t>)</w:t>
            </w:r>
          </w:p>
        </w:tc>
        <w:tc>
          <w:tcPr>
            <w:tcW w:w="2932" w:type="pct"/>
            <w:tcBorders>
              <w:top w:val="single" w:sz="4" w:space="0" w:color="auto"/>
              <w:bottom w:val="single" w:sz="4" w:space="0" w:color="auto"/>
            </w:tcBorders>
            <w:vAlign w:val="center"/>
          </w:tcPr>
          <w:p w:rsidR="0057331C" w:rsidRPr="00F13C21" w:rsidRDefault="0057331C" w:rsidP="00952E39">
            <w:pPr>
              <w:pStyle w:val="Tabletext"/>
              <w:rPr>
                <w:szCs w:val="18"/>
              </w:rPr>
            </w:pPr>
            <w:proofErr w:type="spellStart"/>
            <w:r w:rsidRPr="00F13C21">
              <w:rPr>
                <w:szCs w:val="18"/>
                <w:lang w:val="fr-FR"/>
              </w:rPr>
              <w:t>Tsai</w:t>
            </w:r>
            <w:proofErr w:type="spellEnd"/>
            <w:r w:rsidRPr="00F13C21">
              <w:rPr>
                <w:szCs w:val="18"/>
                <w:lang w:val="fr-FR"/>
              </w:rPr>
              <w:t xml:space="preserve"> T, Ho, J, Song M et al. </w:t>
            </w:r>
            <w:r w:rsidRPr="00F13C21">
              <w:rPr>
                <w:szCs w:val="18"/>
              </w:rPr>
              <w:t>Efficacy and safety of ustekinumab for the treatment of moderate-to-severe psoriasis: A phase III, randomized, placebo-controlled trial in Taiwanese and Korean patients (PEARL).</w:t>
            </w:r>
          </w:p>
        </w:tc>
        <w:tc>
          <w:tcPr>
            <w:tcW w:w="1376" w:type="pct"/>
            <w:tcBorders>
              <w:top w:val="single" w:sz="4" w:space="0" w:color="auto"/>
              <w:bottom w:val="single" w:sz="4" w:space="0" w:color="auto"/>
            </w:tcBorders>
            <w:vAlign w:val="center"/>
          </w:tcPr>
          <w:p w:rsidR="0057331C" w:rsidRPr="00F13C21" w:rsidRDefault="0057331C" w:rsidP="00952E39">
            <w:pPr>
              <w:pStyle w:val="Tabletext"/>
              <w:rPr>
                <w:iCs/>
              </w:rPr>
            </w:pPr>
            <w:r w:rsidRPr="00F13C21">
              <w:rPr>
                <w:iCs/>
              </w:rPr>
              <w:t xml:space="preserve">J </w:t>
            </w:r>
            <w:proofErr w:type="spellStart"/>
            <w:r w:rsidRPr="00F13C21">
              <w:rPr>
                <w:iCs/>
              </w:rPr>
              <w:t>Dermatol</w:t>
            </w:r>
            <w:proofErr w:type="spellEnd"/>
            <w:r w:rsidRPr="00F13C21">
              <w:rPr>
                <w:iCs/>
              </w:rPr>
              <w:t xml:space="preserve"> </w:t>
            </w:r>
            <w:proofErr w:type="spellStart"/>
            <w:r w:rsidRPr="00F13C21">
              <w:rPr>
                <w:iCs/>
              </w:rPr>
              <w:t>Sci</w:t>
            </w:r>
            <w:proofErr w:type="spellEnd"/>
            <w:r w:rsidRPr="00F13C21">
              <w:t xml:space="preserve"> 2011; 63: 154-163.</w:t>
            </w:r>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t>LOTUS</w:t>
            </w:r>
          </w:p>
          <w:p w:rsidR="0057331C" w:rsidRPr="00F13C21" w:rsidRDefault="0057331C" w:rsidP="00952E39">
            <w:pPr>
              <w:pStyle w:val="Tabletext"/>
            </w:pPr>
            <w:r w:rsidRPr="00F13C21">
              <w:t>(UST</w:t>
            </w:r>
            <w:r w:rsidRPr="00F13C21">
              <w:rPr>
                <w:vertAlign w:val="subscript"/>
              </w:rPr>
              <w:t>6</w:t>
            </w:r>
            <w:r w:rsidRPr="00F13C21">
              <w:t>)</w:t>
            </w:r>
          </w:p>
        </w:tc>
        <w:tc>
          <w:tcPr>
            <w:tcW w:w="2932" w:type="pct"/>
            <w:tcBorders>
              <w:top w:val="single" w:sz="4" w:space="0" w:color="auto"/>
              <w:bottom w:val="single" w:sz="4" w:space="0" w:color="auto"/>
            </w:tcBorders>
            <w:vAlign w:val="center"/>
          </w:tcPr>
          <w:p w:rsidR="0057331C" w:rsidRPr="00F13C21" w:rsidRDefault="0057331C" w:rsidP="00952E39">
            <w:pPr>
              <w:pStyle w:val="Tabletext"/>
              <w:rPr>
                <w:szCs w:val="18"/>
              </w:rPr>
            </w:pPr>
            <w:r w:rsidRPr="00F13C21">
              <w:rPr>
                <w:szCs w:val="18"/>
                <w:lang w:val="fr-FR"/>
              </w:rPr>
              <w:t xml:space="preserve">Zhu X, Zheng M, Song M et al. </w:t>
            </w:r>
            <w:r w:rsidRPr="00F13C21">
              <w:rPr>
                <w:szCs w:val="18"/>
              </w:rPr>
              <w:t>Efficacy and safety of ustekinumab in Chinese patients with moderate to severe plaque-type psoriasis: Results from a phase 3 clinical trial (LOTUS).</w:t>
            </w:r>
          </w:p>
        </w:tc>
        <w:tc>
          <w:tcPr>
            <w:tcW w:w="1376" w:type="pct"/>
            <w:tcBorders>
              <w:top w:val="single" w:sz="4" w:space="0" w:color="auto"/>
              <w:bottom w:val="single" w:sz="4" w:space="0" w:color="auto"/>
            </w:tcBorders>
            <w:vAlign w:val="center"/>
          </w:tcPr>
          <w:p w:rsidR="0057331C" w:rsidRPr="00F13C21" w:rsidRDefault="0057331C" w:rsidP="00952E39">
            <w:pPr>
              <w:pStyle w:val="Tabletext"/>
              <w:rPr>
                <w:iCs/>
              </w:rPr>
            </w:pPr>
            <w:r w:rsidRPr="00F13C21">
              <w:rPr>
                <w:iCs/>
              </w:rPr>
              <w:t xml:space="preserve">J Drugs </w:t>
            </w:r>
            <w:proofErr w:type="spellStart"/>
            <w:r w:rsidRPr="00F13C21">
              <w:rPr>
                <w:iCs/>
              </w:rPr>
              <w:t>Dermatol</w:t>
            </w:r>
            <w:proofErr w:type="spellEnd"/>
            <w:r w:rsidRPr="00F13C21">
              <w:rPr>
                <w:iCs/>
              </w:rPr>
              <w:t xml:space="preserve">. </w:t>
            </w:r>
            <w:r w:rsidRPr="00F13C21">
              <w:t>2013; 12 (2): 166-174.</w:t>
            </w:r>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t>AMAGINE-2</w:t>
            </w:r>
          </w:p>
          <w:p w:rsidR="0057331C" w:rsidRPr="00F13C21" w:rsidRDefault="0057331C" w:rsidP="00952E39">
            <w:pPr>
              <w:pStyle w:val="Tabletext"/>
            </w:pPr>
            <w:r w:rsidRPr="00F13C21">
              <w:t>(UST</w:t>
            </w:r>
            <w:r w:rsidRPr="00F13C21">
              <w:rPr>
                <w:vertAlign w:val="subscript"/>
              </w:rPr>
              <w:t>7</w:t>
            </w:r>
            <w:r w:rsidRPr="00F13C21">
              <w:t>)</w:t>
            </w:r>
          </w:p>
        </w:tc>
        <w:tc>
          <w:tcPr>
            <w:tcW w:w="2932" w:type="pct"/>
            <w:vMerge w:val="restart"/>
            <w:tcBorders>
              <w:top w:val="single" w:sz="4" w:space="0" w:color="auto"/>
            </w:tcBorders>
            <w:vAlign w:val="center"/>
          </w:tcPr>
          <w:p w:rsidR="0057331C" w:rsidRPr="00F13C21" w:rsidRDefault="0057331C" w:rsidP="00952E39">
            <w:pPr>
              <w:pStyle w:val="Tabletext"/>
              <w:rPr>
                <w:szCs w:val="18"/>
              </w:rPr>
            </w:pPr>
            <w:r w:rsidRPr="00F13C21">
              <w:rPr>
                <w:szCs w:val="18"/>
                <w:lang w:val="de-DE"/>
              </w:rPr>
              <w:t xml:space="preserve">Lebwohl M, Strober B, Menter A et al. </w:t>
            </w:r>
            <w:r w:rsidRPr="00F13C21">
              <w:rPr>
                <w:szCs w:val="18"/>
              </w:rPr>
              <w:t xml:space="preserve">Phase 3 studies comparing </w:t>
            </w:r>
            <w:proofErr w:type="spellStart"/>
            <w:r w:rsidRPr="00F13C21">
              <w:rPr>
                <w:szCs w:val="18"/>
              </w:rPr>
              <w:t>brodalumab</w:t>
            </w:r>
            <w:proofErr w:type="spellEnd"/>
            <w:r w:rsidRPr="00F13C21">
              <w:rPr>
                <w:szCs w:val="18"/>
              </w:rPr>
              <w:t xml:space="preserve"> with ustekinumab in psoriasis.</w:t>
            </w:r>
          </w:p>
        </w:tc>
        <w:tc>
          <w:tcPr>
            <w:tcW w:w="1376" w:type="pct"/>
            <w:vMerge w:val="restart"/>
            <w:tcBorders>
              <w:top w:val="single" w:sz="4" w:space="0" w:color="auto"/>
            </w:tcBorders>
            <w:vAlign w:val="center"/>
          </w:tcPr>
          <w:p w:rsidR="0057331C" w:rsidRPr="00F13C21" w:rsidRDefault="0057331C" w:rsidP="00952E39">
            <w:pPr>
              <w:pStyle w:val="Tabletext"/>
              <w:rPr>
                <w:iCs/>
              </w:rPr>
            </w:pPr>
            <w:r w:rsidRPr="00F13C21">
              <w:rPr>
                <w:iCs/>
              </w:rPr>
              <w:t xml:space="preserve">NEJM </w:t>
            </w:r>
            <w:r w:rsidRPr="00F13C21">
              <w:t>2015; 373 (14): 1318-1328</w:t>
            </w:r>
          </w:p>
        </w:tc>
      </w:tr>
      <w:tr w:rsidR="0057331C" w:rsidRPr="00F13C21" w:rsidTr="008172A5">
        <w:tc>
          <w:tcPr>
            <w:tcW w:w="692" w:type="pct"/>
            <w:tcBorders>
              <w:top w:val="single" w:sz="4" w:space="0" w:color="auto"/>
              <w:bottom w:val="single" w:sz="4" w:space="0" w:color="auto"/>
            </w:tcBorders>
            <w:vAlign w:val="center"/>
          </w:tcPr>
          <w:p w:rsidR="0057331C" w:rsidRPr="00F13C21" w:rsidRDefault="0057331C" w:rsidP="00952E39">
            <w:pPr>
              <w:pStyle w:val="Tabletext"/>
            </w:pPr>
            <w:r w:rsidRPr="00F13C21">
              <w:t>AMAGINE-3</w:t>
            </w:r>
          </w:p>
          <w:p w:rsidR="0057331C" w:rsidRPr="00F13C21" w:rsidRDefault="0057331C" w:rsidP="00952E39">
            <w:pPr>
              <w:pStyle w:val="Tabletext"/>
            </w:pPr>
            <w:r w:rsidRPr="00F13C21">
              <w:t>(UST</w:t>
            </w:r>
            <w:r w:rsidRPr="00F13C21">
              <w:rPr>
                <w:vertAlign w:val="subscript"/>
              </w:rPr>
              <w:t>8</w:t>
            </w:r>
            <w:r w:rsidRPr="00F13C21">
              <w:t>)</w:t>
            </w:r>
          </w:p>
        </w:tc>
        <w:tc>
          <w:tcPr>
            <w:tcW w:w="2932" w:type="pct"/>
            <w:vMerge/>
            <w:tcBorders>
              <w:bottom w:val="single" w:sz="4" w:space="0" w:color="auto"/>
            </w:tcBorders>
            <w:vAlign w:val="center"/>
          </w:tcPr>
          <w:p w:rsidR="0057331C" w:rsidRPr="00F13C21" w:rsidRDefault="0057331C" w:rsidP="00952E39">
            <w:pPr>
              <w:pStyle w:val="Tabletext"/>
              <w:rPr>
                <w:szCs w:val="18"/>
              </w:rPr>
            </w:pPr>
          </w:p>
        </w:tc>
        <w:tc>
          <w:tcPr>
            <w:tcW w:w="1376" w:type="pct"/>
            <w:vMerge/>
            <w:tcBorders>
              <w:bottom w:val="single" w:sz="4" w:space="0" w:color="auto"/>
            </w:tcBorders>
            <w:vAlign w:val="center"/>
          </w:tcPr>
          <w:p w:rsidR="0057331C" w:rsidRPr="00F13C21" w:rsidRDefault="0057331C" w:rsidP="00952E39">
            <w:pPr>
              <w:pStyle w:val="Tabletext"/>
              <w:rPr>
                <w:iCs/>
              </w:rPr>
            </w:pPr>
          </w:p>
        </w:tc>
      </w:tr>
      <w:tr w:rsidR="0057331C" w:rsidRPr="00F13C21" w:rsidTr="00952E39">
        <w:tc>
          <w:tcPr>
            <w:tcW w:w="5000" w:type="pct"/>
            <w:gridSpan w:val="3"/>
            <w:tcBorders>
              <w:top w:val="single" w:sz="4" w:space="0" w:color="auto"/>
              <w:bottom w:val="single" w:sz="4" w:space="0" w:color="auto"/>
            </w:tcBorders>
            <w:vAlign w:val="center"/>
          </w:tcPr>
          <w:p w:rsidR="0057331C" w:rsidRPr="00F13C21" w:rsidRDefault="0057331C" w:rsidP="00952E39">
            <w:pPr>
              <w:pStyle w:val="Tabletext"/>
              <w:rPr>
                <w:b/>
                <w:bCs/>
              </w:rPr>
            </w:pPr>
            <w:r w:rsidRPr="00F13C21">
              <w:rPr>
                <w:b/>
                <w:bCs/>
              </w:rPr>
              <w:t>ADA vs PBO</w:t>
            </w:r>
          </w:p>
        </w:tc>
      </w:tr>
      <w:tr w:rsidR="0057331C" w:rsidRPr="00F13C21" w:rsidTr="008172A5">
        <w:tc>
          <w:tcPr>
            <w:tcW w:w="692" w:type="pct"/>
          </w:tcPr>
          <w:p w:rsidR="0057331C" w:rsidRPr="00F13C21" w:rsidRDefault="0057331C" w:rsidP="00952E39">
            <w:pPr>
              <w:pStyle w:val="Tabletext"/>
            </w:pPr>
            <w:r w:rsidRPr="00F13C21">
              <w:t>CHAMPION (ADA</w:t>
            </w:r>
            <w:r w:rsidRPr="00F13C21">
              <w:rPr>
                <w:vertAlign w:val="subscript"/>
              </w:rPr>
              <w:t>1</w:t>
            </w:r>
            <w:r w:rsidRPr="00F13C21">
              <w:t>)</w:t>
            </w:r>
          </w:p>
        </w:tc>
        <w:tc>
          <w:tcPr>
            <w:tcW w:w="2932" w:type="pct"/>
          </w:tcPr>
          <w:p w:rsidR="0057331C" w:rsidRPr="00F13C21" w:rsidRDefault="0057331C" w:rsidP="00952E39">
            <w:pPr>
              <w:pStyle w:val="Tabletext"/>
              <w:rPr>
                <w:szCs w:val="18"/>
              </w:rPr>
            </w:pPr>
            <w:proofErr w:type="spellStart"/>
            <w:r w:rsidRPr="00F13C21">
              <w:rPr>
                <w:bCs/>
              </w:rPr>
              <w:t>Saurat</w:t>
            </w:r>
            <w:proofErr w:type="spellEnd"/>
            <w:r w:rsidRPr="00F13C21">
              <w:rPr>
                <w:bCs/>
              </w:rPr>
              <w:t xml:space="preserve"> JH, et al. Efficacy and safety results from the randomized controlled comparative study of adalimumab vs. methotrexate vs. placebo in patients with psoriasis (CHAMPION).</w:t>
            </w:r>
          </w:p>
        </w:tc>
        <w:tc>
          <w:tcPr>
            <w:tcW w:w="1376" w:type="pct"/>
          </w:tcPr>
          <w:p w:rsidR="0057331C" w:rsidRPr="00F13C21" w:rsidRDefault="0057331C" w:rsidP="00952E39">
            <w:pPr>
              <w:pStyle w:val="Tabletext"/>
              <w:rPr>
                <w:iCs/>
              </w:rPr>
            </w:pPr>
            <w:r w:rsidRPr="00F13C21">
              <w:rPr>
                <w:iCs/>
              </w:rPr>
              <w:t xml:space="preserve">Br J </w:t>
            </w:r>
            <w:proofErr w:type="spellStart"/>
            <w:r w:rsidRPr="00F13C21">
              <w:rPr>
                <w:iCs/>
              </w:rPr>
              <w:t>Dermatol</w:t>
            </w:r>
            <w:proofErr w:type="spellEnd"/>
            <w:r w:rsidRPr="00F13C21">
              <w:rPr>
                <w:iCs/>
              </w:rPr>
              <w:t xml:space="preserve">. </w:t>
            </w:r>
            <w:r w:rsidRPr="00F13C21">
              <w:t>2008; 158(3): 558-566.</w:t>
            </w:r>
          </w:p>
        </w:tc>
      </w:tr>
      <w:tr w:rsidR="0057331C" w:rsidRPr="00F13C21" w:rsidTr="008172A5">
        <w:tc>
          <w:tcPr>
            <w:tcW w:w="692" w:type="pct"/>
          </w:tcPr>
          <w:p w:rsidR="0042708B" w:rsidRPr="00F13C21" w:rsidRDefault="0057331C" w:rsidP="00952E39">
            <w:pPr>
              <w:pStyle w:val="Tabletext"/>
            </w:pPr>
            <w:r w:rsidRPr="00F13C21">
              <w:t xml:space="preserve">REVEAL </w:t>
            </w:r>
          </w:p>
          <w:p w:rsidR="0057331C" w:rsidRPr="00F13C21" w:rsidRDefault="0057331C" w:rsidP="00952E39">
            <w:pPr>
              <w:pStyle w:val="Tabletext"/>
            </w:pPr>
            <w:r w:rsidRPr="00F13C21">
              <w:t>(ADA</w:t>
            </w:r>
            <w:r w:rsidRPr="00F13C21">
              <w:rPr>
                <w:vertAlign w:val="subscript"/>
              </w:rPr>
              <w:t>2</w:t>
            </w:r>
            <w:r w:rsidRPr="00F13C21">
              <w:t>)</w:t>
            </w:r>
          </w:p>
        </w:tc>
        <w:tc>
          <w:tcPr>
            <w:tcW w:w="2932" w:type="pct"/>
          </w:tcPr>
          <w:p w:rsidR="0057331C" w:rsidRPr="00F13C21" w:rsidRDefault="0057331C" w:rsidP="00952E39">
            <w:pPr>
              <w:pStyle w:val="Tabletext"/>
              <w:rPr>
                <w:szCs w:val="18"/>
              </w:rPr>
            </w:pPr>
            <w:proofErr w:type="spellStart"/>
            <w:r w:rsidRPr="00F13C21">
              <w:rPr>
                <w:bCs/>
              </w:rPr>
              <w:t>Menter</w:t>
            </w:r>
            <w:proofErr w:type="spellEnd"/>
            <w:r w:rsidRPr="00F13C21">
              <w:rPr>
                <w:bCs/>
              </w:rPr>
              <w:t xml:space="preserve"> A, et al. Adalimumab therapy for moderate to severe psoriasis: A randomized, controlled phase III trial.</w:t>
            </w:r>
          </w:p>
        </w:tc>
        <w:tc>
          <w:tcPr>
            <w:tcW w:w="1376" w:type="pct"/>
          </w:tcPr>
          <w:p w:rsidR="0057331C" w:rsidRPr="00F13C21" w:rsidRDefault="0057331C" w:rsidP="00952E39">
            <w:pPr>
              <w:pStyle w:val="Tabletext"/>
              <w:rPr>
                <w:iCs/>
              </w:rPr>
            </w:pPr>
            <w:r w:rsidRPr="00F13C21">
              <w:rPr>
                <w:iCs/>
              </w:rPr>
              <w:t xml:space="preserve">J Am </w:t>
            </w:r>
            <w:proofErr w:type="spellStart"/>
            <w:r w:rsidRPr="00F13C21">
              <w:rPr>
                <w:iCs/>
              </w:rPr>
              <w:t>Acad</w:t>
            </w:r>
            <w:proofErr w:type="spellEnd"/>
            <w:r w:rsidRPr="00F13C21">
              <w:rPr>
                <w:iCs/>
              </w:rPr>
              <w:t xml:space="preserve"> </w:t>
            </w:r>
            <w:proofErr w:type="spellStart"/>
            <w:r w:rsidRPr="00F13C21">
              <w:rPr>
                <w:iCs/>
              </w:rPr>
              <w:t>Dermatol</w:t>
            </w:r>
            <w:proofErr w:type="spellEnd"/>
            <w:r w:rsidRPr="00F13C21">
              <w:rPr>
                <w:iCs/>
              </w:rPr>
              <w:t xml:space="preserve">. </w:t>
            </w:r>
            <w:r w:rsidRPr="00F13C21">
              <w:t>2008; 58(1): 106-115.</w:t>
            </w:r>
          </w:p>
        </w:tc>
      </w:tr>
      <w:tr w:rsidR="0057331C" w:rsidRPr="00F13C21" w:rsidTr="008172A5">
        <w:tc>
          <w:tcPr>
            <w:tcW w:w="692" w:type="pct"/>
          </w:tcPr>
          <w:p w:rsidR="0057331C" w:rsidRPr="00F13C21" w:rsidRDefault="0057331C" w:rsidP="00952E39">
            <w:pPr>
              <w:pStyle w:val="Tabletext"/>
            </w:pPr>
            <w:r w:rsidRPr="00F13C21">
              <w:t>Gordon 2006 (ADA</w:t>
            </w:r>
            <w:r w:rsidRPr="00F13C21">
              <w:rPr>
                <w:vertAlign w:val="subscript"/>
              </w:rPr>
              <w:t>3</w:t>
            </w:r>
            <w:r w:rsidRPr="00F13C21">
              <w:t>)</w:t>
            </w:r>
          </w:p>
        </w:tc>
        <w:tc>
          <w:tcPr>
            <w:tcW w:w="2932" w:type="pct"/>
          </w:tcPr>
          <w:p w:rsidR="0057331C" w:rsidRPr="00F13C21" w:rsidRDefault="0057331C" w:rsidP="00952E39">
            <w:pPr>
              <w:pStyle w:val="Tabletext"/>
              <w:rPr>
                <w:szCs w:val="18"/>
              </w:rPr>
            </w:pPr>
            <w:r w:rsidRPr="00F13C21">
              <w:rPr>
                <w:bCs/>
              </w:rPr>
              <w:t>Gordon KB, et al. Clinical response to adalimumab treatment in patients with moderate to severe psoriasis: double-blind, randomized controlled trial and open-label extension study.</w:t>
            </w:r>
          </w:p>
        </w:tc>
        <w:tc>
          <w:tcPr>
            <w:tcW w:w="1376" w:type="pct"/>
          </w:tcPr>
          <w:p w:rsidR="0057331C" w:rsidRPr="00F13C21" w:rsidRDefault="0057331C" w:rsidP="00952E39">
            <w:pPr>
              <w:pStyle w:val="Tabletext"/>
              <w:rPr>
                <w:iCs/>
              </w:rPr>
            </w:pPr>
            <w:r w:rsidRPr="00F13C21">
              <w:rPr>
                <w:iCs/>
              </w:rPr>
              <w:t xml:space="preserve">J Am </w:t>
            </w:r>
            <w:proofErr w:type="spellStart"/>
            <w:r w:rsidRPr="00F13C21">
              <w:rPr>
                <w:iCs/>
              </w:rPr>
              <w:t>Acad</w:t>
            </w:r>
            <w:proofErr w:type="spellEnd"/>
            <w:r w:rsidRPr="00F13C21">
              <w:rPr>
                <w:iCs/>
              </w:rPr>
              <w:t xml:space="preserve"> </w:t>
            </w:r>
            <w:proofErr w:type="spellStart"/>
            <w:r w:rsidRPr="00F13C21">
              <w:rPr>
                <w:iCs/>
              </w:rPr>
              <w:t>Dermatol</w:t>
            </w:r>
            <w:proofErr w:type="spellEnd"/>
            <w:r w:rsidRPr="00F13C21">
              <w:rPr>
                <w:iCs/>
              </w:rPr>
              <w:t xml:space="preserve">. </w:t>
            </w:r>
            <w:r w:rsidRPr="00F13C21">
              <w:t>2006; 55(4): 598-606.</w:t>
            </w:r>
          </w:p>
        </w:tc>
      </w:tr>
      <w:tr w:rsidR="0057331C" w:rsidRPr="00F13C21" w:rsidTr="008172A5">
        <w:tc>
          <w:tcPr>
            <w:tcW w:w="692" w:type="pct"/>
          </w:tcPr>
          <w:p w:rsidR="0057331C" w:rsidRPr="00F13C21" w:rsidRDefault="0057331C" w:rsidP="00952E39">
            <w:pPr>
              <w:pStyle w:val="Tabletext"/>
            </w:pPr>
            <w:proofErr w:type="spellStart"/>
            <w:r w:rsidRPr="00F13C21">
              <w:t>Asahina</w:t>
            </w:r>
            <w:proofErr w:type="spellEnd"/>
            <w:r w:rsidRPr="00F13C21">
              <w:t xml:space="preserve"> 2010 (ADA</w:t>
            </w:r>
            <w:r w:rsidRPr="00F13C21">
              <w:rPr>
                <w:vertAlign w:val="subscript"/>
              </w:rPr>
              <w:t>4</w:t>
            </w:r>
            <w:r w:rsidRPr="00F13C21">
              <w:t>)</w:t>
            </w:r>
          </w:p>
        </w:tc>
        <w:tc>
          <w:tcPr>
            <w:tcW w:w="2932" w:type="pct"/>
          </w:tcPr>
          <w:p w:rsidR="0057331C" w:rsidRPr="00F13C21" w:rsidRDefault="0057331C" w:rsidP="00952E39">
            <w:pPr>
              <w:pStyle w:val="Tabletext"/>
              <w:rPr>
                <w:szCs w:val="18"/>
              </w:rPr>
            </w:pPr>
            <w:proofErr w:type="spellStart"/>
            <w:r w:rsidRPr="00F13C21">
              <w:rPr>
                <w:bCs/>
              </w:rPr>
              <w:t>Asahina</w:t>
            </w:r>
            <w:proofErr w:type="spellEnd"/>
            <w:r w:rsidRPr="00F13C21">
              <w:rPr>
                <w:bCs/>
              </w:rPr>
              <w:t xml:space="preserve"> A, et al. Adalimumab in Japanese patients with moderate to severe chronic plaque psoriasis: efficacy and safety results from a Phase II/III randomized controlled study.</w:t>
            </w:r>
          </w:p>
        </w:tc>
        <w:tc>
          <w:tcPr>
            <w:tcW w:w="1376" w:type="pct"/>
          </w:tcPr>
          <w:p w:rsidR="0057331C" w:rsidRPr="00F13C21" w:rsidRDefault="0057331C" w:rsidP="00952E39">
            <w:pPr>
              <w:pStyle w:val="Tabletext"/>
              <w:rPr>
                <w:iCs/>
              </w:rPr>
            </w:pPr>
            <w:r w:rsidRPr="00F13C21">
              <w:rPr>
                <w:iCs/>
              </w:rPr>
              <w:t xml:space="preserve">J </w:t>
            </w:r>
            <w:proofErr w:type="spellStart"/>
            <w:r w:rsidRPr="00F13C21">
              <w:rPr>
                <w:iCs/>
              </w:rPr>
              <w:t>Dermatol</w:t>
            </w:r>
            <w:proofErr w:type="spellEnd"/>
            <w:r w:rsidRPr="00F13C21">
              <w:rPr>
                <w:iCs/>
              </w:rPr>
              <w:t>.</w:t>
            </w:r>
            <w:r w:rsidRPr="00F13C21">
              <w:t xml:space="preserve"> 2010; 37(4): 299-310.</w:t>
            </w:r>
          </w:p>
        </w:tc>
      </w:tr>
      <w:tr w:rsidR="0057331C" w:rsidRPr="00F13C21" w:rsidTr="008172A5">
        <w:tc>
          <w:tcPr>
            <w:tcW w:w="692" w:type="pct"/>
          </w:tcPr>
          <w:p w:rsidR="0042708B" w:rsidRPr="00F13C21" w:rsidRDefault="0057331C" w:rsidP="00952E39">
            <w:pPr>
              <w:pStyle w:val="Tabletext"/>
            </w:pPr>
            <w:proofErr w:type="spellStart"/>
            <w:r w:rsidRPr="00F13C21">
              <w:t>Cai</w:t>
            </w:r>
            <w:proofErr w:type="spellEnd"/>
            <w:r w:rsidRPr="00F13C21">
              <w:t xml:space="preserve"> 2017 </w:t>
            </w:r>
          </w:p>
          <w:p w:rsidR="0057331C" w:rsidRPr="00F13C21" w:rsidRDefault="0057331C" w:rsidP="00952E39">
            <w:pPr>
              <w:pStyle w:val="Tabletext"/>
            </w:pPr>
            <w:r w:rsidRPr="00F13C21">
              <w:t>(ADA</w:t>
            </w:r>
            <w:r w:rsidRPr="00F13C21">
              <w:rPr>
                <w:vertAlign w:val="subscript"/>
              </w:rPr>
              <w:t>5</w:t>
            </w:r>
            <w:r w:rsidRPr="00F13C21">
              <w:t>)</w:t>
            </w:r>
          </w:p>
        </w:tc>
        <w:tc>
          <w:tcPr>
            <w:tcW w:w="2932" w:type="pct"/>
          </w:tcPr>
          <w:p w:rsidR="0057331C" w:rsidRPr="00F13C21" w:rsidRDefault="0057331C" w:rsidP="00952E39">
            <w:pPr>
              <w:pStyle w:val="Tabletext"/>
              <w:rPr>
                <w:szCs w:val="18"/>
              </w:rPr>
            </w:pPr>
            <w:proofErr w:type="spellStart"/>
            <w:r w:rsidRPr="00F13C21">
              <w:rPr>
                <w:szCs w:val="18"/>
              </w:rPr>
              <w:t>Cai</w:t>
            </w:r>
            <w:proofErr w:type="spellEnd"/>
            <w:r w:rsidRPr="00F13C21">
              <w:rPr>
                <w:szCs w:val="18"/>
              </w:rPr>
              <w:t xml:space="preserve"> L, </w:t>
            </w:r>
            <w:proofErr w:type="spellStart"/>
            <w:r w:rsidRPr="00F13C21">
              <w:rPr>
                <w:szCs w:val="18"/>
              </w:rPr>
              <w:t>Gu</w:t>
            </w:r>
            <w:proofErr w:type="spellEnd"/>
            <w:r w:rsidRPr="00F13C21">
              <w:rPr>
                <w:szCs w:val="18"/>
              </w:rPr>
              <w:t xml:space="preserve"> J, Zheng J et al. Efficacy and safety of adalimumab in Chinese patients with moderate-to-severe plaque psoriasis: results from a phase 3, randomized, placebo-controlled, double-blind study.</w:t>
            </w:r>
          </w:p>
        </w:tc>
        <w:tc>
          <w:tcPr>
            <w:tcW w:w="1376" w:type="pct"/>
          </w:tcPr>
          <w:p w:rsidR="0057331C" w:rsidRPr="00F13C21" w:rsidRDefault="0057331C" w:rsidP="00952E39">
            <w:pPr>
              <w:pStyle w:val="Tabletext"/>
              <w:rPr>
                <w:iCs/>
              </w:rPr>
            </w:pPr>
            <w:r w:rsidRPr="00F13C21">
              <w:rPr>
                <w:iCs/>
              </w:rPr>
              <w:t xml:space="preserve">J European </w:t>
            </w:r>
            <w:proofErr w:type="spellStart"/>
            <w:r w:rsidRPr="00F13C21">
              <w:rPr>
                <w:iCs/>
              </w:rPr>
              <w:t>Acad</w:t>
            </w:r>
            <w:proofErr w:type="spellEnd"/>
            <w:r w:rsidRPr="00F13C21">
              <w:rPr>
                <w:iCs/>
              </w:rPr>
              <w:t xml:space="preserve"> </w:t>
            </w:r>
            <w:proofErr w:type="spellStart"/>
            <w:r w:rsidRPr="00F13C21">
              <w:rPr>
                <w:iCs/>
              </w:rPr>
              <w:t>Dermatol</w:t>
            </w:r>
            <w:proofErr w:type="spellEnd"/>
            <w:r w:rsidRPr="00F13C21">
              <w:rPr>
                <w:iCs/>
              </w:rPr>
              <w:t xml:space="preserve"> &amp; </w:t>
            </w:r>
            <w:proofErr w:type="spellStart"/>
            <w:r w:rsidRPr="00F13C21">
              <w:rPr>
                <w:iCs/>
              </w:rPr>
              <w:t>Venereol</w:t>
            </w:r>
            <w:proofErr w:type="spellEnd"/>
            <w:r w:rsidRPr="00F13C21">
              <w:rPr>
                <w:iCs/>
              </w:rPr>
              <w:t xml:space="preserve"> </w:t>
            </w:r>
            <w:r w:rsidRPr="00F13C21">
              <w:t>2017; 31(1): 89-95.</w:t>
            </w:r>
          </w:p>
        </w:tc>
      </w:tr>
    </w:tbl>
    <w:p w:rsidR="0057331C" w:rsidRPr="00F13C21" w:rsidRDefault="0057331C" w:rsidP="005A5E89">
      <w:pPr>
        <w:rPr>
          <w:rFonts w:ascii="Arial Narrow" w:hAnsi="Arial Narrow"/>
          <w:b/>
          <w:sz w:val="18"/>
          <w:szCs w:val="18"/>
        </w:rPr>
      </w:pPr>
      <w:bookmarkStart w:id="9" w:name="_Toc503212787"/>
      <w:bookmarkStart w:id="10" w:name="_Toc512339657"/>
      <w:r w:rsidRPr="00F13C21">
        <w:rPr>
          <w:rFonts w:ascii="Arial Narrow" w:hAnsi="Arial Narrow"/>
          <w:sz w:val="18"/>
          <w:szCs w:val="18"/>
        </w:rPr>
        <w:t>ADA</w:t>
      </w:r>
      <w:r w:rsidR="00A557C1">
        <w:rPr>
          <w:rFonts w:ascii="Arial Narrow" w:hAnsi="Arial Narrow"/>
          <w:sz w:val="18"/>
          <w:szCs w:val="18"/>
        </w:rPr>
        <w:t xml:space="preserve"> </w:t>
      </w:r>
      <w:r w:rsidRPr="00F13C21">
        <w:rPr>
          <w:rFonts w:ascii="Arial Narrow" w:hAnsi="Arial Narrow"/>
          <w:sz w:val="18"/>
          <w:szCs w:val="18"/>
        </w:rPr>
        <w:t>=</w:t>
      </w:r>
      <w:r w:rsidR="00A557C1">
        <w:rPr>
          <w:rFonts w:ascii="Arial Narrow" w:hAnsi="Arial Narrow"/>
          <w:sz w:val="18"/>
          <w:szCs w:val="18"/>
        </w:rPr>
        <w:t xml:space="preserve"> </w:t>
      </w:r>
      <w:r w:rsidRPr="00F13C21">
        <w:rPr>
          <w:rFonts w:ascii="Arial Narrow" w:hAnsi="Arial Narrow"/>
          <w:sz w:val="18"/>
          <w:szCs w:val="18"/>
        </w:rPr>
        <w:t>adalimumab</w:t>
      </w:r>
      <w:r w:rsidR="00A557C1">
        <w:rPr>
          <w:rFonts w:ascii="Arial Narrow" w:hAnsi="Arial Narrow"/>
          <w:sz w:val="18"/>
          <w:szCs w:val="18"/>
        </w:rPr>
        <w:t>;</w:t>
      </w:r>
      <w:r w:rsidRPr="00F13C21">
        <w:rPr>
          <w:rFonts w:ascii="Arial Narrow" w:hAnsi="Arial Narrow"/>
          <w:sz w:val="18"/>
          <w:szCs w:val="18"/>
        </w:rPr>
        <w:t xml:space="preserve"> ETN</w:t>
      </w:r>
      <w:r w:rsidR="00A557C1">
        <w:rPr>
          <w:rFonts w:ascii="Arial Narrow" w:hAnsi="Arial Narrow"/>
          <w:sz w:val="18"/>
          <w:szCs w:val="18"/>
        </w:rPr>
        <w:t xml:space="preserve"> = </w:t>
      </w:r>
      <w:r w:rsidRPr="00F13C21">
        <w:rPr>
          <w:rFonts w:ascii="Arial Narrow" w:hAnsi="Arial Narrow"/>
          <w:sz w:val="18"/>
          <w:szCs w:val="18"/>
        </w:rPr>
        <w:t>etanercept</w:t>
      </w:r>
      <w:proofErr w:type="gramStart"/>
      <w:r w:rsidR="00A557C1">
        <w:rPr>
          <w:rFonts w:ascii="Arial Narrow" w:hAnsi="Arial Narrow"/>
          <w:sz w:val="18"/>
          <w:szCs w:val="18"/>
        </w:rPr>
        <w:t xml:space="preserve">; </w:t>
      </w:r>
      <w:r w:rsidRPr="00F13C21">
        <w:rPr>
          <w:rFonts w:ascii="Arial Narrow" w:hAnsi="Arial Narrow"/>
          <w:sz w:val="18"/>
          <w:szCs w:val="18"/>
        </w:rPr>
        <w:t xml:space="preserve"> PBO</w:t>
      </w:r>
      <w:proofErr w:type="gramEnd"/>
      <w:r w:rsidR="00A557C1">
        <w:rPr>
          <w:rFonts w:ascii="Arial Narrow" w:hAnsi="Arial Narrow"/>
          <w:sz w:val="18"/>
          <w:szCs w:val="18"/>
        </w:rPr>
        <w:t xml:space="preserve"> </w:t>
      </w:r>
      <w:r w:rsidRPr="00F13C21">
        <w:rPr>
          <w:rFonts w:ascii="Arial Narrow" w:hAnsi="Arial Narrow"/>
          <w:sz w:val="18"/>
          <w:szCs w:val="18"/>
        </w:rPr>
        <w:t>=</w:t>
      </w:r>
      <w:r w:rsidR="00A557C1">
        <w:rPr>
          <w:rFonts w:ascii="Arial Narrow" w:hAnsi="Arial Narrow"/>
          <w:sz w:val="18"/>
          <w:szCs w:val="18"/>
        </w:rPr>
        <w:t xml:space="preserve"> </w:t>
      </w:r>
      <w:r w:rsidRPr="00F13C21">
        <w:rPr>
          <w:rFonts w:ascii="Arial Narrow" w:hAnsi="Arial Narrow"/>
          <w:sz w:val="18"/>
          <w:szCs w:val="18"/>
        </w:rPr>
        <w:t>placebo</w:t>
      </w:r>
      <w:r w:rsidR="00A557C1">
        <w:rPr>
          <w:rFonts w:ascii="Arial Narrow" w:hAnsi="Arial Narrow"/>
          <w:sz w:val="18"/>
          <w:szCs w:val="18"/>
        </w:rPr>
        <w:t>;</w:t>
      </w:r>
      <w:r w:rsidRPr="00F13C21">
        <w:rPr>
          <w:rFonts w:ascii="Arial Narrow" w:hAnsi="Arial Narrow"/>
          <w:sz w:val="18"/>
          <w:szCs w:val="18"/>
        </w:rPr>
        <w:t xml:space="preserve"> TIL</w:t>
      </w:r>
      <w:r w:rsidR="00A557C1">
        <w:rPr>
          <w:rFonts w:ascii="Arial Narrow" w:hAnsi="Arial Narrow"/>
          <w:sz w:val="18"/>
          <w:szCs w:val="18"/>
        </w:rPr>
        <w:t xml:space="preserve"> </w:t>
      </w:r>
      <w:r w:rsidRPr="00F13C21">
        <w:rPr>
          <w:rFonts w:ascii="Arial Narrow" w:hAnsi="Arial Narrow"/>
          <w:sz w:val="18"/>
          <w:szCs w:val="18"/>
        </w:rPr>
        <w:t>=</w:t>
      </w:r>
      <w:r w:rsidR="00A557C1">
        <w:rPr>
          <w:rFonts w:ascii="Arial Narrow" w:hAnsi="Arial Narrow"/>
          <w:sz w:val="18"/>
          <w:szCs w:val="18"/>
        </w:rPr>
        <w:t xml:space="preserve"> </w:t>
      </w:r>
      <w:proofErr w:type="spellStart"/>
      <w:r w:rsidRPr="00F13C21">
        <w:rPr>
          <w:rFonts w:ascii="Arial Narrow" w:hAnsi="Arial Narrow"/>
          <w:sz w:val="18"/>
          <w:szCs w:val="18"/>
        </w:rPr>
        <w:t>tildrakizumab</w:t>
      </w:r>
      <w:proofErr w:type="spellEnd"/>
      <w:r w:rsidR="00A557C1">
        <w:rPr>
          <w:rFonts w:ascii="Arial Narrow" w:hAnsi="Arial Narrow"/>
          <w:sz w:val="18"/>
          <w:szCs w:val="18"/>
        </w:rPr>
        <w:t>;</w:t>
      </w:r>
      <w:r w:rsidRPr="00F13C21">
        <w:rPr>
          <w:rFonts w:ascii="Arial Narrow" w:hAnsi="Arial Narrow"/>
          <w:sz w:val="18"/>
          <w:szCs w:val="18"/>
        </w:rPr>
        <w:t xml:space="preserve"> UST=</w:t>
      </w:r>
      <w:r w:rsidR="00A557C1">
        <w:rPr>
          <w:rFonts w:ascii="Arial Narrow" w:hAnsi="Arial Narrow"/>
          <w:sz w:val="18"/>
          <w:szCs w:val="18"/>
        </w:rPr>
        <w:t xml:space="preserve"> </w:t>
      </w:r>
      <w:r w:rsidRPr="00F13C21">
        <w:rPr>
          <w:rFonts w:ascii="Arial Narrow" w:hAnsi="Arial Narrow"/>
          <w:sz w:val="18"/>
          <w:szCs w:val="18"/>
        </w:rPr>
        <w:t>ustekinumab</w:t>
      </w:r>
      <w:bookmarkEnd w:id="9"/>
      <w:bookmarkEnd w:id="10"/>
    </w:p>
    <w:p w:rsidR="0057331C" w:rsidRDefault="0057331C" w:rsidP="005A5E89">
      <w:pPr>
        <w:rPr>
          <w:rFonts w:ascii="Arial Narrow" w:hAnsi="Arial Narrow"/>
          <w:sz w:val="18"/>
          <w:szCs w:val="18"/>
        </w:rPr>
      </w:pPr>
      <w:bookmarkStart w:id="11" w:name="_Toc512339658"/>
      <w:r w:rsidRPr="00F13C21">
        <w:rPr>
          <w:rFonts w:ascii="Arial Narrow" w:hAnsi="Arial Narrow"/>
          <w:sz w:val="18"/>
          <w:szCs w:val="18"/>
        </w:rPr>
        <w:t>Source: Table 2(a).2-2, pp36-37 of the submission, Table 2(c).2-1 of Appendix 9 of the submission.</w:t>
      </w:r>
      <w:bookmarkEnd w:id="11"/>
    </w:p>
    <w:p w:rsidR="004156B1" w:rsidRPr="00952E39" w:rsidRDefault="004156B1" w:rsidP="004156B1">
      <w:pPr>
        <w:rPr>
          <w:szCs w:val="24"/>
        </w:rPr>
      </w:pPr>
    </w:p>
    <w:p w:rsidR="00164C65" w:rsidRPr="00F13C21" w:rsidRDefault="00164C65" w:rsidP="00952E39">
      <w:pPr>
        <w:pStyle w:val="ListParagraph"/>
        <w:widowControl/>
        <w:numPr>
          <w:ilvl w:val="1"/>
          <w:numId w:val="3"/>
        </w:numPr>
        <w:spacing w:after="120"/>
        <w:rPr>
          <w:iCs/>
          <w:szCs w:val="20"/>
        </w:rPr>
      </w:pPr>
      <w:r w:rsidRPr="00F13C21">
        <w:t>The</w:t>
      </w:r>
      <w:r w:rsidRPr="00F13C21">
        <w:rPr>
          <w:rFonts w:cs="Calibri"/>
          <w:snapToGrid/>
          <w:szCs w:val="24"/>
          <w:lang w:eastAsia="en-AU"/>
        </w:rPr>
        <w:t xml:space="preserve"> key features of the included trials</w:t>
      </w:r>
      <w:r w:rsidR="004C58F6" w:rsidRPr="00F13C21">
        <w:rPr>
          <w:rFonts w:cs="Calibri"/>
          <w:snapToGrid/>
          <w:szCs w:val="24"/>
          <w:lang w:eastAsia="en-AU"/>
        </w:rPr>
        <w:t xml:space="preserve"> are summarised in Table 3.</w:t>
      </w:r>
    </w:p>
    <w:p w:rsidR="0057331C" w:rsidRPr="00F13C21" w:rsidRDefault="0057331C" w:rsidP="0057331C">
      <w:pPr>
        <w:pStyle w:val="ListParagraph"/>
        <w:keepNext/>
        <w:keepLines/>
        <w:widowControl/>
        <w:spacing w:after="0"/>
        <w:ind w:left="0"/>
        <w:rPr>
          <w:rFonts w:ascii="Arial Narrow" w:hAnsi="Arial Narrow"/>
          <w:b/>
          <w:sz w:val="20"/>
          <w:szCs w:val="20"/>
        </w:rPr>
      </w:pPr>
      <w:r w:rsidRPr="00F13C21">
        <w:rPr>
          <w:rStyle w:val="CommentReference"/>
          <w:bCs/>
        </w:rPr>
        <w:t xml:space="preserve">Table 3: </w:t>
      </w:r>
      <w:r w:rsidRPr="00F13C21">
        <w:rPr>
          <w:rFonts w:ascii="Arial Narrow" w:hAnsi="Arial Narrow"/>
          <w:b/>
          <w:sz w:val="20"/>
          <w:szCs w:val="20"/>
        </w:rPr>
        <w:t>Key features of evidence included in the submission</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470"/>
        <w:gridCol w:w="3122"/>
        <w:gridCol w:w="840"/>
        <w:gridCol w:w="1882"/>
        <w:gridCol w:w="1668"/>
      </w:tblGrid>
      <w:tr w:rsidR="00164C65" w:rsidRPr="00F13C21" w:rsidTr="004156B1">
        <w:trPr>
          <w:cantSplit/>
          <w:tblHeader/>
        </w:trPr>
        <w:tc>
          <w:tcPr>
            <w:tcW w:w="687" w:type="pct"/>
            <w:shd w:val="clear" w:color="auto" w:fill="auto"/>
            <w:vAlign w:val="center"/>
          </w:tcPr>
          <w:p w:rsidR="00164C65" w:rsidRPr="00F13C21" w:rsidRDefault="00164C65" w:rsidP="005A0854">
            <w:pPr>
              <w:keepLines/>
              <w:rPr>
                <w:rFonts w:ascii="Arial Narrow" w:hAnsi="Arial Narrow"/>
                <w:b/>
                <w:iCs/>
                <w:sz w:val="20"/>
              </w:rPr>
            </w:pPr>
            <w:r w:rsidRPr="00F13C21">
              <w:rPr>
                <w:rFonts w:ascii="Arial Narrow" w:hAnsi="Arial Narrow"/>
                <w:b/>
                <w:iCs/>
                <w:sz w:val="20"/>
              </w:rPr>
              <w:t>Trial</w:t>
            </w:r>
          </w:p>
        </w:tc>
        <w:tc>
          <w:tcPr>
            <w:tcW w:w="254" w:type="pct"/>
            <w:shd w:val="clear" w:color="auto" w:fill="auto"/>
            <w:vAlign w:val="center"/>
          </w:tcPr>
          <w:p w:rsidR="00164C65" w:rsidRPr="00F13C21" w:rsidRDefault="00164C65" w:rsidP="005A0854">
            <w:pPr>
              <w:keepLines/>
              <w:jc w:val="center"/>
              <w:rPr>
                <w:rFonts w:ascii="Arial Narrow" w:hAnsi="Arial Narrow"/>
                <w:b/>
                <w:iCs/>
                <w:sz w:val="20"/>
              </w:rPr>
            </w:pPr>
            <w:r w:rsidRPr="00F13C21">
              <w:rPr>
                <w:rFonts w:ascii="Arial Narrow" w:hAnsi="Arial Narrow"/>
                <w:b/>
                <w:iCs/>
                <w:sz w:val="20"/>
              </w:rPr>
              <w:t>N</w:t>
            </w:r>
          </w:p>
        </w:tc>
        <w:tc>
          <w:tcPr>
            <w:tcW w:w="1687" w:type="pct"/>
            <w:shd w:val="clear" w:color="auto" w:fill="auto"/>
            <w:vAlign w:val="center"/>
          </w:tcPr>
          <w:p w:rsidR="00164C65" w:rsidRPr="00F13C21" w:rsidRDefault="00164C65" w:rsidP="005A0854">
            <w:pPr>
              <w:keepLines/>
              <w:jc w:val="center"/>
              <w:rPr>
                <w:rFonts w:ascii="Arial Narrow" w:hAnsi="Arial Narrow"/>
                <w:b/>
                <w:iCs/>
                <w:sz w:val="20"/>
              </w:rPr>
            </w:pPr>
            <w:r w:rsidRPr="00F13C21">
              <w:rPr>
                <w:rFonts w:ascii="Arial Narrow" w:hAnsi="Arial Narrow"/>
                <w:b/>
                <w:iCs/>
                <w:sz w:val="20"/>
              </w:rPr>
              <w:t>Design/ duration of follow-up</w:t>
            </w:r>
          </w:p>
        </w:tc>
        <w:tc>
          <w:tcPr>
            <w:tcW w:w="454" w:type="pct"/>
            <w:shd w:val="clear" w:color="auto" w:fill="auto"/>
            <w:vAlign w:val="center"/>
          </w:tcPr>
          <w:p w:rsidR="00164C65" w:rsidRPr="00F13C21" w:rsidRDefault="00164C65" w:rsidP="005A0854">
            <w:pPr>
              <w:keepLines/>
              <w:jc w:val="center"/>
              <w:rPr>
                <w:rFonts w:ascii="Arial Narrow" w:hAnsi="Arial Narrow"/>
                <w:b/>
                <w:iCs/>
                <w:sz w:val="20"/>
              </w:rPr>
            </w:pPr>
            <w:r w:rsidRPr="00F13C21">
              <w:rPr>
                <w:rFonts w:ascii="Arial Narrow" w:hAnsi="Arial Narrow"/>
                <w:b/>
                <w:iCs/>
                <w:sz w:val="20"/>
              </w:rPr>
              <w:t>Within trial risk of bias</w:t>
            </w:r>
          </w:p>
        </w:tc>
        <w:tc>
          <w:tcPr>
            <w:tcW w:w="1017" w:type="pct"/>
            <w:shd w:val="clear" w:color="auto" w:fill="auto"/>
            <w:vAlign w:val="center"/>
          </w:tcPr>
          <w:p w:rsidR="00164C65" w:rsidRPr="00F13C21" w:rsidRDefault="00164C65" w:rsidP="005A0854">
            <w:pPr>
              <w:keepLines/>
              <w:jc w:val="center"/>
              <w:rPr>
                <w:rFonts w:ascii="Arial Narrow" w:hAnsi="Arial Narrow"/>
                <w:b/>
                <w:iCs/>
                <w:sz w:val="20"/>
              </w:rPr>
            </w:pPr>
            <w:r w:rsidRPr="00F13C21">
              <w:rPr>
                <w:rFonts w:ascii="Arial Narrow" w:hAnsi="Arial Narrow"/>
                <w:b/>
                <w:iCs/>
                <w:sz w:val="20"/>
              </w:rPr>
              <w:t>Patient population</w:t>
            </w:r>
          </w:p>
        </w:tc>
        <w:tc>
          <w:tcPr>
            <w:tcW w:w="898" w:type="pct"/>
            <w:shd w:val="clear" w:color="auto" w:fill="auto"/>
            <w:vAlign w:val="center"/>
          </w:tcPr>
          <w:p w:rsidR="00164C65" w:rsidRPr="00F13C21" w:rsidRDefault="00164C65" w:rsidP="005A0854">
            <w:pPr>
              <w:keepLines/>
              <w:jc w:val="center"/>
              <w:rPr>
                <w:rFonts w:ascii="Arial Narrow" w:hAnsi="Arial Narrow"/>
                <w:b/>
                <w:iCs/>
                <w:sz w:val="20"/>
              </w:rPr>
            </w:pPr>
            <w:r w:rsidRPr="00F13C21">
              <w:rPr>
                <w:rFonts w:ascii="Arial Narrow" w:hAnsi="Arial Narrow"/>
                <w:b/>
                <w:iCs/>
                <w:sz w:val="20"/>
              </w:rPr>
              <w:t>Key Outcomes</w:t>
            </w:r>
          </w:p>
        </w:tc>
      </w:tr>
      <w:tr w:rsidR="00164C65" w:rsidRPr="00F13C21" w:rsidTr="004156B1">
        <w:trPr>
          <w:cantSplit/>
        </w:trPr>
        <w:tc>
          <w:tcPr>
            <w:tcW w:w="5000" w:type="pct"/>
            <w:gridSpan w:val="6"/>
            <w:shd w:val="clear" w:color="auto" w:fill="auto"/>
            <w:vAlign w:val="center"/>
          </w:tcPr>
          <w:p w:rsidR="00164C65" w:rsidRPr="00F13C21" w:rsidRDefault="00164C65" w:rsidP="005A0854">
            <w:pPr>
              <w:keepLines/>
              <w:rPr>
                <w:rFonts w:ascii="Arial Narrow" w:hAnsi="Arial Narrow"/>
                <w:b/>
                <w:iCs/>
                <w:sz w:val="20"/>
              </w:rPr>
            </w:pPr>
            <w:r w:rsidRPr="00F13C21">
              <w:rPr>
                <w:rFonts w:ascii="Arial Narrow" w:hAnsi="Arial Narrow"/>
                <w:b/>
                <w:iCs/>
                <w:sz w:val="20"/>
              </w:rPr>
              <w:t>TIL vs PBO and ETN</w:t>
            </w: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cs="Times New Roman"/>
                <w:sz w:val="20"/>
              </w:rPr>
            </w:pPr>
            <w:r w:rsidRPr="00F13C21">
              <w:rPr>
                <w:rFonts w:ascii="Arial Narrow" w:hAnsi="Arial Narrow" w:cs="Times New Roman"/>
                <w:sz w:val="20"/>
              </w:rPr>
              <w:t>TIL</w:t>
            </w:r>
            <w:r w:rsidRPr="00F13C21">
              <w:rPr>
                <w:rFonts w:ascii="Arial Narrow" w:hAnsi="Arial Narrow" w:cs="Times New Roman"/>
                <w:sz w:val="20"/>
                <w:vertAlign w:val="subscript"/>
              </w:rPr>
              <w:t>1</w:t>
            </w:r>
          </w:p>
          <w:p w:rsidR="00164C65" w:rsidRPr="00F13C21" w:rsidRDefault="00164C65" w:rsidP="005A0854">
            <w:pPr>
              <w:keepLines/>
              <w:rPr>
                <w:rFonts w:ascii="Arial Narrow" w:hAnsi="Arial Narrow" w:cs="Times New Roman"/>
                <w:sz w:val="20"/>
              </w:rPr>
            </w:pPr>
            <w:r w:rsidRPr="00F13C21">
              <w:rPr>
                <w:rFonts w:ascii="Arial Narrow" w:hAnsi="Arial Narrow" w:cs="Times New Roman"/>
                <w:sz w:val="20"/>
              </w:rPr>
              <w:t>(</w:t>
            </w:r>
            <w:proofErr w:type="spellStart"/>
            <w:r w:rsidRPr="00F13C21">
              <w:rPr>
                <w:rFonts w:ascii="Arial Narrow" w:hAnsi="Arial Narrow" w:cs="Times New Roman"/>
                <w:sz w:val="20"/>
              </w:rPr>
              <w:t>reSURFACE</w:t>
            </w:r>
            <w:proofErr w:type="spellEnd"/>
            <w:r w:rsidRPr="00F13C21">
              <w:rPr>
                <w:rFonts w:ascii="Arial Narrow" w:hAnsi="Arial Narrow" w:cs="Times New Roman"/>
                <w:sz w:val="20"/>
              </w:rPr>
              <w:t xml:space="preserve"> 1)</w:t>
            </w:r>
          </w:p>
        </w:tc>
        <w:tc>
          <w:tcPr>
            <w:tcW w:w="254" w:type="pct"/>
            <w:shd w:val="clear" w:color="auto" w:fill="auto"/>
            <w:vAlign w:val="center"/>
          </w:tcPr>
          <w:p w:rsidR="00164C65" w:rsidRPr="00F13C21" w:rsidRDefault="00164C65" w:rsidP="005A0854">
            <w:pPr>
              <w:keepLines/>
              <w:jc w:val="center"/>
              <w:rPr>
                <w:rFonts w:ascii="Arial Narrow" w:hAnsi="Arial Narrow" w:cs="Times New Roman"/>
                <w:sz w:val="20"/>
              </w:rPr>
            </w:pPr>
            <w:r w:rsidRPr="00F13C21">
              <w:rPr>
                <w:rFonts w:ascii="Arial Narrow" w:hAnsi="Arial Narrow" w:cs="Times New Roman"/>
                <w:sz w:val="20"/>
              </w:rPr>
              <w:t>772</w:t>
            </w:r>
          </w:p>
        </w:tc>
        <w:tc>
          <w:tcPr>
            <w:tcW w:w="1687" w:type="pct"/>
            <w:shd w:val="clear" w:color="auto" w:fill="auto"/>
            <w:vAlign w:val="center"/>
          </w:tcPr>
          <w:p w:rsidR="00164C65" w:rsidRPr="00F13C21" w:rsidRDefault="00A557C1" w:rsidP="005A0854">
            <w:pPr>
              <w:keepLines/>
              <w:jc w:val="center"/>
              <w:rPr>
                <w:rFonts w:ascii="Arial Narrow" w:hAnsi="Arial Narrow"/>
                <w:sz w:val="20"/>
              </w:rPr>
            </w:pPr>
            <w:r>
              <w:rPr>
                <w:rFonts w:ascii="Arial Narrow" w:hAnsi="Arial Narrow"/>
                <w:sz w:val="20"/>
              </w:rPr>
              <w:t xml:space="preserve">R, DB, MC, 64 </w:t>
            </w:r>
            <w:proofErr w:type="spellStart"/>
            <w:r>
              <w:rPr>
                <w:rFonts w:ascii="Arial Narrow" w:hAnsi="Arial Narrow"/>
                <w:sz w:val="20"/>
              </w:rPr>
              <w:t>wks</w:t>
            </w:r>
            <w:proofErr w:type="spellEnd"/>
          </w:p>
          <w:p w:rsidR="00164C65" w:rsidRPr="00F13C21" w:rsidRDefault="00164C65" w:rsidP="005A0854">
            <w:pPr>
              <w:keepLines/>
              <w:jc w:val="left"/>
              <w:rPr>
                <w:rFonts w:ascii="Arial Narrow" w:hAnsi="Arial Narrow" w:cs="Times New Roman"/>
                <w:sz w:val="20"/>
              </w:rPr>
            </w:pPr>
            <w:r w:rsidRPr="00F13C21">
              <w:rPr>
                <w:rFonts w:ascii="Arial Narrow" w:hAnsi="Arial Narrow" w:cs="Times New Roman"/>
                <w:sz w:val="20"/>
              </w:rPr>
              <w:t>Patients crossed over (PBO to TIL and TIL to PBO) at W</w:t>
            </w:r>
            <w:r w:rsidR="002478AE" w:rsidRPr="00F13C21">
              <w:rPr>
                <w:rFonts w:ascii="Arial Narrow" w:hAnsi="Arial Narrow" w:cs="Times New Roman"/>
                <w:sz w:val="20"/>
              </w:rPr>
              <w:t>ee</w:t>
            </w:r>
            <w:r w:rsidRPr="00F13C21">
              <w:rPr>
                <w:rFonts w:ascii="Arial Narrow" w:hAnsi="Arial Narrow" w:cs="Times New Roman"/>
                <w:sz w:val="20"/>
              </w:rPr>
              <w:t xml:space="preserve">k 12.  </w:t>
            </w:r>
          </w:p>
        </w:tc>
        <w:tc>
          <w:tcPr>
            <w:tcW w:w="454" w:type="pct"/>
            <w:shd w:val="clear" w:color="auto" w:fill="auto"/>
            <w:vAlign w:val="center"/>
          </w:tcPr>
          <w:p w:rsidR="00164C65" w:rsidRPr="00F13C21" w:rsidRDefault="00164C65" w:rsidP="005A0854">
            <w:pPr>
              <w:keepLines/>
              <w:jc w:val="center"/>
              <w:rPr>
                <w:rFonts w:ascii="Arial Narrow" w:hAnsi="Arial Narrow" w:cs="Times New Roman"/>
                <w:sz w:val="20"/>
              </w:rPr>
            </w:pPr>
            <w:r w:rsidRPr="00F13C21">
              <w:rPr>
                <w:rFonts w:ascii="Arial Narrow" w:hAnsi="Arial Narrow"/>
                <w:sz w:val="20"/>
              </w:rPr>
              <w:t>Low</w:t>
            </w:r>
          </w:p>
        </w:tc>
        <w:tc>
          <w:tcPr>
            <w:tcW w:w="1017" w:type="pct"/>
            <w:vMerge w:val="restart"/>
            <w:shd w:val="clear" w:color="auto" w:fill="auto"/>
            <w:vAlign w:val="center"/>
          </w:tcPr>
          <w:p w:rsidR="00164C65" w:rsidRPr="00F13C21" w:rsidRDefault="00164C65" w:rsidP="005A0854">
            <w:pPr>
              <w:keepLines/>
              <w:jc w:val="center"/>
              <w:rPr>
                <w:rFonts w:ascii="Arial Narrow" w:hAnsi="Arial Narrow"/>
                <w:sz w:val="20"/>
                <w:lang w:val="it-IT"/>
              </w:rPr>
            </w:pPr>
            <w:r w:rsidRPr="00F13C21">
              <w:rPr>
                <w:rFonts w:ascii="Arial Narrow" w:hAnsi="Arial Narrow"/>
                <w:sz w:val="20"/>
                <w:lang w:val="it-IT"/>
              </w:rPr>
              <w:t>Moderate to severe CPP;</w:t>
            </w:r>
          </w:p>
          <w:p w:rsidR="00164C65" w:rsidRPr="00F13C21" w:rsidRDefault="00164C65" w:rsidP="005A0854">
            <w:pPr>
              <w:keepLines/>
              <w:jc w:val="center"/>
              <w:rPr>
                <w:rFonts w:ascii="Arial Narrow" w:hAnsi="Arial Narrow"/>
                <w:sz w:val="20"/>
                <w:lang w:val="it-IT"/>
              </w:rPr>
            </w:pPr>
            <w:r w:rsidRPr="00F13C21">
              <w:rPr>
                <w:rFonts w:ascii="Arial Narrow" w:hAnsi="Arial Narrow"/>
                <w:sz w:val="20"/>
                <w:lang w:val="it-IT"/>
              </w:rPr>
              <w:t>PGA</w:t>
            </w:r>
            <w:r w:rsidRPr="00F13C21">
              <w:rPr>
                <w:rFonts w:ascii="Arial Narrow" w:hAnsi="Arial Narrow"/>
                <w:sz w:val="20"/>
                <w:u w:val="single"/>
                <w:lang w:val="it-IT"/>
              </w:rPr>
              <w:t>&gt;</w:t>
            </w:r>
            <w:r w:rsidRPr="00F13C21">
              <w:rPr>
                <w:rFonts w:ascii="Arial Narrow" w:hAnsi="Arial Narrow"/>
                <w:sz w:val="20"/>
                <w:lang w:val="it-IT"/>
              </w:rPr>
              <w:t xml:space="preserve">3, PASI score </w:t>
            </w:r>
            <w:r w:rsidRPr="00F13C21">
              <w:rPr>
                <w:rFonts w:ascii="Arial Narrow" w:hAnsi="Arial Narrow"/>
                <w:sz w:val="20"/>
                <w:u w:val="single"/>
                <w:lang w:val="it-IT"/>
              </w:rPr>
              <w:t>&gt;</w:t>
            </w:r>
            <w:r w:rsidRPr="00F13C21">
              <w:rPr>
                <w:rFonts w:ascii="Arial Narrow" w:hAnsi="Arial Narrow"/>
                <w:sz w:val="20"/>
                <w:lang w:val="it-IT"/>
              </w:rPr>
              <w:t>12, BSA</w:t>
            </w:r>
            <w:r w:rsidRPr="00F13C21">
              <w:rPr>
                <w:rFonts w:ascii="Arial Narrow" w:hAnsi="Arial Narrow"/>
                <w:sz w:val="20"/>
                <w:u w:val="single"/>
                <w:lang w:val="it-IT"/>
              </w:rPr>
              <w:t>&gt;</w:t>
            </w:r>
            <w:r w:rsidRPr="00F13C21">
              <w:rPr>
                <w:rFonts w:ascii="Arial Narrow" w:hAnsi="Arial Narrow"/>
                <w:sz w:val="20"/>
                <w:lang w:val="it-IT"/>
              </w:rPr>
              <w:t>10%</w:t>
            </w:r>
          </w:p>
        </w:tc>
        <w:tc>
          <w:tcPr>
            <w:tcW w:w="898" w:type="pct"/>
            <w:vMerge w:val="restar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PASI 75 &amp; PGA 0/1   &amp; </w:t>
            </w:r>
            <w:r w:rsidRPr="00F13C21">
              <w:rPr>
                <w:rFonts w:ascii="Arial Narrow" w:hAnsi="Arial Narrow"/>
                <w:sz w:val="20"/>
                <w:u w:val="single"/>
              </w:rPr>
              <w:t>&gt;</w:t>
            </w:r>
            <w:r w:rsidRPr="00F13C21">
              <w:rPr>
                <w:rFonts w:ascii="Arial Narrow" w:hAnsi="Arial Narrow"/>
                <w:sz w:val="20"/>
              </w:rPr>
              <w:t xml:space="preserve"> two-grade improvement in PGA at </w:t>
            </w:r>
            <w:proofErr w:type="spellStart"/>
            <w:r w:rsidRPr="00F13C21">
              <w:rPr>
                <w:rFonts w:ascii="Arial Narrow" w:hAnsi="Arial Narrow"/>
                <w:sz w:val="20"/>
              </w:rPr>
              <w:t>Wk</w:t>
            </w:r>
            <w:proofErr w:type="spellEnd"/>
            <w:r w:rsidRPr="00F13C21">
              <w:rPr>
                <w:rFonts w:ascii="Arial Narrow" w:hAnsi="Arial Narrow"/>
                <w:sz w:val="20"/>
              </w:rPr>
              <w:t xml:space="preserve"> 12.</w:t>
            </w:r>
          </w:p>
          <w:p w:rsidR="00164C65" w:rsidRPr="00F13C21" w:rsidRDefault="00164C65" w:rsidP="005A0854">
            <w:pPr>
              <w:keepLines/>
              <w:jc w:val="center"/>
              <w:rPr>
                <w:rFonts w:ascii="Arial Narrow" w:hAnsi="Arial Narrow"/>
                <w:sz w:val="20"/>
              </w:rPr>
            </w:pP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cs="Times New Roman"/>
                <w:sz w:val="20"/>
              </w:rPr>
            </w:pPr>
            <w:r w:rsidRPr="00F13C21">
              <w:rPr>
                <w:rFonts w:ascii="Arial Narrow" w:hAnsi="Arial Narrow" w:cs="Times New Roman"/>
                <w:sz w:val="20"/>
              </w:rPr>
              <w:t>TIL</w:t>
            </w:r>
            <w:r w:rsidRPr="00F13C21">
              <w:rPr>
                <w:rFonts w:ascii="Arial Narrow" w:hAnsi="Arial Narrow" w:cs="Times New Roman"/>
                <w:sz w:val="20"/>
                <w:vertAlign w:val="subscript"/>
              </w:rPr>
              <w:t>2</w:t>
            </w:r>
          </w:p>
          <w:p w:rsidR="00164C65" w:rsidRPr="00F13C21" w:rsidRDefault="00164C65" w:rsidP="005A0854">
            <w:pPr>
              <w:keepLines/>
              <w:rPr>
                <w:rFonts w:ascii="Arial Narrow" w:hAnsi="Arial Narrow" w:cs="Times New Roman"/>
                <w:sz w:val="20"/>
              </w:rPr>
            </w:pPr>
            <w:r w:rsidRPr="00F13C21">
              <w:rPr>
                <w:rFonts w:ascii="Arial Narrow" w:hAnsi="Arial Narrow" w:cs="Times New Roman"/>
                <w:sz w:val="20"/>
              </w:rPr>
              <w:t>(</w:t>
            </w:r>
            <w:proofErr w:type="spellStart"/>
            <w:r w:rsidRPr="00F13C21">
              <w:rPr>
                <w:rFonts w:ascii="Arial Narrow" w:hAnsi="Arial Narrow" w:cs="Times New Roman"/>
                <w:sz w:val="20"/>
              </w:rPr>
              <w:t>reSURFACE</w:t>
            </w:r>
            <w:proofErr w:type="spellEnd"/>
            <w:r w:rsidRPr="00F13C21">
              <w:rPr>
                <w:rFonts w:ascii="Arial Narrow" w:hAnsi="Arial Narrow" w:cs="Times New Roman"/>
                <w:sz w:val="20"/>
              </w:rPr>
              <w:t xml:space="preserve"> 2)</w:t>
            </w:r>
          </w:p>
        </w:tc>
        <w:tc>
          <w:tcPr>
            <w:tcW w:w="254" w:type="pct"/>
            <w:shd w:val="clear" w:color="auto" w:fill="auto"/>
            <w:vAlign w:val="center"/>
          </w:tcPr>
          <w:p w:rsidR="00164C65" w:rsidRPr="00F13C21" w:rsidRDefault="00164C65" w:rsidP="005A0854">
            <w:pPr>
              <w:keepLines/>
              <w:jc w:val="center"/>
              <w:rPr>
                <w:rFonts w:ascii="Arial Narrow" w:hAnsi="Arial Narrow" w:cs="Times New Roman"/>
                <w:sz w:val="20"/>
              </w:rPr>
            </w:pPr>
            <w:r w:rsidRPr="00F13C21">
              <w:rPr>
                <w:rFonts w:ascii="Arial Narrow" w:hAnsi="Arial Narrow" w:cs="Times New Roman"/>
                <w:sz w:val="20"/>
              </w:rPr>
              <w:t>1090</w:t>
            </w:r>
          </w:p>
        </w:tc>
        <w:tc>
          <w:tcPr>
            <w:tcW w:w="168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R, DB, MC, 52 </w:t>
            </w:r>
            <w:proofErr w:type="spellStart"/>
            <w:r w:rsidRPr="00F13C21">
              <w:rPr>
                <w:rFonts w:ascii="Arial Narrow" w:hAnsi="Arial Narrow"/>
                <w:sz w:val="20"/>
              </w:rPr>
              <w:t>wks</w:t>
            </w:r>
            <w:proofErr w:type="spellEnd"/>
          </w:p>
          <w:p w:rsidR="00164C65" w:rsidRPr="00F13C21" w:rsidRDefault="00164C65" w:rsidP="005A0854">
            <w:pPr>
              <w:keepLines/>
              <w:rPr>
                <w:rFonts w:ascii="Arial Narrow" w:hAnsi="Arial Narrow" w:cs="Times New Roman"/>
                <w:sz w:val="20"/>
              </w:rPr>
            </w:pPr>
            <w:r w:rsidRPr="00F13C21">
              <w:rPr>
                <w:rFonts w:ascii="Arial Narrow" w:hAnsi="Arial Narrow" w:cs="Times New Roman"/>
                <w:sz w:val="20"/>
              </w:rPr>
              <w:t>PBO patients crossed over to TIL at Week 12.</w:t>
            </w:r>
          </w:p>
        </w:tc>
        <w:tc>
          <w:tcPr>
            <w:tcW w:w="454" w:type="pct"/>
            <w:shd w:val="clear" w:color="auto" w:fill="auto"/>
            <w:vAlign w:val="center"/>
          </w:tcPr>
          <w:p w:rsidR="00164C65" w:rsidRPr="00F13C21" w:rsidRDefault="00164C65" w:rsidP="005A0854">
            <w:pPr>
              <w:keepLines/>
              <w:jc w:val="center"/>
              <w:rPr>
                <w:rFonts w:ascii="Arial Narrow" w:hAnsi="Arial Narrow" w:cs="Times New Roman"/>
                <w:sz w:val="20"/>
              </w:rPr>
            </w:pPr>
            <w:r w:rsidRPr="00F13C21">
              <w:rPr>
                <w:rFonts w:ascii="Arial Narrow" w:hAnsi="Arial Narrow"/>
                <w:sz w:val="20"/>
              </w:rPr>
              <w:t>Low</w:t>
            </w:r>
          </w:p>
        </w:tc>
        <w:tc>
          <w:tcPr>
            <w:tcW w:w="1017" w:type="pct"/>
            <w:vMerge/>
            <w:shd w:val="clear" w:color="auto" w:fill="auto"/>
            <w:vAlign w:val="center"/>
          </w:tcPr>
          <w:p w:rsidR="00164C65" w:rsidRPr="00F13C21" w:rsidRDefault="00164C65" w:rsidP="005A0854">
            <w:pPr>
              <w:keepLines/>
              <w:jc w:val="center"/>
              <w:rPr>
                <w:rFonts w:ascii="Arial Narrow" w:hAnsi="Arial Narrow"/>
                <w:sz w:val="20"/>
              </w:rPr>
            </w:pPr>
          </w:p>
        </w:tc>
        <w:tc>
          <w:tcPr>
            <w:tcW w:w="898" w:type="pct"/>
            <w:vMerge/>
            <w:shd w:val="clear" w:color="auto" w:fill="auto"/>
            <w:vAlign w:val="center"/>
          </w:tcPr>
          <w:p w:rsidR="00164C65" w:rsidRPr="00F13C21" w:rsidRDefault="00164C65" w:rsidP="005A0854">
            <w:pPr>
              <w:keepLines/>
              <w:jc w:val="center"/>
              <w:rPr>
                <w:rFonts w:ascii="Arial Narrow" w:hAnsi="Arial Narrow"/>
                <w:sz w:val="20"/>
              </w:rPr>
            </w:pP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cs="Times New Roman"/>
                <w:sz w:val="20"/>
              </w:rPr>
            </w:pPr>
            <w:r w:rsidRPr="00F13C21">
              <w:rPr>
                <w:rFonts w:ascii="Arial Narrow" w:hAnsi="Arial Narrow" w:cs="Times New Roman"/>
                <w:sz w:val="20"/>
              </w:rPr>
              <w:t>TIL</w:t>
            </w:r>
            <w:r w:rsidRPr="00F13C21">
              <w:rPr>
                <w:rFonts w:ascii="Arial Narrow" w:hAnsi="Arial Narrow" w:cs="Times New Roman"/>
                <w:sz w:val="20"/>
                <w:vertAlign w:val="subscript"/>
              </w:rPr>
              <w:t>3</w:t>
            </w:r>
          </w:p>
          <w:p w:rsidR="00164C65" w:rsidRPr="00F13C21" w:rsidRDefault="00164C65" w:rsidP="005A0854">
            <w:pPr>
              <w:keepLines/>
              <w:rPr>
                <w:rFonts w:ascii="Arial Narrow" w:hAnsi="Arial Narrow" w:cs="Times New Roman"/>
                <w:sz w:val="20"/>
              </w:rPr>
            </w:pPr>
            <w:r w:rsidRPr="00F13C21">
              <w:rPr>
                <w:rFonts w:ascii="Arial Narrow" w:hAnsi="Arial Narrow" w:cs="Times New Roman"/>
                <w:sz w:val="20"/>
              </w:rPr>
              <w:t xml:space="preserve">(phase </w:t>
            </w:r>
            <w:proofErr w:type="spellStart"/>
            <w:r w:rsidRPr="00F13C21">
              <w:rPr>
                <w:rFonts w:ascii="Arial Narrow" w:hAnsi="Arial Narrow" w:cs="Times New Roman"/>
                <w:sz w:val="20"/>
              </w:rPr>
              <w:t>IIb</w:t>
            </w:r>
            <w:proofErr w:type="spellEnd"/>
            <w:r w:rsidRPr="00F13C21">
              <w:rPr>
                <w:rFonts w:ascii="Arial Narrow" w:hAnsi="Arial Narrow" w:cs="Times New Roman"/>
                <w:sz w:val="20"/>
              </w:rPr>
              <w:t>)</w:t>
            </w:r>
          </w:p>
        </w:tc>
        <w:tc>
          <w:tcPr>
            <w:tcW w:w="254" w:type="pct"/>
            <w:shd w:val="clear" w:color="auto" w:fill="auto"/>
            <w:vAlign w:val="center"/>
          </w:tcPr>
          <w:p w:rsidR="00164C65" w:rsidRPr="00F13C21" w:rsidRDefault="00164C65" w:rsidP="005A0854">
            <w:pPr>
              <w:keepLines/>
              <w:jc w:val="center"/>
              <w:rPr>
                <w:rFonts w:ascii="Arial Narrow" w:hAnsi="Arial Narrow" w:cs="Times New Roman"/>
                <w:sz w:val="20"/>
              </w:rPr>
            </w:pPr>
            <w:r w:rsidRPr="00F13C21">
              <w:rPr>
                <w:rFonts w:ascii="Arial Narrow" w:hAnsi="Arial Narrow" w:cs="Times New Roman"/>
                <w:sz w:val="20"/>
              </w:rPr>
              <w:t>355</w:t>
            </w:r>
          </w:p>
        </w:tc>
        <w:tc>
          <w:tcPr>
            <w:tcW w:w="168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R, DB, MC, 52 </w:t>
            </w:r>
            <w:proofErr w:type="spellStart"/>
            <w:r w:rsidRPr="00F13C21">
              <w:rPr>
                <w:rFonts w:ascii="Arial Narrow" w:hAnsi="Arial Narrow"/>
                <w:sz w:val="20"/>
              </w:rPr>
              <w:t>wks</w:t>
            </w:r>
            <w:proofErr w:type="spellEnd"/>
          </w:p>
          <w:p w:rsidR="00164C65" w:rsidRPr="00F13C21" w:rsidRDefault="00164C65" w:rsidP="005A0854">
            <w:pPr>
              <w:keepLines/>
              <w:jc w:val="center"/>
              <w:rPr>
                <w:rFonts w:ascii="Arial Narrow" w:hAnsi="Arial Narrow"/>
                <w:sz w:val="20"/>
              </w:rPr>
            </w:pPr>
            <w:r w:rsidRPr="00F13C21">
              <w:rPr>
                <w:rFonts w:ascii="Arial Narrow" w:hAnsi="Arial Narrow" w:cs="Times New Roman"/>
                <w:sz w:val="20"/>
              </w:rPr>
              <w:t>PBO patients crossed over to TIL at Week 16. .</w:t>
            </w:r>
          </w:p>
        </w:tc>
        <w:tc>
          <w:tcPr>
            <w:tcW w:w="4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Low</w:t>
            </w:r>
          </w:p>
        </w:tc>
        <w:tc>
          <w:tcPr>
            <w:tcW w:w="1017" w:type="pct"/>
            <w:vMerge/>
            <w:shd w:val="clear" w:color="auto" w:fill="auto"/>
            <w:vAlign w:val="center"/>
          </w:tcPr>
          <w:p w:rsidR="00164C65" w:rsidRPr="00F13C21" w:rsidRDefault="00164C65" w:rsidP="005A0854">
            <w:pPr>
              <w:keepLines/>
              <w:jc w:val="center"/>
              <w:rPr>
                <w:rFonts w:ascii="Arial Narrow" w:hAnsi="Arial Narrow"/>
                <w:sz w:val="20"/>
              </w:rPr>
            </w:pPr>
          </w:p>
        </w:tc>
        <w:tc>
          <w:tcPr>
            <w:tcW w:w="898"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PASI 75 at </w:t>
            </w:r>
            <w:proofErr w:type="spellStart"/>
            <w:r w:rsidRPr="00F13C21">
              <w:rPr>
                <w:rFonts w:ascii="Arial Narrow" w:hAnsi="Arial Narrow"/>
                <w:sz w:val="20"/>
              </w:rPr>
              <w:t>Wk</w:t>
            </w:r>
            <w:proofErr w:type="spellEnd"/>
            <w:r w:rsidRPr="00F13C21">
              <w:rPr>
                <w:rFonts w:ascii="Arial Narrow" w:hAnsi="Arial Narrow"/>
                <w:sz w:val="20"/>
              </w:rPr>
              <w:t xml:space="preserve"> 16</w:t>
            </w:r>
          </w:p>
        </w:tc>
      </w:tr>
      <w:tr w:rsidR="00164C65" w:rsidRPr="00F13C21" w:rsidTr="004156B1">
        <w:trPr>
          <w:cantSplit/>
        </w:trPr>
        <w:tc>
          <w:tcPr>
            <w:tcW w:w="5000" w:type="pct"/>
            <w:gridSpan w:val="6"/>
            <w:shd w:val="clear" w:color="auto" w:fill="auto"/>
            <w:vAlign w:val="center"/>
          </w:tcPr>
          <w:p w:rsidR="00164C65" w:rsidRPr="00F13C21" w:rsidRDefault="00164C65" w:rsidP="005A0854">
            <w:pPr>
              <w:keepLines/>
              <w:rPr>
                <w:rFonts w:ascii="Times" w:hAnsi="Times" w:cs="Times New Roman"/>
                <w:sz w:val="20"/>
              </w:rPr>
            </w:pPr>
            <w:r w:rsidRPr="00F13C21">
              <w:rPr>
                <w:rFonts w:ascii="Arial Narrow" w:hAnsi="Arial Narrow"/>
                <w:b/>
                <w:sz w:val="20"/>
              </w:rPr>
              <w:t>UST vs ETN</w:t>
            </w: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sz w:val="20"/>
              </w:rPr>
            </w:pPr>
            <w:r w:rsidRPr="00F13C21">
              <w:rPr>
                <w:rFonts w:ascii="Arial Narrow" w:hAnsi="Arial Narrow"/>
                <w:sz w:val="20"/>
              </w:rPr>
              <w:t>UST</w:t>
            </w:r>
            <w:r w:rsidRPr="00F13C21">
              <w:rPr>
                <w:rFonts w:ascii="Arial Narrow" w:hAnsi="Arial Narrow"/>
                <w:sz w:val="20"/>
                <w:vertAlign w:val="subscript"/>
              </w:rPr>
              <w:t>1</w:t>
            </w:r>
          </w:p>
          <w:p w:rsidR="00164C65" w:rsidRPr="00F13C21" w:rsidRDefault="00164C65" w:rsidP="005A0854">
            <w:pPr>
              <w:keepLines/>
              <w:rPr>
                <w:rFonts w:ascii="Arial Narrow" w:hAnsi="Arial Narrow"/>
                <w:sz w:val="20"/>
              </w:rPr>
            </w:pPr>
            <w:r w:rsidRPr="00F13C21">
              <w:rPr>
                <w:rFonts w:ascii="Arial Narrow" w:hAnsi="Arial Narrow"/>
                <w:sz w:val="20"/>
              </w:rPr>
              <w:t>(ACCEPT)</w:t>
            </w:r>
          </w:p>
        </w:tc>
        <w:tc>
          <w:tcPr>
            <w:tcW w:w="2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903</w:t>
            </w:r>
          </w:p>
        </w:tc>
        <w:tc>
          <w:tcPr>
            <w:tcW w:w="168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R, DB MC, 64 wks. </w:t>
            </w:r>
          </w:p>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ETN patients crossed-over to UST at Week 12. </w:t>
            </w:r>
          </w:p>
        </w:tc>
        <w:tc>
          <w:tcPr>
            <w:tcW w:w="454" w:type="pct"/>
            <w:shd w:val="clear" w:color="auto" w:fill="auto"/>
            <w:vAlign w:val="center"/>
          </w:tcPr>
          <w:p w:rsidR="00164C65" w:rsidRPr="00F13C21" w:rsidRDefault="00164C65" w:rsidP="005A0854">
            <w:pPr>
              <w:keepLines/>
              <w:jc w:val="center"/>
              <w:rPr>
                <w:rFonts w:ascii="Arial Narrow" w:hAnsi="Arial Narrow"/>
                <w:sz w:val="20"/>
              </w:rPr>
            </w:pPr>
            <w:proofErr w:type="spellStart"/>
            <w:r w:rsidRPr="00F13C21">
              <w:rPr>
                <w:rFonts w:ascii="Arial Narrow" w:hAnsi="Arial Narrow"/>
                <w:sz w:val="20"/>
              </w:rPr>
              <w:t>Low</w:t>
            </w:r>
            <w:r w:rsidRPr="00F13C21">
              <w:rPr>
                <w:rFonts w:ascii="Arial Narrow" w:hAnsi="Arial Narrow"/>
                <w:sz w:val="20"/>
                <w:vertAlign w:val="superscript"/>
              </w:rPr>
              <w:t>a</w:t>
            </w:r>
            <w:proofErr w:type="spellEnd"/>
          </w:p>
        </w:tc>
        <w:tc>
          <w:tcPr>
            <w:tcW w:w="1017" w:type="pct"/>
            <w:shd w:val="clear" w:color="auto" w:fill="auto"/>
            <w:vAlign w:val="center"/>
          </w:tcPr>
          <w:p w:rsidR="00164C65" w:rsidRPr="00F13C21" w:rsidRDefault="00164C65" w:rsidP="005A0854">
            <w:pPr>
              <w:keepLines/>
              <w:jc w:val="center"/>
              <w:rPr>
                <w:rFonts w:ascii="Arial Narrow" w:hAnsi="Arial Narrow"/>
                <w:sz w:val="20"/>
                <w:lang w:val="it-IT"/>
              </w:rPr>
            </w:pPr>
            <w:r w:rsidRPr="00F13C21">
              <w:rPr>
                <w:rFonts w:ascii="Arial Narrow" w:hAnsi="Arial Narrow"/>
                <w:sz w:val="20"/>
                <w:lang w:val="it-IT"/>
              </w:rPr>
              <w:t>Moderate to severe CPP;</w:t>
            </w:r>
          </w:p>
          <w:p w:rsidR="00164C65" w:rsidRPr="00F13C21" w:rsidRDefault="00164C65" w:rsidP="005A0854">
            <w:pPr>
              <w:keepLines/>
              <w:jc w:val="center"/>
              <w:rPr>
                <w:rFonts w:ascii="Arial Narrow" w:hAnsi="Arial Narrow"/>
                <w:sz w:val="20"/>
                <w:lang w:val="it-IT"/>
              </w:rPr>
            </w:pPr>
            <w:r w:rsidRPr="00F13C21">
              <w:rPr>
                <w:rFonts w:ascii="Arial Narrow" w:hAnsi="Arial Narrow"/>
                <w:sz w:val="20"/>
                <w:lang w:val="it-IT"/>
              </w:rPr>
              <w:t>PGA</w:t>
            </w:r>
            <w:r w:rsidRPr="00F13C21">
              <w:rPr>
                <w:rFonts w:ascii="Arial Narrow" w:hAnsi="Arial Narrow"/>
                <w:sz w:val="20"/>
                <w:u w:val="single"/>
                <w:lang w:val="it-IT"/>
              </w:rPr>
              <w:t>&gt;</w:t>
            </w:r>
            <w:r w:rsidRPr="00F13C21">
              <w:rPr>
                <w:rFonts w:ascii="Arial Narrow" w:hAnsi="Arial Narrow"/>
                <w:sz w:val="20"/>
                <w:lang w:val="it-IT"/>
              </w:rPr>
              <w:t xml:space="preserve">3; PASI score </w:t>
            </w:r>
            <w:r w:rsidRPr="00F13C21">
              <w:rPr>
                <w:rFonts w:ascii="Arial Narrow" w:hAnsi="Arial Narrow"/>
                <w:sz w:val="20"/>
                <w:u w:val="single"/>
                <w:lang w:val="it-IT"/>
              </w:rPr>
              <w:t>&gt;</w:t>
            </w:r>
            <w:r w:rsidRPr="00F13C21">
              <w:rPr>
                <w:rFonts w:ascii="Arial Narrow" w:hAnsi="Arial Narrow"/>
                <w:sz w:val="20"/>
                <w:lang w:val="it-IT"/>
              </w:rPr>
              <w:t>12, BSA</w:t>
            </w:r>
            <w:r w:rsidRPr="00F13C21">
              <w:rPr>
                <w:rFonts w:ascii="Arial Narrow" w:hAnsi="Arial Narrow"/>
                <w:sz w:val="20"/>
                <w:u w:val="single"/>
                <w:lang w:val="it-IT"/>
              </w:rPr>
              <w:t>&gt;</w:t>
            </w:r>
            <w:r w:rsidRPr="00F13C21">
              <w:rPr>
                <w:rFonts w:ascii="Arial Narrow" w:hAnsi="Arial Narrow"/>
                <w:sz w:val="20"/>
                <w:lang w:val="it-IT"/>
              </w:rPr>
              <w:t>10%</w:t>
            </w:r>
          </w:p>
        </w:tc>
        <w:tc>
          <w:tcPr>
            <w:tcW w:w="898"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PASI 75 at </w:t>
            </w:r>
            <w:proofErr w:type="spellStart"/>
            <w:r w:rsidRPr="00F13C21">
              <w:rPr>
                <w:rFonts w:ascii="Arial Narrow" w:hAnsi="Arial Narrow"/>
                <w:sz w:val="20"/>
              </w:rPr>
              <w:t>Wk</w:t>
            </w:r>
            <w:proofErr w:type="spellEnd"/>
            <w:r w:rsidRPr="00F13C21">
              <w:rPr>
                <w:rFonts w:ascii="Arial Narrow" w:hAnsi="Arial Narrow"/>
                <w:sz w:val="20"/>
              </w:rPr>
              <w:t xml:space="preserve"> 12</w:t>
            </w:r>
          </w:p>
        </w:tc>
      </w:tr>
      <w:tr w:rsidR="00164C65" w:rsidRPr="00F13C21" w:rsidTr="004156B1">
        <w:trPr>
          <w:cantSplit/>
        </w:trPr>
        <w:tc>
          <w:tcPr>
            <w:tcW w:w="5000" w:type="pct"/>
            <w:gridSpan w:val="6"/>
            <w:shd w:val="clear" w:color="auto" w:fill="auto"/>
            <w:vAlign w:val="center"/>
          </w:tcPr>
          <w:p w:rsidR="00164C65" w:rsidRPr="00F13C21" w:rsidRDefault="00164C65" w:rsidP="005A0854">
            <w:pPr>
              <w:keepLines/>
              <w:jc w:val="left"/>
              <w:rPr>
                <w:rFonts w:ascii="Arial Narrow" w:hAnsi="Arial Narrow"/>
                <w:sz w:val="20"/>
              </w:rPr>
            </w:pPr>
            <w:r w:rsidRPr="00F13C21">
              <w:rPr>
                <w:rFonts w:ascii="Arial Narrow" w:hAnsi="Arial Narrow"/>
                <w:b/>
                <w:sz w:val="20"/>
              </w:rPr>
              <w:lastRenderedPageBreak/>
              <w:t>UST vs PBO</w:t>
            </w: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sz w:val="20"/>
              </w:rPr>
            </w:pPr>
            <w:r w:rsidRPr="00F13C21">
              <w:rPr>
                <w:rFonts w:ascii="Arial Narrow" w:hAnsi="Arial Narrow"/>
                <w:sz w:val="20"/>
              </w:rPr>
              <w:t>UST</w:t>
            </w:r>
            <w:r w:rsidRPr="00F13C21">
              <w:rPr>
                <w:rFonts w:ascii="Arial Narrow" w:hAnsi="Arial Narrow"/>
                <w:sz w:val="20"/>
                <w:vertAlign w:val="subscript"/>
              </w:rPr>
              <w:t>2</w:t>
            </w:r>
          </w:p>
          <w:p w:rsidR="00164C65" w:rsidRPr="00F13C21" w:rsidRDefault="00164C65" w:rsidP="005A0854">
            <w:pPr>
              <w:keepLines/>
              <w:rPr>
                <w:rFonts w:ascii="Times" w:hAnsi="Times" w:cs="Times New Roman"/>
                <w:sz w:val="20"/>
              </w:rPr>
            </w:pPr>
            <w:r w:rsidRPr="00F13C21">
              <w:rPr>
                <w:rFonts w:ascii="Arial Narrow" w:hAnsi="Arial Narrow"/>
                <w:sz w:val="20"/>
              </w:rPr>
              <w:t>(PHOENIX 1)</w:t>
            </w:r>
          </w:p>
        </w:tc>
        <w:tc>
          <w:tcPr>
            <w:tcW w:w="254" w:type="pct"/>
            <w:shd w:val="clear" w:color="auto" w:fill="auto"/>
            <w:vAlign w:val="center"/>
          </w:tcPr>
          <w:p w:rsidR="00164C65" w:rsidRPr="00F13C21" w:rsidRDefault="00164C65" w:rsidP="005A0854">
            <w:pPr>
              <w:keepLines/>
              <w:jc w:val="center"/>
              <w:rPr>
                <w:rFonts w:ascii="Times" w:hAnsi="Times" w:cs="Times New Roman"/>
                <w:sz w:val="20"/>
              </w:rPr>
            </w:pPr>
            <w:r w:rsidRPr="00F13C21">
              <w:rPr>
                <w:rFonts w:ascii="Arial Narrow" w:hAnsi="Arial Narrow"/>
                <w:sz w:val="20"/>
              </w:rPr>
              <w:t>766</w:t>
            </w:r>
          </w:p>
        </w:tc>
        <w:tc>
          <w:tcPr>
            <w:tcW w:w="168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R, DB MC, 40 wks.  </w:t>
            </w:r>
            <w:r w:rsidRPr="00F13C21">
              <w:rPr>
                <w:rFonts w:ascii="Arial Narrow" w:hAnsi="Arial Narrow" w:cs="Times New Roman"/>
                <w:sz w:val="20"/>
              </w:rPr>
              <w:t xml:space="preserve">PBO patients crossed-over to UST at Week 12.  </w:t>
            </w:r>
            <w:proofErr w:type="spellStart"/>
            <w:r w:rsidRPr="00F13C21">
              <w:rPr>
                <w:rFonts w:ascii="Arial Narrow" w:hAnsi="Arial Narrow" w:cs="Times New Roman"/>
                <w:sz w:val="20"/>
              </w:rPr>
              <w:t>Wk</w:t>
            </w:r>
            <w:proofErr w:type="spellEnd"/>
            <w:r w:rsidRPr="00F13C21">
              <w:rPr>
                <w:rFonts w:ascii="Arial Narrow" w:hAnsi="Arial Narrow" w:cs="Times New Roman"/>
                <w:sz w:val="20"/>
              </w:rPr>
              <w:t xml:space="preserve"> 40 to 72: randomised withdrawal phase</w:t>
            </w:r>
            <w:r w:rsidRPr="00F13C21">
              <w:rPr>
                <w:rFonts w:ascii="Arial Narrow" w:hAnsi="Arial Narrow" w:cs="Times New Roman"/>
                <w:sz w:val="20"/>
                <w:vertAlign w:val="superscript"/>
              </w:rPr>
              <w:t xml:space="preserve"> b</w:t>
            </w:r>
          </w:p>
        </w:tc>
        <w:tc>
          <w:tcPr>
            <w:tcW w:w="454" w:type="pct"/>
            <w:shd w:val="clear" w:color="auto" w:fill="auto"/>
            <w:vAlign w:val="center"/>
          </w:tcPr>
          <w:p w:rsidR="00164C65" w:rsidRPr="00F13C21" w:rsidRDefault="00164C65" w:rsidP="005A0854">
            <w:pPr>
              <w:keepLines/>
              <w:jc w:val="center"/>
              <w:rPr>
                <w:rFonts w:ascii="Times" w:hAnsi="Times" w:cs="Times New Roman"/>
                <w:sz w:val="20"/>
              </w:rPr>
            </w:pPr>
            <w:r w:rsidRPr="00F13C21">
              <w:rPr>
                <w:rFonts w:ascii="Arial Narrow" w:hAnsi="Arial Narrow"/>
                <w:sz w:val="20"/>
              </w:rPr>
              <w:t>Low</w:t>
            </w:r>
          </w:p>
        </w:tc>
        <w:tc>
          <w:tcPr>
            <w:tcW w:w="1017" w:type="pct"/>
            <w:vMerge w:val="restar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Moderate to severe CPP;</w:t>
            </w:r>
          </w:p>
          <w:p w:rsidR="00164C65" w:rsidRPr="00F13C21" w:rsidRDefault="00164C65" w:rsidP="005A0854">
            <w:pPr>
              <w:keepLines/>
              <w:jc w:val="center"/>
              <w:rPr>
                <w:rFonts w:ascii="Times" w:hAnsi="Times" w:cs="Times New Roman"/>
                <w:sz w:val="20"/>
              </w:rPr>
            </w:pPr>
            <w:r w:rsidRPr="00F13C21">
              <w:rPr>
                <w:rFonts w:ascii="Arial Narrow" w:hAnsi="Arial Narrow"/>
                <w:sz w:val="20"/>
              </w:rPr>
              <w:t xml:space="preserve">PASI score </w:t>
            </w:r>
            <w:r w:rsidRPr="00F13C21">
              <w:rPr>
                <w:rFonts w:ascii="Arial Narrow" w:hAnsi="Arial Narrow"/>
                <w:sz w:val="20"/>
                <w:u w:val="single"/>
              </w:rPr>
              <w:t>&gt;</w:t>
            </w:r>
            <w:r w:rsidRPr="00F13C21">
              <w:rPr>
                <w:rFonts w:ascii="Arial Narrow" w:hAnsi="Arial Narrow"/>
                <w:sz w:val="20"/>
              </w:rPr>
              <w:t>12, BSA</w:t>
            </w:r>
            <w:r w:rsidRPr="00F13C21">
              <w:rPr>
                <w:rFonts w:ascii="Arial Narrow" w:hAnsi="Arial Narrow"/>
                <w:sz w:val="20"/>
                <w:u w:val="single"/>
              </w:rPr>
              <w:t>&gt;</w:t>
            </w:r>
            <w:r w:rsidRPr="00F13C21">
              <w:rPr>
                <w:rFonts w:ascii="Arial Narrow" w:hAnsi="Arial Narrow"/>
                <w:sz w:val="20"/>
              </w:rPr>
              <w:t>10%</w:t>
            </w:r>
          </w:p>
        </w:tc>
        <w:tc>
          <w:tcPr>
            <w:tcW w:w="898" w:type="pct"/>
            <w:vMerge w:val="restar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PASI 75 at </w:t>
            </w:r>
            <w:proofErr w:type="spellStart"/>
            <w:r w:rsidRPr="00F13C21">
              <w:rPr>
                <w:rFonts w:ascii="Arial Narrow" w:hAnsi="Arial Narrow"/>
                <w:sz w:val="20"/>
              </w:rPr>
              <w:t>Wk</w:t>
            </w:r>
            <w:proofErr w:type="spellEnd"/>
            <w:r w:rsidRPr="00F13C21">
              <w:rPr>
                <w:rFonts w:ascii="Arial Narrow" w:hAnsi="Arial Narrow"/>
                <w:sz w:val="20"/>
              </w:rPr>
              <w:t xml:space="preserve"> 12.</w:t>
            </w:r>
          </w:p>
          <w:p w:rsidR="00164C65" w:rsidRPr="00F13C21" w:rsidRDefault="00164C65" w:rsidP="005A0854">
            <w:pPr>
              <w:keepLines/>
              <w:jc w:val="center"/>
              <w:rPr>
                <w:rFonts w:ascii="Arial Narrow" w:hAnsi="Arial Narrow"/>
                <w:sz w:val="20"/>
              </w:rPr>
            </w:pPr>
          </w:p>
          <w:p w:rsidR="00164C65" w:rsidRPr="00F13C21" w:rsidRDefault="00164C65" w:rsidP="005A0854">
            <w:pPr>
              <w:keepLines/>
              <w:jc w:val="center"/>
              <w:rPr>
                <w:rFonts w:ascii="Arial Narrow" w:hAnsi="Arial Narrow"/>
                <w:sz w:val="20"/>
              </w:rPr>
            </w:pPr>
            <w:r w:rsidRPr="00F13C21">
              <w:rPr>
                <w:rFonts w:ascii="Arial Narrow" w:hAnsi="Arial Narrow"/>
                <w:sz w:val="20"/>
              </w:rPr>
              <w:t>Maintenance of PASI response thru to trial end.</w:t>
            </w: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sz w:val="20"/>
              </w:rPr>
            </w:pPr>
            <w:r w:rsidRPr="00F13C21">
              <w:rPr>
                <w:rFonts w:ascii="Arial Narrow" w:hAnsi="Arial Narrow"/>
                <w:sz w:val="20"/>
              </w:rPr>
              <w:t>UST</w:t>
            </w:r>
            <w:r w:rsidRPr="00F13C21">
              <w:rPr>
                <w:rFonts w:ascii="Arial Narrow" w:hAnsi="Arial Narrow"/>
                <w:sz w:val="20"/>
                <w:vertAlign w:val="subscript"/>
              </w:rPr>
              <w:t>3</w:t>
            </w:r>
          </w:p>
          <w:p w:rsidR="00164C65" w:rsidRPr="00F13C21" w:rsidRDefault="00164C65" w:rsidP="005A0854">
            <w:pPr>
              <w:keepLines/>
              <w:rPr>
                <w:rFonts w:ascii="Arial Narrow" w:hAnsi="Arial Narrow"/>
                <w:sz w:val="20"/>
              </w:rPr>
            </w:pPr>
            <w:r w:rsidRPr="00F13C21">
              <w:rPr>
                <w:rFonts w:ascii="Arial Narrow" w:hAnsi="Arial Narrow"/>
                <w:sz w:val="20"/>
              </w:rPr>
              <w:t>(PHOENIX 2)</w:t>
            </w:r>
          </w:p>
        </w:tc>
        <w:tc>
          <w:tcPr>
            <w:tcW w:w="2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1230</w:t>
            </w:r>
          </w:p>
        </w:tc>
        <w:tc>
          <w:tcPr>
            <w:tcW w:w="1687" w:type="pct"/>
            <w:shd w:val="clear" w:color="auto" w:fill="auto"/>
            <w:vAlign w:val="center"/>
          </w:tcPr>
          <w:p w:rsidR="00164C65" w:rsidRPr="00F13C21" w:rsidRDefault="00164C65" w:rsidP="005A0854">
            <w:pPr>
              <w:keepLines/>
              <w:jc w:val="left"/>
              <w:rPr>
                <w:rFonts w:ascii="Arial Narrow" w:hAnsi="Arial Narrow"/>
                <w:sz w:val="20"/>
              </w:rPr>
            </w:pPr>
            <w:r w:rsidRPr="00F13C21">
              <w:rPr>
                <w:rFonts w:ascii="Arial Narrow" w:hAnsi="Arial Narrow"/>
                <w:sz w:val="20"/>
              </w:rPr>
              <w:t xml:space="preserve">R, DB, MC, 28 </w:t>
            </w:r>
            <w:proofErr w:type="spellStart"/>
            <w:r w:rsidRPr="00F13C21">
              <w:rPr>
                <w:rFonts w:ascii="Arial Narrow" w:hAnsi="Arial Narrow"/>
                <w:sz w:val="20"/>
              </w:rPr>
              <w:t>wks</w:t>
            </w:r>
            <w:proofErr w:type="spellEnd"/>
            <w:proofErr w:type="gramStart"/>
            <w:r w:rsidRPr="00F13C21">
              <w:rPr>
                <w:rFonts w:ascii="Arial Narrow" w:hAnsi="Arial Narrow"/>
                <w:sz w:val="20"/>
              </w:rPr>
              <w:t>,</w:t>
            </w:r>
            <w:r w:rsidRPr="00F13C21" w:rsidDel="00035C7C">
              <w:rPr>
                <w:rFonts w:ascii="Arial Narrow" w:hAnsi="Arial Narrow"/>
                <w:sz w:val="20"/>
              </w:rPr>
              <w:t xml:space="preserve"> </w:t>
            </w:r>
            <w:r w:rsidRPr="00F13C21">
              <w:rPr>
                <w:rFonts w:ascii="Arial Narrow" w:hAnsi="Arial Narrow"/>
                <w:sz w:val="20"/>
              </w:rPr>
              <w:t xml:space="preserve"> </w:t>
            </w:r>
            <w:r w:rsidRPr="00F13C21">
              <w:rPr>
                <w:rFonts w:ascii="Arial Narrow" w:hAnsi="Arial Narrow" w:cs="Times New Roman"/>
                <w:sz w:val="20"/>
              </w:rPr>
              <w:t>PBO</w:t>
            </w:r>
            <w:proofErr w:type="gramEnd"/>
            <w:r w:rsidRPr="00F13C21">
              <w:rPr>
                <w:rFonts w:ascii="Arial Narrow" w:hAnsi="Arial Narrow" w:cs="Times New Roman"/>
                <w:sz w:val="20"/>
              </w:rPr>
              <w:t xml:space="preserve"> patients crossed-over to UST at Week 12.  Wk28 -52: randomised dose intensification phase. </w:t>
            </w:r>
          </w:p>
        </w:tc>
        <w:tc>
          <w:tcPr>
            <w:tcW w:w="4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Low</w:t>
            </w:r>
          </w:p>
        </w:tc>
        <w:tc>
          <w:tcPr>
            <w:tcW w:w="1017" w:type="pct"/>
            <w:vMerge/>
            <w:shd w:val="clear" w:color="auto" w:fill="auto"/>
            <w:vAlign w:val="center"/>
          </w:tcPr>
          <w:p w:rsidR="00164C65" w:rsidRPr="00F13C21" w:rsidRDefault="00164C65" w:rsidP="005A0854">
            <w:pPr>
              <w:keepLines/>
              <w:jc w:val="center"/>
              <w:rPr>
                <w:rFonts w:ascii="Arial Narrow" w:hAnsi="Arial Narrow"/>
                <w:sz w:val="20"/>
              </w:rPr>
            </w:pPr>
          </w:p>
        </w:tc>
        <w:tc>
          <w:tcPr>
            <w:tcW w:w="898" w:type="pct"/>
            <w:vMerge/>
            <w:shd w:val="clear" w:color="auto" w:fill="auto"/>
            <w:vAlign w:val="center"/>
          </w:tcPr>
          <w:p w:rsidR="00164C65" w:rsidRPr="00F13C21" w:rsidRDefault="00164C65" w:rsidP="005A0854">
            <w:pPr>
              <w:keepLines/>
              <w:jc w:val="center"/>
              <w:rPr>
                <w:rFonts w:ascii="Arial Narrow" w:hAnsi="Arial Narrow"/>
                <w:sz w:val="20"/>
              </w:rPr>
            </w:pP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sz w:val="20"/>
              </w:rPr>
            </w:pPr>
            <w:r w:rsidRPr="00F13C21">
              <w:rPr>
                <w:rFonts w:ascii="Arial Narrow" w:hAnsi="Arial Narrow"/>
                <w:sz w:val="20"/>
              </w:rPr>
              <w:t>UST</w:t>
            </w:r>
            <w:r w:rsidRPr="00F13C21">
              <w:rPr>
                <w:rFonts w:ascii="Arial Narrow" w:hAnsi="Arial Narrow"/>
                <w:sz w:val="20"/>
                <w:vertAlign w:val="subscript"/>
              </w:rPr>
              <w:t>4</w:t>
            </w:r>
          </w:p>
          <w:p w:rsidR="00164C65" w:rsidRPr="00F13C21" w:rsidRDefault="00164C65" w:rsidP="005A0854">
            <w:pPr>
              <w:keepLines/>
              <w:rPr>
                <w:rFonts w:ascii="Arial Narrow" w:hAnsi="Arial Narrow"/>
                <w:sz w:val="20"/>
              </w:rPr>
            </w:pPr>
            <w:r w:rsidRPr="00F13C21">
              <w:rPr>
                <w:rFonts w:ascii="Arial Narrow" w:hAnsi="Arial Narrow"/>
                <w:sz w:val="20"/>
              </w:rPr>
              <w:t>(Igarashi 2012)</w:t>
            </w:r>
          </w:p>
        </w:tc>
        <w:tc>
          <w:tcPr>
            <w:tcW w:w="2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158</w:t>
            </w:r>
          </w:p>
        </w:tc>
        <w:tc>
          <w:tcPr>
            <w:tcW w:w="168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R, DB,</w:t>
            </w:r>
            <w:r w:rsidRPr="00F13C21" w:rsidDel="00035C7C">
              <w:rPr>
                <w:rFonts w:ascii="Arial Narrow" w:hAnsi="Arial Narrow"/>
                <w:sz w:val="20"/>
              </w:rPr>
              <w:t xml:space="preserve"> </w:t>
            </w:r>
            <w:r w:rsidRPr="00F13C21">
              <w:rPr>
                <w:rFonts w:ascii="Arial Narrow" w:hAnsi="Arial Narrow"/>
                <w:sz w:val="20"/>
              </w:rPr>
              <w:t xml:space="preserve">MC, 72 </w:t>
            </w:r>
            <w:proofErr w:type="spellStart"/>
            <w:r w:rsidRPr="00F13C21">
              <w:rPr>
                <w:rFonts w:ascii="Arial Narrow" w:hAnsi="Arial Narrow"/>
                <w:sz w:val="20"/>
              </w:rPr>
              <w:t>wks</w:t>
            </w:r>
            <w:proofErr w:type="spellEnd"/>
            <w:r w:rsidRPr="00F13C21">
              <w:rPr>
                <w:rFonts w:ascii="Arial Narrow" w:hAnsi="Arial Narrow"/>
                <w:sz w:val="20"/>
              </w:rPr>
              <w:t xml:space="preserve"> (efficacy results up to 64 </w:t>
            </w:r>
            <w:proofErr w:type="spellStart"/>
            <w:r w:rsidRPr="00F13C21">
              <w:rPr>
                <w:rFonts w:ascii="Arial Narrow" w:hAnsi="Arial Narrow"/>
                <w:sz w:val="20"/>
              </w:rPr>
              <w:t>wks</w:t>
            </w:r>
            <w:proofErr w:type="spellEnd"/>
            <w:r w:rsidRPr="00F13C21">
              <w:rPr>
                <w:rFonts w:ascii="Arial Narrow" w:hAnsi="Arial Narrow"/>
                <w:sz w:val="20"/>
              </w:rPr>
              <w:t>)</w:t>
            </w:r>
            <w:proofErr w:type="gramStart"/>
            <w:r w:rsidRPr="00F13C21">
              <w:rPr>
                <w:rFonts w:ascii="Arial Narrow" w:hAnsi="Arial Narrow"/>
                <w:sz w:val="20"/>
              </w:rPr>
              <w:t>,</w:t>
            </w:r>
            <w:r w:rsidRPr="00F13C21" w:rsidDel="00035C7C">
              <w:rPr>
                <w:rFonts w:ascii="Arial Narrow" w:hAnsi="Arial Narrow"/>
                <w:sz w:val="20"/>
              </w:rPr>
              <w:t xml:space="preserve"> </w:t>
            </w:r>
            <w:r w:rsidRPr="00F13C21">
              <w:rPr>
                <w:rFonts w:ascii="Arial Narrow" w:hAnsi="Arial Narrow"/>
                <w:sz w:val="20"/>
              </w:rPr>
              <w:t xml:space="preserve"> </w:t>
            </w:r>
            <w:r w:rsidRPr="00F13C21">
              <w:rPr>
                <w:rFonts w:ascii="Arial Narrow" w:hAnsi="Arial Narrow" w:cs="Times New Roman"/>
                <w:sz w:val="20"/>
              </w:rPr>
              <w:t>PBO</w:t>
            </w:r>
            <w:proofErr w:type="gramEnd"/>
            <w:r w:rsidRPr="00F13C21">
              <w:rPr>
                <w:rFonts w:ascii="Arial Narrow" w:hAnsi="Arial Narrow" w:cs="Times New Roman"/>
                <w:sz w:val="20"/>
              </w:rPr>
              <w:t xml:space="preserve"> patients crossed-over to UST at Week 12.</w:t>
            </w:r>
          </w:p>
        </w:tc>
        <w:tc>
          <w:tcPr>
            <w:tcW w:w="4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Low</w:t>
            </w:r>
          </w:p>
        </w:tc>
        <w:tc>
          <w:tcPr>
            <w:tcW w:w="101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Same as UST</w:t>
            </w:r>
            <w:r w:rsidRPr="00F13C21">
              <w:rPr>
                <w:rFonts w:ascii="Arial Narrow" w:hAnsi="Arial Narrow"/>
                <w:sz w:val="20"/>
                <w:vertAlign w:val="subscript"/>
              </w:rPr>
              <w:t>2</w:t>
            </w:r>
            <w:r w:rsidRPr="00F13C21">
              <w:rPr>
                <w:rFonts w:ascii="Arial Narrow" w:hAnsi="Arial Narrow"/>
                <w:sz w:val="20"/>
              </w:rPr>
              <w:t xml:space="preserve"> and UST</w:t>
            </w:r>
            <w:r w:rsidRPr="00F13C21">
              <w:rPr>
                <w:rFonts w:ascii="Arial Narrow" w:hAnsi="Arial Narrow"/>
                <w:sz w:val="20"/>
                <w:vertAlign w:val="subscript"/>
              </w:rPr>
              <w:t>3</w:t>
            </w:r>
            <w:r w:rsidRPr="00F13C21">
              <w:rPr>
                <w:rFonts w:ascii="Arial Narrow" w:hAnsi="Arial Narrow"/>
                <w:sz w:val="20"/>
              </w:rPr>
              <w:t>, but in Japanese pts</w:t>
            </w:r>
          </w:p>
        </w:tc>
        <w:tc>
          <w:tcPr>
            <w:tcW w:w="898" w:type="pct"/>
            <w:vMerge/>
            <w:shd w:val="clear" w:color="auto" w:fill="auto"/>
            <w:vAlign w:val="center"/>
          </w:tcPr>
          <w:p w:rsidR="00164C65" w:rsidRPr="00F13C21" w:rsidRDefault="00164C65" w:rsidP="005A0854">
            <w:pPr>
              <w:keepLines/>
              <w:jc w:val="center"/>
              <w:rPr>
                <w:rFonts w:ascii="Arial Narrow" w:hAnsi="Arial Narrow"/>
                <w:sz w:val="20"/>
              </w:rPr>
            </w:pP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sz w:val="20"/>
              </w:rPr>
            </w:pPr>
            <w:r w:rsidRPr="00F13C21">
              <w:rPr>
                <w:rFonts w:ascii="Arial Narrow" w:hAnsi="Arial Narrow"/>
                <w:sz w:val="20"/>
              </w:rPr>
              <w:t>UST</w:t>
            </w:r>
            <w:r w:rsidRPr="00F13C21">
              <w:rPr>
                <w:rFonts w:ascii="Arial Narrow" w:hAnsi="Arial Narrow"/>
                <w:sz w:val="20"/>
                <w:vertAlign w:val="subscript"/>
              </w:rPr>
              <w:t>5</w:t>
            </w:r>
          </w:p>
          <w:p w:rsidR="00164C65" w:rsidRPr="00F13C21" w:rsidRDefault="00164C65" w:rsidP="005A0854">
            <w:pPr>
              <w:keepLines/>
              <w:rPr>
                <w:rFonts w:ascii="Arial Narrow" w:hAnsi="Arial Narrow"/>
                <w:sz w:val="20"/>
              </w:rPr>
            </w:pPr>
            <w:r w:rsidRPr="00F13C21">
              <w:rPr>
                <w:rFonts w:ascii="Arial Narrow" w:hAnsi="Arial Narrow"/>
                <w:sz w:val="20"/>
              </w:rPr>
              <w:t>(PEARL)</w:t>
            </w:r>
          </w:p>
        </w:tc>
        <w:tc>
          <w:tcPr>
            <w:tcW w:w="2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121</w:t>
            </w:r>
          </w:p>
        </w:tc>
        <w:tc>
          <w:tcPr>
            <w:tcW w:w="168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R, DB, MC, 36 </w:t>
            </w:r>
            <w:proofErr w:type="spellStart"/>
            <w:r w:rsidRPr="00F13C21">
              <w:rPr>
                <w:rFonts w:ascii="Arial Narrow" w:hAnsi="Arial Narrow"/>
                <w:sz w:val="20"/>
              </w:rPr>
              <w:t>wks</w:t>
            </w:r>
            <w:proofErr w:type="spellEnd"/>
            <w:r w:rsidRPr="00F13C21">
              <w:rPr>
                <w:rFonts w:ascii="Arial Narrow" w:hAnsi="Arial Narrow"/>
                <w:sz w:val="20"/>
              </w:rPr>
              <w:t xml:space="preserve"> (efficacy results up to 28 weeks). </w:t>
            </w:r>
            <w:r w:rsidRPr="00F13C21">
              <w:rPr>
                <w:rFonts w:ascii="Arial Narrow" w:hAnsi="Arial Narrow" w:cs="Times New Roman"/>
                <w:sz w:val="20"/>
              </w:rPr>
              <w:t>PBO patients crossed-over to UST at Week 12.</w:t>
            </w:r>
          </w:p>
        </w:tc>
        <w:tc>
          <w:tcPr>
            <w:tcW w:w="4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Low</w:t>
            </w:r>
          </w:p>
        </w:tc>
        <w:tc>
          <w:tcPr>
            <w:tcW w:w="101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Same as UST</w:t>
            </w:r>
            <w:r w:rsidRPr="00F13C21">
              <w:rPr>
                <w:rFonts w:ascii="Arial Narrow" w:hAnsi="Arial Narrow"/>
                <w:sz w:val="20"/>
                <w:vertAlign w:val="subscript"/>
              </w:rPr>
              <w:t>2</w:t>
            </w:r>
            <w:r w:rsidRPr="00F13C21">
              <w:rPr>
                <w:rFonts w:ascii="Arial Narrow" w:hAnsi="Arial Narrow"/>
                <w:sz w:val="20"/>
              </w:rPr>
              <w:t xml:space="preserve"> and UST</w:t>
            </w:r>
            <w:r w:rsidRPr="00F13C21">
              <w:rPr>
                <w:rFonts w:ascii="Arial Narrow" w:hAnsi="Arial Narrow"/>
                <w:sz w:val="20"/>
                <w:vertAlign w:val="subscript"/>
              </w:rPr>
              <w:t>3</w:t>
            </w:r>
            <w:r w:rsidRPr="00F13C21">
              <w:rPr>
                <w:rFonts w:ascii="Arial Narrow" w:hAnsi="Arial Narrow"/>
                <w:sz w:val="20"/>
              </w:rPr>
              <w:t>, but in Korean or Taiwanese pts</w:t>
            </w:r>
          </w:p>
        </w:tc>
        <w:tc>
          <w:tcPr>
            <w:tcW w:w="898" w:type="pct"/>
            <w:vMerge/>
            <w:shd w:val="clear" w:color="auto" w:fill="auto"/>
            <w:vAlign w:val="center"/>
          </w:tcPr>
          <w:p w:rsidR="00164C65" w:rsidRPr="00F13C21" w:rsidRDefault="00164C65" w:rsidP="005A0854">
            <w:pPr>
              <w:keepLines/>
              <w:jc w:val="center"/>
              <w:rPr>
                <w:rFonts w:ascii="Arial Narrow" w:hAnsi="Arial Narrow"/>
                <w:sz w:val="20"/>
              </w:rPr>
            </w:pPr>
          </w:p>
        </w:tc>
      </w:tr>
      <w:tr w:rsidR="00164C65" w:rsidRPr="00F13C21" w:rsidTr="004156B1">
        <w:trPr>
          <w:cantSplit/>
        </w:trPr>
        <w:tc>
          <w:tcPr>
            <w:tcW w:w="687" w:type="pct"/>
            <w:shd w:val="clear" w:color="auto" w:fill="auto"/>
            <w:vAlign w:val="center"/>
          </w:tcPr>
          <w:p w:rsidR="00164C65" w:rsidRPr="00F13C21" w:rsidRDefault="00164C65" w:rsidP="005A0854">
            <w:pPr>
              <w:keepLines/>
              <w:rPr>
                <w:rFonts w:ascii="Arial Narrow" w:hAnsi="Arial Narrow"/>
                <w:sz w:val="20"/>
              </w:rPr>
            </w:pPr>
            <w:r w:rsidRPr="00F13C21">
              <w:rPr>
                <w:rFonts w:ascii="Arial Narrow" w:hAnsi="Arial Narrow"/>
                <w:sz w:val="20"/>
              </w:rPr>
              <w:t>UST</w:t>
            </w:r>
            <w:r w:rsidRPr="00F13C21">
              <w:rPr>
                <w:rFonts w:ascii="Arial Narrow" w:hAnsi="Arial Narrow"/>
                <w:sz w:val="20"/>
                <w:vertAlign w:val="subscript"/>
              </w:rPr>
              <w:t>6</w:t>
            </w:r>
          </w:p>
          <w:p w:rsidR="00164C65" w:rsidRPr="00F13C21" w:rsidRDefault="00164C65" w:rsidP="005A0854">
            <w:pPr>
              <w:keepLines/>
              <w:rPr>
                <w:rFonts w:ascii="Arial Narrow" w:hAnsi="Arial Narrow"/>
                <w:sz w:val="20"/>
              </w:rPr>
            </w:pPr>
            <w:r w:rsidRPr="00F13C21">
              <w:rPr>
                <w:rFonts w:ascii="Arial Narrow" w:hAnsi="Arial Narrow"/>
                <w:sz w:val="20"/>
              </w:rPr>
              <w:t>(LOTUS)</w:t>
            </w:r>
          </w:p>
        </w:tc>
        <w:tc>
          <w:tcPr>
            <w:tcW w:w="2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322</w:t>
            </w:r>
          </w:p>
        </w:tc>
        <w:tc>
          <w:tcPr>
            <w:tcW w:w="168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 xml:space="preserve">R, DB, MC, 36 </w:t>
            </w:r>
            <w:proofErr w:type="spellStart"/>
            <w:r w:rsidRPr="00F13C21">
              <w:rPr>
                <w:rFonts w:ascii="Arial Narrow" w:hAnsi="Arial Narrow"/>
                <w:sz w:val="20"/>
              </w:rPr>
              <w:t>wks</w:t>
            </w:r>
            <w:proofErr w:type="spellEnd"/>
            <w:r w:rsidRPr="00F13C21">
              <w:rPr>
                <w:rFonts w:ascii="Arial Narrow" w:hAnsi="Arial Narrow"/>
                <w:sz w:val="20"/>
              </w:rPr>
              <w:t xml:space="preserve"> (efficacy results up to 28 weeks). </w:t>
            </w:r>
            <w:r w:rsidRPr="00F13C21">
              <w:rPr>
                <w:rFonts w:ascii="Arial Narrow" w:hAnsi="Arial Narrow" w:cs="Times New Roman"/>
                <w:sz w:val="20"/>
              </w:rPr>
              <w:t>PBO patients crossed-over to UST at Week 12.</w:t>
            </w:r>
          </w:p>
        </w:tc>
        <w:tc>
          <w:tcPr>
            <w:tcW w:w="454"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Low</w:t>
            </w:r>
          </w:p>
        </w:tc>
        <w:tc>
          <w:tcPr>
            <w:tcW w:w="1017" w:type="pct"/>
            <w:shd w:val="clear" w:color="auto" w:fill="auto"/>
            <w:vAlign w:val="center"/>
          </w:tcPr>
          <w:p w:rsidR="00164C65" w:rsidRPr="00F13C21" w:rsidRDefault="00164C65" w:rsidP="005A0854">
            <w:pPr>
              <w:keepLines/>
              <w:jc w:val="center"/>
              <w:rPr>
                <w:rFonts w:ascii="Arial Narrow" w:hAnsi="Arial Narrow"/>
                <w:sz w:val="20"/>
              </w:rPr>
            </w:pPr>
            <w:r w:rsidRPr="00F13C21">
              <w:rPr>
                <w:rFonts w:ascii="Arial Narrow" w:hAnsi="Arial Narrow"/>
                <w:sz w:val="20"/>
              </w:rPr>
              <w:t>Same as UST</w:t>
            </w:r>
            <w:r w:rsidRPr="00F13C21">
              <w:rPr>
                <w:rFonts w:ascii="Arial Narrow" w:hAnsi="Arial Narrow"/>
                <w:sz w:val="20"/>
                <w:vertAlign w:val="subscript"/>
              </w:rPr>
              <w:t>2</w:t>
            </w:r>
            <w:r w:rsidRPr="00F13C21">
              <w:rPr>
                <w:rFonts w:ascii="Arial Narrow" w:hAnsi="Arial Narrow"/>
                <w:sz w:val="20"/>
              </w:rPr>
              <w:t xml:space="preserve"> and UST</w:t>
            </w:r>
            <w:r w:rsidRPr="00F13C21">
              <w:rPr>
                <w:rFonts w:ascii="Arial Narrow" w:hAnsi="Arial Narrow"/>
                <w:sz w:val="20"/>
                <w:vertAlign w:val="subscript"/>
              </w:rPr>
              <w:t>3</w:t>
            </w:r>
            <w:r w:rsidRPr="00F13C21">
              <w:rPr>
                <w:rFonts w:ascii="Arial Narrow" w:hAnsi="Arial Narrow"/>
                <w:sz w:val="20"/>
              </w:rPr>
              <w:t>, but in Chinese pts</w:t>
            </w:r>
          </w:p>
        </w:tc>
        <w:tc>
          <w:tcPr>
            <w:tcW w:w="898" w:type="pct"/>
            <w:vMerge/>
            <w:shd w:val="clear" w:color="auto" w:fill="auto"/>
            <w:vAlign w:val="center"/>
          </w:tcPr>
          <w:p w:rsidR="00164C65" w:rsidRPr="00F13C21" w:rsidRDefault="00164C65" w:rsidP="005A0854">
            <w:pPr>
              <w:keepLines/>
              <w:jc w:val="center"/>
              <w:rPr>
                <w:rFonts w:ascii="Arial Narrow" w:hAnsi="Arial Narrow"/>
                <w:sz w:val="20"/>
              </w:rPr>
            </w:pPr>
          </w:p>
        </w:tc>
      </w:tr>
      <w:tr w:rsidR="00164C65" w:rsidRPr="00C725E4" w:rsidTr="004156B1">
        <w:trPr>
          <w:cantSplit/>
          <w:trHeight w:val="729"/>
        </w:trPr>
        <w:tc>
          <w:tcPr>
            <w:tcW w:w="687" w:type="pct"/>
            <w:shd w:val="clear" w:color="auto" w:fill="auto"/>
            <w:vAlign w:val="center"/>
          </w:tcPr>
          <w:p w:rsidR="00164C65" w:rsidRPr="00AA3AC9" w:rsidRDefault="00164C65" w:rsidP="005A0854">
            <w:pPr>
              <w:keepLines/>
              <w:rPr>
                <w:rFonts w:ascii="Arial Narrow" w:hAnsi="Arial Narrow"/>
                <w:sz w:val="20"/>
              </w:rPr>
            </w:pPr>
            <w:r w:rsidRPr="00AA3AC9">
              <w:rPr>
                <w:rFonts w:ascii="Arial Narrow" w:hAnsi="Arial Narrow"/>
                <w:sz w:val="20"/>
              </w:rPr>
              <w:t>UST</w:t>
            </w:r>
            <w:r w:rsidRPr="00AA3AC9">
              <w:rPr>
                <w:rFonts w:ascii="Arial Narrow" w:hAnsi="Arial Narrow"/>
                <w:sz w:val="20"/>
                <w:vertAlign w:val="subscript"/>
              </w:rPr>
              <w:t>7</w:t>
            </w:r>
          </w:p>
          <w:p w:rsidR="00164C65" w:rsidRPr="00AA3AC9" w:rsidRDefault="00164C65" w:rsidP="005A0854">
            <w:pPr>
              <w:keepLines/>
              <w:rPr>
                <w:rFonts w:ascii="Arial Narrow" w:hAnsi="Arial Narrow"/>
                <w:sz w:val="20"/>
              </w:rPr>
            </w:pPr>
            <w:r w:rsidRPr="00AA3AC9">
              <w:rPr>
                <w:rFonts w:ascii="Arial Narrow" w:hAnsi="Arial Narrow"/>
                <w:sz w:val="20"/>
              </w:rPr>
              <w:t>(AMAGINE-2)</w:t>
            </w:r>
          </w:p>
        </w:tc>
        <w:tc>
          <w:tcPr>
            <w:tcW w:w="254" w:type="pct"/>
            <w:shd w:val="clear" w:color="auto" w:fill="auto"/>
            <w:vAlign w:val="center"/>
          </w:tcPr>
          <w:p w:rsidR="00164C65" w:rsidRPr="00AA3AC9" w:rsidRDefault="00164C65" w:rsidP="005A0854">
            <w:pPr>
              <w:keepLines/>
              <w:jc w:val="center"/>
              <w:rPr>
                <w:rFonts w:ascii="Arial Narrow" w:hAnsi="Arial Narrow"/>
                <w:sz w:val="20"/>
              </w:rPr>
            </w:pPr>
            <w:r w:rsidRPr="00AA3AC9">
              <w:rPr>
                <w:rFonts w:ascii="Arial Narrow" w:hAnsi="Arial Narrow"/>
                <w:sz w:val="20"/>
              </w:rPr>
              <w:t>1831</w:t>
            </w:r>
          </w:p>
        </w:tc>
        <w:tc>
          <w:tcPr>
            <w:tcW w:w="1687" w:type="pct"/>
            <w:vMerge w:val="restart"/>
            <w:shd w:val="clear" w:color="auto" w:fill="auto"/>
            <w:vAlign w:val="center"/>
          </w:tcPr>
          <w:p w:rsidR="00164C65" w:rsidRPr="00AA3AC9" w:rsidRDefault="00164C65" w:rsidP="005A0854">
            <w:pPr>
              <w:keepLines/>
              <w:jc w:val="center"/>
              <w:rPr>
                <w:rFonts w:ascii="Arial Narrow" w:hAnsi="Arial Narrow"/>
                <w:sz w:val="20"/>
              </w:rPr>
            </w:pPr>
            <w:r w:rsidRPr="00AA3AC9">
              <w:rPr>
                <w:rFonts w:ascii="Arial Narrow" w:hAnsi="Arial Narrow"/>
                <w:sz w:val="20"/>
              </w:rPr>
              <w:t>R, DB, MC, 52 wks.</w:t>
            </w:r>
          </w:p>
          <w:p w:rsidR="00164C65" w:rsidRPr="00AA3AC9" w:rsidRDefault="00164C65" w:rsidP="005A0854">
            <w:pPr>
              <w:keepLines/>
              <w:jc w:val="center"/>
              <w:rPr>
                <w:rFonts w:ascii="Arial Narrow" w:hAnsi="Arial Narrow"/>
                <w:sz w:val="20"/>
              </w:rPr>
            </w:pPr>
            <w:r w:rsidRPr="00AA3AC9">
              <w:rPr>
                <w:rFonts w:ascii="Arial Narrow" w:hAnsi="Arial Narrow"/>
                <w:sz w:val="20"/>
              </w:rPr>
              <w:t xml:space="preserve">Trial compared </w:t>
            </w:r>
            <w:proofErr w:type="spellStart"/>
            <w:r w:rsidRPr="00AA3AC9">
              <w:rPr>
                <w:rFonts w:ascii="Arial Narrow" w:hAnsi="Arial Narrow"/>
                <w:sz w:val="20"/>
              </w:rPr>
              <w:t>brodalumab</w:t>
            </w:r>
            <w:proofErr w:type="spellEnd"/>
            <w:r w:rsidRPr="00AA3AC9">
              <w:rPr>
                <w:rFonts w:ascii="Arial Narrow" w:hAnsi="Arial Narrow"/>
                <w:sz w:val="20"/>
              </w:rPr>
              <w:t xml:space="preserve">, UST and PBO.  PBO patients crossed-over to </w:t>
            </w:r>
            <w:proofErr w:type="spellStart"/>
            <w:r w:rsidRPr="00AA3AC9">
              <w:rPr>
                <w:rFonts w:ascii="Arial Narrow" w:hAnsi="Arial Narrow"/>
                <w:sz w:val="20"/>
              </w:rPr>
              <w:t>brodalumab</w:t>
            </w:r>
            <w:proofErr w:type="spellEnd"/>
            <w:r w:rsidRPr="00AA3AC9">
              <w:rPr>
                <w:rFonts w:ascii="Arial Narrow" w:hAnsi="Arial Narrow"/>
                <w:sz w:val="20"/>
              </w:rPr>
              <w:t xml:space="preserve"> at Week 12.</w:t>
            </w:r>
          </w:p>
        </w:tc>
        <w:tc>
          <w:tcPr>
            <w:tcW w:w="454" w:type="pct"/>
            <w:shd w:val="clear" w:color="auto" w:fill="auto"/>
            <w:vAlign w:val="center"/>
          </w:tcPr>
          <w:p w:rsidR="00164C65" w:rsidRPr="00AA3AC9" w:rsidRDefault="00164C65" w:rsidP="005A0854">
            <w:pPr>
              <w:keepLines/>
              <w:jc w:val="center"/>
              <w:rPr>
                <w:rFonts w:ascii="Arial Narrow" w:hAnsi="Arial Narrow"/>
                <w:sz w:val="20"/>
              </w:rPr>
            </w:pPr>
            <w:r w:rsidRPr="00AA3AC9">
              <w:rPr>
                <w:rFonts w:ascii="Arial Narrow" w:hAnsi="Arial Narrow"/>
                <w:sz w:val="20"/>
              </w:rPr>
              <w:t>Low</w:t>
            </w:r>
          </w:p>
        </w:tc>
        <w:tc>
          <w:tcPr>
            <w:tcW w:w="1017" w:type="pct"/>
            <w:vMerge w:val="restart"/>
            <w:shd w:val="clear" w:color="auto" w:fill="auto"/>
            <w:vAlign w:val="center"/>
          </w:tcPr>
          <w:p w:rsidR="00164C65" w:rsidRPr="00AA3AC9" w:rsidRDefault="00164C65" w:rsidP="005A0854">
            <w:pPr>
              <w:keepLines/>
              <w:jc w:val="center"/>
              <w:rPr>
                <w:rFonts w:ascii="Arial Narrow" w:hAnsi="Arial Narrow"/>
                <w:sz w:val="20"/>
                <w:lang w:val="it-IT"/>
              </w:rPr>
            </w:pPr>
            <w:r w:rsidRPr="00AA3AC9">
              <w:rPr>
                <w:rFonts w:ascii="Arial Narrow" w:hAnsi="Arial Narrow"/>
                <w:sz w:val="20"/>
                <w:lang w:val="it-IT"/>
              </w:rPr>
              <w:t>Moderate to severe CPP;</w:t>
            </w:r>
          </w:p>
          <w:p w:rsidR="00164C65" w:rsidRPr="00AA3AC9" w:rsidRDefault="00164C65" w:rsidP="005A0854">
            <w:pPr>
              <w:keepLines/>
              <w:jc w:val="center"/>
              <w:rPr>
                <w:rFonts w:ascii="Arial Narrow" w:hAnsi="Arial Narrow"/>
                <w:sz w:val="20"/>
                <w:lang w:val="it-IT"/>
              </w:rPr>
            </w:pPr>
            <w:r w:rsidRPr="00AA3AC9">
              <w:rPr>
                <w:rFonts w:ascii="Arial Narrow" w:hAnsi="Arial Narrow"/>
                <w:sz w:val="20"/>
                <w:lang w:val="it-IT"/>
              </w:rPr>
              <w:t xml:space="preserve">PASI score </w:t>
            </w:r>
            <w:r w:rsidRPr="00AA3AC9">
              <w:rPr>
                <w:rFonts w:ascii="Arial Narrow" w:hAnsi="Arial Narrow"/>
                <w:sz w:val="20"/>
                <w:u w:val="single"/>
                <w:lang w:val="it-IT"/>
              </w:rPr>
              <w:t>&gt;</w:t>
            </w:r>
            <w:r w:rsidRPr="00AA3AC9">
              <w:rPr>
                <w:rFonts w:ascii="Arial Narrow" w:hAnsi="Arial Narrow"/>
                <w:sz w:val="20"/>
                <w:lang w:val="it-IT"/>
              </w:rPr>
              <w:t>12, BSA</w:t>
            </w:r>
            <w:r w:rsidRPr="00AA3AC9">
              <w:rPr>
                <w:rFonts w:ascii="Arial Narrow" w:hAnsi="Arial Narrow"/>
                <w:sz w:val="20"/>
                <w:u w:val="single"/>
                <w:lang w:val="it-IT"/>
              </w:rPr>
              <w:t>&gt;</w:t>
            </w:r>
            <w:r w:rsidRPr="00AA3AC9">
              <w:rPr>
                <w:rFonts w:ascii="Arial Narrow" w:hAnsi="Arial Narrow"/>
                <w:sz w:val="20"/>
                <w:lang w:val="it-IT"/>
              </w:rPr>
              <w:t>10%, sPGA</w:t>
            </w:r>
            <w:r w:rsidRPr="00AA3AC9">
              <w:rPr>
                <w:rFonts w:ascii="Arial Narrow" w:hAnsi="Arial Narrow"/>
                <w:sz w:val="20"/>
                <w:u w:val="single"/>
                <w:lang w:val="it-IT"/>
              </w:rPr>
              <w:t>&gt;</w:t>
            </w:r>
            <w:r w:rsidRPr="00AA3AC9">
              <w:rPr>
                <w:rFonts w:ascii="Arial Narrow" w:hAnsi="Arial Narrow"/>
                <w:sz w:val="20"/>
                <w:lang w:val="it-IT"/>
              </w:rPr>
              <w:t>3</w:t>
            </w:r>
          </w:p>
        </w:tc>
        <w:tc>
          <w:tcPr>
            <w:tcW w:w="898" w:type="pct"/>
            <w:vMerge w:val="restart"/>
            <w:shd w:val="clear" w:color="auto" w:fill="auto"/>
            <w:vAlign w:val="center"/>
          </w:tcPr>
          <w:p w:rsidR="00164C65" w:rsidRPr="00AA3AC9" w:rsidRDefault="00164C65" w:rsidP="005A0854">
            <w:pPr>
              <w:keepLines/>
              <w:jc w:val="center"/>
              <w:rPr>
                <w:rFonts w:ascii="Arial Narrow" w:hAnsi="Arial Narrow"/>
                <w:sz w:val="20"/>
              </w:rPr>
            </w:pPr>
            <w:r w:rsidRPr="00AA3AC9">
              <w:rPr>
                <w:rFonts w:ascii="Arial Narrow" w:hAnsi="Arial Narrow"/>
                <w:sz w:val="20"/>
              </w:rPr>
              <w:t>PASI 75 &amp;</w:t>
            </w:r>
          </w:p>
          <w:p w:rsidR="00164C65" w:rsidRPr="00AA3AC9" w:rsidRDefault="00164C65" w:rsidP="005A0854">
            <w:pPr>
              <w:keepLines/>
              <w:jc w:val="center"/>
              <w:rPr>
                <w:rFonts w:ascii="Arial Narrow" w:hAnsi="Arial Narrow"/>
                <w:sz w:val="20"/>
              </w:rPr>
            </w:pPr>
            <w:proofErr w:type="spellStart"/>
            <w:proofErr w:type="gramStart"/>
            <w:r w:rsidRPr="00AA3AC9">
              <w:rPr>
                <w:rFonts w:ascii="Arial Narrow" w:hAnsi="Arial Narrow"/>
                <w:sz w:val="20"/>
              </w:rPr>
              <w:t>sPGA</w:t>
            </w:r>
            <w:proofErr w:type="spellEnd"/>
            <w:proofErr w:type="gramEnd"/>
            <w:r w:rsidRPr="00AA3AC9">
              <w:rPr>
                <w:rFonts w:ascii="Arial Narrow" w:hAnsi="Arial Narrow"/>
                <w:sz w:val="20"/>
              </w:rPr>
              <w:t xml:space="preserve"> (0,1) at </w:t>
            </w:r>
            <w:proofErr w:type="spellStart"/>
            <w:r w:rsidRPr="00AA3AC9">
              <w:rPr>
                <w:rFonts w:ascii="Arial Narrow" w:hAnsi="Arial Narrow"/>
                <w:sz w:val="20"/>
              </w:rPr>
              <w:t>Wk</w:t>
            </w:r>
            <w:proofErr w:type="spellEnd"/>
            <w:r w:rsidRPr="00AA3AC9">
              <w:rPr>
                <w:rFonts w:ascii="Arial Narrow" w:hAnsi="Arial Narrow"/>
                <w:sz w:val="20"/>
              </w:rPr>
              <w:t xml:space="preserve"> 12.  </w:t>
            </w:r>
          </w:p>
          <w:p w:rsidR="00164C65" w:rsidRPr="00AA3AC9" w:rsidRDefault="00164C65" w:rsidP="005A0854">
            <w:pPr>
              <w:keepLines/>
              <w:jc w:val="center"/>
              <w:rPr>
                <w:rFonts w:ascii="Arial Narrow" w:hAnsi="Arial Narrow"/>
                <w:sz w:val="20"/>
              </w:rPr>
            </w:pPr>
            <w:r w:rsidRPr="00AA3AC9">
              <w:rPr>
                <w:rFonts w:ascii="Arial Narrow" w:hAnsi="Arial Narrow"/>
                <w:sz w:val="20"/>
              </w:rPr>
              <w:t xml:space="preserve">Maintenance of PASI response thru to </w:t>
            </w:r>
            <w:proofErr w:type="spellStart"/>
            <w:r w:rsidRPr="00AA3AC9">
              <w:rPr>
                <w:rFonts w:ascii="Arial Narrow" w:hAnsi="Arial Narrow"/>
                <w:sz w:val="20"/>
              </w:rPr>
              <w:t>Wk</w:t>
            </w:r>
            <w:proofErr w:type="spellEnd"/>
            <w:r w:rsidRPr="00AA3AC9">
              <w:rPr>
                <w:rFonts w:ascii="Arial Narrow" w:hAnsi="Arial Narrow"/>
                <w:sz w:val="20"/>
              </w:rPr>
              <w:t xml:space="preserve"> 52. </w:t>
            </w:r>
          </w:p>
        </w:tc>
      </w:tr>
      <w:tr w:rsidR="00164C65" w:rsidRPr="00C725E4" w:rsidTr="004156B1">
        <w:trPr>
          <w:cantSplit/>
          <w:trHeight w:val="70"/>
        </w:trPr>
        <w:tc>
          <w:tcPr>
            <w:tcW w:w="687" w:type="pct"/>
            <w:shd w:val="clear" w:color="auto" w:fill="auto"/>
            <w:vAlign w:val="center"/>
          </w:tcPr>
          <w:p w:rsidR="00164C65" w:rsidRPr="00EE6624" w:rsidRDefault="00164C65" w:rsidP="005A0854">
            <w:pPr>
              <w:keepLines/>
              <w:rPr>
                <w:rFonts w:ascii="Arial Narrow" w:hAnsi="Arial Narrow"/>
                <w:sz w:val="20"/>
              </w:rPr>
            </w:pPr>
            <w:r w:rsidRPr="00EE6624">
              <w:rPr>
                <w:rFonts w:ascii="Arial Narrow" w:hAnsi="Arial Narrow"/>
                <w:sz w:val="20"/>
              </w:rPr>
              <w:t>UST</w:t>
            </w:r>
            <w:r w:rsidRPr="00EE6624">
              <w:rPr>
                <w:rFonts w:ascii="Arial Narrow" w:hAnsi="Arial Narrow"/>
                <w:sz w:val="20"/>
                <w:vertAlign w:val="subscript"/>
              </w:rPr>
              <w:t>8</w:t>
            </w:r>
          </w:p>
          <w:p w:rsidR="00164C65" w:rsidRPr="00EE6624" w:rsidRDefault="00164C65" w:rsidP="005A0854">
            <w:pPr>
              <w:keepLines/>
              <w:rPr>
                <w:rFonts w:ascii="Arial Narrow" w:hAnsi="Arial Narrow"/>
                <w:sz w:val="20"/>
              </w:rPr>
            </w:pPr>
            <w:r w:rsidRPr="00EE6624">
              <w:rPr>
                <w:rFonts w:ascii="Arial Narrow" w:hAnsi="Arial Narrow"/>
                <w:sz w:val="20"/>
              </w:rPr>
              <w:t>(AMAGINE-3)</w:t>
            </w:r>
          </w:p>
        </w:tc>
        <w:tc>
          <w:tcPr>
            <w:tcW w:w="254" w:type="pct"/>
            <w:shd w:val="clear" w:color="auto" w:fill="auto"/>
            <w:vAlign w:val="center"/>
          </w:tcPr>
          <w:p w:rsidR="00164C65" w:rsidRPr="00EE6624" w:rsidRDefault="00164C65" w:rsidP="005A0854">
            <w:pPr>
              <w:keepLines/>
              <w:jc w:val="center"/>
              <w:rPr>
                <w:rFonts w:ascii="Arial Narrow" w:hAnsi="Arial Narrow"/>
                <w:sz w:val="20"/>
              </w:rPr>
            </w:pPr>
            <w:r w:rsidRPr="00EE6624">
              <w:rPr>
                <w:rFonts w:ascii="Arial Narrow" w:hAnsi="Arial Narrow"/>
                <w:sz w:val="20"/>
              </w:rPr>
              <w:t>1881</w:t>
            </w:r>
          </w:p>
        </w:tc>
        <w:tc>
          <w:tcPr>
            <w:tcW w:w="1687" w:type="pct"/>
            <w:vMerge/>
            <w:shd w:val="clear" w:color="auto" w:fill="auto"/>
            <w:vAlign w:val="center"/>
          </w:tcPr>
          <w:p w:rsidR="00164C65" w:rsidRPr="00C725E4" w:rsidRDefault="00164C65" w:rsidP="005A0854">
            <w:pPr>
              <w:keepLines/>
              <w:jc w:val="center"/>
              <w:rPr>
                <w:rFonts w:ascii="Arial Narrow" w:hAnsi="Arial Narrow"/>
                <w:i/>
                <w:iCs/>
                <w:sz w:val="20"/>
              </w:rPr>
            </w:pPr>
          </w:p>
        </w:tc>
        <w:tc>
          <w:tcPr>
            <w:tcW w:w="454" w:type="pct"/>
            <w:shd w:val="clear" w:color="auto" w:fill="auto"/>
            <w:vAlign w:val="center"/>
          </w:tcPr>
          <w:p w:rsidR="00164C65" w:rsidRPr="00D91715" w:rsidRDefault="00164C65" w:rsidP="005A0854">
            <w:pPr>
              <w:keepLines/>
              <w:jc w:val="center"/>
              <w:rPr>
                <w:rFonts w:ascii="Arial Narrow" w:hAnsi="Arial Narrow"/>
                <w:sz w:val="20"/>
              </w:rPr>
            </w:pPr>
            <w:r w:rsidRPr="00D91715">
              <w:rPr>
                <w:rFonts w:ascii="Arial Narrow" w:hAnsi="Arial Narrow"/>
                <w:sz w:val="20"/>
              </w:rPr>
              <w:t>Low</w:t>
            </w:r>
          </w:p>
        </w:tc>
        <w:tc>
          <w:tcPr>
            <w:tcW w:w="1017" w:type="pct"/>
            <w:vMerge/>
            <w:shd w:val="clear" w:color="auto" w:fill="auto"/>
            <w:vAlign w:val="center"/>
          </w:tcPr>
          <w:p w:rsidR="00164C65" w:rsidRPr="00C725E4" w:rsidRDefault="00164C65" w:rsidP="005A0854">
            <w:pPr>
              <w:keepLines/>
              <w:jc w:val="center"/>
              <w:rPr>
                <w:rFonts w:ascii="Arial Narrow" w:hAnsi="Arial Narrow"/>
                <w:i/>
                <w:iCs/>
                <w:sz w:val="20"/>
              </w:rPr>
            </w:pPr>
          </w:p>
        </w:tc>
        <w:tc>
          <w:tcPr>
            <w:tcW w:w="898" w:type="pct"/>
            <w:vMerge/>
            <w:shd w:val="clear" w:color="auto" w:fill="auto"/>
            <w:vAlign w:val="center"/>
          </w:tcPr>
          <w:p w:rsidR="00164C65" w:rsidRPr="00C725E4" w:rsidRDefault="00164C65" w:rsidP="005A0854">
            <w:pPr>
              <w:keepLines/>
              <w:jc w:val="center"/>
              <w:rPr>
                <w:rFonts w:ascii="Arial Narrow" w:hAnsi="Arial Narrow"/>
                <w:i/>
                <w:iCs/>
                <w:sz w:val="20"/>
              </w:rPr>
            </w:pPr>
          </w:p>
        </w:tc>
      </w:tr>
      <w:tr w:rsidR="00164C65" w:rsidRPr="00C725E4" w:rsidTr="004156B1">
        <w:trPr>
          <w:cantSplit/>
          <w:trHeight w:val="70"/>
        </w:trPr>
        <w:tc>
          <w:tcPr>
            <w:tcW w:w="5000" w:type="pct"/>
            <w:gridSpan w:val="6"/>
            <w:shd w:val="clear" w:color="auto" w:fill="auto"/>
            <w:vAlign w:val="center"/>
          </w:tcPr>
          <w:p w:rsidR="00164C65" w:rsidRPr="00AA3AC9" w:rsidRDefault="00164C65" w:rsidP="005A0854">
            <w:pPr>
              <w:keepLines/>
              <w:jc w:val="left"/>
              <w:rPr>
                <w:rFonts w:ascii="Arial Narrow" w:hAnsi="Arial Narrow"/>
                <w:sz w:val="20"/>
              </w:rPr>
            </w:pPr>
            <w:r w:rsidRPr="00AA3AC9">
              <w:rPr>
                <w:rFonts w:ascii="Arial Narrow" w:hAnsi="Arial Narrow"/>
                <w:b/>
                <w:sz w:val="20"/>
              </w:rPr>
              <w:t>ADA vs PBO</w:t>
            </w:r>
          </w:p>
        </w:tc>
      </w:tr>
      <w:tr w:rsidR="00164C65" w:rsidRPr="00C725E4" w:rsidTr="004156B1">
        <w:trPr>
          <w:cantSplit/>
          <w:trHeight w:val="70"/>
        </w:trPr>
        <w:tc>
          <w:tcPr>
            <w:tcW w:w="687" w:type="pct"/>
            <w:shd w:val="clear" w:color="auto" w:fill="auto"/>
            <w:vAlign w:val="center"/>
          </w:tcPr>
          <w:p w:rsidR="00164C65" w:rsidRDefault="00164C65" w:rsidP="005A0854">
            <w:pPr>
              <w:keepLines/>
              <w:widowControl/>
              <w:jc w:val="left"/>
              <w:rPr>
                <w:rFonts w:ascii="Arial Narrow" w:hAnsi="Arial Narrow"/>
                <w:sz w:val="20"/>
              </w:rPr>
            </w:pPr>
            <w:r>
              <w:rPr>
                <w:rFonts w:ascii="Arial Narrow" w:hAnsi="Arial Narrow"/>
                <w:sz w:val="20"/>
              </w:rPr>
              <w:t>ADA</w:t>
            </w:r>
            <w:r>
              <w:rPr>
                <w:rFonts w:ascii="Arial Narrow" w:hAnsi="Arial Narrow"/>
                <w:sz w:val="20"/>
                <w:vertAlign w:val="subscript"/>
              </w:rPr>
              <w:t>1</w:t>
            </w:r>
          </w:p>
          <w:p w:rsidR="00164C65" w:rsidRPr="00C725E4" w:rsidRDefault="00164C65" w:rsidP="005A0854">
            <w:pPr>
              <w:keepLines/>
              <w:rPr>
                <w:rFonts w:ascii="Arial Narrow" w:hAnsi="Arial Narrow"/>
                <w:i/>
                <w:iCs/>
                <w:sz w:val="20"/>
              </w:rPr>
            </w:pPr>
            <w:r>
              <w:rPr>
                <w:rFonts w:ascii="Arial Narrow" w:hAnsi="Arial Narrow"/>
                <w:sz w:val="20"/>
              </w:rPr>
              <w:t>(</w:t>
            </w:r>
            <w:r w:rsidRPr="00814BD4">
              <w:rPr>
                <w:rFonts w:ascii="Arial Narrow" w:hAnsi="Arial Narrow"/>
                <w:sz w:val="20"/>
              </w:rPr>
              <w:t>CHAMPION</w:t>
            </w:r>
            <w:r>
              <w:rPr>
                <w:rFonts w:ascii="Arial Narrow" w:hAnsi="Arial Narrow"/>
                <w:sz w:val="20"/>
              </w:rPr>
              <w:t>)</w:t>
            </w:r>
          </w:p>
        </w:tc>
        <w:tc>
          <w:tcPr>
            <w:tcW w:w="2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271</w:t>
            </w:r>
          </w:p>
        </w:tc>
        <w:tc>
          <w:tcPr>
            <w:tcW w:w="1687"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lang w:val="pt-PT"/>
              </w:rPr>
              <w:t>R, DB, MC, 16wks</w:t>
            </w:r>
          </w:p>
        </w:tc>
        <w:tc>
          <w:tcPr>
            <w:tcW w:w="4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Low</w:t>
            </w:r>
          </w:p>
        </w:tc>
        <w:tc>
          <w:tcPr>
            <w:tcW w:w="1017"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Moderate to severe; PASI score</w:t>
            </w:r>
            <w:r w:rsidRPr="0051419A">
              <w:rPr>
                <w:rFonts w:ascii="Arial Narrow" w:hAnsi="Arial Narrow"/>
                <w:sz w:val="20"/>
                <w:u w:val="single"/>
              </w:rPr>
              <w:t>&gt;</w:t>
            </w:r>
            <w:r>
              <w:rPr>
                <w:rFonts w:ascii="Arial Narrow" w:hAnsi="Arial Narrow"/>
                <w:sz w:val="20"/>
              </w:rPr>
              <w:t>10 AND BSA</w:t>
            </w:r>
            <w:r w:rsidRPr="004D0F4E">
              <w:rPr>
                <w:rFonts w:ascii="Arial Narrow" w:hAnsi="Arial Narrow"/>
                <w:sz w:val="20"/>
                <w:u w:val="single"/>
              </w:rPr>
              <w:t>&gt;</w:t>
            </w:r>
            <w:r>
              <w:rPr>
                <w:rFonts w:ascii="Arial Narrow" w:hAnsi="Arial Narrow"/>
                <w:sz w:val="20"/>
              </w:rPr>
              <w:t>10%</w:t>
            </w:r>
          </w:p>
        </w:tc>
        <w:tc>
          <w:tcPr>
            <w:tcW w:w="898" w:type="pct"/>
            <w:vMerge w:val="restart"/>
            <w:shd w:val="clear" w:color="auto" w:fill="auto"/>
            <w:vAlign w:val="center"/>
          </w:tcPr>
          <w:p w:rsidR="00164C65" w:rsidRDefault="00164C65" w:rsidP="005A0854">
            <w:pPr>
              <w:keepLines/>
              <w:jc w:val="center"/>
              <w:rPr>
                <w:rFonts w:ascii="Arial Narrow" w:hAnsi="Arial Narrow"/>
                <w:sz w:val="18"/>
                <w:szCs w:val="18"/>
                <w:lang w:val="en-US"/>
              </w:rPr>
            </w:pPr>
            <w:r>
              <w:rPr>
                <w:rFonts w:ascii="Arial Narrow" w:hAnsi="Arial Narrow"/>
                <w:sz w:val="18"/>
                <w:szCs w:val="18"/>
                <w:lang w:val="en-US"/>
              </w:rPr>
              <w:t>PASI 75</w:t>
            </w:r>
          </w:p>
          <w:p w:rsidR="00164C65" w:rsidRPr="00C725E4" w:rsidRDefault="00164C65" w:rsidP="005A0854">
            <w:pPr>
              <w:keepLines/>
              <w:jc w:val="center"/>
              <w:rPr>
                <w:rFonts w:ascii="Arial Narrow" w:hAnsi="Arial Narrow"/>
                <w:i/>
                <w:iCs/>
                <w:sz w:val="20"/>
              </w:rPr>
            </w:pPr>
            <w:r>
              <w:rPr>
                <w:rFonts w:ascii="Arial Narrow" w:hAnsi="Arial Narrow"/>
                <w:sz w:val="18"/>
                <w:szCs w:val="18"/>
                <w:lang w:val="en-US"/>
              </w:rPr>
              <w:t>at 16 weeks</w:t>
            </w:r>
          </w:p>
        </w:tc>
      </w:tr>
      <w:tr w:rsidR="00164C65" w:rsidRPr="00C725E4" w:rsidTr="004156B1">
        <w:trPr>
          <w:cantSplit/>
          <w:trHeight w:val="70"/>
        </w:trPr>
        <w:tc>
          <w:tcPr>
            <w:tcW w:w="687" w:type="pct"/>
            <w:shd w:val="clear" w:color="auto" w:fill="auto"/>
            <w:vAlign w:val="center"/>
          </w:tcPr>
          <w:p w:rsidR="00164C65" w:rsidRDefault="00164C65" w:rsidP="005A0854">
            <w:pPr>
              <w:keepLines/>
              <w:widowControl/>
              <w:jc w:val="left"/>
              <w:rPr>
                <w:rFonts w:ascii="Arial Narrow" w:hAnsi="Arial Narrow"/>
                <w:sz w:val="20"/>
              </w:rPr>
            </w:pPr>
            <w:r>
              <w:rPr>
                <w:rFonts w:ascii="Arial Narrow" w:hAnsi="Arial Narrow"/>
                <w:sz w:val="20"/>
              </w:rPr>
              <w:t>ADA</w:t>
            </w:r>
            <w:r>
              <w:rPr>
                <w:rFonts w:ascii="Arial Narrow" w:hAnsi="Arial Narrow"/>
                <w:sz w:val="20"/>
                <w:vertAlign w:val="subscript"/>
              </w:rPr>
              <w:t>2</w:t>
            </w:r>
          </w:p>
          <w:p w:rsidR="00164C65" w:rsidRPr="00C725E4" w:rsidRDefault="00164C65" w:rsidP="005A0854">
            <w:pPr>
              <w:keepLines/>
              <w:rPr>
                <w:rFonts w:ascii="Arial Narrow" w:hAnsi="Arial Narrow"/>
                <w:i/>
                <w:iCs/>
                <w:sz w:val="20"/>
              </w:rPr>
            </w:pPr>
            <w:r>
              <w:rPr>
                <w:rFonts w:ascii="Arial Narrow" w:hAnsi="Arial Narrow"/>
                <w:sz w:val="20"/>
              </w:rPr>
              <w:t>(</w:t>
            </w:r>
            <w:r w:rsidRPr="00814BD4">
              <w:rPr>
                <w:rFonts w:ascii="Arial Narrow" w:hAnsi="Arial Narrow"/>
                <w:sz w:val="20"/>
              </w:rPr>
              <w:t>REVEAL</w:t>
            </w:r>
            <w:r>
              <w:rPr>
                <w:rFonts w:ascii="Arial Narrow" w:hAnsi="Arial Narrow"/>
                <w:sz w:val="20"/>
              </w:rPr>
              <w:t>)</w:t>
            </w:r>
          </w:p>
        </w:tc>
        <w:tc>
          <w:tcPr>
            <w:tcW w:w="2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1,212</w:t>
            </w:r>
          </w:p>
        </w:tc>
        <w:tc>
          <w:tcPr>
            <w:tcW w:w="1687" w:type="pct"/>
            <w:shd w:val="clear" w:color="auto" w:fill="auto"/>
            <w:vAlign w:val="center"/>
          </w:tcPr>
          <w:p w:rsidR="00164C65" w:rsidRPr="004709A1" w:rsidRDefault="00164C65" w:rsidP="005A0854">
            <w:pPr>
              <w:keepLines/>
              <w:jc w:val="center"/>
              <w:rPr>
                <w:rFonts w:ascii="Arial Narrow" w:hAnsi="Arial Narrow"/>
                <w:sz w:val="20"/>
              </w:rPr>
            </w:pPr>
            <w:r>
              <w:rPr>
                <w:rFonts w:ascii="Arial Narrow" w:hAnsi="Arial Narrow"/>
                <w:sz w:val="20"/>
              </w:rPr>
              <w:t>R, DB, MC</w:t>
            </w:r>
            <w:r w:rsidRPr="004709A1">
              <w:rPr>
                <w:rFonts w:ascii="Arial Narrow" w:hAnsi="Arial Narrow"/>
                <w:sz w:val="20"/>
              </w:rPr>
              <w:t>, 52wks.</w:t>
            </w:r>
          </w:p>
          <w:p w:rsidR="00164C65" w:rsidRPr="00C725E4" w:rsidRDefault="00164C65" w:rsidP="005A0854">
            <w:pPr>
              <w:keepLines/>
              <w:jc w:val="center"/>
              <w:rPr>
                <w:rFonts w:ascii="Arial Narrow" w:hAnsi="Arial Narrow"/>
                <w:i/>
                <w:iCs/>
                <w:sz w:val="20"/>
              </w:rPr>
            </w:pPr>
            <w:r w:rsidRPr="00AA3AC9">
              <w:rPr>
                <w:rFonts w:ascii="Arial Narrow" w:hAnsi="Arial Narrow" w:cs="Times New Roman"/>
                <w:sz w:val="20"/>
              </w:rPr>
              <w:t>PBO patients crossed over</w:t>
            </w:r>
            <w:r>
              <w:rPr>
                <w:rFonts w:ascii="Arial Narrow" w:hAnsi="Arial Narrow" w:cs="Times New Roman"/>
                <w:sz w:val="20"/>
              </w:rPr>
              <w:t xml:space="preserve"> to ADA</w:t>
            </w:r>
            <w:r w:rsidRPr="00AA3AC9">
              <w:rPr>
                <w:rFonts w:ascii="Arial Narrow" w:hAnsi="Arial Narrow" w:cs="Times New Roman"/>
                <w:sz w:val="20"/>
              </w:rPr>
              <w:t xml:space="preserve"> at Week 1</w:t>
            </w:r>
            <w:r>
              <w:rPr>
                <w:rFonts w:ascii="Arial Narrow" w:hAnsi="Arial Narrow" w:cs="Times New Roman"/>
                <w:sz w:val="20"/>
              </w:rPr>
              <w:t>6.</w:t>
            </w:r>
          </w:p>
        </w:tc>
        <w:tc>
          <w:tcPr>
            <w:tcW w:w="4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Low</w:t>
            </w:r>
          </w:p>
        </w:tc>
        <w:tc>
          <w:tcPr>
            <w:tcW w:w="1017"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Moderate to severe; PASI score</w:t>
            </w:r>
            <w:r w:rsidRPr="0051419A">
              <w:rPr>
                <w:rFonts w:ascii="Arial Narrow" w:hAnsi="Arial Narrow"/>
                <w:sz w:val="20"/>
                <w:u w:val="single"/>
              </w:rPr>
              <w:t>&gt;</w:t>
            </w:r>
            <w:r>
              <w:rPr>
                <w:rFonts w:ascii="Arial Narrow" w:hAnsi="Arial Narrow"/>
                <w:sz w:val="20"/>
              </w:rPr>
              <w:t>12 AND PGA</w:t>
            </w:r>
            <w:r w:rsidRPr="004D0F4E">
              <w:rPr>
                <w:rFonts w:ascii="Arial Narrow" w:hAnsi="Arial Narrow"/>
                <w:sz w:val="20"/>
                <w:u w:val="single"/>
              </w:rPr>
              <w:t>&gt;</w:t>
            </w:r>
            <w:r>
              <w:rPr>
                <w:rFonts w:ascii="Arial Narrow" w:hAnsi="Arial Narrow"/>
                <w:sz w:val="20"/>
              </w:rPr>
              <w:t>3 AND BSA</w:t>
            </w:r>
            <w:r w:rsidRPr="004D0F4E">
              <w:rPr>
                <w:rFonts w:ascii="Arial Narrow" w:hAnsi="Arial Narrow"/>
                <w:sz w:val="20"/>
                <w:u w:val="single"/>
              </w:rPr>
              <w:t>&gt;</w:t>
            </w:r>
            <w:r>
              <w:rPr>
                <w:rFonts w:ascii="Arial Narrow" w:hAnsi="Arial Narrow"/>
                <w:sz w:val="20"/>
              </w:rPr>
              <w:t>10%</w:t>
            </w:r>
          </w:p>
        </w:tc>
        <w:tc>
          <w:tcPr>
            <w:tcW w:w="898" w:type="pct"/>
            <w:vMerge/>
            <w:shd w:val="clear" w:color="auto" w:fill="auto"/>
            <w:vAlign w:val="center"/>
          </w:tcPr>
          <w:p w:rsidR="00164C65" w:rsidRPr="00C725E4" w:rsidRDefault="00164C65" w:rsidP="005A0854">
            <w:pPr>
              <w:keepLines/>
              <w:jc w:val="center"/>
              <w:rPr>
                <w:rFonts w:ascii="Arial Narrow" w:hAnsi="Arial Narrow"/>
                <w:i/>
                <w:iCs/>
                <w:sz w:val="20"/>
              </w:rPr>
            </w:pPr>
          </w:p>
        </w:tc>
      </w:tr>
      <w:tr w:rsidR="00164C65" w:rsidRPr="00C725E4" w:rsidTr="004156B1">
        <w:trPr>
          <w:cantSplit/>
          <w:trHeight w:val="70"/>
        </w:trPr>
        <w:tc>
          <w:tcPr>
            <w:tcW w:w="687" w:type="pct"/>
            <w:shd w:val="clear" w:color="auto" w:fill="auto"/>
            <w:vAlign w:val="center"/>
          </w:tcPr>
          <w:p w:rsidR="00164C65" w:rsidRDefault="00164C65" w:rsidP="005A0854">
            <w:pPr>
              <w:keepLines/>
              <w:widowControl/>
              <w:jc w:val="left"/>
              <w:rPr>
                <w:rFonts w:ascii="Arial Narrow" w:hAnsi="Arial Narrow"/>
                <w:sz w:val="20"/>
              </w:rPr>
            </w:pPr>
            <w:r>
              <w:rPr>
                <w:rFonts w:ascii="Arial Narrow" w:hAnsi="Arial Narrow"/>
                <w:sz w:val="20"/>
              </w:rPr>
              <w:t>ADA</w:t>
            </w:r>
            <w:r>
              <w:rPr>
                <w:rFonts w:ascii="Arial Narrow" w:hAnsi="Arial Narrow"/>
                <w:sz w:val="20"/>
                <w:vertAlign w:val="subscript"/>
              </w:rPr>
              <w:t>3</w:t>
            </w:r>
          </w:p>
          <w:p w:rsidR="00164C65" w:rsidRPr="00C725E4" w:rsidRDefault="00164C65" w:rsidP="005A0854">
            <w:pPr>
              <w:keepLines/>
              <w:rPr>
                <w:rFonts w:ascii="Arial Narrow" w:hAnsi="Arial Narrow"/>
                <w:i/>
                <w:iCs/>
                <w:sz w:val="20"/>
              </w:rPr>
            </w:pPr>
            <w:r>
              <w:rPr>
                <w:rFonts w:ascii="Arial Narrow" w:hAnsi="Arial Narrow"/>
                <w:sz w:val="20"/>
              </w:rPr>
              <w:t>(</w:t>
            </w:r>
            <w:r w:rsidRPr="00814BD4">
              <w:rPr>
                <w:rFonts w:ascii="Arial Narrow" w:hAnsi="Arial Narrow"/>
                <w:sz w:val="20"/>
              </w:rPr>
              <w:t>Gordon 2006</w:t>
            </w:r>
            <w:r>
              <w:rPr>
                <w:rFonts w:ascii="Arial Narrow" w:hAnsi="Arial Narrow"/>
                <w:sz w:val="20"/>
              </w:rPr>
              <w:t>)</w:t>
            </w:r>
          </w:p>
        </w:tc>
        <w:tc>
          <w:tcPr>
            <w:tcW w:w="2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148</w:t>
            </w:r>
          </w:p>
        </w:tc>
        <w:tc>
          <w:tcPr>
            <w:tcW w:w="1687" w:type="pct"/>
            <w:shd w:val="clear" w:color="auto" w:fill="auto"/>
            <w:vAlign w:val="center"/>
          </w:tcPr>
          <w:p w:rsidR="00164C65" w:rsidRPr="0031298B" w:rsidRDefault="00164C65" w:rsidP="005A0854">
            <w:pPr>
              <w:keepLines/>
              <w:jc w:val="center"/>
              <w:rPr>
                <w:rFonts w:ascii="Arial Narrow" w:hAnsi="Arial Narrow"/>
                <w:sz w:val="20"/>
              </w:rPr>
            </w:pPr>
            <w:r w:rsidRPr="0031298B">
              <w:rPr>
                <w:rFonts w:ascii="Arial Narrow" w:hAnsi="Arial Narrow"/>
                <w:sz w:val="20"/>
              </w:rPr>
              <w:t>R, DB, MC, 60wks.</w:t>
            </w:r>
          </w:p>
          <w:p w:rsidR="00164C65" w:rsidRPr="00C725E4" w:rsidRDefault="00164C65" w:rsidP="005A0854">
            <w:pPr>
              <w:keepLines/>
              <w:jc w:val="center"/>
              <w:rPr>
                <w:rFonts w:ascii="Arial Narrow" w:hAnsi="Arial Narrow"/>
                <w:i/>
                <w:iCs/>
                <w:sz w:val="20"/>
              </w:rPr>
            </w:pPr>
            <w:r w:rsidRPr="00AA3AC9">
              <w:rPr>
                <w:rFonts w:ascii="Arial Narrow" w:hAnsi="Arial Narrow" w:cs="Times New Roman"/>
                <w:sz w:val="20"/>
              </w:rPr>
              <w:t>PBO patients crossed over</w:t>
            </w:r>
            <w:r>
              <w:rPr>
                <w:rFonts w:ascii="Arial Narrow" w:hAnsi="Arial Narrow" w:cs="Times New Roman"/>
                <w:sz w:val="20"/>
              </w:rPr>
              <w:t xml:space="preserve"> to ADA</w:t>
            </w:r>
            <w:r w:rsidRPr="00AA3AC9">
              <w:rPr>
                <w:rFonts w:ascii="Arial Narrow" w:hAnsi="Arial Narrow" w:cs="Times New Roman"/>
                <w:sz w:val="20"/>
              </w:rPr>
              <w:t xml:space="preserve"> at Week 1</w:t>
            </w:r>
            <w:r>
              <w:rPr>
                <w:rFonts w:ascii="Arial Narrow" w:hAnsi="Arial Narrow" w:cs="Times New Roman"/>
                <w:sz w:val="20"/>
              </w:rPr>
              <w:t>2.</w:t>
            </w:r>
          </w:p>
        </w:tc>
        <w:tc>
          <w:tcPr>
            <w:tcW w:w="4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Low</w:t>
            </w:r>
          </w:p>
        </w:tc>
        <w:tc>
          <w:tcPr>
            <w:tcW w:w="1017"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Moderate to severe; BSA</w:t>
            </w:r>
            <w:r w:rsidRPr="004D0F4E">
              <w:rPr>
                <w:rFonts w:ascii="Arial Narrow" w:hAnsi="Arial Narrow"/>
                <w:sz w:val="20"/>
                <w:u w:val="single"/>
              </w:rPr>
              <w:t>&gt;</w:t>
            </w:r>
            <w:r>
              <w:rPr>
                <w:rFonts w:ascii="Arial Narrow" w:hAnsi="Arial Narrow"/>
                <w:sz w:val="20"/>
              </w:rPr>
              <w:t>5%</w:t>
            </w:r>
          </w:p>
        </w:tc>
        <w:tc>
          <w:tcPr>
            <w:tcW w:w="898" w:type="pct"/>
            <w:shd w:val="clear" w:color="auto" w:fill="auto"/>
            <w:vAlign w:val="center"/>
          </w:tcPr>
          <w:p w:rsidR="00164C65" w:rsidRDefault="00164C65" w:rsidP="005A0854">
            <w:pPr>
              <w:keepLines/>
              <w:jc w:val="center"/>
              <w:rPr>
                <w:rFonts w:ascii="Arial Narrow" w:hAnsi="Arial Narrow"/>
                <w:sz w:val="18"/>
                <w:szCs w:val="18"/>
                <w:lang w:val="en-US"/>
              </w:rPr>
            </w:pPr>
            <w:r>
              <w:rPr>
                <w:rFonts w:ascii="Arial Narrow" w:hAnsi="Arial Narrow"/>
                <w:sz w:val="18"/>
                <w:szCs w:val="18"/>
                <w:lang w:val="en-US"/>
              </w:rPr>
              <w:t>PASI 75</w:t>
            </w:r>
          </w:p>
          <w:p w:rsidR="00164C65" w:rsidRPr="00C725E4" w:rsidRDefault="00164C65" w:rsidP="005A0854">
            <w:pPr>
              <w:keepLines/>
              <w:jc w:val="center"/>
              <w:rPr>
                <w:rFonts w:ascii="Arial Narrow" w:hAnsi="Arial Narrow"/>
                <w:i/>
                <w:iCs/>
                <w:sz w:val="20"/>
              </w:rPr>
            </w:pPr>
            <w:r>
              <w:rPr>
                <w:rFonts w:ascii="Arial Narrow" w:hAnsi="Arial Narrow"/>
                <w:sz w:val="18"/>
                <w:szCs w:val="18"/>
                <w:lang w:val="en-US"/>
              </w:rPr>
              <w:t>at 12 weeks</w:t>
            </w:r>
          </w:p>
        </w:tc>
      </w:tr>
      <w:tr w:rsidR="00164C65" w:rsidRPr="00C725E4" w:rsidTr="004156B1">
        <w:trPr>
          <w:cantSplit/>
          <w:trHeight w:val="70"/>
        </w:trPr>
        <w:tc>
          <w:tcPr>
            <w:tcW w:w="687" w:type="pct"/>
            <w:shd w:val="clear" w:color="auto" w:fill="auto"/>
            <w:vAlign w:val="center"/>
          </w:tcPr>
          <w:p w:rsidR="00164C65" w:rsidRDefault="00164C65" w:rsidP="005A0854">
            <w:pPr>
              <w:keepLines/>
              <w:widowControl/>
              <w:jc w:val="left"/>
              <w:rPr>
                <w:rFonts w:ascii="Arial Narrow" w:hAnsi="Arial Narrow"/>
                <w:sz w:val="20"/>
              </w:rPr>
            </w:pPr>
            <w:r>
              <w:rPr>
                <w:rFonts w:ascii="Arial Narrow" w:hAnsi="Arial Narrow"/>
                <w:sz w:val="20"/>
              </w:rPr>
              <w:t>ADA</w:t>
            </w:r>
            <w:r>
              <w:rPr>
                <w:rFonts w:ascii="Arial Narrow" w:hAnsi="Arial Narrow"/>
                <w:sz w:val="20"/>
                <w:vertAlign w:val="subscript"/>
              </w:rPr>
              <w:t>4</w:t>
            </w:r>
          </w:p>
          <w:p w:rsidR="00164C65" w:rsidRPr="00C725E4" w:rsidRDefault="00164C65" w:rsidP="005A0854">
            <w:pPr>
              <w:keepLines/>
              <w:rPr>
                <w:rFonts w:ascii="Arial Narrow" w:hAnsi="Arial Narrow"/>
                <w:i/>
                <w:iCs/>
                <w:sz w:val="20"/>
              </w:rPr>
            </w:pPr>
            <w:r>
              <w:rPr>
                <w:rFonts w:ascii="Arial Narrow" w:hAnsi="Arial Narrow"/>
                <w:sz w:val="20"/>
              </w:rPr>
              <w:t>(</w:t>
            </w:r>
            <w:proofErr w:type="spellStart"/>
            <w:r w:rsidRPr="00814BD4">
              <w:rPr>
                <w:rFonts w:ascii="Arial Narrow" w:hAnsi="Arial Narrow"/>
                <w:sz w:val="20"/>
              </w:rPr>
              <w:t>Asahina</w:t>
            </w:r>
            <w:proofErr w:type="spellEnd"/>
            <w:r w:rsidRPr="00814BD4">
              <w:rPr>
                <w:rFonts w:ascii="Arial Narrow" w:hAnsi="Arial Narrow"/>
                <w:sz w:val="20"/>
              </w:rPr>
              <w:t xml:space="preserve"> 2010</w:t>
            </w:r>
            <w:r>
              <w:rPr>
                <w:rFonts w:ascii="Arial Narrow" w:hAnsi="Arial Narrow"/>
                <w:sz w:val="20"/>
              </w:rPr>
              <w:t>)</w:t>
            </w:r>
          </w:p>
        </w:tc>
        <w:tc>
          <w:tcPr>
            <w:tcW w:w="2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235</w:t>
            </w:r>
          </w:p>
        </w:tc>
        <w:tc>
          <w:tcPr>
            <w:tcW w:w="1687"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lang w:val="pt-PT"/>
              </w:rPr>
              <w:t>R, DB, MC, 24wks</w:t>
            </w:r>
          </w:p>
        </w:tc>
        <w:tc>
          <w:tcPr>
            <w:tcW w:w="4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Low</w:t>
            </w:r>
          </w:p>
        </w:tc>
        <w:tc>
          <w:tcPr>
            <w:tcW w:w="1017" w:type="pct"/>
            <w:shd w:val="clear" w:color="auto" w:fill="auto"/>
            <w:vAlign w:val="center"/>
          </w:tcPr>
          <w:p w:rsidR="00164C65" w:rsidRDefault="00164C65" w:rsidP="005A0854">
            <w:pPr>
              <w:keepLines/>
              <w:widowControl/>
              <w:jc w:val="center"/>
              <w:rPr>
                <w:rFonts w:ascii="Arial Narrow" w:hAnsi="Arial Narrow"/>
                <w:sz w:val="20"/>
              </w:rPr>
            </w:pPr>
            <w:r>
              <w:rPr>
                <w:rFonts w:ascii="Arial Narrow" w:hAnsi="Arial Narrow"/>
                <w:sz w:val="20"/>
              </w:rPr>
              <w:t>Moderate to severe; PASI score</w:t>
            </w:r>
            <w:r w:rsidRPr="0051419A">
              <w:rPr>
                <w:rFonts w:ascii="Arial Narrow" w:hAnsi="Arial Narrow"/>
                <w:sz w:val="20"/>
                <w:u w:val="single"/>
              </w:rPr>
              <w:t>&gt;</w:t>
            </w:r>
            <w:r>
              <w:rPr>
                <w:rFonts w:ascii="Arial Narrow" w:hAnsi="Arial Narrow"/>
                <w:sz w:val="20"/>
              </w:rPr>
              <w:t>12 AND BSA</w:t>
            </w:r>
            <w:r w:rsidRPr="004D0F4E">
              <w:rPr>
                <w:rFonts w:ascii="Arial Narrow" w:hAnsi="Arial Narrow"/>
                <w:sz w:val="20"/>
                <w:u w:val="single"/>
              </w:rPr>
              <w:t>&gt;</w:t>
            </w:r>
            <w:r>
              <w:rPr>
                <w:rFonts w:ascii="Arial Narrow" w:hAnsi="Arial Narrow"/>
                <w:sz w:val="20"/>
              </w:rPr>
              <w:t>10%;</w:t>
            </w:r>
          </w:p>
          <w:p w:rsidR="00164C65" w:rsidRPr="00C725E4" w:rsidRDefault="00164C65" w:rsidP="005A0854">
            <w:pPr>
              <w:keepLines/>
              <w:jc w:val="center"/>
              <w:rPr>
                <w:rFonts w:ascii="Arial Narrow" w:hAnsi="Arial Narrow"/>
                <w:i/>
                <w:iCs/>
                <w:sz w:val="20"/>
              </w:rPr>
            </w:pPr>
            <w:r>
              <w:rPr>
                <w:rFonts w:ascii="Arial Narrow" w:hAnsi="Arial Narrow"/>
                <w:sz w:val="20"/>
              </w:rPr>
              <w:t>Japanese pts</w:t>
            </w:r>
          </w:p>
        </w:tc>
        <w:tc>
          <w:tcPr>
            <w:tcW w:w="898" w:type="pct"/>
            <w:shd w:val="clear" w:color="auto" w:fill="auto"/>
            <w:vAlign w:val="center"/>
          </w:tcPr>
          <w:p w:rsidR="00164C65" w:rsidRDefault="00164C65" w:rsidP="005A0854">
            <w:pPr>
              <w:keepLines/>
              <w:jc w:val="center"/>
              <w:rPr>
                <w:rFonts w:ascii="Arial Narrow" w:hAnsi="Arial Narrow"/>
                <w:sz w:val="18"/>
                <w:szCs w:val="18"/>
                <w:lang w:val="en-US"/>
              </w:rPr>
            </w:pPr>
            <w:r>
              <w:rPr>
                <w:rFonts w:ascii="Arial Narrow" w:hAnsi="Arial Narrow"/>
                <w:sz w:val="18"/>
                <w:szCs w:val="18"/>
                <w:lang w:val="en-US"/>
              </w:rPr>
              <w:t>PASI 75</w:t>
            </w:r>
          </w:p>
          <w:p w:rsidR="00164C65" w:rsidRPr="00C725E4" w:rsidRDefault="00164C65" w:rsidP="005A0854">
            <w:pPr>
              <w:keepLines/>
              <w:jc w:val="center"/>
              <w:rPr>
                <w:rFonts w:ascii="Arial Narrow" w:hAnsi="Arial Narrow"/>
                <w:i/>
                <w:iCs/>
                <w:sz w:val="20"/>
              </w:rPr>
            </w:pPr>
            <w:r>
              <w:rPr>
                <w:rFonts w:ascii="Arial Narrow" w:hAnsi="Arial Narrow"/>
                <w:sz w:val="18"/>
                <w:szCs w:val="18"/>
                <w:lang w:val="en-US"/>
              </w:rPr>
              <w:t>at 16 weeks</w:t>
            </w:r>
          </w:p>
        </w:tc>
      </w:tr>
      <w:tr w:rsidR="00164C65" w:rsidRPr="00C725E4" w:rsidTr="004156B1">
        <w:trPr>
          <w:cantSplit/>
          <w:trHeight w:val="70"/>
        </w:trPr>
        <w:tc>
          <w:tcPr>
            <w:tcW w:w="687" w:type="pct"/>
            <w:shd w:val="clear" w:color="auto" w:fill="auto"/>
            <w:vAlign w:val="center"/>
          </w:tcPr>
          <w:p w:rsidR="00164C65" w:rsidRDefault="00164C65" w:rsidP="005A0854">
            <w:pPr>
              <w:keepLines/>
              <w:widowControl/>
              <w:jc w:val="left"/>
              <w:rPr>
                <w:rFonts w:ascii="Arial Narrow" w:hAnsi="Arial Narrow"/>
                <w:sz w:val="20"/>
              </w:rPr>
            </w:pPr>
            <w:r>
              <w:rPr>
                <w:rFonts w:ascii="Arial Narrow" w:hAnsi="Arial Narrow"/>
                <w:sz w:val="20"/>
              </w:rPr>
              <w:t>ADA</w:t>
            </w:r>
            <w:r>
              <w:rPr>
                <w:rFonts w:ascii="Arial Narrow" w:hAnsi="Arial Narrow"/>
                <w:sz w:val="20"/>
                <w:vertAlign w:val="subscript"/>
              </w:rPr>
              <w:t>5</w:t>
            </w:r>
          </w:p>
          <w:p w:rsidR="00164C65" w:rsidRPr="00C725E4" w:rsidRDefault="00164C65" w:rsidP="005A0854">
            <w:pPr>
              <w:keepLines/>
              <w:rPr>
                <w:rFonts w:ascii="Arial Narrow" w:hAnsi="Arial Narrow"/>
                <w:i/>
                <w:iCs/>
                <w:sz w:val="20"/>
              </w:rPr>
            </w:pPr>
            <w:r>
              <w:rPr>
                <w:rFonts w:ascii="Arial Narrow" w:hAnsi="Arial Narrow"/>
                <w:sz w:val="20"/>
              </w:rPr>
              <w:t>(</w:t>
            </w:r>
            <w:proofErr w:type="spellStart"/>
            <w:r>
              <w:rPr>
                <w:rFonts w:ascii="Arial Narrow" w:hAnsi="Arial Narrow"/>
                <w:sz w:val="20"/>
              </w:rPr>
              <w:t>Cai</w:t>
            </w:r>
            <w:proofErr w:type="spellEnd"/>
            <w:r>
              <w:rPr>
                <w:rFonts w:ascii="Arial Narrow" w:hAnsi="Arial Narrow"/>
                <w:sz w:val="20"/>
              </w:rPr>
              <w:t xml:space="preserve"> 2017)</w:t>
            </w:r>
          </w:p>
        </w:tc>
        <w:tc>
          <w:tcPr>
            <w:tcW w:w="2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425</w:t>
            </w:r>
          </w:p>
        </w:tc>
        <w:tc>
          <w:tcPr>
            <w:tcW w:w="1687" w:type="pct"/>
            <w:shd w:val="clear" w:color="auto" w:fill="auto"/>
            <w:vAlign w:val="center"/>
          </w:tcPr>
          <w:p w:rsidR="00164C65" w:rsidRPr="002E5996" w:rsidRDefault="00164C65" w:rsidP="005A0854">
            <w:pPr>
              <w:keepLines/>
              <w:jc w:val="center"/>
              <w:rPr>
                <w:rFonts w:ascii="Arial Narrow" w:hAnsi="Arial Narrow"/>
                <w:sz w:val="20"/>
              </w:rPr>
            </w:pPr>
            <w:r w:rsidRPr="002E5996">
              <w:rPr>
                <w:rFonts w:ascii="Arial Narrow" w:hAnsi="Arial Narrow"/>
                <w:sz w:val="20"/>
              </w:rPr>
              <w:t>R, DB, MC, 12wks</w:t>
            </w:r>
          </w:p>
          <w:p w:rsidR="00164C65" w:rsidRPr="00C725E4" w:rsidRDefault="00164C65" w:rsidP="005A0854">
            <w:pPr>
              <w:keepLines/>
              <w:jc w:val="center"/>
              <w:rPr>
                <w:rFonts w:ascii="Arial Narrow" w:hAnsi="Arial Narrow"/>
                <w:i/>
                <w:iCs/>
                <w:sz w:val="20"/>
              </w:rPr>
            </w:pPr>
            <w:r w:rsidRPr="00AA3AC9">
              <w:rPr>
                <w:rFonts w:ascii="Arial Narrow" w:hAnsi="Arial Narrow" w:cs="Times New Roman"/>
                <w:sz w:val="20"/>
              </w:rPr>
              <w:t>PBO patients crossed over</w:t>
            </w:r>
            <w:r>
              <w:rPr>
                <w:rFonts w:ascii="Arial Narrow" w:hAnsi="Arial Narrow" w:cs="Times New Roman"/>
                <w:sz w:val="20"/>
              </w:rPr>
              <w:t xml:space="preserve"> to ADA</w:t>
            </w:r>
            <w:r w:rsidRPr="00AA3AC9">
              <w:rPr>
                <w:rFonts w:ascii="Arial Narrow" w:hAnsi="Arial Narrow" w:cs="Times New Roman"/>
                <w:sz w:val="20"/>
              </w:rPr>
              <w:t xml:space="preserve"> at Week 1</w:t>
            </w:r>
            <w:r>
              <w:rPr>
                <w:rFonts w:ascii="Arial Narrow" w:hAnsi="Arial Narrow" w:cs="Times New Roman"/>
                <w:sz w:val="20"/>
              </w:rPr>
              <w:t>2.</w:t>
            </w:r>
          </w:p>
        </w:tc>
        <w:tc>
          <w:tcPr>
            <w:tcW w:w="454" w:type="pct"/>
            <w:shd w:val="clear" w:color="auto" w:fill="auto"/>
            <w:vAlign w:val="center"/>
          </w:tcPr>
          <w:p w:rsidR="00164C65" w:rsidRPr="00C725E4" w:rsidRDefault="00164C65" w:rsidP="005A0854">
            <w:pPr>
              <w:keepLines/>
              <w:jc w:val="center"/>
              <w:rPr>
                <w:rFonts w:ascii="Arial Narrow" w:hAnsi="Arial Narrow"/>
                <w:i/>
                <w:iCs/>
                <w:sz w:val="20"/>
              </w:rPr>
            </w:pPr>
            <w:r>
              <w:rPr>
                <w:rFonts w:ascii="Arial Narrow" w:hAnsi="Arial Narrow"/>
                <w:sz w:val="20"/>
              </w:rPr>
              <w:t>Low</w:t>
            </w:r>
          </w:p>
        </w:tc>
        <w:tc>
          <w:tcPr>
            <w:tcW w:w="1017" w:type="pct"/>
            <w:shd w:val="clear" w:color="auto" w:fill="auto"/>
            <w:vAlign w:val="center"/>
          </w:tcPr>
          <w:p w:rsidR="00164C65" w:rsidRDefault="00164C65" w:rsidP="005A0854">
            <w:pPr>
              <w:keepLines/>
              <w:widowControl/>
              <w:jc w:val="center"/>
              <w:rPr>
                <w:rFonts w:ascii="Arial Narrow" w:hAnsi="Arial Narrow"/>
                <w:sz w:val="20"/>
              </w:rPr>
            </w:pPr>
            <w:r>
              <w:rPr>
                <w:rFonts w:ascii="Arial Narrow" w:hAnsi="Arial Narrow"/>
                <w:sz w:val="20"/>
              </w:rPr>
              <w:t>Moderate to severe; PASI score</w:t>
            </w:r>
            <w:r w:rsidRPr="0051419A">
              <w:rPr>
                <w:rFonts w:ascii="Arial Narrow" w:hAnsi="Arial Narrow"/>
                <w:sz w:val="20"/>
                <w:u w:val="single"/>
              </w:rPr>
              <w:t>&gt;</w:t>
            </w:r>
            <w:r>
              <w:rPr>
                <w:rFonts w:ascii="Arial Narrow" w:hAnsi="Arial Narrow"/>
                <w:sz w:val="20"/>
              </w:rPr>
              <w:t>10 AND PGA</w:t>
            </w:r>
            <w:r w:rsidRPr="004D0F4E">
              <w:rPr>
                <w:rFonts w:ascii="Arial Narrow" w:hAnsi="Arial Narrow"/>
                <w:sz w:val="20"/>
                <w:u w:val="single"/>
              </w:rPr>
              <w:t>&gt;</w:t>
            </w:r>
            <w:r>
              <w:rPr>
                <w:rFonts w:ascii="Arial Narrow" w:hAnsi="Arial Narrow"/>
                <w:sz w:val="20"/>
              </w:rPr>
              <w:t>3 AND BSA</w:t>
            </w:r>
            <w:r w:rsidRPr="004D0F4E">
              <w:rPr>
                <w:rFonts w:ascii="Arial Narrow" w:hAnsi="Arial Narrow"/>
                <w:sz w:val="20"/>
                <w:u w:val="single"/>
              </w:rPr>
              <w:t>&gt;</w:t>
            </w:r>
            <w:r>
              <w:rPr>
                <w:rFonts w:ascii="Arial Narrow" w:hAnsi="Arial Narrow"/>
                <w:sz w:val="20"/>
              </w:rPr>
              <w:t>10%;</w:t>
            </w:r>
          </w:p>
          <w:p w:rsidR="00164C65" w:rsidRPr="00C725E4" w:rsidRDefault="00164C65" w:rsidP="005A0854">
            <w:pPr>
              <w:keepLines/>
              <w:jc w:val="center"/>
              <w:rPr>
                <w:rFonts w:ascii="Arial Narrow" w:hAnsi="Arial Narrow"/>
                <w:i/>
                <w:iCs/>
                <w:sz w:val="20"/>
              </w:rPr>
            </w:pPr>
            <w:r>
              <w:rPr>
                <w:rFonts w:ascii="Arial Narrow" w:hAnsi="Arial Narrow"/>
                <w:sz w:val="20"/>
              </w:rPr>
              <w:t>Chinese pts</w:t>
            </w:r>
          </w:p>
        </w:tc>
        <w:tc>
          <w:tcPr>
            <w:tcW w:w="898" w:type="pct"/>
            <w:shd w:val="clear" w:color="auto" w:fill="auto"/>
            <w:vAlign w:val="center"/>
          </w:tcPr>
          <w:p w:rsidR="00164C65" w:rsidRDefault="00164C65" w:rsidP="005A0854">
            <w:pPr>
              <w:keepLines/>
              <w:jc w:val="center"/>
              <w:rPr>
                <w:rFonts w:ascii="Arial Narrow" w:hAnsi="Arial Narrow"/>
                <w:sz w:val="18"/>
                <w:szCs w:val="18"/>
                <w:lang w:val="en-US"/>
              </w:rPr>
            </w:pPr>
            <w:r>
              <w:rPr>
                <w:rFonts w:ascii="Arial Narrow" w:hAnsi="Arial Narrow"/>
                <w:sz w:val="18"/>
                <w:szCs w:val="18"/>
                <w:lang w:val="en-US"/>
              </w:rPr>
              <w:t>PASI 75</w:t>
            </w:r>
          </w:p>
          <w:p w:rsidR="00164C65" w:rsidRPr="00C725E4" w:rsidRDefault="00164C65" w:rsidP="005A0854">
            <w:pPr>
              <w:keepLines/>
              <w:jc w:val="center"/>
              <w:rPr>
                <w:rFonts w:ascii="Arial Narrow" w:hAnsi="Arial Narrow"/>
                <w:i/>
                <w:iCs/>
                <w:sz w:val="20"/>
              </w:rPr>
            </w:pPr>
            <w:r>
              <w:rPr>
                <w:rFonts w:ascii="Arial Narrow" w:hAnsi="Arial Narrow"/>
                <w:sz w:val="18"/>
                <w:szCs w:val="18"/>
                <w:lang w:val="en-US"/>
              </w:rPr>
              <w:t>at 12 weeks</w:t>
            </w:r>
          </w:p>
        </w:tc>
      </w:tr>
    </w:tbl>
    <w:p w:rsidR="0057331C" w:rsidRPr="00EA2715" w:rsidRDefault="0057331C" w:rsidP="00EA2715">
      <w:pPr>
        <w:rPr>
          <w:rFonts w:ascii="Arial Narrow" w:hAnsi="Arial Narrow"/>
          <w:sz w:val="18"/>
          <w:szCs w:val="18"/>
        </w:rPr>
      </w:pPr>
      <w:r w:rsidRPr="00EA2715">
        <w:rPr>
          <w:rFonts w:ascii="Arial Narrow" w:hAnsi="Arial Narrow"/>
          <w:sz w:val="18"/>
          <w:szCs w:val="18"/>
        </w:rPr>
        <w:t>ADA</w:t>
      </w:r>
      <w:r w:rsidR="00A557C1">
        <w:rPr>
          <w:rFonts w:ascii="Arial Narrow" w:hAnsi="Arial Narrow"/>
          <w:sz w:val="18"/>
          <w:szCs w:val="18"/>
        </w:rPr>
        <w:t xml:space="preserve"> </w:t>
      </w:r>
      <w:r w:rsidRPr="00EA2715">
        <w:rPr>
          <w:rFonts w:ascii="Arial Narrow" w:hAnsi="Arial Narrow"/>
          <w:sz w:val="18"/>
          <w:szCs w:val="18"/>
        </w:rPr>
        <w:t>=</w:t>
      </w:r>
      <w:r w:rsidR="00A557C1">
        <w:rPr>
          <w:rFonts w:ascii="Arial Narrow" w:hAnsi="Arial Narrow"/>
          <w:sz w:val="18"/>
          <w:szCs w:val="18"/>
        </w:rPr>
        <w:t xml:space="preserve"> </w:t>
      </w:r>
      <w:r w:rsidRPr="00EA2715">
        <w:rPr>
          <w:rFonts w:ascii="Arial Narrow" w:hAnsi="Arial Narrow"/>
          <w:sz w:val="18"/>
          <w:szCs w:val="18"/>
        </w:rPr>
        <w:t>adalimumab</w:t>
      </w:r>
      <w:r w:rsidR="00A557C1">
        <w:rPr>
          <w:rFonts w:ascii="Arial Narrow" w:hAnsi="Arial Narrow"/>
          <w:sz w:val="18"/>
          <w:szCs w:val="18"/>
        </w:rPr>
        <w:t>;</w:t>
      </w:r>
      <w:r w:rsidRPr="00EA2715">
        <w:rPr>
          <w:rFonts w:ascii="Arial Narrow" w:hAnsi="Arial Narrow"/>
          <w:sz w:val="18"/>
          <w:szCs w:val="18"/>
        </w:rPr>
        <w:t xml:space="preserve"> BSA</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body surface area; CPP</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chronic plaque psoriasis; DB</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double blind; ETN</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etanercept; MC</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multicentre; PASI = Psoriasis Area Severity Index; PC</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placebo control</w:t>
      </w:r>
      <w:r w:rsidR="00E56C04">
        <w:rPr>
          <w:rFonts w:ascii="Arial Narrow" w:hAnsi="Arial Narrow"/>
          <w:sz w:val="18"/>
          <w:szCs w:val="18"/>
        </w:rPr>
        <w:t>;</w:t>
      </w:r>
      <w:r w:rsidRPr="00EA2715">
        <w:rPr>
          <w:rFonts w:ascii="Arial Narrow" w:hAnsi="Arial Narrow"/>
          <w:sz w:val="18"/>
          <w:szCs w:val="18"/>
        </w:rPr>
        <w:t xml:space="preserve"> pts</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patients; R</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 xml:space="preserve">randomised; PGA = physician global assessment (3 corresponds to moderate CPP; 0-2 correspond to clear to mild); </w:t>
      </w:r>
      <w:proofErr w:type="spellStart"/>
      <w:r w:rsidRPr="00EA2715">
        <w:rPr>
          <w:rFonts w:ascii="Arial Narrow" w:hAnsi="Arial Narrow"/>
          <w:sz w:val="18"/>
          <w:szCs w:val="18"/>
        </w:rPr>
        <w:t>sPGA</w:t>
      </w:r>
      <w:proofErr w:type="spellEnd"/>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r w:rsidRPr="00EA2715">
        <w:rPr>
          <w:rFonts w:ascii="Arial Narrow" w:hAnsi="Arial Narrow"/>
          <w:sz w:val="18"/>
          <w:szCs w:val="18"/>
        </w:rPr>
        <w:t>static physician global assessment; TIL</w:t>
      </w:r>
      <w:r w:rsidR="00E56C04">
        <w:rPr>
          <w:rFonts w:ascii="Arial Narrow" w:hAnsi="Arial Narrow"/>
          <w:sz w:val="18"/>
          <w:szCs w:val="18"/>
        </w:rPr>
        <w:t xml:space="preserve"> </w:t>
      </w:r>
      <w:r w:rsidRPr="00EA2715">
        <w:rPr>
          <w:rFonts w:ascii="Arial Narrow" w:hAnsi="Arial Narrow"/>
          <w:sz w:val="18"/>
          <w:szCs w:val="18"/>
        </w:rPr>
        <w:t>=</w:t>
      </w:r>
      <w:r w:rsidR="00E56C04">
        <w:rPr>
          <w:rFonts w:ascii="Arial Narrow" w:hAnsi="Arial Narrow"/>
          <w:sz w:val="18"/>
          <w:szCs w:val="18"/>
        </w:rPr>
        <w:t xml:space="preserve"> </w:t>
      </w:r>
      <w:proofErr w:type="spellStart"/>
      <w:r w:rsidRPr="00EA2715">
        <w:rPr>
          <w:rFonts w:ascii="Arial Narrow" w:hAnsi="Arial Narrow"/>
          <w:sz w:val="18"/>
          <w:szCs w:val="18"/>
        </w:rPr>
        <w:t>tildrakizumab</w:t>
      </w:r>
      <w:proofErr w:type="spellEnd"/>
      <w:r w:rsidRPr="00EA2715">
        <w:rPr>
          <w:rFonts w:ascii="Arial Narrow" w:hAnsi="Arial Narrow"/>
          <w:sz w:val="18"/>
          <w:szCs w:val="18"/>
        </w:rPr>
        <w:t>; UST</w:t>
      </w:r>
      <w:r w:rsidR="00E56C04">
        <w:rPr>
          <w:rFonts w:ascii="Arial Narrow" w:hAnsi="Arial Narrow"/>
          <w:sz w:val="18"/>
          <w:szCs w:val="18"/>
        </w:rPr>
        <w:t xml:space="preserve"> </w:t>
      </w:r>
      <w:r w:rsidRPr="00EA2715">
        <w:rPr>
          <w:rFonts w:ascii="Arial Narrow" w:hAnsi="Arial Narrow"/>
          <w:sz w:val="18"/>
          <w:szCs w:val="18"/>
        </w:rPr>
        <w:t>=u</w:t>
      </w:r>
      <w:r w:rsidR="00E56C04">
        <w:rPr>
          <w:rFonts w:ascii="Arial Narrow" w:hAnsi="Arial Narrow"/>
          <w:sz w:val="18"/>
          <w:szCs w:val="18"/>
        </w:rPr>
        <w:t xml:space="preserve"> </w:t>
      </w:r>
      <w:proofErr w:type="spellStart"/>
      <w:r w:rsidRPr="00EA2715">
        <w:rPr>
          <w:rFonts w:ascii="Arial Narrow" w:hAnsi="Arial Narrow"/>
          <w:sz w:val="18"/>
          <w:szCs w:val="18"/>
        </w:rPr>
        <w:t>stekinumab</w:t>
      </w:r>
      <w:proofErr w:type="spellEnd"/>
      <w:r w:rsidRPr="00EA2715">
        <w:rPr>
          <w:rFonts w:ascii="Arial Narrow" w:hAnsi="Arial Narrow"/>
          <w:sz w:val="18"/>
          <w:szCs w:val="18"/>
        </w:rPr>
        <w:t xml:space="preserve"> </w:t>
      </w:r>
    </w:p>
    <w:p w:rsidR="0057331C" w:rsidRPr="00EA2715" w:rsidRDefault="0057331C" w:rsidP="00EA2715">
      <w:pPr>
        <w:rPr>
          <w:rFonts w:ascii="Arial Narrow" w:hAnsi="Arial Narrow"/>
          <w:i/>
          <w:iCs/>
          <w:sz w:val="18"/>
          <w:szCs w:val="18"/>
        </w:rPr>
      </w:pPr>
      <w:proofErr w:type="gramStart"/>
      <w:r w:rsidRPr="00EA2715">
        <w:rPr>
          <w:rFonts w:ascii="Arial Narrow" w:hAnsi="Arial Narrow"/>
          <w:i/>
          <w:iCs/>
          <w:sz w:val="18"/>
          <w:szCs w:val="18"/>
          <w:vertAlign w:val="superscript"/>
        </w:rPr>
        <w:t>a</w:t>
      </w:r>
      <w:proofErr w:type="gramEnd"/>
      <w:r w:rsidRPr="00EA2715">
        <w:rPr>
          <w:rFonts w:ascii="Arial Narrow" w:hAnsi="Arial Narrow"/>
          <w:i/>
          <w:iCs/>
          <w:sz w:val="18"/>
          <w:szCs w:val="18"/>
        </w:rPr>
        <w:tab/>
        <w:t>Patients were aware of treatment assignment but study personnel were unaware of treatment assignment.</w:t>
      </w:r>
    </w:p>
    <w:p w:rsidR="0057331C" w:rsidRDefault="0057331C" w:rsidP="00EA2715">
      <w:pPr>
        <w:rPr>
          <w:rFonts w:ascii="Arial Narrow" w:hAnsi="Arial Narrow"/>
          <w:bCs/>
          <w:i/>
          <w:iCs/>
          <w:sz w:val="18"/>
          <w:szCs w:val="18"/>
        </w:rPr>
      </w:pPr>
      <w:bookmarkStart w:id="12" w:name="_Toc512339659"/>
      <w:r w:rsidRPr="00EA2715">
        <w:rPr>
          <w:rFonts w:ascii="Arial Narrow" w:hAnsi="Arial Narrow"/>
          <w:bCs/>
          <w:i/>
          <w:iCs/>
          <w:sz w:val="18"/>
          <w:szCs w:val="18"/>
        </w:rPr>
        <w:t>Source: compiled during the evaluation from trial publications.</w:t>
      </w:r>
      <w:bookmarkEnd w:id="12"/>
    </w:p>
    <w:p w:rsidR="00952E39" w:rsidRPr="00952E39" w:rsidRDefault="00952E39" w:rsidP="00EA2715">
      <w:pPr>
        <w:rPr>
          <w:rFonts w:ascii="Arial Narrow" w:hAnsi="Arial Narrow"/>
          <w:b/>
          <w:bCs/>
          <w:i/>
          <w:iCs/>
          <w:szCs w:val="24"/>
        </w:rPr>
      </w:pPr>
    </w:p>
    <w:p w:rsidR="00164C65" w:rsidRPr="00273DA3" w:rsidRDefault="00164C65" w:rsidP="00952E39">
      <w:pPr>
        <w:pStyle w:val="ListParagraph"/>
        <w:keepNext/>
        <w:keepLines/>
        <w:widowControl/>
        <w:numPr>
          <w:ilvl w:val="1"/>
          <w:numId w:val="3"/>
        </w:numPr>
        <w:spacing w:after="120"/>
        <w:rPr>
          <w:iCs/>
          <w:szCs w:val="20"/>
        </w:rPr>
      </w:pPr>
      <w:r w:rsidRPr="00273DA3">
        <w:rPr>
          <w:iCs/>
          <w:szCs w:val="20"/>
        </w:rPr>
        <w:lastRenderedPageBreak/>
        <w:t xml:space="preserve">In brief, all trials were multicentre, </w:t>
      </w:r>
      <w:r w:rsidR="00007489" w:rsidRPr="00273DA3">
        <w:rPr>
          <w:iCs/>
          <w:szCs w:val="20"/>
        </w:rPr>
        <w:t>double blind</w:t>
      </w:r>
      <w:r w:rsidRPr="00273DA3">
        <w:rPr>
          <w:iCs/>
          <w:szCs w:val="20"/>
        </w:rPr>
        <w:t xml:space="preserve"> RCTs, with the exception of the UST ACCEPT </w:t>
      </w:r>
      <w:r w:rsidR="00007489" w:rsidRPr="00273DA3">
        <w:rPr>
          <w:iCs/>
          <w:szCs w:val="20"/>
        </w:rPr>
        <w:t>trial, which</w:t>
      </w:r>
      <w:r w:rsidRPr="00273DA3">
        <w:rPr>
          <w:iCs/>
          <w:szCs w:val="20"/>
        </w:rPr>
        <w:t xml:space="preserve"> was single-blinded, with patients aware of whether they were assigned UST or ETN.  Overall, the risks of bias in the placebo-controlled phase of the trials were considered low.  As most of the trials allowed patients to switch from placebo to active treatment beyond the initial placebo-controlled phase (12/16 weeks) outcomes from subsequent periods would be subject to bias.  However, appropriately, trial outcomes were assessed at the end of the placebo-controlled periods.</w:t>
      </w:r>
    </w:p>
    <w:p w:rsidR="00164C65" w:rsidRPr="00B42861" w:rsidRDefault="00164C65" w:rsidP="00952E39">
      <w:pPr>
        <w:pStyle w:val="ListParagraph"/>
        <w:widowControl/>
        <w:numPr>
          <w:ilvl w:val="1"/>
          <w:numId w:val="3"/>
        </w:numPr>
        <w:spacing w:after="120"/>
        <w:rPr>
          <w:iCs/>
          <w:szCs w:val="20"/>
        </w:rPr>
      </w:pPr>
      <w:r w:rsidRPr="00273DA3">
        <w:rPr>
          <w:iCs/>
          <w:szCs w:val="20"/>
        </w:rPr>
        <w:t xml:space="preserve">In the TIL </w:t>
      </w:r>
      <w:proofErr w:type="spellStart"/>
      <w:r w:rsidRPr="00273DA3">
        <w:rPr>
          <w:iCs/>
          <w:szCs w:val="20"/>
        </w:rPr>
        <w:t>reSURFACE</w:t>
      </w:r>
      <w:proofErr w:type="spellEnd"/>
      <w:r w:rsidRPr="00273DA3">
        <w:rPr>
          <w:iCs/>
          <w:szCs w:val="20"/>
        </w:rPr>
        <w:t xml:space="preserve"> 2 trial switching was not permitted at Week 12 for those randomised to the active comparator of ETN until Week 28.  As a result, direct comparative efficacy results comparing TIL and ETN were available for up to 28 weeks in this trial.</w:t>
      </w:r>
      <w:r w:rsidR="00B42861">
        <w:rPr>
          <w:iCs/>
          <w:szCs w:val="20"/>
        </w:rPr>
        <w:t xml:space="preserve"> </w:t>
      </w:r>
      <w:r w:rsidRPr="00B42861">
        <w:rPr>
          <w:rFonts w:asciiTheme="minorHAnsi" w:hAnsiTheme="minorHAnsi" w:cstheme="minorHAnsi"/>
          <w:iCs/>
          <w:szCs w:val="24"/>
        </w:rPr>
        <w:t xml:space="preserve">The TIL, UST trials and most of the ADA trials enrolled similar patient populations, consisting of adult patients with moderate to severe plaque psoriasis (PASI score &gt; 12, and body surface area involvement &gt; 10%).  The exceptions were: two ADA trials (CHAMPION and </w:t>
      </w:r>
      <w:proofErr w:type="spellStart"/>
      <w:r w:rsidRPr="00B42861">
        <w:rPr>
          <w:rFonts w:asciiTheme="minorHAnsi" w:hAnsiTheme="minorHAnsi" w:cstheme="minorHAnsi"/>
          <w:iCs/>
          <w:szCs w:val="24"/>
        </w:rPr>
        <w:t>Cai</w:t>
      </w:r>
      <w:proofErr w:type="spellEnd"/>
      <w:r w:rsidRPr="00B42861">
        <w:rPr>
          <w:rFonts w:asciiTheme="minorHAnsi" w:hAnsiTheme="minorHAnsi" w:cstheme="minorHAnsi"/>
          <w:iCs/>
          <w:szCs w:val="24"/>
        </w:rPr>
        <w:t xml:space="preserve"> 2017) enrolled patients with PASI score &gt; 10; and one ADA trial (Gordon 2006) trial enrolled patients with body surface area involvement &gt; 5% with no inclusion criteria for PASI scores (mean participant PASI score was approximately 16, lower than other trials, range: 18.6-30.3).  The TIL trials, three UST trials (ACCEPT, and AMAGINE 2 and AMAGINE 3) and two ADA trials (REVEAL and </w:t>
      </w:r>
      <w:proofErr w:type="spellStart"/>
      <w:proofErr w:type="gramStart"/>
      <w:r w:rsidRPr="00B42861">
        <w:rPr>
          <w:rFonts w:asciiTheme="minorHAnsi" w:hAnsiTheme="minorHAnsi" w:cstheme="minorHAnsi"/>
          <w:iCs/>
          <w:szCs w:val="24"/>
        </w:rPr>
        <w:t>Cai</w:t>
      </w:r>
      <w:proofErr w:type="spellEnd"/>
      <w:proofErr w:type="gramEnd"/>
      <w:r w:rsidRPr="00B42861">
        <w:rPr>
          <w:rFonts w:asciiTheme="minorHAnsi" w:hAnsiTheme="minorHAnsi" w:cstheme="minorHAnsi"/>
          <w:iCs/>
          <w:szCs w:val="24"/>
        </w:rPr>
        <w:t xml:space="preserve"> 2017) in addition, required patients to have a Physician’s Global Assessment (PGA) score &gt; 3.  A PGA score of 3, 4 and 5 corresponds to moderate, severe and very severe symptoms, respectively, and PGA scores of 0-2 correspond to clear to mild symptoms.</w:t>
      </w:r>
    </w:p>
    <w:p w:rsidR="006C1B9F" w:rsidRPr="00273DA3" w:rsidRDefault="005C387E" w:rsidP="00952E39">
      <w:pPr>
        <w:pStyle w:val="ListParagraph"/>
        <w:widowControl/>
        <w:numPr>
          <w:ilvl w:val="1"/>
          <w:numId w:val="3"/>
        </w:numPr>
        <w:spacing w:after="120"/>
        <w:rPr>
          <w:rFonts w:asciiTheme="minorHAnsi" w:hAnsiTheme="minorHAnsi" w:cstheme="minorHAnsi"/>
          <w:iCs/>
          <w:szCs w:val="24"/>
        </w:rPr>
      </w:pPr>
      <w:r w:rsidRPr="00273DA3">
        <w:rPr>
          <w:rFonts w:asciiTheme="minorHAnsi" w:hAnsiTheme="minorHAnsi" w:cstheme="minorHAnsi"/>
          <w:iCs/>
          <w:szCs w:val="24"/>
        </w:rPr>
        <w:t>As discussed, t</w:t>
      </w:r>
      <w:r w:rsidR="00F453A2" w:rsidRPr="00273DA3">
        <w:rPr>
          <w:rFonts w:asciiTheme="minorHAnsi" w:hAnsiTheme="minorHAnsi" w:cstheme="minorHAnsi"/>
          <w:iCs/>
          <w:szCs w:val="24"/>
        </w:rPr>
        <w:t>he TIL and UST</w:t>
      </w:r>
      <w:r w:rsidRPr="00273DA3">
        <w:rPr>
          <w:rFonts w:asciiTheme="minorHAnsi" w:hAnsiTheme="minorHAnsi" w:cstheme="minorHAnsi"/>
          <w:iCs/>
          <w:szCs w:val="24"/>
        </w:rPr>
        <w:t xml:space="preserve"> trial populations differed to the requested PBS population (which </w:t>
      </w:r>
      <w:r w:rsidR="006458D2" w:rsidRPr="00273DA3">
        <w:rPr>
          <w:rFonts w:asciiTheme="minorHAnsi" w:hAnsiTheme="minorHAnsi" w:cstheme="minorHAnsi"/>
          <w:iCs/>
          <w:szCs w:val="24"/>
        </w:rPr>
        <w:t>h</w:t>
      </w:r>
      <w:r w:rsidRPr="00273DA3">
        <w:rPr>
          <w:rFonts w:asciiTheme="minorHAnsi" w:hAnsiTheme="minorHAnsi" w:cstheme="minorHAnsi"/>
          <w:iCs/>
          <w:szCs w:val="24"/>
        </w:rPr>
        <w:t>as stricter requirements for number of prior failed therapies and severity) but overall the trial populations were similar to other trials of biologics previously considered by the PBAC and were generally representative of the likely PBS population.</w:t>
      </w:r>
    </w:p>
    <w:p w:rsidR="005C387E" w:rsidRPr="00CB64E7" w:rsidRDefault="0062708E" w:rsidP="00952E39">
      <w:pPr>
        <w:pStyle w:val="ListParagraph"/>
        <w:widowControl/>
        <w:numPr>
          <w:ilvl w:val="1"/>
          <w:numId w:val="3"/>
        </w:numPr>
        <w:spacing w:after="120"/>
        <w:rPr>
          <w:rFonts w:asciiTheme="minorHAnsi" w:hAnsiTheme="minorHAnsi" w:cstheme="minorHAnsi"/>
          <w:iCs/>
          <w:szCs w:val="24"/>
        </w:rPr>
      </w:pPr>
      <w:r w:rsidRPr="00273DA3">
        <w:t>T</w:t>
      </w:r>
      <w:r w:rsidR="00F453A2" w:rsidRPr="00273DA3">
        <w:t>he dosing regimens of TIL and ETN</w:t>
      </w:r>
      <w:r w:rsidR="008D4604" w:rsidRPr="00273DA3">
        <w:t xml:space="preserve"> in the trials were consistent with those recommen</w:t>
      </w:r>
      <w:r w:rsidRPr="00273DA3">
        <w:t>ded in t</w:t>
      </w:r>
      <w:r w:rsidR="00F453A2" w:rsidRPr="00273DA3">
        <w:t xml:space="preserve">he (draft) PIs.  </w:t>
      </w:r>
      <w:r w:rsidR="006C1B9F" w:rsidRPr="00273DA3">
        <w:rPr>
          <w:iCs/>
        </w:rPr>
        <w:t xml:space="preserve">Both TIL 100 mg and TIL 200 mg </w:t>
      </w:r>
      <w:r w:rsidR="003E3225" w:rsidRPr="00273DA3">
        <w:rPr>
          <w:iCs/>
        </w:rPr>
        <w:t>we</w:t>
      </w:r>
      <w:r w:rsidR="006C1B9F" w:rsidRPr="00273DA3">
        <w:rPr>
          <w:iCs/>
        </w:rPr>
        <w:t xml:space="preserve">re used in all of the TIL trials.  </w:t>
      </w:r>
      <w:r w:rsidR="006C1B9F" w:rsidRPr="00273DA3">
        <w:t xml:space="preserve">The submission excluded the TIL 100 mg dose as it is not the proposed dose in the draft PI.  </w:t>
      </w:r>
      <w:r w:rsidR="002C0175">
        <w:rPr>
          <w:iCs/>
        </w:rPr>
        <w:t>The c</w:t>
      </w:r>
      <w:r w:rsidR="006C1B9F" w:rsidRPr="00273DA3">
        <w:rPr>
          <w:iCs/>
        </w:rPr>
        <w:t xml:space="preserve">ommentary </w:t>
      </w:r>
      <w:r w:rsidR="006213B7" w:rsidRPr="00273DA3">
        <w:rPr>
          <w:iCs/>
        </w:rPr>
        <w:t>focuse</w:t>
      </w:r>
      <w:r w:rsidR="006213B7">
        <w:rPr>
          <w:iCs/>
        </w:rPr>
        <w:t>d</w:t>
      </w:r>
      <w:r w:rsidR="006213B7" w:rsidRPr="00273DA3">
        <w:rPr>
          <w:iCs/>
        </w:rPr>
        <w:t xml:space="preserve"> </w:t>
      </w:r>
      <w:r w:rsidR="006C1B9F" w:rsidRPr="00273DA3">
        <w:rPr>
          <w:iCs/>
        </w:rPr>
        <w:t xml:space="preserve">on TIL 200 mg as this is the proposed dose in the draft PI, </w:t>
      </w:r>
      <w:r w:rsidR="002C0175">
        <w:rPr>
          <w:iCs/>
        </w:rPr>
        <w:t xml:space="preserve">however, </w:t>
      </w:r>
      <w:r w:rsidR="003E3225" w:rsidRPr="00273DA3">
        <w:rPr>
          <w:iCs/>
        </w:rPr>
        <w:t>PASI outcomes for TIL 100 mg versus</w:t>
      </w:r>
      <w:r w:rsidR="009371FE" w:rsidRPr="00273DA3">
        <w:rPr>
          <w:iCs/>
        </w:rPr>
        <w:t xml:space="preserve"> </w:t>
      </w:r>
      <w:r w:rsidR="003E3225" w:rsidRPr="00273DA3">
        <w:rPr>
          <w:iCs/>
        </w:rPr>
        <w:t xml:space="preserve">TIL </w:t>
      </w:r>
      <w:r w:rsidR="009371FE" w:rsidRPr="00273DA3">
        <w:rPr>
          <w:iCs/>
        </w:rPr>
        <w:t>200 mg</w:t>
      </w:r>
      <w:r w:rsidR="002C0175">
        <w:rPr>
          <w:iCs/>
        </w:rPr>
        <w:t xml:space="preserve"> was also</w:t>
      </w:r>
      <w:r w:rsidR="003E3225" w:rsidRPr="00273DA3">
        <w:rPr>
          <w:iCs/>
        </w:rPr>
        <w:t xml:space="preserve"> summarised in </w:t>
      </w:r>
      <w:r w:rsidR="002C0175">
        <w:rPr>
          <w:iCs/>
        </w:rPr>
        <w:t>the evaluation of the submission</w:t>
      </w:r>
      <w:r w:rsidR="006C1B9F" w:rsidRPr="00273DA3">
        <w:rPr>
          <w:iCs/>
        </w:rPr>
        <w:t>.</w:t>
      </w:r>
      <w:r w:rsidR="00152827" w:rsidRPr="00273DA3">
        <w:rPr>
          <w:iCs/>
        </w:rPr>
        <w:t xml:space="preserve">  </w:t>
      </w:r>
      <w:r w:rsidR="00F453A2" w:rsidRPr="00273DA3">
        <w:t>For UST</w:t>
      </w:r>
      <w:r w:rsidR="008D4604" w:rsidRPr="00273DA3">
        <w:t xml:space="preserve">, except for the AMAGINE-2 and </w:t>
      </w:r>
      <w:r w:rsidRPr="00273DA3">
        <w:t>-3 trial</w:t>
      </w:r>
      <w:r w:rsidR="00F453A2" w:rsidRPr="00273DA3">
        <w:t>s which administered UST</w:t>
      </w:r>
      <w:r w:rsidR="008D4604" w:rsidRPr="00273DA3">
        <w:t xml:space="preserve"> based on the recommended weight based</w:t>
      </w:r>
      <w:r w:rsidR="008D4604" w:rsidRPr="001B5500">
        <w:t xml:space="preserve"> dosing (45</w:t>
      </w:r>
      <w:r w:rsidR="00821F1B">
        <w:t xml:space="preserve"> </w:t>
      </w:r>
      <w:r w:rsidR="008D4604" w:rsidRPr="001B5500">
        <w:t>mg for patients ≤ 100 kg and 90</w:t>
      </w:r>
      <w:r w:rsidR="00821F1B">
        <w:t xml:space="preserve"> </w:t>
      </w:r>
      <w:r w:rsidR="008D4604" w:rsidRPr="001B5500">
        <w:t>mg for patients &gt;1</w:t>
      </w:r>
      <w:r w:rsidRPr="001B5500">
        <w:t>00</w:t>
      </w:r>
      <w:r w:rsidR="00821F1B">
        <w:t xml:space="preserve"> </w:t>
      </w:r>
      <w:r w:rsidRPr="001B5500">
        <w:t>kg), t</w:t>
      </w:r>
      <w:r w:rsidR="00F453A2" w:rsidRPr="001B5500">
        <w:t>he doses used in the UST</w:t>
      </w:r>
      <w:r w:rsidR="008D4604" w:rsidRPr="001B5500">
        <w:t xml:space="preserve"> trials generally deviated from its PI</w:t>
      </w:r>
      <w:r w:rsidR="003E3225" w:rsidRPr="001B5500">
        <w:t>, as patients were randomly allocated to either 45</w:t>
      </w:r>
      <w:r w:rsidR="00821F1B">
        <w:t xml:space="preserve"> </w:t>
      </w:r>
      <w:r w:rsidR="003E3225" w:rsidRPr="001B5500">
        <w:t>mg or 90</w:t>
      </w:r>
      <w:r w:rsidR="00821F1B">
        <w:t xml:space="preserve"> </w:t>
      </w:r>
      <w:r w:rsidR="003E3225" w:rsidRPr="001B5500">
        <w:t>mg UST treatment.</w:t>
      </w:r>
    </w:p>
    <w:p w:rsidR="00CB64E7" w:rsidRPr="00CB64E7" w:rsidRDefault="00CB64E7" w:rsidP="00CB64E7">
      <w:pPr>
        <w:pStyle w:val="BodyText"/>
        <w:spacing w:after="120"/>
        <w:ind w:left="510" w:firstLine="170"/>
        <w:rPr>
          <w:i/>
        </w:rPr>
      </w:pPr>
      <w:r w:rsidRPr="00CB64E7">
        <w:rPr>
          <w:i/>
        </w:rPr>
        <w:t>For more detail on PBAC’s view, see section 7 PBAC outcome.</w:t>
      </w:r>
    </w:p>
    <w:p w:rsidR="00B60939" w:rsidRPr="00C725E4" w:rsidRDefault="00B60939" w:rsidP="00F14289">
      <w:pPr>
        <w:pStyle w:val="Heading2"/>
        <w:keepNext/>
        <w:keepLines/>
        <w:spacing w:after="120"/>
      </w:pPr>
      <w:bookmarkStart w:id="13" w:name="_Toc503212789"/>
      <w:bookmarkStart w:id="14" w:name="_Toc514171466"/>
      <w:r w:rsidRPr="00C725E4">
        <w:lastRenderedPageBreak/>
        <w:t>Comparative effectiveness</w:t>
      </w:r>
      <w:bookmarkEnd w:id="13"/>
      <w:bookmarkEnd w:id="14"/>
    </w:p>
    <w:p w:rsidR="001810B7" w:rsidRPr="00273DA3" w:rsidRDefault="006314BD" w:rsidP="00F14289">
      <w:pPr>
        <w:pStyle w:val="ListParagraph"/>
        <w:keepNext/>
        <w:keepLines/>
        <w:widowControl/>
        <w:numPr>
          <w:ilvl w:val="1"/>
          <w:numId w:val="3"/>
        </w:numPr>
        <w:spacing w:after="120"/>
      </w:pPr>
      <w:r w:rsidRPr="00273DA3">
        <w:t>The PBAC ha</w:t>
      </w:r>
      <w:r w:rsidR="003E3225" w:rsidRPr="00273DA3">
        <w:t>d</w:t>
      </w:r>
      <w:r w:rsidRPr="00273DA3">
        <w:t xml:space="preserve"> previously based recommendations for listing of biologics for the treatment of CPP on the proportion of patients </w:t>
      </w:r>
      <w:proofErr w:type="spellStart"/>
      <w:r w:rsidR="00E23B6B" w:rsidRPr="00273DA3">
        <w:t>i</w:t>
      </w:r>
      <w:proofErr w:type="spellEnd"/>
      <w:r w:rsidR="00E23B6B" w:rsidRPr="00273DA3">
        <w:t xml:space="preserve">) </w:t>
      </w:r>
      <w:r w:rsidRPr="00273DA3">
        <w:t xml:space="preserve">achieving and </w:t>
      </w:r>
      <w:r w:rsidR="00E23B6B" w:rsidRPr="00273DA3">
        <w:t xml:space="preserve">ii) </w:t>
      </w:r>
      <w:r w:rsidRPr="00273DA3">
        <w:t>maintaining a PASI 75 response (</w:t>
      </w:r>
      <w:r w:rsidR="000A5661" w:rsidRPr="00273DA3">
        <w:t>≥</w:t>
      </w:r>
      <w:r w:rsidRPr="00273DA3">
        <w:t xml:space="preserve">75% improvement from baseline in </w:t>
      </w:r>
      <w:r w:rsidR="000A5661" w:rsidRPr="00273DA3">
        <w:t>the Psoriasis A</w:t>
      </w:r>
      <w:r w:rsidR="004C58F6" w:rsidRPr="00273DA3">
        <w:t>rea</w:t>
      </w:r>
      <w:r w:rsidR="000A5661" w:rsidRPr="00273DA3">
        <w:t xml:space="preserve"> and Severity Index </w:t>
      </w:r>
      <w:r w:rsidR="003E3225" w:rsidRPr="00273DA3">
        <w:t>score).  This is also</w:t>
      </w:r>
      <w:r w:rsidRPr="00273DA3">
        <w:t xml:space="preserve"> consistent with the PBS eligibility criteria for continued treatment with biologics.  </w:t>
      </w:r>
      <w:r w:rsidR="001810B7" w:rsidRPr="00273DA3">
        <w:rPr>
          <w:rFonts w:asciiTheme="minorHAnsi" w:hAnsiTheme="minorHAnsi" w:cstheme="minorHAnsi"/>
          <w:iCs/>
          <w:szCs w:val="24"/>
        </w:rPr>
        <w:t xml:space="preserve">PASI 75 response was the primary outcome </w:t>
      </w:r>
      <w:r w:rsidRPr="00273DA3">
        <w:rPr>
          <w:rFonts w:asciiTheme="minorHAnsi" w:hAnsiTheme="minorHAnsi" w:cstheme="minorHAnsi"/>
          <w:iCs/>
          <w:szCs w:val="24"/>
        </w:rPr>
        <w:t>in all included trials.  In addition, results were reported for PASI 90 and PASI 100 response (90</w:t>
      </w:r>
      <w:r w:rsidRPr="00273DA3">
        <w:rPr>
          <w:rFonts w:asciiTheme="minorHAnsi" w:hAnsiTheme="minorHAnsi" w:cstheme="minorHAnsi"/>
          <w:szCs w:val="24"/>
        </w:rPr>
        <w:t>% or 100% improvement from baseline</w:t>
      </w:r>
      <w:r w:rsidR="001810B7" w:rsidRPr="00273DA3">
        <w:rPr>
          <w:rFonts w:asciiTheme="minorHAnsi" w:hAnsiTheme="minorHAnsi" w:cstheme="minorHAnsi"/>
          <w:szCs w:val="24"/>
        </w:rPr>
        <w:t xml:space="preserve"> in PASI score respectively),</w:t>
      </w:r>
      <w:r w:rsidRPr="00273DA3">
        <w:rPr>
          <w:rFonts w:asciiTheme="minorHAnsi" w:hAnsiTheme="minorHAnsi" w:cstheme="minorHAnsi"/>
          <w:szCs w:val="24"/>
        </w:rPr>
        <w:t xml:space="preserve"> </w:t>
      </w:r>
      <w:r w:rsidR="001810B7" w:rsidRPr="00273DA3">
        <w:t>PGA (Physician’s Global Assessment) and DLQI (De</w:t>
      </w:r>
      <w:r w:rsidR="00F14289">
        <w:t>rmatology Life Quality Index).</w:t>
      </w:r>
    </w:p>
    <w:p w:rsidR="00324EAE" w:rsidRPr="00273DA3" w:rsidRDefault="00E23B6B" w:rsidP="00952E39">
      <w:pPr>
        <w:pStyle w:val="ListParagraph"/>
        <w:widowControl/>
        <w:numPr>
          <w:ilvl w:val="1"/>
          <w:numId w:val="3"/>
        </w:numPr>
        <w:spacing w:after="120"/>
      </w:pPr>
      <w:r w:rsidRPr="00273DA3">
        <w:rPr>
          <w:rFonts w:asciiTheme="minorHAnsi" w:hAnsiTheme="minorHAnsi" w:cstheme="minorHAnsi"/>
          <w:szCs w:val="24"/>
        </w:rPr>
        <w:t xml:space="preserve">Appropriately, the submission’s clinical claims were based on the </w:t>
      </w:r>
      <w:r w:rsidR="001810B7" w:rsidRPr="00273DA3">
        <w:rPr>
          <w:rFonts w:asciiTheme="minorHAnsi" w:hAnsiTheme="minorHAnsi" w:cstheme="minorHAnsi"/>
          <w:szCs w:val="24"/>
        </w:rPr>
        <w:t xml:space="preserve">outcome of PASI 75 </w:t>
      </w:r>
      <w:r w:rsidR="003E3225" w:rsidRPr="00273DA3">
        <w:rPr>
          <w:rFonts w:asciiTheme="minorHAnsi" w:hAnsiTheme="minorHAnsi" w:cstheme="minorHAnsi"/>
          <w:szCs w:val="24"/>
        </w:rPr>
        <w:t>response.</w:t>
      </w:r>
    </w:p>
    <w:p w:rsidR="003E3225" w:rsidRPr="00273DA3" w:rsidRDefault="00324EAE" w:rsidP="00952E39">
      <w:pPr>
        <w:pStyle w:val="ListParagraph"/>
        <w:widowControl/>
        <w:numPr>
          <w:ilvl w:val="1"/>
          <w:numId w:val="3"/>
        </w:numPr>
        <w:spacing w:after="120"/>
        <w:rPr>
          <w:iCs/>
        </w:rPr>
      </w:pPr>
      <w:r w:rsidRPr="00273DA3">
        <w:rPr>
          <w:iCs/>
        </w:rPr>
        <w:t xml:space="preserve">Table </w:t>
      </w:r>
      <w:r w:rsidR="00A64D11" w:rsidRPr="00273DA3">
        <w:rPr>
          <w:iCs/>
        </w:rPr>
        <w:t>4</w:t>
      </w:r>
      <w:r w:rsidRPr="00273DA3">
        <w:rPr>
          <w:iCs/>
        </w:rPr>
        <w:t xml:space="preserve"> </w:t>
      </w:r>
      <w:r w:rsidR="003E3225" w:rsidRPr="00273DA3">
        <w:rPr>
          <w:iCs/>
        </w:rPr>
        <w:t>below summarises both direct and indirect comparative results of PASI 75 responses for TIL versus the nominated comparators, based on the results for the ITT population at either 12 or 16 weeks:</w:t>
      </w:r>
    </w:p>
    <w:p w:rsidR="003E3225" w:rsidRPr="00273DA3" w:rsidRDefault="003E3225" w:rsidP="00952E39">
      <w:pPr>
        <w:pStyle w:val="ListParagraph"/>
        <w:widowControl/>
        <w:numPr>
          <w:ilvl w:val="1"/>
          <w:numId w:val="26"/>
        </w:numPr>
        <w:tabs>
          <w:tab w:val="left" w:pos="993"/>
        </w:tabs>
        <w:spacing w:after="120"/>
        <w:ind w:left="993" w:hanging="284"/>
        <w:rPr>
          <w:iCs/>
        </w:rPr>
      </w:pPr>
      <w:r w:rsidRPr="00273DA3">
        <w:rPr>
          <w:iCs/>
        </w:rPr>
        <w:t xml:space="preserve">direct comparisons of TIL vs ETN from </w:t>
      </w:r>
      <w:proofErr w:type="spellStart"/>
      <w:r w:rsidRPr="00273DA3">
        <w:rPr>
          <w:iCs/>
        </w:rPr>
        <w:t>reSURFACE</w:t>
      </w:r>
      <w:proofErr w:type="spellEnd"/>
      <w:r w:rsidRPr="00273DA3">
        <w:rPr>
          <w:iCs/>
        </w:rPr>
        <w:t xml:space="preserve"> 2;</w:t>
      </w:r>
    </w:p>
    <w:p w:rsidR="003E3225" w:rsidRPr="00273DA3" w:rsidRDefault="003E3225" w:rsidP="00952E39">
      <w:pPr>
        <w:pStyle w:val="ListParagraph"/>
        <w:widowControl/>
        <w:numPr>
          <w:ilvl w:val="1"/>
          <w:numId w:val="26"/>
        </w:numPr>
        <w:tabs>
          <w:tab w:val="left" w:pos="993"/>
        </w:tabs>
        <w:spacing w:after="120"/>
        <w:ind w:left="993" w:hanging="284"/>
        <w:rPr>
          <w:iCs/>
        </w:rPr>
      </w:pPr>
      <w:r w:rsidRPr="00273DA3">
        <w:rPr>
          <w:iCs/>
        </w:rPr>
        <w:t>indirect comparisons for TIL vs UST via the common reference of ETN;</w:t>
      </w:r>
    </w:p>
    <w:p w:rsidR="003E3225" w:rsidRPr="00273DA3" w:rsidRDefault="003E3225" w:rsidP="00952E39">
      <w:pPr>
        <w:pStyle w:val="ListParagraph"/>
        <w:widowControl/>
        <w:numPr>
          <w:ilvl w:val="1"/>
          <w:numId w:val="26"/>
        </w:numPr>
        <w:tabs>
          <w:tab w:val="left" w:pos="993"/>
        </w:tabs>
        <w:spacing w:after="120"/>
        <w:ind w:left="993" w:hanging="284"/>
        <w:rPr>
          <w:iCs/>
        </w:rPr>
      </w:pPr>
      <w:r w:rsidRPr="00273DA3">
        <w:rPr>
          <w:iCs/>
        </w:rPr>
        <w:t>indirect comparisons for TIL vs UST via the common reference of placebo; and</w:t>
      </w:r>
    </w:p>
    <w:p w:rsidR="003E3225" w:rsidRPr="00273DA3" w:rsidRDefault="003E3225" w:rsidP="00952E39">
      <w:pPr>
        <w:pStyle w:val="ListParagraph"/>
        <w:widowControl/>
        <w:numPr>
          <w:ilvl w:val="1"/>
          <w:numId w:val="26"/>
        </w:numPr>
        <w:tabs>
          <w:tab w:val="left" w:pos="993"/>
        </w:tabs>
        <w:spacing w:after="120"/>
        <w:ind w:left="993" w:hanging="284"/>
        <w:rPr>
          <w:iCs/>
        </w:rPr>
      </w:pPr>
      <w:proofErr w:type="gramStart"/>
      <w:r w:rsidRPr="00273DA3">
        <w:rPr>
          <w:iCs/>
        </w:rPr>
        <w:t>indirect</w:t>
      </w:r>
      <w:proofErr w:type="gramEnd"/>
      <w:r w:rsidRPr="00273DA3">
        <w:rPr>
          <w:iCs/>
        </w:rPr>
        <w:t xml:space="preserve"> comparisons for TIL vs ADA via the common reference of placebo. </w:t>
      </w:r>
    </w:p>
    <w:p w:rsidR="00F81906" w:rsidRPr="003E3225" w:rsidRDefault="00F81906" w:rsidP="00952E39">
      <w:pPr>
        <w:pStyle w:val="ListParagraph"/>
        <w:widowControl/>
        <w:numPr>
          <w:ilvl w:val="1"/>
          <w:numId w:val="3"/>
        </w:numPr>
        <w:spacing w:after="120"/>
        <w:rPr>
          <w:i/>
          <w:iCs/>
        </w:rPr>
      </w:pPr>
      <w:r w:rsidRPr="003E3225">
        <w:rPr>
          <w:i/>
          <w:iCs/>
        </w:rPr>
        <w:br w:type="page"/>
      </w:r>
    </w:p>
    <w:p w:rsidR="00D14355" w:rsidRPr="00067537" w:rsidRDefault="00D14355" w:rsidP="00D14355">
      <w:pPr>
        <w:rPr>
          <w:rStyle w:val="CommentReference"/>
        </w:rPr>
      </w:pPr>
      <w:r>
        <w:rPr>
          <w:rStyle w:val="CommentReference"/>
        </w:rPr>
        <w:lastRenderedPageBreak/>
        <w:t>Table 4</w:t>
      </w:r>
      <w:r w:rsidRPr="00067537">
        <w:rPr>
          <w:rStyle w:val="CommentReference"/>
        </w:rPr>
        <w:t>: PASI 75 response at Weeks 16/12 across the trials</w:t>
      </w:r>
      <w:r>
        <w:rPr>
          <w:rStyle w:val="CommentReference"/>
        </w:rPr>
        <w:t xml:space="preserve"> – ITT populations</w:t>
      </w:r>
    </w:p>
    <w:tbl>
      <w:tblPr>
        <w:tblW w:w="9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34"/>
        <w:gridCol w:w="1134"/>
        <w:gridCol w:w="1276"/>
        <w:gridCol w:w="1276"/>
        <w:gridCol w:w="1275"/>
        <w:gridCol w:w="1135"/>
        <w:gridCol w:w="1134"/>
        <w:gridCol w:w="854"/>
      </w:tblGrid>
      <w:tr w:rsidR="003E3225" w:rsidRPr="00067537" w:rsidTr="005A0854">
        <w:trPr>
          <w:trHeight w:val="170"/>
        </w:trPr>
        <w:tc>
          <w:tcPr>
            <w:tcW w:w="1134" w:type="dxa"/>
            <w:vAlign w:val="center"/>
          </w:tcPr>
          <w:p w:rsidR="003E3225" w:rsidRPr="00067537" w:rsidRDefault="003E3225" w:rsidP="005A0854">
            <w:pPr>
              <w:jc w:val="left"/>
              <w:rPr>
                <w:rFonts w:ascii="Arial Narrow" w:hAnsi="Arial Narrow"/>
                <w:b/>
                <w:bCs/>
                <w:iCs/>
                <w:sz w:val="18"/>
                <w:szCs w:val="18"/>
              </w:rPr>
            </w:pPr>
            <w:r w:rsidRPr="00067537">
              <w:rPr>
                <w:rFonts w:ascii="Arial Narrow" w:hAnsi="Arial Narrow"/>
                <w:b/>
                <w:bCs/>
                <w:iCs/>
                <w:sz w:val="18"/>
                <w:szCs w:val="18"/>
              </w:rPr>
              <w:t>Trial</w:t>
            </w:r>
          </w:p>
        </w:tc>
        <w:tc>
          <w:tcPr>
            <w:tcW w:w="1134" w:type="dxa"/>
            <w:vAlign w:val="center"/>
          </w:tcPr>
          <w:p w:rsidR="003E3225" w:rsidRPr="00067537" w:rsidRDefault="003E3225" w:rsidP="005A0854">
            <w:pPr>
              <w:jc w:val="center"/>
              <w:rPr>
                <w:rFonts w:ascii="Arial Narrow" w:hAnsi="Arial Narrow"/>
                <w:b/>
                <w:bCs/>
                <w:iCs/>
                <w:sz w:val="18"/>
                <w:szCs w:val="18"/>
              </w:rPr>
            </w:pPr>
            <w:r w:rsidRPr="00067537">
              <w:rPr>
                <w:rFonts w:ascii="Arial Narrow" w:hAnsi="Arial Narrow"/>
                <w:b/>
                <w:bCs/>
                <w:iCs/>
                <w:sz w:val="18"/>
                <w:szCs w:val="18"/>
              </w:rPr>
              <w:t>Drug</w:t>
            </w:r>
          </w:p>
          <w:p w:rsidR="003E3225" w:rsidRPr="00067537" w:rsidRDefault="003E3225" w:rsidP="005A0854">
            <w:pPr>
              <w:jc w:val="center"/>
              <w:rPr>
                <w:rFonts w:ascii="Arial Narrow" w:hAnsi="Arial Narrow"/>
                <w:b/>
                <w:bCs/>
                <w:iCs/>
                <w:sz w:val="18"/>
                <w:szCs w:val="18"/>
              </w:rPr>
            </w:pPr>
            <w:proofErr w:type="gramStart"/>
            <w:r w:rsidRPr="00067537">
              <w:rPr>
                <w:rFonts w:ascii="Arial Narrow" w:hAnsi="Arial Narrow"/>
                <w:b/>
                <w:bCs/>
                <w:iCs/>
                <w:sz w:val="18"/>
                <w:szCs w:val="18"/>
              </w:rPr>
              <w:t>n/N</w:t>
            </w:r>
            <w:proofErr w:type="gramEnd"/>
            <w:r w:rsidRPr="00067537">
              <w:rPr>
                <w:rFonts w:ascii="Arial Narrow" w:hAnsi="Arial Narrow"/>
                <w:b/>
                <w:bCs/>
                <w:iCs/>
                <w:sz w:val="18"/>
                <w:szCs w:val="18"/>
              </w:rPr>
              <w:t xml:space="preserve"> (%)</w:t>
            </w:r>
          </w:p>
        </w:tc>
        <w:tc>
          <w:tcPr>
            <w:tcW w:w="1276" w:type="dxa"/>
            <w:vAlign w:val="center"/>
          </w:tcPr>
          <w:p w:rsidR="003E3225" w:rsidRPr="00067537" w:rsidRDefault="003E3225" w:rsidP="005A0854">
            <w:pPr>
              <w:jc w:val="center"/>
              <w:rPr>
                <w:rFonts w:ascii="Arial Narrow" w:hAnsi="Arial Narrow"/>
                <w:b/>
                <w:bCs/>
                <w:iCs/>
                <w:sz w:val="18"/>
                <w:szCs w:val="18"/>
              </w:rPr>
            </w:pPr>
            <w:r w:rsidRPr="00067537">
              <w:rPr>
                <w:rFonts w:ascii="Arial Narrow" w:hAnsi="Arial Narrow"/>
                <w:b/>
                <w:bCs/>
                <w:iCs/>
                <w:sz w:val="18"/>
                <w:szCs w:val="18"/>
              </w:rPr>
              <w:t>Control</w:t>
            </w:r>
          </w:p>
          <w:p w:rsidR="003E3225" w:rsidRPr="00067537" w:rsidRDefault="003E3225" w:rsidP="005A0854">
            <w:pPr>
              <w:jc w:val="center"/>
              <w:rPr>
                <w:rFonts w:ascii="Arial Narrow" w:hAnsi="Arial Narrow"/>
                <w:b/>
                <w:bCs/>
                <w:iCs/>
                <w:sz w:val="18"/>
                <w:szCs w:val="18"/>
              </w:rPr>
            </w:pPr>
            <w:proofErr w:type="gramStart"/>
            <w:r w:rsidRPr="00067537">
              <w:rPr>
                <w:rFonts w:ascii="Arial Narrow" w:hAnsi="Arial Narrow"/>
                <w:b/>
                <w:bCs/>
                <w:iCs/>
                <w:sz w:val="18"/>
                <w:szCs w:val="18"/>
              </w:rPr>
              <w:t>n/N</w:t>
            </w:r>
            <w:proofErr w:type="gramEnd"/>
            <w:r w:rsidRPr="00067537">
              <w:rPr>
                <w:rFonts w:ascii="Arial Narrow" w:hAnsi="Arial Narrow"/>
                <w:b/>
                <w:bCs/>
                <w:iCs/>
                <w:sz w:val="18"/>
                <w:szCs w:val="18"/>
              </w:rPr>
              <w:t xml:space="preserve"> (%)</w:t>
            </w:r>
          </w:p>
        </w:tc>
        <w:tc>
          <w:tcPr>
            <w:tcW w:w="1276" w:type="dxa"/>
            <w:tcBorders>
              <w:bottom w:val="single" w:sz="4" w:space="0" w:color="auto"/>
            </w:tcBorders>
            <w:vAlign w:val="center"/>
          </w:tcPr>
          <w:p w:rsidR="003E3225" w:rsidRPr="00067537" w:rsidRDefault="003E3225" w:rsidP="005A0854">
            <w:pPr>
              <w:jc w:val="center"/>
              <w:rPr>
                <w:rFonts w:ascii="Arial Narrow" w:hAnsi="Arial Narrow"/>
                <w:b/>
                <w:bCs/>
                <w:iCs/>
                <w:noProof/>
                <w:sz w:val="18"/>
                <w:szCs w:val="18"/>
              </w:rPr>
            </w:pPr>
            <w:r>
              <w:rPr>
                <w:rFonts w:ascii="Arial Narrow" w:hAnsi="Arial Narrow"/>
                <w:b/>
                <w:bCs/>
                <w:iCs/>
                <w:noProof/>
                <w:sz w:val="18"/>
                <w:szCs w:val="18"/>
              </w:rPr>
              <w:t>R</w:t>
            </w:r>
            <w:r w:rsidRPr="00067537">
              <w:rPr>
                <w:rFonts w:ascii="Arial Narrow" w:hAnsi="Arial Narrow"/>
                <w:b/>
                <w:bCs/>
                <w:iCs/>
                <w:noProof/>
                <w:sz w:val="18"/>
                <w:szCs w:val="18"/>
              </w:rPr>
              <w:t>R (95% CI)^</w:t>
            </w:r>
          </w:p>
        </w:tc>
        <w:tc>
          <w:tcPr>
            <w:tcW w:w="1275" w:type="dxa"/>
            <w:tcBorders>
              <w:bottom w:val="single" w:sz="4" w:space="0" w:color="auto"/>
            </w:tcBorders>
            <w:vAlign w:val="center"/>
          </w:tcPr>
          <w:p w:rsidR="003E3225" w:rsidRPr="00067537" w:rsidRDefault="003E3225" w:rsidP="005A0854">
            <w:pPr>
              <w:jc w:val="center"/>
              <w:rPr>
                <w:rFonts w:ascii="Arial Narrow" w:hAnsi="Arial Narrow"/>
                <w:b/>
                <w:bCs/>
                <w:iCs/>
                <w:noProof/>
                <w:sz w:val="18"/>
                <w:szCs w:val="18"/>
              </w:rPr>
            </w:pPr>
            <w:r w:rsidRPr="00067537">
              <w:rPr>
                <w:rFonts w:ascii="Arial Narrow" w:hAnsi="Arial Narrow"/>
                <w:b/>
                <w:bCs/>
                <w:iCs/>
                <w:noProof/>
                <w:sz w:val="18"/>
                <w:szCs w:val="18"/>
              </w:rPr>
              <w:t>OR (95% CI)^</w:t>
            </w:r>
          </w:p>
        </w:tc>
        <w:tc>
          <w:tcPr>
            <w:tcW w:w="2269" w:type="dxa"/>
            <w:gridSpan w:val="2"/>
            <w:tcBorders>
              <w:bottom w:val="single" w:sz="4" w:space="0" w:color="auto"/>
            </w:tcBorders>
            <w:vAlign w:val="center"/>
          </w:tcPr>
          <w:p w:rsidR="003E3225" w:rsidRPr="00067537" w:rsidRDefault="003E3225" w:rsidP="005A0854">
            <w:pPr>
              <w:jc w:val="center"/>
              <w:rPr>
                <w:rFonts w:ascii="Arial Narrow" w:hAnsi="Arial Narrow"/>
                <w:b/>
                <w:bCs/>
                <w:iCs/>
                <w:noProof/>
                <w:sz w:val="18"/>
                <w:szCs w:val="18"/>
              </w:rPr>
            </w:pPr>
            <w:r w:rsidRPr="00067537">
              <w:rPr>
                <w:rFonts w:ascii="Arial Narrow" w:hAnsi="Arial Narrow"/>
                <w:b/>
                <w:bCs/>
                <w:iCs/>
                <w:noProof/>
                <w:sz w:val="18"/>
                <w:szCs w:val="18"/>
              </w:rPr>
              <w:t>RD [95% CI]^</w:t>
            </w:r>
          </w:p>
        </w:tc>
        <w:tc>
          <w:tcPr>
            <w:tcW w:w="854" w:type="dxa"/>
            <w:tcBorders>
              <w:bottom w:val="single" w:sz="4" w:space="0" w:color="auto"/>
            </w:tcBorders>
          </w:tcPr>
          <w:p w:rsidR="003E3225" w:rsidRPr="00067537" w:rsidRDefault="003E3225" w:rsidP="005A0854">
            <w:pPr>
              <w:jc w:val="center"/>
              <w:rPr>
                <w:rFonts w:ascii="Arial Narrow" w:hAnsi="Arial Narrow"/>
                <w:b/>
                <w:bCs/>
                <w:iCs/>
                <w:sz w:val="18"/>
                <w:szCs w:val="18"/>
              </w:rPr>
            </w:pPr>
            <w:r w:rsidRPr="00067537">
              <w:rPr>
                <w:rFonts w:ascii="Arial Narrow" w:hAnsi="Arial Narrow"/>
                <w:b/>
                <w:bCs/>
                <w:iCs/>
                <w:sz w:val="18"/>
                <w:szCs w:val="18"/>
              </w:rPr>
              <w:t>NNT</w:t>
            </w:r>
          </w:p>
          <w:p w:rsidR="003E3225" w:rsidRPr="00067537" w:rsidRDefault="003E3225" w:rsidP="005A0854">
            <w:pPr>
              <w:jc w:val="center"/>
              <w:rPr>
                <w:rFonts w:ascii="Arial Narrow" w:hAnsi="Arial Narrow"/>
                <w:b/>
                <w:bCs/>
                <w:iCs/>
                <w:sz w:val="18"/>
                <w:szCs w:val="18"/>
              </w:rPr>
            </w:pPr>
            <w:r w:rsidRPr="00067537">
              <w:rPr>
                <w:rFonts w:ascii="Arial Narrow" w:hAnsi="Arial Narrow"/>
                <w:b/>
                <w:bCs/>
                <w:iCs/>
                <w:sz w:val="18"/>
                <w:szCs w:val="18"/>
              </w:rPr>
              <w:t>(95%CI)</w:t>
            </w:r>
          </w:p>
        </w:tc>
      </w:tr>
      <w:tr w:rsidR="003E3225" w:rsidRPr="00FD7676" w:rsidTr="005A0854">
        <w:trPr>
          <w:trHeight w:val="112"/>
        </w:trPr>
        <w:tc>
          <w:tcPr>
            <w:tcW w:w="3544" w:type="dxa"/>
            <w:gridSpan w:val="3"/>
            <w:tcBorders>
              <w:bottom w:val="single" w:sz="4" w:space="0" w:color="auto"/>
              <w:right w:val="single" w:sz="4" w:space="0" w:color="auto"/>
            </w:tcBorders>
          </w:tcPr>
          <w:p w:rsidR="003E3225" w:rsidRPr="00FD7676" w:rsidRDefault="003E3225" w:rsidP="00A67917">
            <w:pPr>
              <w:jc w:val="left"/>
              <w:rPr>
                <w:rFonts w:ascii="Arial Narrow" w:hAnsi="Arial Narrow"/>
                <w:b/>
                <w:bCs/>
                <w:i/>
                <w:iCs/>
                <w:sz w:val="18"/>
                <w:szCs w:val="18"/>
              </w:rPr>
            </w:pPr>
            <w:r>
              <w:rPr>
                <w:rFonts w:ascii="Arial Narrow" w:hAnsi="Arial Narrow"/>
                <w:b/>
                <w:bCs/>
                <w:i/>
                <w:iCs/>
                <w:color w:val="FF0000"/>
                <w:sz w:val="18"/>
                <w:szCs w:val="18"/>
              </w:rPr>
              <w:t xml:space="preserve">A: </w:t>
            </w:r>
            <w:r w:rsidRPr="00AB11AB">
              <w:rPr>
                <w:rFonts w:ascii="Arial Narrow" w:hAnsi="Arial Narrow"/>
                <w:b/>
                <w:bCs/>
                <w:i/>
                <w:iCs/>
                <w:color w:val="FF0000"/>
                <w:sz w:val="18"/>
                <w:szCs w:val="18"/>
              </w:rPr>
              <w:t>Direct comparison: TIL vs ETN Wk12</w:t>
            </w:r>
          </w:p>
        </w:tc>
        <w:tc>
          <w:tcPr>
            <w:tcW w:w="1276" w:type="dxa"/>
            <w:tcBorders>
              <w:top w:val="single" w:sz="4" w:space="0" w:color="auto"/>
              <w:left w:val="nil"/>
              <w:bottom w:val="nil"/>
              <w:right w:val="single" w:sz="4" w:space="0" w:color="auto"/>
            </w:tcBorders>
          </w:tcPr>
          <w:p w:rsidR="003E3225" w:rsidRPr="00FD7676" w:rsidRDefault="003E3225" w:rsidP="005A0854">
            <w:pPr>
              <w:rPr>
                <w:rFonts w:ascii="Arial Narrow" w:hAnsi="Arial Narrow"/>
                <w:i/>
                <w:iCs/>
                <w:sz w:val="18"/>
                <w:szCs w:val="18"/>
              </w:rPr>
            </w:pPr>
          </w:p>
        </w:tc>
        <w:tc>
          <w:tcPr>
            <w:tcW w:w="1275" w:type="dxa"/>
            <w:tcBorders>
              <w:top w:val="single" w:sz="4" w:space="0" w:color="auto"/>
              <w:left w:val="single" w:sz="4" w:space="0" w:color="auto"/>
              <w:bottom w:val="nil"/>
              <w:right w:val="single" w:sz="4" w:space="0" w:color="auto"/>
            </w:tcBorders>
          </w:tcPr>
          <w:p w:rsidR="003E3225" w:rsidRPr="00FD7676" w:rsidRDefault="003E3225" w:rsidP="005A0854">
            <w:pPr>
              <w:rPr>
                <w:rFonts w:ascii="Arial Narrow" w:hAnsi="Arial Narrow"/>
                <w:i/>
                <w:iCs/>
                <w:sz w:val="18"/>
                <w:szCs w:val="18"/>
              </w:rPr>
            </w:pPr>
          </w:p>
        </w:tc>
        <w:tc>
          <w:tcPr>
            <w:tcW w:w="1135" w:type="dxa"/>
            <w:vMerge w:val="restart"/>
            <w:tcBorders>
              <w:top w:val="single" w:sz="4" w:space="0" w:color="auto"/>
              <w:left w:val="single" w:sz="4" w:space="0" w:color="auto"/>
              <w:right w:val="nil"/>
            </w:tcBorders>
          </w:tcPr>
          <w:p w:rsidR="003E3225" w:rsidRPr="0015565A" w:rsidRDefault="003E3225" w:rsidP="005A0854">
            <w:pPr>
              <w:jc w:val="center"/>
              <w:rPr>
                <w:rFonts w:ascii="Arial Narrow" w:hAnsi="Arial Narrow"/>
                <w:sz w:val="18"/>
                <w:szCs w:val="18"/>
              </w:rPr>
            </w:pPr>
            <w:r>
              <w:rPr>
                <w:noProof/>
                <w:lang w:eastAsia="en-AU"/>
              </w:rPr>
              <w:drawing>
                <wp:inline distT="0" distB="0" distL="0" distR="0" wp14:anchorId="6E0361E2" wp14:editId="12CF1D7B">
                  <wp:extent cx="762000" cy="6343650"/>
                  <wp:effectExtent l="0" t="0" r="0" b="0"/>
                  <wp:docPr id="1" name="Picture 1" title="PASI 75 response at Weeks 16/12 across the trials – ITT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000" cy="6343650"/>
                          </a:xfrm>
                          <a:prstGeom prst="rect">
                            <a:avLst/>
                          </a:prstGeom>
                        </pic:spPr>
                      </pic:pic>
                    </a:graphicData>
                  </a:graphic>
                </wp:inline>
              </w:drawing>
            </w:r>
          </w:p>
        </w:tc>
        <w:tc>
          <w:tcPr>
            <w:tcW w:w="1134" w:type="dxa"/>
            <w:tcBorders>
              <w:top w:val="single" w:sz="4" w:space="0" w:color="auto"/>
              <w:left w:val="nil"/>
              <w:bottom w:val="nil"/>
              <w:right w:val="single" w:sz="4" w:space="0" w:color="auto"/>
            </w:tcBorders>
          </w:tcPr>
          <w:p w:rsidR="003E3225" w:rsidRPr="00FD7676" w:rsidRDefault="003E3225" w:rsidP="005A0854">
            <w:pPr>
              <w:rPr>
                <w:rFonts w:ascii="Arial Narrow" w:hAnsi="Arial Narrow"/>
                <w:i/>
                <w:iCs/>
                <w:sz w:val="18"/>
                <w:szCs w:val="18"/>
              </w:rPr>
            </w:pPr>
          </w:p>
        </w:tc>
        <w:tc>
          <w:tcPr>
            <w:tcW w:w="854" w:type="dxa"/>
            <w:tcBorders>
              <w:left w:val="single" w:sz="4" w:space="0" w:color="auto"/>
              <w:bottom w:val="nil"/>
            </w:tcBorders>
            <w:vAlign w:val="center"/>
          </w:tcPr>
          <w:p w:rsidR="003E3225" w:rsidRPr="00FD7676" w:rsidRDefault="003E3225" w:rsidP="005A0854">
            <w:pPr>
              <w:jc w:val="center"/>
              <w:rPr>
                <w:rFonts w:ascii="Arial Narrow" w:hAnsi="Arial Narrow"/>
                <w:i/>
                <w:iCs/>
                <w:sz w:val="18"/>
                <w:szCs w:val="18"/>
              </w:rPr>
            </w:pPr>
          </w:p>
        </w:tc>
      </w:tr>
      <w:tr w:rsidR="003E3225" w:rsidRPr="00067537" w:rsidTr="005A0854">
        <w:trPr>
          <w:trHeight w:val="112"/>
        </w:trPr>
        <w:tc>
          <w:tcPr>
            <w:tcW w:w="1134" w:type="dxa"/>
            <w:shd w:val="clear" w:color="auto" w:fill="auto"/>
          </w:tcPr>
          <w:p w:rsidR="003E3225" w:rsidRPr="006F3816" w:rsidRDefault="003E3225" w:rsidP="005A0854">
            <w:pPr>
              <w:ind w:left="110"/>
              <w:jc w:val="left"/>
              <w:rPr>
                <w:rFonts w:ascii="Arial Narrow" w:hAnsi="Arial Narrow"/>
                <w:iCs/>
                <w:sz w:val="18"/>
                <w:szCs w:val="18"/>
                <w:lang w:val="fr-FR"/>
              </w:rPr>
            </w:pPr>
            <w:r w:rsidRPr="006F3816">
              <w:rPr>
                <w:rFonts w:ascii="Arial Narrow" w:hAnsi="Arial Narrow"/>
                <w:iCs/>
                <w:sz w:val="18"/>
                <w:szCs w:val="18"/>
                <w:lang w:val="fr-FR"/>
              </w:rPr>
              <w:t>TIL2</w:t>
            </w:r>
          </w:p>
        </w:tc>
        <w:tc>
          <w:tcPr>
            <w:tcW w:w="1134" w:type="dxa"/>
            <w:shd w:val="clear" w:color="auto" w:fill="auto"/>
          </w:tcPr>
          <w:p w:rsidR="003E3225" w:rsidRPr="003E3D7C" w:rsidRDefault="003E3225" w:rsidP="005A0854">
            <w:pPr>
              <w:jc w:val="center"/>
              <w:rPr>
                <w:rFonts w:ascii="Arial Narrow" w:hAnsi="Arial Narrow"/>
                <w:iCs/>
                <w:sz w:val="18"/>
                <w:szCs w:val="18"/>
                <w:lang w:val="fr-FR"/>
              </w:rPr>
            </w:pPr>
            <w:r w:rsidRPr="003E3D7C">
              <w:rPr>
                <w:rFonts w:ascii="Arial Narrow" w:hAnsi="Arial Narrow"/>
                <w:iCs/>
                <w:sz w:val="18"/>
                <w:szCs w:val="18"/>
                <w:lang w:val="fr-FR"/>
              </w:rPr>
              <w:t>206/314</w:t>
            </w:r>
            <w:r>
              <w:rPr>
                <w:rFonts w:ascii="Arial Narrow" w:hAnsi="Arial Narrow"/>
                <w:iCs/>
                <w:sz w:val="18"/>
                <w:szCs w:val="18"/>
                <w:lang w:val="fr-FR"/>
              </w:rPr>
              <w:t xml:space="preserve"> (65.6)</w:t>
            </w:r>
          </w:p>
        </w:tc>
        <w:tc>
          <w:tcPr>
            <w:tcW w:w="1276" w:type="dxa"/>
            <w:tcBorders>
              <w:right w:val="single" w:sz="4" w:space="0" w:color="auto"/>
            </w:tcBorders>
            <w:shd w:val="clear" w:color="auto" w:fill="auto"/>
          </w:tcPr>
          <w:p w:rsidR="003E3225" w:rsidRPr="003E3D7C" w:rsidRDefault="003E3225" w:rsidP="005A0854">
            <w:pPr>
              <w:jc w:val="center"/>
              <w:rPr>
                <w:rFonts w:ascii="Arial Narrow" w:hAnsi="Arial Narrow"/>
                <w:iCs/>
                <w:sz w:val="18"/>
                <w:szCs w:val="18"/>
                <w:lang w:val="fr-FR"/>
              </w:rPr>
            </w:pPr>
            <w:r w:rsidRPr="003E3D7C">
              <w:rPr>
                <w:rFonts w:ascii="Arial Narrow" w:hAnsi="Arial Narrow"/>
                <w:iCs/>
                <w:sz w:val="18"/>
                <w:szCs w:val="18"/>
                <w:lang w:val="fr-FR"/>
              </w:rPr>
              <w:t>151/313</w:t>
            </w:r>
            <w:r>
              <w:rPr>
                <w:rFonts w:ascii="Arial Narrow" w:hAnsi="Arial Narrow"/>
                <w:iCs/>
                <w:sz w:val="18"/>
                <w:szCs w:val="18"/>
                <w:lang w:val="fr-FR"/>
              </w:rPr>
              <w:t xml:space="preserve"> (48.2)</w:t>
            </w:r>
          </w:p>
        </w:tc>
        <w:tc>
          <w:tcPr>
            <w:tcW w:w="1276" w:type="dxa"/>
            <w:tcBorders>
              <w:top w:val="nil"/>
              <w:left w:val="nil"/>
              <w:bottom w:val="nil"/>
              <w:right w:val="single" w:sz="4" w:space="0" w:color="auto"/>
            </w:tcBorders>
          </w:tcPr>
          <w:p w:rsidR="003E3225" w:rsidRPr="0075346D" w:rsidRDefault="003E3225" w:rsidP="005A0854">
            <w:pPr>
              <w:jc w:val="center"/>
              <w:rPr>
                <w:rFonts w:ascii="Arial Narrow" w:hAnsi="Arial Narrow"/>
                <w:b/>
                <w:iCs/>
                <w:sz w:val="16"/>
                <w:szCs w:val="18"/>
                <w:lang w:val="fr-FR"/>
              </w:rPr>
            </w:pPr>
            <w:r w:rsidRPr="0075346D">
              <w:rPr>
                <w:rFonts w:ascii="Arial Narrow" w:hAnsi="Arial Narrow"/>
                <w:b/>
                <w:iCs/>
                <w:sz w:val="16"/>
                <w:szCs w:val="18"/>
                <w:lang w:val="fr-FR"/>
              </w:rPr>
              <w:t>1.36 (1.18, 1.56)</w:t>
            </w:r>
          </w:p>
        </w:tc>
        <w:tc>
          <w:tcPr>
            <w:tcW w:w="1275" w:type="dxa"/>
            <w:tcBorders>
              <w:top w:val="nil"/>
              <w:left w:val="single" w:sz="4" w:space="0" w:color="auto"/>
              <w:bottom w:val="nil"/>
              <w:right w:val="single" w:sz="4" w:space="0" w:color="auto"/>
            </w:tcBorders>
          </w:tcPr>
          <w:p w:rsidR="003E3225" w:rsidRPr="0075346D" w:rsidRDefault="003E3225" w:rsidP="005A0854">
            <w:pPr>
              <w:jc w:val="center"/>
              <w:rPr>
                <w:rFonts w:ascii="Arial Narrow" w:hAnsi="Arial Narrow"/>
                <w:iCs/>
                <w:sz w:val="18"/>
                <w:szCs w:val="18"/>
              </w:rPr>
            </w:pPr>
            <w:r w:rsidRPr="0075346D">
              <w:rPr>
                <w:rFonts w:ascii="Arial Narrow" w:hAnsi="Arial Narrow"/>
                <w:b/>
                <w:iCs/>
                <w:sz w:val="16"/>
                <w:szCs w:val="18"/>
                <w:lang w:val="fr-FR"/>
              </w:rPr>
              <w:t>2.05 (1.48, 2.82)</w:t>
            </w:r>
          </w:p>
        </w:tc>
        <w:tc>
          <w:tcPr>
            <w:tcW w:w="1135" w:type="dxa"/>
            <w:vMerge/>
            <w:tcBorders>
              <w:left w:val="single" w:sz="4" w:space="0" w:color="auto"/>
              <w:right w:val="nil"/>
            </w:tcBorders>
          </w:tcPr>
          <w:p w:rsidR="003E3225" w:rsidRPr="0006753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tcPr>
          <w:p w:rsidR="003E3225" w:rsidRPr="00067537" w:rsidRDefault="003E3225" w:rsidP="005A0854">
            <w:pPr>
              <w:jc w:val="center"/>
              <w:rPr>
                <w:rFonts w:ascii="Arial Narrow" w:hAnsi="Arial Narrow"/>
                <w:iCs/>
                <w:sz w:val="18"/>
                <w:szCs w:val="18"/>
              </w:rPr>
            </w:pPr>
            <w:r>
              <w:rPr>
                <w:rFonts w:ascii="Arial Narrow" w:hAnsi="Arial Narrow"/>
                <w:b/>
                <w:iCs/>
                <w:sz w:val="16"/>
                <w:szCs w:val="18"/>
                <w:lang w:val="fr-FR"/>
              </w:rPr>
              <w:t>0.17 (0.10, 0.25)</w:t>
            </w:r>
          </w:p>
        </w:tc>
        <w:tc>
          <w:tcPr>
            <w:tcW w:w="854" w:type="dxa"/>
            <w:tcBorders>
              <w:top w:val="nil"/>
              <w:left w:val="single" w:sz="4" w:space="0" w:color="auto"/>
              <w:bottom w:val="nil"/>
              <w:right w:val="single" w:sz="4" w:space="0" w:color="auto"/>
            </w:tcBorders>
            <w:vAlign w:val="center"/>
          </w:tcPr>
          <w:p w:rsidR="003E3225" w:rsidRPr="004C75F5" w:rsidRDefault="003E3225" w:rsidP="005A0854">
            <w:pPr>
              <w:jc w:val="center"/>
              <w:rPr>
                <w:rFonts w:ascii="Arial Narrow" w:hAnsi="Arial Narrow"/>
                <w:i/>
                <w:sz w:val="16"/>
                <w:szCs w:val="16"/>
              </w:rPr>
            </w:pPr>
            <w:r w:rsidRPr="004C75F5">
              <w:rPr>
                <w:rFonts w:ascii="Arial Narrow" w:hAnsi="Arial Narrow"/>
                <w:i/>
                <w:sz w:val="16"/>
                <w:szCs w:val="16"/>
              </w:rPr>
              <w:t>6 (4, 10)</w:t>
            </w:r>
          </w:p>
        </w:tc>
      </w:tr>
      <w:tr w:rsidR="003E3225" w:rsidRPr="00067537" w:rsidTr="005A0854">
        <w:trPr>
          <w:trHeight w:val="170"/>
        </w:trPr>
        <w:tc>
          <w:tcPr>
            <w:tcW w:w="3544" w:type="dxa"/>
            <w:gridSpan w:val="3"/>
            <w:tcBorders>
              <w:right w:val="single" w:sz="4" w:space="0" w:color="auto"/>
            </w:tcBorders>
            <w:vAlign w:val="center"/>
          </w:tcPr>
          <w:p w:rsidR="003E3225" w:rsidRPr="00E84CA2" w:rsidRDefault="003E3225" w:rsidP="005A0854">
            <w:pPr>
              <w:jc w:val="left"/>
              <w:rPr>
                <w:rFonts w:ascii="Arial Narrow" w:hAnsi="Arial Narrow"/>
                <w:iCs/>
                <w:sz w:val="18"/>
                <w:szCs w:val="18"/>
              </w:rPr>
            </w:pPr>
            <w:r>
              <w:rPr>
                <w:rFonts w:ascii="Arial Narrow" w:hAnsi="Arial Narrow"/>
                <w:b/>
                <w:bCs/>
                <w:iCs/>
                <w:sz w:val="18"/>
                <w:szCs w:val="18"/>
                <w:lang w:val="fr-FR"/>
              </w:rPr>
              <w:t>UST 45</w:t>
            </w:r>
            <w:r w:rsidR="00821F1B">
              <w:rPr>
                <w:rFonts w:ascii="Arial Narrow" w:hAnsi="Arial Narrow"/>
                <w:b/>
                <w:bCs/>
                <w:iCs/>
                <w:sz w:val="18"/>
                <w:szCs w:val="18"/>
                <w:lang w:val="fr-FR"/>
              </w:rPr>
              <w:t xml:space="preserve"> </w:t>
            </w:r>
            <w:r>
              <w:rPr>
                <w:rFonts w:ascii="Arial Narrow" w:hAnsi="Arial Narrow"/>
                <w:b/>
                <w:bCs/>
                <w:iCs/>
                <w:sz w:val="18"/>
                <w:szCs w:val="18"/>
                <w:lang w:val="fr-FR"/>
              </w:rPr>
              <w:t>mg vs ETN Wk12</w:t>
            </w:r>
          </w:p>
        </w:tc>
        <w:tc>
          <w:tcPr>
            <w:tcW w:w="1276" w:type="dxa"/>
            <w:tcBorders>
              <w:top w:val="nil"/>
              <w:left w:val="nil"/>
              <w:bottom w:val="nil"/>
              <w:right w:val="single" w:sz="4" w:space="0" w:color="auto"/>
            </w:tcBorders>
          </w:tcPr>
          <w:p w:rsidR="003E3225" w:rsidRPr="00553E55" w:rsidRDefault="003E3225" w:rsidP="005A0854">
            <w:pPr>
              <w:jc w:val="center"/>
              <w:rPr>
                <w:rFonts w:ascii="Arial Narrow" w:hAnsi="Arial Narrow"/>
                <w:b/>
                <w:i/>
                <w:sz w:val="16"/>
                <w:szCs w:val="18"/>
              </w:rPr>
            </w:pPr>
          </w:p>
        </w:tc>
        <w:tc>
          <w:tcPr>
            <w:tcW w:w="1275" w:type="dxa"/>
            <w:tcBorders>
              <w:top w:val="nil"/>
              <w:left w:val="single" w:sz="4" w:space="0" w:color="auto"/>
              <w:bottom w:val="nil"/>
              <w:right w:val="single" w:sz="4" w:space="0" w:color="auto"/>
            </w:tcBorders>
            <w:vAlign w:val="center"/>
          </w:tcPr>
          <w:p w:rsidR="003E3225" w:rsidRPr="004915B7" w:rsidRDefault="003E3225" w:rsidP="005A0854">
            <w:pPr>
              <w:jc w:val="center"/>
              <w:rPr>
                <w:rFonts w:ascii="Arial Narrow" w:hAnsi="Arial Narrow"/>
                <w:b/>
                <w:iCs/>
                <w:sz w:val="16"/>
                <w:szCs w:val="18"/>
              </w:rPr>
            </w:pPr>
          </w:p>
        </w:tc>
        <w:tc>
          <w:tcPr>
            <w:tcW w:w="1135" w:type="dxa"/>
            <w:vMerge/>
            <w:tcBorders>
              <w:left w:val="single" w:sz="4" w:space="0" w:color="auto"/>
              <w:right w:val="nil"/>
            </w:tcBorders>
          </w:tcPr>
          <w:p w:rsidR="003E3225" w:rsidRPr="004915B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Default="003E3225" w:rsidP="005A0854">
            <w:pPr>
              <w:jc w:val="center"/>
              <w:rPr>
                <w:rFonts w:ascii="Arial Narrow" w:hAnsi="Arial Narrow"/>
                <w:b/>
                <w:i/>
                <w:sz w:val="16"/>
                <w:szCs w:val="18"/>
              </w:rPr>
            </w:pP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p>
        </w:tc>
      </w:tr>
      <w:tr w:rsidR="003E3225" w:rsidRPr="00067537" w:rsidTr="005A0854">
        <w:trPr>
          <w:trHeight w:val="170"/>
        </w:trPr>
        <w:tc>
          <w:tcPr>
            <w:tcW w:w="1134" w:type="dxa"/>
            <w:shd w:val="clear" w:color="auto" w:fill="D9D9D9" w:themeFill="background1" w:themeFillShade="D9"/>
            <w:vAlign w:val="center"/>
          </w:tcPr>
          <w:p w:rsidR="003E3225" w:rsidRDefault="003E3225" w:rsidP="005A0854">
            <w:pPr>
              <w:ind w:left="110"/>
              <w:jc w:val="left"/>
              <w:rPr>
                <w:rFonts w:ascii="Arial Narrow" w:hAnsi="Arial Narrow"/>
                <w:iCs/>
                <w:sz w:val="18"/>
                <w:szCs w:val="18"/>
              </w:rPr>
            </w:pPr>
            <w:r>
              <w:rPr>
                <w:rFonts w:ascii="Arial Narrow" w:hAnsi="Arial Narrow"/>
                <w:iCs/>
                <w:sz w:val="18"/>
                <w:szCs w:val="18"/>
                <w:lang w:val="fr-FR"/>
              </w:rPr>
              <w:t>UST1</w:t>
            </w:r>
          </w:p>
        </w:tc>
        <w:tc>
          <w:tcPr>
            <w:tcW w:w="1134" w:type="dxa"/>
            <w:shd w:val="clear" w:color="auto" w:fill="D9D9D9" w:themeFill="background1" w:themeFillShade="D9"/>
            <w:vAlign w:val="center"/>
          </w:tcPr>
          <w:p w:rsidR="003E3225" w:rsidRPr="00E84CA2" w:rsidRDefault="003E3225" w:rsidP="005A0854">
            <w:pPr>
              <w:jc w:val="center"/>
              <w:rPr>
                <w:rFonts w:ascii="Arial Narrow" w:hAnsi="Arial Narrow"/>
                <w:iCs/>
                <w:sz w:val="18"/>
                <w:szCs w:val="18"/>
              </w:rPr>
            </w:pPr>
            <w:r>
              <w:rPr>
                <w:rFonts w:ascii="Arial Narrow" w:hAnsi="Arial Narrow"/>
                <w:iCs/>
                <w:sz w:val="18"/>
                <w:szCs w:val="18"/>
              </w:rPr>
              <w:t>141/209 (67.5)</w:t>
            </w:r>
          </w:p>
        </w:tc>
        <w:tc>
          <w:tcPr>
            <w:tcW w:w="1276" w:type="dxa"/>
            <w:tcBorders>
              <w:right w:val="single" w:sz="4" w:space="0" w:color="auto"/>
            </w:tcBorders>
            <w:shd w:val="clear" w:color="auto" w:fill="D9D9D9" w:themeFill="background1" w:themeFillShade="D9"/>
            <w:vAlign w:val="center"/>
          </w:tcPr>
          <w:p w:rsidR="003E3225" w:rsidRPr="00E84CA2" w:rsidRDefault="003E3225" w:rsidP="005A0854">
            <w:pPr>
              <w:jc w:val="center"/>
              <w:rPr>
                <w:rFonts w:ascii="Arial Narrow" w:hAnsi="Arial Narrow"/>
                <w:iCs/>
                <w:sz w:val="18"/>
                <w:szCs w:val="18"/>
              </w:rPr>
            </w:pPr>
            <w:r>
              <w:rPr>
                <w:rFonts w:ascii="Arial Narrow" w:hAnsi="Arial Narrow"/>
                <w:iCs/>
                <w:sz w:val="18"/>
                <w:szCs w:val="18"/>
              </w:rPr>
              <w:t>197/347 (56.8)</w:t>
            </w:r>
          </w:p>
        </w:tc>
        <w:tc>
          <w:tcPr>
            <w:tcW w:w="1276" w:type="dxa"/>
            <w:tcBorders>
              <w:top w:val="nil"/>
              <w:left w:val="nil"/>
              <w:bottom w:val="nil"/>
              <w:right w:val="single" w:sz="4" w:space="0" w:color="auto"/>
            </w:tcBorders>
            <w:shd w:val="clear" w:color="auto" w:fill="D9D9D9" w:themeFill="background1" w:themeFillShade="D9"/>
          </w:tcPr>
          <w:p w:rsidR="003E3225" w:rsidRPr="0075346D" w:rsidRDefault="003E3225" w:rsidP="005A0854">
            <w:pPr>
              <w:jc w:val="center"/>
              <w:rPr>
                <w:rFonts w:ascii="Arial Narrow" w:hAnsi="Arial Narrow"/>
                <w:b/>
                <w:iCs/>
                <w:sz w:val="16"/>
                <w:szCs w:val="18"/>
              </w:rPr>
            </w:pPr>
            <w:r w:rsidRPr="0075346D">
              <w:rPr>
                <w:rFonts w:ascii="Arial Narrow" w:hAnsi="Arial Narrow"/>
                <w:b/>
                <w:iCs/>
                <w:sz w:val="16"/>
                <w:szCs w:val="18"/>
              </w:rPr>
              <w:t>1.19 (1.04, 1.36)</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4915B7" w:rsidRDefault="003E3225" w:rsidP="005A0854">
            <w:pPr>
              <w:jc w:val="center"/>
              <w:rPr>
                <w:rFonts w:ascii="Arial Narrow" w:hAnsi="Arial Narrow"/>
                <w:b/>
                <w:iCs/>
                <w:sz w:val="16"/>
                <w:szCs w:val="18"/>
              </w:rPr>
            </w:pPr>
            <w:r>
              <w:rPr>
                <w:rFonts w:ascii="Arial Narrow" w:hAnsi="Arial Narrow"/>
                <w:b/>
                <w:iCs/>
                <w:sz w:val="16"/>
                <w:szCs w:val="18"/>
              </w:rPr>
              <w:t>1.58</w:t>
            </w:r>
            <w:r w:rsidRPr="004915B7">
              <w:rPr>
                <w:rFonts w:ascii="Arial Narrow" w:hAnsi="Arial Narrow"/>
                <w:b/>
                <w:iCs/>
                <w:sz w:val="16"/>
                <w:szCs w:val="18"/>
              </w:rPr>
              <w:t xml:space="preserve"> (1.1</w:t>
            </w:r>
            <w:r>
              <w:rPr>
                <w:rFonts w:ascii="Arial Narrow" w:hAnsi="Arial Narrow"/>
                <w:b/>
                <w:iCs/>
                <w:sz w:val="16"/>
                <w:szCs w:val="18"/>
              </w:rPr>
              <w:t>0, 2.26</w:t>
            </w:r>
            <w:r w:rsidRPr="004915B7">
              <w:rPr>
                <w:rFonts w:ascii="Arial Narrow" w:hAnsi="Arial Narrow"/>
                <w:b/>
                <w:iCs/>
                <w:sz w:val="16"/>
                <w:szCs w:val="18"/>
              </w:rPr>
              <w:t>)</w:t>
            </w:r>
          </w:p>
        </w:tc>
        <w:tc>
          <w:tcPr>
            <w:tcW w:w="1135" w:type="dxa"/>
            <w:vMerge/>
            <w:tcBorders>
              <w:left w:val="single" w:sz="4" w:space="0" w:color="auto"/>
              <w:right w:val="nil"/>
            </w:tcBorders>
            <w:shd w:val="clear" w:color="auto" w:fill="D9D9D9" w:themeFill="background1" w:themeFillShade="D9"/>
          </w:tcPr>
          <w:p w:rsidR="003E3225" w:rsidRPr="004915B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Default="003E3225" w:rsidP="005A0854">
            <w:pPr>
              <w:jc w:val="center"/>
              <w:rPr>
                <w:rFonts w:ascii="Arial Narrow" w:hAnsi="Arial Narrow"/>
                <w:b/>
                <w:i/>
                <w:sz w:val="16"/>
                <w:szCs w:val="18"/>
              </w:rPr>
            </w:pPr>
            <w:r w:rsidRPr="004B6C4E">
              <w:rPr>
                <w:rFonts w:ascii="Arial Narrow" w:hAnsi="Arial Narrow"/>
                <w:b/>
                <w:iCs/>
                <w:sz w:val="16"/>
                <w:szCs w:val="18"/>
              </w:rPr>
              <w:t>0.11 (0.02. 0.19</w:t>
            </w:r>
            <w:r>
              <w:rPr>
                <w:rFonts w:ascii="Arial Narrow" w:hAnsi="Arial Narrow"/>
                <w:b/>
                <w:i/>
                <w:sz w:val="16"/>
                <w:szCs w:val="18"/>
              </w:rPr>
              <w:t>)</w:t>
            </w:r>
          </w:p>
        </w:tc>
        <w:tc>
          <w:tcPr>
            <w:tcW w:w="854" w:type="dxa"/>
            <w:tcBorders>
              <w:top w:val="nil"/>
              <w:left w:val="single" w:sz="4" w:space="0" w:color="auto"/>
              <w:bottom w:val="nil"/>
            </w:tcBorders>
            <w:shd w:val="clear" w:color="auto" w:fill="D9D9D9" w:themeFill="background1" w:themeFillShade="D9"/>
            <w:vAlign w:val="center"/>
          </w:tcPr>
          <w:p w:rsidR="003E3225" w:rsidRPr="00067537" w:rsidRDefault="003E3225" w:rsidP="005A0854">
            <w:pPr>
              <w:jc w:val="center"/>
              <w:rPr>
                <w:rFonts w:ascii="Arial Narrow" w:hAnsi="Arial Narrow"/>
                <w:i/>
                <w:sz w:val="16"/>
                <w:szCs w:val="16"/>
              </w:rPr>
            </w:pPr>
            <w:r>
              <w:rPr>
                <w:rFonts w:ascii="Arial Narrow" w:hAnsi="Arial Narrow"/>
                <w:i/>
                <w:sz w:val="16"/>
                <w:szCs w:val="16"/>
              </w:rPr>
              <w:t>9 (5, 50)</w:t>
            </w:r>
          </w:p>
        </w:tc>
      </w:tr>
      <w:tr w:rsidR="003E3225" w:rsidRPr="00067537" w:rsidTr="005A0854">
        <w:trPr>
          <w:trHeight w:val="170"/>
        </w:trPr>
        <w:tc>
          <w:tcPr>
            <w:tcW w:w="3544" w:type="dxa"/>
            <w:gridSpan w:val="3"/>
            <w:tcBorders>
              <w:right w:val="single" w:sz="4" w:space="0" w:color="auto"/>
            </w:tcBorders>
            <w:vAlign w:val="center"/>
          </w:tcPr>
          <w:p w:rsidR="003E3225" w:rsidRPr="00E84CA2" w:rsidRDefault="003E3225" w:rsidP="005A0854">
            <w:pPr>
              <w:jc w:val="left"/>
              <w:rPr>
                <w:rFonts w:ascii="Arial Narrow" w:hAnsi="Arial Narrow"/>
                <w:iCs/>
                <w:sz w:val="18"/>
                <w:szCs w:val="18"/>
              </w:rPr>
            </w:pPr>
            <w:r>
              <w:rPr>
                <w:rFonts w:ascii="Arial Narrow" w:hAnsi="Arial Narrow"/>
                <w:b/>
                <w:bCs/>
                <w:iCs/>
                <w:sz w:val="18"/>
                <w:szCs w:val="18"/>
                <w:lang w:val="fr-FR"/>
              </w:rPr>
              <w:t>UST 90</w:t>
            </w:r>
            <w:r w:rsidR="00821F1B">
              <w:rPr>
                <w:rFonts w:ascii="Arial Narrow" w:hAnsi="Arial Narrow"/>
                <w:b/>
                <w:bCs/>
                <w:iCs/>
                <w:sz w:val="18"/>
                <w:szCs w:val="18"/>
                <w:lang w:val="fr-FR"/>
              </w:rPr>
              <w:t xml:space="preserve"> </w:t>
            </w:r>
            <w:r>
              <w:rPr>
                <w:rFonts w:ascii="Arial Narrow" w:hAnsi="Arial Narrow"/>
                <w:b/>
                <w:bCs/>
                <w:iCs/>
                <w:sz w:val="18"/>
                <w:szCs w:val="18"/>
                <w:lang w:val="fr-FR"/>
              </w:rPr>
              <w:t>mg vs ETN Wk12</w:t>
            </w:r>
          </w:p>
        </w:tc>
        <w:tc>
          <w:tcPr>
            <w:tcW w:w="1276" w:type="dxa"/>
            <w:tcBorders>
              <w:top w:val="nil"/>
              <w:left w:val="nil"/>
              <w:bottom w:val="nil"/>
              <w:right w:val="single" w:sz="4" w:space="0" w:color="auto"/>
            </w:tcBorders>
          </w:tcPr>
          <w:p w:rsidR="003E3225" w:rsidRPr="00553E55" w:rsidRDefault="003E3225" w:rsidP="005A0854">
            <w:pPr>
              <w:jc w:val="center"/>
              <w:rPr>
                <w:rFonts w:ascii="Arial Narrow" w:hAnsi="Arial Narrow"/>
                <w:b/>
                <w:i/>
                <w:sz w:val="16"/>
                <w:szCs w:val="18"/>
              </w:rPr>
            </w:pPr>
          </w:p>
        </w:tc>
        <w:tc>
          <w:tcPr>
            <w:tcW w:w="1275" w:type="dxa"/>
            <w:tcBorders>
              <w:top w:val="nil"/>
              <w:left w:val="single" w:sz="4" w:space="0" w:color="auto"/>
              <w:bottom w:val="nil"/>
              <w:right w:val="single" w:sz="4" w:space="0" w:color="auto"/>
            </w:tcBorders>
            <w:vAlign w:val="center"/>
          </w:tcPr>
          <w:p w:rsidR="003E3225" w:rsidRPr="004915B7" w:rsidRDefault="003E3225" w:rsidP="005A0854">
            <w:pPr>
              <w:jc w:val="center"/>
              <w:rPr>
                <w:rFonts w:ascii="Arial Narrow" w:hAnsi="Arial Narrow"/>
                <w:b/>
                <w:iCs/>
                <w:sz w:val="16"/>
                <w:szCs w:val="18"/>
              </w:rPr>
            </w:pPr>
          </w:p>
        </w:tc>
        <w:tc>
          <w:tcPr>
            <w:tcW w:w="1135" w:type="dxa"/>
            <w:vMerge/>
            <w:tcBorders>
              <w:left w:val="single" w:sz="4" w:space="0" w:color="auto"/>
              <w:right w:val="nil"/>
            </w:tcBorders>
          </w:tcPr>
          <w:p w:rsidR="003E3225" w:rsidRPr="004915B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Default="003E3225" w:rsidP="005A0854">
            <w:pPr>
              <w:jc w:val="center"/>
              <w:rPr>
                <w:rFonts w:ascii="Arial Narrow" w:hAnsi="Arial Narrow"/>
                <w:b/>
                <w:i/>
                <w:sz w:val="16"/>
                <w:szCs w:val="18"/>
              </w:rPr>
            </w:pP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p>
        </w:tc>
      </w:tr>
      <w:tr w:rsidR="003E3225" w:rsidRPr="004C75F5" w:rsidTr="005A0854">
        <w:trPr>
          <w:trHeight w:val="170"/>
        </w:trPr>
        <w:tc>
          <w:tcPr>
            <w:tcW w:w="1134" w:type="dxa"/>
            <w:shd w:val="clear" w:color="auto" w:fill="D9D9D9" w:themeFill="background1" w:themeFillShade="D9"/>
            <w:vAlign w:val="center"/>
          </w:tcPr>
          <w:p w:rsidR="003E3225" w:rsidRDefault="003E3225" w:rsidP="005A0854">
            <w:pPr>
              <w:ind w:left="110"/>
              <w:jc w:val="left"/>
              <w:rPr>
                <w:rFonts w:ascii="Arial Narrow" w:hAnsi="Arial Narrow"/>
                <w:iCs/>
                <w:sz w:val="18"/>
                <w:szCs w:val="18"/>
              </w:rPr>
            </w:pPr>
            <w:r>
              <w:rPr>
                <w:rFonts w:ascii="Arial Narrow" w:hAnsi="Arial Narrow"/>
                <w:iCs/>
                <w:sz w:val="18"/>
                <w:szCs w:val="18"/>
                <w:lang w:val="fr-FR"/>
              </w:rPr>
              <w:t>UST1</w:t>
            </w:r>
          </w:p>
        </w:tc>
        <w:tc>
          <w:tcPr>
            <w:tcW w:w="1134" w:type="dxa"/>
            <w:shd w:val="clear" w:color="auto" w:fill="D9D9D9" w:themeFill="background1" w:themeFillShade="D9"/>
            <w:vAlign w:val="center"/>
          </w:tcPr>
          <w:p w:rsidR="003E3225" w:rsidRPr="00E84CA2" w:rsidRDefault="003E3225" w:rsidP="005A0854">
            <w:pPr>
              <w:jc w:val="center"/>
              <w:rPr>
                <w:rFonts w:ascii="Arial Narrow" w:hAnsi="Arial Narrow"/>
                <w:iCs/>
                <w:sz w:val="18"/>
                <w:szCs w:val="18"/>
              </w:rPr>
            </w:pPr>
            <w:r>
              <w:rPr>
                <w:rFonts w:ascii="Arial Narrow" w:hAnsi="Arial Narrow"/>
                <w:iCs/>
                <w:sz w:val="18"/>
                <w:szCs w:val="18"/>
              </w:rPr>
              <w:t>256/347 (73.8)</w:t>
            </w:r>
          </w:p>
        </w:tc>
        <w:tc>
          <w:tcPr>
            <w:tcW w:w="1276" w:type="dxa"/>
            <w:tcBorders>
              <w:right w:val="single" w:sz="4" w:space="0" w:color="auto"/>
            </w:tcBorders>
            <w:shd w:val="clear" w:color="auto" w:fill="D9D9D9" w:themeFill="background1" w:themeFillShade="D9"/>
            <w:vAlign w:val="center"/>
          </w:tcPr>
          <w:p w:rsidR="003E3225" w:rsidRPr="00E84CA2" w:rsidRDefault="003E3225" w:rsidP="005A0854">
            <w:pPr>
              <w:jc w:val="center"/>
              <w:rPr>
                <w:rFonts w:ascii="Arial Narrow" w:hAnsi="Arial Narrow"/>
                <w:iCs/>
                <w:sz w:val="18"/>
                <w:szCs w:val="18"/>
              </w:rPr>
            </w:pPr>
            <w:r>
              <w:rPr>
                <w:rFonts w:ascii="Arial Narrow" w:hAnsi="Arial Narrow"/>
                <w:iCs/>
                <w:sz w:val="18"/>
                <w:szCs w:val="18"/>
              </w:rPr>
              <w:t>197/347 (56.8)</w:t>
            </w:r>
          </w:p>
        </w:tc>
        <w:tc>
          <w:tcPr>
            <w:tcW w:w="1276" w:type="dxa"/>
            <w:tcBorders>
              <w:top w:val="nil"/>
              <w:left w:val="nil"/>
              <w:bottom w:val="nil"/>
              <w:right w:val="single" w:sz="4" w:space="0" w:color="auto"/>
            </w:tcBorders>
            <w:shd w:val="clear" w:color="auto" w:fill="D9D9D9" w:themeFill="background1" w:themeFillShade="D9"/>
          </w:tcPr>
          <w:p w:rsidR="003E3225" w:rsidRPr="00553E55" w:rsidRDefault="003E3225" w:rsidP="005A0854">
            <w:pPr>
              <w:jc w:val="center"/>
              <w:rPr>
                <w:rFonts w:ascii="Arial Narrow" w:hAnsi="Arial Narrow"/>
                <w:b/>
                <w:i/>
                <w:sz w:val="16"/>
                <w:szCs w:val="18"/>
              </w:rPr>
            </w:pPr>
            <w:r w:rsidRPr="0075346D">
              <w:rPr>
                <w:rFonts w:ascii="Arial Narrow" w:hAnsi="Arial Narrow"/>
                <w:b/>
                <w:iCs/>
                <w:sz w:val="16"/>
                <w:szCs w:val="18"/>
              </w:rPr>
              <w:t>1.30 (1.16, 1.45</w:t>
            </w:r>
            <w:r w:rsidRPr="00553E55">
              <w:rPr>
                <w:rFonts w:ascii="Arial Narrow" w:hAnsi="Arial Narrow"/>
                <w:b/>
                <w:i/>
                <w:sz w:val="16"/>
                <w:szCs w:val="18"/>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4915B7" w:rsidRDefault="003E3225" w:rsidP="005A0854">
            <w:pPr>
              <w:jc w:val="center"/>
              <w:rPr>
                <w:rFonts w:ascii="Arial Narrow" w:hAnsi="Arial Narrow"/>
                <w:b/>
                <w:iCs/>
                <w:sz w:val="16"/>
                <w:szCs w:val="18"/>
              </w:rPr>
            </w:pPr>
            <w:r w:rsidRPr="004915B7">
              <w:rPr>
                <w:rFonts w:ascii="Arial Narrow" w:hAnsi="Arial Narrow"/>
                <w:b/>
                <w:iCs/>
                <w:sz w:val="16"/>
                <w:szCs w:val="18"/>
              </w:rPr>
              <w:t>2.1</w:t>
            </w:r>
            <w:r>
              <w:rPr>
                <w:rFonts w:ascii="Arial Narrow" w:hAnsi="Arial Narrow"/>
                <w:b/>
                <w:iCs/>
                <w:sz w:val="16"/>
                <w:szCs w:val="18"/>
              </w:rPr>
              <w:t>4</w:t>
            </w:r>
            <w:r w:rsidRPr="004915B7">
              <w:rPr>
                <w:rFonts w:ascii="Arial Narrow" w:hAnsi="Arial Narrow"/>
                <w:b/>
                <w:iCs/>
                <w:sz w:val="16"/>
                <w:szCs w:val="18"/>
              </w:rPr>
              <w:t xml:space="preserve"> (1.</w:t>
            </w:r>
            <w:r>
              <w:rPr>
                <w:rFonts w:ascii="Arial Narrow" w:hAnsi="Arial Narrow"/>
                <w:b/>
                <w:iCs/>
                <w:sz w:val="16"/>
                <w:szCs w:val="18"/>
              </w:rPr>
              <w:t>56, 2.95</w:t>
            </w:r>
            <w:r w:rsidRPr="004915B7">
              <w:rPr>
                <w:rFonts w:ascii="Arial Narrow" w:hAnsi="Arial Narrow"/>
                <w:b/>
                <w:iCs/>
                <w:sz w:val="16"/>
                <w:szCs w:val="18"/>
              </w:rPr>
              <w:t>)</w:t>
            </w:r>
          </w:p>
        </w:tc>
        <w:tc>
          <w:tcPr>
            <w:tcW w:w="1135" w:type="dxa"/>
            <w:vMerge/>
            <w:tcBorders>
              <w:left w:val="single" w:sz="4" w:space="0" w:color="auto"/>
              <w:right w:val="nil"/>
            </w:tcBorders>
            <w:shd w:val="clear" w:color="auto" w:fill="D9D9D9" w:themeFill="background1" w:themeFillShade="D9"/>
          </w:tcPr>
          <w:p w:rsidR="003E3225" w:rsidRPr="004915B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CD38FF" w:rsidRDefault="003E3225" w:rsidP="005A0854">
            <w:pPr>
              <w:jc w:val="center"/>
              <w:rPr>
                <w:rFonts w:ascii="Arial Narrow" w:hAnsi="Arial Narrow"/>
                <w:b/>
                <w:iCs/>
                <w:sz w:val="16"/>
                <w:szCs w:val="18"/>
              </w:rPr>
            </w:pPr>
            <w:r w:rsidRPr="00CD38FF">
              <w:rPr>
                <w:rFonts w:ascii="Arial Narrow" w:hAnsi="Arial Narrow"/>
                <w:b/>
                <w:iCs/>
                <w:sz w:val="16"/>
                <w:szCs w:val="18"/>
              </w:rPr>
              <w:t>0.17 (0.10, 0.24)</w:t>
            </w:r>
          </w:p>
        </w:tc>
        <w:tc>
          <w:tcPr>
            <w:tcW w:w="854" w:type="dxa"/>
            <w:tcBorders>
              <w:top w:val="nil"/>
              <w:left w:val="single" w:sz="4" w:space="0" w:color="auto"/>
              <w:bottom w:val="nil"/>
            </w:tcBorders>
            <w:shd w:val="clear" w:color="auto" w:fill="D9D9D9" w:themeFill="background1" w:themeFillShade="D9"/>
            <w:vAlign w:val="center"/>
          </w:tcPr>
          <w:p w:rsidR="003E3225" w:rsidRPr="004C75F5" w:rsidRDefault="003E3225" w:rsidP="005A0854">
            <w:pPr>
              <w:jc w:val="center"/>
              <w:rPr>
                <w:rFonts w:ascii="Arial Narrow" w:hAnsi="Arial Narrow"/>
                <w:i/>
                <w:sz w:val="16"/>
                <w:szCs w:val="16"/>
              </w:rPr>
            </w:pPr>
            <w:r w:rsidRPr="004C75F5">
              <w:rPr>
                <w:rFonts w:ascii="Arial Narrow" w:hAnsi="Arial Narrow"/>
                <w:i/>
                <w:sz w:val="16"/>
                <w:szCs w:val="16"/>
              </w:rPr>
              <w:t>6 (4, 10)</w:t>
            </w:r>
          </w:p>
        </w:tc>
      </w:tr>
      <w:tr w:rsidR="003E3225" w:rsidRPr="004C75F5" w:rsidTr="005A0854">
        <w:trPr>
          <w:trHeight w:val="170"/>
        </w:trPr>
        <w:tc>
          <w:tcPr>
            <w:tcW w:w="1134" w:type="dxa"/>
            <w:shd w:val="clear" w:color="auto" w:fill="D9D9D9" w:themeFill="background1" w:themeFillShade="D9"/>
            <w:vAlign w:val="center"/>
          </w:tcPr>
          <w:p w:rsidR="003E3225" w:rsidRDefault="003E3225" w:rsidP="005A0854">
            <w:pPr>
              <w:ind w:left="110"/>
              <w:jc w:val="right"/>
              <w:rPr>
                <w:rFonts w:ascii="Arial Narrow" w:hAnsi="Arial Narrow"/>
                <w:iCs/>
                <w:sz w:val="18"/>
                <w:szCs w:val="18"/>
                <w:lang w:val="fr-FR"/>
              </w:rPr>
            </w:pPr>
            <w:proofErr w:type="spellStart"/>
            <w:r>
              <w:rPr>
                <w:rFonts w:ascii="Arial Narrow" w:hAnsi="Arial Narrow"/>
                <w:iCs/>
                <w:sz w:val="18"/>
                <w:szCs w:val="18"/>
                <w:lang w:val="fr-FR"/>
              </w:rPr>
              <w:t>Pooled</w:t>
            </w:r>
            <w:proofErr w:type="spellEnd"/>
            <w:r>
              <w:rPr>
                <w:rFonts w:ascii="Arial Narrow" w:hAnsi="Arial Narrow"/>
                <w:iCs/>
                <w:sz w:val="18"/>
                <w:szCs w:val="18"/>
                <w:lang w:val="fr-FR"/>
              </w:rPr>
              <w:t xml:space="preserve"> UST1</w:t>
            </w:r>
          </w:p>
        </w:tc>
        <w:tc>
          <w:tcPr>
            <w:tcW w:w="1134" w:type="dxa"/>
            <w:shd w:val="clear" w:color="auto" w:fill="D9D9D9" w:themeFill="background1" w:themeFillShade="D9"/>
            <w:vAlign w:val="center"/>
          </w:tcPr>
          <w:p w:rsidR="003E3225" w:rsidRDefault="003E3225" w:rsidP="005A0854">
            <w:pPr>
              <w:jc w:val="center"/>
              <w:rPr>
                <w:rFonts w:ascii="Arial Narrow" w:hAnsi="Arial Narrow"/>
                <w:iCs/>
                <w:sz w:val="18"/>
                <w:szCs w:val="18"/>
              </w:rPr>
            </w:pPr>
            <w:r>
              <w:rPr>
                <w:rFonts w:ascii="Arial Narrow" w:hAnsi="Arial Narrow"/>
                <w:iCs/>
                <w:sz w:val="18"/>
                <w:szCs w:val="18"/>
              </w:rPr>
              <w:t>397/556 (71.4)</w:t>
            </w:r>
          </w:p>
        </w:tc>
        <w:tc>
          <w:tcPr>
            <w:tcW w:w="1276" w:type="dxa"/>
            <w:tcBorders>
              <w:right w:val="single" w:sz="4" w:space="0" w:color="auto"/>
            </w:tcBorders>
            <w:shd w:val="clear" w:color="auto" w:fill="D9D9D9" w:themeFill="background1" w:themeFillShade="D9"/>
            <w:vAlign w:val="center"/>
          </w:tcPr>
          <w:p w:rsidR="003E3225" w:rsidRDefault="003E3225" w:rsidP="005A0854">
            <w:pPr>
              <w:jc w:val="center"/>
              <w:rPr>
                <w:rFonts w:ascii="Arial Narrow" w:hAnsi="Arial Narrow"/>
                <w:iCs/>
                <w:sz w:val="18"/>
                <w:szCs w:val="18"/>
              </w:rPr>
            </w:pPr>
            <w:r>
              <w:rPr>
                <w:rFonts w:ascii="Arial Narrow" w:hAnsi="Arial Narrow"/>
                <w:iCs/>
                <w:sz w:val="18"/>
                <w:szCs w:val="18"/>
              </w:rPr>
              <w:t>197/347 (56.8)</w:t>
            </w:r>
          </w:p>
        </w:tc>
        <w:tc>
          <w:tcPr>
            <w:tcW w:w="1276" w:type="dxa"/>
            <w:tcBorders>
              <w:top w:val="nil"/>
              <w:left w:val="nil"/>
              <w:bottom w:val="nil"/>
              <w:right w:val="single" w:sz="4" w:space="0" w:color="auto"/>
            </w:tcBorders>
            <w:shd w:val="clear" w:color="auto" w:fill="D9D9D9" w:themeFill="background1" w:themeFillShade="D9"/>
          </w:tcPr>
          <w:p w:rsidR="003E3225" w:rsidRPr="0034215F" w:rsidRDefault="003E3225" w:rsidP="005A0854">
            <w:pPr>
              <w:jc w:val="center"/>
              <w:rPr>
                <w:rFonts w:ascii="Arial Narrow" w:hAnsi="Arial Narrow"/>
                <w:b/>
                <w:i/>
                <w:sz w:val="16"/>
                <w:szCs w:val="18"/>
              </w:rPr>
            </w:pPr>
            <w:r w:rsidRPr="0034215F">
              <w:rPr>
                <w:rFonts w:ascii="Arial Narrow" w:hAnsi="Arial Narrow"/>
                <w:b/>
                <w:i/>
                <w:sz w:val="16"/>
                <w:szCs w:val="18"/>
              </w:rPr>
              <w:t>1.26 (1.13, 1.40)</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34215F" w:rsidRDefault="003E3225" w:rsidP="005A0854">
            <w:pPr>
              <w:jc w:val="center"/>
              <w:rPr>
                <w:rFonts w:ascii="Arial Narrow" w:hAnsi="Arial Narrow"/>
                <w:b/>
                <w:i/>
                <w:sz w:val="16"/>
                <w:szCs w:val="18"/>
              </w:rPr>
            </w:pPr>
            <w:r w:rsidRPr="0034215F">
              <w:rPr>
                <w:rFonts w:ascii="Arial Narrow" w:hAnsi="Arial Narrow"/>
                <w:b/>
                <w:i/>
                <w:sz w:val="16"/>
                <w:szCs w:val="18"/>
              </w:rPr>
              <w:t>1.90 (1.44, 2.52)</w:t>
            </w:r>
          </w:p>
        </w:tc>
        <w:tc>
          <w:tcPr>
            <w:tcW w:w="1135" w:type="dxa"/>
            <w:vMerge/>
            <w:tcBorders>
              <w:left w:val="single" w:sz="4" w:space="0" w:color="auto"/>
              <w:right w:val="nil"/>
            </w:tcBorders>
            <w:shd w:val="clear" w:color="auto" w:fill="D9D9D9" w:themeFill="background1" w:themeFillShade="D9"/>
          </w:tcPr>
          <w:p w:rsidR="003E3225" w:rsidRPr="0034215F" w:rsidRDefault="003E3225" w:rsidP="005A0854">
            <w:pPr>
              <w:jc w:val="center"/>
              <w:rPr>
                <w:rFonts w:ascii="Arial Narrow" w:hAnsi="Arial Narrow"/>
                <w:i/>
                <w:sz w:val="18"/>
                <w:szCs w:val="18"/>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34215F" w:rsidRDefault="003E3225" w:rsidP="005A0854">
            <w:pPr>
              <w:jc w:val="center"/>
              <w:rPr>
                <w:rFonts w:ascii="Arial Narrow" w:hAnsi="Arial Narrow"/>
                <w:b/>
                <w:i/>
                <w:sz w:val="16"/>
                <w:szCs w:val="18"/>
              </w:rPr>
            </w:pPr>
            <w:r w:rsidRPr="0034215F">
              <w:rPr>
                <w:rFonts w:ascii="Arial Narrow" w:hAnsi="Arial Narrow"/>
                <w:b/>
                <w:i/>
                <w:sz w:val="16"/>
                <w:szCs w:val="18"/>
              </w:rPr>
              <w:t>0.15 (0.08, 0.21)</w:t>
            </w:r>
          </w:p>
        </w:tc>
        <w:tc>
          <w:tcPr>
            <w:tcW w:w="854" w:type="dxa"/>
            <w:tcBorders>
              <w:top w:val="nil"/>
              <w:left w:val="single" w:sz="4" w:space="0" w:color="auto"/>
              <w:bottom w:val="nil"/>
            </w:tcBorders>
            <w:shd w:val="clear" w:color="auto" w:fill="D9D9D9" w:themeFill="background1" w:themeFillShade="D9"/>
            <w:vAlign w:val="center"/>
          </w:tcPr>
          <w:p w:rsidR="003E3225" w:rsidRPr="0034215F" w:rsidRDefault="003E3225" w:rsidP="005A0854">
            <w:pPr>
              <w:jc w:val="center"/>
              <w:rPr>
                <w:rFonts w:ascii="Arial Narrow" w:hAnsi="Arial Narrow"/>
                <w:i/>
                <w:sz w:val="16"/>
                <w:szCs w:val="16"/>
              </w:rPr>
            </w:pPr>
            <w:r>
              <w:rPr>
                <w:rFonts w:ascii="Arial Narrow" w:hAnsi="Arial Narrow"/>
                <w:i/>
                <w:sz w:val="16"/>
                <w:szCs w:val="16"/>
              </w:rPr>
              <w:t>7 (5, 13)</w:t>
            </w:r>
          </w:p>
        </w:tc>
      </w:tr>
      <w:tr w:rsidR="003E3225" w:rsidRPr="00067537" w:rsidTr="005A0854">
        <w:trPr>
          <w:trHeight w:val="170"/>
        </w:trPr>
        <w:tc>
          <w:tcPr>
            <w:tcW w:w="3544" w:type="dxa"/>
            <w:gridSpan w:val="3"/>
            <w:tcBorders>
              <w:right w:val="single" w:sz="4" w:space="0" w:color="auto"/>
            </w:tcBorders>
            <w:vAlign w:val="center"/>
          </w:tcPr>
          <w:p w:rsidR="003E3225" w:rsidRPr="00E84CA2" w:rsidRDefault="003E3225" w:rsidP="005A0854">
            <w:pPr>
              <w:jc w:val="left"/>
              <w:rPr>
                <w:rFonts w:ascii="Arial Narrow" w:hAnsi="Arial Narrow"/>
                <w:iCs/>
                <w:sz w:val="18"/>
                <w:szCs w:val="18"/>
              </w:rPr>
            </w:pPr>
            <w:r>
              <w:rPr>
                <w:rFonts w:ascii="Arial Narrow" w:hAnsi="Arial Narrow"/>
                <w:b/>
                <w:bCs/>
                <w:iCs/>
                <w:sz w:val="18"/>
                <w:szCs w:val="18"/>
              </w:rPr>
              <w:t>TIL</w:t>
            </w:r>
            <w:r w:rsidRPr="00067537">
              <w:rPr>
                <w:rFonts w:ascii="Arial Narrow" w:hAnsi="Arial Narrow"/>
                <w:b/>
                <w:bCs/>
                <w:iCs/>
                <w:sz w:val="18"/>
                <w:szCs w:val="18"/>
              </w:rPr>
              <w:t xml:space="preserve"> vs PBO Wk</w:t>
            </w:r>
            <w:r>
              <w:rPr>
                <w:rFonts w:ascii="Arial Narrow" w:hAnsi="Arial Narrow"/>
                <w:b/>
                <w:bCs/>
                <w:iCs/>
                <w:sz w:val="18"/>
                <w:szCs w:val="18"/>
              </w:rPr>
              <w:t>12</w:t>
            </w:r>
          </w:p>
        </w:tc>
        <w:tc>
          <w:tcPr>
            <w:tcW w:w="1276" w:type="dxa"/>
            <w:tcBorders>
              <w:top w:val="nil"/>
              <w:left w:val="nil"/>
              <w:bottom w:val="nil"/>
              <w:right w:val="single" w:sz="4" w:space="0" w:color="auto"/>
            </w:tcBorders>
          </w:tcPr>
          <w:p w:rsidR="003E3225" w:rsidRPr="00067537" w:rsidRDefault="003E3225" w:rsidP="005A0854">
            <w:pPr>
              <w:jc w:val="center"/>
              <w:rPr>
                <w:rFonts w:ascii="Arial Narrow" w:hAnsi="Arial Narrow"/>
                <w:b/>
                <w:i/>
                <w:sz w:val="16"/>
                <w:szCs w:val="18"/>
              </w:rPr>
            </w:pPr>
          </w:p>
        </w:tc>
        <w:tc>
          <w:tcPr>
            <w:tcW w:w="1275" w:type="dxa"/>
            <w:tcBorders>
              <w:top w:val="nil"/>
              <w:left w:val="single" w:sz="4" w:space="0" w:color="auto"/>
              <w:bottom w:val="nil"/>
              <w:right w:val="single" w:sz="4" w:space="0" w:color="auto"/>
            </w:tcBorders>
            <w:vAlign w:val="center"/>
          </w:tcPr>
          <w:p w:rsidR="003E3225" w:rsidRPr="00067537" w:rsidRDefault="003E3225" w:rsidP="005A0854">
            <w:pPr>
              <w:jc w:val="center"/>
              <w:rPr>
                <w:rFonts w:ascii="Arial Narrow" w:hAnsi="Arial Narrow"/>
                <w:b/>
                <w:i/>
                <w:sz w:val="16"/>
                <w:szCs w:val="18"/>
              </w:rPr>
            </w:pPr>
          </w:p>
        </w:tc>
        <w:tc>
          <w:tcPr>
            <w:tcW w:w="1135" w:type="dxa"/>
            <w:vMerge/>
            <w:tcBorders>
              <w:left w:val="single" w:sz="4" w:space="0" w:color="auto"/>
              <w:right w:val="nil"/>
            </w:tcBorders>
          </w:tcPr>
          <w:p w:rsidR="003E3225" w:rsidRPr="0006753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Default="003E3225" w:rsidP="005A0854">
            <w:pPr>
              <w:jc w:val="center"/>
              <w:rPr>
                <w:rFonts w:ascii="Arial Narrow" w:hAnsi="Arial Narrow"/>
                <w:b/>
                <w:i/>
                <w:sz w:val="16"/>
                <w:szCs w:val="18"/>
              </w:rPr>
            </w:pP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p>
        </w:tc>
      </w:tr>
      <w:tr w:rsidR="003E3225" w:rsidRPr="00067537" w:rsidTr="005A0854">
        <w:trPr>
          <w:trHeight w:val="170"/>
        </w:trPr>
        <w:tc>
          <w:tcPr>
            <w:tcW w:w="1134" w:type="dxa"/>
            <w:vAlign w:val="center"/>
          </w:tcPr>
          <w:p w:rsidR="003E3225" w:rsidRPr="00067537" w:rsidRDefault="003E3225" w:rsidP="005A0854">
            <w:pPr>
              <w:ind w:left="110"/>
              <w:jc w:val="left"/>
              <w:rPr>
                <w:rFonts w:ascii="Arial Narrow" w:hAnsi="Arial Narrow"/>
                <w:iCs/>
                <w:sz w:val="18"/>
                <w:szCs w:val="18"/>
              </w:rPr>
            </w:pPr>
            <w:r w:rsidRPr="006864F9">
              <w:rPr>
                <w:rFonts w:ascii="Arial Narrow" w:hAnsi="Arial Narrow"/>
                <w:iCs/>
                <w:sz w:val="18"/>
                <w:szCs w:val="18"/>
                <w:lang w:val="fr-FR"/>
              </w:rPr>
              <w:t>TIL1</w:t>
            </w:r>
          </w:p>
        </w:tc>
        <w:tc>
          <w:tcPr>
            <w:tcW w:w="1134" w:type="dxa"/>
            <w:vAlign w:val="center"/>
          </w:tcPr>
          <w:p w:rsidR="003E3225" w:rsidRPr="00E84CA2" w:rsidRDefault="003E3225" w:rsidP="005A0854">
            <w:pPr>
              <w:jc w:val="center"/>
              <w:rPr>
                <w:rFonts w:ascii="Arial Narrow" w:hAnsi="Arial Narrow"/>
                <w:iCs/>
                <w:sz w:val="18"/>
                <w:szCs w:val="18"/>
              </w:rPr>
            </w:pPr>
            <w:r w:rsidRPr="00E84CA2">
              <w:rPr>
                <w:rFonts w:ascii="Arial Narrow" w:hAnsi="Arial Narrow"/>
                <w:iCs/>
                <w:sz w:val="18"/>
                <w:szCs w:val="18"/>
              </w:rPr>
              <w:t>192/308</w:t>
            </w:r>
            <w:r>
              <w:rPr>
                <w:rFonts w:ascii="Arial Narrow" w:hAnsi="Arial Narrow"/>
                <w:iCs/>
                <w:sz w:val="18"/>
                <w:szCs w:val="18"/>
              </w:rPr>
              <w:t xml:space="preserve"> (62.3</w:t>
            </w:r>
            <w:r w:rsidRPr="00E84CA2">
              <w:rPr>
                <w:rFonts w:ascii="Arial Narrow" w:hAnsi="Arial Narrow"/>
                <w:iCs/>
                <w:sz w:val="18"/>
                <w:szCs w:val="18"/>
              </w:rPr>
              <w:t>)</w:t>
            </w:r>
          </w:p>
        </w:tc>
        <w:tc>
          <w:tcPr>
            <w:tcW w:w="1276" w:type="dxa"/>
            <w:tcBorders>
              <w:right w:val="single" w:sz="4" w:space="0" w:color="auto"/>
            </w:tcBorders>
            <w:vAlign w:val="center"/>
          </w:tcPr>
          <w:p w:rsidR="003E3225" w:rsidRPr="00E84CA2" w:rsidRDefault="003E3225" w:rsidP="005A0854">
            <w:pPr>
              <w:jc w:val="center"/>
              <w:rPr>
                <w:rFonts w:ascii="Arial Narrow" w:hAnsi="Arial Narrow"/>
                <w:iCs/>
                <w:sz w:val="18"/>
                <w:szCs w:val="18"/>
              </w:rPr>
            </w:pPr>
            <w:r w:rsidRPr="00E84CA2">
              <w:rPr>
                <w:rFonts w:ascii="Arial Narrow" w:hAnsi="Arial Narrow"/>
                <w:iCs/>
                <w:sz w:val="18"/>
                <w:szCs w:val="18"/>
              </w:rPr>
              <w:t>9/155</w:t>
            </w:r>
            <w:r>
              <w:rPr>
                <w:rFonts w:ascii="Arial Narrow" w:hAnsi="Arial Narrow"/>
                <w:iCs/>
                <w:sz w:val="18"/>
                <w:szCs w:val="18"/>
              </w:rPr>
              <w:t>* (5.8</w:t>
            </w:r>
            <w:r w:rsidRPr="00E84CA2">
              <w:rPr>
                <w:rFonts w:ascii="Arial Narrow" w:hAnsi="Arial Narrow"/>
                <w:iCs/>
                <w:sz w:val="18"/>
                <w:szCs w:val="18"/>
              </w:rPr>
              <w:t>)</w:t>
            </w:r>
          </w:p>
        </w:tc>
        <w:tc>
          <w:tcPr>
            <w:tcW w:w="1276" w:type="dxa"/>
            <w:tcBorders>
              <w:top w:val="nil"/>
              <w:left w:val="nil"/>
              <w:bottom w:val="nil"/>
              <w:right w:val="single" w:sz="4" w:space="0" w:color="auto"/>
            </w:tcBorders>
          </w:tcPr>
          <w:p w:rsidR="003E3225" w:rsidRPr="001203A4" w:rsidRDefault="003E3225" w:rsidP="005A0854">
            <w:pPr>
              <w:jc w:val="center"/>
              <w:rPr>
                <w:rFonts w:ascii="Arial Narrow" w:hAnsi="Arial Narrow"/>
                <w:b/>
                <w:i/>
                <w:sz w:val="16"/>
                <w:szCs w:val="18"/>
              </w:rPr>
            </w:pPr>
            <w:r w:rsidRPr="001203A4">
              <w:rPr>
                <w:rFonts w:ascii="Arial Narrow" w:hAnsi="Arial Narrow"/>
                <w:b/>
                <w:i/>
                <w:sz w:val="16"/>
                <w:szCs w:val="18"/>
              </w:rPr>
              <w:t>10.7</w:t>
            </w:r>
            <w:r>
              <w:rPr>
                <w:rFonts w:ascii="Arial Narrow" w:hAnsi="Arial Narrow"/>
                <w:b/>
                <w:i/>
                <w:sz w:val="16"/>
                <w:szCs w:val="18"/>
              </w:rPr>
              <w:t>4 (5.66, 20.36</w:t>
            </w:r>
            <w:r w:rsidRPr="001203A4">
              <w:rPr>
                <w:rFonts w:ascii="Arial Narrow" w:hAnsi="Arial Narrow"/>
                <w:b/>
                <w:i/>
                <w:sz w:val="16"/>
                <w:szCs w:val="18"/>
              </w:rPr>
              <w:t>)</w:t>
            </w:r>
          </w:p>
        </w:tc>
        <w:tc>
          <w:tcPr>
            <w:tcW w:w="1275" w:type="dxa"/>
            <w:tcBorders>
              <w:top w:val="nil"/>
              <w:left w:val="single" w:sz="4" w:space="0" w:color="auto"/>
              <w:bottom w:val="nil"/>
              <w:right w:val="single" w:sz="4" w:space="0" w:color="auto"/>
            </w:tcBorders>
            <w:vAlign w:val="center"/>
          </w:tcPr>
          <w:p w:rsidR="003E3225" w:rsidRPr="00307F00" w:rsidRDefault="003E3225" w:rsidP="005A0854">
            <w:pPr>
              <w:jc w:val="center"/>
              <w:rPr>
                <w:rFonts w:ascii="Arial Narrow" w:hAnsi="Arial Narrow"/>
                <w:b/>
                <w:i/>
                <w:sz w:val="16"/>
                <w:szCs w:val="18"/>
              </w:rPr>
            </w:pPr>
            <w:r w:rsidRPr="00307F00">
              <w:rPr>
                <w:rFonts w:ascii="Arial Narrow" w:hAnsi="Arial Narrow"/>
                <w:b/>
                <w:i/>
                <w:sz w:val="16"/>
                <w:szCs w:val="18"/>
              </w:rPr>
              <w:t>26.85 (13.18, 54.70)</w:t>
            </w:r>
          </w:p>
        </w:tc>
        <w:tc>
          <w:tcPr>
            <w:tcW w:w="1135" w:type="dxa"/>
            <w:vMerge/>
            <w:tcBorders>
              <w:left w:val="single" w:sz="4" w:space="0" w:color="auto"/>
              <w:right w:val="nil"/>
            </w:tcBorders>
          </w:tcPr>
          <w:p w:rsidR="003E3225" w:rsidRPr="0006753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Pr="005949A8" w:rsidRDefault="003E3225" w:rsidP="005A0854">
            <w:pPr>
              <w:jc w:val="center"/>
              <w:rPr>
                <w:rFonts w:ascii="Arial Narrow" w:hAnsi="Arial Narrow"/>
                <w:b/>
                <w:iCs/>
                <w:sz w:val="16"/>
                <w:szCs w:val="18"/>
              </w:rPr>
            </w:pPr>
            <w:r w:rsidRPr="005949A8">
              <w:rPr>
                <w:rFonts w:ascii="Arial Narrow" w:hAnsi="Arial Narrow"/>
                <w:b/>
                <w:iCs/>
                <w:sz w:val="16"/>
                <w:szCs w:val="18"/>
              </w:rPr>
              <w:t>0.57 (0.50, 0.63)</w:t>
            </w: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r>
              <w:rPr>
                <w:rFonts w:ascii="Arial Narrow" w:hAnsi="Arial Narrow"/>
                <w:i/>
                <w:sz w:val="16"/>
                <w:szCs w:val="16"/>
              </w:rPr>
              <w:t>2 (2, 2</w:t>
            </w:r>
            <w:r w:rsidRPr="00067537">
              <w:rPr>
                <w:rFonts w:ascii="Arial Narrow" w:hAnsi="Arial Narrow"/>
                <w:i/>
                <w:sz w:val="16"/>
                <w:szCs w:val="16"/>
              </w:rPr>
              <w:t>)</w:t>
            </w:r>
          </w:p>
        </w:tc>
      </w:tr>
      <w:tr w:rsidR="003E3225" w:rsidRPr="00067537" w:rsidTr="005A0854">
        <w:trPr>
          <w:trHeight w:val="70"/>
        </w:trPr>
        <w:tc>
          <w:tcPr>
            <w:tcW w:w="1134" w:type="dxa"/>
            <w:vAlign w:val="center"/>
          </w:tcPr>
          <w:p w:rsidR="003E3225" w:rsidRPr="00067537" w:rsidRDefault="003E3225" w:rsidP="005A0854">
            <w:pPr>
              <w:ind w:left="110"/>
              <w:jc w:val="left"/>
              <w:rPr>
                <w:rFonts w:ascii="Arial Narrow" w:hAnsi="Arial Narrow"/>
                <w:iCs/>
                <w:sz w:val="18"/>
                <w:szCs w:val="18"/>
              </w:rPr>
            </w:pPr>
            <w:r w:rsidRPr="006864F9">
              <w:rPr>
                <w:rFonts w:ascii="Arial Narrow" w:hAnsi="Arial Narrow"/>
                <w:iCs/>
                <w:sz w:val="18"/>
                <w:szCs w:val="18"/>
                <w:lang w:val="fr-FR"/>
              </w:rPr>
              <w:t>TIL2</w:t>
            </w:r>
          </w:p>
        </w:tc>
        <w:tc>
          <w:tcPr>
            <w:tcW w:w="1134" w:type="dxa"/>
            <w:vAlign w:val="center"/>
          </w:tcPr>
          <w:p w:rsidR="003E3225" w:rsidRPr="00E84CA2" w:rsidRDefault="003E3225" w:rsidP="005A0854">
            <w:pPr>
              <w:jc w:val="center"/>
              <w:rPr>
                <w:rFonts w:ascii="Arial Narrow" w:hAnsi="Arial Narrow"/>
                <w:iCs/>
                <w:sz w:val="18"/>
                <w:szCs w:val="18"/>
              </w:rPr>
            </w:pPr>
            <w:r>
              <w:rPr>
                <w:rFonts w:ascii="Arial Narrow" w:hAnsi="Arial Narrow"/>
                <w:iCs/>
                <w:sz w:val="18"/>
                <w:szCs w:val="18"/>
              </w:rPr>
              <w:t>206/314 (65.6</w:t>
            </w:r>
            <w:r w:rsidRPr="00E84CA2">
              <w:rPr>
                <w:rFonts w:ascii="Arial Narrow" w:hAnsi="Arial Narrow"/>
                <w:iCs/>
                <w:sz w:val="18"/>
                <w:szCs w:val="18"/>
              </w:rPr>
              <w:t>)</w:t>
            </w:r>
          </w:p>
        </w:tc>
        <w:tc>
          <w:tcPr>
            <w:tcW w:w="1276" w:type="dxa"/>
            <w:tcBorders>
              <w:right w:val="single" w:sz="4" w:space="0" w:color="auto"/>
            </w:tcBorders>
            <w:vAlign w:val="center"/>
          </w:tcPr>
          <w:p w:rsidR="003E3225" w:rsidRPr="00E84CA2" w:rsidRDefault="003E3225" w:rsidP="005A0854">
            <w:pPr>
              <w:jc w:val="center"/>
              <w:rPr>
                <w:rFonts w:ascii="Arial Narrow" w:hAnsi="Arial Narrow"/>
                <w:iCs/>
                <w:sz w:val="18"/>
                <w:szCs w:val="18"/>
              </w:rPr>
            </w:pPr>
            <w:r>
              <w:rPr>
                <w:rFonts w:ascii="Arial Narrow" w:hAnsi="Arial Narrow"/>
                <w:iCs/>
                <w:sz w:val="18"/>
                <w:szCs w:val="18"/>
              </w:rPr>
              <w:t>9/156 (5.8</w:t>
            </w:r>
            <w:r w:rsidRPr="00E84CA2">
              <w:rPr>
                <w:rFonts w:ascii="Arial Narrow" w:hAnsi="Arial Narrow"/>
                <w:iCs/>
                <w:sz w:val="18"/>
                <w:szCs w:val="18"/>
              </w:rPr>
              <w:t>)</w:t>
            </w:r>
          </w:p>
        </w:tc>
        <w:tc>
          <w:tcPr>
            <w:tcW w:w="1276" w:type="dxa"/>
            <w:tcBorders>
              <w:top w:val="nil"/>
              <w:left w:val="nil"/>
              <w:bottom w:val="nil"/>
              <w:right w:val="single" w:sz="4" w:space="0" w:color="auto"/>
            </w:tcBorders>
          </w:tcPr>
          <w:p w:rsidR="003E3225" w:rsidRPr="001203A4" w:rsidRDefault="003E3225" w:rsidP="005A0854">
            <w:pPr>
              <w:jc w:val="center"/>
              <w:rPr>
                <w:rFonts w:ascii="Arial Narrow" w:hAnsi="Arial Narrow"/>
                <w:b/>
                <w:i/>
                <w:sz w:val="16"/>
                <w:szCs w:val="18"/>
              </w:rPr>
            </w:pPr>
            <w:r>
              <w:rPr>
                <w:rFonts w:ascii="Arial Narrow" w:hAnsi="Arial Narrow"/>
                <w:b/>
                <w:i/>
                <w:sz w:val="16"/>
                <w:szCs w:val="18"/>
              </w:rPr>
              <w:t>11.37</w:t>
            </w:r>
            <w:r w:rsidRPr="001203A4">
              <w:rPr>
                <w:rFonts w:ascii="Arial Narrow" w:hAnsi="Arial Narrow"/>
                <w:b/>
                <w:i/>
                <w:sz w:val="16"/>
                <w:szCs w:val="18"/>
              </w:rPr>
              <w:t xml:space="preserve"> (6.0</w:t>
            </w:r>
            <w:r>
              <w:rPr>
                <w:rFonts w:ascii="Arial Narrow" w:hAnsi="Arial Narrow"/>
                <w:b/>
                <w:i/>
                <w:sz w:val="16"/>
                <w:szCs w:val="18"/>
              </w:rPr>
              <w:t>0, 21.55</w:t>
            </w:r>
            <w:r w:rsidRPr="001203A4">
              <w:rPr>
                <w:rFonts w:ascii="Arial Narrow" w:hAnsi="Arial Narrow"/>
                <w:b/>
                <w:i/>
                <w:sz w:val="16"/>
                <w:szCs w:val="18"/>
              </w:rPr>
              <w:t>)</w:t>
            </w:r>
          </w:p>
        </w:tc>
        <w:tc>
          <w:tcPr>
            <w:tcW w:w="1275" w:type="dxa"/>
            <w:tcBorders>
              <w:top w:val="nil"/>
              <w:left w:val="single" w:sz="4" w:space="0" w:color="auto"/>
              <w:bottom w:val="nil"/>
              <w:right w:val="single" w:sz="4" w:space="0" w:color="auto"/>
            </w:tcBorders>
            <w:vAlign w:val="center"/>
          </w:tcPr>
          <w:p w:rsidR="003E3225" w:rsidRPr="00307F00" w:rsidRDefault="003E3225" w:rsidP="005A0854">
            <w:pPr>
              <w:jc w:val="center"/>
              <w:rPr>
                <w:rFonts w:ascii="Arial Narrow" w:hAnsi="Arial Narrow"/>
                <w:b/>
                <w:i/>
                <w:sz w:val="16"/>
                <w:szCs w:val="18"/>
              </w:rPr>
            </w:pPr>
            <w:r w:rsidRPr="00307F00">
              <w:rPr>
                <w:rFonts w:ascii="Arial Narrow" w:hAnsi="Arial Narrow"/>
                <w:b/>
                <w:i/>
                <w:sz w:val="16"/>
                <w:szCs w:val="18"/>
              </w:rPr>
              <w:t>31.15 (15.28, 63.50)</w:t>
            </w:r>
          </w:p>
        </w:tc>
        <w:tc>
          <w:tcPr>
            <w:tcW w:w="1135" w:type="dxa"/>
            <w:vMerge/>
            <w:tcBorders>
              <w:left w:val="single" w:sz="4" w:space="0" w:color="auto"/>
              <w:right w:val="nil"/>
            </w:tcBorders>
          </w:tcPr>
          <w:p w:rsidR="003E3225" w:rsidRPr="0006753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Pr="005949A8" w:rsidRDefault="003E3225" w:rsidP="005A0854">
            <w:pPr>
              <w:jc w:val="center"/>
              <w:rPr>
                <w:rFonts w:ascii="Arial Narrow" w:hAnsi="Arial Narrow"/>
                <w:b/>
                <w:iCs/>
                <w:sz w:val="16"/>
                <w:szCs w:val="18"/>
              </w:rPr>
            </w:pPr>
            <w:r w:rsidRPr="005949A8">
              <w:rPr>
                <w:rFonts w:ascii="Arial Narrow" w:hAnsi="Arial Narrow"/>
                <w:b/>
                <w:iCs/>
                <w:sz w:val="16"/>
                <w:szCs w:val="18"/>
              </w:rPr>
              <w:t>0.60 (0.53, 0.66)</w:t>
            </w: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r>
              <w:rPr>
                <w:rFonts w:ascii="Arial Narrow" w:hAnsi="Arial Narrow"/>
                <w:i/>
                <w:sz w:val="16"/>
                <w:szCs w:val="16"/>
              </w:rPr>
              <w:t>2 (2, 2</w:t>
            </w:r>
            <w:r w:rsidRPr="00067537">
              <w:rPr>
                <w:rFonts w:ascii="Arial Narrow" w:hAnsi="Arial Narrow"/>
                <w:i/>
                <w:sz w:val="16"/>
                <w:szCs w:val="16"/>
              </w:rPr>
              <w:t>)</w:t>
            </w:r>
          </w:p>
        </w:tc>
      </w:tr>
      <w:tr w:rsidR="003E3225" w:rsidRPr="00067537" w:rsidTr="005A0854">
        <w:trPr>
          <w:trHeight w:val="170"/>
        </w:trPr>
        <w:tc>
          <w:tcPr>
            <w:tcW w:w="1134" w:type="dxa"/>
            <w:vAlign w:val="center"/>
          </w:tcPr>
          <w:p w:rsidR="003E3225" w:rsidRDefault="003E3225" w:rsidP="005A0854">
            <w:pPr>
              <w:ind w:left="110"/>
              <w:jc w:val="left"/>
              <w:rPr>
                <w:rFonts w:ascii="Arial Narrow" w:hAnsi="Arial Narrow"/>
                <w:iCs/>
                <w:sz w:val="18"/>
                <w:szCs w:val="18"/>
              </w:rPr>
            </w:pPr>
            <w:r w:rsidRPr="006864F9">
              <w:rPr>
                <w:rFonts w:ascii="Arial Narrow" w:hAnsi="Arial Narrow"/>
                <w:iCs/>
                <w:sz w:val="18"/>
                <w:szCs w:val="18"/>
                <w:lang w:val="fr-FR"/>
              </w:rPr>
              <w:t>TIL3</w:t>
            </w:r>
            <w:r w:rsidRPr="006864F9">
              <w:rPr>
                <w:rFonts w:ascii="Arial Narrow" w:hAnsi="Arial Narrow"/>
                <w:iCs/>
                <w:sz w:val="18"/>
                <w:szCs w:val="18"/>
                <w:vertAlign w:val="superscript"/>
                <w:lang w:val="fr-FR"/>
              </w:rPr>
              <w:t>a</w:t>
            </w:r>
          </w:p>
        </w:tc>
        <w:tc>
          <w:tcPr>
            <w:tcW w:w="1134" w:type="dxa"/>
            <w:vAlign w:val="center"/>
          </w:tcPr>
          <w:p w:rsidR="003E3225" w:rsidRPr="003F4B6E" w:rsidRDefault="003E3225" w:rsidP="005A0854">
            <w:pPr>
              <w:jc w:val="center"/>
              <w:rPr>
                <w:rFonts w:ascii="Arial Narrow" w:hAnsi="Arial Narrow"/>
                <w:iCs/>
                <w:sz w:val="18"/>
                <w:szCs w:val="18"/>
              </w:rPr>
            </w:pPr>
            <w:r w:rsidRPr="003F4B6E">
              <w:rPr>
                <w:rFonts w:ascii="Arial Narrow" w:hAnsi="Arial Narrow"/>
                <w:iCs/>
                <w:sz w:val="18"/>
                <w:szCs w:val="18"/>
              </w:rPr>
              <w:t>62/86</w:t>
            </w:r>
            <w:r>
              <w:rPr>
                <w:rFonts w:ascii="Arial Narrow" w:hAnsi="Arial Narrow"/>
                <w:iCs/>
                <w:sz w:val="18"/>
                <w:szCs w:val="18"/>
              </w:rPr>
              <w:t xml:space="preserve"> (72.1)</w:t>
            </w:r>
          </w:p>
        </w:tc>
        <w:tc>
          <w:tcPr>
            <w:tcW w:w="1276" w:type="dxa"/>
            <w:tcBorders>
              <w:right w:val="single" w:sz="4" w:space="0" w:color="auto"/>
            </w:tcBorders>
            <w:vAlign w:val="center"/>
          </w:tcPr>
          <w:p w:rsidR="003E3225" w:rsidRPr="003F4B6E" w:rsidRDefault="003E3225" w:rsidP="005A0854">
            <w:pPr>
              <w:jc w:val="center"/>
              <w:rPr>
                <w:rFonts w:ascii="Arial Narrow" w:hAnsi="Arial Narrow"/>
                <w:iCs/>
                <w:sz w:val="18"/>
                <w:szCs w:val="18"/>
              </w:rPr>
            </w:pPr>
            <w:r>
              <w:rPr>
                <w:rFonts w:ascii="Arial Narrow" w:hAnsi="Arial Narrow"/>
                <w:iCs/>
                <w:sz w:val="18"/>
                <w:szCs w:val="18"/>
              </w:rPr>
              <w:t>2/46* (4.3)</w:t>
            </w:r>
          </w:p>
        </w:tc>
        <w:tc>
          <w:tcPr>
            <w:tcW w:w="1276" w:type="dxa"/>
            <w:tcBorders>
              <w:top w:val="nil"/>
              <w:left w:val="nil"/>
              <w:bottom w:val="nil"/>
              <w:right w:val="single" w:sz="4" w:space="0" w:color="auto"/>
            </w:tcBorders>
          </w:tcPr>
          <w:p w:rsidR="003E3225" w:rsidRPr="001203A4" w:rsidRDefault="003E3225" w:rsidP="005A0854">
            <w:pPr>
              <w:jc w:val="center"/>
              <w:rPr>
                <w:rFonts w:ascii="Arial Narrow" w:hAnsi="Arial Narrow"/>
                <w:b/>
                <w:i/>
                <w:sz w:val="16"/>
                <w:szCs w:val="18"/>
              </w:rPr>
            </w:pPr>
            <w:r>
              <w:rPr>
                <w:rFonts w:ascii="Arial Narrow" w:hAnsi="Arial Narrow"/>
                <w:b/>
                <w:i/>
                <w:sz w:val="16"/>
                <w:szCs w:val="18"/>
              </w:rPr>
              <w:t>16.58 (4.25</w:t>
            </w:r>
            <w:r w:rsidRPr="001203A4">
              <w:rPr>
                <w:rFonts w:ascii="Arial Narrow" w:hAnsi="Arial Narrow"/>
                <w:b/>
                <w:i/>
                <w:sz w:val="16"/>
                <w:szCs w:val="18"/>
              </w:rPr>
              <w:t>, 64.7</w:t>
            </w:r>
            <w:r>
              <w:rPr>
                <w:rFonts w:ascii="Arial Narrow" w:hAnsi="Arial Narrow"/>
                <w:b/>
                <w:i/>
                <w:sz w:val="16"/>
                <w:szCs w:val="18"/>
              </w:rPr>
              <w:t>2</w:t>
            </w:r>
            <w:r w:rsidRPr="001203A4">
              <w:rPr>
                <w:rFonts w:ascii="Arial Narrow" w:hAnsi="Arial Narrow"/>
                <w:b/>
                <w:i/>
                <w:sz w:val="16"/>
                <w:szCs w:val="18"/>
              </w:rPr>
              <w:t>)</w:t>
            </w:r>
          </w:p>
        </w:tc>
        <w:tc>
          <w:tcPr>
            <w:tcW w:w="1275" w:type="dxa"/>
            <w:tcBorders>
              <w:top w:val="nil"/>
              <w:left w:val="single" w:sz="4" w:space="0" w:color="auto"/>
              <w:bottom w:val="nil"/>
              <w:right w:val="single" w:sz="4" w:space="0" w:color="auto"/>
            </w:tcBorders>
            <w:vAlign w:val="center"/>
          </w:tcPr>
          <w:p w:rsidR="003E3225" w:rsidRPr="00307F00" w:rsidRDefault="003E3225" w:rsidP="005A0854">
            <w:pPr>
              <w:jc w:val="center"/>
              <w:rPr>
                <w:rFonts w:ascii="Arial Narrow" w:hAnsi="Arial Narrow"/>
                <w:b/>
                <w:i/>
                <w:sz w:val="16"/>
                <w:szCs w:val="18"/>
              </w:rPr>
            </w:pPr>
            <w:r w:rsidRPr="00307F00">
              <w:rPr>
                <w:rFonts w:ascii="Arial Narrow" w:hAnsi="Arial Narrow"/>
                <w:b/>
                <w:i/>
                <w:sz w:val="16"/>
                <w:szCs w:val="18"/>
              </w:rPr>
              <w:t>56.83 (12.77, 253.0)</w:t>
            </w:r>
          </w:p>
        </w:tc>
        <w:tc>
          <w:tcPr>
            <w:tcW w:w="1135" w:type="dxa"/>
            <w:vMerge/>
            <w:tcBorders>
              <w:left w:val="single" w:sz="4" w:space="0" w:color="auto"/>
              <w:right w:val="nil"/>
            </w:tcBorders>
          </w:tcPr>
          <w:p w:rsidR="003E3225" w:rsidRPr="00067537"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Pr="00067537" w:rsidRDefault="003E3225" w:rsidP="005A0854">
            <w:pPr>
              <w:jc w:val="center"/>
              <w:rPr>
                <w:rFonts w:ascii="Arial Narrow" w:hAnsi="Arial Narrow"/>
                <w:b/>
                <w:i/>
                <w:sz w:val="16"/>
                <w:szCs w:val="18"/>
              </w:rPr>
            </w:pPr>
            <w:r w:rsidRPr="008851FE">
              <w:rPr>
                <w:rFonts w:ascii="Arial Narrow" w:hAnsi="Arial Narrow"/>
                <w:b/>
                <w:iCs/>
                <w:sz w:val="16"/>
                <w:szCs w:val="18"/>
              </w:rPr>
              <w:t>0.68 (0.57, 0.79</w:t>
            </w:r>
            <w:r>
              <w:rPr>
                <w:rFonts w:ascii="Arial Narrow" w:hAnsi="Arial Narrow"/>
                <w:b/>
                <w:i/>
                <w:sz w:val="16"/>
                <w:szCs w:val="18"/>
              </w:rPr>
              <w:t>)</w:t>
            </w: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r>
              <w:rPr>
                <w:rFonts w:ascii="Arial Narrow" w:hAnsi="Arial Narrow"/>
                <w:i/>
                <w:sz w:val="16"/>
                <w:szCs w:val="16"/>
              </w:rPr>
              <w:t>1 (1, 2)</w:t>
            </w:r>
          </w:p>
        </w:tc>
      </w:tr>
      <w:tr w:rsidR="003E3225" w:rsidRPr="00067537" w:rsidTr="005A0854">
        <w:trPr>
          <w:trHeight w:val="170"/>
        </w:trPr>
        <w:tc>
          <w:tcPr>
            <w:tcW w:w="1134" w:type="dxa"/>
            <w:vAlign w:val="center"/>
          </w:tcPr>
          <w:p w:rsidR="003E3225" w:rsidRPr="00493D66" w:rsidRDefault="003E3225" w:rsidP="005A0854">
            <w:pPr>
              <w:jc w:val="right"/>
              <w:rPr>
                <w:rFonts w:ascii="Arial Narrow" w:hAnsi="Arial Narrow"/>
                <w:iCs/>
                <w:sz w:val="18"/>
                <w:szCs w:val="18"/>
              </w:rPr>
            </w:pPr>
            <w:r w:rsidRPr="00493D66">
              <w:rPr>
                <w:rFonts w:ascii="Arial Narrow" w:hAnsi="Arial Narrow"/>
                <w:bCs/>
                <w:iCs/>
                <w:sz w:val="18"/>
                <w:szCs w:val="18"/>
              </w:rPr>
              <w:t>Pooled</w:t>
            </w:r>
          </w:p>
        </w:tc>
        <w:tc>
          <w:tcPr>
            <w:tcW w:w="1134" w:type="dxa"/>
            <w:vAlign w:val="center"/>
          </w:tcPr>
          <w:p w:rsidR="003E3225" w:rsidRPr="00E84CA2" w:rsidRDefault="003E3225" w:rsidP="005A0854">
            <w:pPr>
              <w:jc w:val="center"/>
              <w:rPr>
                <w:rFonts w:ascii="Arial Narrow" w:hAnsi="Arial Narrow"/>
                <w:iCs/>
                <w:sz w:val="18"/>
                <w:szCs w:val="18"/>
              </w:rPr>
            </w:pPr>
            <w:r>
              <w:rPr>
                <w:rFonts w:ascii="Arial Narrow" w:hAnsi="Arial Narrow"/>
                <w:iCs/>
                <w:sz w:val="18"/>
                <w:szCs w:val="18"/>
              </w:rPr>
              <w:t>460/708 (65.0</w:t>
            </w:r>
            <w:r w:rsidRPr="00E84CA2">
              <w:rPr>
                <w:rFonts w:ascii="Arial Narrow" w:hAnsi="Arial Narrow"/>
                <w:iCs/>
                <w:sz w:val="18"/>
                <w:szCs w:val="18"/>
              </w:rPr>
              <w:t>)</w:t>
            </w:r>
          </w:p>
        </w:tc>
        <w:tc>
          <w:tcPr>
            <w:tcW w:w="1276" w:type="dxa"/>
            <w:tcBorders>
              <w:right w:val="single" w:sz="4" w:space="0" w:color="auto"/>
            </w:tcBorders>
            <w:vAlign w:val="center"/>
          </w:tcPr>
          <w:p w:rsidR="003E3225" w:rsidRPr="00067537" w:rsidRDefault="003E3225" w:rsidP="005A0854">
            <w:pPr>
              <w:jc w:val="center"/>
              <w:rPr>
                <w:rFonts w:ascii="Arial Narrow" w:hAnsi="Arial Narrow"/>
                <w:iCs/>
                <w:sz w:val="18"/>
                <w:szCs w:val="18"/>
              </w:rPr>
            </w:pPr>
            <w:r>
              <w:rPr>
                <w:rFonts w:ascii="Arial Narrow" w:hAnsi="Arial Narrow"/>
                <w:iCs/>
                <w:sz w:val="18"/>
                <w:szCs w:val="18"/>
              </w:rPr>
              <w:t>20/357 (5.6</w:t>
            </w:r>
            <w:r w:rsidRPr="00067537">
              <w:rPr>
                <w:rFonts w:ascii="Arial Narrow" w:hAnsi="Arial Narrow"/>
                <w:iCs/>
                <w:sz w:val="18"/>
                <w:szCs w:val="18"/>
              </w:rPr>
              <w:t>)</w:t>
            </w:r>
          </w:p>
        </w:tc>
        <w:tc>
          <w:tcPr>
            <w:tcW w:w="1276" w:type="dxa"/>
            <w:tcBorders>
              <w:top w:val="nil"/>
              <w:left w:val="nil"/>
              <w:bottom w:val="nil"/>
              <w:right w:val="single" w:sz="4" w:space="0" w:color="auto"/>
            </w:tcBorders>
          </w:tcPr>
          <w:p w:rsidR="003E3225" w:rsidRPr="001203A4" w:rsidRDefault="003E3225" w:rsidP="005A0854">
            <w:pPr>
              <w:jc w:val="center"/>
              <w:rPr>
                <w:rFonts w:ascii="Arial Narrow" w:hAnsi="Arial Narrow"/>
                <w:b/>
                <w:i/>
                <w:sz w:val="16"/>
                <w:szCs w:val="18"/>
              </w:rPr>
            </w:pPr>
            <w:r w:rsidRPr="001203A4">
              <w:rPr>
                <w:rFonts w:ascii="Arial Narrow" w:hAnsi="Arial Narrow"/>
                <w:b/>
                <w:i/>
                <w:sz w:val="16"/>
                <w:szCs w:val="18"/>
              </w:rPr>
              <w:t>11.5</w:t>
            </w:r>
            <w:r>
              <w:rPr>
                <w:rFonts w:ascii="Arial Narrow" w:hAnsi="Arial Narrow"/>
                <w:b/>
                <w:i/>
                <w:sz w:val="16"/>
                <w:szCs w:val="18"/>
              </w:rPr>
              <w:t>0 (7.49, 17.67</w:t>
            </w:r>
            <w:r w:rsidRPr="001203A4">
              <w:rPr>
                <w:rFonts w:ascii="Arial Narrow" w:hAnsi="Arial Narrow"/>
                <w:b/>
                <w:i/>
                <w:sz w:val="16"/>
                <w:szCs w:val="18"/>
              </w:rPr>
              <w:t>)</w:t>
            </w:r>
          </w:p>
        </w:tc>
        <w:tc>
          <w:tcPr>
            <w:tcW w:w="1275" w:type="dxa"/>
            <w:tcBorders>
              <w:top w:val="nil"/>
              <w:left w:val="single" w:sz="4" w:space="0" w:color="auto"/>
              <w:bottom w:val="nil"/>
              <w:right w:val="single" w:sz="4" w:space="0" w:color="auto"/>
            </w:tcBorders>
            <w:vAlign w:val="center"/>
          </w:tcPr>
          <w:p w:rsidR="003E3225" w:rsidRPr="00307F00" w:rsidRDefault="003E3225" w:rsidP="005A0854">
            <w:pPr>
              <w:jc w:val="center"/>
              <w:rPr>
                <w:rFonts w:ascii="Arial Narrow" w:hAnsi="Arial Narrow"/>
                <w:b/>
                <w:i/>
                <w:sz w:val="16"/>
                <w:szCs w:val="18"/>
              </w:rPr>
            </w:pPr>
            <w:r w:rsidRPr="00307F00">
              <w:rPr>
                <w:rFonts w:ascii="Arial Narrow" w:hAnsi="Arial Narrow"/>
                <w:b/>
                <w:i/>
                <w:sz w:val="16"/>
                <w:szCs w:val="18"/>
              </w:rPr>
              <w:t>30.98 (19.23, 49.92)</w:t>
            </w:r>
          </w:p>
        </w:tc>
        <w:tc>
          <w:tcPr>
            <w:tcW w:w="1135" w:type="dxa"/>
            <w:vMerge/>
            <w:tcBorders>
              <w:left w:val="single" w:sz="4" w:space="0" w:color="auto"/>
              <w:right w:val="nil"/>
            </w:tcBorders>
          </w:tcPr>
          <w:p w:rsidR="003E3225" w:rsidRPr="008851FE"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Pr="008851FE" w:rsidRDefault="003E3225" w:rsidP="005A0854">
            <w:pPr>
              <w:jc w:val="center"/>
              <w:rPr>
                <w:rFonts w:ascii="Arial Narrow" w:hAnsi="Arial Narrow"/>
                <w:b/>
                <w:iCs/>
                <w:sz w:val="16"/>
                <w:szCs w:val="18"/>
              </w:rPr>
            </w:pPr>
            <w:r w:rsidRPr="008851FE">
              <w:rPr>
                <w:rFonts w:ascii="Arial Narrow" w:hAnsi="Arial Narrow"/>
                <w:b/>
                <w:iCs/>
                <w:sz w:val="16"/>
                <w:szCs w:val="18"/>
              </w:rPr>
              <w:t>0.60 (0.55, 0.65)</w:t>
            </w: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r>
              <w:rPr>
                <w:rFonts w:ascii="Arial Narrow" w:hAnsi="Arial Narrow"/>
                <w:i/>
                <w:sz w:val="16"/>
                <w:szCs w:val="16"/>
              </w:rPr>
              <w:t>2 (2, 2</w:t>
            </w:r>
            <w:r w:rsidRPr="00067537">
              <w:rPr>
                <w:rFonts w:ascii="Arial Narrow" w:hAnsi="Arial Narrow"/>
                <w:i/>
                <w:sz w:val="16"/>
                <w:szCs w:val="16"/>
              </w:rPr>
              <w:t>)</w:t>
            </w:r>
          </w:p>
        </w:tc>
      </w:tr>
      <w:tr w:rsidR="003E3225" w:rsidRPr="00067537" w:rsidTr="005A0854">
        <w:trPr>
          <w:trHeight w:val="170"/>
        </w:trPr>
        <w:tc>
          <w:tcPr>
            <w:tcW w:w="3544" w:type="dxa"/>
            <w:gridSpan w:val="3"/>
            <w:tcBorders>
              <w:right w:val="single" w:sz="4" w:space="0" w:color="auto"/>
            </w:tcBorders>
            <w:vAlign w:val="center"/>
          </w:tcPr>
          <w:p w:rsidR="003E3225" w:rsidRPr="00067537" w:rsidRDefault="003E3225" w:rsidP="005A0854">
            <w:pPr>
              <w:jc w:val="left"/>
              <w:rPr>
                <w:rFonts w:ascii="Arial Narrow" w:hAnsi="Arial Narrow"/>
                <w:b/>
                <w:iCs/>
                <w:sz w:val="18"/>
                <w:szCs w:val="18"/>
              </w:rPr>
            </w:pPr>
            <w:r>
              <w:rPr>
                <w:rFonts w:ascii="Arial Narrow" w:hAnsi="Arial Narrow"/>
                <w:b/>
                <w:iCs/>
                <w:sz w:val="18"/>
                <w:szCs w:val="18"/>
              </w:rPr>
              <w:t xml:space="preserve">UST </w:t>
            </w:r>
            <w:r w:rsidRPr="006864F9">
              <w:rPr>
                <w:rFonts w:ascii="Arial Narrow" w:hAnsi="Arial Narrow"/>
                <w:b/>
                <w:bCs/>
                <w:iCs/>
                <w:sz w:val="18"/>
                <w:szCs w:val="18"/>
                <w:lang w:val="fr-FR"/>
              </w:rPr>
              <w:t>45</w:t>
            </w:r>
            <w:r w:rsidR="00821F1B">
              <w:rPr>
                <w:rFonts w:ascii="Arial Narrow" w:hAnsi="Arial Narrow"/>
                <w:b/>
                <w:bCs/>
                <w:iCs/>
                <w:sz w:val="18"/>
                <w:szCs w:val="18"/>
                <w:lang w:val="fr-FR"/>
              </w:rPr>
              <w:t xml:space="preserve"> </w:t>
            </w:r>
            <w:r w:rsidRPr="006864F9">
              <w:rPr>
                <w:rFonts w:ascii="Arial Narrow" w:hAnsi="Arial Narrow"/>
                <w:b/>
                <w:bCs/>
                <w:iCs/>
                <w:sz w:val="18"/>
                <w:szCs w:val="18"/>
                <w:lang w:val="fr-FR"/>
              </w:rPr>
              <w:t>mg</w:t>
            </w:r>
            <w:r w:rsidRPr="00067537">
              <w:rPr>
                <w:rFonts w:ascii="Arial Narrow" w:hAnsi="Arial Narrow"/>
                <w:b/>
                <w:iCs/>
                <w:sz w:val="18"/>
                <w:szCs w:val="18"/>
              </w:rPr>
              <w:t xml:space="preserve"> vs PBO </w:t>
            </w:r>
            <w:proofErr w:type="spellStart"/>
            <w:r w:rsidRPr="00067537">
              <w:rPr>
                <w:rFonts w:ascii="Arial Narrow" w:hAnsi="Arial Narrow"/>
                <w:b/>
                <w:iCs/>
                <w:sz w:val="18"/>
                <w:szCs w:val="18"/>
              </w:rPr>
              <w:t>Wk</w:t>
            </w:r>
            <w:proofErr w:type="spellEnd"/>
            <w:r w:rsidRPr="00067537">
              <w:rPr>
                <w:rFonts w:ascii="Arial Narrow" w:hAnsi="Arial Narrow"/>
                <w:b/>
                <w:iCs/>
                <w:sz w:val="18"/>
                <w:szCs w:val="18"/>
              </w:rPr>
              <w:t xml:space="preserve"> 12</w:t>
            </w:r>
          </w:p>
        </w:tc>
        <w:tc>
          <w:tcPr>
            <w:tcW w:w="1276" w:type="dxa"/>
            <w:tcBorders>
              <w:top w:val="nil"/>
              <w:left w:val="nil"/>
              <w:bottom w:val="nil"/>
              <w:right w:val="single" w:sz="4" w:space="0" w:color="auto"/>
            </w:tcBorders>
          </w:tcPr>
          <w:p w:rsidR="003E3225" w:rsidRPr="00067537" w:rsidRDefault="003E3225" w:rsidP="005A0854">
            <w:pPr>
              <w:jc w:val="center"/>
              <w:rPr>
                <w:rFonts w:ascii="Arial Narrow" w:hAnsi="Arial Narrow"/>
                <w:b/>
                <w:i/>
                <w:noProof/>
                <w:sz w:val="16"/>
                <w:szCs w:val="18"/>
              </w:rPr>
            </w:pPr>
          </w:p>
        </w:tc>
        <w:tc>
          <w:tcPr>
            <w:tcW w:w="1275" w:type="dxa"/>
            <w:tcBorders>
              <w:top w:val="nil"/>
              <w:left w:val="single" w:sz="4" w:space="0" w:color="auto"/>
              <w:bottom w:val="nil"/>
              <w:right w:val="single" w:sz="4" w:space="0" w:color="auto"/>
            </w:tcBorders>
            <w:vAlign w:val="center"/>
          </w:tcPr>
          <w:p w:rsidR="003E3225" w:rsidRPr="00067537" w:rsidRDefault="003E3225" w:rsidP="005A0854">
            <w:pPr>
              <w:jc w:val="center"/>
              <w:rPr>
                <w:rFonts w:ascii="Arial Narrow" w:hAnsi="Arial Narrow"/>
                <w:b/>
                <w:i/>
                <w:noProof/>
                <w:sz w:val="16"/>
                <w:szCs w:val="18"/>
              </w:rPr>
            </w:pPr>
          </w:p>
        </w:tc>
        <w:tc>
          <w:tcPr>
            <w:tcW w:w="1135" w:type="dxa"/>
            <w:vMerge/>
            <w:tcBorders>
              <w:left w:val="single" w:sz="4" w:space="0" w:color="auto"/>
              <w:right w:val="nil"/>
            </w:tcBorders>
          </w:tcPr>
          <w:p w:rsidR="003E3225" w:rsidRPr="00067537" w:rsidRDefault="003E3225" w:rsidP="005A0854">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3E3225" w:rsidRPr="00067537" w:rsidRDefault="003E3225" w:rsidP="005A0854">
            <w:pPr>
              <w:jc w:val="center"/>
              <w:rPr>
                <w:rFonts w:ascii="Arial Narrow" w:hAnsi="Arial Narrow"/>
                <w:b/>
                <w:i/>
                <w:noProof/>
                <w:sz w:val="16"/>
                <w:szCs w:val="18"/>
              </w:rPr>
            </w:pP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noProof/>
                <w:sz w:val="16"/>
                <w:szCs w:val="16"/>
              </w:rPr>
            </w:pPr>
          </w:p>
        </w:tc>
      </w:tr>
      <w:tr w:rsidR="003E3225" w:rsidRPr="00067537" w:rsidTr="005A0854">
        <w:trPr>
          <w:trHeight w:val="170"/>
        </w:trPr>
        <w:tc>
          <w:tcPr>
            <w:tcW w:w="1134" w:type="dxa"/>
            <w:shd w:val="clear" w:color="auto" w:fill="D9D9D9" w:themeFill="background1" w:themeFillShade="D9"/>
            <w:vAlign w:val="center"/>
          </w:tcPr>
          <w:p w:rsidR="003E3225" w:rsidRPr="00374C25" w:rsidRDefault="003E3225" w:rsidP="005A0854">
            <w:pPr>
              <w:ind w:left="110"/>
              <w:jc w:val="left"/>
              <w:rPr>
                <w:rFonts w:ascii="Arial Narrow" w:hAnsi="Arial Narrow"/>
                <w:iCs/>
                <w:sz w:val="18"/>
                <w:szCs w:val="18"/>
                <w:highlight w:val="lightGray"/>
              </w:rPr>
            </w:pPr>
            <w:r w:rsidRPr="006864F9">
              <w:rPr>
                <w:rFonts w:ascii="Arial Narrow" w:hAnsi="Arial Narrow"/>
                <w:iCs/>
                <w:sz w:val="18"/>
                <w:szCs w:val="18"/>
                <w:lang w:val="fr-FR"/>
              </w:rPr>
              <w:t>UST2</w:t>
            </w:r>
          </w:p>
        </w:tc>
        <w:tc>
          <w:tcPr>
            <w:tcW w:w="1134" w:type="dxa"/>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171/255 (67.1)</w:t>
            </w:r>
          </w:p>
        </w:tc>
        <w:tc>
          <w:tcPr>
            <w:tcW w:w="1276" w:type="dxa"/>
            <w:tcBorders>
              <w:right w:val="single" w:sz="4" w:space="0" w:color="auto"/>
            </w:tcBorders>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8/255 (3.1)*</w:t>
            </w:r>
          </w:p>
        </w:tc>
        <w:tc>
          <w:tcPr>
            <w:tcW w:w="1276" w:type="dxa"/>
            <w:tcBorders>
              <w:top w:val="nil"/>
              <w:left w:val="nil"/>
              <w:bottom w:val="nil"/>
              <w:right w:val="single" w:sz="4" w:space="0" w:color="auto"/>
            </w:tcBorders>
            <w:shd w:val="clear" w:color="auto" w:fill="D9D9D9" w:themeFill="background1" w:themeFillShade="D9"/>
          </w:tcPr>
          <w:p w:rsidR="003E3225" w:rsidRPr="00307F00" w:rsidRDefault="003E3225" w:rsidP="005A0854">
            <w:pPr>
              <w:jc w:val="center"/>
              <w:rPr>
                <w:rFonts w:ascii="Arial Narrow" w:hAnsi="Arial Narrow"/>
                <w:b/>
                <w:iCs/>
                <w:noProof/>
                <w:sz w:val="16"/>
                <w:szCs w:val="18"/>
                <w:highlight w:val="lightGray"/>
              </w:rPr>
            </w:pPr>
            <w:r w:rsidRPr="00307F00">
              <w:rPr>
                <w:rFonts w:ascii="Arial Narrow" w:hAnsi="Arial Narrow"/>
                <w:b/>
                <w:iCs/>
                <w:noProof/>
                <w:sz w:val="16"/>
                <w:szCs w:val="18"/>
              </w:rPr>
              <w:t>21.38 (10.75, 42.50)</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62.85 (29.66, 133.2)</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EE2038" w:rsidRDefault="003E3225" w:rsidP="005A0854">
            <w:pPr>
              <w:jc w:val="center"/>
              <w:rPr>
                <w:rFonts w:ascii="Arial Narrow" w:hAnsi="Arial Narrow"/>
                <w:b/>
                <w:iCs/>
                <w:noProof/>
                <w:sz w:val="16"/>
                <w:szCs w:val="18"/>
              </w:rPr>
            </w:pPr>
            <w:r w:rsidRPr="00EE2038">
              <w:rPr>
                <w:rFonts w:ascii="Arial Narrow" w:hAnsi="Arial Narrow"/>
                <w:b/>
                <w:iCs/>
                <w:noProof/>
                <w:sz w:val="16"/>
                <w:szCs w:val="18"/>
              </w:rPr>
              <w:t>0.64 (0.58, 0.70)</w:t>
            </w:r>
          </w:p>
        </w:tc>
        <w:tc>
          <w:tcPr>
            <w:tcW w:w="854" w:type="dxa"/>
            <w:tcBorders>
              <w:top w:val="nil"/>
              <w:left w:val="single" w:sz="4" w:space="0" w:color="auto"/>
              <w:bottom w:val="nil"/>
            </w:tcBorders>
            <w:shd w:val="clear" w:color="auto" w:fill="D9D9D9" w:themeFill="background1" w:themeFillShade="D9"/>
            <w:vAlign w:val="center"/>
          </w:tcPr>
          <w:p w:rsidR="003E3225" w:rsidRPr="00EE2038" w:rsidRDefault="003E3225" w:rsidP="005A0854">
            <w:pPr>
              <w:jc w:val="center"/>
              <w:rPr>
                <w:rFonts w:ascii="Arial Narrow" w:hAnsi="Arial Narrow"/>
                <w:i/>
                <w:noProof/>
                <w:sz w:val="16"/>
                <w:szCs w:val="16"/>
              </w:rPr>
            </w:pPr>
            <w:r w:rsidRPr="00EE2038">
              <w:rPr>
                <w:rFonts w:ascii="Arial Narrow" w:hAnsi="Arial Narrow"/>
                <w:i/>
                <w:noProof/>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UST3</w:t>
            </w:r>
          </w:p>
        </w:tc>
        <w:tc>
          <w:tcPr>
            <w:tcW w:w="1134" w:type="dxa"/>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273/409 (66.7)</w:t>
            </w:r>
          </w:p>
        </w:tc>
        <w:tc>
          <w:tcPr>
            <w:tcW w:w="1276" w:type="dxa"/>
            <w:tcBorders>
              <w:right w:val="single" w:sz="4" w:space="0" w:color="auto"/>
            </w:tcBorders>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15/410 (3.7)*</w:t>
            </w:r>
          </w:p>
        </w:tc>
        <w:tc>
          <w:tcPr>
            <w:tcW w:w="1276" w:type="dxa"/>
            <w:tcBorders>
              <w:top w:val="nil"/>
              <w:left w:val="nil"/>
              <w:bottom w:val="nil"/>
              <w:right w:val="single" w:sz="4" w:space="0" w:color="auto"/>
            </w:tcBorders>
            <w:shd w:val="clear" w:color="auto" w:fill="D9D9D9" w:themeFill="background1" w:themeFillShade="D9"/>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18.2 4</w:t>
            </w:r>
            <w:r>
              <w:rPr>
                <w:rFonts w:ascii="Arial Narrow" w:hAnsi="Arial Narrow"/>
                <w:b/>
                <w:iCs/>
                <w:noProof/>
                <w:sz w:val="16"/>
                <w:szCs w:val="18"/>
              </w:rPr>
              <w:t xml:space="preserve"> </w:t>
            </w:r>
            <w:r w:rsidRPr="00307F00">
              <w:rPr>
                <w:rFonts w:ascii="Arial Narrow" w:hAnsi="Arial Narrow"/>
                <w:b/>
                <w:iCs/>
                <w:noProof/>
                <w:sz w:val="16"/>
                <w:szCs w:val="18"/>
              </w:rPr>
              <w:t>(11.05, 30.12)</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52.86 (30.34, 92.09)</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EE2038" w:rsidRDefault="003E3225" w:rsidP="005A0854">
            <w:pPr>
              <w:jc w:val="center"/>
              <w:rPr>
                <w:rFonts w:ascii="Arial Narrow" w:hAnsi="Arial Narrow"/>
                <w:b/>
                <w:iCs/>
                <w:noProof/>
                <w:sz w:val="16"/>
                <w:szCs w:val="18"/>
              </w:rPr>
            </w:pPr>
            <w:r w:rsidRPr="00EE2038">
              <w:rPr>
                <w:rFonts w:ascii="Arial Narrow" w:hAnsi="Arial Narrow"/>
                <w:b/>
                <w:iCs/>
                <w:noProof/>
                <w:sz w:val="16"/>
                <w:szCs w:val="18"/>
              </w:rPr>
              <w:t>0.63 (0.58, 0.68)</w:t>
            </w:r>
          </w:p>
        </w:tc>
        <w:tc>
          <w:tcPr>
            <w:tcW w:w="854" w:type="dxa"/>
            <w:tcBorders>
              <w:top w:val="nil"/>
              <w:left w:val="single" w:sz="4" w:space="0" w:color="auto"/>
              <w:bottom w:val="nil"/>
            </w:tcBorders>
            <w:shd w:val="clear" w:color="auto" w:fill="D9D9D9" w:themeFill="background1" w:themeFillShade="D9"/>
            <w:vAlign w:val="center"/>
          </w:tcPr>
          <w:p w:rsidR="003E3225" w:rsidRPr="00EE2038" w:rsidRDefault="003E3225" w:rsidP="005A0854">
            <w:pPr>
              <w:jc w:val="center"/>
              <w:rPr>
                <w:rFonts w:ascii="Arial Narrow" w:hAnsi="Arial Narrow"/>
                <w:i/>
                <w:noProof/>
                <w:sz w:val="16"/>
                <w:szCs w:val="16"/>
              </w:rPr>
            </w:pPr>
            <w:r w:rsidRPr="00EE2038">
              <w:rPr>
                <w:rFonts w:ascii="Arial Narrow" w:hAnsi="Arial Narrow"/>
                <w:i/>
                <w:noProof/>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UST4</w:t>
            </w:r>
          </w:p>
        </w:tc>
        <w:tc>
          <w:tcPr>
            <w:tcW w:w="1134" w:type="dxa"/>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38/64 (59.4)</w:t>
            </w:r>
          </w:p>
        </w:tc>
        <w:tc>
          <w:tcPr>
            <w:tcW w:w="1276" w:type="dxa"/>
            <w:tcBorders>
              <w:right w:val="single" w:sz="4" w:space="0" w:color="auto"/>
            </w:tcBorders>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2/32</w:t>
            </w:r>
            <w:r w:rsidRPr="00EE2038">
              <w:rPr>
                <w:rFonts w:ascii="Arial Narrow" w:hAnsi="Arial Narrow"/>
                <w:iCs/>
                <w:sz w:val="18"/>
                <w:szCs w:val="18"/>
                <w:vertAlign w:val="superscript"/>
              </w:rPr>
              <w:t>#</w:t>
            </w:r>
            <w:r w:rsidRPr="00EE2038">
              <w:rPr>
                <w:rFonts w:ascii="Arial Narrow" w:hAnsi="Arial Narrow"/>
                <w:iCs/>
                <w:sz w:val="18"/>
                <w:szCs w:val="18"/>
              </w:rPr>
              <w:t xml:space="preserve"> (6.3)</w:t>
            </w:r>
          </w:p>
        </w:tc>
        <w:tc>
          <w:tcPr>
            <w:tcW w:w="1276" w:type="dxa"/>
            <w:tcBorders>
              <w:top w:val="nil"/>
              <w:left w:val="nil"/>
              <w:bottom w:val="nil"/>
              <w:right w:val="single" w:sz="4" w:space="0" w:color="auto"/>
            </w:tcBorders>
            <w:shd w:val="clear" w:color="auto" w:fill="D9D9D9" w:themeFill="background1" w:themeFillShade="D9"/>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9.50 (2.45, 36.91)</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21.92 (4.82, 99.82)</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EE2038" w:rsidRDefault="003E3225" w:rsidP="005A0854">
            <w:pPr>
              <w:jc w:val="center"/>
              <w:rPr>
                <w:rFonts w:ascii="Arial Narrow" w:hAnsi="Arial Narrow"/>
                <w:b/>
                <w:iCs/>
                <w:noProof/>
                <w:sz w:val="16"/>
                <w:szCs w:val="18"/>
              </w:rPr>
            </w:pPr>
            <w:r w:rsidRPr="00EE2038">
              <w:rPr>
                <w:rFonts w:ascii="Arial Narrow" w:hAnsi="Arial Narrow"/>
                <w:b/>
                <w:iCs/>
                <w:noProof/>
                <w:sz w:val="16"/>
                <w:szCs w:val="18"/>
              </w:rPr>
              <w:t>0.53 (0.38, 0.68)</w:t>
            </w:r>
          </w:p>
        </w:tc>
        <w:tc>
          <w:tcPr>
            <w:tcW w:w="854" w:type="dxa"/>
            <w:tcBorders>
              <w:top w:val="nil"/>
              <w:left w:val="single" w:sz="4" w:space="0" w:color="auto"/>
              <w:bottom w:val="nil"/>
            </w:tcBorders>
            <w:shd w:val="clear" w:color="auto" w:fill="D9D9D9" w:themeFill="background1" w:themeFillShade="D9"/>
            <w:vAlign w:val="center"/>
          </w:tcPr>
          <w:p w:rsidR="003E3225" w:rsidRPr="00EE2038" w:rsidRDefault="003E3225" w:rsidP="005A0854">
            <w:pPr>
              <w:jc w:val="center"/>
              <w:rPr>
                <w:rFonts w:ascii="Arial Narrow" w:hAnsi="Arial Narrow"/>
                <w:i/>
                <w:noProof/>
                <w:sz w:val="16"/>
                <w:szCs w:val="16"/>
              </w:rPr>
            </w:pPr>
            <w:r w:rsidRPr="00EE2038">
              <w:rPr>
                <w:rFonts w:ascii="Arial Narrow" w:hAnsi="Arial Narrow"/>
                <w:i/>
                <w:noProof/>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UST5</w:t>
            </w:r>
          </w:p>
        </w:tc>
        <w:tc>
          <w:tcPr>
            <w:tcW w:w="1134" w:type="dxa"/>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41/61 (67.2)</w:t>
            </w:r>
          </w:p>
        </w:tc>
        <w:tc>
          <w:tcPr>
            <w:tcW w:w="1276" w:type="dxa"/>
            <w:tcBorders>
              <w:right w:val="single" w:sz="4" w:space="0" w:color="auto"/>
            </w:tcBorders>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3/60 (5.0)</w:t>
            </w:r>
          </w:p>
        </w:tc>
        <w:tc>
          <w:tcPr>
            <w:tcW w:w="1276" w:type="dxa"/>
            <w:tcBorders>
              <w:top w:val="nil"/>
              <w:left w:val="nil"/>
              <w:bottom w:val="nil"/>
              <w:right w:val="single" w:sz="4" w:space="0" w:color="auto"/>
            </w:tcBorders>
            <w:shd w:val="clear" w:color="auto" w:fill="D9D9D9" w:themeFill="background1" w:themeFillShade="D9"/>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13.44 (4.40, 41.07)</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38.95 (10.85, 139.8)</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EE2038" w:rsidRDefault="003E3225" w:rsidP="005A0854">
            <w:pPr>
              <w:jc w:val="center"/>
              <w:rPr>
                <w:rFonts w:ascii="Arial Narrow" w:hAnsi="Arial Narrow"/>
                <w:b/>
                <w:iCs/>
                <w:noProof/>
                <w:sz w:val="16"/>
                <w:szCs w:val="18"/>
              </w:rPr>
            </w:pPr>
            <w:r w:rsidRPr="00EE2038">
              <w:rPr>
                <w:rFonts w:ascii="Arial Narrow" w:hAnsi="Arial Narrow"/>
                <w:b/>
                <w:iCs/>
                <w:noProof/>
                <w:sz w:val="16"/>
                <w:szCs w:val="18"/>
              </w:rPr>
              <w:t>0.62 (0.49, 0.75)</w:t>
            </w:r>
          </w:p>
        </w:tc>
        <w:tc>
          <w:tcPr>
            <w:tcW w:w="854" w:type="dxa"/>
            <w:tcBorders>
              <w:top w:val="nil"/>
              <w:left w:val="single" w:sz="4" w:space="0" w:color="auto"/>
              <w:bottom w:val="nil"/>
            </w:tcBorders>
            <w:shd w:val="clear" w:color="auto" w:fill="D9D9D9" w:themeFill="background1" w:themeFillShade="D9"/>
            <w:vAlign w:val="center"/>
          </w:tcPr>
          <w:p w:rsidR="003E3225" w:rsidRPr="00EE2038" w:rsidRDefault="003E3225" w:rsidP="005A0854">
            <w:pPr>
              <w:jc w:val="center"/>
              <w:rPr>
                <w:rFonts w:ascii="Arial Narrow" w:hAnsi="Arial Narrow"/>
                <w:i/>
                <w:noProof/>
                <w:sz w:val="16"/>
                <w:szCs w:val="16"/>
              </w:rPr>
            </w:pPr>
            <w:r w:rsidRPr="00EE2038">
              <w:rPr>
                <w:rFonts w:ascii="Arial Narrow" w:hAnsi="Arial Narrow"/>
                <w:i/>
                <w:noProof/>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UST6</w:t>
            </w:r>
          </w:p>
        </w:tc>
        <w:tc>
          <w:tcPr>
            <w:tcW w:w="1134" w:type="dxa"/>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132/160 (82.5)</w:t>
            </w:r>
          </w:p>
        </w:tc>
        <w:tc>
          <w:tcPr>
            <w:tcW w:w="1276" w:type="dxa"/>
            <w:tcBorders>
              <w:right w:val="single" w:sz="4" w:space="0" w:color="auto"/>
            </w:tcBorders>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18/162 (11.1)</w:t>
            </w:r>
          </w:p>
        </w:tc>
        <w:tc>
          <w:tcPr>
            <w:tcW w:w="1276" w:type="dxa"/>
            <w:tcBorders>
              <w:top w:val="nil"/>
              <w:left w:val="nil"/>
              <w:bottom w:val="nil"/>
              <w:right w:val="single" w:sz="4" w:space="0" w:color="auto"/>
            </w:tcBorders>
            <w:shd w:val="clear" w:color="auto" w:fill="D9D9D9" w:themeFill="background1" w:themeFillShade="D9"/>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7.42 (4.78, 11.54)</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37.71 (19.94, 71.34)</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EE2038" w:rsidRDefault="003E3225" w:rsidP="005A0854">
            <w:pPr>
              <w:jc w:val="center"/>
              <w:rPr>
                <w:rFonts w:ascii="Arial Narrow" w:hAnsi="Arial Narrow"/>
                <w:b/>
                <w:iCs/>
                <w:noProof/>
                <w:sz w:val="16"/>
                <w:szCs w:val="18"/>
              </w:rPr>
            </w:pPr>
            <w:r w:rsidRPr="00EE2038">
              <w:rPr>
                <w:rFonts w:ascii="Arial Narrow" w:hAnsi="Arial Narrow"/>
                <w:b/>
                <w:iCs/>
                <w:noProof/>
                <w:sz w:val="16"/>
                <w:szCs w:val="18"/>
              </w:rPr>
              <w:t>0.71 (0.64, 0.79)</w:t>
            </w:r>
          </w:p>
        </w:tc>
        <w:tc>
          <w:tcPr>
            <w:tcW w:w="854" w:type="dxa"/>
            <w:tcBorders>
              <w:top w:val="nil"/>
              <w:left w:val="single" w:sz="4" w:space="0" w:color="auto"/>
              <w:bottom w:val="nil"/>
            </w:tcBorders>
            <w:shd w:val="clear" w:color="auto" w:fill="D9D9D9" w:themeFill="background1" w:themeFillShade="D9"/>
            <w:vAlign w:val="center"/>
          </w:tcPr>
          <w:p w:rsidR="003E3225" w:rsidRPr="00EE2038" w:rsidRDefault="003E3225" w:rsidP="005A0854">
            <w:pPr>
              <w:jc w:val="center"/>
              <w:rPr>
                <w:rFonts w:ascii="Arial Narrow" w:hAnsi="Arial Narrow"/>
                <w:iCs/>
                <w:noProof/>
                <w:sz w:val="16"/>
                <w:szCs w:val="16"/>
              </w:rPr>
            </w:pPr>
            <w:r w:rsidRPr="00EE2038">
              <w:rPr>
                <w:rFonts w:ascii="Arial Narrow" w:hAnsi="Arial Narrow"/>
                <w:i/>
                <w:noProof/>
                <w:sz w:val="16"/>
                <w:szCs w:val="16"/>
              </w:rPr>
              <w:t>1 (1, 2</w:t>
            </w:r>
            <w:r w:rsidRPr="00EE2038">
              <w:rPr>
                <w:rFonts w:ascii="Arial Narrow" w:hAnsi="Arial Narrow"/>
                <w:iCs/>
                <w:noProof/>
                <w:sz w:val="16"/>
                <w:szCs w:val="16"/>
              </w:rPr>
              <w:t>)</w:t>
            </w:r>
          </w:p>
        </w:tc>
      </w:tr>
      <w:tr w:rsidR="003E3225" w:rsidRPr="00067537" w:rsidTr="005A0854">
        <w:trPr>
          <w:trHeight w:val="170"/>
        </w:trPr>
        <w:tc>
          <w:tcPr>
            <w:tcW w:w="1134" w:type="dxa"/>
            <w:shd w:val="clear" w:color="auto" w:fill="D9D9D9" w:themeFill="background1" w:themeFillShade="D9"/>
            <w:vAlign w:val="center"/>
          </w:tcPr>
          <w:p w:rsidR="003E3225" w:rsidRPr="00374C25" w:rsidRDefault="003E3225" w:rsidP="005A0854">
            <w:pPr>
              <w:jc w:val="right"/>
              <w:rPr>
                <w:rFonts w:ascii="Arial Narrow" w:hAnsi="Arial Narrow"/>
                <w:i/>
                <w:iCs/>
                <w:sz w:val="18"/>
                <w:szCs w:val="18"/>
                <w:highlight w:val="lightGray"/>
              </w:rPr>
            </w:pPr>
            <w:r w:rsidRPr="00EE2038">
              <w:rPr>
                <w:rFonts w:ascii="Arial Narrow" w:hAnsi="Arial Narrow"/>
                <w:bCs/>
                <w:sz w:val="18"/>
                <w:szCs w:val="18"/>
              </w:rPr>
              <w:t>Pooled</w:t>
            </w:r>
            <w:r w:rsidRPr="00374C25">
              <w:rPr>
                <w:rFonts w:ascii="Arial Narrow" w:hAnsi="Arial Narrow"/>
                <w:bCs/>
                <w:sz w:val="18"/>
                <w:szCs w:val="18"/>
                <w:highlight w:val="lightGray"/>
              </w:rPr>
              <w:t xml:space="preserve"> </w:t>
            </w:r>
          </w:p>
        </w:tc>
        <w:tc>
          <w:tcPr>
            <w:tcW w:w="1134" w:type="dxa"/>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655/949 (69.0)</w:t>
            </w:r>
          </w:p>
        </w:tc>
        <w:tc>
          <w:tcPr>
            <w:tcW w:w="1276" w:type="dxa"/>
            <w:tcBorders>
              <w:right w:val="single" w:sz="4" w:space="0" w:color="auto"/>
            </w:tcBorders>
            <w:shd w:val="clear" w:color="auto" w:fill="D9D9D9" w:themeFill="background1" w:themeFillShade="D9"/>
            <w:vAlign w:val="center"/>
          </w:tcPr>
          <w:p w:rsidR="003E3225" w:rsidRPr="00374C25" w:rsidRDefault="003E3225" w:rsidP="005A0854">
            <w:pPr>
              <w:jc w:val="center"/>
              <w:rPr>
                <w:rFonts w:ascii="Arial Narrow" w:hAnsi="Arial Narrow"/>
                <w:iCs/>
                <w:sz w:val="18"/>
                <w:szCs w:val="18"/>
                <w:highlight w:val="lightGray"/>
              </w:rPr>
            </w:pPr>
            <w:r w:rsidRPr="00EE2038">
              <w:rPr>
                <w:rFonts w:ascii="Arial Narrow" w:hAnsi="Arial Narrow"/>
                <w:iCs/>
                <w:sz w:val="18"/>
                <w:szCs w:val="18"/>
              </w:rPr>
              <w:t>46/918 (5.0)</w:t>
            </w:r>
          </w:p>
        </w:tc>
        <w:tc>
          <w:tcPr>
            <w:tcW w:w="1276" w:type="dxa"/>
            <w:tcBorders>
              <w:top w:val="nil"/>
              <w:left w:val="nil"/>
              <w:bottom w:val="nil"/>
              <w:right w:val="single" w:sz="4" w:space="0" w:color="auto"/>
            </w:tcBorders>
            <w:shd w:val="clear" w:color="auto" w:fill="D9D9D9" w:themeFill="background1" w:themeFillShade="D9"/>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13.17 (7.86, 22.07)</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307F00" w:rsidRDefault="003E3225" w:rsidP="005A0854">
            <w:pPr>
              <w:jc w:val="center"/>
              <w:rPr>
                <w:rFonts w:ascii="Arial Narrow" w:hAnsi="Arial Narrow"/>
                <w:b/>
                <w:iCs/>
                <w:noProof/>
                <w:sz w:val="16"/>
                <w:szCs w:val="18"/>
              </w:rPr>
            </w:pPr>
            <w:r w:rsidRPr="00307F00">
              <w:rPr>
                <w:rFonts w:ascii="Arial Narrow" w:hAnsi="Arial Narrow"/>
                <w:b/>
                <w:iCs/>
                <w:noProof/>
                <w:sz w:val="16"/>
                <w:szCs w:val="18"/>
              </w:rPr>
              <w:t>46.50 (33.01, 65.49)</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EE2038" w:rsidRDefault="003E3225" w:rsidP="005A0854">
            <w:pPr>
              <w:jc w:val="center"/>
              <w:rPr>
                <w:rFonts w:ascii="Arial Narrow" w:hAnsi="Arial Narrow"/>
                <w:b/>
                <w:i/>
                <w:noProof/>
                <w:sz w:val="16"/>
                <w:szCs w:val="18"/>
              </w:rPr>
            </w:pPr>
            <w:r w:rsidRPr="00EE2038">
              <w:rPr>
                <w:rFonts w:ascii="Arial Narrow" w:hAnsi="Arial Narrow"/>
                <w:b/>
                <w:iCs/>
                <w:noProof/>
                <w:sz w:val="16"/>
                <w:szCs w:val="18"/>
              </w:rPr>
              <w:t>0.64 (0.60, 0.69</w:t>
            </w:r>
            <w:r w:rsidRPr="00EE2038">
              <w:rPr>
                <w:rFonts w:ascii="Arial Narrow" w:hAnsi="Arial Narrow"/>
                <w:b/>
                <w:i/>
                <w:noProof/>
                <w:sz w:val="16"/>
                <w:szCs w:val="18"/>
              </w:rPr>
              <w:t>)</w:t>
            </w:r>
          </w:p>
        </w:tc>
        <w:tc>
          <w:tcPr>
            <w:tcW w:w="854" w:type="dxa"/>
            <w:tcBorders>
              <w:top w:val="nil"/>
              <w:left w:val="single" w:sz="4" w:space="0" w:color="auto"/>
              <w:bottom w:val="nil"/>
            </w:tcBorders>
            <w:shd w:val="clear" w:color="auto" w:fill="D9D9D9" w:themeFill="background1" w:themeFillShade="D9"/>
            <w:vAlign w:val="center"/>
          </w:tcPr>
          <w:p w:rsidR="003E3225" w:rsidRPr="00EE2038" w:rsidRDefault="003E3225" w:rsidP="005A0854">
            <w:pPr>
              <w:jc w:val="center"/>
              <w:rPr>
                <w:rFonts w:ascii="Arial Narrow" w:hAnsi="Arial Narrow"/>
                <w:i/>
                <w:noProof/>
                <w:sz w:val="16"/>
                <w:szCs w:val="16"/>
              </w:rPr>
            </w:pPr>
            <w:r w:rsidRPr="00EE2038">
              <w:rPr>
                <w:rFonts w:ascii="Arial Narrow" w:hAnsi="Arial Narrow"/>
                <w:i/>
                <w:noProof/>
                <w:sz w:val="16"/>
                <w:szCs w:val="16"/>
              </w:rPr>
              <w:t>2 (1, 2)</w:t>
            </w:r>
          </w:p>
        </w:tc>
      </w:tr>
      <w:tr w:rsidR="003E3225" w:rsidRPr="00067537" w:rsidTr="005A0854">
        <w:trPr>
          <w:trHeight w:val="170"/>
        </w:trPr>
        <w:tc>
          <w:tcPr>
            <w:tcW w:w="3544" w:type="dxa"/>
            <w:gridSpan w:val="3"/>
            <w:tcBorders>
              <w:right w:val="single" w:sz="4" w:space="0" w:color="auto"/>
            </w:tcBorders>
          </w:tcPr>
          <w:p w:rsidR="003E3225" w:rsidRPr="00ED50D6" w:rsidRDefault="003E3225" w:rsidP="005A0854">
            <w:pPr>
              <w:jc w:val="left"/>
              <w:rPr>
                <w:rFonts w:ascii="Arial Narrow" w:hAnsi="Arial Narrow"/>
                <w:b/>
                <w:iCs/>
                <w:sz w:val="18"/>
                <w:szCs w:val="18"/>
              </w:rPr>
            </w:pPr>
            <w:r w:rsidRPr="00ED50D6">
              <w:rPr>
                <w:rFonts w:ascii="Arial Narrow" w:hAnsi="Arial Narrow"/>
                <w:b/>
                <w:iCs/>
                <w:sz w:val="18"/>
                <w:szCs w:val="18"/>
              </w:rPr>
              <w:t>UST 90</w:t>
            </w:r>
            <w:r w:rsidR="00821F1B">
              <w:rPr>
                <w:rFonts w:ascii="Arial Narrow" w:hAnsi="Arial Narrow"/>
                <w:b/>
                <w:iCs/>
                <w:sz w:val="18"/>
                <w:szCs w:val="18"/>
              </w:rPr>
              <w:t xml:space="preserve"> </w:t>
            </w:r>
            <w:r w:rsidRPr="00ED50D6">
              <w:rPr>
                <w:rFonts w:ascii="Arial Narrow" w:hAnsi="Arial Narrow"/>
                <w:b/>
                <w:iCs/>
                <w:sz w:val="18"/>
                <w:szCs w:val="18"/>
              </w:rPr>
              <w:t xml:space="preserve">mg vs PBO </w:t>
            </w:r>
            <w:proofErr w:type="spellStart"/>
            <w:r w:rsidRPr="00ED50D6">
              <w:rPr>
                <w:rFonts w:ascii="Arial Narrow" w:hAnsi="Arial Narrow"/>
                <w:b/>
                <w:iCs/>
                <w:sz w:val="18"/>
                <w:szCs w:val="18"/>
              </w:rPr>
              <w:t>Wk</w:t>
            </w:r>
            <w:proofErr w:type="spellEnd"/>
            <w:r w:rsidRPr="00ED50D6">
              <w:rPr>
                <w:rFonts w:ascii="Arial Narrow" w:hAnsi="Arial Narrow"/>
                <w:b/>
                <w:iCs/>
                <w:sz w:val="18"/>
                <w:szCs w:val="18"/>
              </w:rPr>
              <w:t xml:space="preserve"> 12</w:t>
            </w:r>
          </w:p>
        </w:tc>
        <w:tc>
          <w:tcPr>
            <w:tcW w:w="1276" w:type="dxa"/>
            <w:tcBorders>
              <w:top w:val="nil"/>
              <w:left w:val="nil"/>
              <w:bottom w:val="nil"/>
              <w:right w:val="single" w:sz="4" w:space="0" w:color="auto"/>
            </w:tcBorders>
          </w:tcPr>
          <w:p w:rsidR="003E3225" w:rsidRPr="00374C25" w:rsidRDefault="003E3225" w:rsidP="005A0854">
            <w:pPr>
              <w:jc w:val="center"/>
              <w:rPr>
                <w:rFonts w:ascii="Arial Narrow" w:hAnsi="Arial Narrow"/>
                <w:b/>
                <w:i/>
                <w:noProof/>
                <w:sz w:val="16"/>
                <w:szCs w:val="18"/>
                <w:highlight w:val="lightGray"/>
              </w:rPr>
            </w:pPr>
          </w:p>
        </w:tc>
        <w:tc>
          <w:tcPr>
            <w:tcW w:w="1275" w:type="dxa"/>
            <w:tcBorders>
              <w:top w:val="nil"/>
              <w:left w:val="single" w:sz="4" w:space="0" w:color="auto"/>
              <w:bottom w:val="nil"/>
              <w:right w:val="single" w:sz="4" w:space="0" w:color="auto"/>
            </w:tcBorders>
            <w:vAlign w:val="center"/>
          </w:tcPr>
          <w:p w:rsidR="003E3225" w:rsidRPr="00374C25" w:rsidRDefault="003E3225" w:rsidP="005A0854">
            <w:pPr>
              <w:jc w:val="center"/>
              <w:rPr>
                <w:rFonts w:ascii="Arial Narrow" w:hAnsi="Arial Narrow"/>
                <w:b/>
                <w:i/>
                <w:noProof/>
                <w:sz w:val="16"/>
                <w:szCs w:val="18"/>
                <w:highlight w:val="lightGray"/>
              </w:rPr>
            </w:pPr>
          </w:p>
        </w:tc>
        <w:tc>
          <w:tcPr>
            <w:tcW w:w="1135" w:type="dxa"/>
            <w:vMerge/>
            <w:tcBorders>
              <w:left w:val="single" w:sz="4" w:space="0" w:color="auto"/>
              <w:right w:val="nil"/>
            </w:tcBorders>
          </w:tcPr>
          <w:p w:rsidR="003E3225" w:rsidRPr="00374C25" w:rsidRDefault="003E3225" w:rsidP="005A0854">
            <w:pPr>
              <w:rPr>
                <w:rFonts w:ascii="Arial Narrow" w:hAnsi="Arial Narrow"/>
                <w:iCs/>
                <w:noProof/>
                <w:sz w:val="18"/>
                <w:szCs w:val="18"/>
                <w:highlight w:val="lightGray"/>
              </w:rPr>
            </w:pPr>
          </w:p>
        </w:tc>
        <w:tc>
          <w:tcPr>
            <w:tcW w:w="1134" w:type="dxa"/>
            <w:tcBorders>
              <w:top w:val="nil"/>
              <w:left w:val="nil"/>
              <w:bottom w:val="nil"/>
              <w:right w:val="single" w:sz="4" w:space="0" w:color="auto"/>
            </w:tcBorders>
            <w:vAlign w:val="center"/>
          </w:tcPr>
          <w:p w:rsidR="003E3225" w:rsidRPr="00374C25" w:rsidRDefault="003E3225" w:rsidP="005A0854">
            <w:pPr>
              <w:jc w:val="center"/>
              <w:rPr>
                <w:rFonts w:ascii="Arial Narrow" w:hAnsi="Arial Narrow"/>
                <w:b/>
                <w:i/>
                <w:noProof/>
                <w:sz w:val="16"/>
                <w:szCs w:val="18"/>
                <w:highlight w:val="lightGray"/>
              </w:rPr>
            </w:pPr>
          </w:p>
        </w:tc>
        <w:tc>
          <w:tcPr>
            <w:tcW w:w="854" w:type="dxa"/>
            <w:tcBorders>
              <w:top w:val="nil"/>
              <w:left w:val="single" w:sz="4" w:space="0" w:color="auto"/>
              <w:bottom w:val="nil"/>
            </w:tcBorders>
            <w:vAlign w:val="center"/>
          </w:tcPr>
          <w:p w:rsidR="003E3225" w:rsidRPr="00374C25" w:rsidRDefault="003E3225" w:rsidP="005A0854">
            <w:pPr>
              <w:jc w:val="center"/>
              <w:rPr>
                <w:rFonts w:ascii="Arial Narrow" w:hAnsi="Arial Narrow"/>
                <w:i/>
                <w:noProof/>
                <w:sz w:val="16"/>
                <w:szCs w:val="16"/>
                <w:highlight w:val="lightGray"/>
              </w:rPr>
            </w:pP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UST2</w:t>
            </w:r>
          </w:p>
        </w:tc>
        <w:tc>
          <w:tcPr>
            <w:tcW w:w="1134" w:type="dxa"/>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sz w:val="18"/>
                <w:szCs w:val="18"/>
              </w:rPr>
              <w:t>170/256 (66.4)</w:t>
            </w:r>
          </w:p>
        </w:tc>
        <w:tc>
          <w:tcPr>
            <w:tcW w:w="1276" w:type="dxa"/>
            <w:tcBorders>
              <w:right w:val="single" w:sz="4" w:space="0" w:color="auto"/>
            </w:tcBorders>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sz w:val="18"/>
                <w:szCs w:val="18"/>
              </w:rPr>
              <w:t>8/255 (3.1)</w:t>
            </w:r>
          </w:p>
        </w:tc>
        <w:tc>
          <w:tcPr>
            <w:tcW w:w="1276" w:type="dxa"/>
            <w:tcBorders>
              <w:top w:val="nil"/>
              <w:left w:val="nil"/>
              <w:bottom w:val="nil"/>
              <w:right w:val="single" w:sz="4" w:space="0" w:color="auto"/>
            </w:tcBorders>
            <w:shd w:val="clear" w:color="auto" w:fill="D9D9D9" w:themeFill="background1" w:themeFillShade="D9"/>
          </w:tcPr>
          <w:p w:rsidR="003E3225" w:rsidRPr="00942307" w:rsidRDefault="003E3225" w:rsidP="005A0854">
            <w:pPr>
              <w:jc w:val="center"/>
              <w:rPr>
                <w:rFonts w:ascii="Arial Narrow" w:hAnsi="Arial Narrow"/>
                <w:b/>
                <w:iCs/>
                <w:noProof/>
                <w:sz w:val="16"/>
                <w:szCs w:val="18"/>
              </w:rPr>
            </w:pPr>
            <w:r w:rsidRPr="00942307">
              <w:rPr>
                <w:rFonts w:ascii="Arial Narrow" w:hAnsi="Arial Narrow"/>
                <w:b/>
                <w:iCs/>
                <w:noProof/>
                <w:sz w:val="16"/>
                <w:szCs w:val="18"/>
              </w:rPr>
              <w:t>21.17 (10.64, 42.10)</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rPr>
            </w:pPr>
            <w:r w:rsidRPr="00713631">
              <w:rPr>
                <w:rFonts w:ascii="Arial Narrow" w:hAnsi="Arial Narrow"/>
                <w:b/>
                <w:iCs/>
                <w:noProof/>
                <w:sz w:val="16"/>
                <w:szCs w:val="18"/>
              </w:rPr>
              <w:t>61.0</w:t>
            </w:r>
            <w:r>
              <w:rPr>
                <w:rFonts w:ascii="Arial Narrow" w:hAnsi="Arial Narrow"/>
                <w:b/>
                <w:iCs/>
                <w:noProof/>
                <w:sz w:val="16"/>
                <w:szCs w:val="18"/>
              </w:rPr>
              <w:t>3</w:t>
            </w:r>
            <w:r w:rsidRPr="00713631">
              <w:rPr>
                <w:rFonts w:ascii="Arial Narrow" w:hAnsi="Arial Narrow"/>
                <w:b/>
                <w:iCs/>
                <w:noProof/>
                <w:sz w:val="16"/>
                <w:szCs w:val="18"/>
              </w:rPr>
              <w:t xml:space="preserve"> (28.8</w:t>
            </w:r>
            <w:r>
              <w:rPr>
                <w:rFonts w:ascii="Arial Narrow" w:hAnsi="Arial Narrow"/>
                <w:b/>
                <w:iCs/>
                <w:noProof/>
                <w:sz w:val="16"/>
                <w:szCs w:val="18"/>
              </w:rPr>
              <w:t>2</w:t>
            </w:r>
            <w:r w:rsidRPr="00713631">
              <w:rPr>
                <w:rFonts w:ascii="Arial Narrow" w:hAnsi="Arial Narrow"/>
                <w:b/>
                <w:iCs/>
                <w:noProof/>
                <w:sz w:val="16"/>
                <w:szCs w:val="18"/>
              </w:rPr>
              <w:t>, 129.3)</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rPr>
            </w:pPr>
            <w:r w:rsidRPr="00713631">
              <w:rPr>
                <w:rFonts w:ascii="Arial Narrow" w:hAnsi="Arial Narrow"/>
                <w:b/>
                <w:iCs/>
                <w:noProof/>
                <w:sz w:val="16"/>
                <w:szCs w:val="18"/>
              </w:rPr>
              <w:t>0.63 (0.57, 0.69)</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noProof/>
                <w:sz w:val="16"/>
                <w:szCs w:val="16"/>
              </w:rPr>
            </w:pPr>
            <w:r w:rsidRPr="00713631">
              <w:rPr>
                <w:rFonts w:ascii="Arial Narrow" w:hAnsi="Arial Narrow"/>
                <w:i/>
                <w:noProof/>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UST3</w:t>
            </w:r>
          </w:p>
        </w:tc>
        <w:tc>
          <w:tcPr>
            <w:tcW w:w="1134" w:type="dxa"/>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sz w:val="18"/>
                <w:szCs w:val="18"/>
              </w:rPr>
              <w:t>311/411 (75.7)</w:t>
            </w:r>
          </w:p>
        </w:tc>
        <w:tc>
          <w:tcPr>
            <w:tcW w:w="1276" w:type="dxa"/>
            <w:tcBorders>
              <w:right w:val="single" w:sz="4" w:space="0" w:color="auto"/>
            </w:tcBorders>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sz w:val="18"/>
                <w:szCs w:val="18"/>
              </w:rPr>
              <w:t>15/410 (3.7)*</w:t>
            </w:r>
          </w:p>
        </w:tc>
        <w:tc>
          <w:tcPr>
            <w:tcW w:w="1276" w:type="dxa"/>
            <w:tcBorders>
              <w:top w:val="nil"/>
              <w:left w:val="nil"/>
              <w:bottom w:val="nil"/>
              <w:right w:val="single" w:sz="4" w:space="0" w:color="auto"/>
            </w:tcBorders>
            <w:shd w:val="clear" w:color="auto" w:fill="D9D9D9" w:themeFill="background1" w:themeFillShade="D9"/>
          </w:tcPr>
          <w:p w:rsidR="003E3225" w:rsidRPr="00942307" w:rsidRDefault="003E3225" w:rsidP="005A0854">
            <w:pPr>
              <w:jc w:val="center"/>
              <w:rPr>
                <w:rFonts w:ascii="Arial Narrow" w:hAnsi="Arial Narrow"/>
                <w:b/>
                <w:iCs/>
                <w:noProof/>
                <w:sz w:val="16"/>
                <w:szCs w:val="18"/>
              </w:rPr>
            </w:pPr>
            <w:r w:rsidRPr="00942307">
              <w:rPr>
                <w:rFonts w:ascii="Arial Narrow" w:hAnsi="Arial Narrow"/>
                <w:b/>
                <w:iCs/>
                <w:noProof/>
                <w:sz w:val="16"/>
                <w:szCs w:val="18"/>
              </w:rPr>
              <w:t>20.68 (12.55, 34.09)</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rPr>
            </w:pPr>
            <w:r w:rsidRPr="00713631">
              <w:rPr>
                <w:rFonts w:ascii="Arial Narrow" w:hAnsi="Arial Narrow"/>
                <w:b/>
                <w:iCs/>
                <w:noProof/>
                <w:sz w:val="16"/>
                <w:szCs w:val="18"/>
              </w:rPr>
              <w:t>81.9</w:t>
            </w:r>
            <w:r>
              <w:rPr>
                <w:rFonts w:ascii="Arial Narrow" w:hAnsi="Arial Narrow"/>
                <w:b/>
                <w:iCs/>
                <w:noProof/>
                <w:sz w:val="16"/>
                <w:szCs w:val="18"/>
              </w:rPr>
              <w:t>0 (46.66</w:t>
            </w:r>
            <w:r w:rsidRPr="00713631">
              <w:rPr>
                <w:rFonts w:ascii="Arial Narrow" w:hAnsi="Arial Narrow"/>
                <w:b/>
                <w:iCs/>
                <w:noProof/>
                <w:sz w:val="16"/>
                <w:szCs w:val="18"/>
              </w:rPr>
              <w:t>, 143.8)</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rPr>
            </w:pPr>
            <w:r w:rsidRPr="00713631">
              <w:rPr>
                <w:rFonts w:ascii="Arial Narrow" w:hAnsi="Arial Narrow"/>
                <w:b/>
                <w:iCs/>
                <w:noProof/>
                <w:sz w:val="16"/>
                <w:szCs w:val="18"/>
              </w:rPr>
              <w:t>0.72 (0.67, 0.77)</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noProof/>
                <w:sz w:val="16"/>
                <w:szCs w:val="16"/>
              </w:rPr>
            </w:pPr>
            <w:r w:rsidRPr="00713631">
              <w:rPr>
                <w:rFonts w:ascii="Arial Narrow" w:hAnsi="Arial Narrow"/>
                <w:i/>
                <w:noProof/>
                <w:sz w:val="16"/>
                <w:szCs w:val="16"/>
              </w:rPr>
              <w:t>1 (1, 1)</w:t>
            </w: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UST4</w:t>
            </w:r>
          </w:p>
        </w:tc>
        <w:tc>
          <w:tcPr>
            <w:tcW w:w="1134" w:type="dxa"/>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sz w:val="18"/>
                <w:szCs w:val="18"/>
              </w:rPr>
              <w:t>42/62 (67.7)</w:t>
            </w:r>
          </w:p>
        </w:tc>
        <w:tc>
          <w:tcPr>
            <w:tcW w:w="1276" w:type="dxa"/>
            <w:tcBorders>
              <w:right w:val="single" w:sz="4" w:space="0" w:color="auto"/>
            </w:tcBorders>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iCs/>
                <w:sz w:val="18"/>
                <w:szCs w:val="18"/>
              </w:rPr>
              <w:t>2/32</w:t>
            </w:r>
            <w:r w:rsidRPr="00ED50D6">
              <w:rPr>
                <w:rFonts w:ascii="Arial Narrow" w:hAnsi="Arial Narrow"/>
                <w:iCs/>
                <w:sz w:val="18"/>
                <w:szCs w:val="18"/>
                <w:vertAlign w:val="superscript"/>
              </w:rPr>
              <w:t>#</w:t>
            </w:r>
            <w:r w:rsidRPr="00ED50D6">
              <w:rPr>
                <w:rFonts w:ascii="Arial Narrow" w:hAnsi="Arial Narrow"/>
                <w:iCs/>
                <w:sz w:val="18"/>
                <w:szCs w:val="18"/>
              </w:rPr>
              <w:t xml:space="preserve"> (6.3</w:t>
            </w:r>
            <w:r w:rsidRPr="00ED50D6">
              <w:rPr>
                <w:rFonts w:ascii="Arial Narrow" w:hAnsi="Arial Narrow"/>
                <w:sz w:val="18"/>
                <w:szCs w:val="18"/>
              </w:rPr>
              <w:t>)</w:t>
            </w:r>
          </w:p>
        </w:tc>
        <w:tc>
          <w:tcPr>
            <w:tcW w:w="1276" w:type="dxa"/>
            <w:tcBorders>
              <w:top w:val="nil"/>
              <w:left w:val="nil"/>
              <w:bottom w:val="nil"/>
              <w:right w:val="single" w:sz="4" w:space="0" w:color="auto"/>
            </w:tcBorders>
            <w:shd w:val="clear" w:color="auto" w:fill="D9D9D9" w:themeFill="background1" w:themeFillShade="D9"/>
          </w:tcPr>
          <w:p w:rsidR="003E3225" w:rsidRPr="00942307" w:rsidRDefault="003E3225" w:rsidP="005A0854">
            <w:pPr>
              <w:jc w:val="center"/>
              <w:rPr>
                <w:rFonts w:ascii="Arial Narrow" w:hAnsi="Arial Narrow"/>
                <w:b/>
                <w:iCs/>
                <w:noProof/>
                <w:sz w:val="16"/>
                <w:szCs w:val="18"/>
              </w:rPr>
            </w:pPr>
            <w:r w:rsidRPr="00942307">
              <w:rPr>
                <w:rFonts w:ascii="Arial Narrow" w:hAnsi="Arial Narrow"/>
                <w:b/>
                <w:iCs/>
                <w:noProof/>
                <w:sz w:val="16"/>
                <w:szCs w:val="18"/>
              </w:rPr>
              <w:t>10.84 (2.80, 41.93)</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rPr>
            </w:pPr>
            <w:r w:rsidRPr="00713631">
              <w:rPr>
                <w:rFonts w:ascii="Arial Narrow" w:hAnsi="Arial Narrow"/>
                <w:b/>
                <w:iCs/>
                <w:noProof/>
                <w:sz w:val="16"/>
                <w:szCs w:val="18"/>
              </w:rPr>
              <w:t>31.5</w:t>
            </w:r>
            <w:r>
              <w:rPr>
                <w:rFonts w:ascii="Arial Narrow" w:hAnsi="Arial Narrow"/>
                <w:b/>
                <w:iCs/>
                <w:noProof/>
                <w:sz w:val="16"/>
                <w:szCs w:val="18"/>
              </w:rPr>
              <w:t>0</w:t>
            </w:r>
            <w:r w:rsidRPr="00713631">
              <w:rPr>
                <w:rFonts w:ascii="Arial Narrow" w:hAnsi="Arial Narrow"/>
                <w:b/>
                <w:iCs/>
                <w:noProof/>
                <w:sz w:val="16"/>
                <w:szCs w:val="18"/>
              </w:rPr>
              <w:t xml:space="preserve"> (6.8</w:t>
            </w:r>
            <w:r>
              <w:rPr>
                <w:rFonts w:ascii="Arial Narrow" w:hAnsi="Arial Narrow"/>
                <w:b/>
                <w:iCs/>
                <w:noProof/>
                <w:sz w:val="16"/>
                <w:szCs w:val="18"/>
              </w:rPr>
              <w:t>4</w:t>
            </w:r>
            <w:r w:rsidRPr="00713631">
              <w:rPr>
                <w:rFonts w:ascii="Arial Narrow" w:hAnsi="Arial Narrow"/>
                <w:b/>
                <w:iCs/>
                <w:noProof/>
                <w:sz w:val="16"/>
                <w:szCs w:val="18"/>
              </w:rPr>
              <w:t>, 145.1)</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
                <w:iCs/>
                <w:noProof/>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rPr>
            </w:pPr>
            <w:r w:rsidRPr="00713631">
              <w:rPr>
                <w:rFonts w:ascii="Arial Narrow" w:hAnsi="Arial Narrow"/>
                <w:b/>
                <w:iCs/>
                <w:noProof/>
                <w:sz w:val="16"/>
                <w:szCs w:val="18"/>
              </w:rPr>
              <w:t>0.61 (0.47, 0.76)</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noProof/>
                <w:sz w:val="16"/>
                <w:szCs w:val="16"/>
              </w:rPr>
            </w:pPr>
            <w:r w:rsidRPr="00713631">
              <w:rPr>
                <w:rFonts w:ascii="Arial Narrow" w:hAnsi="Arial Narrow"/>
                <w:i/>
                <w:noProof/>
                <w:sz w:val="16"/>
                <w:szCs w:val="16"/>
              </w:rPr>
              <w:t>2 (1, 2)</w:t>
            </w:r>
          </w:p>
        </w:tc>
      </w:tr>
      <w:tr w:rsidR="003E3225" w:rsidRPr="00BE73F0" w:rsidTr="005A0854">
        <w:trPr>
          <w:trHeight w:val="170"/>
        </w:trPr>
        <w:tc>
          <w:tcPr>
            <w:tcW w:w="1134" w:type="dxa"/>
            <w:shd w:val="clear" w:color="auto" w:fill="D9D9D9" w:themeFill="background1" w:themeFillShade="D9"/>
            <w:vAlign w:val="center"/>
          </w:tcPr>
          <w:p w:rsidR="003E3225" w:rsidRPr="00374C25" w:rsidRDefault="003E3225" w:rsidP="005A0854">
            <w:pPr>
              <w:jc w:val="right"/>
              <w:rPr>
                <w:rFonts w:ascii="Arial Narrow" w:hAnsi="Arial Narrow"/>
                <w:sz w:val="18"/>
                <w:szCs w:val="18"/>
                <w:highlight w:val="lightGray"/>
              </w:rPr>
            </w:pPr>
            <w:r w:rsidRPr="00ED50D6">
              <w:rPr>
                <w:rFonts w:ascii="Arial Narrow" w:hAnsi="Arial Narrow"/>
                <w:bCs/>
                <w:sz w:val="18"/>
                <w:szCs w:val="18"/>
              </w:rPr>
              <w:t>Pooled</w:t>
            </w:r>
          </w:p>
        </w:tc>
        <w:tc>
          <w:tcPr>
            <w:tcW w:w="1134" w:type="dxa"/>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sz w:val="18"/>
                <w:szCs w:val="18"/>
              </w:rPr>
              <w:t>523/729 (71.7)</w:t>
            </w:r>
          </w:p>
        </w:tc>
        <w:tc>
          <w:tcPr>
            <w:tcW w:w="1276" w:type="dxa"/>
            <w:tcBorders>
              <w:right w:val="single" w:sz="4" w:space="0" w:color="auto"/>
            </w:tcBorders>
            <w:shd w:val="clear" w:color="auto" w:fill="D9D9D9" w:themeFill="background1" w:themeFillShade="D9"/>
            <w:vAlign w:val="center"/>
          </w:tcPr>
          <w:p w:rsidR="003E3225" w:rsidRPr="00ED50D6" w:rsidRDefault="003E3225" w:rsidP="005A0854">
            <w:pPr>
              <w:jc w:val="center"/>
              <w:rPr>
                <w:rFonts w:ascii="Arial Narrow" w:hAnsi="Arial Narrow"/>
                <w:sz w:val="18"/>
                <w:szCs w:val="18"/>
              </w:rPr>
            </w:pPr>
            <w:r w:rsidRPr="00ED50D6">
              <w:rPr>
                <w:rFonts w:ascii="Arial Narrow" w:hAnsi="Arial Narrow"/>
                <w:sz w:val="18"/>
                <w:szCs w:val="18"/>
              </w:rPr>
              <w:t>25/696 (3.6)</w:t>
            </w:r>
          </w:p>
        </w:tc>
        <w:tc>
          <w:tcPr>
            <w:tcW w:w="1276" w:type="dxa"/>
            <w:tcBorders>
              <w:top w:val="nil"/>
              <w:left w:val="nil"/>
              <w:bottom w:val="nil"/>
              <w:right w:val="single" w:sz="4" w:space="0" w:color="auto"/>
            </w:tcBorders>
            <w:shd w:val="clear" w:color="auto" w:fill="D9D9D9" w:themeFill="background1" w:themeFillShade="D9"/>
          </w:tcPr>
          <w:p w:rsidR="003E3225" w:rsidRPr="00942307" w:rsidRDefault="003E3225" w:rsidP="005A0854">
            <w:pPr>
              <w:jc w:val="center"/>
              <w:rPr>
                <w:rFonts w:ascii="Arial Narrow" w:hAnsi="Arial Narrow"/>
                <w:b/>
                <w:iCs/>
                <w:noProof/>
                <w:sz w:val="16"/>
                <w:szCs w:val="18"/>
                <w:lang w:val="de-DE"/>
              </w:rPr>
            </w:pPr>
            <w:r w:rsidRPr="00942307">
              <w:rPr>
                <w:rFonts w:ascii="Arial Narrow" w:hAnsi="Arial Narrow"/>
                <w:b/>
                <w:iCs/>
                <w:noProof/>
                <w:sz w:val="16"/>
                <w:szCs w:val="18"/>
                <w:lang w:val="de-DE"/>
              </w:rPr>
              <w:t>19.76 (13.41, 29.11)</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lang w:val="de-DE"/>
              </w:rPr>
            </w:pPr>
            <w:r w:rsidRPr="00713631">
              <w:rPr>
                <w:rFonts w:ascii="Arial Narrow" w:hAnsi="Arial Narrow"/>
                <w:b/>
                <w:iCs/>
                <w:noProof/>
                <w:sz w:val="16"/>
                <w:szCs w:val="18"/>
                <w:lang w:val="de-DE"/>
              </w:rPr>
              <w:t>68.8</w:t>
            </w:r>
            <w:r>
              <w:rPr>
                <w:rFonts w:ascii="Arial Narrow" w:hAnsi="Arial Narrow"/>
                <w:b/>
                <w:iCs/>
                <w:noProof/>
                <w:sz w:val="16"/>
                <w:szCs w:val="18"/>
                <w:lang w:val="de-DE"/>
              </w:rPr>
              <w:t>3</w:t>
            </w:r>
            <w:r w:rsidRPr="00713631">
              <w:rPr>
                <w:rFonts w:ascii="Arial Narrow" w:hAnsi="Arial Narrow"/>
                <w:b/>
                <w:iCs/>
                <w:noProof/>
                <w:sz w:val="16"/>
                <w:szCs w:val="18"/>
                <w:lang w:val="de-DE"/>
              </w:rPr>
              <w:t xml:space="preserve"> (44.7</w:t>
            </w:r>
            <w:r>
              <w:rPr>
                <w:rFonts w:ascii="Arial Narrow" w:hAnsi="Arial Narrow"/>
                <w:b/>
                <w:iCs/>
                <w:noProof/>
                <w:sz w:val="16"/>
                <w:szCs w:val="18"/>
                <w:lang w:val="de-DE"/>
              </w:rPr>
              <w:t>0</w:t>
            </w:r>
            <w:r w:rsidRPr="00713631">
              <w:rPr>
                <w:rFonts w:ascii="Arial Narrow" w:hAnsi="Arial Narrow"/>
                <w:b/>
                <w:iCs/>
                <w:noProof/>
                <w:sz w:val="16"/>
                <w:szCs w:val="18"/>
                <w:lang w:val="de-DE"/>
              </w:rPr>
              <w:t>, 106.0)</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
                <w:iCs/>
                <w:noProof/>
                <w:sz w:val="18"/>
                <w:szCs w:val="18"/>
                <w:highlight w:val="lightGray"/>
                <w:lang w:val="de-DE"/>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noProof/>
                <w:sz w:val="16"/>
                <w:szCs w:val="18"/>
                <w:lang w:val="de-DE"/>
              </w:rPr>
            </w:pPr>
            <w:r w:rsidRPr="00713631">
              <w:rPr>
                <w:rFonts w:ascii="Arial Narrow" w:hAnsi="Arial Narrow"/>
                <w:b/>
                <w:iCs/>
                <w:noProof/>
                <w:sz w:val="16"/>
                <w:szCs w:val="18"/>
                <w:lang w:val="de-DE"/>
              </w:rPr>
              <w:t>0.67 (0.60, 0.74)</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noProof/>
                <w:sz w:val="16"/>
                <w:szCs w:val="16"/>
                <w:lang w:val="de-DE"/>
              </w:rPr>
            </w:pPr>
            <w:r w:rsidRPr="00713631">
              <w:rPr>
                <w:rFonts w:ascii="Arial Narrow" w:hAnsi="Arial Narrow"/>
                <w:i/>
                <w:noProof/>
                <w:sz w:val="16"/>
                <w:szCs w:val="16"/>
                <w:lang w:val="de-DE"/>
              </w:rPr>
              <w:t>1 (1, 2)</w:t>
            </w:r>
          </w:p>
        </w:tc>
      </w:tr>
      <w:tr w:rsidR="003E3225" w:rsidRPr="002E4C7C" w:rsidTr="005A0854">
        <w:trPr>
          <w:trHeight w:val="170"/>
        </w:trPr>
        <w:tc>
          <w:tcPr>
            <w:tcW w:w="3544" w:type="dxa"/>
            <w:gridSpan w:val="3"/>
            <w:tcBorders>
              <w:right w:val="single" w:sz="4" w:space="0" w:color="auto"/>
            </w:tcBorders>
          </w:tcPr>
          <w:p w:rsidR="003E3225" w:rsidRPr="00374C25" w:rsidRDefault="003E3225" w:rsidP="005A0854">
            <w:pPr>
              <w:jc w:val="left"/>
              <w:rPr>
                <w:rFonts w:ascii="Arial Narrow" w:hAnsi="Arial Narrow"/>
                <w:b/>
                <w:iCs/>
                <w:sz w:val="18"/>
                <w:szCs w:val="18"/>
                <w:highlight w:val="lightGray"/>
                <w:lang w:val="de-DE"/>
              </w:rPr>
            </w:pPr>
            <w:r w:rsidRPr="00713631">
              <w:rPr>
                <w:rFonts w:ascii="Arial Narrow" w:hAnsi="Arial Narrow"/>
                <w:b/>
                <w:iCs/>
                <w:sz w:val="18"/>
                <w:szCs w:val="18"/>
                <w:lang w:val="de-DE"/>
              </w:rPr>
              <w:t xml:space="preserve">UST </w:t>
            </w:r>
            <w:r w:rsidRPr="006864F9">
              <w:rPr>
                <w:rFonts w:ascii="Arial Narrow" w:hAnsi="Arial Narrow"/>
                <w:b/>
                <w:bCs/>
                <w:iCs/>
                <w:sz w:val="18"/>
                <w:szCs w:val="18"/>
                <w:lang w:val="fr-FR"/>
              </w:rPr>
              <w:t>Label</w:t>
            </w:r>
            <w:r w:rsidRPr="00713631">
              <w:rPr>
                <w:rFonts w:ascii="Arial Narrow" w:hAnsi="Arial Narrow"/>
                <w:b/>
                <w:iCs/>
                <w:sz w:val="18"/>
                <w:szCs w:val="18"/>
                <w:lang w:val="de-DE"/>
              </w:rPr>
              <w:t xml:space="preserve"> vs PBO Wk 12</w:t>
            </w:r>
          </w:p>
        </w:tc>
        <w:tc>
          <w:tcPr>
            <w:tcW w:w="1276" w:type="dxa"/>
            <w:tcBorders>
              <w:top w:val="nil"/>
              <w:left w:val="nil"/>
              <w:bottom w:val="nil"/>
              <w:right w:val="single" w:sz="4" w:space="0" w:color="auto"/>
            </w:tcBorders>
          </w:tcPr>
          <w:p w:rsidR="003E3225" w:rsidRPr="00374C25" w:rsidRDefault="003E3225" w:rsidP="005A0854">
            <w:pPr>
              <w:jc w:val="center"/>
              <w:rPr>
                <w:rFonts w:ascii="Arial Narrow" w:hAnsi="Arial Narrow"/>
                <w:b/>
                <w:i/>
                <w:sz w:val="16"/>
                <w:szCs w:val="18"/>
                <w:highlight w:val="lightGray"/>
                <w:lang w:val="de-DE"/>
              </w:rPr>
            </w:pPr>
          </w:p>
        </w:tc>
        <w:tc>
          <w:tcPr>
            <w:tcW w:w="1275" w:type="dxa"/>
            <w:tcBorders>
              <w:top w:val="nil"/>
              <w:left w:val="single" w:sz="4" w:space="0" w:color="auto"/>
              <w:bottom w:val="nil"/>
              <w:right w:val="single" w:sz="4" w:space="0" w:color="auto"/>
            </w:tcBorders>
            <w:vAlign w:val="center"/>
          </w:tcPr>
          <w:p w:rsidR="003E3225" w:rsidRPr="00374C25" w:rsidRDefault="003E3225" w:rsidP="005A0854">
            <w:pPr>
              <w:jc w:val="center"/>
              <w:rPr>
                <w:rFonts w:ascii="Arial Narrow" w:hAnsi="Arial Narrow"/>
                <w:b/>
                <w:i/>
                <w:sz w:val="16"/>
                <w:szCs w:val="18"/>
                <w:highlight w:val="lightGray"/>
                <w:lang w:val="de-DE"/>
              </w:rPr>
            </w:pPr>
          </w:p>
        </w:tc>
        <w:tc>
          <w:tcPr>
            <w:tcW w:w="1135" w:type="dxa"/>
            <w:vMerge/>
            <w:tcBorders>
              <w:left w:val="single" w:sz="4" w:space="0" w:color="auto"/>
              <w:right w:val="nil"/>
            </w:tcBorders>
          </w:tcPr>
          <w:p w:rsidR="003E3225" w:rsidRPr="00374C25" w:rsidRDefault="003E3225" w:rsidP="005A0854">
            <w:pPr>
              <w:rPr>
                <w:rFonts w:ascii="Arial Narrow" w:hAnsi="Arial Narrow"/>
                <w:iCs/>
                <w:sz w:val="18"/>
                <w:szCs w:val="18"/>
                <w:highlight w:val="lightGray"/>
                <w:lang w:val="de-DE"/>
              </w:rPr>
            </w:pPr>
          </w:p>
        </w:tc>
        <w:tc>
          <w:tcPr>
            <w:tcW w:w="1134" w:type="dxa"/>
            <w:tcBorders>
              <w:top w:val="nil"/>
              <w:left w:val="nil"/>
              <w:bottom w:val="nil"/>
              <w:right w:val="single" w:sz="4" w:space="0" w:color="auto"/>
            </w:tcBorders>
            <w:vAlign w:val="center"/>
          </w:tcPr>
          <w:p w:rsidR="003E3225" w:rsidRPr="00374C25" w:rsidRDefault="003E3225" w:rsidP="005A0854">
            <w:pPr>
              <w:jc w:val="center"/>
              <w:rPr>
                <w:rFonts w:ascii="Arial Narrow" w:hAnsi="Arial Narrow"/>
                <w:b/>
                <w:i/>
                <w:sz w:val="16"/>
                <w:szCs w:val="18"/>
                <w:highlight w:val="lightGray"/>
                <w:lang w:val="de-DE"/>
              </w:rPr>
            </w:pPr>
          </w:p>
        </w:tc>
        <w:tc>
          <w:tcPr>
            <w:tcW w:w="854" w:type="dxa"/>
            <w:tcBorders>
              <w:top w:val="nil"/>
              <w:left w:val="single" w:sz="4" w:space="0" w:color="auto"/>
              <w:bottom w:val="nil"/>
            </w:tcBorders>
            <w:vAlign w:val="center"/>
          </w:tcPr>
          <w:p w:rsidR="003E3225" w:rsidRPr="00374C25" w:rsidRDefault="003E3225" w:rsidP="005A0854">
            <w:pPr>
              <w:jc w:val="center"/>
              <w:rPr>
                <w:rFonts w:ascii="Arial Narrow" w:hAnsi="Arial Narrow"/>
                <w:i/>
                <w:sz w:val="16"/>
                <w:szCs w:val="16"/>
                <w:highlight w:val="lightGray"/>
                <w:lang w:val="de-DE"/>
              </w:rPr>
            </w:pP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UST7</w:t>
            </w:r>
          </w:p>
        </w:tc>
        <w:tc>
          <w:tcPr>
            <w:tcW w:w="1134" w:type="dxa"/>
            <w:shd w:val="clear" w:color="auto" w:fill="D9D9D9" w:themeFill="background1" w:themeFillShade="D9"/>
            <w:vAlign w:val="center"/>
          </w:tcPr>
          <w:p w:rsidR="003E3225" w:rsidRPr="00713631" w:rsidRDefault="003E3225" w:rsidP="005A0854">
            <w:pPr>
              <w:jc w:val="center"/>
              <w:rPr>
                <w:rFonts w:ascii="Arial Narrow" w:hAnsi="Arial Narrow"/>
                <w:iCs/>
                <w:sz w:val="18"/>
                <w:szCs w:val="18"/>
                <w:lang w:val="de-DE"/>
              </w:rPr>
            </w:pPr>
            <w:r w:rsidRPr="00713631">
              <w:rPr>
                <w:rFonts w:ascii="Arial Narrow" w:hAnsi="Arial Narrow"/>
                <w:iCs/>
                <w:sz w:val="18"/>
                <w:szCs w:val="18"/>
                <w:lang w:val="de-DE"/>
              </w:rPr>
              <w:t>210/300 (70.0)</w:t>
            </w:r>
          </w:p>
        </w:tc>
        <w:tc>
          <w:tcPr>
            <w:tcW w:w="1276" w:type="dxa"/>
            <w:tcBorders>
              <w:right w:val="single" w:sz="4" w:space="0" w:color="auto"/>
            </w:tcBorders>
            <w:shd w:val="clear" w:color="auto" w:fill="D9D9D9" w:themeFill="background1" w:themeFillShade="D9"/>
            <w:vAlign w:val="center"/>
          </w:tcPr>
          <w:p w:rsidR="003E3225" w:rsidRPr="00713631" w:rsidRDefault="003E3225" w:rsidP="005A0854">
            <w:pPr>
              <w:keepNext/>
              <w:keepLines/>
              <w:widowControl/>
              <w:jc w:val="center"/>
              <w:rPr>
                <w:rFonts w:ascii="Arial Narrow" w:hAnsi="Arial Narrow"/>
                <w:iCs/>
                <w:sz w:val="18"/>
                <w:szCs w:val="18"/>
                <w:lang w:val="de-DE"/>
              </w:rPr>
            </w:pPr>
            <w:r w:rsidRPr="00713631">
              <w:rPr>
                <w:rFonts w:ascii="Arial Narrow" w:hAnsi="Arial Narrow"/>
                <w:iCs/>
                <w:sz w:val="18"/>
                <w:szCs w:val="18"/>
                <w:lang w:val="de-DE"/>
              </w:rPr>
              <w:t>25/309 (8.1)</w:t>
            </w:r>
          </w:p>
        </w:tc>
        <w:tc>
          <w:tcPr>
            <w:tcW w:w="1276" w:type="dxa"/>
            <w:tcBorders>
              <w:top w:val="nil"/>
              <w:left w:val="nil"/>
              <w:bottom w:val="nil"/>
              <w:right w:val="single" w:sz="4" w:space="0" w:color="auto"/>
            </w:tcBorders>
            <w:shd w:val="clear" w:color="auto" w:fill="D9D9D9" w:themeFill="background1" w:themeFillShade="D9"/>
          </w:tcPr>
          <w:p w:rsidR="003E3225" w:rsidRPr="00F33F34" w:rsidRDefault="003E3225" w:rsidP="005A0854">
            <w:pPr>
              <w:jc w:val="center"/>
              <w:rPr>
                <w:rFonts w:ascii="Arial Narrow" w:hAnsi="Arial Narrow"/>
                <w:b/>
                <w:iCs/>
                <w:sz w:val="16"/>
                <w:szCs w:val="18"/>
                <w:lang w:val="de-DE"/>
              </w:rPr>
            </w:pPr>
            <w:r>
              <w:rPr>
                <w:rFonts w:ascii="Arial Narrow" w:hAnsi="Arial Narrow"/>
                <w:b/>
                <w:iCs/>
                <w:sz w:val="16"/>
                <w:szCs w:val="18"/>
                <w:lang w:val="de-DE"/>
              </w:rPr>
              <w:t>8.65</w:t>
            </w:r>
            <w:r w:rsidRPr="00F33F34">
              <w:rPr>
                <w:rFonts w:ascii="Arial Narrow" w:hAnsi="Arial Narrow"/>
                <w:b/>
                <w:iCs/>
                <w:sz w:val="16"/>
                <w:szCs w:val="18"/>
                <w:lang w:val="de-DE"/>
              </w:rPr>
              <w:t xml:space="preserve"> (5.9</w:t>
            </w:r>
            <w:r>
              <w:rPr>
                <w:rFonts w:ascii="Arial Narrow" w:hAnsi="Arial Narrow"/>
                <w:b/>
                <w:iCs/>
                <w:sz w:val="16"/>
                <w:szCs w:val="18"/>
                <w:lang w:val="de-DE"/>
              </w:rPr>
              <w:t>0, 12.69</w:t>
            </w:r>
            <w:r w:rsidRPr="00F33F34">
              <w:rPr>
                <w:rFonts w:ascii="Arial Narrow" w:hAnsi="Arial Narrow"/>
                <w:b/>
                <w:iCs/>
                <w:sz w:val="16"/>
                <w:szCs w:val="18"/>
                <w:lang w:val="de-DE"/>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sz w:val="16"/>
                <w:szCs w:val="18"/>
                <w:lang w:val="de-DE"/>
              </w:rPr>
            </w:pPr>
            <w:r w:rsidRPr="00713631">
              <w:rPr>
                <w:rFonts w:ascii="Arial Narrow" w:hAnsi="Arial Narrow"/>
                <w:b/>
                <w:iCs/>
                <w:sz w:val="16"/>
                <w:szCs w:val="18"/>
                <w:lang w:val="de-DE"/>
              </w:rPr>
              <w:t>26.5</w:t>
            </w:r>
            <w:r>
              <w:rPr>
                <w:rFonts w:ascii="Arial Narrow" w:hAnsi="Arial Narrow"/>
                <w:b/>
                <w:iCs/>
                <w:sz w:val="16"/>
                <w:szCs w:val="18"/>
                <w:lang w:val="de-DE"/>
              </w:rPr>
              <w:t>1</w:t>
            </w:r>
            <w:r w:rsidRPr="00713631">
              <w:rPr>
                <w:rFonts w:ascii="Arial Narrow" w:hAnsi="Arial Narrow"/>
                <w:b/>
                <w:iCs/>
                <w:sz w:val="16"/>
                <w:szCs w:val="18"/>
                <w:lang w:val="de-DE"/>
              </w:rPr>
              <w:t xml:space="preserve"> (16.4</w:t>
            </w:r>
            <w:r>
              <w:rPr>
                <w:rFonts w:ascii="Arial Narrow" w:hAnsi="Arial Narrow"/>
                <w:b/>
                <w:iCs/>
                <w:sz w:val="16"/>
                <w:szCs w:val="18"/>
                <w:lang w:val="de-DE"/>
              </w:rPr>
              <w:t>4</w:t>
            </w:r>
            <w:r w:rsidRPr="00713631">
              <w:rPr>
                <w:rFonts w:ascii="Arial Narrow" w:hAnsi="Arial Narrow"/>
                <w:b/>
                <w:iCs/>
                <w:sz w:val="16"/>
                <w:szCs w:val="18"/>
                <w:lang w:val="de-DE"/>
              </w:rPr>
              <w:t>, 42.74)</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sz w:val="18"/>
                <w:szCs w:val="18"/>
                <w:highlight w:val="lightGray"/>
                <w:lang w:val="de-DE"/>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sz w:val="16"/>
                <w:szCs w:val="18"/>
              </w:rPr>
            </w:pPr>
            <w:r w:rsidRPr="00713631">
              <w:rPr>
                <w:rFonts w:ascii="Arial Narrow" w:hAnsi="Arial Narrow"/>
                <w:b/>
                <w:iCs/>
                <w:sz w:val="16"/>
                <w:szCs w:val="18"/>
                <w:lang w:val="de-DE"/>
              </w:rPr>
              <w:t>0.62 (0.56, 0</w:t>
            </w:r>
            <w:r w:rsidRPr="00713631">
              <w:rPr>
                <w:rFonts w:ascii="Arial Narrow" w:hAnsi="Arial Narrow"/>
                <w:b/>
                <w:iCs/>
                <w:sz w:val="16"/>
                <w:szCs w:val="18"/>
              </w:rPr>
              <w:t>.68)</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sz w:val="16"/>
                <w:szCs w:val="16"/>
              </w:rPr>
            </w:pPr>
            <w:r w:rsidRPr="00713631">
              <w:rPr>
                <w:rFonts w:ascii="Arial Narrow" w:hAnsi="Arial Narrow"/>
                <w:i/>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UST8</w:t>
            </w:r>
          </w:p>
        </w:tc>
        <w:tc>
          <w:tcPr>
            <w:tcW w:w="1134" w:type="dxa"/>
            <w:shd w:val="clear" w:color="auto" w:fill="D9D9D9" w:themeFill="background1" w:themeFillShade="D9"/>
            <w:vAlign w:val="center"/>
          </w:tcPr>
          <w:p w:rsidR="003E3225" w:rsidRPr="00713631" w:rsidRDefault="003E3225" w:rsidP="005A0854">
            <w:pPr>
              <w:jc w:val="center"/>
              <w:rPr>
                <w:rFonts w:ascii="Arial Narrow" w:hAnsi="Arial Narrow"/>
                <w:iCs/>
                <w:sz w:val="18"/>
                <w:szCs w:val="18"/>
              </w:rPr>
            </w:pPr>
            <w:r w:rsidRPr="00713631">
              <w:rPr>
                <w:rFonts w:ascii="Arial Narrow" w:hAnsi="Arial Narrow"/>
                <w:iCs/>
                <w:sz w:val="18"/>
                <w:szCs w:val="18"/>
              </w:rPr>
              <w:t>217/313 (69.3)</w:t>
            </w:r>
          </w:p>
        </w:tc>
        <w:tc>
          <w:tcPr>
            <w:tcW w:w="1276" w:type="dxa"/>
            <w:tcBorders>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iCs/>
                <w:sz w:val="18"/>
                <w:szCs w:val="18"/>
              </w:rPr>
            </w:pPr>
            <w:r w:rsidRPr="00713631">
              <w:rPr>
                <w:rFonts w:ascii="Arial Narrow" w:hAnsi="Arial Narrow"/>
                <w:iCs/>
                <w:sz w:val="18"/>
                <w:szCs w:val="18"/>
              </w:rPr>
              <w:t>19/315 (6.0)</w:t>
            </w:r>
          </w:p>
        </w:tc>
        <w:tc>
          <w:tcPr>
            <w:tcW w:w="1276" w:type="dxa"/>
            <w:tcBorders>
              <w:top w:val="nil"/>
              <w:left w:val="nil"/>
              <w:bottom w:val="nil"/>
              <w:right w:val="single" w:sz="4" w:space="0" w:color="auto"/>
            </w:tcBorders>
            <w:shd w:val="clear" w:color="auto" w:fill="D9D9D9" w:themeFill="background1" w:themeFillShade="D9"/>
          </w:tcPr>
          <w:p w:rsidR="003E3225" w:rsidRPr="00F33F34" w:rsidRDefault="003E3225" w:rsidP="005A0854">
            <w:pPr>
              <w:jc w:val="center"/>
              <w:rPr>
                <w:rFonts w:ascii="Arial Narrow" w:hAnsi="Arial Narrow"/>
                <w:b/>
                <w:iCs/>
                <w:sz w:val="16"/>
                <w:szCs w:val="18"/>
              </w:rPr>
            </w:pPr>
            <w:r>
              <w:rPr>
                <w:rFonts w:ascii="Arial Narrow" w:hAnsi="Arial Narrow"/>
                <w:b/>
                <w:iCs/>
                <w:sz w:val="16"/>
                <w:szCs w:val="18"/>
              </w:rPr>
              <w:t>11.49 (7.39, 17.88</w:t>
            </w:r>
            <w:r w:rsidRPr="00F33F34">
              <w:rPr>
                <w:rFonts w:ascii="Arial Narrow" w:hAnsi="Arial Narrow"/>
                <w:b/>
                <w:iCs/>
                <w:sz w:val="16"/>
                <w:szCs w:val="18"/>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sz w:val="16"/>
                <w:szCs w:val="18"/>
              </w:rPr>
            </w:pPr>
            <w:r w:rsidRPr="00713631">
              <w:rPr>
                <w:rFonts w:ascii="Arial Narrow" w:hAnsi="Arial Narrow"/>
                <w:b/>
                <w:iCs/>
                <w:sz w:val="16"/>
                <w:szCs w:val="18"/>
              </w:rPr>
              <w:t>35.2</w:t>
            </w:r>
            <w:r>
              <w:rPr>
                <w:rFonts w:ascii="Arial Narrow" w:hAnsi="Arial Narrow"/>
                <w:b/>
                <w:iCs/>
                <w:sz w:val="16"/>
                <w:szCs w:val="18"/>
              </w:rPr>
              <w:t>1</w:t>
            </w:r>
            <w:r w:rsidRPr="00713631">
              <w:rPr>
                <w:rFonts w:ascii="Arial Narrow" w:hAnsi="Arial Narrow"/>
                <w:b/>
                <w:iCs/>
                <w:sz w:val="16"/>
                <w:szCs w:val="18"/>
              </w:rPr>
              <w:t xml:space="preserve"> (20.</w:t>
            </w:r>
            <w:r>
              <w:rPr>
                <w:rFonts w:ascii="Arial Narrow" w:hAnsi="Arial Narrow"/>
                <w:b/>
                <w:iCs/>
                <w:sz w:val="16"/>
                <w:szCs w:val="18"/>
              </w:rPr>
              <w:t>89, 59.37</w:t>
            </w:r>
            <w:r w:rsidRPr="00713631">
              <w:rPr>
                <w:rFonts w:ascii="Arial Narrow" w:hAnsi="Arial Narrow"/>
                <w:b/>
                <w:iCs/>
                <w:sz w:val="16"/>
                <w:szCs w:val="18"/>
              </w:rPr>
              <w:t>)</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sz w:val="16"/>
                <w:szCs w:val="18"/>
              </w:rPr>
            </w:pPr>
            <w:r w:rsidRPr="00713631">
              <w:rPr>
                <w:rFonts w:ascii="Arial Narrow" w:hAnsi="Arial Narrow"/>
                <w:b/>
                <w:iCs/>
                <w:sz w:val="16"/>
                <w:szCs w:val="18"/>
              </w:rPr>
              <w:t>0.63 (0.58, 0.69)</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sz w:val="16"/>
                <w:szCs w:val="16"/>
              </w:rPr>
            </w:pPr>
            <w:r w:rsidRPr="00713631">
              <w:rPr>
                <w:rFonts w:ascii="Arial Narrow" w:hAnsi="Arial Narrow"/>
                <w:i/>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713631" w:rsidRDefault="003E3225" w:rsidP="005A0854">
            <w:pPr>
              <w:jc w:val="right"/>
              <w:rPr>
                <w:rFonts w:ascii="Arial Narrow" w:hAnsi="Arial Narrow"/>
                <w:bCs/>
                <w:iCs/>
                <w:sz w:val="18"/>
                <w:szCs w:val="18"/>
              </w:rPr>
            </w:pPr>
            <w:r w:rsidRPr="00713631">
              <w:rPr>
                <w:rFonts w:ascii="Arial Narrow" w:hAnsi="Arial Narrow"/>
                <w:bCs/>
                <w:iCs/>
                <w:sz w:val="18"/>
                <w:szCs w:val="18"/>
              </w:rPr>
              <w:t xml:space="preserve">Pooled </w:t>
            </w:r>
          </w:p>
        </w:tc>
        <w:tc>
          <w:tcPr>
            <w:tcW w:w="1134" w:type="dxa"/>
            <w:shd w:val="clear" w:color="auto" w:fill="D9D9D9" w:themeFill="background1" w:themeFillShade="D9"/>
            <w:vAlign w:val="center"/>
          </w:tcPr>
          <w:p w:rsidR="003E3225" w:rsidRPr="00713631" w:rsidRDefault="003E3225" w:rsidP="005A0854">
            <w:pPr>
              <w:jc w:val="center"/>
              <w:rPr>
                <w:rFonts w:ascii="Arial Narrow" w:hAnsi="Arial Narrow"/>
                <w:iCs/>
                <w:sz w:val="18"/>
                <w:szCs w:val="18"/>
              </w:rPr>
            </w:pPr>
            <w:r w:rsidRPr="00713631">
              <w:rPr>
                <w:rFonts w:ascii="Arial Narrow" w:hAnsi="Arial Narrow"/>
                <w:iCs/>
                <w:sz w:val="18"/>
                <w:szCs w:val="18"/>
              </w:rPr>
              <w:t>427/613 (69.7)</w:t>
            </w:r>
          </w:p>
        </w:tc>
        <w:tc>
          <w:tcPr>
            <w:tcW w:w="1276" w:type="dxa"/>
            <w:tcBorders>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iCs/>
                <w:sz w:val="18"/>
                <w:szCs w:val="18"/>
              </w:rPr>
            </w:pPr>
            <w:r w:rsidRPr="00713631">
              <w:rPr>
                <w:rFonts w:ascii="Arial Narrow" w:hAnsi="Arial Narrow"/>
                <w:iCs/>
                <w:sz w:val="18"/>
                <w:szCs w:val="18"/>
              </w:rPr>
              <w:t>44/624 (7.1)</w:t>
            </w:r>
          </w:p>
        </w:tc>
        <w:tc>
          <w:tcPr>
            <w:tcW w:w="1276" w:type="dxa"/>
            <w:tcBorders>
              <w:top w:val="nil"/>
              <w:left w:val="nil"/>
              <w:bottom w:val="nil"/>
              <w:right w:val="single" w:sz="4" w:space="0" w:color="auto"/>
            </w:tcBorders>
            <w:shd w:val="clear" w:color="auto" w:fill="D9D9D9" w:themeFill="background1" w:themeFillShade="D9"/>
          </w:tcPr>
          <w:p w:rsidR="003E3225" w:rsidRPr="00F33F34" w:rsidRDefault="003E3225" w:rsidP="005A0854">
            <w:pPr>
              <w:jc w:val="center"/>
              <w:rPr>
                <w:rFonts w:ascii="Arial Narrow" w:hAnsi="Arial Narrow"/>
                <w:b/>
                <w:iCs/>
                <w:sz w:val="16"/>
                <w:szCs w:val="18"/>
              </w:rPr>
            </w:pPr>
            <w:r>
              <w:rPr>
                <w:rFonts w:ascii="Arial Narrow" w:hAnsi="Arial Narrow"/>
                <w:b/>
                <w:iCs/>
                <w:sz w:val="16"/>
                <w:szCs w:val="18"/>
              </w:rPr>
              <w:t>9.77</w:t>
            </w:r>
            <w:r w:rsidRPr="00F33F34">
              <w:rPr>
                <w:rFonts w:ascii="Arial Narrow" w:hAnsi="Arial Narrow"/>
                <w:b/>
                <w:iCs/>
                <w:sz w:val="16"/>
                <w:szCs w:val="18"/>
              </w:rPr>
              <w:t xml:space="preserve"> (7.3</w:t>
            </w:r>
            <w:r>
              <w:rPr>
                <w:rFonts w:ascii="Arial Narrow" w:hAnsi="Arial Narrow"/>
                <w:b/>
                <w:iCs/>
                <w:sz w:val="16"/>
                <w:szCs w:val="18"/>
              </w:rPr>
              <w:t>2, 13.05</w:t>
            </w:r>
            <w:r w:rsidRPr="00F33F34">
              <w:rPr>
                <w:rFonts w:ascii="Arial Narrow" w:hAnsi="Arial Narrow"/>
                <w:b/>
                <w:iCs/>
                <w:sz w:val="16"/>
                <w:szCs w:val="18"/>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sz w:val="16"/>
                <w:szCs w:val="18"/>
              </w:rPr>
            </w:pPr>
            <w:r>
              <w:rPr>
                <w:rFonts w:ascii="Arial Narrow" w:hAnsi="Arial Narrow"/>
                <w:b/>
                <w:iCs/>
                <w:sz w:val="16"/>
                <w:szCs w:val="18"/>
              </w:rPr>
              <w:t>30.17</w:t>
            </w:r>
            <w:r w:rsidRPr="00713631">
              <w:rPr>
                <w:rFonts w:ascii="Arial Narrow" w:hAnsi="Arial Narrow"/>
                <w:b/>
                <w:iCs/>
                <w:sz w:val="16"/>
                <w:szCs w:val="18"/>
              </w:rPr>
              <w:t xml:space="preserve"> (21.2</w:t>
            </w:r>
            <w:r>
              <w:rPr>
                <w:rFonts w:ascii="Arial Narrow" w:hAnsi="Arial Narrow"/>
                <w:b/>
                <w:iCs/>
                <w:sz w:val="16"/>
                <w:szCs w:val="18"/>
              </w:rPr>
              <w:t>1</w:t>
            </w:r>
            <w:r w:rsidRPr="00713631">
              <w:rPr>
                <w:rFonts w:ascii="Arial Narrow" w:hAnsi="Arial Narrow"/>
                <w:b/>
                <w:iCs/>
                <w:sz w:val="16"/>
                <w:szCs w:val="18"/>
              </w:rPr>
              <w:t>, 42.9</w:t>
            </w:r>
            <w:r>
              <w:rPr>
                <w:rFonts w:ascii="Arial Narrow" w:hAnsi="Arial Narrow"/>
                <w:b/>
                <w:iCs/>
                <w:sz w:val="16"/>
                <w:szCs w:val="18"/>
              </w:rPr>
              <w:t>2</w:t>
            </w:r>
            <w:r w:rsidRPr="00713631">
              <w:rPr>
                <w:rFonts w:ascii="Arial Narrow" w:hAnsi="Arial Narrow"/>
                <w:b/>
                <w:iCs/>
                <w:sz w:val="16"/>
                <w:szCs w:val="18"/>
              </w:rPr>
              <w:t>)</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Cs/>
                <w:sz w:val="16"/>
                <w:szCs w:val="18"/>
              </w:rPr>
            </w:pPr>
            <w:r w:rsidRPr="00713631">
              <w:rPr>
                <w:rFonts w:ascii="Arial Narrow" w:hAnsi="Arial Narrow"/>
                <w:b/>
                <w:iCs/>
                <w:sz w:val="16"/>
                <w:szCs w:val="18"/>
              </w:rPr>
              <w:t>0.63 (0.58, 0.67)</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sz w:val="16"/>
                <w:szCs w:val="16"/>
              </w:rPr>
            </w:pPr>
            <w:r w:rsidRPr="00713631">
              <w:rPr>
                <w:rFonts w:ascii="Arial Narrow" w:hAnsi="Arial Narrow"/>
                <w:i/>
                <w:sz w:val="16"/>
                <w:szCs w:val="16"/>
              </w:rPr>
              <w:t>2 (1, 2)</w:t>
            </w:r>
          </w:p>
        </w:tc>
      </w:tr>
      <w:tr w:rsidR="003E3225" w:rsidRPr="00067537" w:rsidTr="005A0854">
        <w:trPr>
          <w:trHeight w:val="170"/>
        </w:trPr>
        <w:tc>
          <w:tcPr>
            <w:tcW w:w="1134" w:type="dxa"/>
            <w:shd w:val="clear" w:color="auto" w:fill="D9D9D9" w:themeFill="background1" w:themeFillShade="D9"/>
            <w:vAlign w:val="center"/>
          </w:tcPr>
          <w:p w:rsidR="003E3225" w:rsidRPr="00713631" w:rsidRDefault="003E3225" w:rsidP="005A0854">
            <w:pPr>
              <w:jc w:val="right"/>
              <w:rPr>
                <w:rFonts w:ascii="Arial Narrow" w:hAnsi="Arial Narrow"/>
                <w:bCs/>
                <w:iCs/>
                <w:sz w:val="18"/>
                <w:szCs w:val="18"/>
              </w:rPr>
            </w:pPr>
            <w:r w:rsidRPr="002343FA">
              <w:rPr>
                <w:rFonts w:ascii="Arial Narrow" w:hAnsi="Arial Narrow"/>
                <w:bCs/>
                <w:iCs/>
                <w:sz w:val="18"/>
                <w:szCs w:val="18"/>
              </w:rPr>
              <w:t>Pooled UST</w:t>
            </w:r>
            <w:r>
              <w:rPr>
                <w:rFonts w:ascii="Arial Narrow" w:hAnsi="Arial Narrow"/>
                <w:bCs/>
                <w:iCs/>
                <w:sz w:val="18"/>
                <w:szCs w:val="18"/>
              </w:rPr>
              <w:t xml:space="preserve"> </w:t>
            </w:r>
            <w:r w:rsidRPr="002343FA">
              <w:rPr>
                <w:rFonts w:ascii="Arial Narrow" w:hAnsi="Arial Narrow"/>
                <w:bCs/>
                <w:iCs/>
                <w:sz w:val="18"/>
                <w:szCs w:val="18"/>
              </w:rPr>
              <w:t>2-8</w:t>
            </w:r>
          </w:p>
        </w:tc>
        <w:tc>
          <w:tcPr>
            <w:tcW w:w="1134" w:type="dxa"/>
            <w:shd w:val="clear" w:color="auto" w:fill="D9D9D9" w:themeFill="background1" w:themeFillShade="D9"/>
            <w:vAlign w:val="center"/>
          </w:tcPr>
          <w:p w:rsidR="003E3225" w:rsidRPr="00713631" w:rsidRDefault="003E3225" w:rsidP="005A0854">
            <w:pPr>
              <w:jc w:val="center"/>
              <w:rPr>
                <w:rFonts w:ascii="Arial Narrow" w:hAnsi="Arial Narrow"/>
                <w:iCs/>
                <w:sz w:val="18"/>
                <w:szCs w:val="18"/>
              </w:rPr>
            </w:pPr>
            <w:r w:rsidRPr="00713631">
              <w:rPr>
                <w:rFonts w:ascii="Arial Narrow" w:hAnsi="Arial Narrow"/>
                <w:iCs/>
                <w:sz w:val="16"/>
                <w:szCs w:val="16"/>
              </w:rPr>
              <w:t>1605//2291 (70.1</w:t>
            </w:r>
            <w:r w:rsidRPr="00713631">
              <w:rPr>
                <w:rFonts w:ascii="Arial Narrow" w:hAnsi="Arial Narrow"/>
                <w:iCs/>
                <w:sz w:val="18"/>
                <w:szCs w:val="18"/>
              </w:rPr>
              <w:t>)</w:t>
            </w:r>
          </w:p>
        </w:tc>
        <w:tc>
          <w:tcPr>
            <w:tcW w:w="1276" w:type="dxa"/>
            <w:tcBorders>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iCs/>
                <w:sz w:val="18"/>
                <w:szCs w:val="18"/>
              </w:rPr>
            </w:pPr>
            <w:r w:rsidRPr="00713631">
              <w:rPr>
                <w:rFonts w:ascii="Arial Narrow" w:hAnsi="Arial Narrow"/>
                <w:iCs/>
                <w:sz w:val="18"/>
                <w:szCs w:val="18"/>
              </w:rPr>
              <w:t>90/1542 (5.8)</w:t>
            </w:r>
          </w:p>
        </w:tc>
        <w:tc>
          <w:tcPr>
            <w:tcW w:w="1276" w:type="dxa"/>
            <w:tcBorders>
              <w:top w:val="nil"/>
              <w:left w:val="nil"/>
              <w:bottom w:val="nil"/>
              <w:right w:val="single" w:sz="4" w:space="0" w:color="auto"/>
            </w:tcBorders>
            <w:shd w:val="clear" w:color="auto" w:fill="D9D9D9" w:themeFill="background1" w:themeFillShade="D9"/>
          </w:tcPr>
          <w:p w:rsidR="003E3225" w:rsidRPr="00F33F34" w:rsidRDefault="003E3225" w:rsidP="005A0854">
            <w:pPr>
              <w:jc w:val="center"/>
              <w:rPr>
                <w:rFonts w:ascii="Arial Narrow" w:hAnsi="Arial Narrow"/>
                <w:b/>
                <w:iCs/>
                <w:sz w:val="16"/>
                <w:szCs w:val="18"/>
              </w:rPr>
            </w:pPr>
            <w:r w:rsidRPr="00F33F34">
              <w:rPr>
                <w:rFonts w:ascii="Arial Narrow" w:hAnsi="Arial Narrow"/>
                <w:b/>
                <w:iCs/>
                <w:sz w:val="16"/>
                <w:szCs w:val="18"/>
              </w:rPr>
              <w:t>11.9 (8.4, 16.9)</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
                <w:sz w:val="16"/>
                <w:szCs w:val="18"/>
              </w:rPr>
            </w:pPr>
            <w:r w:rsidRPr="00713631">
              <w:rPr>
                <w:rFonts w:ascii="Arial Narrow" w:hAnsi="Arial Narrow"/>
                <w:b/>
                <w:i/>
                <w:sz w:val="16"/>
                <w:szCs w:val="18"/>
              </w:rPr>
              <w:t>50.9 (36.4, 71.2)</w:t>
            </w:r>
          </w:p>
        </w:tc>
        <w:tc>
          <w:tcPr>
            <w:tcW w:w="1135" w:type="dxa"/>
            <w:vMerge/>
            <w:tcBorders>
              <w:left w:val="single" w:sz="4" w:space="0" w:color="auto"/>
              <w:right w:val="nil"/>
            </w:tcBorders>
            <w:shd w:val="clear" w:color="auto" w:fill="D9D9D9" w:themeFill="background1" w:themeFillShade="D9"/>
          </w:tcPr>
          <w:p w:rsidR="003E3225" w:rsidRPr="00374C25" w:rsidRDefault="003E3225" w:rsidP="005A0854">
            <w:pPr>
              <w:rPr>
                <w:rFonts w:ascii="Arial Narrow" w:hAnsi="Arial Narrow"/>
                <w:iCs/>
                <w:sz w:val="18"/>
                <w:szCs w:val="18"/>
                <w:highlight w:val="lightGray"/>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713631" w:rsidRDefault="003E3225" w:rsidP="005A0854">
            <w:pPr>
              <w:jc w:val="center"/>
              <w:rPr>
                <w:rFonts w:ascii="Arial Narrow" w:hAnsi="Arial Narrow"/>
                <w:b/>
                <w:i/>
                <w:sz w:val="16"/>
                <w:szCs w:val="18"/>
              </w:rPr>
            </w:pPr>
            <w:r w:rsidRPr="00713631">
              <w:rPr>
                <w:rFonts w:ascii="Arial Narrow" w:hAnsi="Arial Narrow"/>
                <w:b/>
                <w:i/>
                <w:sz w:val="16"/>
                <w:szCs w:val="18"/>
              </w:rPr>
              <w:t>0.65 (0.62, 0.68)</w:t>
            </w:r>
          </w:p>
        </w:tc>
        <w:tc>
          <w:tcPr>
            <w:tcW w:w="854" w:type="dxa"/>
            <w:tcBorders>
              <w:top w:val="nil"/>
              <w:left w:val="single" w:sz="4" w:space="0" w:color="auto"/>
              <w:bottom w:val="nil"/>
            </w:tcBorders>
            <w:shd w:val="clear" w:color="auto" w:fill="D9D9D9" w:themeFill="background1" w:themeFillShade="D9"/>
            <w:vAlign w:val="center"/>
          </w:tcPr>
          <w:p w:rsidR="003E3225" w:rsidRPr="00713631" w:rsidRDefault="003E3225" w:rsidP="005A0854">
            <w:pPr>
              <w:jc w:val="center"/>
              <w:rPr>
                <w:rFonts w:ascii="Arial Narrow" w:hAnsi="Arial Narrow"/>
                <w:i/>
                <w:sz w:val="16"/>
                <w:szCs w:val="16"/>
              </w:rPr>
            </w:pPr>
            <w:r w:rsidRPr="00713631">
              <w:rPr>
                <w:rFonts w:ascii="Arial Narrow" w:hAnsi="Arial Narrow"/>
                <w:i/>
                <w:sz w:val="16"/>
                <w:szCs w:val="16"/>
              </w:rPr>
              <w:t>2 (1, 2)</w:t>
            </w:r>
          </w:p>
        </w:tc>
      </w:tr>
      <w:tr w:rsidR="003E3225" w:rsidRPr="00B211AC" w:rsidTr="005A0854">
        <w:trPr>
          <w:trHeight w:val="170"/>
        </w:trPr>
        <w:tc>
          <w:tcPr>
            <w:tcW w:w="3544" w:type="dxa"/>
            <w:gridSpan w:val="3"/>
            <w:tcBorders>
              <w:right w:val="single" w:sz="4" w:space="0" w:color="auto"/>
            </w:tcBorders>
            <w:shd w:val="clear" w:color="auto" w:fill="auto"/>
          </w:tcPr>
          <w:p w:rsidR="003E3225" w:rsidRPr="00B17A7C" w:rsidRDefault="003E3225" w:rsidP="005A0854">
            <w:pPr>
              <w:jc w:val="left"/>
              <w:rPr>
                <w:rFonts w:ascii="Arial Narrow" w:hAnsi="Arial Narrow"/>
                <w:b/>
                <w:bCs/>
                <w:iCs/>
                <w:sz w:val="18"/>
                <w:szCs w:val="18"/>
              </w:rPr>
            </w:pPr>
            <w:r w:rsidRPr="00B17A7C">
              <w:rPr>
                <w:rFonts w:ascii="Arial Narrow" w:hAnsi="Arial Narrow"/>
                <w:b/>
                <w:iCs/>
                <w:sz w:val="18"/>
                <w:szCs w:val="18"/>
              </w:rPr>
              <w:t xml:space="preserve">ADA </w:t>
            </w:r>
            <w:r w:rsidRPr="00B17A7C">
              <w:rPr>
                <w:rFonts w:ascii="Arial Narrow" w:hAnsi="Arial Narrow"/>
                <w:b/>
                <w:bCs/>
                <w:iCs/>
                <w:sz w:val="18"/>
                <w:szCs w:val="18"/>
              </w:rPr>
              <w:t>40</w:t>
            </w:r>
            <w:r w:rsidRPr="00B17A7C">
              <w:rPr>
                <w:rFonts w:ascii="Arial Narrow" w:hAnsi="Arial Narrow"/>
                <w:b/>
                <w:iCs/>
                <w:sz w:val="18"/>
                <w:szCs w:val="18"/>
              </w:rPr>
              <w:t xml:space="preserve"> mg </w:t>
            </w:r>
            <w:proofErr w:type="spellStart"/>
            <w:r w:rsidRPr="00B17A7C">
              <w:rPr>
                <w:rFonts w:ascii="Arial Narrow" w:hAnsi="Arial Narrow"/>
                <w:b/>
                <w:iCs/>
                <w:sz w:val="18"/>
                <w:szCs w:val="18"/>
              </w:rPr>
              <w:t>eow</w:t>
            </w:r>
            <w:proofErr w:type="spellEnd"/>
            <w:r w:rsidRPr="00B17A7C">
              <w:rPr>
                <w:rFonts w:ascii="Arial Narrow" w:hAnsi="Arial Narrow"/>
                <w:b/>
                <w:iCs/>
                <w:sz w:val="18"/>
                <w:szCs w:val="18"/>
              </w:rPr>
              <w:t xml:space="preserve"> vs PBO </w:t>
            </w:r>
            <w:proofErr w:type="spellStart"/>
            <w:r w:rsidRPr="00B17A7C">
              <w:rPr>
                <w:rFonts w:ascii="Arial Narrow" w:hAnsi="Arial Narrow"/>
                <w:b/>
                <w:iCs/>
                <w:sz w:val="18"/>
                <w:szCs w:val="18"/>
              </w:rPr>
              <w:t>Wk</w:t>
            </w:r>
            <w:proofErr w:type="spellEnd"/>
            <w:r w:rsidRPr="00B17A7C">
              <w:rPr>
                <w:rFonts w:ascii="Arial Narrow" w:hAnsi="Arial Narrow"/>
                <w:b/>
                <w:iCs/>
                <w:sz w:val="18"/>
                <w:szCs w:val="18"/>
              </w:rPr>
              <w:t xml:space="preserve"> 12/16</w:t>
            </w:r>
          </w:p>
        </w:tc>
        <w:tc>
          <w:tcPr>
            <w:tcW w:w="1276" w:type="dxa"/>
            <w:tcBorders>
              <w:top w:val="nil"/>
              <w:left w:val="nil"/>
              <w:bottom w:val="nil"/>
              <w:right w:val="single" w:sz="4" w:space="0" w:color="auto"/>
            </w:tcBorders>
          </w:tcPr>
          <w:p w:rsidR="003E3225" w:rsidRPr="00B17A7C" w:rsidRDefault="003E3225" w:rsidP="005A0854">
            <w:pPr>
              <w:jc w:val="center"/>
              <w:rPr>
                <w:rFonts w:ascii="Arial Narrow" w:hAnsi="Arial Narrow"/>
                <w:b/>
                <w:iCs/>
                <w:sz w:val="16"/>
                <w:szCs w:val="18"/>
              </w:rPr>
            </w:pPr>
          </w:p>
        </w:tc>
        <w:tc>
          <w:tcPr>
            <w:tcW w:w="1275" w:type="dxa"/>
            <w:tcBorders>
              <w:top w:val="nil"/>
              <w:left w:val="single" w:sz="4" w:space="0" w:color="auto"/>
              <w:bottom w:val="nil"/>
              <w:right w:val="single" w:sz="4" w:space="0" w:color="auto"/>
            </w:tcBorders>
            <w:shd w:val="clear" w:color="auto" w:fill="auto"/>
            <w:vAlign w:val="center"/>
          </w:tcPr>
          <w:p w:rsidR="003E3225" w:rsidRPr="00B17A7C" w:rsidRDefault="003E3225" w:rsidP="005A0854">
            <w:pPr>
              <w:jc w:val="center"/>
              <w:rPr>
                <w:rFonts w:ascii="Arial Narrow" w:hAnsi="Arial Narrow"/>
                <w:b/>
                <w:iCs/>
                <w:sz w:val="16"/>
                <w:szCs w:val="18"/>
              </w:rPr>
            </w:pPr>
          </w:p>
        </w:tc>
        <w:tc>
          <w:tcPr>
            <w:tcW w:w="1135" w:type="dxa"/>
            <w:vMerge/>
            <w:tcBorders>
              <w:left w:val="single" w:sz="4" w:space="0" w:color="auto"/>
              <w:right w:val="nil"/>
            </w:tcBorders>
            <w:shd w:val="clear" w:color="auto" w:fill="D9D9D9"/>
          </w:tcPr>
          <w:p w:rsidR="003E3225" w:rsidRPr="00B17A7C" w:rsidRDefault="003E3225" w:rsidP="005A0854">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3E3225" w:rsidRPr="00B17A7C" w:rsidRDefault="003E3225" w:rsidP="005A0854">
            <w:pPr>
              <w:jc w:val="center"/>
              <w:rPr>
                <w:rFonts w:ascii="Arial Narrow" w:hAnsi="Arial Narrow"/>
                <w:b/>
                <w:iCs/>
                <w:sz w:val="16"/>
                <w:szCs w:val="18"/>
              </w:rPr>
            </w:pPr>
          </w:p>
        </w:tc>
        <w:tc>
          <w:tcPr>
            <w:tcW w:w="854" w:type="dxa"/>
            <w:tcBorders>
              <w:top w:val="nil"/>
              <w:left w:val="single" w:sz="4" w:space="0" w:color="auto"/>
              <w:bottom w:val="nil"/>
            </w:tcBorders>
            <w:vAlign w:val="center"/>
          </w:tcPr>
          <w:p w:rsidR="003E3225" w:rsidRPr="00B17A7C" w:rsidRDefault="003E3225" w:rsidP="005A0854">
            <w:pPr>
              <w:jc w:val="center"/>
              <w:rPr>
                <w:rFonts w:ascii="Arial Narrow" w:hAnsi="Arial Narrow"/>
                <w:i/>
                <w:sz w:val="16"/>
                <w:szCs w:val="16"/>
              </w:rPr>
            </w:pPr>
          </w:p>
        </w:tc>
      </w:tr>
      <w:tr w:rsidR="003E3225" w:rsidRPr="00726E7D" w:rsidTr="005A0854">
        <w:trPr>
          <w:trHeight w:val="170"/>
        </w:trPr>
        <w:tc>
          <w:tcPr>
            <w:tcW w:w="1134" w:type="dxa"/>
            <w:shd w:val="clear" w:color="auto" w:fill="D9D9D9" w:themeFill="background1" w:themeFillShade="D9"/>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ADA1</w:t>
            </w:r>
            <w:r w:rsidRPr="00583AB9">
              <w:rPr>
                <w:rFonts w:ascii="Arial Narrow" w:hAnsi="Arial Narrow"/>
                <w:iCs/>
                <w:sz w:val="18"/>
                <w:szCs w:val="18"/>
                <w:vertAlign w:val="superscript"/>
                <w:lang w:val="fr-FR"/>
              </w:rPr>
              <w:t>b</w:t>
            </w:r>
          </w:p>
        </w:tc>
        <w:tc>
          <w:tcPr>
            <w:tcW w:w="1134" w:type="dxa"/>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D901CD">
              <w:rPr>
                <w:rFonts w:ascii="Arial Narrow" w:hAnsi="Arial Narrow"/>
                <w:iCs/>
                <w:sz w:val="18"/>
                <w:szCs w:val="18"/>
              </w:rPr>
              <w:t>86/1</w:t>
            </w:r>
            <w:r w:rsidRPr="00AE752E">
              <w:rPr>
                <w:rFonts w:ascii="Arial Narrow" w:hAnsi="Arial Narrow"/>
                <w:iCs/>
                <w:sz w:val="18"/>
                <w:szCs w:val="18"/>
                <w:lang w:val="pt-PT"/>
              </w:rPr>
              <w:t>08 (79.6)</w:t>
            </w:r>
          </w:p>
        </w:tc>
        <w:tc>
          <w:tcPr>
            <w:tcW w:w="1276" w:type="dxa"/>
            <w:tcBorders>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10/53 (18.9)</w:t>
            </w:r>
          </w:p>
        </w:tc>
        <w:tc>
          <w:tcPr>
            <w:tcW w:w="1276" w:type="dxa"/>
            <w:tcBorders>
              <w:top w:val="nil"/>
              <w:left w:val="nil"/>
              <w:bottom w:val="nil"/>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b/>
                <w:i/>
                <w:sz w:val="16"/>
                <w:szCs w:val="18"/>
                <w:lang w:val="pt-PT"/>
              </w:rPr>
            </w:pPr>
            <w:r w:rsidRPr="00AE752E">
              <w:rPr>
                <w:rFonts w:ascii="Arial Narrow" w:hAnsi="Arial Narrow"/>
                <w:b/>
                <w:i/>
                <w:sz w:val="16"/>
                <w:szCs w:val="18"/>
                <w:lang w:val="pt-PT"/>
              </w:rPr>
              <w:t>4.2</w:t>
            </w:r>
            <w:r>
              <w:rPr>
                <w:rFonts w:ascii="Arial Narrow" w:hAnsi="Arial Narrow"/>
                <w:b/>
                <w:i/>
                <w:sz w:val="16"/>
                <w:szCs w:val="18"/>
                <w:lang w:val="pt-PT"/>
              </w:rPr>
              <w:t>2</w:t>
            </w:r>
            <w:r w:rsidRPr="00AE752E">
              <w:rPr>
                <w:rFonts w:ascii="Arial Narrow" w:hAnsi="Arial Narrow"/>
                <w:b/>
                <w:i/>
                <w:sz w:val="16"/>
                <w:szCs w:val="18"/>
                <w:lang w:val="pt-PT"/>
              </w:rPr>
              <w:t xml:space="preserve"> (2.4</w:t>
            </w:r>
            <w:r>
              <w:rPr>
                <w:rFonts w:ascii="Arial Narrow" w:hAnsi="Arial Narrow"/>
                <w:b/>
                <w:i/>
                <w:sz w:val="16"/>
                <w:szCs w:val="18"/>
                <w:lang w:val="pt-PT"/>
              </w:rPr>
              <w:t>0</w:t>
            </w:r>
            <w:r w:rsidRPr="00AE752E">
              <w:rPr>
                <w:rFonts w:ascii="Arial Narrow" w:hAnsi="Arial Narrow"/>
                <w:b/>
                <w:i/>
                <w:sz w:val="16"/>
                <w:szCs w:val="18"/>
                <w:lang w:val="pt-PT"/>
              </w:rPr>
              <w:t>, 7.4</w:t>
            </w:r>
            <w:r>
              <w:rPr>
                <w:rFonts w:ascii="Arial Narrow" w:hAnsi="Arial Narrow"/>
                <w:b/>
                <w:i/>
                <w:sz w:val="16"/>
                <w:szCs w:val="18"/>
                <w:lang w:val="pt-PT"/>
              </w:rPr>
              <w:t>4</w:t>
            </w:r>
            <w:r w:rsidRPr="00AE752E">
              <w:rPr>
                <w:rFonts w:ascii="Arial Narrow" w:hAnsi="Arial Narrow"/>
                <w:b/>
                <w:i/>
                <w:sz w:val="16"/>
                <w:szCs w:val="18"/>
                <w:lang w:val="pt-PT"/>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8212BA" w:rsidRDefault="003E3225" w:rsidP="005A0854">
            <w:pPr>
              <w:jc w:val="center"/>
              <w:rPr>
                <w:rFonts w:ascii="Arial Narrow" w:hAnsi="Arial Narrow"/>
                <w:b/>
                <w:i/>
                <w:sz w:val="16"/>
                <w:szCs w:val="18"/>
                <w:lang w:val="pt-PT"/>
              </w:rPr>
            </w:pPr>
            <w:r w:rsidRPr="008212BA">
              <w:rPr>
                <w:rFonts w:ascii="Arial Narrow" w:hAnsi="Arial Narrow"/>
                <w:b/>
                <w:i/>
                <w:sz w:val="16"/>
                <w:szCs w:val="18"/>
                <w:lang w:val="pt-PT"/>
              </w:rPr>
              <w:t>16.8</w:t>
            </w:r>
            <w:r>
              <w:rPr>
                <w:rFonts w:ascii="Arial Narrow" w:hAnsi="Arial Narrow"/>
                <w:b/>
                <w:i/>
                <w:sz w:val="16"/>
                <w:szCs w:val="18"/>
                <w:lang w:val="pt-PT"/>
              </w:rPr>
              <w:t>1</w:t>
            </w:r>
            <w:r w:rsidRPr="008212BA">
              <w:rPr>
                <w:rFonts w:ascii="Arial Narrow" w:hAnsi="Arial Narrow"/>
                <w:b/>
                <w:i/>
                <w:sz w:val="16"/>
                <w:szCs w:val="18"/>
                <w:lang w:val="pt-PT"/>
              </w:rPr>
              <w:t xml:space="preserve"> (7.3</w:t>
            </w:r>
            <w:r>
              <w:rPr>
                <w:rFonts w:ascii="Arial Narrow" w:hAnsi="Arial Narrow"/>
                <w:b/>
                <w:i/>
                <w:sz w:val="16"/>
                <w:szCs w:val="18"/>
                <w:lang w:val="pt-PT"/>
              </w:rPr>
              <w:t>1</w:t>
            </w:r>
            <w:r w:rsidRPr="008212BA">
              <w:rPr>
                <w:rFonts w:ascii="Arial Narrow" w:hAnsi="Arial Narrow"/>
                <w:b/>
                <w:i/>
                <w:sz w:val="16"/>
                <w:szCs w:val="18"/>
                <w:lang w:val="pt-PT"/>
              </w:rPr>
              <w:t>, 38.6</w:t>
            </w:r>
            <w:r>
              <w:rPr>
                <w:rFonts w:ascii="Arial Narrow" w:hAnsi="Arial Narrow"/>
                <w:b/>
                <w:i/>
                <w:sz w:val="16"/>
                <w:szCs w:val="18"/>
                <w:lang w:val="pt-PT"/>
              </w:rPr>
              <w:t>4</w:t>
            </w:r>
            <w:r w:rsidRPr="008212BA">
              <w:rPr>
                <w:rFonts w:ascii="Arial Narrow" w:hAnsi="Arial Narrow"/>
                <w:b/>
                <w:i/>
                <w:sz w:val="16"/>
                <w:szCs w:val="18"/>
                <w:lang w:val="pt-PT"/>
              </w:rPr>
              <w:t>)</w:t>
            </w:r>
          </w:p>
        </w:tc>
        <w:tc>
          <w:tcPr>
            <w:tcW w:w="1135" w:type="dxa"/>
            <w:vMerge/>
            <w:tcBorders>
              <w:left w:val="single" w:sz="4" w:space="0" w:color="auto"/>
              <w:right w:val="nil"/>
            </w:tcBorders>
            <w:shd w:val="clear" w:color="auto" w:fill="D9D9D9" w:themeFill="background1" w:themeFillShade="D9"/>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AE752E" w:rsidRDefault="003E3225" w:rsidP="005A0854">
            <w:pPr>
              <w:jc w:val="center"/>
              <w:rPr>
                <w:rFonts w:ascii="Arial Narrow" w:hAnsi="Arial Narrow"/>
                <w:b/>
                <w:iCs/>
                <w:sz w:val="16"/>
                <w:szCs w:val="18"/>
                <w:lang w:val="pt-PT"/>
              </w:rPr>
            </w:pPr>
            <w:r w:rsidRPr="00AE752E">
              <w:rPr>
                <w:rFonts w:ascii="Arial Narrow" w:hAnsi="Arial Narrow"/>
                <w:b/>
                <w:iCs/>
                <w:sz w:val="16"/>
                <w:szCs w:val="18"/>
                <w:lang w:val="pt-PT"/>
              </w:rPr>
              <w:t>0.61 (0.48, 0.74)</w:t>
            </w:r>
          </w:p>
        </w:tc>
        <w:tc>
          <w:tcPr>
            <w:tcW w:w="854" w:type="dxa"/>
            <w:tcBorders>
              <w:top w:val="nil"/>
              <w:left w:val="single" w:sz="4" w:space="0" w:color="auto"/>
              <w:bottom w:val="nil"/>
            </w:tcBorders>
            <w:shd w:val="clear" w:color="auto" w:fill="D9D9D9" w:themeFill="background1" w:themeFillShade="D9"/>
            <w:vAlign w:val="center"/>
          </w:tcPr>
          <w:p w:rsidR="003E3225" w:rsidRPr="00AE752E" w:rsidRDefault="003E3225" w:rsidP="005A0854">
            <w:pPr>
              <w:jc w:val="center"/>
              <w:rPr>
                <w:rFonts w:ascii="Arial Narrow" w:hAnsi="Arial Narrow"/>
                <w:i/>
                <w:sz w:val="16"/>
                <w:szCs w:val="16"/>
                <w:lang w:val="pt-PT"/>
              </w:rPr>
            </w:pPr>
            <w:r w:rsidRPr="00AE752E">
              <w:rPr>
                <w:rFonts w:ascii="Arial Narrow" w:hAnsi="Arial Narrow"/>
                <w:i/>
                <w:sz w:val="16"/>
                <w:szCs w:val="16"/>
                <w:lang w:val="pt-PT"/>
              </w:rPr>
              <w:t>2 (1, 2)</w:t>
            </w:r>
          </w:p>
        </w:tc>
      </w:tr>
      <w:tr w:rsidR="003E3225" w:rsidRPr="00726E7D" w:rsidTr="005A0854">
        <w:trPr>
          <w:trHeight w:val="170"/>
        </w:trPr>
        <w:tc>
          <w:tcPr>
            <w:tcW w:w="1134" w:type="dxa"/>
            <w:shd w:val="clear" w:color="auto" w:fill="D9D9D9" w:themeFill="background1" w:themeFillShade="D9"/>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ADA2</w:t>
            </w:r>
            <w:r w:rsidRPr="00583AB9">
              <w:rPr>
                <w:rFonts w:ascii="Arial Narrow" w:hAnsi="Arial Narrow"/>
                <w:iCs/>
                <w:sz w:val="18"/>
                <w:szCs w:val="18"/>
                <w:vertAlign w:val="superscript"/>
                <w:lang w:val="fr-FR"/>
              </w:rPr>
              <w:t>b</w:t>
            </w:r>
          </w:p>
        </w:tc>
        <w:tc>
          <w:tcPr>
            <w:tcW w:w="1134" w:type="dxa"/>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578/814 (71.0)</w:t>
            </w:r>
          </w:p>
        </w:tc>
        <w:tc>
          <w:tcPr>
            <w:tcW w:w="1276" w:type="dxa"/>
            <w:tcBorders>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26/398 (6.5)</w:t>
            </w:r>
          </w:p>
        </w:tc>
        <w:tc>
          <w:tcPr>
            <w:tcW w:w="1276" w:type="dxa"/>
            <w:tcBorders>
              <w:top w:val="nil"/>
              <w:left w:val="nil"/>
              <w:bottom w:val="nil"/>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b/>
                <w:i/>
                <w:sz w:val="16"/>
                <w:szCs w:val="18"/>
                <w:lang w:val="pt-PT"/>
              </w:rPr>
            </w:pPr>
            <w:r>
              <w:rPr>
                <w:rFonts w:ascii="Arial Narrow" w:hAnsi="Arial Narrow"/>
                <w:b/>
                <w:i/>
                <w:sz w:val="16"/>
                <w:szCs w:val="18"/>
                <w:lang w:val="pt-PT"/>
              </w:rPr>
              <w:t>10.87 (7.48</w:t>
            </w:r>
            <w:r w:rsidRPr="00AE752E">
              <w:rPr>
                <w:rFonts w:ascii="Arial Narrow" w:hAnsi="Arial Narrow"/>
                <w:b/>
                <w:i/>
                <w:sz w:val="16"/>
                <w:szCs w:val="18"/>
                <w:lang w:val="pt-PT"/>
              </w:rPr>
              <w:t>, 15.8</w:t>
            </w:r>
            <w:r>
              <w:rPr>
                <w:rFonts w:ascii="Arial Narrow" w:hAnsi="Arial Narrow"/>
                <w:b/>
                <w:i/>
                <w:sz w:val="16"/>
                <w:szCs w:val="18"/>
                <w:lang w:val="pt-PT"/>
              </w:rPr>
              <w:t>0</w:t>
            </w:r>
            <w:r w:rsidRPr="00AE752E">
              <w:rPr>
                <w:rFonts w:ascii="Arial Narrow" w:hAnsi="Arial Narrow"/>
                <w:b/>
                <w:i/>
                <w:sz w:val="16"/>
                <w:szCs w:val="18"/>
                <w:lang w:val="pt-PT"/>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8212BA" w:rsidRDefault="003E3225" w:rsidP="005A0854">
            <w:pPr>
              <w:jc w:val="center"/>
              <w:rPr>
                <w:rFonts w:ascii="Arial Narrow" w:hAnsi="Arial Narrow"/>
                <w:b/>
                <w:i/>
                <w:sz w:val="16"/>
                <w:szCs w:val="18"/>
                <w:lang w:val="pt-PT"/>
              </w:rPr>
            </w:pPr>
            <w:r w:rsidRPr="008212BA">
              <w:rPr>
                <w:rFonts w:ascii="Arial Narrow" w:hAnsi="Arial Narrow"/>
                <w:b/>
                <w:i/>
                <w:sz w:val="16"/>
                <w:szCs w:val="18"/>
                <w:lang w:val="pt-PT"/>
              </w:rPr>
              <w:t>35.0</w:t>
            </w:r>
            <w:r>
              <w:rPr>
                <w:rFonts w:ascii="Arial Narrow" w:hAnsi="Arial Narrow"/>
                <w:b/>
                <w:i/>
                <w:sz w:val="16"/>
                <w:szCs w:val="18"/>
                <w:lang w:val="pt-PT"/>
              </w:rPr>
              <w:t>4</w:t>
            </w:r>
            <w:r w:rsidRPr="008212BA">
              <w:rPr>
                <w:rFonts w:ascii="Arial Narrow" w:hAnsi="Arial Narrow"/>
                <w:b/>
                <w:i/>
                <w:sz w:val="16"/>
                <w:szCs w:val="18"/>
                <w:lang w:val="pt-PT"/>
              </w:rPr>
              <w:t xml:space="preserve"> (22.9</w:t>
            </w:r>
            <w:r>
              <w:rPr>
                <w:rFonts w:ascii="Arial Narrow" w:hAnsi="Arial Narrow"/>
                <w:b/>
                <w:i/>
                <w:sz w:val="16"/>
                <w:szCs w:val="18"/>
                <w:lang w:val="pt-PT"/>
              </w:rPr>
              <w:t>0</w:t>
            </w:r>
            <w:r w:rsidRPr="008212BA">
              <w:rPr>
                <w:rFonts w:ascii="Arial Narrow" w:hAnsi="Arial Narrow"/>
                <w:b/>
                <w:i/>
                <w:sz w:val="16"/>
                <w:szCs w:val="18"/>
                <w:lang w:val="pt-PT"/>
              </w:rPr>
              <w:t>, 53.6</w:t>
            </w:r>
            <w:r>
              <w:rPr>
                <w:rFonts w:ascii="Arial Narrow" w:hAnsi="Arial Narrow"/>
                <w:b/>
                <w:i/>
                <w:sz w:val="16"/>
                <w:szCs w:val="18"/>
                <w:lang w:val="pt-PT"/>
              </w:rPr>
              <w:t>2</w:t>
            </w:r>
            <w:r w:rsidRPr="008212BA">
              <w:rPr>
                <w:rFonts w:ascii="Arial Narrow" w:hAnsi="Arial Narrow"/>
                <w:b/>
                <w:i/>
                <w:sz w:val="16"/>
                <w:szCs w:val="18"/>
                <w:lang w:val="pt-PT"/>
              </w:rPr>
              <w:t>)</w:t>
            </w:r>
          </w:p>
        </w:tc>
        <w:tc>
          <w:tcPr>
            <w:tcW w:w="1135" w:type="dxa"/>
            <w:vMerge/>
            <w:tcBorders>
              <w:left w:val="single" w:sz="4" w:space="0" w:color="auto"/>
              <w:right w:val="nil"/>
            </w:tcBorders>
            <w:shd w:val="clear" w:color="auto" w:fill="D9D9D9" w:themeFill="background1" w:themeFillShade="D9"/>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AE752E" w:rsidRDefault="003E3225" w:rsidP="005A0854">
            <w:pPr>
              <w:jc w:val="center"/>
              <w:rPr>
                <w:rFonts w:ascii="Arial Narrow" w:hAnsi="Arial Narrow"/>
                <w:b/>
                <w:iCs/>
                <w:sz w:val="16"/>
                <w:szCs w:val="18"/>
                <w:lang w:val="pt-PT"/>
              </w:rPr>
            </w:pPr>
            <w:r w:rsidRPr="00AE752E">
              <w:rPr>
                <w:rFonts w:ascii="Arial Narrow" w:hAnsi="Arial Narrow"/>
                <w:b/>
                <w:iCs/>
                <w:sz w:val="16"/>
                <w:szCs w:val="18"/>
                <w:lang w:val="pt-PT"/>
              </w:rPr>
              <w:t>0.64 (0.61, 0.68)</w:t>
            </w:r>
          </w:p>
        </w:tc>
        <w:tc>
          <w:tcPr>
            <w:tcW w:w="854" w:type="dxa"/>
            <w:tcBorders>
              <w:top w:val="nil"/>
              <w:left w:val="single" w:sz="4" w:space="0" w:color="auto"/>
              <w:bottom w:val="nil"/>
            </w:tcBorders>
            <w:shd w:val="clear" w:color="auto" w:fill="D9D9D9" w:themeFill="background1" w:themeFillShade="D9"/>
            <w:vAlign w:val="center"/>
          </w:tcPr>
          <w:p w:rsidR="003E3225" w:rsidRPr="00AE752E" w:rsidRDefault="003E3225" w:rsidP="005A0854">
            <w:pPr>
              <w:jc w:val="center"/>
              <w:rPr>
                <w:rFonts w:ascii="Arial Narrow" w:hAnsi="Arial Narrow"/>
                <w:i/>
                <w:sz w:val="16"/>
                <w:szCs w:val="16"/>
                <w:lang w:val="pt-PT"/>
              </w:rPr>
            </w:pPr>
            <w:r w:rsidRPr="00AE752E">
              <w:rPr>
                <w:rFonts w:ascii="Arial Narrow" w:hAnsi="Arial Narrow"/>
                <w:i/>
                <w:sz w:val="16"/>
                <w:szCs w:val="16"/>
                <w:lang w:val="pt-PT"/>
              </w:rPr>
              <w:t>2 )(1, 2)</w:t>
            </w:r>
          </w:p>
        </w:tc>
      </w:tr>
      <w:tr w:rsidR="003E3225" w:rsidRPr="00726E7D" w:rsidTr="005A0854">
        <w:trPr>
          <w:trHeight w:val="170"/>
        </w:trPr>
        <w:tc>
          <w:tcPr>
            <w:tcW w:w="1134" w:type="dxa"/>
            <w:shd w:val="clear" w:color="auto" w:fill="D9D9D9" w:themeFill="background1" w:themeFillShade="D9"/>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ADA3</w:t>
            </w:r>
          </w:p>
        </w:tc>
        <w:tc>
          <w:tcPr>
            <w:tcW w:w="1134" w:type="dxa"/>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24/46 (52.2)</w:t>
            </w:r>
          </w:p>
        </w:tc>
        <w:tc>
          <w:tcPr>
            <w:tcW w:w="1276" w:type="dxa"/>
            <w:tcBorders>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2/52 (3.9)</w:t>
            </w:r>
          </w:p>
        </w:tc>
        <w:tc>
          <w:tcPr>
            <w:tcW w:w="1276" w:type="dxa"/>
            <w:tcBorders>
              <w:top w:val="nil"/>
              <w:left w:val="nil"/>
              <w:bottom w:val="nil"/>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b/>
                <w:i/>
                <w:sz w:val="16"/>
                <w:szCs w:val="18"/>
                <w:lang w:val="pt-PT"/>
              </w:rPr>
            </w:pPr>
            <w:r>
              <w:rPr>
                <w:rFonts w:ascii="Arial Narrow" w:hAnsi="Arial Narrow"/>
                <w:b/>
                <w:i/>
                <w:sz w:val="16"/>
                <w:szCs w:val="18"/>
                <w:lang w:val="pt-PT"/>
              </w:rPr>
              <w:t>13.57 (3.39, 54.29</w:t>
            </w:r>
            <w:r w:rsidRPr="00AE752E">
              <w:rPr>
                <w:rFonts w:ascii="Arial Narrow" w:hAnsi="Arial Narrow"/>
                <w:b/>
                <w:i/>
                <w:sz w:val="16"/>
                <w:szCs w:val="18"/>
                <w:lang w:val="pt-PT"/>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8212BA" w:rsidRDefault="003E3225" w:rsidP="005A0854">
            <w:pPr>
              <w:jc w:val="center"/>
              <w:rPr>
                <w:rFonts w:ascii="Arial Narrow" w:hAnsi="Arial Narrow"/>
                <w:b/>
                <w:i/>
                <w:sz w:val="16"/>
                <w:szCs w:val="18"/>
                <w:lang w:val="pt-PT"/>
              </w:rPr>
            </w:pPr>
            <w:r>
              <w:rPr>
                <w:rFonts w:ascii="Arial Narrow" w:hAnsi="Arial Narrow"/>
                <w:b/>
                <w:i/>
                <w:sz w:val="16"/>
                <w:szCs w:val="18"/>
                <w:lang w:val="pt-PT"/>
              </w:rPr>
              <w:t>27.27</w:t>
            </w:r>
            <w:r w:rsidRPr="008212BA">
              <w:rPr>
                <w:rFonts w:ascii="Arial Narrow" w:hAnsi="Arial Narrow"/>
                <w:b/>
                <w:i/>
                <w:sz w:val="16"/>
                <w:szCs w:val="18"/>
                <w:lang w:val="pt-PT"/>
              </w:rPr>
              <w:t xml:space="preserve"> (5.9</w:t>
            </w:r>
            <w:r>
              <w:rPr>
                <w:rFonts w:ascii="Arial Narrow" w:hAnsi="Arial Narrow"/>
                <w:b/>
                <w:i/>
                <w:sz w:val="16"/>
                <w:szCs w:val="18"/>
                <w:lang w:val="pt-PT"/>
              </w:rPr>
              <w:t>2</w:t>
            </w:r>
            <w:r w:rsidRPr="008212BA">
              <w:rPr>
                <w:rFonts w:ascii="Arial Narrow" w:hAnsi="Arial Narrow"/>
                <w:b/>
                <w:i/>
                <w:sz w:val="16"/>
                <w:szCs w:val="18"/>
                <w:lang w:val="pt-PT"/>
              </w:rPr>
              <w:t>, 125.6)</w:t>
            </w:r>
          </w:p>
        </w:tc>
        <w:tc>
          <w:tcPr>
            <w:tcW w:w="1135" w:type="dxa"/>
            <w:vMerge/>
            <w:tcBorders>
              <w:left w:val="single" w:sz="4" w:space="0" w:color="auto"/>
              <w:right w:val="nil"/>
            </w:tcBorders>
            <w:shd w:val="clear" w:color="auto" w:fill="D9D9D9" w:themeFill="background1" w:themeFillShade="D9"/>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AE752E" w:rsidRDefault="003E3225" w:rsidP="005A0854">
            <w:pPr>
              <w:jc w:val="center"/>
              <w:rPr>
                <w:rFonts w:ascii="Arial Narrow" w:hAnsi="Arial Narrow"/>
                <w:b/>
                <w:iCs/>
                <w:sz w:val="16"/>
                <w:szCs w:val="18"/>
                <w:lang w:val="pt-PT"/>
              </w:rPr>
            </w:pPr>
            <w:r w:rsidRPr="00AE752E">
              <w:rPr>
                <w:rFonts w:ascii="Arial Narrow" w:hAnsi="Arial Narrow"/>
                <w:b/>
                <w:iCs/>
                <w:sz w:val="16"/>
                <w:szCs w:val="18"/>
                <w:lang w:val="pt-PT"/>
              </w:rPr>
              <w:t>0.48 (0.33, 0.64)</w:t>
            </w:r>
          </w:p>
        </w:tc>
        <w:tc>
          <w:tcPr>
            <w:tcW w:w="854" w:type="dxa"/>
            <w:tcBorders>
              <w:top w:val="nil"/>
              <w:left w:val="single" w:sz="4" w:space="0" w:color="auto"/>
              <w:bottom w:val="nil"/>
            </w:tcBorders>
            <w:shd w:val="clear" w:color="auto" w:fill="D9D9D9" w:themeFill="background1" w:themeFillShade="D9"/>
            <w:vAlign w:val="center"/>
          </w:tcPr>
          <w:p w:rsidR="003E3225" w:rsidRPr="00AE752E" w:rsidRDefault="003E3225" w:rsidP="005A0854">
            <w:pPr>
              <w:jc w:val="center"/>
              <w:rPr>
                <w:rFonts w:ascii="Arial Narrow" w:hAnsi="Arial Narrow"/>
                <w:i/>
                <w:sz w:val="16"/>
                <w:szCs w:val="16"/>
                <w:lang w:val="pt-PT"/>
              </w:rPr>
            </w:pPr>
            <w:r w:rsidRPr="00AE752E">
              <w:rPr>
                <w:rFonts w:ascii="Arial Narrow" w:hAnsi="Arial Narrow"/>
                <w:i/>
                <w:sz w:val="16"/>
                <w:szCs w:val="16"/>
                <w:lang w:val="pt-PT"/>
              </w:rPr>
              <w:t>2 (2, 3)</w:t>
            </w:r>
          </w:p>
        </w:tc>
      </w:tr>
      <w:tr w:rsidR="003E3225" w:rsidRPr="00726E7D" w:rsidTr="005A0854">
        <w:trPr>
          <w:trHeight w:val="170"/>
        </w:trPr>
        <w:tc>
          <w:tcPr>
            <w:tcW w:w="1134" w:type="dxa"/>
            <w:shd w:val="clear" w:color="auto" w:fill="D9D9D9" w:themeFill="background1" w:themeFillShade="D9"/>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ADA4</w:t>
            </w:r>
            <w:r w:rsidRPr="00FD7676">
              <w:rPr>
                <w:rFonts w:ascii="Arial Narrow" w:hAnsi="Arial Narrow"/>
                <w:iCs/>
                <w:sz w:val="18"/>
                <w:szCs w:val="18"/>
                <w:vertAlign w:val="superscript"/>
                <w:lang w:val="fr-FR"/>
              </w:rPr>
              <w:t>b</w:t>
            </w:r>
          </w:p>
        </w:tc>
        <w:tc>
          <w:tcPr>
            <w:tcW w:w="1134" w:type="dxa"/>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27/43 (62.8)</w:t>
            </w:r>
          </w:p>
        </w:tc>
        <w:tc>
          <w:tcPr>
            <w:tcW w:w="1276" w:type="dxa"/>
            <w:tcBorders>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2/46 (4.3)</w:t>
            </w:r>
          </w:p>
        </w:tc>
        <w:tc>
          <w:tcPr>
            <w:tcW w:w="1276" w:type="dxa"/>
            <w:tcBorders>
              <w:top w:val="nil"/>
              <w:left w:val="nil"/>
              <w:bottom w:val="nil"/>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b/>
                <w:i/>
                <w:sz w:val="16"/>
                <w:szCs w:val="18"/>
                <w:lang w:val="pt-PT"/>
              </w:rPr>
            </w:pPr>
            <w:r w:rsidRPr="00AE752E">
              <w:rPr>
                <w:rFonts w:ascii="Arial Narrow" w:hAnsi="Arial Narrow"/>
                <w:b/>
                <w:i/>
                <w:sz w:val="16"/>
                <w:szCs w:val="18"/>
                <w:lang w:val="pt-PT"/>
              </w:rPr>
              <w:t>14.4</w:t>
            </w:r>
            <w:r>
              <w:rPr>
                <w:rFonts w:ascii="Arial Narrow" w:hAnsi="Arial Narrow"/>
                <w:b/>
                <w:i/>
                <w:sz w:val="16"/>
                <w:szCs w:val="18"/>
                <w:lang w:val="pt-PT"/>
              </w:rPr>
              <w:t>4 (3.65</w:t>
            </w:r>
            <w:r w:rsidRPr="00AE752E">
              <w:rPr>
                <w:rFonts w:ascii="Arial Narrow" w:hAnsi="Arial Narrow"/>
                <w:b/>
                <w:i/>
                <w:sz w:val="16"/>
                <w:szCs w:val="18"/>
                <w:lang w:val="pt-PT"/>
              </w:rPr>
              <w:t>, 57.1</w:t>
            </w:r>
            <w:r>
              <w:rPr>
                <w:rFonts w:ascii="Arial Narrow" w:hAnsi="Arial Narrow"/>
                <w:b/>
                <w:i/>
                <w:sz w:val="16"/>
                <w:szCs w:val="18"/>
                <w:lang w:val="pt-PT"/>
              </w:rPr>
              <w:t>1</w:t>
            </w:r>
            <w:r w:rsidRPr="00AE752E">
              <w:rPr>
                <w:rFonts w:ascii="Arial Narrow" w:hAnsi="Arial Narrow"/>
                <w:b/>
                <w:i/>
                <w:sz w:val="16"/>
                <w:szCs w:val="18"/>
                <w:lang w:val="pt-PT"/>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8212BA" w:rsidRDefault="003E3225" w:rsidP="005A0854">
            <w:pPr>
              <w:jc w:val="center"/>
              <w:rPr>
                <w:rFonts w:ascii="Arial Narrow" w:hAnsi="Arial Narrow"/>
                <w:b/>
                <w:i/>
                <w:sz w:val="16"/>
                <w:szCs w:val="18"/>
                <w:lang w:val="pt-PT"/>
              </w:rPr>
            </w:pPr>
            <w:r w:rsidRPr="008212BA">
              <w:rPr>
                <w:rFonts w:ascii="Arial Narrow" w:hAnsi="Arial Narrow"/>
                <w:b/>
                <w:i/>
                <w:sz w:val="16"/>
                <w:szCs w:val="18"/>
                <w:lang w:val="pt-PT"/>
              </w:rPr>
              <w:t>37.1</w:t>
            </w:r>
            <w:r>
              <w:rPr>
                <w:rFonts w:ascii="Arial Narrow" w:hAnsi="Arial Narrow"/>
                <w:b/>
                <w:i/>
                <w:sz w:val="16"/>
                <w:szCs w:val="18"/>
                <w:lang w:val="pt-PT"/>
              </w:rPr>
              <w:t>3</w:t>
            </w:r>
            <w:r w:rsidRPr="008212BA">
              <w:rPr>
                <w:rFonts w:ascii="Arial Narrow" w:hAnsi="Arial Narrow"/>
                <w:b/>
                <w:i/>
                <w:sz w:val="16"/>
                <w:szCs w:val="18"/>
                <w:lang w:val="pt-PT"/>
              </w:rPr>
              <w:t xml:space="preserve"> (7.9</w:t>
            </w:r>
            <w:r>
              <w:rPr>
                <w:rFonts w:ascii="Arial Narrow" w:hAnsi="Arial Narrow"/>
                <w:b/>
                <w:i/>
                <w:sz w:val="16"/>
                <w:szCs w:val="18"/>
                <w:lang w:val="pt-PT"/>
              </w:rPr>
              <w:t>1</w:t>
            </w:r>
            <w:r w:rsidRPr="008212BA">
              <w:rPr>
                <w:rFonts w:ascii="Arial Narrow" w:hAnsi="Arial Narrow"/>
                <w:b/>
                <w:i/>
                <w:sz w:val="16"/>
                <w:szCs w:val="18"/>
                <w:lang w:val="pt-PT"/>
              </w:rPr>
              <w:t>, 174.2)</w:t>
            </w:r>
          </w:p>
        </w:tc>
        <w:tc>
          <w:tcPr>
            <w:tcW w:w="1135" w:type="dxa"/>
            <w:vMerge/>
            <w:tcBorders>
              <w:left w:val="single" w:sz="4" w:space="0" w:color="auto"/>
              <w:right w:val="nil"/>
            </w:tcBorders>
            <w:shd w:val="clear" w:color="auto" w:fill="D9D9D9" w:themeFill="background1" w:themeFillShade="D9"/>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AE752E" w:rsidRDefault="003E3225" w:rsidP="005A0854">
            <w:pPr>
              <w:jc w:val="center"/>
              <w:rPr>
                <w:rFonts w:ascii="Arial Narrow" w:hAnsi="Arial Narrow"/>
                <w:b/>
                <w:iCs/>
                <w:sz w:val="16"/>
                <w:szCs w:val="18"/>
                <w:lang w:val="pt-PT"/>
              </w:rPr>
            </w:pPr>
            <w:r w:rsidRPr="00AE752E">
              <w:rPr>
                <w:rFonts w:ascii="Arial Narrow" w:hAnsi="Arial Narrow"/>
                <w:b/>
                <w:iCs/>
                <w:sz w:val="16"/>
                <w:szCs w:val="18"/>
                <w:lang w:val="pt-PT"/>
              </w:rPr>
              <w:t>0.58 (0.43, 0.74)</w:t>
            </w:r>
          </w:p>
        </w:tc>
        <w:tc>
          <w:tcPr>
            <w:tcW w:w="854" w:type="dxa"/>
            <w:tcBorders>
              <w:top w:val="nil"/>
              <w:left w:val="single" w:sz="4" w:space="0" w:color="auto"/>
              <w:bottom w:val="nil"/>
            </w:tcBorders>
            <w:shd w:val="clear" w:color="auto" w:fill="D9D9D9" w:themeFill="background1" w:themeFillShade="D9"/>
            <w:vAlign w:val="center"/>
          </w:tcPr>
          <w:p w:rsidR="003E3225" w:rsidRPr="00AE752E" w:rsidRDefault="003E3225" w:rsidP="005A0854">
            <w:pPr>
              <w:jc w:val="center"/>
              <w:rPr>
                <w:rFonts w:ascii="Arial Narrow" w:hAnsi="Arial Narrow"/>
                <w:i/>
                <w:sz w:val="16"/>
                <w:szCs w:val="16"/>
                <w:lang w:val="pt-PT"/>
              </w:rPr>
            </w:pPr>
            <w:r w:rsidRPr="00AE752E">
              <w:rPr>
                <w:rFonts w:ascii="Arial Narrow" w:hAnsi="Arial Narrow"/>
                <w:i/>
                <w:sz w:val="16"/>
                <w:szCs w:val="16"/>
                <w:lang w:val="pt-PT"/>
              </w:rPr>
              <w:t>2 (1, 2)</w:t>
            </w:r>
          </w:p>
        </w:tc>
      </w:tr>
      <w:tr w:rsidR="003E3225" w:rsidRPr="00726E7D" w:rsidTr="005A0854">
        <w:trPr>
          <w:trHeight w:val="170"/>
        </w:trPr>
        <w:tc>
          <w:tcPr>
            <w:tcW w:w="1134" w:type="dxa"/>
            <w:shd w:val="clear" w:color="auto" w:fill="D9D9D9" w:themeFill="background1" w:themeFillShade="D9"/>
          </w:tcPr>
          <w:p w:rsidR="003E3225" w:rsidRPr="006864F9" w:rsidRDefault="003E3225" w:rsidP="005A0854">
            <w:pPr>
              <w:ind w:left="110"/>
              <w:jc w:val="left"/>
              <w:rPr>
                <w:rFonts w:ascii="Arial Narrow" w:hAnsi="Arial Narrow"/>
                <w:iCs/>
                <w:sz w:val="18"/>
                <w:szCs w:val="18"/>
                <w:lang w:val="fr-FR"/>
              </w:rPr>
            </w:pPr>
            <w:r w:rsidRPr="006864F9">
              <w:rPr>
                <w:rFonts w:ascii="Arial Narrow" w:hAnsi="Arial Narrow"/>
                <w:iCs/>
                <w:sz w:val="18"/>
                <w:szCs w:val="18"/>
                <w:lang w:val="fr-FR"/>
              </w:rPr>
              <w:t>ADA5</w:t>
            </w:r>
          </w:p>
        </w:tc>
        <w:tc>
          <w:tcPr>
            <w:tcW w:w="1134" w:type="dxa"/>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263/338 (77.8)</w:t>
            </w:r>
          </w:p>
        </w:tc>
        <w:tc>
          <w:tcPr>
            <w:tcW w:w="1276" w:type="dxa"/>
            <w:tcBorders>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iCs/>
                <w:sz w:val="18"/>
                <w:szCs w:val="18"/>
                <w:lang w:val="pt-PT"/>
              </w:rPr>
            </w:pPr>
            <w:r w:rsidRPr="00AE752E">
              <w:rPr>
                <w:rFonts w:ascii="Arial Narrow" w:hAnsi="Arial Narrow"/>
                <w:iCs/>
                <w:sz w:val="18"/>
                <w:szCs w:val="18"/>
                <w:lang w:val="pt-PT"/>
              </w:rPr>
              <w:t>10/87 (11.5)</w:t>
            </w:r>
          </w:p>
        </w:tc>
        <w:tc>
          <w:tcPr>
            <w:tcW w:w="1276" w:type="dxa"/>
            <w:tcBorders>
              <w:top w:val="nil"/>
              <w:left w:val="nil"/>
              <w:bottom w:val="nil"/>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b/>
                <w:i/>
                <w:sz w:val="16"/>
                <w:szCs w:val="18"/>
                <w:lang w:val="pt-PT"/>
              </w:rPr>
            </w:pPr>
            <w:r>
              <w:rPr>
                <w:rFonts w:ascii="Arial Narrow" w:hAnsi="Arial Narrow"/>
                <w:b/>
                <w:i/>
                <w:sz w:val="16"/>
                <w:szCs w:val="18"/>
                <w:lang w:val="pt-PT"/>
              </w:rPr>
              <w:t>6.77 (3.77, 12.16</w:t>
            </w:r>
            <w:r w:rsidRPr="00AE752E">
              <w:rPr>
                <w:rFonts w:ascii="Arial Narrow" w:hAnsi="Arial Narrow"/>
                <w:b/>
                <w:i/>
                <w:sz w:val="16"/>
                <w:szCs w:val="18"/>
                <w:lang w:val="pt-PT"/>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8212BA" w:rsidRDefault="003E3225" w:rsidP="005A0854">
            <w:pPr>
              <w:jc w:val="center"/>
              <w:rPr>
                <w:rFonts w:ascii="Arial Narrow" w:hAnsi="Arial Narrow"/>
                <w:b/>
                <w:i/>
                <w:sz w:val="16"/>
                <w:szCs w:val="18"/>
                <w:lang w:val="pt-PT"/>
              </w:rPr>
            </w:pPr>
            <w:r w:rsidRPr="008212BA">
              <w:rPr>
                <w:rFonts w:ascii="Arial Narrow" w:hAnsi="Arial Narrow"/>
                <w:b/>
                <w:i/>
                <w:sz w:val="16"/>
                <w:szCs w:val="18"/>
                <w:lang w:val="pt-PT"/>
              </w:rPr>
              <w:t>27.0</w:t>
            </w:r>
            <w:r>
              <w:rPr>
                <w:rFonts w:ascii="Arial Narrow" w:hAnsi="Arial Narrow"/>
                <w:b/>
                <w:i/>
                <w:sz w:val="16"/>
                <w:szCs w:val="18"/>
                <w:lang w:val="pt-PT"/>
              </w:rPr>
              <w:t>0</w:t>
            </w:r>
            <w:r w:rsidRPr="008212BA">
              <w:rPr>
                <w:rFonts w:ascii="Arial Narrow" w:hAnsi="Arial Narrow"/>
                <w:b/>
                <w:i/>
                <w:sz w:val="16"/>
                <w:szCs w:val="18"/>
                <w:lang w:val="pt-PT"/>
              </w:rPr>
              <w:t xml:space="preserve"> (13.3</w:t>
            </w:r>
            <w:r>
              <w:rPr>
                <w:rFonts w:ascii="Arial Narrow" w:hAnsi="Arial Narrow"/>
                <w:b/>
                <w:i/>
                <w:sz w:val="16"/>
                <w:szCs w:val="18"/>
                <w:lang w:val="pt-PT"/>
              </w:rPr>
              <w:t>1, 54.76</w:t>
            </w:r>
            <w:r w:rsidRPr="008212BA">
              <w:rPr>
                <w:rFonts w:ascii="Arial Narrow" w:hAnsi="Arial Narrow"/>
                <w:b/>
                <w:i/>
                <w:sz w:val="16"/>
                <w:szCs w:val="18"/>
                <w:lang w:val="pt-PT"/>
              </w:rPr>
              <w:t>)</w:t>
            </w:r>
          </w:p>
        </w:tc>
        <w:tc>
          <w:tcPr>
            <w:tcW w:w="1135" w:type="dxa"/>
            <w:vMerge/>
            <w:tcBorders>
              <w:left w:val="single" w:sz="4" w:space="0" w:color="auto"/>
              <w:right w:val="nil"/>
            </w:tcBorders>
            <w:shd w:val="clear" w:color="auto" w:fill="D9D9D9" w:themeFill="background1" w:themeFillShade="D9"/>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AE752E" w:rsidRDefault="003E3225" w:rsidP="005A0854">
            <w:pPr>
              <w:jc w:val="center"/>
              <w:rPr>
                <w:rFonts w:ascii="Arial Narrow" w:hAnsi="Arial Narrow"/>
                <w:b/>
                <w:iCs/>
                <w:sz w:val="16"/>
                <w:szCs w:val="18"/>
                <w:lang w:val="pt-PT"/>
              </w:rPr>
            </w:pPr>
            <w:r w:rsidRPr="00AE752E">
              <w:rPr>
                <w:rFonts w:ascii="Arial Narrow" w:hAnsi="Arial Narrow"/>
                <w:b/>
                <w:iCs/>
                <w:sz w:val="16"/>
                <w:szCs w:val="18"/>
                <w:lang w:val="pt-PT"/>
              </w:rPr>
              <w:t>0.66 (0.58, 0.74)</w:t>
            </w:r>
          </w:p>
        </w:tc>
        <w:tc>
          <w:tcPr>
            <w:tcW w:w="854" w:type="dxa"/>
            <w:tcBorders>
              <w:top w:val="nil"/>
              <w:left w:val="single" w:sz="4" w:space="0" w:color="auto"/>
              <w:bottom w:val="nil"/>
            </w:tcBorders>
            <w:shd w:val="clear" w:color="auto" w:fill="D9D9D9" w:themeFill="background1" w:themeFillShade="D9"/>
            <w:vAlign w:val="center"/>
          </w:tcPr>
          <w:p w:rsidR="003E3225" w:rsidRPr="00AE752E" w:rsidRDefault="003E3225" w:rsidP="005A0854">
            <w:pPr>
              <w:jc w:val="center"/>
              <w:rPr>
                <w:rFonts w:ascii="Arial Narrow" w:hAnsi="Arial Narrow"/>
                <w:i/>
                <w:sz w:val="16"/>
                <w:szCs w:val="16"/>
                <w:lang w:val="pt-PT"/>
              </w:rPr>
            </w:pPr>
            <w:r w:rsidRPr="00AE752E">
              <w:rPr>
                <w:rFonts w:ascii="Arial Narrow" w:hAnsi="Arial Narrow"/>
                <w:i/>
                <w:sz w:val="16"/>
                <w:szCs w:val="16"/>
                <w:lang w:val="pt-PT"/>
              </w:rPr>
              <w:t>2 (1, 2)</w:t>
            </w:r>
          </w:p>
        </w:tc>
      </w:tr>
      <w:tr w:rsidR="003E3225" w:rsidRPr="00246B53" w:rsidTr="005A0854">
        <w:trPr>
          <w:trHeight w:val="170"/>
        </w:trPr>
        <w:tc>
          <w:tcPr>
            <w:tcW w:w="1134" w:type="dxa"/>
            <w:shd w:val="clear" w:color="auto" w:fill="D9D9D9" w:themeFill="background1" w:themeFillShade="D9"/>
          </w:tcPr>
          <w:p w:rsidR="003E3225" w:rsidRPr="00713631" w:rsidRDefault="003E3225" w:rsidP="005A0854">
            <w:pPr>
              <w:jc w:val="right"/>
              <w:rPr>
                <w:rFonts w:ascii="Arial Narrow" w:hAnsi="Arial Narrow"/>
                <w:iCs/>
                <w:sz w:val="18"/>
                <w:szCs w:val="18"/>
                <w:lang w:val="fr-FR"/>
              </w:rPr>
            </w:pPr>
            <w:r w:rsidRPr="00713631">
              <w:rPr>
                <w:rFonts w:ascii="Arial Narrow" w:hAnsi="Arial Narrow"/>
                <w:bCs/>
                <w:sz w:val="18"/>
                <w:szCs w:val="18"/>
              </w:rPr>
              <w:t>Pooled</w:t>
            </w:r>
          </w:p>
        </w:tc>
        <w:tc>
          <w:tcPr>
            <w:tcW w:w="1134" w:type="dxa"/>
            <w:shd w:val="clear" w:color="auto" w:fill="D9D9D9" w:themeFill="background1" w:themeFillShade="D9"/>
          </w:tcPr>
          <w:p w:rsidR="003E3225" w:rsidRPr="00AE752E" w:rsidRDefault="003E3225" w:rsidP="005A0854">
            <w:pPr>
              <w:jc w:val="center"/>
              <w:rPr>
                <w:rFonts w:ascii="Arial Narrow" w:hAnsi="Arial Narrow"/>
                <w:iCs/>
                <w:sz w:val="18"/>
                <w:szCs w:val="18"/>
                <w:lang w:val="fr-FR"/>
              </w:rPr>
            </w:pPr>
            <w:r w:rsidRPr="00AE752E">
              <w:rPr>
                <w:rFonts w:ascii="Arial Narrow" w:hAnsi="Arial Narrow"/>
                <w:iCs/>
                <w:sz w:val="18"/>
                <w:szCs w:val="18"/>
                <w:lang w:val="fr-FR"/>
              </w:rPr>
              <w:t>978/1349 (72.5)</w:t>
            </w:r>
          </w:p>
        </w:tc>
        <w:tc>
          <w:tcPr>
            <w:tcW w:w="1276" w:type="dxa"/>
            <w:tcBorders>
              <w:right w:val="single" w:sz="4" w:space="0" w:color="auto"/>
            </w:tcBorders>
            <w:shd w:val="clear" w:color="auto" w:fill="D9D9D9" w:themeFill="background1" w:themeFillShade="D9"/>
          </w:tcPr>
          <w:p w:rsidR="003E3225" w:rsidRPr="00AE752E" w:rsidRDefault="003E3225" w:rsidP="005A0854">
            <w:pPr>
              <w:jc w:val="center"/>
              <w:rPr>
                <w:rFonts w:ascii="Arial Narrow" w:hAnsi="Arial Narrow"/>
                <w:iCs/>
                <w:sz w:val="18"/>
                <w:szCs w:val="18"/>
                <w:lang w:val="fr-FR"/>
              </w:rPr>
            </w:pPr>
            <w:r w:rsidRPr="00AE752E">
              <w:rPr>
                <w:rFonts w:ascii="Arial Narrow" w:hAnsi="Arial Narrow"/>
                <w:iCs/>
                <w:sz w:val="18"/>
                <w:szCs w:val="18"/>
                <w:lang w:val="fr-FR"/>
              </w:rPr>
              <w:t>50/636 (7.9)</w:t>
            </w:r>
          </w:p>
        </w:tc>
        <w:tc>
          <w:tcPr>
            <w:tcW w:w="1276" w:type="dxa"/>
            <w:tcBorders>
              <w:top w:val="nil"/>
              <w:left w:val="nil"/>
              <w:bottom w:val="nil"/>
              <w:right w:val="single" w:sz="4" w:space="0" w:color="auto"/>
            </w:tcBorders>
            <w:shd w:val="clear" w:color="auto" w:fill="D9D9D9" w:themeFill="background1" w:themeFillShade="D9"/>
          </w:tcPr>
          <w:p w:rsidR="003E3225" w:rsidRPr="00246B53" w:rsidRDefault="003E3225" w:rsidP="005A0854">
            <w:pPr>
              <w:jc w:val="center"/>
              <w:rPr>
                <w:rFonts w:ascii="Arial Narrow" w:hAnsi="Arial Narrow"/>
                <w:b/>
                <w:i/>
                <w:sz w:val="16"/>
                <w:szCs w:val="18"/>
                <w:lang w:val="pt-PT"/>
              </w:rPr>
            </w:pPr>
            <w:r w:rsidRPr="00246B53">
              <w:rPr>
                <w:rFonts w:ascii="Arial Narrow" w:hAnsi="Arial Narrow"/>
                <w:b/>
                <w:i/>
                <w:sz w:val="16"/>
                <w:szCs w:val="18"/>
                <w:lang w:val="pt-PT"/>
              </w:rPr>
              <w:t>7.</w:t>
            </w:r>
            <w:r>
              <w:rPr>
                <w:rFonts w:ascii="Arial Narrow" w:hAnsi="Arial Narrow"/>
                <w:b/>
                <w:i/>
                <w:sz w:val="16"/>
                <w:szCs w:val="18"/>
                <w:lang w:val="pt-PT"/>
              </w:rPr>
              <w:t>97 (4.96</w:t>
            </w:r>
            <w:r w:rsidRPr="00246B53">
              <w:rPr>
                <w:rFonts w:ascii="Arial Narrow" w:hAnsi="Arial Narrow"/>
                <w:b/>
                <w:i/>
                <w:sz w:val="16"/>
                <w:szCs w:val="18"/>
                <w:lang w:val="pt-PT"/>
              </w:rPr>
              <w:t>, 12.8</w:t>
            </w:r>
            <w:r>
              <w:rPr>
                <w:rFonts w:ascii="Arial Narrow" w:hAnsi="Arial Narrow"/>
                <w:b/>
                <w:i/>
                <w:sz w:val="16"/>
                <w:szCs w:val="18"/>
                <w:lang w:val="pt-PT"/>
              </w:rPr>
              <w:t>1</w:t>
            </w:r>
            <w:r w:rsidRPr="00246B53">
              <w:rPr>
                <w:rFonts w:ascii="Arial Narrow" w:hAnsi="Arial Narrow"/>
                <w:b/>
                <w:i/>
                <w:sz w:val="16"/>
                <w:szCs w:val="18"/>
                <w:lang w:val="pt-PT"/>
              </w:rPr>
              <w:t>)</w:t>
            </w:r>
          </w:p>
        </w:tc>
        <w:tc>
          <w:tcPr>
            <w:tcW w:w="1275" w:type="dxa"/>
            <w:tcBorders>
              <w:top w:val="nil"/>
              <w:left w:val="single" w:sz="4" w:space="0" w:color="auto"/>
              <w:bottom w:val="nil"/>
              <w:right w:val="single" w:sz="4" w:space="0" w:color="auto"/>
            </w:tcBorders>
            <w:shd w:val="clear" w:color="auto" w:fill="D9D9D9" w:themeFill="background1" w:themeFillShade="D9"/>
            <w:vAlign w:val="center"/>
          </w:tcPr>
          <w:p w:rsidR="003E3225" w:rsidRPr="008212BA" w:rsidRDefault="003E3225" w:rsidP="005A0854">
            <w:pPr>
              <w:jc w:val="center"/>
              <w:rPr>
                <w:rFonts w:ascii="Arial Narrow" w:hAnsi="Arial Narrow"/>
                <w:b/>
                <w:i/>
                <w:sz w:val="16"/>
                <w:szCs w:val="18"/>
                <w:lang w:val="pt-PT"/>
              </w:rPr>
            </w:pPr>
            <w:r>
              <w:rPr>
                <w:rFonts w:ascii="Arial Narrow" w:hAnsi="Arial Narrow"/>
                <w:b/>
                <w:i/>
                <w:sz w:val="16"/>
                <w:szCs w:val="18"/>
                <w:lang w:val="pt-PT"/>
              </w:rPr>
              <w:t>29.57 (21.49, 40.69</w:t>
            </w:r>
            <w:r w:rsidRPr="008212BA">
              <w:rPr>
                <w:rFonts w:ascii="Arial Narrow" w:hAnsi="Arial Narrow"/>
                <w:b/>
                <w:i/>
                <w:sz w:val="16"/>
                <w:szCs w:val="18"/>
                <w:lang w:val="pt-PT"/>
              </w:rPr>
              <w:t>)</w:t>
            </w:r>
          </w:p>
        </w:tc>
        <w:tc>
          <w:tcPr>
            <w:tcW w:w="1135" w:type="dxa"/>
            <w:vMerge/>
            <w:tcBorders>
              <w:left w:val="single" w:sz="4" w:space="0" w:color="auto"/>
              <w:right w:val="nil"/>
            </w:tcBorders>
            <w:shd w:val="clear" w:color="auto" w:fill="D9D9D9" w:themeFill="background1" w:themeFillShade="D9"/>
          </w:tcPr>
          <w:p w:rsidR="003E3225" w:rsidRPr="00246B53"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D9D9D9" w:themeFill="background1" w:themeFillShade="D9"/>
            <w:vAlign w:val="center"/>
          </w:tcPr>
          <w:p w:rsidR="003E3225" w:rsidRPr="00246B53" w:rsidRDefault="003E3225" w:rsidP="005A0854">
            <w:pPr>
              <w:jc w:val="center"/>
              <w:rPr>
                <w:rFonts w:ascii="Arial Narrow" w:hAnsi="Arial Narrow"/>
                <w:b/>
                <w:iCs/>
                <w:sz w:val="16"/>
                <w:szCs w:val="18"/>
                <w:lang w:val="pt-PT"/>
              </w:rPr>
            </w:pPr>
            <w:r w:rsidRPr="00246B53">
              <w:rPr>
                <w:rFonts w:ascii="Arial Narrow" w:hAnsi="Arial Narrow"/>
                <w:b/>
                <w:iCs/>
                <w:sz w:val="16"/>
                <w:szCs w:val="18"/>
                <w:lang w:val="pt-PT"/>
              </w:rPr>
              <w:t>0.63 (0.58, 0.67)</w:t>
            </w:r>
          </w:p>
        </w:tc>
        <w:tc>
          <w:tcPr>
            <w:tcW w:w="854" w:type="dxa"/>
            <w:tcBorders>
              <w:top w:val="nil"/>
              <w:left w:val="single" w:sz="4" w:space="0" w:color="auto"/>
              <w:bottom w:val="nil"/>
            </w:tcBorders>
            <w:shd w:val="clear" w:color="auto" w:fill="D9D9D9" w:themeFill="background1" w:themeFillShade="D9"/>
            <w:vAlign w:val="center"/>
          </w:tcPr>
          <w:p w:rsidR="003E3225" w:rsidRPr="00246B53" w:rsidRDefault="003E3225" w:rsidP="005A0854">
            <w:pPr>
              <w:jc w:val="center"/>
              <w:rPr>
                <w:rFonts w:ascii="Arial Narrow" w:hAnsi="Arial Narrow"/>
                <w:i/>
                <w:sz w:val="16"/>
                <w:szCs w:val="16"/>
                <w:lang w:val="pt-PT"/>
              </w:rPr>
            </w:pPr>
            <w:r w:rsidRPr="00246B53">
              <w:rPr>
                <w:rFonts w:ascii="Arial Narrow" w:hAnsi="Arial Narrow"/>
                <w:i/>
                <w:sz w:val="16"/>
                <w:szCs w:val="16"/>
                <w:lang w:val="pt-PT"/>
              </w:rPr>
              <w:t>2 (1, 2)</w:t>
            </w:r>
          </w:p>
        </w:tc>
      </w:tr>
      <w:tr w:rsidR="003E3225" w:rsidRPr="00B94EC6" w:rsidTr="005A0854">
        <w:trPr>
          <w:trHeight w:val="170"/>
        </w:trPr>
        <w:tc>
          <w:tcPr>
            <w:tcW w:w="3544" w:type="dxa"/>
            <w:gridSpan w:val="3"/>
            <w:tcBorders>
              <w:right w:val="single" w:sz="4" w:space="0" w:color="auto"/>
            </w:tcBorders>
            <w:shd w:val="clear" w:color="auto" w:fill="auto"/>
          </w:tcPr>
          <w:p w:rsidR="003E3225" w:rsidRPr="00AB11AB" w:rsidRDefault="003E3225" w:rsidP="00A67917">
            <w:pPr>
              <w:jc w:val="left"/>
              <w:rPr>
                <w:rFonts w:ascii="Arial Narrow" w:hAnsi="Arial Narrow"/>
                <w:b/>
                <w:i/>
                <w:color w:val="FF0000"/>
                <w:sz w:val="18"/>
                <w:szCs w:val="18"/>
                <w:lang w:val="pt-PT"/>
              </w:rPr>
            </w:pPr>
            <w:r w:rsidRPr="00AB11AB">
              <w:rPr>
                <w:rFonts w:ascii="Arial Narrow" w:hAnsi="Arial Narrow"/>
                <w:b/>
                <w:i/>
                <w:color w:val="FF0000"/>
                <w:sz w:val="18"/>
                <w:szCs w:val="18"/>
                <w:lang w:val="pt-PT"/>
              </w:rPr>
              <w:t>Indirect comparisons</w:t>
            </w:r>
            <w:r>
              <w:rPr>
                <w:rFonts w:ascii="Arial Narrow" w:hAnsi="Arial Narrow"/>
                <w:b/>
                <w:i/>
                <w:color w:val="FF0000"/>
                <w:sz w:val="18"/>
                <w:szCs w:val="18"/>
                <w:lang w:val="pt-PT"/>
              </w:rPr>
              <w:t>: TIL vs comparators</w:t>
            </w:r>
          </w:p>
        </w:tc>
        <w:tc>
          <w:tcPr>
            <w:tcW w:w="1276" w:type="dxa"/>
            <w:tcBorders>
              <w:top w:val="nil"/>
              <w:left w:val="nil"/>
              <w:bottom w:val="nil"/>
              <w:right w:val="single" w:sz="4" w:space="0" w:color="auto"/>
            </w:tcBorders>
          </w:tcPr>
          <w:p w:rsidR="003E3225" w:rsidRPr="00AB11AB" w:rsidRDefault="003E3225" w:rsidP="005A0854">
            <w:pPr>
              <w:jc w:val="center"/>
              <w:rPr>
                <w:rFonts w:ascii="Arial Narrow" w:hAnsi="Arial Narrow"/>
                <w:b/>
                <w:bCs/>
                <w:i/>
                <w:color w:val="FF0000"/>
                <w:sz w:val="16"/>
                <w:szCs w:val="18"/>
                <w:lang w:val="pt-PT"/>
              </w:rPr>
            </w:pPr>
          </w:p>
        </w:tc>
        <w:tc>
          <w:tcPr>
            <w:tcW w:w="1275" w:type="dxa"/>
            <w:tcBorders>
              <w:top w:val="nil"/>
              <w:left w:val="single" w:sz="4" w:space="0" w:color="auto"/>
              <w:bottom w:val="nil"/>
              <w:right w:val="single" w:sz="4" w:space="0" w:color="auto"/>
            </w:tcBorders>
            <w:shd w:val="clear" w:color="auto" w:fill="auto"/>
            <w:vAlign w:val="center"/>
          </w:tcPr>
          <w:p w:rsidR="003E3225" w:rsidRPr="00B94EC6" w:rsidRDefault="003E3225" w:rsidP="005A0854">
            <w:pPr>
              <w:jc w:val="center"/>
              <w:rPr>
                <w:rFonts w:ascii="Arial Narrow" w:hAnsi="Arial Narrow"/>
                <w:b/>
                <w:bCs/>
                <w:iCs/>
                <w:sz w:val="16"/>
                <w:szCs w:val="18"/>
                <w:lang w:val="pt-PT"/>
              </w:rPr>
            </w:pPr>
          </w:p>
        </w:tc>
        <w:tc>
          <w:tcPr>
            <w:tcW w:w="1135" w:type="dxa"/>
            <w:vMerge/>
            <w:tcBorders>
              <w:left w:val="single" w:sz="4" w:space="0" w:color="auto"/>
              <w:right w:val="nil"/>
            </w:tcBorders>
            <w:shd w:val="clear" w:color="auto" w:fill="FFFFFF" w:themeFill="background1"/>
          </w:tcPr>
          <w:p w:rsidR="003E3225" w:rsidRPr="00B94EC6" w:rsidRDefault="003E3225" w:rsidP="005A0854">
            <w:pPr>
              <w:rPr>
                <w:rFonts w:ascii="Arial Narrow" w:hAnsi="Arial Narrow"/>
                <w:b/>
                <w:bCs/>
                <w:iCs/>
                <w:sz w:val="18"/>
                <w:szCs w:val="18"/>
                <w:lang w:val="pt-PT"/>
              </w:rPr>
            </w:pPr>
          </w:p>
        </w:tc>
        <w:tc>
          <w:tcPr>
            <w:tcW w:w="1134" w:type="dxa"/>
            <w:tcBorders>
              <w:top w:val="nil"/>
              <w:left w:val="nil"/>
              <w:bottom w:val="nil"/>
              <w:right w:val="single" w:sz="4" w:space="0" w:color="auto"/>
            </w:tcBorders>
            <w:shd w:val="clear" w:color="auto" w:fill="auto"/>
            <w:vAlign w:val="center"/>
          </w:tcPr>
          <w:p w:rsidR="003E3225" w:rsidRPr="00B94EC6" w:rsidRDefault="003E3225" w:rsidP="005A0854">
            <w:pPr>
              <w:jc w:val="center"/>
              <w:rPr>
                <w:rFonts w:ascii="Arial Narrow" w:hAnsi="Arial Narrow"/>
                <w:b/>
                <w:bCs/>
                <w:i/>
                <w:sz w:val="16"/>
                <w:szCs w:val="18"/>
                <w:lang w:val="pt-PT"/>
              </w:rPr>
            </w:pPr>
          </w:p>
        </w:tc>
        <w:tc>
          <w:tcPr>
            <w:tcW w:w="854" w:type="dxa"/>
            <w:tcBorders>
              <w:top w:val="nil"/>
              <w:left w:val="single" w:sz="4" w:space="0" w:color="auto"/>
              <w:bottom w:val="nil"/>
            </w:tcBorders>
            <w:vAlign w:val="center"/>
          </w:tcPr>
          <w:p w:rsidR="003E3225" w:rsidRPr="00B94EC6" w:rsidRDefault="003E3225" w:rsidP="005A0854">
            <w:pPr>
              <w:jc w:val="center"/>
              <w:rPr>
                <w:rFonts w:ascii="Arial Narrow" w:hAnsi="Arial Narrow"/>
                <w:b/>
                <w:i/>
                <w:sz w:val="16"/>
                <w:szCs w:val="16"/>
                <w:lang w:val="pt-PT"/>
              </w:rPr>
            </w:pPr>
          </w:p>
        </w:tc>
      </w:tr>
      <w:tr w:rsidR="003E3225" w:rsidRPr="00081EB5" w:rsidTr="005A0854">
        <w:trPr>
          <w:trHeight w:val="170"/>
        </w:trPr>
        <w:tc>
          <w:tcPr>
            <w:tcW w:w="3544" w:type="dxa"/>
            <w:gridSpan w:val="3"/>
            <w:tcBorders>
              <w:right w:val="single" w:sz="4" w:space="0" w:color="auto"/>
            </w:tcBorders>
            <w:shd w:val="clear" w:color="auto" w:fill="auto"/>
          </w:tcPr>
          <w:p w:rsidR="003E3225" w:rsidRPr="00081EB5" w:rsidRDefault="003E3225" w:rsidP="005A0854">
            <w:pPr>
              <w:jc w:val="right"/>
              <w:rPr>
                <w:rFonts w:ascii="Arial Narrow" w:hAnsi="Arial Narrow"/>
                <w:iCs/>
                <w:sz w:val="18"/>
                <w:szCs w:val="18"/>
              </w:rPr>
            </w:pPr>
            <w:r>
              <w:rPr>
                <w:rFonts w:ascii="Arial Narrow" w:hAnsi="Arial Narrow"/>
                <w:iCs/>
                <w:sz w:val="18"/>
                <w:szCs w:val="18"/>
              </w:rPr>
              <w:t>B: TIL vs</w:t>
            </w:r>
            <w:r w:rsidRPr="00081EB5">
              <w:rPr>
                <w:rFonts w:ascii="Arial Narrow" w:hAnsi="Arial Narrow"/>
                <w:iCs/>
                <w:sz w:val="18"/>
                <w:szCs w:val="18"/>
              </w:rPr>
              <w:t xml:space="preserve"> UST45mg</w:t>
            </w:r>
            <w:r>
              <w:rPr>
                <w:rFonts w:ascii="Arial Narrow" w:hAnsi="Arial Narrow"/>
                <w:iCs/>
                <w:sz w:val="18"/>
                <w:szCs w:val="18"/>
              </w:rPr>
              <w:t xml:space="preserve"> (TIL2 v UST1) via ETN</w:t>
            </w:r>
            <w:r w:rsidRPr="00081EB5">
              <w:rPr>
                <w:rFonts w:ascii="Arial Narrow" w:hAnsi="Arial Narrow"/>
                <w:iCs/>
                <w:sz w:val="18"/>
                <w:szCs w:val="18"/>
              </w:rPr>
              <w:t xml:space="preserve"> </w:t>
            </w:r>
            <w:r>
              <w:rPr>
                <w:rFonts w:ascii="Arial Narrow" w:hAnsi="Arial Narrow"/>
                <w:iCs/>
                <w:sz w:val="18"/>
                <w:szCs w:val="18"/>
              </w:rPr>
              <w:t xml:space="preserve"> </w:t>
            </w:r>
          </w:p>
        </w:tc>
        <w:tc>
          <w:tcPr>
            <w:tcW w:w="1276" w:type="dxa"/>
            <w:tcBorders>
              <w:top w:val="nil"/>
              <w:left w:val="nil"/>
              <w:bottom w:val="nil"/>
              <w:right w:val="single" w:sz="4" w:space="0" w:color="auto"/>
            </w:tcBorders>
          </w:tcPr>
          <w:p w:rsidR="003E3225" w:rsidRPr="00081EB5" w:rsidRDefault="003E3225" w:rsidP="005A0854">
            <w:pPr>
              <w:jc w:val="center"/>
              <w:rPr>
                <w:rFonts w:ascii="Arial Narrow" w:hAnsi="Arial Narrow"/>
                <w:iCs/>
                <w:sz w:val="16"/>
                <w:szCs w:val="16"/>
              </w:rPr>
            </w:pPr>
            <w:r w:rsidRPr="00081EB5">
              <w:rPr>
                <w:rFonts w:ascii="Arial Narrow" w:hAnsi="Arial Narrow"/>
                <w:iCs/>
                <w:sz w:val="16"/>
                <w:szCs w:val="16"/>
              </w:rPr>
              <w:t>1.14 (0.94, 1.39)</w:t>
            </w:r>
          </w:p>
        </w:tc>
        <w:tc>
          <w:tcPr>
            <w:tcW w:w="1275" w:type="dxa"/>
            <w:tcBorders>
              <w:top w:val="nil"/>
              <w:left w:val="single" w:sz="4" w:space="0" w:color="auto"/>
              <w:bottom w:val="nil"/>
              <w:right w:val="single" w:sz="4" w:space="0" w:color="auto"/>
            </w:tcBorders>
            <w:vAlign w:val="center"/>
          </w:tcPr>
          <w:p w:rsidR="003E3225" w:rsidRPr="00081EB5" w:rsidRDefault="003E3225" w:rsidP="005A0854">
            <w:pPr>
              <w:jc w:val="center"/>
              <w:rPr>
                <w:rFonts w:ascii="Arial Narrow" w:hAnsi="Arial Narrow"/>
                <w:bCs/>
                <w:iCs/>
                <w:sz w:val="16"/>
                <w:szCs w:val="18"/>
              </w:rPr>
            </w:pPr>
            <w:r w:rsidRPr="00081EB5">
              <w:rPr>
                <w:rFonts w:ascii="Arial Narrow" w:hAnsi="Arial Narrow"/>
                <w:bCs/>
                <w:iCs/>
                <w:sz w:val="16"/>
                <w:szCs w:val="18"/>
              </w:rPr>
              <w:t>1.30 (0.80, 2.10)</w:t>
            </w:r>
          </w:p>
        </w:tc>
        <w:tc>
          <w:tcPr>
            <w:tcW w:w="1135" w:type="dxa"/>
            <w:vMerge/>
            <w:tcBorders>
              <w:left w:val="single" w:sz="4" w:space="0" w:color="auto"/>
              <w:right w:val="nil"/>
            </w:tcBorders>
            <w:shd w:val="clear" w:color="auto" w:fill="auto"/>
          </w:tcPr>
          <w:p w:rsidR="003E3225" w:rsidRPr="00081EB5"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Pr="00081EB5" w:rsidRDefault="003E3225" w:rsidP="005A0854">
            <w:pPr>
              <w:jc w:val="center"/>
              <w:rPr>
                <w:rFonts w:ascii="Arial Narrow" w:hAnsi="Arial Narrow"/>
                <w:bCs/>
                <w:iCs/>
                <w:sz w:val="16"/>
                <w:szCs w:val="18"/>
              </w:rPr>
            </w:pPr>
            <w:r w:rsidRPr="00081EB5">
              <w:rPr>
                <w:rFonts w:ascii="Arial Narrow" w:hAnsi="Arial Narrow"/>
                <w:bCs/>
                <w:iCs/>
                <w:sz w:val="16"/>
                <w:szCs w:val="18"/>
              </w:rPr>
              <w:t>0.06 (-0.05, 0.17)</w:t>
            </w:r>
          </w:p>
        </w:tc>
        <w:tc>
          <w:tcPr>
            <w:tcW w:w="854" w:type="dxa"/>
            <w:tcBorders>
              <w:top w:val="nil"/>
              <w:left w:val="single" w:sz="4" w:space="0" w:color="auto"/>
              <w:bottom w:val="nil"/>
            </w:tcBorders>
            <w:vAlign w:val="center"/>
          </w:tcPr>
          <w:p w:rsidR="003E3225" w:rsidRPr="00081EB5" w:rsidRDefault="003E3225" w:rsidP="005A0854">
            <w:pPr>
              <w:jc w:val="center"/>
              <w:rPr>
                <w:rFonts w:ascii="Arial Narrow" w:hAnsi="Arial Narrow"/>
                <w:sz w:val="16"/>
                <w:szCs w:val="16"/>
              </w:rPr>
            </w:pPr>
            <w:r w:rsidRPr="00081EB5">
              <w:rPr>
                <w:rFonts w:ascii="Arial Narrow" w:hAnsi="Arial Narrow"/>
                <w:sz w:val="16"/>
                <w:szCs w:val="16"/>
              </w:rPr>
              <w:t>NA</w:t>
            </w:r>
          </w:p>
        </w:tc>
      </w:tr>
      <w:tr w:rsidR="003E3225" w:rsidRPr="00081EB5" w:rsidTr="005A0854">
        <w:trPr>
          <w:trHeight w:val="170"/>
        </w:trPr>
        <w:tc>
          <w:tcPr>
            <w:tcW w:w="3544" w:type="dxa"/>
            <w:gridSpan w:val="3"/>
            <w:tcBorders>
              <w:right w:val="single" w:sz="4" w:space="0" w:color="auto"/>
            </w:tcBorders>
            <w:shd w:val="clear" w:color="auto" w:fill="auto"/>
          </w:tcPr>
          <w:p w:rsidR="003E3225" w:rsidRPr="00081EB5" w:rsidRDefault="003E3225" w:rsidP="005A0854">
            <w:pPr>
              <w:jc w:val="right"/>
              <w:rPr>
                <w:rFonts w:ascii="Arial Narrow" w:hAnsi="Arial Narrow"/>
                <w:iCs/>
                <w:sz w:val="18"/>
                <w:szCs w:val="18"/>
              </w:rPr>
            </w:pPr>
            <w:r>
              <w:rPr>
                <w:rFonts w:ascii="Arial Narrow" w:hAnsi="Arial Narrow"/>
                <w:iCs/>
                <w:sz w:val="18"/>
                <w:szCs w:val="18"/>
              </w:rPr>
              <w:t>B: TIL vs UST 90mg (TIL2 v UST1) via ETN</w:t>
            </w:r>
          </w:p>
        </w:tc>
        <w:tc>
          <w:tcPr>
            <w:tcW w:w="1276" w:type="dxa"/>
            <w:tcBorders>
              <w:top w:val="nil"/>
              <w:left w:val="nil"/>
              <w:bottom w:val="nil"/>
              <w:right w:val="single" w:sz="4" w:space="0" w:color="auto"/>
            </w:tcBorders>
          </w:tcPr>
          <w:p w:rsidR="003E3225" w:rsidRPr="00081EB5" w:rsidRDefault="003E3225" w:rsidP="005A0854">
            <w:pPr>
              <w:jc w:val="center"/>
              <w:rPr>
                <w:rFonts w:ascii="Arial Narrow" w:hAnsi="Arial Narrow"/>
                <w:iCs/>
                <w:sz w:val="16"/>
                <w:szCs w:val="16"/>
              </w:rPr>
            </w:pPr>
            <w:r w:rsidRPr="00081EB5">
              <w:rPr>
                <w:rFonts w:ascii="Arial Narrow" w:hAnsi="Arial Narrow"/>
                <w:iCs/>
                <w:sz w:val="16"/>
                <w:szCs w:val="16"/>
              </w:rPr>
              <w:t>1.05 (0.88, 1.25)</w:t>
            </w:r>
          </w:p>
        </w:tc>
        <w:tc>
          <w:tcPr>
            <w:tcW w:w="1275" w:type="dxa"/>
            <w:tcBorders>
              <w:top w:val="nil"/>
              <w:left w:val="single" w:sz="4" w:space="0" w:color="auto"/>
              <w:bottom w:val="nil"/>
              <w:right w:val="single" w:sz="4" w:space="0" w:color="auto"/>
            </w:tcBorders>
            <w:vAlign w:val="center"/>
          </w:tcPr>
          <w:p w:rsidR="003E3225" w:rsidRPr="00081EB5" w:rsidRDefault="003E3225" w:rsidP="005A0854">
            <w:pPr>
              <w:jc w:val="center"/>
              <w:rPr>
                <w:rFonts w:ascii="Arial Narrow" w:hAnsi="Arial Narrow"/>
                <w:bCs/>
                <w:sz w:val="16"/>
                <w:szCs w:val="18"/>
              </w:rPr>
            </w:pPr>
            <w:r w:rsidRPr="00081EB5">
              <w:rPr>
                <w:rFonts w:ascii="Arial Narrow" w:hAnsi="Arial Narrow"/>
                <w:bCs/>
                <w:sz w:val="16"/>
                <w:szCs w:val="18"/>
              </w:rPr>
              <w:t>0.96 (0.61, 1.51)</w:t>
            </w:r>
          </w:p>
        </w:tc>
        <w:tc>
          <w:tcPr>
            <w:tcW w:w="1135" w:type="dxa"/>
            <w:vMerge/>
            <w:tcBorders>
              <w:left w:val="single" w:sz="4" w:space="0" w:color="auto"/>
              <w:right w:val="nil"/>
            </w:tcBorders>
            <w:shd w:val="clear" w:color="auto" w:fill="auto"/>
          </w:tcPr>
          <w:p w:rsidR="003E3225" w:rsidRPr="00081EB5" w:rsidRDefault="003E3225" w:rsidP="005A0854">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3E3225" w:rsidRPr="00081EB5" w:rsidRDefault="003E3225" w:rsidP="005A0854">
            <w:pPr>
              <w:jc w:val="center"/>
              <w:rPr>
                <w:rFonts w:ascii="Arial Narrow" w:hAnsi="Arial Narrow"/>
                <w:bCs/>
                <w:iCs/>
                <w:sz w:val="16"/>
                <w:szCs w:val="18"/>
              </w:rPr>
            </w:pPr>
            <w:r w:rsidRPr="00081EB5">
              <w:rPr>
                <w:rFonts w:ascii="Arial Narrow" w:hAnsi="Arial Narrow"/>
                <w:bCs/>
                <w:iCs/>
                <w:sz w:val="16"/>
                <w:szCs w:val="18"/>
              </w:rPr>
              <w:t xml:space="preserve">0.00 (-0.10, 0.10) </w:t>
            </w:r>
          </w:p>
        </w:tc>
        <w:tc>
          <w:tcPr>
            <w:tcW w:w="854" w:type="dxa"/>
            <w:tcBorders>
              <w:top w:val="nil"/>
              <w:left w:val="single" w:sz="4" w:space="0" w:color="auto"/>
              <w:bottom w:val="nil"/>
            </w:tcBorders>
            <w:vAlign w:val="center"/>
          </w:tcPr>
          <w:p w:rsidR="003E3225" w:rsidRPr="00081EB5" w:rsidRDefault="003E3225" w:rsidP="005A0854">
            <w:pPr>
              <w:jc w:val="center"/>
              <w:rPr>
                <w:rFonts w:ascii="Arial Narrow" w:hAnsi="Arial Narrow"/>
                <w:sz w:val="16"/>
                <w:szCs w:val="16"/>
              </w:rPr>
            </w:pPr>
            <w:r w:rsidRPr="00081EB5">
              <w:rPr>
                <w:rFonts w:ascii="Arial Narrow" w:hAnsi="Arial Narrow"/>
                <w:sz w:val="16"/>
                <w:szCs w:val="16"/>
              </w:rPr>
              <w:t>NA</w:t>
            </w:r>
          </w:p>
        </w:tc>
      </w:tr>
      <w:tr w:rsidR="003E3225" w:rsidRPr="00246B53" w:rsidTr="005A0854">
        <w:trPr>
          <w:trHeight w:val="170"/>
        </w:trPr>
        <w:tc>
          <w:tcPr>
            <w:tcW w:w="3544" w:type="dxa"/>
            <w:gridSpan w:val="3"/>
            <w:tcBorders>
              <w:right w:val="single" w:sz="4" w:space="0" w:color="auto"/>
            </w:tcBorders>
            <w:shd w:val="clear" w:color="auto" w:fill="auto"/>
          </w:tcPr>
          <w:p w:rsidR="003E3225" w:rsidRPr="00B17A7C" w:rsidRDefault="003E3225" w:rsidP="005A0854">
            <w:pPr>
              <w:jc w:val="right"/>
              <w:rPr>
                <w:rFonts w:ascii="Arial Narrow" w:hAnsi="Arial Narrow"/>
                <w:i/>
                <w:sz w:val="18"/>
                <w:szCs w:val="18"/>
              </w:rPr>
            </w:pPr>
            <w:r w:rsidRPr="00B17A7C">
              <w:rPr>
                <w:rFonts w:ascii="Arial Narrow" w:hAnsi="Arial Narrow"/>
                <w:i/>
                <w:sz w:val="18"/>
                <w:szCs w:val="18"/>
              </w:rPr>
              <w:t>B:TIL vs UST (45&amp; 90mg) (TIL2 v UST1) via ETN</w:t>
            </w:r>
          </w:p>
        </w:tc>
        <w:tc>
          <w:tcPr>
            <w:tcW w:w="1276" w:type="dxa"/>
            <w:tcBorders>
              <w:top w:val="nil"/>
              <w:left w:val="nil"/>
              <w:bottom w:val="nil"/>
              <w:right w:val="single" w:sz="4" w:space="0" w:color="auto"/>
            </w:tcBorders>
          </w:tcPr>
          <w:p w:rsidR="003E3225" w:rsidRPr="00AE752E" w:rsidRDefault="003E3225" w:rsidP="005A0854">
            <w:pPr>
              <w:jc w:val="center"/>
              <w:rPr>
                <w:rFonts w:ascii="Arial Narrow" w:hAnsi="Arial Narrow"/>
                <w:bCs/>
                <w:i/>
                <w:sz w:val="16"/>
                <w:szCs w:val="18"/>
                <w:lang w:val="pt-PT"/>
              </w:rPr>
            </w:pPr>
            <w:r>
              <w:rPr>
                <w:rFonts w:ascii="Arial Narrow" w:hAnsi="Arial Narrow"/>
                <w:i/>
                <w:sz w:val="16"/>
                <w:szCs w:val="16"/>
              </w:rPr>
              <w:t>1.08</w:t>
            </w:r>
            <w:r w:rsidRPr="00380279">
              <w:rPr>
                <w:rFonts w:ascii="Arial Narrow" w:hAnsi="Arial Narrow"/>
                <w:i/>
                <w:sz w:val="16"/>
                <w:szCs w:val="16"/>
              </w:rPr>
              <w:t xml:space="preserve"> (0.9</w:t>
            </w:r>
            <w:r>
              <w:rPr>
                <w:rFonts w:ascii="Arial Narrow" w:hAnsi="Arial Narrow"/>
                <w:i/>
                <w:sz w:val="16"/>
                <w:szCs w:val="16"/>
              </w:rPr>
              <w:t>1, 1.29</w:t>
            </w:r>
            <w:r w:rsidRPr="00380279">
              <w:rPr>
                <w:rFonts w:ascii="Arial Narrow" w:hAnsi="Arial Narrow"/>
                <w:i/>
                <w:sz w:val="16"/>
                <w:szCs w:val="16"/>
              </w:rPr>
              <w:t>)</w:t>
            </w:r>
          </w:p>
        </w:tc>
        <w:tc>
          <w:tcPr>
            <w:tcW w:w="1275" w:type="dxa"/>
            <w:tcBorders>
              <w:top w:val="nil"/>
              <w:left w:val="single" w:sz="4" w:space="0" w:color="auto"/>
              <w:bottom w:val="nil"/>
              <w:right w:val="single" w:sz="4" w:space="0" w:color="auto"/>
            </w:tcBorders>
            <w:shd w:val="clear" w:color="auto" w:fill="auto"/>
            <w:vAlign w:val="center"/>
          </w:tcPr>
          <w:p w:rsidR="003E3225" w:rsidRDefault="003E3225" w:rsidP="005A0854">
            <w:pPr>
              <w:jc w:val="center"/>
              <w:rPr>
                <w:rFonts w:ascii="Arial Narrow" w:hAnsi="Arial Narrow"/>
                <w:bCs/>
                <w:iCs/>
                <w:sz w:val="16"/>
                <w:szCs w:val="18"/>
                <w:lang w:val="pt-PT"/>
              </w:rPr>
            </w:pPr>
            <w:r>
              <w:rPr>
                <w:rFonts w:ascii="Arial Narrow" w:hAnsi="Arial Narrow"/>
                <w:bCs/>
                <w:i/>
                <w:sz w:val="16"/>
                <w:szCs w:val="18"/>
              </w:rPr>
              <w:t>1.08</w:t>
            </w:r>
            <w:r w:rsidRPr="00A67076">
              <w:rPr>
                <w:rFonts w:ascii="Arial Narrow" w:hAnsi="Arial Narrow"/>
                <w:bCs/>
                <w:i/>
                <w:sz w:val="16"/>
                <w:szCs w:val="18"/>
              </w:rPr>
              <w:t xml:space="preserve"> (0.7</w:t>
            </w:r>
            <w:r>
              <w:rPr>
                <w:rFonts w:ascii="Arial Narrow" w:hAnsi="Arial Narrow"/>
                <w:bCs/>
                <w:i/>
                <w:sz w:val="16"/>
                <w:szCs w:val="18"/>
              </w:rPr>
              <w:t>0, 1.65</w:t>
            </w:r>
            <w:r w:rsidRPr="00A67076">
              <w:rPr>
                <w:rFonts w:ascii="Arial Narrow" w:hAnsi="Arial Narrow"/>
                <w:bCs/>
                <w:i/>
                <w:sz w:val="16"/>
                <w:szCs w:val="18"/>
              </w:rPr>
              <w:t>)</w:t>
            </w:r>
          </w:p>
        </w:tc>
        <w:tc>
          <w:tcPr>
            <w:tcW w:w="1135" w:type="dxa"/>
            <w:vMerge/>
            <w:tcBorders>
              <w:left w:val="single" w:sz="4" w:space="0" w:color="auto"/>
              <w:right w:val="nil"/>
            </w:tcBorders>
            <w:shd w:val="clear" w:color="auto" w:fill="auto"/>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auto"/>
            <w:vAlign w:val="center"/>
          </w:tcPr>
          <w:p w:rsidR="003E3225" w:rsidRPr="00AE752E" w:rsidRDefault="003E3225" w:rsidP="005A0854">
            <w:pPr>
              <w:jc w:val="center"/>
              <w:rPr>
                <w:rFonts w:ascii="Arial Narrow" w:hAnsi="Arial Narrow"/>
                <w:bCs/>
                <w:i/>
                <w:sz w:val="16"/>
                <w:szCs w:val="18"/>
                <w:lang w:val="pt-PT"/>
              </w:rPr>
            </w:pPr>
            <w:r w:rsidRPr="000226C1">
              <w:rPr>
                <w:rFonts w:ascii="Arial Narrow" w:hAnsi="Arial Narrow"/>
                <w:bCs/>
                <w:i/>
                <w:sz w:val="16"/>
                <w:szCs w:val="18"/>
              </w:rPr>
              <w:t>0.02 (-0.08, 0.12)</w:t>
            </w:r>
          </w:p>
        </w:tc>
        <w:tc>
          <w:tcPr>
            <w:tcW w:w="854" w:type="dxa"/>
            <w:tcBorders>
              <w:top w:val="nil"/>
              <w:left w:val="single" w:sz="4" w:space="0" w:color="auto"/>
              <w:bottom w:val="nil"/>
            </w:tcBorders>
            <w:vAlign w:val="center"/>
          </w:tcPr>
          <w:p w:rsidR="003E3225" w:rsidRPr="00AE752E" w:rsidRDefault="003E3225" w:rsidP="005A0854">
            <w:pPr>
              <w:jc w:val="center"/>
              <w:rPr>
                <w:rFonts w:ascii="Arial Narrow" w:hAnsi="Arial Narrow"/>
                <w:i/>
                <w:sz w:val="16"/>
                <w:szCs w:val="16"/>
                <w:lang w:val="pt-PT"/>
              </w:rPr>
            </w:pPr>
            <w:r>
              <w:rPr>
                <w:rFonts w:ascii="Arial Narrow" w:hAnsi="Arial Narrow"/>
                <w:i/>
                <w:sz w:val="16"/>
                <w:szCs w:val="16"/>
              </w:rPr>
              <w:t>NA</w:t>
            </w:r>
          </w:p>
        </w:tc>
      </w:tr>
      <w:tr w:rsidR="003E3225" w:rsidRPr="00197D74" w:rsidTr="004156B1">
        <w:trPr>
          <w:trHeight w:val="170"/>
        </w:trPr>
        <w:tc>
          <w:tcPr>
            <w:tcW w:w="3544" w:type="dxa"/>
            <w:gridSpan w:val="3"/>
            <w:tcBorders>
              <w:right w:val="single" w:sz="4" w:space="0" w:color="auto"/>
            </w:tcBorders>
            <w:shd w:val="clear" w:color="auto" w:fill="auto"/>
          </w:tcPr>
          <w:p w:rsidR="003E3225" w:rsidRPr="002E3812" w:rsidRDefault="003E3225" w:rsidP="004156B1">
            <w:pPr>
              <w:ind w:right="91"/>
              <w:jc w:val="right"/>
              <w:rPr>
                <w:rFonts w:ascii="Arial Narrow" w:hAnsi="Arial Narrow"/>
                <w:iCs/>
                <w:sz w:val="18"/>
                <w:szCs w:val="18"/>
              </w:rPr>
            </w:pPr>
            <w:r>
              <w:rPr>
                <w:rFonts w:ascii="Arial Narrow" w:hAnsi="Arial Narrow"/>
                <w:iCs/>
                <w:sz w:val="18"/>
                <w:szCs w:val="18"/>
              </w:rPr>
              <w:t>C: TIL vs</w:t>
            </w:r>
            <w:r w:rsidRPr="002E3812">
              <w:rPr>
                <w:rFonts w:ascii="Arial Narrow" w:hAnsi="Arial Narrow"/>
                <w:iCs/>
                <w:sz w:val="18"/>
                <w:szCs w:val="18"/>
              </w:rPr>
              <w:t xml:space="preserve"> U</w:t>
            </w:r>
            <w:r>
              <w:rPr>
                <w:rFonts w:ascii="Arial Narrow" w:hAnsi="Arial Narrow"/>
                <w:iCs/>
                <w:sz w:val="18"/>
                <w:szCs w:val="18"/>
              </w:rPr>
              <w:t>S</w:t>
            </w:r>
            <w:r w:rsidRPr="002E3812">
              <w:rPr>
                <w:rFonts w:ascii="Arial Narrow" w:hAnsi="Arial Narrow"/>
                <w:iCs/>
                <w:sz w:val="18"/>
                <w:szCs w:val="18"/>
              </w:rPr>
              <w:t xml:space="preserve">T45mg </w:t>
            </w:r>
            <w:r>
              <w:rPr>
                <w:rFonts w:ascii="Arial Narrow" w:hAnsi="Arial Narrow"/>
                <w:iCs/>
                <w:sz w:val="18"/>
                <w:szCs w:val="18"/>
              </w:rPr>
              <w:t>(TIL1-3 v UST2-8) via PBO</w:t>
            </w:r>
          </w:p>
        </w:tc>
        <w:tc>
          <w:tcPr>
            <w:tcW w:w="1276" w:type="dxa"/>
            <w:tcBorders>
              <w:top w:val="nil"/>
              <w:left w:val="nil"/>
              <w:bottom w:val="nil"/>
              <w:right w:val="single" w:sz="4" w:space="0" w:color="auto"/>
            </w:tcBorders>
          </w:tcPr>
          <w:p w:rsidR="003E3225" w:rsidRPr="0083257A" w:rsidRDefault="003E3225" w:rsidP="005A0854">
            <w:pPr>
              <w:jc w:val="center"/>
              <w:rPr>
                <w:rFonts w:ascii="Arial Narrow" w:hAnsi="Arial Narrow"/>
                <w:i/>
                <w:sz w:val="16"/>
                <w:szCs w:val="18"/>
                <w:lang w:val="de-DE"/>
              </w:rPr>
            </w:pPr>
            <w:r>
              <w:rPr>
                <w:rFonts w:ascii="Arial Narrow" w:hAnsi="Arial Narrow"/>
                <w:i/>
                <w:sz w:val="16"/>
                <w:szCs w:val="18"/>
                <w:lang w:val="de-DE"/>
              </w:rPr>
              <w:t>0.87</w:t>
            </w:r>
            <w:r w:rsidRPr="0083257A">
              <w:rPr>
                <w:rFonts w:ascii="Arial Narrow" w:hAnsi="Arial Narrow"/>
                <w:i/>
                <w:sz w:val="16"/>
                <w:szCs w:val="18"/>
                <w:lang w:val="de-DE"/>
              </w:rPr>
              <w:t xml:space="preserve"> (0.</w:t>
            </w:r>
            <w:r>
              <w:rPr>
                <w:rFonts w:ascii="Arial Narrow" w:hAnsi="Arial Narrow"/>
                <w:i/>
                <w:sz w:val="16"/>
                <w:szCs w:val="18"/>
                <w:lang w:val="de-DE"/>
              </w:rPr>
              <w:t>4</w:t>
            </w:r>
            <w:r w:rsidRPr="0083257A">
              <w:rPr>
                <w:rFonts w:ascii="Arial Narrow" w:hAnsi="Arial Narrow"/>
                <w:i/>
                <w:sz w:val="16"/>
                <w:szCs w:val="18"/>
                <w:lang w:val="de-DE"/>
              </w:rPr>
              <w:t>5, 1.7</w:t>
            </w:r>
            <w:r>
              <w:rPr>
                <w:rFonts w:ascii="Arial Narrow" w:hAnsi="Arial Narrow"/>
                <w:i/>
                <w:sz w:val="16"/>
                <w:szCs w:val="18"/>
                <w:lang w:val="de-DE"/>
              </w:rPr>
              <w:t>1</w:t>
            </w:r>
            <w:r w:rsidRPr="0083257A">
              <w:rPr>
                <w:rFonts w:ascii="Arial Narrow" w:hAnsi="Arial Narrow"/>
                <w:i/>
                <w:sz w:val="16"/>
                <w:szCs w:val="18"/>
                <w:lang w:val="de-DE"/>
              </w:rPr>
              <w:t>)</w:t>
            </w:r>
          </w:p>
        </w:tc>
        <w:tc>
          <w:tcPr>
            <w:tcW w:w="1275" w:type="dxa"/>
            <w:tcBorders>
              <w:top w:val="nil"/>
              <w:left w:val="single" w:sz="4" w:space="0" w:color="auto"/>
              <w:bottom w:val="nil"/>
              <w:right w:val="single" w:sz="4" w:space="0" w:color="auto"/>
            </w:tcBorders>
            <w:shd w:val="clear" w:color="auto" w:fill="auto"/>
            <w:vAlign w:val="center"/>
          </w:tcPr>
          <w:p w:rsidR="003E3225" w:rsidRPr="003F440F" w:rsidRDefault="003E3225" w:rsidP="005A0854">
            <w:pPr>
              <w:jc w:val="center"/>
              <w:rPr>
                <w:rFonts w:ascii="Arial Narrow" w:hAnsi="Arial Narrow"/>
                <w:iCs/>
                <w:sz w:val="16"/>
                <w:szCs w:val="18"/>
                <w:lang w:val="de-DE"/>
              </w:rPr>
            </w:pPr>
            <w:r>
              <w:rPr>
                <w:rFonts w:ascii="Arial Narrow" w:hAnsi="Arial Narrow"/>
                <w:iCs/>
                <w:sz w:val="16"/>
                <w:szCs w:val="18"/>
                <w:lang w:val="de-DE"/>
              </w:rPr>
              <w:t>0.67 (0.37</w:t>
            </w:r>
            <w:r w:rsidRPr="003F440F">
              <w:rPr>
                <w:rFonts w:ascii="Arial Narrow" w:hAnsi="Arial Narrow"/>
                <w:iCs/>
                <w:sz w:val="16"/>
                <w:szCs w:val="18"/>
                <w:lang w:val="de-DE"/>
              </w:rPr>
              <w:t>, 1.2</w:t>
            </w:r>
            <w:r>
              <w:rPr>
                <w:rFonts w:ascii="Arial Narrow" w:hAnsi="Arial Narrow"/>
                <w:iCs/>
                <w:sz w:val="16"/>
                <w:szCs w:val="18"/>
                <w:lang w:val="de-DE"/>
              </w:rPr>
              <w:t>0</w:t>
            </w:r>
            <w:r w:rsidRPr="003F440F">
              <w:rPr>
                <w:rFonts w:ascii="Arial Narrow" w:hAnsi="Arial Narrow"/>
                <w:iCs/>
                <w:sz w:val="16"/>
                <w:szCs w:val="18"/>
                <w:lang w:val="de-DE"/>
              </w:rPr>
              <w:t>)</w:t>
            </w:r>
          </w:p>
        </w:tc>
        <w:tc>
          <w:tcPr>
            <w:tcW w:w="1135" w:type="dxa"/>
            <w:vMerge/>
            <w:tcBorders>
              <w:left w:val="single" w:sz="4" w:space="0" w:color="auto"/>
              <w:right w:val="nil"/>
            </w:tcBorders>
            <w:shd w:val="clear" w:color="auto" w:fill="auto"/>
          </w:tcPr>
          <w:p w:rsidR="003E3225" w:rsidRPr="00197D74" w:rsidRDefault="003E3225" w:rsidP="005A0854">
            <w:pPr>
              <w:rPr>
                <w:rFonts w:ascii="Arial Narrow" w:hAnsi="Arial Narrow"/>
                <w:iCs/>
                <w:sz w:val="18"/>
                <w:szCs w:val="18"/>
                <w:lang w:val="de-DE"/>
              </w:rPr>
            </w:pPr>
          </w:p>
        </w:tc>
        <w:tc>
          <w:tcPr>
            <w:tcW w:w="1134" w:type="dxa"/>
            <w:tcBorders>
              <w:top w:val="nil"/>
              <w:left w:val="nil"/>
              <w:bottom w:val="nil"/>
              <w:right w:val="single" w:sz="4" w:space="0" w:color="auto"/>
            </w:tcBorders>
            <w:shd w:val="clear" w:color="auto" w:fill="auto"/>
            <w:vAlign w:val="center"/>
          </w:tcPr>
          <w:p w:rsidR="003E3225" w:rsidRPr="006F2A7E" w:rsidRDefault="003E3225" w:rsidP="005A0854">
            <w:pPr>
              <w:jc w:val="center"/>
              <w:rPr>
                <w:rFonts w:ascii="Arial Narrow" w:hAnsi="Arial Narrow" w:cstheme="minorHAnsi"/>
                <w:i/>
                <w:sz w:val="16"/>
                <w:szCs w:val="18"/>
                <w:lang w:val="de-DE"/>
              </w:rPr>
            </w:pPr>
            <w:r w:rsidRPr="006F2A7E">
              <w:rPr>
                <w:rFonts w:ascii="Arial Narrow" w:hAnsi="Arial Narrow" w:cstheme="minorHAnsi"/>
                <w:i/>
                <w:sz w:val="16"/>
                <w:szCs w:val="18"/>
                <w:lang w:val="de-DE"/>
              </w:rPr>
              <w:t>-0.04 (-0.11, 0.03)</w:t>
            </w:r>
          </w:p>
        </w:tc>
        <w:tc>
          <w:tcPr>
            <w:tcW w:w="854" w:type="dxa"/>
            <w:tcBorders>
              <w:top w:val="nil"/>
              <w:left w:val="single" w:sz="4" w:space="0" w:color="auto"/>
              <w:bottom w:val="nil"/>
            </w:tcBorders>
            <w:vAlign w:val="center"/>
          </w:tcPr>
          <w:p w:rsidR="003E3225" w:rsidRPr="00197D74" w:rsidRDefault="003E3225" w:rsidP="005A0854">
            <w:pPr>
              <w:jc w:val="center"/>
              <w:rPr>
                <w:rFonts w:ascii="Arial Narrow" w:hAnsi="Arial Narrow"/>
                <w:i/>
                <w:sz w:val="16"/>
                <w:szCs w:val="16"/>
                <w:lang w:val="de-DE"/>
              </w:rPr>
            </w:pPr>
            <w:r>
              <w:rPr>
                <w:rFonts w:ascii="Arial Narrow" w:hAnsi="Arial Narrow"/>
                <w:i/>
                <w:sz w:val="16"/>
                <w:szCs w:val="16"/>
                <w:lang w:val="de-DE"/>
              </w:rPr>
              <w:t>NA</w:t>
            </w:r>
          </w:p>
        </w:tc>
      </w:tr>
      <w:tr w:rsidR="003E3225" w:rsidRPr="00197D74" w:rsidTr="005A0854">
        <w:trPr>
          <w:trHeight w:val="170"/>
        </w:trPr>
        <w:tc>
          <w:tcPr>
            <w:tcW w:w="3544" w:type="dxa"/>
            <w:gridSpan w:val="3"/>
            <w:tcBorders>
              <w:right w:val="single" w:sz="4" w:space="0" w:color="auto"/>
            </w:tcBorders>
            <w:shd w:val="clear" w:color="auto" w:fill="auto"/>
          </w:tcPr>
          <w:p w:rsidR="003E3225" w:rsidRPr="00B17A7C" w:rsidRDefault="003E3225" w:rsidP="005A0854">
            <w:pPr>
              <w:jc w:val="right"/>
              <w:rPr>
                <w:rFonts w:ascii="Arial Narrow" w:hAnsi="Arial Narrow"/>
                <w:iCs/>
                <w:sz w:val="18"/>
                <w:szCs w:val="18"/>
              </w:rPr>
            </w:pPr>
            <w:r w:rsidRPr="00B17A7C">
              <w:rPr>
                <w:rFonts w:ascii="Arial Narrow" w:hAnsi="Arial Narrow"/>
                <w:iCs/>
                <w:sz w:val="18"/>
                <w:szCs w:val="18"/>
              </w:rPr>
              <w:t xml:space="preserve">C: TIL vs UST 90mg (TIL1-3 v UST2-8) via PBO  </w:t>
            </w:r>
          </w:p>
        </w:tc>
        <w:tc>
          <w:tcPr>
            <w:tcW w:w="1276" w:type="dxa"/>
            <w:tcBorders>
              <w:top w:val="nil"/>
              <w:left w:val="nil"/>
              <w:bottom w:val="nil"/>
              <w:right w:val="single" w:sz="4" w:space="0" w:color="auto"/>
            </w:tcBorders>
          </w:tcPr>
          <w:p w:rsidR="003E3225" w:rsidRPr="0083257A" w:rsidRDefault="003E3225" w:rsidP="005A0854">
            <w:pPr>
              <w:jc w:val="center"/>
              <w:rPr>
                <w:rFonts w:ascii="Arial Narrow" w:hAnsi="Arial Narrow"/>
                <w:iCs/>
                <w:sz w:val="16"/>
                <w:szCs w:val="18"/>
                <w:lang w:val="de-DE"/>
              </w:rPr>
            </w:pPr>
            <w:r>
              <w:rPr>
                <w:rFonts w:ascii="Arial Narrow" w:hAnsi="Arial Narrow"/>
                <w:iCs/>
                <w:sz w:val="16"/>
                <w:szCs w:val="18"/>
                <w:lang w:val="de-DE"/>
              </w:rPr>
              <w:t>0.58</w:t>
            </w:r>
            <w:r w:rsidRPr="0083257A">
              <w:rPr>
                <w:rFonts w:ascii="Arial Narrow" w:hAnsi="Arial Narrow"/>
                <w:iCs/>
                <w:sz w:val="16"/>
                <w:szCs w:val="18"/>
                <w:lang w:val="de-DE"/>
              </w:rPr>
              <w:t xml:space="preserve"> (0.3</w:t>
            </w:r>
            <w:r>
              <w:rPr>
                <w:rFonts w:ascii="Arial Narrow" w:hAnsi="Arial Narrow"/>
                <w:iCs/>
                <w:sz w:val="16"/>
                <w:szCs w:val="18"/>
                <w:lang w:val="de-DE"/>
              </w:rPr>
              <w:t>3</w:t>
            </w:r>
            <w:r w:rsidRPr="0083257A">
              <w:rPr>
                <w:rFonts w:ascii="Arial Narrow" w:hAnsi="Arial Narrow"/>
                <w:iCs/>
                <w:sz w:val="16"/>
                <w:szCs w:val="18"/>
                <w:lang w:val="de-DE"/>
              </w:rPr>
              <w:t>, 1.0</w:t>
            </w:r>
            <w:r>
              <w:rPr>
                <w:rFonts w:ascii="Arial Narrow" w:hAnsi="Arial Narrow"/>
                <w:iCs/>
                <w:sz w:val="16"/>
                <w:szCs w:val="18"/>
                <w:lang w:val="de-DE"/>
              </w:rPr>
              <w:t>4</w:t>
            </w:r>
            <w:r w:rsidRPr="0083257A">
              <w:rPr>
                <w:rFonts w:ascii="Arial Narrow" w:hAnsi="Arial Narrow"/>
                <w:iCs/>
                <w:sz w:val="16"/>
                <w:szCs w:val="18"/>
                <w:lang w:val="de-DE"/>
              </w:rPr>
              <w:t>)</w:t>
            </w:r>
          </w:p>
        </w:tc>
        <w:tc>
          <w:tcPr>
            <w:tcW w:w="1275" w:type="dxa"/>
            <w:tcBorders>
              <w:top w:val="nil"/>
              <w:left w:val="single" w:sz="4" w:space="0" w:color="auto"/>
              <w:bottom w:val="nil"/>
              <w:right w:val="single" w:sz="4" w:space="0" w:color="auto"/>
            </w:tcBorders>
            <w:shd w:val="clear" w:color="auto" w:fill="auto"/>
            <w:vAlign w:val="center"/>
          </w:tcPr>
          <w:p w:rsidR="003E3225" w:rsidRPr="00D901CD" w:rsidRDefault="003E3225" w:rsidP="005A0854">
            <w:pPr>
              <w:jc w:val="center"/>
              <w:rPr>
                <w:rFonts w:ascii="Arial Narrow" w:hAnsi="Arial Narrow"/>
                <w:b/>
                <w:bCs/>
                <w:i/>
                <w:sz w:val="16"/>
                <w:szCs w:val="18"/>
                <w:lang w:val="de-DE"/>
              </w:rPr>
            </w:pPr>
            <w:r w:rsidRPr="00D901CD">
              <w:rPr>
                <w:rFonts w:ascii="Arial Narrow" w:hAnsi="Arial Narrow"/>
                <w:b/>
                <w:bCs/>
                <w:i/>
                <w:sz w:val="16"/>
                <w:szCs w:val="18"/>
                <w:lang w:val="de-DE"/>
              </w:rPr>
              <w:t>0.</w:t>
            </w:r>
            <w:r>
              <w:rPr>
                <w:rFonts w:ascii="Arial Narrow" w:hAnsi="Arial Narrow"/>
                <w:b/>
                <w:bCs/>
                <w:i/>
                <w:sz w:val="16"/>
                <w:szCs w:val="18"/>
                <w:lang w:val="de-DE"/>
              </w:rPr>
              <w:t>4</w:t>
            </w:r>
            <w:r w:rsidRPr="00D901CD">
              <w:rPr>
                <w:rFonts w:ascii="Arial Narrow" w:hAnsi="Arial Narrow"/>
                <w:b/>
                <w:bCs/>
                <w:i/>
                <w:sz w:val="16"/>
                <w:szCs w:val="18"/>
                <w:lang w:val="de-DE"/>
              </w:rPr>
              <w:t>5 (0.2</w:t>
            </w:r>
            <w:r>
              <w:rPr>
                <w:rFonts w:ascii="Arial Narrow" w:hAnsi="Arial Narrow"/>
                <w:b/>
                <w:bCs/>
                <w:i/>
                <w:sz w:val="16"/>
                <w:szCs w:val="18"/>
                <w:lang w:val="de-DE"/>
              </w:rPr>
              <w:t>4, 0.86</w:t>
            </w:r>
            <w:r w:rsidRPr="00D901CD">
              <w:rPr>
                <w:rFonts w:ascii="Arial Narrow" w:hAnsi="Arial Narrow"/>
                <w:b/>
                <w:bCs/>
                <w:i/>
                <w:sz w:val="16"/>
                <w:szCs w:val="18"/>
                <w:lang w:val="de-DE"/>
              </w:rPr>
              <w:t>)</w:t>
            </w:r>
          </w:p>
        </w:tc>
        <w:tc>
          <w:tcPr>
            <w:tcW w:w="1135" w:type="dxa"/>
            <w:vMerge/>
            <w:tcBorders>
              <w:left w:val="single" w:sz="4" w:space="0" w:color="auto"/>
              <w:right w:val="nil"/>
            </w:tcBorders>
            <w:shd w:val="clear" w:color="auto" w:fill="auto"/>
          </w:tcPr>
          <w:p w:rsidR="003E3225" w:rsidRPr="00197D74" w:rsidRDefault="003E3225" w:rsidP="005A0854">
            <w:pPr>
              <w:rPr>
                <w:rFonts w:ascii="Arial Narrow" w:hAnsi="Arial Narrow"/>
                <w:iCs/>
                <w:sz w:val="18"/>
                <w:szCs w:val="18"/>
                <w:lang w:val="de-DE"/>
              </w:rPr>
            </w:pPr>
          </w:p>
        </w:tc>
        <w:tc>
          <w:tcPr>
            <w:tcW w:w="1134" w:type="dxa"/>
            <w:tcBorders>
              <w:top w:val="nil"/>
              <w:left w:val="nil"/>
              <w:bottom w:val="nil"/>
              <w:right w:val="single" w:sz="4" w:space="0" w:color="auto"/>
            </w:tcBorders>
            <w:shd w:val="clear" w:color="auto" w:fill="auto"/>
            <w:vAlign w:val="center"/>
          </w:tcPr>
          <w:p w:rsidR="003E3225" w:rsidRPr="006F2A7E" w:rsidRDefault="003E3225" w:rsidP="005A0854">
            <w:pPr>
              <w:jc w:val="center"/>
              <w:rPr>
                <w:rFonts w:ascii="Arial Narrow" w:hAnsi="Arial Narrow" w:cstheme="minorHAnsi"/>
                <w:i/>
                <w:sz w:val="16"/>
                <w:szCs w:val="18"/>
                <w:lang w:val="de-DE"/>
              </w:rPr>
            </w:pPr>
            <w:r w:rsidRPr="006F2A7E">
              <w:rPr>
                <w:rFonts w:ascii="Arial Narrow" w:hAnsi="Arial Narrow" w:cstheme="minorHAnsi"/>
                <w:i/>
                <w:sz w:val="16"/>
                <w:szCs w:val="18"/>
                <w:lang w:val="de-DE"/>
              </w:rPr>
              <w:t>-0.07 (-0.16, 0.02)</w:t>
            </w:r>
          </w:p>
        </w:tc>
        <w:tc>
          <w:tcPr>
            <w:tcW w:w="854" w:type="dxa"/>
            <w:tcBorders>
              <w:top w:val="nil"/>
              <w:left w:val="single" w:sz="4" w:space="0" w:color="auto"/>
              <w:bottom w:val="nil"/>
            </w:tcBorders>
            <w:vAlign w:val="center"/>
          </w:tcPr>
          <w:p w:rsidR="003E3225" w:rsidRPr="00197D74" w:rsidRDefault="003E3225" w:rsidP="005A0854">
            <w:pPr>
              <w:jc w:val="center"/>
              <w:rPr>
                <w:rFonts w:ascii="Arial Narrow" w:hAnsi="Arial Narrow"/>
                <w:i/>
                <w:sz w:val="16"/>
                <w:szCs w:val="16"/>
                <w:lang w:val="de-DE"/>
              </w:rPr>
            </w:pPr>
            <w:r>
              <w:rPr>
                <w:rFonts w:ascii="Arial Narrow" w:hAnsi="Arial Narrow"/>
                <w:i/>
                <w:sz w:val="16"/>
                <w:szCs w:val="16"/>
                <w:lang w:val="de-DE"/>
              </w:rPr>
              <w:t>NA</w:t>
            </w:r>
          </w:p>
        </w:tc>
      </w:tr>
      <w:tr w:rsidR="003E3225" w:rsidRPr="00067537" w:rsidTr="005A0854">
        <w:trPr>
          <w:trHeight w:val="170"/>
        </w:trPr>
        <w:tc>
          <w:tcPr>
            <w:tcW w:w="3544" w:type="dxa"/>
            <w:gridSpan w:val="3"/>
            <w:tcBorders>
              <w:right w:val="single" w:sz="4" w:space="0" w:color="auto"/>
            </w:tcBorders>
            <w:shd w:val="clear" w:color="auto" w:fill="auto"/>
          </w:tcPr>
          <w:p w:rsidR="003E3225" w:rsidRPr="00B17A7C" w:rsidRDefault="003E3225" w:rsidP="005A0854">
            <w:pPr>
              <w:jc w:val="right"/>
              <w:rPr>
                <w:rFonts w:ascii="Arial Narrow" w:hAnsi="Arial Narrow"/>
                <w:iCs/>
                <w:sz w:val="18"/>
                <w:szCs w:val="18"/>
              </w:rPr>
            </w:pPr>
            <w:r w:rsidRPr="00B17A7C">
              <w:rPr>
                <w:rFonts w:ascii="Arial Narrow" w:hAnsi="Arial Narrow"/>
                <w:iCs/>
                <w:sz w:val="18"/>
                <w:szCs w:val="18"/>
              </w:rPr>
              <w:t>C: TIL vs UST Label (TIL1-3 v UST2-8) via PBO</w:t>
            </w:r>
          </w:p>
        </w:tc>
        <w:tc>
          <w:tcPr>
            <w:tcW w:w="1276" w:type="dxa"/>
            <w:tcBorders>
              <w:top w:val="nil"/>
              <w:left w:val="nil"/>
              <w:bottom w:val="nil"/>
              <w:right w:val="single" w:sz="4" w:space="0" w:color="auto"/>
            </w:tcBorders>
          </w:tcPr>
          <w:p w:rsidR="003E3225" w:rsidRPr="006F2A7E" w:rsidRDefault="003E3225" w:rsidP="005A0854">
            <w:pPr>
              <w:jc w:val="center"/>
              <w:rPr>
                <w:rFonts w:ascii="Arial Narrow" w:hAnsi="Arial Narrow"/>
                <w:bCs/>
                <w:iCs/>
                <w:sz w:val="16"/>
                <w:szCs w:val="18"/>
              </w:rPr>
            </w:pPr>
            <w:r w:rsidRPr="006F2A7E">
              <w:rPr>
                <w:rFonts w:ascii="Arial Narrow" w:hAnsi="Arial Narrow"/>
                <w:bCs/>
                <w:iCs/>
                <w:sz w:val="16"/>
                <w:szCs w:val="18"/>
              </w:rPr>
              <w:t>1.18 (0.70, 1.98)</w:t>
            </w:r>
          </w:p>
        </w:tc>
        <w:tc>
          <w:tcPr>
            <w:tcW w:w="1275" w:type="dxa"/>
            <w:tcBorders>
              <w:top w:val="nil"/>
              <w:left w:val="single" w:sz="4" w:space="0" w:color="auto"/>
              <w:bottom w:val="nil"/>
              <w:right w:val="single" w:sz="4" w:space="0" w:color="auto"/>
            </w:tcBorders>
            <w:shd w:val="clear" w:color="auto" w:fill="auto"/>
            <w:vAlign w:val="center"/>
          </w:tcPr>
          <w:p w:rsidR="003E3225" w:rsidRPr="006F2A7E" w:rsidRDefault="003E3225" w:rsidP="005A0854">
            <w:pPr>
              <w:jc w:val="center"/>
              <w:rPr>
                <w:rFonts w:ascii="Arial Narrow" w:hAnsi="Arial Narrow"/>
                <w:bCs/>
                <w:i/>
                <w:sz w:val="16"/>
                <w:szCs w:val="18"/>
              </w:rPr>
            </w:pPr>
            <w:r w:rsidRPr="006F2A7E">
              <w:rPr>
                <w:rFonts w:ascii="Arial Narrow" w:hAnsi="Arial Narrow"/>
                <w:bCs/>
                <w:i/>
                <w:sz w:val="16"/>
                <w:szCs w:val="18"/>
              </w:rPr>
              <w:t>1.03 (0.57, 1.89)</w:t>
            </w:r>
          </w:p>
        </w:tc>
        <w:tc>
          <w:tcPr>
            <w:tcW w:w="1135" w:type="dxa"/>
            <w:vMerge/>
            <w:tcBorders>
              <w:left w:val="single" w:sz="4" w:space="0" w:color="auto"/>
              <w:right w:val="nil"/>
            </w:tcBorders>
            <w:shd w:val="clear" w:color="auto" w:fill="auto"/>
          </w:tcPr>
          <w:p w:rsidR="003E3225" w:rsidRPr="00067537" w:rsidRDefault="003E3225" w:rsidP="005A0854">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3E3225" w:rsidRPr="006F2A7E" w:rsidRDefault="003E3225" w:rsidP="005A0854">
            <w:pPr>
              <w:jc w:val="center"/>
              <w:rPr>
                <w:rFonts w:ascii="Arial Narrow" w:hAnsi="Arial Narrow" w:cstheme="minorHAnsi"/>
                <w:i/>
                <w:sz w:val="16"/>
                <w:szCs w:val="18"/>
              </w:rPr>
            </w:pPr>
            <w:r w:rsidRPr="006F2A7E">
              <w:rPr>
                <w:rFonts w:ascii="Arial Narrow" w:hAnsi="Arial Narrow" w:cstheme="minorHAnsi"/>
                <w:i/>
                <w:sz w:val="16"/>
                <w:szCs w:val="18"/>
              </w:rPr>
              <w:t>-0.03 (-0.10, 0.04)</w:t>
            </w:r>
          </w:p>
        </w:tc>
        <w:tc>
          <w:tcPr>
            <w:tcW w:w="854" w:type="dxa"/>
            <w:tcBorders>
              <w:top w:val="nil"/>
              <w:left w:val="single" w:sz="4" w:space="0" w:color="auto"/>
              <w:bottom w:val="nil"/>
            </w:tcBorders>
            <w:vAlign w:val="center"/>
          </w:tcPr>
          <w:p w:rsidR="003E3225" w:rsidRPr="00067537" w:rsidRDefault="003E3225" w:rsidP="005A0854">
            <w:pPr>
              <w:jc w:val="center"/>
              <w:rPr>
                <w:rFonts w:ascii="Arial Narrow" w:hAnsi="Arial Narrow"/>
                <w:i/>
                <w:sz w:val="16"/>
                <w:szCs w:val="16"/>
              </w:rPr>
            </w:pPr>
            <w:r>
              <w:rPr>
                <w:rFonts w:ascii="Arial Narrow" w:hAnsi="Arial Narrow"/>
                <w:i/>
                <w:sz w:val="16"/>
                <w:szCs w:val="16"/>
              </w:rPr>
              <w:t>NA</w:t>
            </w:r>
          </w:p>
        </w:tc>
      </w:tr>
      <w:tr w:rsidR="003E3225" w:rsidRPr="00726E7D" w:rsidTr="005A0854">
        <w:trPr>
          <w:trHeight w:val="170"/>
        </w:trPr>
        <w:tc>
          <w:tcPr>
            <w:tcW w:w="3544" w:type="dxa"/>
            <w:gridSpan w:val="3"/>
            <w:tcBorders>
              <w:right w:val="single" w:sz="4" w:space="0" w:color="auto"/>
            </w:tcBorders>
            <w:shd w:val="clear" w:color="auto" w:fill="auto"/>
          </w:tcPr>
          <w:p w:rsidR="003E3225" w:rsidRPr="00067537" w:rsidRDefault="003E3225" w:rsidP="005A0854">
            <w:pPr>
              <w:jc w:val="right"/>
              <w:rPr>
                <w:rFonts w:ascii="Arial Narrow" w:hAnsi="Arial Narrow"/>
                <w:i/>
                <w:sz w:val="18"/>
                <w:szCs w:val="18"/>
              </w:rPr>
            </w:pPr>
            <w:r>
              <w:rPr>
                <w:rFonts w:ascii="Arial Narrow" w:hAnsi="Arial Narrow"/>
                <w:i/>
                <w:sz w:val="18"/>
                <w:szCs w:val="18"/>
              </w:rPr>
              <w:t>C: TIL vs UST (all doses) (TIL1-3 v UST2-8) via PBO</w:t>
            </w:r>
          </w:p>
        </w:tc>
        <w:tc>
          <w:tcPr>
            <w:tcW w:w="1276" w:type="dxa"/>
            <w:tcBorders>
              <w:top w:val="nil"/>
              <w:left w:val="nil"/>
              <w:bottom w:val="nil"/>
              <w:right w:val="single" w:sz="4" w:space="0" w:color="auto"/>
            </w:tcBorders>
          </w:tcPr>
          <w:p w:rsidR="003E3225" w:rsidRPr="00D901CD" w:rsidRDefault="003E3225" w:rsidP="005A0854">
            <w:pPr>
              <w:jc w:val="center"/>
              <w:rPr>
                <w:rFonts w:ascii="Arial Narrow" w:hAnsi="Arial Narrow"/>
                <w:bCs/>
                <w:i/>
                <w:sz w:val="16"/>
                <w:szCs w:val="18"/>
              </w:rPr>
            </w:pPr>
            <w:r w:rsidRPr="00D901CD">
              <w:rPr>
                <w:rFonts w:ascii="Arial Narrow" w:hAnsi="Arial Narrow"/>
                <w:bCs/>
                <w:i/>
                <w:sz w:val="16"/>
                <w:szCs w:val="18"/>
              </w:rPr>
              <w:t>0.</w:t>
            </w:r>
            <w:r>
              <w:rPr>
                <w:rFonts w:ascii="Arial Narrow" w:hAnsi="Arial Narrow"/>
                <w:bCs/>
                <w:i/>
                <w:sz w:val="16"/>
                <w:szCs w:val="18"/>
              </w:rPr>
              <w:t>96</w:t>
            </w:r>
            <w:r w:rsidRPr="00D901CD">
              <w:rPr>
                <w:rFonts w:ascii="Arial Narrow" w:hAnsi="Arial Narrow"/>
                <w:bCs/>
                <w:i/>
                <w:sz w:val="16"/>
                <w:szCs w:val="18"/>
              </w:rPr>
              <w:t xml:space="preserve"> (0.</w:t>
            </w:r>
            <w:r>
              <w:rPr>
                <w:rFonts w:ascii="Arial Narrow" w:hAnsi="Arial Narrow"/>
                <w:bCs/>
                <w:i/>
                <w:sz w:val="16"/>
                <w:szCs w:val="18"/>
              </w:rPr>
              <w:t>5</w:t>
            </w:r>
            <w:r w:rsidRPr="00D901CD">
              <w:rPr>
                <w:rFonts w:ascii="Arial Narrow" w:hAnsi="Arial Narrow"/>
                <w:bCs/>
                <w:i/>
                <w:sz w:val="16"/>
                <w:szCs w:val="18"/>
              </w:rPr>
              <w:t>6, 1.</w:t>
            </w:r>
            <w:r>
              <w:rPr>
                <w:rFonts w:ascii="Arial Narrow" w:hAnsi="Arial Narrow"/>
                <w:bCs/>
                <w:i/>
                <w:sz w:val="16"/>
                <w:szCs w:val="18"/>
              </w:rPr>
              <w:t>6</w:t>
            </w:r>
            <w:r w:rsidRPr="00D901CD">
              <w:rPr>
                <w:rFonts w:ascii="Arial Narrow" w:hAnsi="Arial Narrow"/>
                <w:bCs/>
                <w:i/>
                <w:sz w:val="16"/>
                <w:szCs w:val="18"/>
              </w:rPr>
              <w:t>7)</w:t>
            </w:r>
          </w:p>
        </w:tc>
        <w:tc>
          <w:tcPr>
            <w:tcW w:w="1275" w:type="dxa"/>
            <w:tcBorders>
              <w:top w:val="nil"/>
              <w:left w:val="single" w:sz="4" w:space="0" w:color="auto"/>
              <w:bottom w:val="nil"/>
              <w:right w:val="single" w:sz="4" w:space="0" w:color="auto"/>
            </w:tcBorders>
            <w:shd w:val="clear" w:color="auto" w:fill="auto"/>
            <w:vAlign w:val="center"/>
          </w:tcPr>
          <w:p w:rsidR="003E3225" w:rsidRPr="00D901CD" w:rsidRDefault="003E3225" w:rsidP="005A0854">
            <w:pPr>
              <w:jc w:val="center"/>
              <w:rPr>
                <w:rFonts w:ascii="Arial Narrow" w:hAnsi="Arial Narrow"/>
                <w:bCs/>
                <w:i/>
                <w:sz w:val="16"/>
                <w:szCs w:val="18"/>
              </w:rPr>
            </w:pPr>
            <w:r>
              <w:rPr>
                <w:rFonts w:ascii="Arial Narrow" w:hAnsi="Arial Narrow"/>
                <w:bCs/>
                <w:i/>
                <w:sz w:val="16"/>
                <w:szCs w:val="18"/>
              </w:rPr>
              <w:t>0.77</w:t>
            </w:r>
            <w:r w:rsidRPr="00D901CD">
              <w:rPr>
                <w:rFonts w:ascii="Arial Narrow" w:hAnsi="Arial Narrow"/>
                <w:bCs/>
                <w:i/>
                <w:sz w:val="16"/>
                <w:szCs w:val="18"/>
              </w:rPr>
              <w:t xml:space="preserve"> (0.4</w:t>
            </w:r>
            <w:r>
              <w:rPr>
                <w:rFonts w:ascii="Arial Narrow" w:hAnsi="Arial Narrow"/>
                <w:bCs/>
                <w:i/>
                <w:sz w:val="16"/>
                <w:szCs w:val="18"/>
              </w:rPr>
              <w:t>4, 1.35</w:t>
            </w:r>
            <w:r w:rsidRPr="00D901CD">
              <w:rPr>
                <w:rFonts w:ascii="Arial Narrow" w:hAnsi="Arial Narrow"/>
                <w:bCs/>
                <w:i/>
                <w:sz w:val="16"/>
                <w:szCs w:val="18"/>
              </w:rPr>
              <w:t>)</w:t>
            </w:r>
          </w:p>
        </w:tc>
        <w:tc>
          <w:tcPr>
            <w:tcW w:w="1135" w:type="dxa"/>
            <w:vMerge/>
            <w:tcBorders>
              <w:left w:val="single" w:sz="4" w:space="0" w:color="auto"/>
              <w:right w:val="nil"/>
            </w:tcBorders>
            <w:shd w:val="clear" w:color="auto" w:fill="auto"/>
          </w:tcPr>
          <w:p w:rsidR="003E3225" w:rsidRPr="00D901CD" w:rsidRDefault="003E3225" w:rsidP="005A0854">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3E3225" w:rsidRPr="00D901CD" w:rsidRDefault="003E3225" w:rsidP="005A0854">
            <w:pPr>
              <w:jc w:val="center"/>
              <w:rPr>
                <w:rFonts w:ascii="Arial Narrow" w:hAnsi="Arial Narrow" w:cstheme="minorHAnsi"/>
                <w:i/>
                <w:sz w:val="16"/>
                <w:szCs w:val="18"/>
              </w:rPr>
            </w:pPr>
            <w:r>
              <w:rPr>
                <w:rFonts w:ascii="Arial Narrow" w:hAnsi="Arial Narrow" w:cstheme="minorHAnsi"/>
                <w:i/>
                <w:sz w:val="16"/>
                <w:szCs w:val="18"/>
              </w:rPr>
              <w:t xml:space="preserve">-0.05 </w:t>
            </w:r>
            <w:r w:rsidRPr="00D901CD">
              <w:rPr>
                <w:rFonts w:ascii="Arial Narrow" w:hAnsi="Arial Narrow" w:cstheme="minorHAnsi"/>
                <w:i/>
                <w:sz w:val="16"/>
                <w:szCs w:val="18"/>
              </w:rPr>
              <w:t>(-0.11, 0.01)</w:t>
            </w:r>
          </w:p>
        </w:tc>
        <w:tc>
          <w:tcPr>
            <w:tcW w:w="854" w:type="dxa"/>
            <w:tcBorders>
              <w:top w:val="nil"/>
              <w:left w:val="single" w:sz="4" w:space="0" w:color="auto"/>
              <w:bottom w:val="nil"/>
            </w:tcBorders>
            <w:vAlign w:val="center"/>
          </w:tcPr>
          <w:p w:rsidR="003E3225" w:rsidRPr="00D901CD" w:rsidRDefault="003E3225" w:rsidP="005A0854">
            <w:pPr>
              <w:jc w:val="center"/>
              <w:rPr>
                <w:rFonts w:ascii="Arial Narrow" w:hAnsi="Arial Narrow"/>
                <w:i/>
                <w:sz w:val="16"/>
                <w:szCs w:val="16"/>
              </w:rPr>
            </w:pPr>
            <w:r w:rsidRPr="00D901CD">
              <w:rPr>
                <w:rFonts w:ascii="Arial Narrow" w:hAnsi="Arial Narrow"/>
                <w:i/>
                <w:sz w:val="16"/>
                <w:szCs w:val="16"/>
              </w:rPr>
              <w:t>NA</w:t>
            </w:r>
          </w:p>
        </w:tc>
      </w:tr>
      <w:tr w:rsidR="003E3225" w:rsidRPr="00246B53" w:rsidTr="005A0854">
        <w:trPr>
          <w:trHeight w:val="170"/>
        </w:trPr>
        <w:tc>
          <w:tcPr>
            <w:tcW w:w="3544" w:type="dxa"/>
            <w:gridSpan w:val="3"/>
            <w:tcBorders>
              <w:bottom w:val="single" w:sz="4" w:space="0" w:color="auto"/>
              <w:right w:val="single" w:sz="4" w:space="0" w:color="auto"/>
            </w:tcBorders>
            <w:shd w:val="clear" w:color="auto" w:fill="auto"/>
          </w:tcPr>
          <w:p w:rsidR="003E3225" w:rsidRPr="00AA733E" w:rsidRDefault="003E3225" w:rsidP="005A0854">
            <w:pPr>
              <w:jc w:val="right"/>
              <w:rPr>
                <w:rFonts w:ascii="Arial Narrow" w:hAnsi="Arial Narrow"/>
                <w:i/>
                <w:sz w:val="18"/>
                <w:szCs w:val="18"/>
                <w:lang w:val="pt-PT"/>
              </w:rPr>
            </w:pPr>
            <w:r>
              <w:rPr>
                <w:rFonts w:ascii="Arial Narrow" w:hAnsi="Arial Narrow"/>
                <w:i/>
                <w:sz w:val="18"/>
                <w:szCs w:val="18"/>
                <w:lang w:val="pt-PT"/>
              </w:rPr>
              <w:t xml:space="preserve">D: </w:t>
            </w:r>
            <w:r w:rsidRPr="00246B53">
              <w:rPr>
                <w:rFonts w:ascii="Arial Narrow" w:hAnsi="Arial Narrow"/>
                <w:i/>
                <w:sz w:val="18"/>
                <w:szCs w:val="18"/>
                <w:lang w:val="pt-PT"/>
              </w:rPr>
              <w:t>TIL versus ADA</w:t>
            </w:r>
            <w:r>
              <w:rPr>
                <w:rFonts w:ascii="Arial Narrow" w:hAnsi="Arial Narrow"/>
                <w:i/>
                <w:sz w:val="18"/>
                <w:szCs w:val="18"/>
                <w:lang w:val="pt-PT"/>
              </w:rPr>
              <w:t xml:space="preserve"> (TIL1-3 v ADA1-5) </w:t>
            </w:r>
            <w:r w:rsidRPr="00246B53">
              <w:rPr>
                <w:rFonts w:ascii="Arial Narrow" w:hAnsi="Arial Narrow"/>
                <w:i/>
                <w:sz w:val="18"/>
                <w:szCs w:val="18"/>
                <w:lang w:val="pt-PT"/>
              </w:rPr>
              <w:t>via PBO</w:t>
            </w:r>
          </w:p>
        </w:tc>
        <w:tc>
          <w:tcPr>
            <w:tcW w:w="1276" w:type="dxa"/>
            <w:tcBorders>
              <w:top w:val="nil"/>
              <w:left w:val="nil"/>
              <w:bottom w:val="nil"/>
              <w:right w:val="single" w:sz="4" w:space="0" w:color="auto"/>
            </w:tcBorders>
          </w:tcPr>
          <w:p w:rsidR="003E3225" w:rsidRPr="00AE752E" w:rsidRDefault="003E3225" w:rsidP="005A0854">
            <w:pPr>
              <w:jc w:val="center"/>
              <w:rPr>
                <w:rFonts w:ascii="Arial Narrow" w:hAnsi="Arial Narrow"/>
                <w:bCs/>
                <w:i/>
                <w:sz w:val="16"/>
                <w:szCs w:val="18"/>
                <w:lang w:val="pt-PT"/>
              </w:rPr>
            </w:pPr>
            <w:r w:rsidRPr="00AE752E">
              <w:rPr>
                <w:rFonts w:ascii="Arial Narrow" w:hAnsi="Arial Narrow"/>
                <w:bCs/>
                <w:i/>
                <w:sz w:val="16"/>
                <w:szCs w:val="18"/>
                <w:lang w:val="pt-PT"/>
              </w:rPr>
              <w:t>1.4</w:t>
            </w:r>
            <w:r>
              <w:rPr>
                <w:rFonts w:ascii="Arial Narrow" w:hAnsi="Arial Narrow"/>
                <w:bCs/>
                <w:i/>
                <w:sz w:val="16"/>
                <w:szCs w:val="18"/>
                <w:lang w:val="pt-PT"/>
              </w:rPr>
              <w:t>4 (0.76</w:t>
            </w:r>
            <w:r w:rsidRPr="00AE752E">
              <w:rPr>
                <w:rFonts w:ascii="Arial Narrow" w:hAnsi="Arial Narrow"/>
                <w:bCs/>
                <w:i/>
                <w:sz w:val="16"/>
                <w:szCs w:val="18"/>
                <w:lang w:val="pt-PT"/>
              </w:rPr>
              <w:t>, 2.7</w:t>
            </w:r>
            <w:r>
              <w:rPr>
                <w:rFonts w:ascii="Arial Narrow" w:hAnsi="Arial Narrow"/>
                <w:bCs/>
                <w:i/>
                <w:sz w:val="16"/>
                <w:szCs w:val="18"/>
                <w:lang w:val="pt-PT"/>
              </w:rPr>
              <w:t>4</w:t>
            </w:r>
            <w:r w:rsidRPr="00AE752E">
              <w:rPr>
                <w:rFonts w:ascii="Arial Narrow" w:hAnsi="Arial Narrow"/>
                <w:bCs/>
                <w:i/>
                <w:sz w:val="16"/>
                <w:szCs w:val="18"/>
                <w:lang w:val="pt-PT"/>
              </w:rPr>
              <w:t>)</w:t>
            </w:r>
          </w:p>
        </w:tc>
        <w:tc>
          <w:tcPr>
            <w:tcW w:w="1275" w:type="dxa"/>
            <w:tcBorders>
              <w:top w:val="nil"/>
              <w:left w:val="single" w:sz="4" w:space="0" w:color="auto"/>
              <w:bottom w:val="nil"/>
              <w:right w:val="single" w:sz="4" w:space="0" w:color="auto"/>
            </w:tcBorders>
            <w:shd w:val="clear" w:color="auto" w:fill="auto"/>
            <w:vAlign w:val="center"/>
          </w:tcPr>
          <w:p w:rsidR="003E3225" w:rsidRPr="000006F5" w:rsidRDefault="003E3225" w:rsidP="005A0854">
            <w:pPr>
              <w:jc w:val="center"/>
              <w:rPr>
                <w:rFonts w:ascii="Arial Narrow" w:hAnsi="Arial Narrow"/>
                <w:bCs/>
                <w:iCs/>
                <w:sz w:val="16"/>
                <w:szCs w:val="18"/>
                <w:lang w:val="pt-PT"/>
              </w:rPr>
            </w:pPr>
            <w:r>
              <w:rPr>
                <w:rFonts w:ascii="Arial Narrow" w:hAnsi="Arial Narrow"/>
                <w:bCs/>
                <w:iCs/>
                <w:sz w:val="16"/>
                <w:szCs w:val="18"/>
                <w:lang w:val="pt-PT"/>
              </w:rPr>
              <w:t>1.05 (0.59, 1.86</w:t>
            </w:r>
            <w:r w:rsidRPr="000006F5">
              <w:rPr>
                <w:rFonts w:ascii="Arial Narrow" w:hAnsi="Arial Narrow"/>
                <w:bCs/>
                <w:iCs/>
                <w:sz w:val="16"/>
                <w:szCs w:val="18"/>
                <w:lang w:val="pt-PT"/>
              </w:rPr>
              <w:t>)</w:t>
            </w:r>
          </w:p>
        </w:tc>
        <w:tc>
          <w:tcPr>
            <w:tcW w:w="1135" w:type="dxa"/>
            <w:vMerge/>
            <w:tcBorders>
              <w:left w:val="single" w:sz="4" w:space="0" w:color="auto"/>
              <w:right w:val="nil"/>
            </w:tcBorders>
            <w:shd w:val="clear" w:color="auto" w:fill="auto"/>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nil"/>
              <w:right w:val="single" w:sz="4" w:space="0" w:color="auto"/>
            </w:tcBorders>
            <w:shd w:val="clear" w:color="auto" w:fill="auto"/>
            <w:vAlign w:val="center"/>
          </w:tcPr>
          <w:p w:rsidR="003E3225" w:rsidRPr="00AE752E" w:rsidRDefault="003E3225" w:rsidP="005A0854">
            <w:pPr>
              <w:jc w:val="center"/>
              <w:rPr>
                <w:rFonts w:ascii="Arial Narrow" w:hAnsi="Arial Narrow"/>
                <w:bCs/>
                <w:i/>
                <w:sz w:val="16"/>
                <w:szCs w:val="18"/>
                <w:lang w:val="pt-PT"/>
              </w:rPr>
            </w:pPr>
            <w:r w:rsidRPr="00AE752E">
              <w:rPr>
                <w:rFonts w:ascii="Arial Narrow" w:hAnsi="Arial Narrow"/>
                <w:bCs/>
                <w:i/>
                <w:sz w:val="16"/>
                <w:szCs w:val="18"/>
                <w:lang w:val="pt-PT"/>
              </w:rPr>
              <w:t>-0.03 (–0.1, 0.04)</w:t>
            </w:r>
          </w:p>
        </w:tc>
        <w:tc>
          <w:tcPr>
            <w:tcW w:w="854" w:type="dxa"/>
            <w:tcBorders>
              <w:top w:val="nil"/>
              <w:left w:val="single" w:sz="4" w:space="0" w:color="auto"/>
              <w:bottom w:val="nil"/>
            </w:tcBorders>
            <w:vAlign w:val="center"/>
          </w:tcPr>
          <w:p w:rsidR="003E3225" w:rsidRPr="00AE752E" w:rsidRDefault="003E3225" w:rsidP="005A0854">
            <w:pPr>
              <w:jc w:val="center"/>
              <w:rPr>
                <w:rFonts w:ascii="Arial Narrow" w:hAnsi="Arial Narrow"/>
                <w:i/>
                <w:sz w:val="16"/>
                <w:szCs w:val="16"/>
                <w:lang w:val="pt-PT"/>
              </w:rPr>
            </w:pPr>
            <w:r w:rsidRPr="00AE752E">
              <w:rPr>
                <w:rFonts w:ascii="Arial Narrow" w:hAnsi="Arial Narrow"/>
                <w:i/>
                <w:sz w:val="16"/>
                <w:szCs w:val="16"/>
                <w:lang w:val="pt-PT"/>
              </w:rPr>
              <w:t>NA</w:t>
            </w:r>
          </w:p>
        </w:tc>
      </w:tr>
      <w:tr w:rsidR="003E3225" w:rsidRPr="00246B53" w:rsidTr="00825ECB">
        <w:trPr>
          <w:trHeight w:val="56"/>
        </w:trPr>
        <w:tc>
          <w:tcPr>
            <w:tcW w:w="3544" w:type="dxa"/>
            <w:gridSpan w:val="3"/>
            <w:tcBorders>
              <w:top w:val="single" w:sz="4" w:space="0" w:color="auto"/>
              <w:left w:val="nil"/>
              <w:bottom w:val="nil"/>
              <w:right w:val="single" w:sz="4" w:space="0" w:color="auto"/>
            </w:tcBorders>
            <w:shd w:val="clear" w:color="auto" w:fill="auto"/>
          </w:tcPr>
          <w:p w:rsidR="003E3225" w:rsidRPr="00246B53" w:rsidRDefault="003E3225" w:rsidP="005A0854">
            <w:pPr>
              <w:jc w:val="right"/>
              <w:rPr>
                <w:rFonts w:ascii="Arial Narrow" w:hAnsi="Arial Narrow"/>
                <w:i/>
                <w:sz w:val="18"/>
                <w:szCs w:val="18"/>
                <w:lang w:val="pt-PT"/>
              </w:rPr>
            </w:pPr>
          </w:p>
        </w:tc>
        <w:tc>
          <w:tcPr>
            <w:tcW w:w="1276" w:type="dxa"/>
            <w:tcBorders>
              <w:top w:val="nil"/>
              <w:left w:val="single" w:sz="4" w:space="0" w:color="auto"/>
              <w:bottom w:val="single" w:sz="4" w:space="0" w:color="auto"/>
              <w:right w:val="single" w:sz="4" w:space="0" w:color="auto"/>
            </w:tcBorders>
          </w:tcPr>
          <w:p w:rsidR="003E3225" w:rsidRPr="00AE752E" w:rsidRDefault="003E3225" w:rsidP="005A0854">
            <w:pPr>
              <w:jc w:val="center"/>
              <w:rPr>
                <w:rFonts w:ascii="Arial Narrow" w:hAnsi="Arial Narrow"/>
                <w:bCs/>
                <w:i/>
                <w:sz w:val="16"/>
                <w:szCs w:val="18"/>
                <w:lang w:val="pt-PT"/>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3E3225" w:rsidRDefault="003E3225" w:rsidP="005A0854">
            <w:pPr>
              <w:jc w:val="center"/>
              <w:rPr>
                <w:rFonts w:ascii="Arial Narrow" w:hAnsi="Arial Narrow"/>
                <w:bCs/>
                <w:iCs/>
                <w:sz w:val="16"/>
                <w:szCs w:val="18"/>
                <w:lang w:val="pt-PT"/>
              </w:rPr>
            </w:pPr>
          </w:p>
        </w:tc>
        <w:tc>
          <w:tcPr>
            <w:tcW w:w="1135" w:type="dxa"/>
            <w:vMerge/>
            <w:tcBorders>
              <w:left w:val="single" w:sz="4" w:space="0" w:color="auto"/>
              <w:bottom w:val="single" w:sz="4" w:space="0" w:color="auto"/>
              <w:right w:val="nil"/>
            </w:tcBorders>
            <w:shd w:val="clear" w:color="auto" w:fill="auto"/>
          </w:tcPr>
          <w:p w:rsidR="003E3225" w:rsidRPr="002F3521" w:rsidRDefault="003E3225" w:rsidP="005A0854">
            <w:pPr>
              <w:rPr>
                <w:rFonts w:ascii="Arial Narrow" w:hAnsi="Arial Narrow"/>
                <w:bCs/>
                <w:iCs/>
                <w:sz w:val="18"/>
                <w:szCs w:val="18"/>
                <w:lang w:val="pt-PT"/>
              </w:rPr>
            </w:pPr>
          </w:p>
        </w:tc>
        <w:tc>
          <w:tcPr>
            <w:tcW w:w="1134" w:type="dxa"/>
            <w:tcBorders>
              <w:top w:val="nil"/>
              <w:left w:val="nil"/>
              <w:bottom w:val="single" w:sz="4" w:space="0" w:color="auto"/>
              <w:right w:val="single" w:sz="4" w:space="0" w:color="auto"/>
            </w:tcBorders>
            <w:shd w:val="clear" w:color="auto" w:fill="auto"/>
            <w:vAlign w:val="center"/>
          </w:tcPr>
          <w:p w:rsidR="003E3225" w:rsidRPr="00AE752E" w:rsidRDefault="003E3225" w:rsidP="005A0854">
            <w:pPr>
              <w:jc w:val="center"/>
              <w:rPr>
                <w:rFonts w:ascii="Arial Narrow" w:hAnsi="Arial Narrow"/>
                <w:bCs/>
                <w:i/>
                <w:sz w:val="16"/>
                <w:szCs w:val="18"/>
                <w:lang w:val="pt-PT"/>
              </w:rPr>
            </w:pPr>
          </w:p>
        </w:tc>
        <w:tc>
          <w:tcPr>
            <w:tcW w:w="854" w:type="dxa"/>
            <w:tcBorders>
              <w:top w:val="nil"/>
              <w:left w:val="single" w:sz="4" w:space="0" w:color="auto"/>
              <w:bottom w:val="single" w:sz="4" w:space="0" w:color="auto"/>
            </w:tcBorders>
            <w:vAlign w:val="center"/>
          </w:tcPr>
          <w:p w:rsidR="003E3225" w:rsidRPr="00AE752E" w:rsidRDefault="003E3225" w:rsidP="005A0854">
            <w:pPr>
              <w:jc w:val="center"/>
              <w:rPr>
                <w:rFonts w:ascii="Arial Narrow" w:hAnsi="Arial Narrow"/>
                <w:i/>
                <w:sz w:val="16"/>
                <w:szCs w:val="16"/>
                <w:lang w:val="pt-PT"/>
              </w:rPr>
            </w:pPr>
          </w:p>
        </w:tc>
      </w:tr>
    </w:tbl>
    <w:p w:rsidR="007A6EE1" w:rsidRPr="00E56C04" w:rsidRDefault="007A6EE1" w:rsidP="007A6EE1">
      <w:pPr>
        <w:rPr>
          <w:rStyle w:val="CommentReference"/>
          <w:b w:val="0"/>
          <w:bCs/>
          <w:i/>
          <w:iCs/>
          <w:sz w:val="18"/>
          <w:szCs w:val="18"/>
        </w:rPr>
      </w:pPr>
      <w:r w:rsidRPr="00E56C04">
        <w:rPr>
          <w:rStyle w:val="CommentReference"/>
          <w:b w:val="0"/>
          <w:bCs/>
          <w:i/>
          <w:iCs/>
          <w:sz w:val="18"/>
          <w:szCs w:val="18"/>
          <w:highlight w:val="lightGray"/>
        </w:rPr>
        <w:t>Grey shading</w:t>
      </w:r>
      <w:r w:rsidRPr="00E56C04">
        <w:rPr>
          <w:rStyle w:val="CommentReference"/>
          <w:b w:val="0"/>
          <w:bCs/>
          <w:i/>
          <w:iCs/>
          <w:sz w:val="18"/>
          <w:szCs w:val="18"/>
        </w:rPr>
        <w:t xml:space="preserve"> indicate data previously seen by the PBAC.  Italics indicate results estimated during the evaluation. Bold typography indicate</w:t>
      </w:r>
      <w:r w:rsidR="00A557C1" w:rsidRPr="00E56C04">
        <w:rPr>
          <w:rStyle w:val="CommentReference"/>
          <w:b w:val="0"/>
          <w:bCs/>
          <w:i/>
          <w:iCs/>
          <w:sz w:val="18"/>
          <w:szCs w:val="18"/>
        </w:rPr>
        <w:t>s</w:t>
      </w:r>
      <w:r w:rsidRPr="00E56C04">
        <w:rPr>
          <w:rStyle w:val="CommentReference"/>
          <w:b w:val="0"/>
          <w:bCs/>
          <w:i/>
          <w:iCs/>
          <w:sz w:val="18"/>
          <w:szCs w:val="18"/>
        </w:rPr>
        <w:t xml:space="preserve"> statistically significant differences.  </w:t>
      </w:r>
      <w:r w:rsidRPr="00E56C04">
        <w:rPr>
          <w:rStyle w:val="CommentReference"/>
          <w:bCs/>
          <w:sz w:val="18"/>
          <w:szCs w:val="18"/>
        </w:rPr>
        <w:t>^</w:t>
      </w:r>
      <w:r w:rsidRPr="00E56C04">
        <w:rPr>
          <w:rStyle w:val="CommentReference"/>
          <w:bCs/>
          <w:sz w:val="18"/>
          <w:szCs w:val="18"/>
        </w:rPr>
        <w:tab/>
      </w:r>
      <w:r w:rsidRPr="00E56C04">
        <w:rPr>
          <w:rStyle w:val="CommentReference"/>
          <w:b w:val="0"/>
          <w:sz w:val="18"/>
          <w:szCs w:val="18"/>
        </w:rPr>
        <w:t xml:space="preserve">estimated during the evaluation using random effects meta-analysis using </w:t>
      </w:r>
      <w:proofErr w:type="spellStart"/>
      <w:r w:rsidRPr="00E56C04">
        <w:rPr>
          <w:rStyle w:val="CommentReference"/>
          <w:b w:val="0"/>
          <w:sz w:val="18"/>
          <w:szCs w:val="18"/>
        </w:rPr>
        <w:t>RevMan</w:t>
      </w:r>
      <w:proofErr w:type="spellEnd"/>
      <w:r w:rsidRPr="00E56C04">
        <w:rPr>
          <w:rStyle w:val="CommentReference"/>
          <w:b w:val="0"/>
          <w:sz w:val="18"/>
          <w:szCs w:val="18"/>
        </w:rPr>
        <w:t xml:space="preserve"> Version 5.3.</w:t>
      </w:r>
    </w:p>
    <w:p w:rsidR="00F934A7" w:rsidRPr="00E56C04" w:rsidRDefault="007A6EE1" w:rsidP="007A6EE1">
      <w:pPr>
        <w:rPr>
          <w:rFonts w:ascii="Arial Narrow" w:hAnsi="Arial Narrow" w:cs="TimesNewRoman,Bold"/>
          <w:sz w:val="18"/>
          <w:szCs w:val="18"/>
          <w:lang w:eastAsia="zh-CN"/>
        </w:rPr>
      </w:pPr>
      <w:r w:rsidRPr="00E56C04">
        <w:rPr>
          <w:rFonts w:ascii="Arial Narrow" w:hAnsi="Arial Narrow"/>
          <w:bCs/>
          <w:sz w:val="18"/>
          <w:szCs w:val="18"/>
        </w:rPr>
        <w:t>TIL</w:t>
      </w:r>
      <w:r w:rsidRPr="00E56C04">
        <w:rPr>
          <w:rFonts w:ascii="Arial Narrow" w:hAnsi="Arial Narrow"/>
          <w:bCs/>
          <w:sz w:val="18"/>
          <w:szCs w:val="18"/>
          <w:vertAlign w:val="subscript"/>
        </w:rPr>
        <w:t>1</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reSURFACE1; TIL</w:t>
      </w:r>
      <w:r w:rsidRPr="00E56C04">
        <w:rPr>
          <w:rFonts w:ascii="Arial Narrow" w:hAnsi="Arial Narrow"/>
          <w:bCs/>
          <w:sz w:val="18"/>
          <w:szCs w:val="18"/>
          <w:vertAlign w:val="subscript"/>
        </w:rPr>
        <w:t>2</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reSURFACE-2; TIL</w:t>
      </w:r>
      <w:r w:rsidRPr="00E56C04">
        <w:rPr>
          <w:rFonts w:ascii="Arial Narrow" w:hAnsi="Arial Narrow"/>
          <w:bCs/>
          <w:sz w:val="18"/>
          <w:szCs w:val="18"/>
          <w:vertAlign w:val="subscript"/>
        </w:rPr>
        <w:t>3</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Phase</w:t>
      </w:r>
      <w:r w:rsidR="00E56C04">
        <w:rPr>
          <w:rFonts w:ascii="Arial Narrow" w:hAnsi="Arial Narrow"/>
          <w:bCs/>
          <w:sz w:val="18"/>
          <w:szCs w:val="18"/>
        </w:rPr>
        <w:t xml:space="preserve"> </w:t>
      </w:r>
      <w:r w:rsidRPr="00E56C04">
        <w:rPr>
          <w:rFonts w:ascii="Arial Narrow" w:hAnsi="Arial Narrow"/>
          <w:bCs/>
          <w:sz w:val="18"/>
          <w:szCs w:val="18"/>
        </w:rPr>
        <w:t>II trial; UST</w:t>
      </w:r>
      <w:r w:rsidRPr="00E56C04">
        <w:rPr>
          <w:rFonts w:ascii="Arial Narrow" w:hAnsi="Arial Narrow"/>
          <w:bCs/>
          <w:sz w:val="18"/>
          <w:szCs w:val="18"/>
          <w:vertAlign w:val="subscript"/>
        </w:rPr>
        <w:t>1</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ACCEPT; UST</w:t>
      </w:r>
      <w:r w:rsidRPr="00E56C04">
        <w:rPr>
          <w:rFonts w:ascii="Arial Narrow" w:hAnsi="Arial Narrow"/>
          <w:bCs/>
          <w:sz w:val="18"/>
          <w:szCs w:val="18"/>
          <w:vertAlign w:val="subscript"/>
        </w:rPr>
        <w:t>2</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PHOENIX-1; UST</w:t>
      </w:r>
      <w:r w:rsidRPr="00E56C04">
        <w:rPr>
          <w:rFonts w:ascii="Arial Narrow" w:hAnsi="Arial Narrow"/>
          <w:bCs/>
          <w:sz w:val="18"/>
          <w:szCs w:val="18"/>
          <w:vertAlign w:val="subscript"/>
        </w:rPr>
        <w:t>3</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PHOENIX-2;  UST</w:t>
      </w:r>
      <w:r w:rsidRPr="00E56C04">
        <w:rPr>
          <w:rFonts w:ascii="Arial Narrow" w:hAnsi="Arial Narrow"/>
          <w:bCs/>
          <w:sz w:val="18"/>
          <w:szCs w:val="18"/>
          <w:vertAlign w:val="subscript"/>
        </w:rPr>
        <w:t>4</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PEARL; UST</w:t>
      </w:r>
      <w:r w:rsidRPr="00E56C04">
        <w:rPr>
          <w:rFonts w:ascii="Arial Narrow" w:hAnsi="Arial Narrow"/>
          <w:bCs/>
          <w:sz w:val="18"/>
          <w:szCs w:val="18"/>
          <w:vertAlign w:val="subscript"/>
        </w:rPr>
        <w:t>5</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LOTUS;  UST</w:t>
      </w:r>
      <w:r w:rsidRPr="00E56C04">
        <w:rPr>
          <w:rFonts w:ascii="Arial Narrow" w:hAnsi="Arial Narrow"/>
          <w:bCs/>
          <w:sz w:val="18"/>
          <w:szCs w:val="18"/>
          <w:vertAlign w:val="subscript"/>
        </w:rPr>
        <w:t>6</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Igarashi 2012;  UST</w:t>
      </w:r>
      <w:r w:rsidRPr="00E56C04">
        <w:rPr>
          <w:rFonts w:ascii="Arial Narrow" w:hAnsi="Arial Narrow"/>
          <w:bCs/>
          <w:sz w:val="18"/>
          <w:szCs w:val="18"/>
          <w:vertAlign w:val="subscript"/>
        </w:rPr>
        <w:t>7</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AMAGINE-2;  UST</w:t>
      </w:r>
      <w:r w:rsidRPr="00E56C04">
        <w:rPr>
          <w:rFonts w:ascii="Arial Narrow" w:hAnsi="Arial Narrow"/>
          <w:bCs/>
          <w:sz w:val="18"/>
          <w:szCs w:val="18"/>
          <w:vertAlign w:val="subscript"/>
        </w:rPr>
        <w:t>8</w:t>
      </w:r>
      <w:r w:rsidR="00E56C04">
        <w:rPr>
          <w:rFonts w:ascii="Arial Narrow" w:hAnsi="Arial Narrow"/>
          <w:bCs/>
          <w:sz w:val="18"/>
          <w:szCs w:val="18"/>
          <w:vertAlign w:val="subscript"/>
        </w:rPr>
        <w:t xml:space="preserve"> </w:t>
      </w:r>
      <w:r w:rsidRPr="00E56C04">
        <w:rPr>
          <w:rFonts w:ascii="Arial Narrow" w:hAnsi="Arial Narrow"/>
          <w:bCs/>
          <w:sz w:val="18"/>
          <w:szCs w:val="18"/>
        </w:rPr>
        <w:t>=</w:t>
      </w:r>
      <w:r w:rsidR="00E56C04">
        <w:rPr>
          <w:rFonts w:ascii="Arial Narrow" w:hAnsi="Arial Narrow"/>
          <w:bCs/>
          <w:sz w:val="18"/>
          <w:szCs w:val="18"/>
        </w:rPr>
        <w:t xml:space="preserve"> </w:t>
      </w:r>
      <w:r w:rsidRPr="00E56C04">
        <w:rPr>
          <w:rFonts w:ascii="Arial Narrow" w:hAnsi="Arial Narrow"/>
          <w:bCs/>
          <w:sz w:val="18"/>
          <w:szCs w:val="18"/>
        </w:rPr>
        <w:t xml:space="preserve">AMAGINE-3; </w:t>
      </w:r>
      <w:r w:rsidRPr="00E56C04">
        <w:rPr>
          <w:rStyle w:val="CommentReference"/>
          <w:b w:val="0"/>
          <w:bCs/>
          <w:sz w:val="18"/>
          <w:szCs w:val="18"/>
        </w:rPr>
        <w:t xml:space="preserve">UST Label refers to weight-based dosing for UST (UST 45 mg for patients </w:t>
      </w:r>
      <w:r w:rsidRPr="00E56C04">
        <w:rPr>
          <w:rStyle w:val="CommentReference"/>
          <w:b w:val="0"/>
          <w:bCs/>
          <w:sz w:val="18"/>
          <w:szCs w:val="18"/>
          <w:u w:val="single"/>
        </w:rPr>
        <w:t>&lt;</w:t>
      </w:r>
      <w:r w:rsidRPr="00E56C04">
        <w:rPr>
          <w:rStyle w:val="CommentReference"/>
          <w:b w:val="0"/>
          <w:bCs/>
          <w:sz w:val="18"/>
          <w:szCs w:val="18"/>
        </w:rPr>
        <w:t xml:space="preserve"> 100 kg; UST 90 mg for patients &gt; 100 kg); </w:t>
      </w:r>
      <w:proofErr w:type="spellStart"/>
      <w:r w:rsidRPr="00E56C04">
        <w:rPr>
          <w:rStyle w:val="CommentReference"/>
          <w:b w:val="0"/>
          <w:bCs/>
          <w:sz w:val="18"/>
          <w:szCs w:val="18"/>
        </w:rPr>
        <w:t>Wk</w:t>
      </w:r>
      <w:proofErr w:type="spellEnd"/>
      <w:r w:rsidR="00E56C04">
        <w:rPr>
          <w:rStyle w:val="CommentReference"/>
          <w:b w:val="0"/>
          <w:bCs/>
          <w:sz w:val="18"/>
          <w:szCs w:val="18"/>
        </w:rPr>
        <w:t xml:space="preserve"> </w:t>
      </w:r>
      <w:r w:rsidRPr="00E56C04">
        <w:rPr>
          <w:rStyle w:val="CommentReference"/>
          <w:b w:val="0"/>
          <w:bCs/>
          <w:sz w:val="18"/>
          <w:szCs w:val="18"/>
        </w:rPr>
        <w:t>=</w:t>
      </w:r>
      <w:r w:rsidR="00E56C04">
        <w:rPr>
          <w:rStyle w:val="CommentReference"/>
          <w:b w:val="0"/>
          <w:bCs/>
          <w:sz w:val="18"/>
          <w:szCs w:val="18"/>
        </w:rPr>
        <w:t xml:space="preserve"> </w:t>
      </w:r>
      <w:r w:rsidRPr="00E56C04">
        <w:rPr>
          <w:rStyle w:val="CommentReference"/>
          <w:b w:val="0"/>
          <w:bCs/>
          <w:sz w:val="18"/>
          <w:szCs w:val="18"/>
        </w:rPr>
        <w:t>week; ADA</w:t>
      </w:r>
      <w:r w:rsidR="00E56C04">
        <w:rPr>
          <w:rStyle w:val="CommentReference"/>
          <w:b w:val="0"/>
          <w:bCs/>
          <w:sz w:val="18"/>
          <w:szCs w:val="18"/>
        </w:rPr>
        <w:t xml:space="preserve"> </w:t>
      </w:r>
      <w:r w:rsidRPr="00E56C04">
        <w:rPr>
          <w:rStyle w:val="CommentReference"/>
          <w:b w:val="0"/>
          <w:bCs/>
          <w:sz w:val="18"/>
          <w:szCs w:val="18"/>
        </w:rPr>
        <w:t>=</w:t>
      </w:r>
      <w:r w:rsidR="00E56C04">
        <w:rPr>
          <w:rStyle w:val="CommentReference"/>
          <w:b w:val="0"/>
          <w:bCs/>
          <w:sz w:val="18"/>
          <w:szCs w:val="18"/>
        </w:rPr>
        <w:t xml:space="preserve"> </w:t>
      </w:r>
      <w:r w:rsidRPr="00E56C04">
        <w:rPr>
          <w:rStyle w:val="CommentReference"/>
          <w:b w:val="0"/>
          <w:bCs/>
          <w:sz w:val="18"/>
          <w:szCs w:val="18"/>
        </w:rPr>
        <w:t>adalimumab</w:t>
      </w:r>
      <w:r w:rsidR="00E56C04">
        <w:rPr>
          <w:rStyle w:val="CommentReference"/>
          <w:b w:val="0"/>
          <w:bCs/>
          <w:sz w:val="18"/>
          <w:szCs w:val="18"/>
        </w:rPr>
        <w:t>;</w:t>
      </w:r>
      <w:r w:rsidRPr="00E56C04">
        <w:rPr>
          <w:rStyle w:val="CommentReference"/>
          <w:b w:val="0"/>
          <w:bCs/>
          <w:sz w:val="18"/>
          <w:szCs w:val="18"/>
        </w:rPr>
        <w:t xml:space="preserve"> ETN</w:t>
      </w:r>
      <w:r w:rsidR="00E56C04">
        <w:rPr>
          <w:rStyle w:val="CommentReference"/>
          <w:b w:val="0"/>
          <w:bCs/>
          <w:sz w:val="18"/>
          <w:szCs w:val="18"/>
        </w:rPr>
        <w:t xml:space="preserve"> </w:t>
      </w:r>
      <w:r w:rsidRPr="00E56C04">
        <w:rPr>
          <w:rStyle w:val="CommentReference"/>
          <w:b w:val="0"/>
          <w:bCs/>
          <w:sz w:val="18"/>
          <w:szCs w:val="18"/>
        </w:rPr>
        <w:t>=</w:t>
      </w:r>
      <w:r w:rsidR="00E56C04">
        <w:rPr>
          <w:rStyle w:val="CommentReference"/>
          <w:b w:val="0"/>
          <w:bCs/>
          <w:sz w:val="18"/>
          <w:szCs w:val="18"/>
        </w:rPr>
        <w:t xml:space="preserve"> </w:t>
      </w:r>
      <w:r w:rsidRPr="00E56C04">
        <w:rPr>
          <w:rStyle w:val="CommentReference"/>
          <w:b w:val="0"/>
          <w:bCs/>
          <w:sz w:val="18"/>
          <w:szCs w:val="18"/>
        </w:rPr>
        <w:t>etanercept; PBO</w:t>
      </w:r>
      <w:r w:rsidR="00E56C04">
        <w:rPr>
          <w:rStyle w:val="CommentReference"/>
          <w:b w:val="0"/>
          <w:bCs/>
          <w:sz w:val="18"/>
          <w:szCs w:val="18"/>
        </w:rPr>
        <w:t xml:space="preserve"> </w:t>
      </w:r>
      <w:r w:rsidRPr="00E56C04">
        <w:rPr>
          <w:rStyle w:val="CommentReference"/>
          <w:b w:val="0"/>
          <w:bCs/>
          <w:sz w:val="18"/>
          <w:szCs w:val="18"/>
        </w:rPr>
        <w:t>=</w:t>
      </w:r>
      <w:r w:rsidR="00E56C04">
        <w:rPr>
          <w:rStyle w:val="CommentReference"/>
          <w:b w:val="0"/>
          <w:bCs/>
          <w:sz w:val="18"/>
          <w:szCs w:val="18"/>
        </w:rPr>
        <w:t xml:space="preserve"> </w:t>
      </w:r>
      <w:r w:rsidRPr="00E56C04">
        <w:rPr>
          <w:rStyle w:val="CommentReference"/>
          <w:b w:val="0"/>
          <w:bCs/>
          <w:sz w:val="18"/>
          <w:szCs w:val="18"/>
        </w:rPr>
        <w:t>placebo</w:t>
      </w:r>
      <w:r w:rsidR="00E56C04">
        <w:rPr>
          <w:rStyle w:val="CommentReference"/>
          <w:b w:val="0"/>
          <w:bCs/>
          <w:sz w:val="18"/>
          <w:szCs w:val="18"/>
        </w:rPr>
        <w:t>;</w:t>
      </w:r>
      <w:r w:rsidRPr="00E56C04">
        <w:rPr>
          <w:rStyle w:val="CommentReference"/>
          <w:b w:val="0"/>
          <w:bCs/>
          <w:sz w:val="18"/>
          <w:szCs w:val="18"/>
        </w:rPr>
        <w:t xml:space="preserve"> TIL</w:t>
      </w:r>
      <w:r w:rsidR="00E56C04">
        <w:rPr>
          <w:rStyle w:val="CommentReference"/>
          <w:b w:val="0"/>
          <w:bCs/>
          <w:sz w:val="18"/>
          <w:szCs w:val="18"/>
        </w:rPr>
        <w:t xml:space="preserve"> </w:t>
      </w:r>
      <w:r w:rsidRPr="00E56C04">
        <w:rPr>
          <w:rStyle w:val="CommentReference"/>
          <w:b w:val="0"/>
          <w:bCs/>
          <w:sz w:val="18"/>
          <w:szCs w:val="18"/>
        </w:rPr>
        <w:t>=</w:t>
      </w:r>
      <w:r w:rsidR="00E56C04">
        <w:rPr>
          <w:rStyle w:val="CommentReference"/>
          <w:b w:val="0"/>
          <w:bCs/>
          <w:sz w:val="18"/>
          <w:szCs w:val="18"/>
        </w:rPr>
        <w:t xml:space="preserve"> </w:t>
      </w:r>
      <w:proofErr w:type="spellStart"/>
      <w:r w:rsidRPr="00E56C04">
        <w:rPr>
          <w:rStyle w:val="CommentReference"/>
          <w:b w:val="0"/>
          <w:bCs/>
          <w:sz w:val="18"/>
          <w:szCs w:val="18"/>
        </w:rPr>
        <w:t>tildrakizumab</w:t>
      </w:r>
      <w:proofErr w:type="spellEnd"/>
      <w:r w:rsidR="00E56C04">
        <w:rPr>
          <w:rStyle w:val="CommentReference"/>
          <w:b w:val="0"/>
          <w:bCs/>
          <w:sz w:val="18"/>
          <w:szCs w:val="18"/>
        </w:rPr>
        <w:t>;</w:t>
      </w:r>
      <w:r w:rsidRPr="00E56C04">
        <w:rPr>
          <w:rStyle w:val="CommentReference"/>
          <w:b w:val="0"/>
          <w:bCs/>
          <w:sz w:val="18"/>
          <w:szCs w:val="18"/>
        </w:rPr>
        <w:t xml:space="preserve"> UST</w:t>
      </w:r>
      <w:r w:rsidR="00E56C04">
        <w:rPr>
          <w:rStyle w:val="CommentReference"/>
          <w:b w:val="0"/>
          <w:bCs/>
          <w:sz w:val="18"/>
          <w:szCs w:val="18"/>
        </w:rPr>
        <w:t xml:space="preserve"> </w:t>
      </w:r>
      <w:r w:rsidRPr="00E56C04">
        <w:rPr>
          <w:rStyle w:val="CommentReference"/>
          <w:b w:val="0"/>
          <w:bCs/>
          <w:sz w:val="18"/>
          <w:szCs w:val="18"/>
        </w:rPr>
        <w:t>=</w:t>
      </w:r>
      <w:r w:rsidR="00E56C04">
        <w:rPr>
          <w:rStyle w:val="CommentReference"/>
          <w:b w:val="0"/>
          <w:bCs/>
          <w:sz w:val="18"/>
          <w:szCs w:val="18"/>
        </w:rPr>
        <w:t xml:space="preserve"> </w:t>
      </w:r>
      <w:r w:rsidRPr="00E56C04">
        <w:rPr>
          <w:rStyle w:val="CommentReference"/>
          <w:b w:val="0"/>
          <w:bCs/>
          <w:sz w:val="18"/>
          <w:szCs w:val="18"/>
        </w:rPr>
        <w:t>ustekinumab</w:t>
      </w:r>
      <w:r w:rsidR="00E56C04">
        <w:rPr>
          <w:rStyle w:val="CommentReference"/>
          <w:b w:val="0"/>
          <w:bCs/>
          <w:sz w:val="18"/>
          <w:szCs w:val="18"/>
        </w:rPr>
        <w:t>;</w:t>
      </w:r>
      <w:r w:rsidRPr="00E56C04">
        <w:rPr>
          <w:rStyle w:val="CommentReference"/>
          <w:b w:val="0"/>
          <w:sz w:val="18"/>
          <w:szCs w:val="18"/>
        </w:rPr>
        <w:t xml:space="preserve"> PASI 75</w:t>
      </w:r>
      <w:r w:rsidR="00E56C04">
        <w:rPr>
          <w:rStyle w:val="CommentReference"/>
          <w:b w:val="0"/>
          <w:sz w:val="18"/>
          <w:szCs w:val="18"/>
        </w:rPr>
        <w:t xml:space="preserve"> </w:t>
      </w:r>
      <w:r w:rsidRPr="00E56C04">
        <w:rPr>
          <w:rStyle w:val="CommentReference"/>
          <w:b w:val="0"/>
          <w:sz w:val="18"/>
          <w:szCs w:val="18"/>
        </w:rPr>
        <w:t>= ≥ 75%reduction in the Psoriasis Area and Severity Index. *</w:t>
      </w:r>
      <w:r w:rsidRPr="00E56C04">
        <w:rPr>
          <w:rStyle w:val="CommentReference"/>
          <w:b w:val="0"/>
          <w:bCs/>
          <w:sz w:val="18"/>
          <w:szCs w:val="18"/>
        </w:rPr>
        <w:t xml:space="preserve">analysis in the ITT population (using NRI) One patient in the PBO arm was randomised but never treated in </w:t>
      </w:r>
      <w:proofErr w:type="spellStart"/>
      <w:r w:rsidRPr="00E56C04">
        <w:rPr>
          <w:rStyle w:val="CommentReference"/>
          <w:b w:val="0"/>
          <w:bCs/>
          <w:sz w:val="18"/>
          <w:szCs w:val="18"/>
        </w:rPr>
        <w:t>reSURFACE</w:t>
      </w:r>
      <w:proofErr w:type="spellEnd"/>
      <w:r w:rsidRPr="00E56C04">
        <w:rPr>
          <w:rStyle w:val="CommentReference"/>
          <w:b w:val="0"/>
          <w:bCs/>
          <w:sz w:val="18"/>
          <w:szCs w:val="18"/>
        </w:rPr>
        <w:t xml:space="preserve"> 1 and the phase </w:t>
      </w:r>
      <w:proofErr w:type="spellStart"/>
      <w:r w:rsidRPr="00E56C04">
        <w:rPr>
          <w:rStyle w:val="CommentReference"/>
          <w:b w:val="0"/>
          <w:bCs/>
          <w:sz w:val="18"/>
          <w:szCs w:val="18"/>
        </w:rPr>
        <w:t>IIb</w:t>
      </w:r>
      <w:proofErr w:type="spellEnd"/>
      <w:r w:rsidRPr="00E56C04">
        <w:rPr>
          <w:rStyle w:val="CommentReference"/>
          <w:b w:val="0"/>
          <w:bCs/>
          <w:sz w:val="18"/>
          <w:szCs w:val="18"/>
        </w:rPr>
        <w:t xml:space="preserve"> trial. </w:t>
      </w:r>
      <w:proofErr w:type="gramStart"/>
      <w:r w:rsidRPr="00E56C04">
        <w:rPr>
          <w:rStyle w:val="CommentReference"/>
          <w:b w:val="0"/>
          <w:sz w:val="18"/>
          <w:szCs w:val="18"/>
          <w:vertAlign w:val="superscript"/>
        </w:rPr>
        <w:t>#</w:t>
      </w:r>
      <w:r w:rsidRPr="00E56C04">
        <w:rPr>
          <w:rStyle w:val="CommentReference"/>
          <w:b w:val="0"/>
          <w:bCs/>
          <w:sz w:val="18"/>
          <w:szCs w:val="18"/>
        </w:rPr>
        <w:t>analysis in the ITT population.</w:t>
      </w:r>
      <w:proofErr w:type="gramEnd"/>
      <w:r w:rsidRPr="00E56C04">
        <w:rPr>
          <w:rStyle w:val="CommentReference"/>
          <w:b w:val="0"/>
          <w:bCs/>
          <w:sz w:val="18"/>
          <w:szCs w:val="18"/>
        </w:rPr>
        <w:t xml:space="preserve"> One patient in the PBO arm was randomised but did not receive active treatment.</w:t>
      </w:r>
      <w:r w:rsidRPr="00E56C04">
        <w:rPr>
          <w:rStyle w:val="CommentReference"/>
          <w:sz w:val="18"/>
          <w:szCs w:val="18"/>
          <w:vertAlign w:val="superscript"/>
        </w:rPr>
        <w:t xml:space="preserve">  </w:t>
      </w:r>
      <w:proofErr w:type="gramStart"/>
      <w:r w:rsidRPr="00E56C04">
        <w:rPr>
          <w:rStyle w:val="CommentReference"/>
          <w:b w:val="0"/>
          <w:sz w:val="18"/>
          <w:szCs w:val="18"/>
          <w:vertAlign w:val="superscript"/>
        </w:rPr>
        <w:t>a</w:t>
      </w:r>
      <w:proofErr w:type="gramEnd"/>
      <w:r w:rsidRPr="00E56C04">
        <w:rPr>
          <w:rStyle w:val="CommentReference"/>
          <w:sz w:val="18"/>
          <w:szCs w:val="18"/>
        </w:rPr>
        <w:tab/>
      </w:r>
      <w:r w:rsidR="00E56C04">
        <w:rPr>
          <w:rStyle w:val="CommentReference"/>
          <w:sz w:val="18"/>
          <w:szCs w:val="18"/>
        </w:rPr>
        <w:t xml:space="preserve"> </w:t>
      </w:r>
      <w:r w:rsidRPr="00E56C04">
        <w:rPr>
          <w:rStyle w:val="CommentReference"/>
          <w:b w:val="0"/>
          <w:bCs/>
          <w:sz w:val="18"/>
          <w:szCs w:val="18"/>
        </w:rPr>
        <w:t xml:space="preserve">primary PASI75 outcome was at </w:t>
      </w:r>
      <w:proofErr w:type="spellStart"/>
      <w:r w:rsidRPr="00E56C04">
        <w:rPr>
          <w:rStyle w:val="CommentReference"/>
          <w:b w:val="0"/>
          <w:bCs/>
          <w:sz w:val="18"/>
          <w:szCs w:val="18"/>
        </w:rPr>
        <w:t>Wk</w:t>
      </w:r>
      <w:proofErr w:type="spellEnd"/>
      <w:r w:rsidRPr="00E56C04">
        <w:rPr>
          <w:rStyle w:val="CommentReference"/>
          <w:b w:val="0"/>
          <w:bCs/>
          <w:sz w:val="18"/>
          <w:szCs w:val="18"/>
        </w:rPr>
        <w:t xml:space="preserve"> 16, Week 12 PASI 75 presented here was a secondary outcome </w:t>
      </w:r>
      <w:r w:rsidRPr="00E56C04">
        <w:rPr>
          <w:rStyle w:val="CommentReference"/>
          <w:b w:val="0"/>
          <w:bCs/>
          <w:sz w:val="18"/>
          <w:szCs w:val="18"/>
          <w:vertAlign w:val="superscript"/>
        </w:rPr>
        <w:t>b</w:t>
      </w:r>
      <w:r w:rsidRPr="00E56C04">
        <w:rPr>
          <w:rStyle w:val="CommentReference"/>
          <w:b w:val="0"/>
          <w:bCs/>
          <w:sz w:val="18"/>
          <w:szCs w:val="18"/>
        </w:rPr>
        <w:tab/>
      </w:r>
      <w:r w:rsidR="00E56C04">
        <w:rPr>
          <w:rStyle w:val="CommentReference"/>
          <w:b w:val="0"/>
          <w:bCs/>
          <w:sz w:val="18"/>
          <w:szCs w:val="18"/>
        </w:rPr>
        <w:t xml:space="preserve"> </w:t>
      </w:r>
      <w:proofErr w:type="spellStart"/>
      <w:r w:rsidRPr="00E56C04">
        <w:rPr>
          <w:rStyle w:val="CommentReference"/>
          <w:b w:val="0"/>
          <w:bCs/>
          <w:sz w:val="18"/>
          <w:szCs w:val="18"/>
        </w:rPr>
        <w:t>Wk</w:t>
      </w:r>
      <w:proofErr w:type="spellEnd"/>
      <w:r w:rsidRPr="00E56C04">
        <w:rPr>
          <w:rStyle w:val="CommentReference"/>
          <w:b w:val="0"/>
          <w:bCs/>
          <w:sz w:val="18"/>
          <w:szCs w:val="18"/>
        </w:rPr>
        <w:t xml:space="preserve"> 16 PASI75 outcome given primary outcome </w:t>
      </w:r>
      <w:r w:rsidRPr="00E56C04">
        <w:rPr>
          <w:rStyle w:val="CommentReference"/>
          <w:b w:val="0"/>
          <w:bCs/>
          <w:sz w:val="18"/>
          <w:szCs w:val="18"/>
        </w:rPr>
        <w:lastRenderedPageBreak/>
        <w:t>was measured at this time. Source: constructed during the evaluation using results reported</w:t>
      </w:r>
      <w:r w:rsidRPr="00E56C04">
        <w:rPr>
          <w:rStyle w:val="CommentReference"/>
          <w:b w:val="0"/>
          <w:sz w:val="18"/>
          <w:szCs w:val="18"/>
        </w:rPr>
        <w:t xml:space="preserve"> in </w:t>
      </w:r>
      <w:r w:rsidRPr="00E56C04">
        <w:rPr>
          <w:rFonts w:ascii="Arial Narrow" w:hAnsi="Arial Narrow" w:cs="TimesNewRoman,Bold"/>
          <w:sz w:val="18"/>
          <w:szCs w:val="18"/>
          <w:lang w:eastAsia="zh-CN"/>
        </w:rPr>
        <w:t>Table 2(a).5-2, Table 2(a).5-5, Table 2(a).5-35;, Table 2(a).6-40, Tables 2(a).6-57 to Table2(a).6-58;Table 2(b).5-1, p20; Table 2(c).6-13, p72 of Appendix 1, p94,115, 161-162, 175 of the submission.</w:t>
      </w:r>
    </w:p>
    <w:p w:rsidR="007A6EE1" w:rsidRPr="00A67917" w:rsidRDefault="007A6EE1" w:rsidP="00A67917">
      <w:pPr>
        <w:rPr>
          <w:rStyle w:val="CommentReference"/>
          <w:rFonts w:asciiTheme="minorHAnsi" w:hAnsiTheme="minorHAnsi" w:cs="TimesNewRoman,Bold"/>
          <w:b w:val="0"/>
          <w:sz w:val="24"/>
          <w:szCs w:val="24"/>
          <w:lang w:eastAsia="zh-CN"/>
        </w:rPr>
      </w:pPr>
    </w:p>
    <w:p w:rsidR="008A73D0" w:rsidRPr="000D2FE2" w:rsidRDefault="003E3225" w:rsidP="00952E39">
      <w:pPr>
        <w:pStyle w:val="ListParagraph"/>
        <w:widowControl/>
        <w:numPr>
          <w:ilvl w:val="1"/>
          <w:numId w:val="32"/>
        </w:numPr>
        <w:spacing w:after="120"/>
        <w:rPr>
          <w:iCs/>
        </w:rPr>
      </w:pPr>
      <w:r w:rsidRPr="000D2FE2">
        <w:rPr>
          <w:iCs/>
        </w:rPr>
        <w:t>Table 5 summarises results of indirect and direct comparisons for other efficacy outcomes at Week 12</w:t>
      </w:r>
      <w:r w:rsidR="00F024AE" w:rsidRPr="000D2FE2">
        <w:rPr>
          <w:iCs/>
        </w:rPr>
        <w:t>/16</w:t>
      </w:r>
      <w:r w:rsidR="004C58F6" w:rsidRPr="000D2FE2">
        <w:rPr>
          <w:iCs/>
        </w:rPr>
        <w:t>.</w:t>
      </w:r>
    </w:p>
    <w:p w:rsidR="00BE6D95" w:rsidRPr="001D3D79" w:rsidRDefault="008A73D0" w:rsidP="00BE6D95">
      <w:pPr>
        <w:rPr>
          <w:rFonts w:ascii="Arial Narrow" w:hAnsi="Arial Narrow"/>
          <w:b/>
          <w:bCs/>
          <w:sz w:val="20"/>
          <w:szCs w:val="20"/>
        </w:rPr>
      </w:pPr>
      <w:r>
        <w:rPr>
          <w:rFonts w:ascii="Arial Narrow" w:hAnsi="Arial Narrow"/>
          <w:b/>
          <w:bCs/>
          <w:sz w:val="20"/>
          <w:szCs w:val="20"/>
        </w:rPr>
        <w:t>Table 5</w:t>
      </w:r>
      <w:r w:rsidRPr="005D31CD">
        <w:rPr>
          <w:rFonts w:ascii="Arial Narrow" w:hAnsi="Arial Narrow"/>
          <w:b/>
          <w:bCs/>
          <w:sz w:val="20"/>
          <w:szCs w:val="20"/>
        </w:rPr>
        <w:t>:</w:t>
      </w:r>
      <w:r w:rsidR="00BE6D95" w:rsidRPr="00BE6D95">
        <w:rPr>
          <w:rFonts w:ascii="Arial Narrow" w:hAnsi="Arial Narrow"/>
          <w:b/>
          <w:bCs/>
          <w:sz w:val="20"/>
          <w:szCs w:val="20"/>
        </w:rPr>
        <w:t xml:space="preserve"> </w:t>
      </w:r>
      <w:r w:rsidR="00BE6D95" w:rsidRPr="005D31CD">
        <w:rPr>
          <w:rFonts w:ascii="Arial Narrow" w:hAnsi="Arial Narrow"/>
          <w:b/>
          <w:bCs/>
          <w:sz w:val="20"/>
          <w:szCs w:val="20"/>
        </w:rPr>
        <w:t>Summary of direct and indirect comparisons for PASI 90, PASI 100, PGA and DLQI outcomes at 12</w:t>
      </w:r>
      <w:r w:rsidR="00BE6D95">
        <w:rPr>
          <w:rFonts w:ascii="Arial Narrow" w:hAnsi="Arial Narrow"/>
          <w:b/>
          <w:bCs/>
          <w:sz w:val="20"/>
          <w:szCs w:val="20"/>
        </w:rPr>
        <w:t>/16</w:t>
      </w:r>
      <w:r w:rsidR="00BE6D95" w:rsidRPr="00E53C72">
        <w:rPr>
          <w:rFonts w:ascii="Arial Narrow" w:hAnsi="Arial Narrow"/>
          <w:b/>
          <w:bCs/>
          <w:sz w:val="20"/>
          <w:szCs w:val="20"/>
          <w:vertAlign w:val="superscript"/>
        </w:rPr>
        <w:t xml:space="preserve">a </w:t>
      </w:r>
      <w:r w:rsidR="00BE6D95" w:rsidRPr="005D31CD">
        <w:rPr>
          <w:rFonts w:ascii="Arial Narrow" w:hAnsi="Arial Narrow"/>
          <w:b/>
          <w:bCs/>
          <w:sz w:val="20"/>
          <w:szCs w:val="20"/>
        </w:rPr>
        <w:t>weeks</w:t>
      </w:r>
      <w:r w:rsidR="00BE6D95">
        <w:rPr>
          <w:rFonts w:ascii="Arial Narrow" w:hAnsi="Arial Narrow"/>
          <w:b/>
          <w:bCs/>
          <w:sz w:val="20"/>
          <w:szCs w:val="20"/>
        </w:rPr>
        <w:t xml:space="preserve"> – ITT populations</w:t>
      </w:r>
    </w:p>
    <w:tbl>
      <w:tblPr>
        <w:tblStyle w:val="TableGrid"/>
        <w:tblW w:w="9212" w:type="dxa"/>
        <w:tblCellMar>
          <w:left w:w="28" w:type="dxa"/>
          <w:right w:w="28" w:type="dxa"/>
        </w:tblCellMar>
        <w:tblLook w:val="04A0" w:firstRow="1" w:lastRow="0" w:firstColumn="1" w:lastColumn="0" w:noHBand="0" w:noVBand="1"/>
        <w:tblCaption w:val="Summary of direct and indirect comparisons for PASI 90, PASI 100, PGA and DLQI outcomes at 12/16a weeks – ITT populations"/>
      </w:tblPr>
      <w:tblGrid>
        <w:gridCol w:w="4815"/>
        <w:gridCol w:w="1276"/>
        <w:gridCol w:w="1417"/>
        <w:gridCol w:w="1704"/>
      </w:tblGrid>
      <w:tr w:rsidR="00BE6D95" w:rsidRPr="00D44A8D" w:rsidTr="00D3086A">
        <w:trPr>
          <w:tblHeader/>
        </w:trPr>
        <w:tc>
          <w:tcPr>
            <w:tcW w:w="4815" w:type="dxa"/>
            <w:tcBorders>
              <w:bottom w:val="single" w:sz="4" w:space="0" w:color="auto"/>
            </w:tcBorders>
            <w:vAlign w:val="center"/>
          </w:tcPr>
          <w:p w:rsidR="00BE6D95" w:rsidRPr="00D44A8D" w:rsidRDefault="00BE6D95" w:rsidP="005A0854">
            <w:pPr>
              <w:jc w:val="left"/>
              <w:rPr>
                <w:rFonts w:ascii="Arial Narrow" w:hAnsi="Arial Narrow"/>
                <w:b/>
                <w:bCs/>
                <w:sz w:val="20"/>
                <w:szCs w:val="20"/>
              </w:rPr>
            </w:pPr>
            <w:r w:rsidRPr="00D44A8D">
              <w:rPr>
                <w:rFonts w:ascii="Arial Narrow" w:hAnsi="Arial Narrow"/>
                <w:b/>
                <w:bCs/>
                <w:sz w:val="20"/>
                <w:szCs w:val="20"/>
              </w:rPr>
              <w:t>Outcome and comparison</w:t>
            </w:r>
          </w:p>
        </w:tc>
        <w:tc>
          <w:tcPr>
            <w:tcW w:w="1276" w:type="dxa"/>
            <w:shd w:val="clear" w:color="auto" w:fill="auto"/>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sz w:val="20"/>
                <w:szCs w:val="20"/>
              </w:rPr>
              <w:t>RR^ (95% CI)</w:t>
            </w:r>
          </w:p>
        </w:tc>
        <w:tc>
          <w:tcPr>
            <w:tcW w:w="1417" w:type="dxa"/>
            <w:shd w:val="clear" w:color="auto" w:fill="auto"/>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sz w:val="20"/>
                <w:szCs w:val="20"/>
              </w:rPr>
              <w:t>OR ^(95% CI)</w:t>
            </w:r>
          </w:p>
        </w:tc>
        <w:tc>
          <w:tcPr>
            <w:tcW w:w="1704" w:type="dxa"/>
            <w:shd w:val="clear" w:color="auto" w:fill="auto"/>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sz w:val="20"/>
                <w:szCs w:val="20"/>
              </w:rPr>
              <w:t>RD^ (95% CI)</w:t>
            </w:r>
          </w:p>
        </w:tc>
      </w:tr>
      <w:tr w:rsidR="00BE6D95" w:rsidRPr="00D44A8D" w:rsidTr="005A0854">
        <w:tc>
          <w:tcPr>
            <w:tcW w:w="4815" w:type="dxa"/>
            <w:vAlign w:val="center"/>
          </w:tcPr>
          <w:p w:rsidR="00BE6D95" w:rsidRPr="00D44A8D" w:rsidRDefault="00BE6D95" w:rsidP="005A0854">
            <w:pPr>
              <w:ind w:left="-32"/>
              <w:jc w:val="left"/>
              <w:rPr>
                <w:rFonts w:ascii="Arial Narrow" w:hAnsi="Arial Narrow"/>
                <w:sz w:val="20"/>
                <w:szCs w:val="20"/>
                <w:lang w:val="pt-PT"/>
              </w:rPr>
            </w:pPr>
            <w:r w:rsidRPr="00D44A8D">
              <w:rPr>
                <w:rFonts w:ascii="Arial Narrow" w:hAnsi="Arial Narrow"/>
                <w:b/>
                <w:bCs/>
                <w:sz w:val="20"/>
                <w:szCs w:val="20"/>
              </w:rPr>
              <w:t>PASI 90</w:t>
            </w:r>
          </w:p>
        </w:tc>
        <w:tc>
          <w:tcPr>
            <w:tcW w:w="1276" w:type="dxa"/>
            <w:vAlign w:val="center"/>
          </w:tcPr>
          <w:p w:rsidR="00BE6D95" w:rsidRPr="00D44A8D" w:rsidRDefault="00BE6D95" w:rsidP="005A0854">
            <w:pPr>
              <w:jc w:val="center"/>
              <w:rPr>
                <w:rFonts w:ascii="Arial Narrow" w:hAnsi="Arial Narrow"/>
                <w:b/>
                <w:bCs/>
                <w:i/>
                <w:sz w:val="20"/>
                <w:szCs w:val="20"/>
              </w:rPr>
            </w:pP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b/>
                <w:bCs/>
                <w:i/>
                <w:iCs/>
                <w:sz w:val="20"/>
                <w:szCs w:val="20"/>
              </w:rPr>
            </w:pPr>
          </w:p>
        </w:tc>
        <w:tc>
          <w:tcPr>
            <w:tcW w:w="1704" w:type="dxa"/>
            <w:tcBorders>
              <w:right w:val="single" w:sz="4" w:space="0" w:color="auto"/>
            </w:tcBorders>
            <w:vAlign w:val="center"/>
          </w:tcPr>
          <w:p w:rsidR="00BE6D95" w:rsidRPr="00D44A8D" w:rsidRDefault="00BE6D95" w:rsidP="005A0854">
            <w:pPr>
              <w:jc w:val="center"/>
              <w:rPr>
                <w:rFonts w:ascii="Arial Narrow" w:hAnsi="Arial Narrow"/>
                <w:b/>
                <w:i/>
                <w:sz w:val="20"/>
                <w:szCs w:val="20"/>
              </w:rPr>
            </w:pPr>
          </w:p>
        </w:tc>
      </w:tr>
      <w:tr w:rsidR="00BE6D95" w:rsidRPr="00D44A8D" w:rsidTr="005A0854">
        <w:tc>
          <w:tcPr>
            <w:tcW w:w="4815" w:type="dxa"/>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A: TIL vs ETN (TIL2) direct</w:t>
            </w:r>
          </w:p>
        </w:tc>
        <w:tc>
          <w:tcPr>
            <w:tcW w:w="1276" w:type="dxa"/>
            <w:vAlign w:val="center"/>
          </w:tcPr>
          <w:p w:rsidR="00BE6D95" w:rsidRPr="00D44A8D" w:rsidRDefault="00BE6D95" w:rsidP="005A0854">
            <w:pPr>
              <w:jc w:val="center"/>
              <w:rPr>
                <w:rFonts w:ascii="Arial Narrow" w:hAnsi="Arial Narrow"/>
                <w:b/>
                <w:bCs/>
                <w:i/>
                <w:iCs/>
                <w:sz w:val="20"/>
                <w:szCs w:val="20"/>
              </w:rPr>
            </w:pPr>
            <w:r w:rsidRPr="00D44A8D">
              <w:rPr>
                <w:rFonts w:ascii="Arial Narrow" w:hAnsi="Arial Narrow"/>
                <w:b/>
                <w:bCs/>
                <w:i/>
                <w:sz w:val="20"/>
                <w:szCs w:val="20"/>
              </w:rPr>
              <w:t>1.71 (1.32, 2.21)</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b/>
                <w:i/>
                <w:sz w:val="20"/>
                <w:szCs w:val="20"/>
              </w:rPr>
            </w:pPr>
            <w:r w:rsidRPr="00D44A8D">
              <w:rPr>
                <w:rFonts w:ascii="Arial Narrow" w:hAnsi="Arial Narrow"/>
                <w:b/>
                <w:bCs/>
                <w:i/>
                <w:iCs/>
                <w:sz w:val="20"/>
                <w:szCs w:val="20"/>
              </w:rPr>
              <w:t>2.12 (1.49, 3,02)-</w:t>
            </w:r>
          </w:p>
        </w:tc>
        <w:tc>
          <w:tcPr>
            <w:tcW w:w="1704" w:type="dxa"/>
            <w:tcBorders>
              <w:right w:val="single" w:sz="4" w:space="0" w:color="auto"/>
            </w:tcBorders>
            <w:vAlign w:val="center"/>
          </w:tcPr>
          <w:p w:rsidR="00BE6D95" w:rsidRPr="00D44A8D" w:rsidRDefault="00BE6D95" w:rsidP="005A0854">
            <w:pPr>
              <w:jc w:val="center"/>
              <w:rPr>
                <w:rFonts w:ascii="Arial Narrow" w:hAnsi="Arial Narrow"/>
                <w:iCs/>
                <w:sz w:val="20"/>
                <w:szCs w:val="20"/>
              </w:rPr>
            </w:pPr>
            <w:r w:rsidRPr="00D44A8D">
              <w:rPr>
                <w:rFonts w:ascii="Arial Narrow" w:hAnsi="Arial Narrow"/>
                <w:b/>
                <w:iCs/>
                <w:sz w:val="20"/>
                <w:szCs w:val="20"/>
              </w:rPr>
              <w:t>0.15 (0.08, 0.22)</w:t>
            </w:r>
          </w:p>
        </w:tc>
      </w:tr>
      <w:tr w:rsidR="00BE6D95" w:rsidRPr="00D44A8D" w:rsidTr="005A0854">
        <w:tc>
          <w:tcPr>
            <w:tcW w:w="4815" w:type="dxa"/>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B: TIL vs UST (45&amp;90</w:t>
            </w:r>
            <w:r w:rsidR="00821F1B">
              <w:rPr>
                <w:rFonts w:ascii="Arial Narrow" w:hAnsi="Arial Narrow"/>
                <w:sz w:val="20"/>
                <w:szCs w:val="20"/>
              </w:rPr>
              <w:t xml:space="preserve"> </w:t>
            </w:r>
            <w:r w:rsidRPr="00D44A8D">
              <w:rPr>
                <w:rFonts w:ascii="Arial Narrow" w:hAnsi="Arial Narrow"/>
                <w:sz w:val="20"/>
                <w:szCs w:val="20"/>
              </w:rPr>
              <w:t>mg) (TIL2 v UST1) indirect via ETN</w:t>
            </w:r>
          </w:p>
        </w:tc>
        <w:tc>
          <w:tcPr>
            <w:tcW w:w="1276" w:type="dxa"/>
            <w:vAlign w:val="center"/>
          </w:tcPr>
          <w:p w:rsidR="00BE6D95" w:rsidRPr="00D44A8D" w:rsidRDefault="00BE6D95" w:rsidP="005A0854">
            <w:pPr>
              <w:jc w:val="center"/>
              <w:rPr>
                <w:rFonts w:ascii="Arial Narrow" w:hAnsi="Arial Narrow"/>
                <w:b/>
                <w:bCs/>
                <w:iCs/>
                <w:sz w:val="20"/>
                <w:szCs w:val="20"/>
              </w:rPr>
            </w:pPr>
            <w:r w:rsidRPr="00D44A8D">
              <w:rPr>
                <w:rFonts w:ascii="Arial Narrow" w:hAnsi="Arial Narrow"/>
                <w:iCs/>
                <w:sz w:val="20"/>
                <w:szCs w:val="20"/>
              </w:rPr>
              <w:t>0.95 (0.68, 1.33)</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bCs/>
                <w:iCs/>
                <w:sz w:val="20"/>
                <w:szCs w:val="20"/>
              </w:rPr>
            </w:pPr>
            <w:r w:rsidRPr="00D44A8D">
              <w:rPr>
                <w:rFonts w:ascii="Arial Narrow" w:hAnsi="Arial Narrow"/>
                <w:iCs/>
                <w:sz w:val="20"/>
                <w:szCs w:val="20"/>
              </w:rPr>
              <w:t>0.90 (0.56, 1.43)-</w:t>
            </w:r>
          </w:p>
        </w:tc>
        <w:tc>
          <w:tcPr>
            <w:tcW w:w="1704" w:type="dxa"/>
            <w:tcBorders>
              <w:right w:val="single" w:sz="4" w:space="0" w:color="auto"/>
            </w:tcBorders>
            <w:vAlign w:val="center"/>
          </w:tcPr>
          <w:p w:rsidR="00BE6D95" w:rsidRPr="00D44A8D" w:rsidRDefault="00BE6D95" w:rsidP="005A0854">
            <w:pPr>
              <w:jc w:val="center"/>
              <w:rPr>
                <w:rFonts w:ascii="Arial Narrow" w:hAnsi="Arial Narrow"/>
                <w:iCs/>
                <w:sz w:val="20"/>
                <w:szCs w:val="20"/>
              </w:rPr>
            </w:pPr>
            <w:r w:rsidRPr="00D44A8D">
              <w:rPr>
                <w:rFonts w:ascii="Arial Narrow" w:hAnsi="Arial Narrow"/>
                <w:bCs/>
                <w:iCs/>
                <w:sz w:val="20"/>
                <w:szCs w:val="20"/>
              </w:rPr>
              <w:t>-0.03 (-0.13, 0.07)</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C: TIL vs UST (all doses) (TIL1-3 v UST2-8) indirect via PBO</w:t>
            </w:r>
          </w:p>
        </w:tc>
        <w:tc>
          <w:tcPr>
            <w:tcW w:w="1276" w:type="dxa"/>
            <w:tcBorders>
              <w:bottom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sz w:val="20"/>
                <w:szCs w:val="20"/>
              </w:rPr>
              <w:t>0.70 (0.29, 1.71)</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cstheme="minorHAnsi"/>
                <w:b/>
                <w:bCs/>
                <w:sz w:val="20"/>
                <w:szCs w:val="20"/>
                <w:lang w:val="pt-PT"/>
              </w:rPr>
            </w:pPr>
            <w:r w:rsidRPr="00D44A8D">
              <w:rPr>
                <w:rFonts w:ascii="Arial Narrow" w:hAnsi="Arial Narrow"/>
                <w:sz w:val="20"/>
                <w:szCs w:val="20"/>
              </w:rPr>
              <w:t>0.53 (0.21, 1.37)-</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cstheme="minorHAnsi"/>
                <w:b/>
                <w:bCs/>
                <w:i/>
                <w:sz w:val="20"/>
                <w:szCs w:val="20"/>
                <w:lang w:val="pt-PT"/>
              </w:rPr>
              <w:t>-0.11 (-0.21, -0.01)</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D: TIL vs ADA (TIL1-3 v ADA1-5) indirect via PBO</w:t>
            </w:r>
          </w:p>
        </w:tc>
        <w:tc>
          <w:tcPr>
            <w:tcW w:w="1276" w:type="dxa"/>
            <w:tcBorders>
              <w:bottom w:val="single" w:sz="4" w:space="0" w:color="auto"/>
            </w:tcBorders>
            <w:vAlign w:val="center"/>
          </w:tcPr>
          <w:p w:rsidR="00BE6D95" w:rsidRPr="00D44A8D" w:rsidRDefault="00BE6D95" w:rsidP="005A0854">
            <w:pPr>
              <w:jc w:val="center"/>
              <w:rPr>
                <w:rFonts w:ascii="Arial Narrow" w:hAnsi="Arial Narrow"/>
                <w:i/>
                <w:iCs/>
                <w:sz w:val="20"/>
                <w:szCs w:val="20"/>
                <w:lang w:val="pt-PT"/>
              </w:rPr>
            </w:pPr>
            <w:r w:rsidRPr="00D44A8D">
              <w:rPr>
                <w:rFonts w:ascii="Arial Narrow" w:hAnsi="Arial Narrow"/>
                <w:i/>
                <w:sz w:val="20"/>
                <w:szCs w:val="20"/>
              </w:rPr>
              <w:t>1.36 (0.39, 4.76)</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sz w:val="20"/>
                <w:szCs w:val="20"/>
                <w:lang w:val="pt-PT"/>
              </w:rPr>
              <w:t>1.12 (0.34, 3.75)-</w:t>
            </w:r>
          </w:p>
        </w:tc>
        <w:tc>
          <w:tcPr>
            <w:tcW w:w="1704" w:type="dxa"/>
            <w:shd w:val="clear" w:color="auto" w:fill="auto"/>
            <w:vAlign w:val="center"/>
          </w:tcPr>
          <w:p w:rsidR="00BE6D95" w:rsidRPr="00D44A8D" w:rsidRDefault="00BE6D95" w:rsidP="005A0854">
            <w:pPr>
              <w:jc w:val="center"/>
              <w:rPr>
                <w:rFonts w:ascii="Arial Narrow" w:hAnsi="Arial Narrow"/>
                <w:b/>
                <w:bCs/>
                <w:i/>
                <w:iCs/>
                <w:sz w:val="20"/>
                <w:szCs w:val="20"/>
                <w:lang w:val="pt-PT"/>
              </w:rPr>
            </w:pPr>
            <w:r w:rsidRPr="00D44A8D">
              <w:rPr>
                <w:rFonts w:ascii="Arial Narrow" w:hAnsi="Arial Narrow"/>
                <w:b/>
                <w:bCs/>
                <w:i/>
                <w:sz w:val="20"/>
                <w:szCs w:val="20"/>
              </w:rPr>
              <w:t>-0.10 (-0.17, -0.03)</w:t>
            </w:r>
          </w:p>
        </w:tc>
      </w:tr>
      <w:tr w:rsidR="00BE6D95" w:rsidRPr="00D44A8D" w:rsidTr="005A0854">
        <w:tc>
          <w:tcPr>
            <w:tcW w:w="4815" w:type="dxa"/>
            <w:tcBorders>
              <w:bottom w:val="single" w:sz="4" w:space="0" w:color="auto"/>
            </w:tcBorders>
            <w:vAlign w:val="center"/>
          </w:tcPr>
          <w:p w:rsidR="00BE6D95" w:rsidRPr="00D44A8D" w:rsidRDefault="00BE6D95" w:rsidP="005A0854">
            <w:pPr>
              <w:ind w:left="-32"/>
              <w:jc w:val="left"/>
              <w:rPr>
                <w:rFonts w:ascii="Arial Narrow" w:hAnsi="Arial Narrow"/>
                <w:sz w:val="20"/>
                <w:szCs w:val="20"/>
                <w:lang w:val="pt-PT"/>
              </w:rPr>
            </w:pPr>
            <w:r w:rsidRPr="00D44A8D">
              <w:rPr>
                <w:rFonts w:ascii="Arial Narrow" w:hAnsi="Arial Narrow"/>
                <w:b/>
                <w:bCs/>
                <w:sz w:val="20"/>
                <w:szCs w:val="20"/>
              </w:rPr>
              <w:t>PASI 100</w:t>
            </w:r>
          </w:p>
        </w:tc>
        <w:tc>
          <w:tcPr>
            <w:tcW w:w="1276" w:type="dxa"/>
            <w:tcBorders>
              <w:bottom w:val="single" w:sz="4" w:space="0" w:color="auto"/>
            </w:tcBorders>
            <w:vAlign w:val="center"/>
          </w:tcPr>
          <w:p w:rsidR="00BE6D95" w:rsidRPr="00D44A8D" w:rsidRDefault="00BE6D95" w:rsidP="005A0854">
            <w:pPr>
              <w:jc w:val="center"/>
              <w:rPr>
                <w:rFonts w:ascii="Arial Narrow" w:hAnsi="Arial Narrow"/>
                <w:i/>
                <w:sz w:val="20"/>
                <w:szCs w:val="20"/>
              </w:rPr>
            </w:pP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i/>
                <w:iCs/>
                <w:sz w:val="20"/>
                <w:szCs w:val="20"/>
                <w:lang w:val="pt-PT"/>
              </w:rPr>
            </w:pPr>
          </w:p>
        </w:tc>
        <w:tc>
          <w:tcPr>
            <w:tcW w:w="1704" w:type="dxa"/>
            <w:shd w:val="clear" w:color="auto" w:fill="auto"/>
            <w:vAlign w:val="center"/>
          </w:tcPr>
          <w:p w:rsidR="00BE6D95" w:rsidRPr="00D44A8D" w:rsidRDefault="00BE6D95" w:rsidP="005A0854">
            <w:pPr>
              <w:jc w:val="center"/>
              <w:rPr>
                <w:rFonts w:ascii="Arial Narrow" w:hAnsi="Arial Narrow"/>
                <w:b/>
                <w:bCs/>
                <w:i/>
                <w:sz w:val="20"/>
                <w:szCs w:val="20"/>
              </w:rPr>
            </w:pPr>
          </w:p>
        </w:tc>
      </w:tr>
      <w:tr w:rsidR="00BE6D95" w:rsidRPr="00D44A8D" w:rsidTr="005A0854">
        <w:tc>
          <w:tcPr>
            <w:tcW w:w="4815" w:type="dxa"/>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A: TIL vs ETN (TIL2) direct</w:t>
            </w:r>
          </w:p>
        </w:tc>
        <w:tc>
          <w:tcPr>
            <w:tcW w:w="1276" w:type="dxa"/>
            <w:tcBorders>
              <w:bottom w:val="single" w:sz="4" w:space="0" w:color="auto"/>
            </w:tcBorders>
            <w:vAlign w:val="center"/>
          </w:tcPr>
          <w:p w:rsidR="00BE6D95" w:rsidRPr="00D44A8D" w:rsidRDefault="00BE6D95" w:rsidP="005A0854">
            <w:pPr>
              <w:jc w:val="center"/>
              <w:rPr>
                <w:rFonts w:ascii="Arial Narrow" w:hAnsi="Arial Narrow"/>
                <w:b/>
                <w:bCs/>
                <w:i/>
                <w:iCs/>
                <w:sz w:val="20"/>
                <w:szCs w:val="20"/>
              </w:rPr>
            </w:pPr>
            <w:r w:rsidRPr="00D44A8D">
              <w:rPr>
                <w:rFonts w:ascii="Arial Narrow" w:hAnsi="Arial Narrow"/>
                <w:b/>
                <w:bCs/>
                <w:i/>
                <w:iCs/>
                <w:sz w:val="20"/>
                <w:szCs w:val="20"/>
              </w:rPr>
              <w:t>2.46 (1.38, 4.39)</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bCs/>
                <w:i/>
                <w:iCs/>
                <w:sz w:val="20"/>
                <w:szCs w:val="20"/>
              </w:rPr>
              <w:t>2.65 (1.42, 4.94)-</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bCs/>
                <w:sz w:val="20"/>
                <w:szCs w:val="20"/>
              </w:rPr>
              <w:t>0.07 (0.03, 0.11)</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C: TIL vs UST (all doses) (TIL1-3 v UST2-8) indirect via PBO</w:t>
            </w:r>
          </w:p>
        </w:tc>
        <w:tc>
          <w:tcPr>
            <w:tcW w:w="1276" w:type="dxa"/>
            <w:tcBorders>
              <w:bottom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0.33 (0.08, 1.35)</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0.30 (0.07, 1.28)</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-0.05 (-0.10, 0.00)</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D: TIL vs ADA (TIL1-3 v UST2-8) indirect via PBO</w:t>
            </w:r>
          </w:p>
        </w:tc>
        <w:tc>
          <w:tcPr>
            <w:tcW w:w="1276" w:type="dxa"/>
            <w:tcBorders>
              <w:bottom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0.87 (0.22, 3.48)</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0.83 (0.20, 3.39)</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-0.03 (-0.08, 0.2)</w:t>
            </w:r>
          </w:p>
        </w:tc>
      </w:tr>
      <w:tr w:rsidR="00BE6D95" w:rsidRPr="00D44A8D" w:rsidTr="005A0854">
        <w:tc>
          <w:tcPr>
            <w:tcW w:w="9212" w:type="dxa"/>
            <w:gridSpan w:val="4"/>
            <w:tcBorders>
              <w:bottom w:val="single" w:sz="4" w:space="0" w:color="auto"/>
              <w:right w:val="single" w:sz="4" w:space="0" w:color="auto"/>
            </w:tcBorders>
            <w:vAlign w:val="center"/>
          </w:tcPr>
          <w:p w:rsidR="00BE6D95" w:rsidRPr="00D44A8D" w:rsidRDefault="00BE6D95" w:rsidP="005A0854">
            <w:pPr>
              <w:ind w:left="-32"/>
              <w:jc w:val="left"/>
              <w:rPr>
                <w:rFonts w:ascii="Arial Narrow" w:hAnsi="Arial Narrow"/>
                <w:b/>
                <w:bCs/>
                <w:sz w:val="20"/>
                <w:szCs w:val="20"/>
              </w:rPr>
            </w:pPr>
            <w:r w:rsidRPr="00D44A8D">
              <w:rPr>
                <w:rFonts w:ascii="Arial Narrow" w:hAnsi="Arial Narrow"/>
                <w:b/>
                <w:bCs/>
                <w:sz w:val="20"/>
                <w:szCs w:val="20"/>
              </w:rPr>
              <w:t xml:space="preserve">PGA </w:t>
            </w:r>
            <w:proofErr w:type="spellStart"/>
            <w:r>
              <w:rPr>
                <w:rFonts w:ascii="Arial Narrow" w:hAnsi="Arial Narrow"/>
                <w:b/>
                <w:bCs/>
                <w:sz w:val="20"/>
                <w:szCs w:val="20"/>
              </w:rPr>
              <w:t>responder</w:t>
            </w:r>
            <w:r>
              <w:rPr>
                <w:rFonts w:ascii="Arial Narrow" w:hAnsi="Arial Narrow"/>
                <w:b/>
                <w:bCs/>
                <w:sz w:val="20"/>
                <w:szCs w:val="20"/>
                <w:vertAlign w:val="superscript"/>
              </w:rPr>
              <w:t>b</w:t>
            </w:r>
            <w:proofErr w:type="spellEnd"/>
            <w:r>
              <w:rPr>
                <w:rFonts w:ascii="Arial Narrow" w:hAnsi="Arial Narrow"/>
                <w:b/>
                <w:bCs/>
                <w:sz w:val="20"/>
                <w:szCs w:val="20"/>
              </w:rPr>
              <w:t xml:space="preserve"> </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A: TIL vs ETN (TIL2) direct</w:t>
            </w:r>
          </w:p>
        </w:tc>
        <w:tc>
          <w:tcPr>
            <w:tcW w:w="1276" w:type="dxa"/>
            <w:tcBorders>
              <w:bottom w:val="single" w:sz="4" w:space="0" w:color="auto"/>
            </w:tcBorders>
            <w:vAlign w:val="center"/>
          </w:tcPr>
          <w:p w:rsidR="00BE6D95" w:rsidRPr="00D44A8D" w:rsidRDefault="00BE6D95" w:rsidP="005A0854">
            <w:pPr>
              <w:jc w:val="center"/>
              <w:rPr>
                <w:rFonts w:ascii="Arial Narrow" w:hAnsi="Arial Narrow"/>
                <w:b/>
                <w:bCs/>
                <w:i/>
                <w:iCs/>
                <w:sz w:val="20"/>
                <w:szCs w:val="20"/>
              </w:rPr>
            </w:pPr>
            <w:r w:rsidRPr="00D44A8D">
              <w:rPr>
                <w:rFonts w:ascii="Arial Narrow" w:hAnsi="Arial Narrow"/>
                <w:b/>
                <w:bCs/>
                <w:i/>
                <w:iCs/>
                <w:sz w:val="20"/>
                <w:szCs w:val="20"/>
              </w:rPr>
              <w:t>1.24 (1.07, 1.44)</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bCs/>
                <w:i/>
                <w:iCs/>
                <w:sz w:val="20"/>
                <w:szCs w:val="20"/>
              </w:rPr>
              <w:t>1.60 (1.17, 2.19)</w:t>
            </w:r>
          </w:p>
        </w:tc>
        <w:tc>
          <w:tcPr>
            <w:tcW w:w="1704" w:type="dxa"/>
            <w:tcBorders>
              <w:right w:val="single" w:sz="4" w:space="0" w:color="auto"/>
            </w:tcBorders>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bCs/>
                <w:sz w:val="20"/>
                <w:szCs w:val="20"/>
              </w:rPr>
              <w:t>0.12 (0.04, 0.19)</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B: TIL vs UST (45&amp;90</w:t>
            </w:r>
            <w:r w:rsidR="00821F1B">
              <w:rPr>
                <w:rFonts w:ascii="Arial Narrow" w:hAnsi="Arial Narrow"/>
                <w:sz w:val="20"/>
                <w:szCs w:val="20"/>
              </w:rPr>
              <w:t xml:space="preserve"> </w:t>
            </w:r>
            <w:r w:rsidRPr="00D44A8D">
              <w:rPr>
                <w:rFonts w:ascii="Arial Narrow" w:hAnsi="Arial Narrow"/>
                <w:sz w:val="20"/>
                <w:szCs w:val="20"/>
              </w:rPr>
              <w:t>mg) (TIL2 v UST1) indirect via ETN</w:t>
            </w:r>
            <w:r w:rsidRPr="00D44A8D" w:rsidDel="00A4356E">
              <w:rPr>
                <w:rFonts w:ascii="Arial Narrow" w:hAnsi="Arial Narrow"/>
                <w:sz w:val="20"/>
                <w:szCs w:val="20"/>
              </w:rPr>
              <w:t xml:space="preserve"> </w:t>
            </w:r>
            <w:r>
              <w:rPr>
                <w:rFonts w:ascii="Arial Narrow" w:hAnsi="Arial Narrow"/>
                <w:sz w:val="20"/>
                <w:szCs w:val="20"/>
                <w:vertAlign w:val="superscript"/>
              </w:rPr>
              <w:t>b</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0.89 (0.73, 1.07)</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0.71 (0.46, 1.07)</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-0.08 (-0.18, 0.02)</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C: TIL vs UST (all doses) (TIL1-3 v UST2-8) indirect via PBO</w:t>
            </w:r>
            <w:r w:rsidRPr="00D44A8D" w:rsidDel="00A4356E">
              <w:rPr>
                <w:rFonts w:ascii="Arial Narrow" w:hAnsi="Arial Narrow"/>
                <w:sz w:val="20"/>
                <w:szCs w:val="20"/>
              </w:rPr>
              <w:t xml:space="preserve"> </w:t>
            </w:r>
            <w:r>
              <w:rPr>
                <w:rFonts w:ascii="Arial Narrow" w:hAnsi="Arial Narrow"/>
                <w:sz w:val="20"/>
                <w:szCs w:val="20"/>
                <w:vertAlign w:val="superscript"/>
              </w:rPr>
              <w:t>b</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0.96 (0.53, 1.74)</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0.74 (0.43, 1.27)</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-0.04 (-0.10, 0.02)</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D: TIL vs ADA (TIL1-3 v ADA1-5) indirect via PBO</w:t>
            </w:r>
            <w:r w:rsidRPr="00D44A8D" w:rsidDel="00A4356E">
              <w:rPr>
                <w:rFonts w:ascii="Arial Narrow" w:hAnsi="Arial Narrow"/>
                <w:sz w:val="20"/>
                <w:szCs w:val="20"/>
                <w:lang w:val="pt-PT"/>
              </w:rPr>
              <w:t xml:space="preserve"> </w:t>
            </w:r>
            <w:r>
              <w:rPr>
                <w:rFonts w:ascii="Arial Narrow" w:hAnsi="Arial Narrow"/>
                <w:sz w:val="20"/>
                <w:szCs w:val="20"/>
                <w:vertAlign w:val="superscript"/>
                <w:lang w:val="pt-PT"/>
              </w:rPr>
              <w:t>b</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i/>
                <w:iCs/>
                <w:sz w:val="20"/>
                <w:szCs w:val="20"/>
                <w:lang w:val="pt-PT"/>
              </w:rPr>
            </w:pPr>
            <w:r w:rsidRPr="00D44A8D">
              <w:rPr>
                <w:rFonts w:ascii="Arial Narrow" w:hAnsi="Arial Narrow"/>
                <w:i/>
                <w:iCs/>
                <w:sz w:val="20"/>
                <w:szCs w:val="20"/>
                <w:lang w:val="pt-PT"/>
              </w:rPr>
              <w:t>1.31 (0.64, 2.65)</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lang w:val="pt-PT"/>
              </w:rPr>
            </w:pPr>
            <w:r w:rsidRPr="00D44A8D">
              <w:rPr>
                <w:rFonts w:ascii="Arial Narrow" w:hAnsi="Arial Narrow"/>
                <w:sz w:val="20"/>
                <w:szCs w:val="20"/>
                <w:lang w:val="pt-PT"/>
              </w:rPr>
              <w:t>0.89 (0.49, 1.60)</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lang w:val="pt-PT"/>
              </w:rPr>
            </w:pPr>
            <w:r w:rsidRPr="00D44A8D">
              <w:rPr>
                <w:rFonts w:ascii="Arial Narrow" w:hAnsi="Arial Narrow"/>
                <w:i/>
                <w:iCs/>
                <w:sz w:val="20"/>
                <w:szCs w:val="20"/>
                <w:lang w:val="pt-PT"/>
              </w:rPr>
              <w:t>-0.04 (-0.10, 0.02)</w:t>
            </w:r>
          </w:p>
        </w:tc>
      </w:tr>
      <w:tr w:rsidR="00BE6D95" w:rsidRPr="00D44A8D" w:rsidTr="005A0854">
        <w:tc>
          <w:tcPr>
            <w:tcW w:w="4815" w:type="dxa"/>
            <w:tcBorders>
              <w:bottom w:val="single" w:sz="4" w:space="0" w:color="auto"/>
            </w:tcBorders>
            <w:vAlign w:val="center"/>
          </w:tcPr>
          <w:p w:rsidR="00BE6D95" w:rsidRPr="00D44A8D" w:rsidRDefault="00BE6D95" w:rsidP="005A0854">
            <w:pPr>
              <w:ind w:left="-32"/>
              <w:jc w:val="left"/>
              <w:rPr>
                <w:rFonts w:ascii="Arial Narrow" w:hAnsi="Arial Narrow"/>
                <w:sz w:val="20"/>
                <w:szCs w:val="20"/>
                <w:lang w:val="pt-PT"/>
              </w:rPr>
            </w:pPr>
            <w:r w:rsidRPr="00D44A8D">
              <w:rPr>
                <w:rFonts w:ascii="Arial Narrow" w:hAnsi="Arial Narrow"/>
                <w:b/>
                <w:bCs/>
                <w:sz w:val="20"/>
                <w:szCs w:val="20"/>
              </w:rPr>
              <w:t>DLQI 0/1</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i/>
                <w:iCs/>
                <w:sz w:val="20"/>
                <w:szCs w:val="20"/>
                <w:lang w:val="pt-PT"/>
              </w:rPr>
            </w:pP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i/>
                <w:iCs/>
                <w:sz w:val="20"/>
                <w:szCs w:val="20"/>
                <w:lang w:val="pt-PT"/>
              </w:rPr>
            </w:pPr>
          </w:p>
        </w:tc>
        <w:tc>
          <w:tcPr>
            <w:tcW w:w="1704"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i/>
                <w:iCs/>
                <w:sz w:val="20"/>
                <w:szCs w:val="20"/>
                <w:lang w:val="pt-PT"/>
              </w:rPr>
            </w:pP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A: TIL vs ETN (TIL2) direct</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b/>
                <w:bCs/>
                <w:i/>
                <w:iCs/>
                <w:sz w:val="20"/>
                <w:szCs w:val="20"/>
              </w:rPr>
            </w:pPr>
            <w:r w:rsidRPr="00D44A8D">
              <w:rPr>
                <w:rFonts w:ascii="Arial Narrow" w:hAnsi="Arial Narrow"/>
                <w:b/>
                <w:bCs/>
                <w:i/>
                <w:iCs/>
                <w:sz w:val="20"/>
                <w:szCs w:val="20"/>
              </w:rPr>
              <w:t>1.34 (1.10, 1.62)</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bCs/>
                <w:i/>
                <w:iCs/>
                <w:sz w:val="20"/>
                <w:szCs w:val="20"/>
              </w:rPr>
              <w:t>1.63 (1.18, 2.25)</w:t>
            </w:r>
          </w:p>
        </w:tc>
        <w:tc>
          <w:tcPr>
            <w:tcW w:w="1704" w:type="dxa"/>
            <w:tcBorders>
              <w:right w:val="single" w:sz="4" w:space="0" w:color="auto"/>
            </w:tcBorders>
            <w:vAlign w:val="center"/>
          </w:tcPr>
          <w:p w:rsidR="00BE6D95" w:rsidRPr="00D44A8D" w:rsidRDefault="00BE6D95" w:rsidP="005A0854">
            <w:pPr>
              <w:jc w:val="center"/>
              <w:rPr>
                <w:rFonts w:ascii="Arial Narrow" w:hAnsi="Arial Narrow"/>
                <w:b/>
                <w:bCs/>
                <w:sz w:val="20"/>
                <w:szCs w:val="20"/>
              </w:rPr>
            </w:pPr>
            <w:r w:rsidRPr="00D44A8D">
              <w:rPr>
                <w:rFonts w:ascii="Arial Narrow" w:hAnsi="Arial Narrow"/>
                <w:b/>
                <w:bCs/>
                <w:sz w:val="20"/>
                <w:szCs w:val="20"/>
              </w:rPr>
              <w:t>0.12 (0.04, 0.19)</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C: TIL vs UST (all doses) (TIL1-3 v UST2-8) indirect via PBO</w:t>
            </w:r>
            <w:r w:rsidRPr="00D44A8D" w:rsidDel="00773AA7">
              <w:rPr>
                <w:rFonts w:ascii="Arial Narrow" w:hAnsi="Arial Narrow"/>
                <w:sz w:val="20"/>
                <w:szCs w:val="20"/>
              </w:rPr>
              <w:t xml:space="preserve"> </w:t>
            </w:r>
            <w:r w:rsidRPr="00D44A8D">
              <w:rPr>
                <w:rFonts w:ascii="Arial Narrow" w:hAnsi="Arial Narrow"/>
                <w:sz w:val="20"/>
                <w:szCs w:val="20"/>
                <w:vertAlign w:val="superscript"/>
              </w:rPr>
              <w:t>a</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0.57 (0.29, 1.12)</w:t>
            </w:r>
          </w:p>
        </w:tc>
        <w:tc>
          <w:tcPr>
            <w:tcW w:w="1417"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i/>
                <w:iCs/>
                <w:sz w:val="20"/>
                <w:szCs w:val="20"/>
              </w:rPr>
              <w:t>0.48 (0.22, 1.07)</w:t>
            </w:r>
          </w:p>
        </w:tc>
        <w:tc>
          <w:tcPr>
            <w:tcW w:w="1704" w:type="dxa"/>
            <w:tcBorders>
              <w:bottom w:val="single" w:sz="4" w:space="0" w:color="auto"/>
              <w:right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-0.05 (-0.17, 0.07)</w:t>
            </w:r>
          </w:p>
        </w:tc>
      </w:tr>
      <w:tr w:rsidR="00BE6D95" w:rsidRPr="00D44A8D" w:rsidTr="005A0854">
        <w:tc>
          <w:tcPr>
            <w:tcW w:w="4815" w:type="dxa"/>
            <w:vAlign w:val="center"/>
          </w:tcPr>
          <w:p w:rsidR="00BE6D95" w:rsidRPr="00D44A8D" w:rsidRDefault="00BE6D95" w:rsidP="005A0854">
            <w:pPr>
              <w:jc w:val="left"/>
              <w:rPr>
                <w:rFonts w:ascii="Arial Narrow" w:hAnsi="Arial Narrow"/>
                <w:b/>
                <w:bCs/>
                <w:sz w:val="20"/>
                <w:szCs w:val="20"/>
              </w:rPr>
            </w:pPr>
            <w:r w:rsidRPr="00D44A8D">
              <w:rPr>
                <w:rFonts w:ascii="Arial Narrow" w:hAnsi="Arial Narrow"/>
                <w:b/>
                <w:bCs/>
                <w:sz w:val="20"/>
                <w:szCs w:val="20"/>
              </w:rPr>
              <w:t xml:space="preserve">Change DLQI, </w:t>
            </w:r>
            <w:proofErr w:type="spellStart"/>
            <w:r w:rsidRPr="00D44A8D">
              <w:rPr>
                <w:rFonts w:ascii="Arial Narrow" w:hAnsi="Arial Narrow"/>
                <w:b/>
                <w:bCs/>
                <w:sz w:val="20"/>
                <w:szCs w:val="20"/>
              </w:rPr>
              <w:t>baseline</w:t>
            </w:r>
            <w:r>
              <w:rPr>
                <w:rFonts w:ascii="Arial Narrow" w:hAnsi="Arial Narrow"/>
                <w:sz w:val="20"/>
                <w:szCs w:val="20"/>
                <w:vertAlign w:val="superscript"/>
              </w:rPr>
              <w:t>c</w:t>
            </w:r>
            <w:proofErr w:type="spellEnd"/>
            <w:r w:rsidRPr="00D44A8D">
              <w:rPr>
                <w:rFonts w:ascii="Arial Narrow" w:hAnsi="Arial Narrow"/>
                <w:b/>
                <w:bCs/>
                <w:sz w:val="20"/>
                <w:szCs w:val="20"/>
              </w:rPr>
              <w:t xml:space="preserve"> </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w:t>
            </w:r>
          </w:p>
        </w:tc>
        <w:tc>
          <w:tcPr>
            <w:tcW w:w="1417" w:type="dxa"/>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w:t>
            </w:r>
          </w:p>
        </w:tc>
        <w:tc>
          <w:tcPr>
            <w:tcW w:w="1704" w:type="dxa"/>
            <w:tcBorders>
              <w:right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b/>
                <w:bCs/>
                <w:sz w:val="20"/>
                <w:szCs w:val="20"/>
              </w:rPr>
              <w:t>Mean difference (95%CI)</w:t>
            </w:r>
          </w:p>
        </w:tc>
      </w:tr>
      <w:tr w:rsidR="00BE6D95" w:rsidRPr="00D44A8D" w:rsidTr="005A0854">
        <w:tc>
          <w:tcPr>
            <w:tcW w:w="4815" w:type="dxa"/>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A: TIL vs ETN (TIL2) direct</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w:t>
            </w:r>
          </w:p>
        </w:tc>
        <w:tc>
          <w:tcPr>
            <w:tcW w:w="1417" w:type="dxa"/>
            <w:tcBorders>
              <w:top w:val="single" w:sz="4" w:space="0" w:color="auto"/>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w:t>
            </w:r>
          </w:p>
        </w:tc>
        <w:tc>
          <w:tcPr>
            <w:tcW w:w="1704"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b/>
                <w:bCs/>
                <w:i/>
                <w:iCs/>
                <w:sz w:val="20"/>
                <w:szCs w:val="20"/>
              </w:rPr>
              <w:t>-1.40 (-2.39, -0.41)</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B: TIL vs UST (45&amp;90</w:t>
            </w:r>
            <w:r w:rsidR="00821F1B">
              <w:rPr>
                <w:rFonts w:ascii="Arial Narrow" w:hAnsi="Arial Narrow"/>
                <w:sz w:val="20"/>
                <w:szCs w:val="20"/>
              </w:rPr>
              <w:t xml:space="preserve"> </w:t>
            </w:r>
            <w:r w:rsidRPr="00D44A8D">
              <w:rPr>
                <w:rFonts w:ascii="Arial Narrow" w:hAnsi="Arial Narrow"/>
                <w:sz w:val="20"/>
                <w:szCs w:val="20"/>
              </w:rPr>
              <w:t>mg) (TIL2 v UST1) indirect via ETN</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w:t>
            </w:r>
          </w:p>
        </w:tc>
        <w:tc>
          <w:tcPr>
            <w:tcW w:w="1417" w:type="dxa"/>
            <w:tcBorders>
              <w:top w:val="single" w:sz="4" w:space="0" w:color="auto"/>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w:t>
            </w:r>
          </w:p>
        </w:tc>
        <w:tc>
          <w:tcPr>
            <w:tcW w:w="1704"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i/>
                <w:iCs/>
                <w:sz w:val="20"/>
                <w:szCs w:val="20"/>
              </w:rPr>
              <w:t>-0.25 (-1.75, 1.25)</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rPr>
            </w:pPr>
            <w:r w:rsidRPr="00D44A8D">
              <w:rPr>
                <w:rFonts w:ascii="Arial Narrow" w:hAnsi="Arial Narrow"/>
                <w:sz w:val="20"/>
                <w:szCs w:val="20"/>
              </w:rPr>
              <w:t>C: TIL vs UST (all doses) (TIL1-3 v UST2-8) indirect via PBO</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w:t>
            </w:r>
          </w:p>
        </w:tc>
        <w:tc>
          <w:tcPr>
            <w:tcW w:w="1417" w:type="dxa"/>
            <w:tcBorders>
              <w:top w:val="single" w:sz="4" w:space="0" w:color="auto"/>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w:t>
            </w:r>
          </w:p>
        </w:tc>
        <w:tc>
          <w:tcPr>
            <w:tcW w:w="1704"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i/>
                <w:iCs/>
                <w:sz w:val="20"/>
                <w:szCs w:val="20"/>
              </w:rPr>
              <w:t>0.04 (-1.67, 1.75)</w:t>
            </w:r>
          </w:p>
        </w:tc>
      </w:tr>
      <w:tr w:rsidR="00BE6D95" w:rsidRPr="00D44A8D" w:rsidTr="005A0854">
        <w:tc>
          <w:tcPr>
            <w:tcW w:w="4815" w:type="dxa"/>
            <w:tcBorders>
              <w:bottom w:val="single" w:sz="4" w:space="0" w:color="auto"/>
            </w:tcBorders>
            <w:vAlign w:val="center"/>
          </w:tcPr>
          <w:p w:rsidR="00BE6D95" w:rsidRPr="00D44A8D" w:rsidRDefault="00BE6D95" w:rsidP="005A0854">
            <w:pPr>
              <w:ind w:left="110"/>
              <w:jc w:val="left"/>
              <w:rPr>
                <w:rFonts w:ascii="Arial Narrow" w:hAnsi="Arial Narrow"/>
                <w:sz w:val="20"/>
                <w:szCs w:val="20"/>
                <w:lang w:val="pt-PT"/>
              </w:rPr>
            </w:pPr>
            <w:r w:rsidRPr="00D44A8D">
              <w:rPr>
                <w:rFonts w:ascii="Arial Narrow" w:hAnsi="Arial Narrow"/>
                <w:sz w:val="20"/>
                <w:szCs w:val="20"/>
                <w:lang w:val="pt-PT"/>
              </w:rPr>
              <w:t>D: TIL vs ADA (TIL1-3 v ADA1-5) indirect via PBO</w:t>
            </w:r>
          </w:p>
        </w:tc>
        <w:tc>
          <w:tcPr>
            <w:tcW w:w="1276" w:type="dxa"/>
            <w:tcBorders>
              <w:top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sz w:val="20"/>
                <w:szCs w:val="20"/>
              </w:rPr>
              <w:t>-</w:t>
            </w:r>
          </w:p>
        </w:tc>
        <w:tc>
          <w:tcPr>
            <w:tcW w:w="1417" w:type="dxa"/>
            <w:tcBorders>
              <w:top w:val="single" w:sz="4" w:space="0" w:color="auto"/>
              <w:bottom w:val="single" w:sz="4" w:space="0" w:color="auto"/>
              <w:right w:val="single" w:sz="4" w:space="0" w:color="auto"/>
            </w:tcBorders>
            <w:vAlign w:val="center"/>
          </w:tcPr>
          <w:p w:rsidR="00BE6D95" w:rsidRPr="00D44A8D" w:rsidRDefault="00BE6D95" w:rsidP="005A0854">
            <w:pPr>
              <w:jc w:val="center"/>
              <w:rPr>
                <w:rFonts w:ascii="Arial Narrow" w:hAnsi="Arial Narrow"/>
                <w:i/>
                <w:iCs/>
                <w:sz w:val="20"/>
                <w:szCs w:val="20"/>
              </w:rPr>
            </w:pPr>
            <w:r w:rsidRPr="00D44A8D">
              <w:rPr>
                <w:rFonts w:ascii="Arial Narrow" w:hAnsi="Arial Narrow"/>
                <w:i/>
                <w:iCs/>
                <w:sz w:val="20"/>
                <w:szCs w:val="20"/>
              </w:rPr>
              <w:t>-</w:t>
            </w:r>
          </w:p>
        </w:tc>
        <w:tc>
          <w:tcPr>
            <w:tcW w:w="1704" w:type="dxa"/>
            <w:tcBorders>
              <w:top w:val="single" w:sz="4" w:space="0" w:color="auto"/>
              <w:left w:val="single" w:sz="4" w:space="0" w:color="auto"/>
              <w:bottom w:val="single" w:sz="4" w:space="0" w:color="auto"/>
            </w:tcBorders>
            <w:vAlign w:val="center"/>
          </w:tcPr>
          <w:p w:rsidR="00BE6D95" w:rsidRPr="00D44A8D" w:rsidRDefault="00BE6D95" w:rsidP="005A0854">
            <w:pPr>
              <w:jc w:val="center"/>
              <w:rPr>
                <w:rFonts w:ascii="Arial Narrow" w:hAnsi="Arial Narrow"/>
                <w:sz w:val="20"/>
                <w:szCs w:val="20"/>
              </w:rPr>
            </w:pPr>
            <w:r w:rsidRPr="00D44A8D">
              <w:rPr>
                <w:rFonts w:ascii="Arial Narrow" w:hAnsi="Arial Narrow"/>
                <w:i/>
                <w:iCs/>
                <w:sz w:val="20"/>
                <w:szCs w:val="20"/>
              </w:rPr>
              <w:t>-2.39 (-5.26, 0.48)</w:t>
            </w:r>
          </w:p>
        </w:tc>
      </w:tr>
    </w:tbl>
    <w:p w:rsidR="007A6EE1" w:rsidRPr="00E56C04" w:rsidRDefault="007A6EE1" w:rsidP="007A6EE1">
      <w:pPr>
        <w:rPr>
          <w:rFonts w:ascii="Arial Narrow" w:hAnsi="Arial Narrow" w:cstheme="minorHAnsi"/>
          <w:sz w:val="18"/>
          <w:szCs w:val="18"/>
        </w:rPr>
      </w:pPr>
      <w:r w:rsidRPr="00E56C04">
        <w:rPr>
          <w:rFonts w:ascii="Arial Narrow" w:hAnsi="Arial Narrow" w:cstheme="minorHAnsi"/>
          <w:sz w:val="18"/>
          <w:szCs w:val="18"/>
        </w:rPr>
        <w:t>DLQI =</w:t>
      </w:r>
      <w:r w:rsidR="00E56C04" w:rsidRPr="00E56C04">
        <w:rPr>
          <w:rFonts w:ascii="Arial Narrow" w:hAnsi="Arial Narrow" w:cstheme="minorHAnsi"/>
          <w:sz w:val="18"/>
          <w:szCs w:val="18"/>
        </w:rPr>
        <w:t xml:space="preserve"> </w:t>
      </w:r>
      <w:r w:rsidRPr="00E56C04">
        <w:rPr>
          <w:rFonts w:ascii="Arial Narrow" w:hAnsi="Arial Narrow" w:cstheme="minorHAnsi"/>
          <w:sz w:val="18"/>
          <w:szCs w:val="18"/>
        </w:rPr>
        <w:t>Dermatology Life Quality Index</w:t>
      </w:r>
      <w:r w:rsidRPr="00E56C04">
        <w:rPr>
          <w:rFonts w:ascii="Arial Narrow" w:hAnsi="Arial Narrow"/>
          <w:sz w:val="18"/>
          <w:szCs w:val="18"/>
        </w:rPr>
        <w:t xml:space="preserve">; PASI 90 100 = (≥90%, 100%) reduction in the Psoriasis Area and Severity Index; </w:t>
      </w:r>
      <w:r w:rsidRPr="00E56C04">
        <w:rPr>
          <w:rFonts w:ascii="Arial Narrow" w:hAnsi="Arial Narrow" w:cstheme="minorHAnsi"/>
          <w:sz w:val="18"/>
          <w:szCs w:val="18"/>
        </w:rPr>
        <w:t>PGA =</w:t>
      </w:r>
      <w:r w:rsidR="00E56C04" w:rsidRPr="00E56C04">
        <w:rPr>
          <w:rFonts w:ascii="Arial Narrow" w:hAnsi="Arial Narrow" w:cstheme="minorHAnsi"/>
          <w:sz w:val="18"/>
          <w:szCs w:val="18"/>
        </w:rPr>
        <w:t xml:space="preserve"> </w:t>
      </w:r>
      <w:r w:rsidRPr="00E56C04">
        <w:rPr>
          <w:rFonts w:ascii="Arial Narrow" w:hAnsi="Arial Narrow" w:cstheme="minorHAnsi"/>
          <w:sz w:val="18"/>
          <w:szCs w:val="18"/>
        </w:rPr>
        <w:t>Physician’s Global Assessment</w:t>
      </w:r>
      <w:r w:rsidRPr="00E56C04">
        <w:rPr>
          <w:rFonts w:ascii="Arial Narrow" w:hAnsi="Arial Narrow"/>
          <w:sz w:val="18"/>
          <w:szCs w:val="18"/>
        </w:rPr>
        <w:t xml:space="preserve"> </w:t>
      </w:r>
    </w:p>
    <w:p w:rsidR="007A6EE1" w:rsidRPr="00E56C04" w:rsidRDefault="007A6EE1" w:rsidP="007A6EE1">
      <w:pPr>
        <w:rPr>
          <w:rFonts w:ascii="Arial Narrow" w:hAnsi="Arial Narrow"/>
          <w:i/>
          <w:iCs/>
          <w:sz w:val="18"/>
          <w:szCs w:val="18"/>
        </w:rPr>
      </w:pPr>
      <w:r w:rsidRPr="00E56C04">
        <w:rPr>
          <w:rFonts w:ascii="Arial Narrow" w:hAnsi="Arial Narrow"/>
          <w:i/>
          <w:iCs/>
          <w:sz w:val="18"/>
          <w:szCs w:val="18"/>
        </w:rPr>
        <w:t>Bolded values reached statistical significance p&lt;0.05; Italics indicates estimates corrected or performed during the evaluation.</w:t>
      </w:r>
    </w:p>
    <w:p w:rsidR="007A6EE1" w:rsidRPr="00E56C04" w:rsidRDefault="007A6EE1" w:rsidP="007A6EE1">
      <w:pPr>
        <w:spacing w:after="120"/>
        <w:contextualSpacing/>
        <w:jc w:val="left"/>
        <w:rPr>
          <w:rFonts w:ascii="Arial Narrow" w:hAnsi="Arial Narrow"/>
          <w:sz w:val="18"/>
          <w:szCs w:val="18"/>
        </w:rPr>
      </w:pPr>
      <w:r w:rsidRPr="00E56C04">
        <w:rPr>
          <w:rStyle w:val="CommentReference"/>
          <w:b w:val="0"/>
          <w:sz w:val="18"/>
          <w:szCs w:val="18"/>
        </w:rPr>
        <w:t>^</w:t>
      </w:r>
      <w:r w:rsidRPr="00E56C04">
        <w:rPr>
          <w:rStyle w:val="CommentReference"/>
          <w:b w:val="0"/>
          <w:sz w:val="18"/>
          <w:szCs w:val="18"/>
        </w:rPr>
        <w:tab/>
        <w:t xml:space="preserve">estimated using random effects meta-analysis using </w:t>
      </w:r>
      <w:proofErr w:type="spellStart"/>
      <w:r w:rsidRPr="00E56C04">
        <w:rPr>
          <w:rStyle w:val="CommentReference"/>
          <w:b w:val="0"/>
          <w:sz w:val="18"/>
          <w:szCs w:val="18"/>
        </w:rPr>
        <w:t>RevMan</w:t>
      </w:r>
      <w:proofErr w:type="spellEnd"/>
      <w:r w:rsidRPr="00E56C04">
        <w:rPr>
          <w:rStyle w:val="CommentReference"/>
          <w:b w:val="0"/>
          <w:sz w:val="18"/>
          <w:szCs w:val="18"/>
        </w:rPr>
        <w:t xml:space="preserve"> Version 5.3 following Bucher 1997 methods.</w:t>
      </w:r>
    </w:p>
    <w:p w:rsidR="007A6EE1" w:rsidRPr="00E56C04" w:rsidRDefault="007A6EE1" w:rsidP="007A6EE1">
      <w:pPr>
        <w:ind w:left="165" w:hanging="165"/>
        <w:rPr>
          <w:rFonts w:ascii="Arial Narrow" w:hAnsi="Arial Narrow"/>
          <w:i/>
          <w:iCs/>
          <w:sz w:val="18"/>
          <w:szCs w:val="18"/>
          <w:vertAlign w:val="superscript"/>
        </w:rPr>
      </w:pPr>
      <w:proofErr w:type="gramStart"/>
      <w:r w:rsidRPr="00E56C04">
        <w:rPr>
          <w:rStyle w:val="CommentReference"/>
          <w:b w:val="0"/>
          <w:bCs/>
          <w:sz w:val="18"/>
          <w:szCs w:val="18"/>
          <w:vertAlign w:val="superscript"/>
        </w:rPr>
        <w:t>a</w:t>
      </w:r>
      <w:proofErr w:type="gramEnd"/>
      <w:r w:rsidRPr="00E56C04">
        <w:rPr>
          <w:rStyle w:val="CommentReference"/>
          <w:b w:val="0"/>
          <w:bCs/>
          <w:sz w:val="18"/>
          <w:szCs w:val="18"/>
        </w:rPr>
        <w:tab/>
      </w:r>
      <w:r w:rsidRPr="00E56C04">
        <w:rPr>
          <w:rStyle w:val="CommentReference"/>
          <w:b w:val="0"/>
          <w:bCs/>
          <w:i/>
          <w:iCs/>
          <w:sz w:val="18"/>
          <w:szCs w:val="18"/>
        </w:rPr>
        <w:t>Week 16 PASI75 outcome used in some ADA trials (ADA1, ADA2, and ADA4) given primary outcome was measured at this time</w:t>
      </w:r>
      <w:r w:rsidRPr="00E56C04">
        <w:rPr>
          <w:rStyle w:val="CommentReference"/>
          <w:b w:val="0"/>
          <w:bCs/>
          <w:i/>
          <w:iCs/>
          <w:sz w:val="18"/>
          <w:szCs w:val="18"/>
          <w:vertAlign w:val="superscript"/>
        </w:rPr>
        <w:t>.</w:t>
      </w:r>
    </w:p>
    <w:p w:rsidR="007A6EE1" w:rsidRPr="00E56C04" w:rsidRDefault="007A6EE1" w:rsidP="007A6EE1">
      <w:pPr>
        <w:ind w:left="165" w:hanging="165"/>
        <w:rPr>
          <w:rFonts w:ascii="Arial Narrow" w:hAnsi="Arial Narrow"/>
          <w:i/>
          <w:iCs/>
          <w:sz w:val="18"/>
          <w:szCs w:val="18"/>
        </w:rPr>
      </w:pPr>
      <w:r w:rsidRPr="00E56C04">
        <w:rPr>
          <w:rFonts w:ascii="Arial Narrow" w:hAnsi="Arial Narrow"/>
          <w:i/>
          <w:iCs/>
          <w:sz w:val="18"/>
          <w:szCs w:val="18"/>
          <w:vertAlign w:val="superscript"/>
        </w:rPr>
        <w:t>b</w:t>
      </w:r>
      <w:r w:rsidRPr="00E56C04">
        <w:rPr>
          <w:rFonts w:ascii="Arial Narrow" w:hAnsi="Arial Narrow"/>
          <w:i/>
          <w:iCs/>
          <w:sz w:val="18"/>
          <w:szCs w:val="18"/>
        </w:rPr>
        <w:tab/>
        <w:t>defined as (s)PGA 0/1, in the TIL1 and TIL2 trials patients also need to attain a &gt; two-grade improvement, however should not impact comparability of the outcomes since TIL1 and TIL2 only enrolled patients with baseline PGA≥3.</w:t>
      </w:r>
    </w:p>
    <w:p w:rsidR="007A6EE1" w:rsidRPr="00E56C04" w:rsidRDefault="007A6EE1" w:rsidP="007A6EE1">
      <w:pPr>
        <w:rPr>
          <w:rFonts w:ascii="Arial Narrow" w:hAnsi="Arial Narrow"/>
          <w:sz w:val="18"/>
          <w:szCs w:val="18"/>
        </w:rPr>
      </w:pPr>
      <w:proofErr w:type="gramStart"/>
      <w:r w:rsidRPr="00E56C04">
        <w:rPr>
          <w:rFonts w:ascii="Arial Narrow" w:hAnsi="Arial Narrow"/>
          <w:i/>
          <w:iCs/>
          <w:sz w:val="18"/>
          <w:szCs w:val="18"/>
          <w:vertAlign w:val="superscript"/>
        </w:rPr>
        <w:t>c</w:t>
      </w:r>
      <w:proofErr w:type="gramEnd"/>
      <w:r w:rsidRPr="00E56C04">
        <w:rPr>
          <w:rFonts w:ascii="Arial Narrow" w:hAnsi="Arial Narrow"/>
          <w:i/>
          <w:iCs/>
          <w:sz w:val="18"/>
          <w:szCs w:val="18"/>
        </w:rPr>
        <w:tab/>
        <w:t>Least Squares means from TIL1 and TIL2 trials.</w:t>
      </w:r>
    </w:p>
    <w:p w:rsidR="007A6EE1" w:rsidRPr="00E56C04" w:rsidRDefault="007A6EE1" w:rsidP="007A6EE1">
      <w:pPr>
        <w:rPr>
          <w:rFonts w:ascii="Arial Narrow" w:hAnsi="Arial Narrow"/>
          <w:sz w:val="18"/>
          <w:szCs w:val="18"/>
        </w:rPr>
      </w:pPr>
      <w:r w:rsidRPr="00E56C04">
        <w:rPr>
          <w:rFonts w:ascii="Arial Narrow" w:hAnsi="Arial Narrow"/>
          <w:sz w:val="18"/>
          <w:szCs w:val="18"/>
        </w:rPr>
        <w:t>Source: Table 2(a).5-3-4, Table 2(a).5-13-14, Table 2(a).5-36, Table 2(a).6-37-39, Table 2(a).6-48-49, Table 2(a).6-50-51, Table 2(a).6-59-60, p93-94, 98, 116, 159-161, 167-170, 176 of the submission; Table 2(b).5-4 Table 2(b).5-9-10, p22, 25 of Appendix 1 of the submission</w:t>
      </w:r>
    </w:p>
    <w:p w:rsidR="0051424E" w:rsidRPr="00C725E4" w:rsidRDefault="0051424E" w:rsidP="0051424E"/>
    <w:p w:rsidR="00C960B9" w:rsidRPr="00273DA3" w:rsidRDefault="00C960B9" w:rsidP="004156B1">
      <w:pPr>
        <w:keepNext/>
        <w:rPr>
          <w:b/>
          <w:bCs/>
          <w:u w:val="single"/>
        </w:rPr>
      </w:pPr>
      <w:r w:rsidRPr="00273DA3">
        <w:rPr>
          <w:b/>
          <w:bCs/>
          <w:u w:val="single"/>
        </w:rPr>
        <w:lastRenderedPageBreak/>
        <w:t>Summary of efficacy results</w:t>
      </w:r>
    </w:p>
    <w:p w:rsidR="00C960B9" w:rsidRPr="00273DA3" w:rsidRDefault="00C960B9" w:rsidP="004156B1">
      <w:pPr>
        <w:keepNext/>
        <w:rPr>
          <w:b/>
          <w:bCs/>
        </w:rPr>
      </w:pPr>
    </w:p>
    <w:p w:rsidR="00BE6D95" w:rsidRPr="00273DA3" w:rsidRDefault="00BE6D95" w:rsidP="00952E39">
      <w:pPr>
        <w:keepNext/>
        <w:snapToGrid w:val="0"/>
        <w:spacing w:after="120"/>
        <w:contextualSpacing/>
        <w:rPr>
          <w:rFonts w:asciiTheme="minorHAnsi" w:hAnsiTheme="minorHAnsi" w:cstheme="minorHAnsi"/>
          <w:b/>
          <w:szCs w:val="24"/>
        </w:rPr>
      </w:pPr>
      <w:r w:rsidRPr="00273DA3">
        <w:rPr>
          <w:rFonts w:asciiTheme="minorHAnsi" w:hAnsiTheme="minorHAnsi" w:cstheme="minorHAnsi"/>
          <w:b/>
          <w:szCs w:val="24"/>
        </w:rPr>
        <w:t xml:space="preserve">TIL </w:t>
      </w:r>
      <w:r w:rsidR="009F4565" w:rsidRPr="00273DA3">
        <w:rPr>
          <w:rFonts w:asciiTheme="minorHAnsi" w:hAnsiTheme="minorHAnsi" w:cstheme="minorHAnsi"/>
          <w:b/>
          <w:szCs w:val="24"/>
        </w:rPr>
        <w:t>versus</w:t>
      </w:r>
      <w:r w:rsidRPr="00273DA3">
        <w:rPr>
          <w:rFonts w:asciiTheme="minorHAnsi" w:hAnsiTheme="minorHAnsi" w:cstheme="minorHAnsi"/>
          <w:b/>
          <w:szCs w:val="24"/>
        </w:rPr>
        <w:t xml:space="preserve"> UST</w:t>
      </w:r>
    </w:p>
    <w:p w:rsidR="00BE6D95" w:rsidRPr="00273DA3" w:rsidRDefault="00BE6D95" w:rsidP="00952E39">
      <w:pPr>
        <w:pStyle w:val="ListParagraph"/>
        <w:keepNext/>
        <w:widowControl/>
        <w:numPr>
          <w:ilvl w:val="1"/>
          <w:numId w:val="3"/>
        </w:numPr>
        <w:spacing w:after="120"/>
        <w:rPr>
          <w:rFonts w:asciiTheme="minorHAnsi" w:hAnsiTheme="minorHAnsi" w:cstheme="minorHAnsi"/>
          <w:snapToGrid/>
          <w:szCs w:val="24"/>
        </w:rPr>
      </w:pPr>
      <w:r w:rsidRPr="00273DA3">
        <w:rPr>
          <w:rFonts w:asciiTheme="minorHAnsi" w:hAnsiTheme="minorHAnsi" w:cstheme="minorHAnsi"/>
          <w:snapToGrid/>
          <w:szCs w:val="24"/>
        </w:rPr>
        <w:t xml:space="preserve">Both TIL and UST were significantly more effective than placebo in terms of proportions of patients attaining PASI 75 response at 12 weeks.  This was also affirmed by Physician Global Assessment responses (PGA) and </w:t>
      </w:r>
      <w:r w:rsidRPr="00273DA3">
        <w:rPr>
          <w:rFonts w:asciiTheme="minorHAnsi" w:hAnsiTheme="minorHAnsi" w:cstheme="minorHAnsi"/>
          <w:szCs w:val="24"/>
        </w:rPr>
        <w:t>Dermatology Life Quality Index (DLQI) outcome measure</w:t>
      </w:r>
      <w:r w:rsidR="00944D3D" w:rsidRPr="00273DA3">
        <w:rPr>
          <w:rFonts w:asciiTheme="minorHAnsi" w:hAnsiTheme="minorHAnsi" w:cstheme="minorHAnsi"/>
          <w:szCs w:val="24"/>
        </w:rPr>
        <w:t>s</w:t>
      </w:r>
      <w:r w:rsidR="007A6EE1" w:rsidRPr="00273DA3">
        <w:rPr>
          <w:rFonts w:asciiTheme="minorHAnsi" w:hAnsiTheme="minorHAnsi" w:cstheme="minorHAnsi"/>
          <w:szCs w:val="24"/>
        </w:rPr>
        <w:t xml:space="preserve"> (see pp.95-99, 102-111 of the submission)</w:t>
      </w:r>
      <w:r w:rsidR="007A6EE1" w:rsidRPr="00273DA3">
        <w:rPr>
          <w:rFonts w:asciiTheme="minorHAnsi" w:hAnsiTheme="minorHAnsi" w:cstheme="minorHAnsi"/>
          <w:snapToGrid/>
          <w:szCs w:val="24"/>
        </w:rPr>
        <w:t>.</w:t>
      </w:r>
    </w:p>
    <w:p w:rsidR="00BE6D95" w:rsidRPr="00273DA3" w:rsidRDefault="00BE6D95" w:rsidP="00952E39">
      <w:pPr>
        <w:pStyle w:val="ListParagraph"/>
        <w:widowControl/>
        <w:numPr>
          <w:ilvl w:val="1"/>
          <w:numId w:val="3"/>
        </w:numPr>
        <w:spacing w:after="120"/>
        <w:rPr>
          <w:rFonts w:asciiTheme="minorHAnsi" w:hAnsiTheme="minorHAnsi" w:cstheme="minorHAnsi"/>
          <w:snapToGrid/>
          <w:szCs w:val="24"/>
        </w:rPr>
      </w:pPr>
      <w:r w:rsidRPr="00273DA3">
        <w:rPr>
          <w:rFonts w:asciiTheme="minorHAnsi" w:hAnsiTheme="minorHAnsi" w:cstheme="minorHAnsi"/>
          <w:snapToGrid/>
          <w:szCs w:val="24"/>
        </w:rPr>
        <w:t xml:space="preserve">Results of indirect </w:t>
      </w:r>
      <w:r w:rsidRPr="00273DA3">
        <w:rPr>
          <w:iCs/>
          <w:snapToGrid/>
        </w:rPr>
        <w:t>comparisons</w:t>
      </w:r>
      <w:r w:rsidRPr="00273DA3">
        <w:rPr>
          <w:rFonts w:asciiTheme="minorHAnsi" w:hAnsiTheme="minorHAnsi" w:cstheme="minorHAnsi"/>
          <w:snapToGrid/>
          <w:szCs w:val="24"/>
        </w:rPr>
        <w:t xml:space="preserve"> using PBO as common reference generally did not favour TIL for attainment of PASI</w:t>
      </w:r>
      <w:r w:rsidR="007A6EE1" w:rsidRPr="00273DA3">
        <w:rPr>
          <w:rFonts w:asciiTheme="minorHAnsi" w:hAnsiTheme="minorHAnsi" w:cstheme="minorHAnsi"/>
          <w:snapToGrid/>
          <w:szCs w:val="24"/>
        </w:rPr>
        <w:t xml:space="preserve"> </w:t>
      </w:r>
      <w:r w:rsidRPr="00273DA3">
        <w:rPr>
          <w:rFonts w:asciiTheme="minorHAnsi" w:hAnsiTheme="minorHAnsi" w:cstheme="minorHAnsi"/>
          <w:snapToGrid/>
          <w:szCs w:val="24"/>
        </w:rPr>
        <w:t xml:space="preserve">75 response at Week 12, </w:t>
      </w:r>
      <w:r w:rsidR="002E755A" w:rsidRPr="002F7F99">
        <w:rPr>
          <w:rFonts w:asciiTheme="minorHAnsi" w:eastAsiaTheme="minorEastAsia" w:hAnsiTheme="minorHAnsi" w:cstheme="minorHAnsi"/>
          <w:snapToGrid/>
          <w:sz w:val="22"/>
          <w:szCs w:val="24"/>
          <w:lang w:eastAsia="en-AU"/>
        </w:rPr>
        <w:t>with lower 95%CI exceeding -10% for the RD statistic</w:t>
      </w:r>
      <w:r w:rsidRPr="002F7F99">
        <w:rPr>
          <w:rFonts w:asciiTheme="minorHAnsi" w:hAnsiTheme="minorHAnsi" w:cstheme="minorHAnsi"/>
          <w:snapToGrid/>
          <w:szCs w:val="24"/>
        </w:rPr>
        <w:t>.</w:t>
      </w:r>
      <w:r w:rsidRPr="00273DA3">
        <w:rPr>
          <w:rFonts w:asciiTheme="minorHAnsi" w:hAnsiTheme="minorHAnsi" w:cstheme="minorHAnsi"/>
          <w:snapToGrid/>
          <w:szCs w:val="24"/>
        </w:rPr>
        <w:t xml:space="preserve">  The indirect comparison also reached statistical significance for the OR statistic between TIL and UST 90</w:t>
      </w:r>
      <w:r w:rsidR="00821F1B">
        <w:rPr>
          <w:rFonts w:asciiTheme="minorHAnsi" w:hAnsiTheme="minorHAnsi" w:cstheme="minorHAnsi"/>
          <w:snapToGrid/>
          <w:szCs w:val="24"/>
        </w:rPr>
        <w:t xml:space="preserve"> </w:t>
      </w:r>
      <w:r w:rsidRPr="00273DA3">
        <w:rPr>
          <w:rFonts w:asciiTheme="minorHAnsi" w:hAnsiTheme="minorHAnsi" w:cstheme="minorHAnsi"/>
          <w:snapToGrid/>
          <w:szCs w:val="24"/>
        </w:rPr>
        <w:t>mg (OR (95%CI): 0.45 (0.24, 0.86)), indicating TIL may be inferior to UST 90</w:t>
      </w:r>
      <w:r w:rsidR="00821F1B">
        <w:rPr>
          <w:rFonts w:asciiTheme="minorHAnsi" w:hAnsiTheme="minorHAnsi" w:cstheme="minorHAnsi"/>
          <w:snapToGrid/>
          <w:szCs w:val="24"/>
        </w:rPr>
        <w:t xml:space="preserve"> </w:t>
      </w:r>
      <w:r w:rsidRPr="00273DA3">
        <w:rPr>
          <w:rFonts w:asciiTheme="minorHAnsi" w:hAnsiTheme="minorHAnsi" w:cstheme="minorHAnsi"/>
          <w:snapToGrid/>
          <w:szCs w:val="24"/>
        </w:rPr>
        <w:t>mg.  Using results of UST1 (ACCEPT trial) and TIL2 (</w:t>
      </w:r>
      <w:proofErr w:type="spellStart"/>
      <w:r w:rsidRPr="00273DA3">
        <w:rPr>
          <w:rFonts w:asciiTheme="minorHAnsi" w:hAnsiTheme="minorHAnsi" w:cstheme="minorHAnsi"/>
          <w:snapToGrid/>
          <w:szCs w:val="24"/>
        </w:rPr>
        <w:t>reSURFACE</w:t>
      </w:r>
      <w:proofErr w:type="spellEnd"/>
      <w:r w:rsidR="00321C8F" w:rsidRPr="00273DA3">
        <w:rPr>
          <w:rFonts w:asciiTheme="minorHAnsi" w:hAnsiTheme="minorHAnsi" w:cstheme="minorHAnsi"/>
          <w:snapToGrid/>
          <w:szCs w:val="24"/>
        </w:rPr>
        <w:t xml:space="preserve"> </w:t>
      </w:r>
      <w:r w:rsidRPr="00273DA3">
        <w:rPr>
          <w:rFonts w:asciiTheme="minorHAnsi" w:hAnsiTheme="minorHAnsi" w:cstheme="minorHAnsi"/>
          <w:snapToGrid/>
          <w:szCs w:val="24"/>
        </w:rPr>
        <w:t>2) the submission also conducted indirect comparisons between TIL and UST using ETN as common comparator, these comparisons by contrast did not find any significant differences between TIL and UST.  However, given only two trials were included in these indirect comparisons, the relevance of these results to decision making may be limited.</w:t>
      </w:r>
    </w:p>
    <w:p w:rsidR="007A681B" w:rsidRPr="00B42861" w:rsidRDefault="00BE6D95" w:rsidP="00952E39">
      <w:pPr>
        <w:pStyle w:val="ListParagraph"/>
        <w:widowControl/>
        <w:numPr>
          <w:ilvl w:val="1"/>
          <w:numId w:val="3"/>
        </w:numPr>
        <w:spacing w:after="120"/>
        <w:rPr>
          <w:rFonts w:asciiTheme="minorHAnsi" w:hAnsiTheme="minorHAnsi" w:cstheme="minorHAnsi"/>
          <w:snapToGrid/>
          <w:szCs w:val="24"/>
        </w:rPr>
      </w:pPr>
      <w:r w:rsidRPr="00273DA3">
        <w:rPr>
          <w:rFonts w:asciiTheme="minorHAnsi" w:hAnsiTheme="minorHAnsi" w:cstheme="minorHAnsi"/>
          <w:snapToGrid/>
          <w:szCs w:val="24"/>
        </w:rPr>
        <w:t xml:space="preserve">Results of indirect comparisons for PASI 90, PASI 100, </w:t>
      </w:r>
      <w:proofErr w:type="gramStart"/>
      <w:r w:rsidRPr="00273DA3">
        <w:rPr>
          <w:rFonts w:asciiTheme="minorHAnsi" w:hAnsiTheme="minorHAnsi" w:cstheme="minorHAnsi"/>
          <w:snapToGrid/>
          <w:szCs w:val="24"/>
        </w:rPr>
        <w:t>PGA</w:t>
      </w:r>
      <w:proofErr w:type="gramEnd"/>
      <w:r w:rsidRPr="00273DA3">
        <w:rPr>
          <w:rFonts w:asciiTheme="minorHAnsi" w:hAnsiTheme="minorHAnsi" w:cstheme="minorHAnsi"/>
          <w:snapToGrid/>
          <w:szCs w:val="24"/>
        </w:rPr>
        <w:t xml:space="preserve"> and DLQI outcomes also generally indicated that fewer patients treated with TIL attained these outcomes c</w:t>
      </w:r>
      <w:r w:rsidR="002C065D" w:rsidRPr="00273DA3">
        <w:rPr>
          <w:rFonts w:asciiTheme="minorHAnsi" w:hAnsiTheme="minorHAnsi" w:cstheme="minorHAnsi"/>
          <w:snapToGrid/>
          <w:szCs w:val="24"/>
        </w:rPr>
        <w:t xml:space="preserve">ompared to UST treated patients. </w:t>
      </w:r>
      <w:r w:rsidRPr="00273DA3">
        <w:rPr>
          <w:rFonts w:asciiTheme="minorHAnsi" w:hAnsiTheme="minorHAnsi" w:cstheme="minorHAnsi"/>
          <w:snapToGrid/>
          <w:szCs w:val="24"/>
        </w:rPr>
        <w:t xml:space="preserve"> </w:t>
      </w:r>
      <w:r w:rsidR="00125198" w:rsidRPr="00273DA3">
        <w:rPr>
          <w:rFonts w:asciiTheme="minorHAnsi" w:hAnsiTheme="minorHAnsi" w:cstheme="minorHAnsi"/>
          <w:snapToGrid/>
          <w:szCs w:val="24"/>
        </w:rPr>
        <w:t>The result</w:t>
      </w:r>
      <w:r w:rsidR="002C065D" w:rsidRPr="00273DA3">
        <w:rPr>
          <w:rFonts w:asciiTheme="minorHAnsi" w:hAnsiTheme="minorHAnsi" w:cstheme="minorHAnsi"/>
          <w:snapToGrid/>
          <w:szCs w:val="24"/>
        </w:rPr>
        <w:t xml:space="preserve"> </w:t>
      </w:r>
      <w:r w:rsidR="00125198" w:rsidRPr="00273DA3">
        <w:rPr>
          <w:rFonts w:asciiTheme="minorHAnsi" w:hAnsiTheme="minorHAnsi" w:cstheme="minorHAnsi"/>
          <w:snapToGrid/>
          <w:szCs w:val="24"/>
        </w:rPr>
        <w:t xml:space="preserve">also </w:t>
      </w:r>
      <w:r w:rsidR="002C065D" w:rsidRPr="00273DA3">
        <w:rPr>
          <w:rFonts w:asciiTheme="minorHAnsi" w:hAnsiTheme="minorHAnsi" w:cstheme="minorHAnsi"/>
          <w:snapToGrid/>
          <w:szCs w:val="24"/>
        </w:rPr>
        <w:t>reached</w:t>
      </w:r>
      <w:r w:rsidRPr="00273DA3">
        <w:rPr>
          <w:rFonts w:asciiTheme="minorHAnsi" w:hAnsiTheme="minorHAnsi" w:cstheme="minorHAnsi"/>
          <w:snapToGrid/>
          <w:szCs w:val="24"/>
        </w:rPr>
        <w:t xml:space="preserve"> statistical significance </w:t>
      </w:r>
      <w:r w:rsidR="00125198" w:rsidRPr="00273DA3">
        <w:rPr>
          <w:rFonts w:asciiTheme="minorHAnsi" w:hAnsiTheme="minorHAnsi" w:cstheme="minorHAnsi"/>
          <w:snapToGrid/>
          <w:szCs w:val="24"/>
        </w:rPr>
        <w:t xml:space="preserve">for PASI 90 in the indirect comparison of </w:t>
      </w:r>
      <w:r w:rsidRPr="00273DA3">
        <w:rPr>
          <w:rFonts w:asciiTheme="minorHAnsi" w:hAnsiTheme="minorHAnsi" w:cstheme="minorHAnsi"/>
          <w:snapToGrid/>
          <w:szCs w:val="24"/>
        </w:rPr>
        <w:t xml:space="preserve">TIL vs UST (all doses) </w:t>
      </w:r>
      <w:r w:rsidR="00125198" w:rsidRPr="00273DA3">
        <w:rPr>
          <w:rFonts w:asciiTheme="minorHAnsi" w:hAnsiTheme="minorHAnsi" w:cstheme="minorHAnsi"/>
          <w:snapToGrid/>
          <w:szCs w:val="24"/>
        </w:rPr>
        <w:t xml:space="preserve">when </w:t>
      </w:r>
      <w:r w:rsidRPr="00273DA3">
        <w:rPr>
          <w:rFonts w:asciiTheme="minorHAnsi" w:hAnsiTheme="minorHAnsi" w:cstheme="minorHAnsi"/>
          <w:snapToGrid/>
          <w:szCs w:val="24"/>
        </w:rPr>
        <w:t xml:space="preserve">placebo </w:t>
      </w:r>
      <w:r w:rsidR="00125198" w:rsidRPr="00273DA3">
        <w:rPr>
          <w:rFonts w:asciiTheme="minorHAnsi" w:hAnsiTheme="minorHAnsi" w:cstheme="minorHAnsi"/>
          <w:snapToGrid/>
          <w:szCs w:val="24"/>
        </w:rPr>
        <w:t xml:space="preserve">was used as </w:t>
      </w:r>
      <w:r w:rsidRPr="00273DA3">
        <w:rPr>
          <w:rFonts w:asciiTheme="minorHAnsi" w:hAnsiTheme="minorHAnsi" w:cstheme="minorHAnsi"/>
          <w:snapToGrid/>
          <w:szCs w:val="24"/>
        </w:rPr>
        <w:t>common reference (comparison C) in the RD statistic: RD (95%CI): -0.11 (-0.21, -0.01).</w:t>
      </w:r>
    </w:p>
    <w:p w:rsidR="00BE6D95" w:rsidRPr="00273DA3" w:rsidRDefault="009F4565" w:rsidP="00952E39">
      <w:pPr>
        <w:snapToGrid w:val="0"/>
        <w:spacing w:after="120"/>
        <w:contextualSpacing/>
        <w:rPr>
          <w:rFonts w:asciiTheme="minorHAnsi" w:hAnsiTheme="minorHAnsi" w:cstheme="minorHAnsi"/>
          <w:b/>
          <w:szCs w:val="24"/>
        </w:rPr>
      </w:pPr>
      <w:r w:rsidRPr="00273DA3">
        <w:rPr>
          <w:rFonts w:asciiTheme="minorHAnsi" w:hAnsiTheme="minorHAnsi" w:cstheme="minorHAnsi"/>
          <w:b/>
          <w:szCs w:val="24"/>
        </w:rPr>
        <w:t>TIL v</w:t>
      </w:r>
      <w:r w:rsidR="00BE6D95" w:rsidRPr="00273DA3">
        <w:rPr>
          <w:rFonts w:asciiTheme="minorHAnsi" w:hAnsiTheme="minorHAnsi" w:cstheme="minorHAnsi"/>
          <w:b/>
          <w:szCs w:val="24"/>
        </w:rPr>
        <w:t>ersus ETN</w:t>
      </w:r>
    </w:p>
    <w:p w:rsidR="00BE6D95" w:rsidRPr="00273DA3" w:rsidRDefault="00BE6D95" w:rsidP="00952E39">
      <w:pPr>
        <w:pStyle w:val="ListParagraph"/>
        <w:widowControl/>
        <w:numPr>
          <w:ilvl w:val="1"/>
          <w:numId w:val="3"/>
        </w:numPr>
        <w:spacing w:after="120"/>
        <w:rPr>
          <w:snapToGrid/>
        </w:rPr>
      </w:pPr>
      <w:r w:rsidRPr="00273DA3">
        <w:rPr>
          <w:snapToGrid/>
        </w:rPr>
        <w:t xml:space="preserve">Based on direct trial evidence from the </w:t>
      </w:r>
      <w:proofErr w:type="spellStart"/>
      <w:r w:rsidRPr="00273DA3">
        <w:rPr>
          <w:snapToGrid/>
        </w:rPr>
        <w:t>reSURFACE</w:t>
      </w:r>
      <w:proofErr w:type="spellEnd"/>
      <w:r w:rsidRPr="00273DA3">
        <w:rPr>
          <w:snapToGrid/>
        </w:rPr>
        <w:t xml:space="preserve"> 2 trial, TIL was significantly more effective than ETN in terms of proportions of patients attain</w:t>
      </w:r>
      <w:r w:rsidR="00DD38F3" w:rsidRPr="00273DA3">
        <w:rPr>
          <w:snapToGrid/>
        </w:rPr>
        <w:t>ing PASI 75 response at Week 12</w:t>
      </w:r>
      <w:r w:rsidRPr="00273DA3">
        <w:rPr>
          <w:snapToGrid/>
        </w:rPr>
        <w:t>.  This was also consistent with directly comparative results for PASI 90, PASI 100, PGA and DLQI outcome at Week 12 and results for PASI90, PASI 100 and PGA at Week 28.</w:t>
      </w:r>
    </w:p>
    <w:p w:rsidR="005410EA" w:rsidRPr="00273DA3" w:rsidRDefault="00BE6D95" w:rsidP="00952E39">
      <w:pPr>
        <w:widowControl/>
        <w:spacing w:after="120"/>
        <w:rPr>
          <w:b/>
          <w:bCs/>
          <w:snapToGrid/>
        </w:rPr>
      </w:pPr>
      <w:r w:rsidRPr="00273DA3">
        <w:rPr>
          <w:b/>
          <w:bCs/>
          <w:snapToGrid/>
        </w:rPr>
        <w:t xml:space="preserve">TIL </w:t>
      </w:r>
      <w:r w:rsidR="009F4565" w:rsidRPr="00273DA3">
        <w:rPr>
          <w:b/>
          <w:bCs/>
          <w:snapToGrid/>
        </w:rPr>
        <w:t>versus</w:t>
      </w:r>
      <w:r w:rsidRPr="00273DA3">
        <w:rPr>
          <w:b/>
          <w:bCs/>
          <w:snapToGrid/>
        </w:rPr>
        <w:t xml:space="preserve"> ADA</w:t>
      </w:r>
    </w:p>
    <w:p w:rsidR="00BE6D95" w:rsidRPr="00273DA3" w:rsidRDefault="00BE6D95" w:rsidP="00CB64E7">
      <w:pPr>
        <w:pStyle w:val="ListParagraph"/>
        <w:widowControl/>
        <w:numPr>
          <w:ilvl w:val="1"/>
          <w:numId w:val="3"/>
        </w:numPr>
        <w:spacing w:after="120"/>
        <w:rPr>
          <w:iCs/>
          <w:snapToGrid/>
        </w:rPr>
      </w:pPr>
      <w:r w:rsidRPr="00273DA3">
        <w:rPr>
          <w:iCs/>
          <w:snapToGrid/>
        </w:rPr>
        <w:t xml:space="preserve">Both TIL and </w:t>
      </w:r>
      <w:r w:rsidRPr="00273DA3">
        <w:rPr>
          <w:snapToGrid/>
        </w:rPr>
        <w:t>ADA</w:t>
      </w:r>
      <w:r w:rsidRPr="00273DA3">
        <w:rPr>
          <w:iCs/>
          <w:snapToGrid/>
        </w:rPr>
        <w:t xml:space="preserve"> were significantly more effective than placebo in terms of proportions of patients attaining PASI 75 response at Week 12.  Based on indirect comparisons using PBO as common reference, no significant differences were detected between TIL and ADA with respect to PASI 75 response, suggesting that a conclusion of non-inferiority of TIL versus ADA would be reasonable.  Results of</w:t>
      </w:r>
      <w:r w:rsidRPr="008A27A3">
        <w:rPr>
          <w:iCs/>
          <w:snapToGrid/>
        </w:rPr>
        <w:t xml:space="preserve"> </w:t>
      </w:r>
      <w:r w:rsidRPr="00273DA3">
        <w:rPr>
          <w:iCs/>
          <w:snapToGrid/>
        </w:rPr>
        <w:t>indirect comparisons for PASI 100, and PGA outcomes also appeared to support this conclusion.</w:t>
      </w:r>
    </w:p>
    <w:p w:rsidR="00CB64E7" w:rsidRPr="00CB64E7" w:rsidRDefault="00CB64E7" w:rsidP="00CB64E7">
      <w:pPr>
        <w:pStyle w:val="BodyText"/>
        <w:spacing w:after="120"/>
        <w:ind w:left="510" w:firstLine="170"/>
        <w:rPr>
          <w:i/>
        </w:rPr>
      </w:pPr>
      <w:bookmarkStart w:id="15" w:name="_Toc503212791"/>
      <w:bookmarkStart w:id="16" w:name="_Toc514171467"/>
      <w:r w:rsidRPr="00CB64E7">
        <w:rPr>
          <w:i/>
        </w:rPr>
        <w:t>For more detail on PBAC’s view, see section 7 PBAC outcome.</w:t>
      </w:r>
    </w:p>
    <w:p w:rsidR="00B60939" w:rsidRPr="00273DA3" w:rsidRDefault="00B60939" w:rsidP="00CB64E7">
      <w:pPr>
        <w:pStyle w:val="Heading2"/>
        <w:spacing w:after="120"/>
      </w:pPr>
      <w:r w:rsidRPr="00273DA3">
        <w:t>Comparative harms</w:t>
      </w:r>
      <w:bookmarkEnd w:id="15"/>
      <w:bookmarkEnd w:id="16"/>
    </w:p>
    <w:p w:rsidR="004F2871" w:rsidRDefault="00CC07DB" w:rsidP="00CB64E7">
      <w:pPr>
        <w:pStyle w:val="ListParagraph"/>
        <w:widowControl/>
        <w:numPr>
          <w:ilvl w:val="1"/>
          <w:numId w:val="3"/>
        </w:numPr>
        <w:spacing w:after="120"/>
        <w:rPr>
          <w:iCs/>
        </w:rPr>
      </w:pPr>
      <w:r w:rsidRPr="00273DA3">
        <w:lastRenderedPageBreak/>
        <w:t xml:space="preserve">The results of the indirect comparison of safety outcomes at the end of the placebo-controlled periods Weeks 12/16 and up to Week 28 in the </w:t>
      </w:r>
      <w:proofErr w:type="spellStart"/>
      <w:r w:rsidRPr="00273DA3">
        <w:t>reSURFACE</w:t>
      </w:r>
      <w:proofErr w:type="spellEnd"/>
      <w:r w:rsidRPr="00273DA3">
        <w:t xml:space="preserve"> 2 trial (providing direct comparative data for TIL versus ETN) are presented in Table 6.  </w:t>
      </w:r>
      <w:r w:rsidRPr="00273DA3">
        <w:rPr>
          <w:iCs/>
        </w:rPr>
        <w:t>Adverse events (</w:t>
      </w:r>
      <w:r w:rsidR="00BE6D95" w:rsidRPr="00273DA3">
        <w:rPr>
          <w:iCs/>
        </w:rPr>
        <w:t>AEs</w:t>
      </w:r>
      <w:r w:rsidRPr="00273DA3">
        <w:rPr>
          <w:iCs/>
        </w:rPr>
        <w:t>)</w:t>
      </w:r>
      <w:r w:rsidR="00BE6D95" w:rsidRPr="00273DA3">
        <w:rPr>
          <w:iCs/>
        </w:rPr>
        <w:t xml:space="preserve"> were generally similar between TIL and comparators, except for fewer injection site reactions versus ETN (but overall number</w:t>
      </w:r>
      <w:r w:rsidR="002C5CBA" w:rsidRPr="00273DA3">
        <w:rPr>
          <w:iCs/>
        </w:rPr>
        <w:t>s</w:t>
      </w:r>
      <w:r w:rsidR="00BE6D95" w:rsidRPr="00273DA3">
        <w:rPr>
          <w:iCs/>
        </w:rPr>
        <w:t xml:space="preserve"> of AEs</w:t>
      </w:r>
      <w:r w:rsidR="002C5CBA" w:rsidRPr="00273DA3">
        <w:rPr>
          <w:iCs/>
        </w:rPr>
        <w:t xml:space="preserve"> did not differ significantly</w:t>
      </w:r>
      <w:r w:rsidR="00BE6D95" w:rsidRPr="00273DA3">
        <w:rPr>
          <w:iCs/>
        </w:rPr>
        <w:t xml:space="preserve">) and fewer AEs overall versus UST (but only in indirect comparison using PBO as common comparator).  During Weeks 0-28 of the </w:t>
      </w:r>
      <w:proofErr w:type="spellStart"/>
      <w:r w:rsidR="00BE6D95" w:rsidRPr="00273DA3">
        <w:rPr>
          <w:iCs/>
        </w:rPr>
        <w:t>reSURFACE</w:t>
      </w:r>
      <w:proofErr w:type="spellEnd"/>
      <w:r w:rsidR="00BE6D95" w:rsidRPr="00273DA3">
        <w:rPr>
          <w:iCs/>
        </w:rPr>
        <w:t xml:space="preserve"> 2 </w:t>
      </w:r>
      <w:proofErr w:type="gramStart"/>
      <w:r w:rsidR="00BE6D95" w:rsidRPr="00273DA3">
        <w:rPr>
          <w:iCs/>
        </w:rPr>
        <w:t>trial</w:t>
      </w:r>
      <w:proofErr w:type="gramEnd"/>
      <w:r w:rsidR="00BE6D95" w:rsidRPr="00273DA3">
        <w:rPr>
          <w:iCs/>
        </w:rPr>
        <w:t xml:space="preserve">, TIL patients had also reported significantly less AEs compared to ETN patients, most likely due to fewer injection site events.  However despite this, the proportion of patients with serious AEs and discontinuations due to AEs were similar between TIL and ETN.  Like UST, the most frequently reported AEs for TIL was </w:t>
      </w:r>
      <w:proofErr w:type="spellStart"/>
      <w:r w:rsidR="00BE6D95" w:rsidRPr="00273DA3">
        <w:rPr>
          <w:iCs/>
        </w:rPr>
        <w:t>na</w:t>
      </w:r>
      <w:r w:rsidR="005F78C6" w:rsidRPr="00273DA3">
        <w:rPr>
          <w:iCs/>
        </w:rPr>
        <w:t>sopharyngitis</w:t>
      </w:r>
      <w:proofErr w:type="spellEnd"/>
      <w:r w:rsidR="005F78C6" w:rsidRPr="00273DA3">
        <w:rPr>
          <w:iCs/>
        </w:rPr>
        <w:t xml:space="preserve"> and headaches</w:t>
      </w:r>
      <w:r w:rsidR="00BE6D95" w:rsidRPr="00273DA3">
        <w:rPr>
          <w:iCs/>
        </w:rPr>
        <w:t>.</w:t>
      </w:r>
      <w:r w:rsidRPr="00273DA3">
        <w:rPr>
          <w:iCs/>
        </w:rPr>
        <w:t xml:space="preserve">  </w:t>
      </w:r>
      <w:r w:rsidR="00BB7FB4" w:rsidRPr="00273DA3">
        <w:rPr>
          <w:iCs/>
        </w:rPr>
        <w:t>T</w:t>
      </w:r>
      <w:r w:rsidR="00040601" w:rsidRPr="00273DA3">
        <w:rPr>
          <w:iCs/>
        </w:rPr>
        <w:t>he results would appear to support a conclusio</w:t>
      </w:r>
      <w:r w:rsidR="00BC3632" w:rsidRPr="00273DA3">
        <w:rPr>
          <w:iCs/>
        </w:rPr>
        <w:t>n of no</w:t>
      </w:r>
      <w:r w:rsidR="00BB7FB4" w:rsidRPr="00273DA3">
        <w:rPr>
          <w:iCs/>
        </w:rPr>
        <w:t>n-in</w:t>
      </w:r>
      <w:r w:rsidR="005F78C6" w:rsidRPr="00273DA3">
        <w:rPr>
          <w:iCs/>
        </w:rPr>
        <w:t>ferior safety for TIL v</w:t>
      </w:r>
      <w:r w:rsidR="00BB7FB4" w:rsidRPr="00273DA3">
        <w:rPr>
          <w:iCs/>
        </w:rPr>
        <w:t>ersus UST, ETN and ADA</w:t>
      </w:r>
      <w:r w:rsidR="00040601" w:rsidRPr="00273DA3">
        <w:rPr>
          <w:iCs/>
        </w:rPr>
        <w:t>.</w:t>
      </w:r>
      <w:r w:rsidR="00FB3ABC" w:rsidRPr="00273DA3">
        <w:rPr>
          <w:iCs/>
        </w:rPr>
        <w:t xml:space="preserve">  This </w:t>
      </w:r>
      <w:r w:rsidRPr="00273DA3">
        <w:rPr>
          <w:iCs/>
        </w:rPr>
        <w:t>wa</w:t>
      </w:r>
      <w:r w:rsidR="00FB3ABC" w:rsidRPr="00273DA3">
        <w:rPr>
          <w:iCs/>
        </w:rPr>
        <w:t>s consistent with the submiss</w:t>
      </w:r>
      <w:r w:rsidR="00125198" w:rsidRPr="00273DA3">
        <w:rPr>
          <w:iCs/>
        </w:rPr>
        <w:t xml:space="preserve">ion’s safety claims versus </w:t>
      </w:r>
      <w:r w:rsidR="00FB3ABC" w:rsidRPr="00273DA3">
        <w:rPr>
          <w:iCs/>
        </w:rPr>
        <w:t>UST and ADA but not ETN (refer Clinical Claim</w:t>
      </w:r>
      <w:r w:rsidRPr="00273DA3">
        <w:rPr>
          <w:iCs/>
        </w:rPr>
        <w:t>s</w:t>
      </w:r>
      <w:r w:rsidR="00FB3ABC" w:rsidRPr="00273DA3">
        <w:rPr>
          <w:iCs/>
        </w:rPr>
        <w:t>).</w:t>
      </w:r>
    </w:p>
    <w:p w:rsidR="000F1486" w:rsidRPr="00A16542" w:rsidRDefault="000F1486" w:rsidP="005642C1">
      <w:pPr>
        <w:widowControl/>
        <w:jc w:val="left"/>
        <w:rPr>
          <w:rFonts w:ascii="Arial Narrow" w:hAnsi="Arial Narrow"/>
          <w:b/>
          <w:snapToGrid/>
          <w:sz w:val="20"/>
          <w:szCs w:val="20"/>
        </w:rPr>
      </w:pPr>
      <w:bookmarkStart w:id="17" w:name="_Toc512339662"/>
      <w:r w:rsidRPr="00A16542">
        <w:rPr>
          <w:rFonts w:ascii="Arial Narrow" w:hAnsi="Arial Narrow"/>
          <w:b/>
          <w:snapToGrid/>
          <w:sz w:val="20"/>
          <w:szCs w:val="20"/>
        </w:rPr>
        <w:t>Table 6: Summary of safety direct and indirect comparisons: TIL vs comparators</w:t>
      </w:r>
      <w:bookmarkEnd w:id="17"/>
    </w:p>
    <w:tbl>
      <w:tblPr>
        <w:tblStyle w:val="TableGrid11"/>
        <w:tblW w:w="5028" w:type="pct"/>
        <w:tblCellMar>
          <w:left w:w="28" w:type="dxa"/>
          <w:right w:w="28" w:type="dxa"/>
        </w:tblCellMar>
        <w:tblLook w:val="04A0" w:firstRow="1" w:lastRow="0" w:firstColumn="1" w:lastColumn="0" w:noHBand="0" w:noVBand="1"/>
        <w:tblCaption w:val="Summary of safety direct and indirect comparisons: TIL vs comparators"/>
      </w:tblPr>
      <w:tblGrid>
        <w:gridCol w:w="2139"/>
        <w:gridCol w:w="2106"/>
        <w:gridCol w:w="2461"/>
        <w:gridCol w:w="2428"/>
      </w:tblGrid>
      <w:tr w:rsidR="00CC07DB" w:rsidRPr="00C725E4" w:rsidTr="00D3086A">
        <w:trPr>
          <w:tblHeader/>
        </w:trPr>
        <w:tc>
          <w:tcPr>
            <w:tcW w:w="1171" w:type="pct"/>
            <w:vAlign w:val="center"/>
          </w:tcPr>
          <w:p w:rsidR="00CC07DB" w:rsidRPr="00747BAC" w:rsidRDefault="00CC07DB" w:rsidP="005A0854">
            <w:pPr>
              <w:snapToGrid w:val="0"/>
              <w:jc w:val="center"/>
              <w:rPr>
                <w:rFonts w:ascii="Arial Narrow" w:hAnsi="Arial Narrow"/>
                <w:b/>
                <w:snapToGrid/>
                <w:sz w:val="20"/>
                <w:lang w:eastAsia="en-AU"/>
              </w:rPr>
            </w:pPr>
          </w:p>
        </w:tc>
        <w:tc>
          <w:tcPr>
            <w:tcW w:w="1153" w:type="pct"/>
            <w:vAlign w:val="center"/>
          </w:tcPr>
          <w:p w:rsidR="00CC07DB" w:rsidRPr="00747BAC" w:rsidRDefault="00CC07DB" w:rsidP="005A0854">
            <w:pPr>
              <w:snapToGrid w:val="0"/>
              <w:jc w:val="center"/>
              <w:rPr>
                <w:rFonts w:ascii="Arial Narrow" w:hAnsi="Arial Narrow"/>
                <w:b/>
                <w:snapToGrid/>
                <w:sz w:val="20"/>
                <w:lang w:eastAsia="en-AU"/>
              </w:rPr>
            </w:pPr>
            <w:r w:rsidRPr="00747BAC">
              <w:rPr>
                <w:rFonts w:ascii="Arial Narrow" w:hAnsi="Arial Narrow"/>
                <w:b/>
                <w:snapToGrid/>
                <w:sz w:val="20"/>
                <w:lang w:eastAsia="en-AU"/>
              </w:rPr>
              <w:t>RR^ (95% CI)</w:t>
            </w:r>
          </w:p>
        </w:tc>
        <w:tc>
          <w:tcPr>
            <w:tcW w:w="1347" w:type="pct"/>
          </w:tcPr>
          <w:p w:rsidR="00CC07DB" w:rsidRPr="00747BAC" w:rsidRDefault="00CC07DB" w:rsidP="005A0854">
            <w:pPr>
              <w:snapToGrid w:val="0"/>
              <w:jc w:val="center"/>
              <w:rPr>
                <w:rFonts w:ascii="Arial Narrow" w:hAnsi="Arial Narrow"/>
                <w:b/>
                <w:snapToGrid/>
                <w:sz w:val="20"/>
                <w:lang w:eastAsia="en-AU"/>
              </w:rPr>
            </w:pPr>
            <w:r>
              <w:rPr>
                <w:rFonts w:ascii="Arial Narrow" w:hAnsi="Arial Narrow"/>
                <w:b/>
                <w:snapToGrid/>
                <w:sz w:val="20"/>
                <w:lang w:eastAsia="en-AU"/>
              </w:rPr>
              <w:t xml:space="preserve">OR^ </w:t>
            </w:r>
            <w:r w:rsidRPr="00747BAC">
              <w:rPr>
                <w:rFonts w:ascii="Arial Narrow" w:hAnsi="Arial Narrow"/>
                <w:b/>
                <w:snapToGrid/>
                <w:sz w:val="20"/>
                <w:lang w:eastAsia="en-AU"/>
              </w:rPr>
              <w:t>(95% CI)</w:t>
            </w:r>
          </w:p>
        </w:tc>
        <w:tc>
          <w:tcPr>
            <w:tcW w:w="1329" w:type="pct"/>
            <w:vAlign w:val="center"/>
          </w:tcPr>
          <w:p w:rsidR="00CC07DB" w:rsidRPr="00C725E4" w:rsidRDefault="00CC07DB" w:rsidP="005A0854">
            <w:pPr>
              <w:snapToGrid w:val="0"/>
              <w:jc w:val="center"/>
              <w:rPr>
                <w:rFonts w:ascii="Arial Narrow" w:hAnsi="Arial Narrow"/>
                <w:b/>
                <w:snapToGrid/>
                <w:sz w:val="20"/>
                <w:lang w:eastAsia="en-AU"/>
              </w:rPr>
            </w:pPr>
            <w:r>
              <w:rPr>
                <w:rFonts w:ascii="Arial Narrow" w:hAnsi="Arial Narrow"/>
                <w:b/>
                <w:snapToGrid/>
                <w:sz w:val="20"/>
                <w:lang w:eastAsia="en-AU"/>
              </w:rPr>
              <w:t>RD</w:t>
            </w:r>
            <w:r w:rsidRPr="00747BAC">
              <w:rPr>
                <w:rFonts w:ascii="Arial Narrow" w:hAnsi="Arial Narrow"/>
                <w:b/>
                <w:snapToGrid/>
                <w:sz w:val="20"/>
                <w:lang w:eastAsia="en-AU"/>
              </w:rPr>
              <w:t>^ (95% CI)</w:t>
            </w:r>
          </w:p>
        </w:tc>
      </w:tr>
      <w:tr w:rsidR="00CC07DB" w:rsidRPr="00C725E4" w:rsidTr="005A0854">
        <w:tc>
          <w:tcPr>
            <w:tcW w:w="5000" w:type="pct"/>
            <w:gridSpan w:val="4"/>
          </w:tcPr>
          <w:p w:rsidR="00CC07DB" w:rsidRPr="00913277" w:rsidRDefault="00CC07DB" w:rsidP="005A0854">
            <w:pPr>
              <w:snapToGrid w:val="0"/>
              <w:jc w:val="center"/>
              <w:rPr>
                <w:rFonts w:ascii="Arial Narrow" w:hAnsi="Arial Narrow"/>
                <w:b/>
                <w:bCs/>
                <w:snapToGrid/>
                <w:sz w:val="20"/>
                <w:lang w:eastAsia="en-AU"/>
              </w:rPr>
            </w:pPr>
            <w:r>
              <w:rPr>
                <w:rFonts w:ascii="Arial Narrow" w:hAnsi="Arial Narrow"/>
                <w:b/>
                <w:bCs/>
                <w:snapToGrid/>
                <w:sz w:val="20"/>
                <w:lang w:eastAsia="en-AU"/>
              </w:rPr>
              <w:t>Weeks 0-12/16 (placebo-controlled period)</w:t>
            </w:r>
          </w:p>
        </w:tc>
      </w:tr>
      <w:tr w:rsidR="00CC07DB" w:rsidRPr="000B2FCD" w:rsidTr="005A0854">
        <w:tc>
          <w:tcPr>
            <w:tcW w:w="5000" w:type="pct"/>
            <w:gridSpan w:val="4"/>
          </w:tcPr>
          <w:p w:rsidR="00CC07DB" w:rsidRPr="008B567C" w:rsidRDefault="00CC07DB" w:rsidP="005A0854">
            <w:pPr>
              <w:snapToGrid w:val="0"/>
              <w:jc w:val="left"/>
              <w:rPr>
                <w:rFonts w:ascii="Arial Narrow" w:hAnsi="Arial Narrow"/>
                <w:b/>
                <w:bCs/>
                <w:snapToGrid/>
                <w:sz w:val="20"/>
                <w:lang w:val="pt-PT" w:eastAsia="en-AU"/>
              </w:rPr>
            </w:pPr>
            <w:r w:rsidRPr="008B567C">
              <w:rPr>
                <w:rFonts w:ascii="Arial Narrow" w:hAnsi="Arial Narrow"/>
                <w:b/>
                <w:bCs/>
                <w:snapToGrid/>
                <w:sz w:val="20"/>
                <w:lang w:val="pt-PT" w:eastAsia="en-AU"/>
              </w:rPr>
              <w:t>A: TIL vs ETN (direct)</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Any AE</w:t>
            </w:r>
          </w:p>
        </w:tc>
        <w:tc>
          <w:tcPr>
            <w:tcW w:w="1153" w:type="pct"/>
            <w:vAlign w:val="center"/>
          </w:tcPr>
          <w:p w:rsidR="00CC07DB" w:rsidRPr="00C725E4"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0.91 (0.79, 1.06)</w:t>
            </w:r>
          </w:p>
        </w:tc>
        <w:tc>
          <w:tcPr>
            <w:tcW w:w="1347" w:type="pct"/>
            <w:vAlign w:val="center"/>
          </w:tcPr>
          <w:p w:rsidR="00CC07DB" w:rsidRPr="00220C83" w:rsidRDefault="00CC07DB" w:rsidP="005A0854">
            <w:pPr>
              <w:snapToGrid w:val="0"/>
              <w:jc w:val="center"/>
              <w:rPr>
                <w:rFonts w:ascii="Arial Narrow" w:hAnsi="Arial Narrow"/>
                <w:i/>
                <w:iCs/>
                <w:snapToGrid/>
                <w:sz w:val="20"/>
                <w:lang w:eastAsia="en-AU"/>
              </w:rPr>
            </w:pPr>
            <w:r w:rsidRPr="000C138C">
              <w:rPr>
                <w:rFonts w:ascii="Arial Narrow" w:hAnsi="Arial Narrow"/>
                <w:i/>
                <w:iCs/>
                <w:snapToGrid/>
                <w:sz w:val="20"/>
                <w:lang w:eastAsia="en-AU"/>
              </w:rPr>
              <w:t>0.83 (0.61, 1.14)</w:t>
            </w:r>
          </w:p>
        </w:tc>
        <w:tc>
          <w:tcPr>
            <w:tcW w:w="1329" w:type="pct"/>
          </w:tcPr>
          <w:p w:rsidR="00CC07DB" w:rsidRPr="000C138C" w:rsidRDefault="00CC07DB" w:rsidP="005A0854">
            <w:pPr>
              <w:snapToGrid w:val="0"/>
              <w:jc w:val="center"/>
              <w:rPr>
                <w:rFonts w:ascii="Arial Narrow" w:hAnsi="Arial Narrow"/>
                <w:i/>
                <w:iCs/>
                <w:snapToGrid/>
                <w:sz w:val="20"/>
                <w:lang w:eastAsia="en-AU"/>
              </w:rPr>
            </w:pPr>
            <w:r w:rsidRPr="00220C83">
              <w:rPr>
                <w:rFonts w:ascii="Arial Narrow" w:hAnsi="Arial Narrow"/>
                <w:i/>
                <w:iCs/>
                <w:snapToGrid/>
                <w:sz w:val="20"/>
                <w:lang w:eastAsia="en-AU"/>
              </w:rPr>
              <w:t>-0.05 (-0.12, 0.03)</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Pr>
                <w:rFonts w:ascii="Arial Narrow" w:hAnsi="Arial Narrow"/>
                <w:snapToGrid/>
                <w:sz w:val="20"/>
                <w:lang w:eastAsia="en-AU"/>
              </w:rPr>
              <w:t>Serious AE</w:t>
            </w:r>
          </w:p>
        </w:tc>
        <w:tc>
          <w:tcPr>
            <w:tcW w:w="1153" w:type="pct"/>
            <w:vAlign w:val="center"/>
          </w:tcPr>
          <w:p w:rsidR="00CC07DB" w:rsidRPr="00C725E4"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0.85 (0.29, 2.51)</w:t>
            </w:r>
          </w:p>
        </w:tc>
        <w:tc>
          <w:tcPr>
            <w:tcW w:w="1347" w:type="pct"/>
            <w:vAlign w:val="center"/>
          </w:tcPr>
          <w:p w:rsidR="00CC07DB" w:rsidRPr="0088293C" w:rsidRDefault="00CC07DB" w:rsidP="005A0854">
            <w:pPr>
              <w:snapToGrid w:val="0"/>
              <w:jc w:val="center"/>
              <w:rPr>
                <w:rFonts w:ascii="Arial Narrow" w:hAnsi="Arial Narrow"/>
                <w:i/>
                <w:iCs/>
                <w:snapToGrid/>
                <w:sz w:val="20"/>
                <w:lang w:eastAsia="en-AU"/>
              </w:rPr>
            </w:pPr>
            <w:r w:rsidRPr="002C2DCA">
              <w:rPr>
                <w:rFonts w:ascii="Arial Narrow" w:hAnsi="Arial Narrow"/>
                <w:i/>
                <w:iCs/>
                <w:snapToGrid/>
                <w:sz w:val="20"/>
                <w:lang w:eastAsia="en-AU"/>
              </w:rPr>
              <w:t>0.85 (0.28, 2.56)</w:t>
            </w:r>
          </w:p>
        </w:tc>
        <w:tc>
          <w:tcPr>
            <w:tcW w:w="1329" w:type="pct"/>
          </w:tcPr>
          <w:p w:rsidR="00CC07DB" w:rsidRPr="002C2DCA"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-0.00 (-0.03, 0;02)</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Discontinuation due to AE</w:t>
            </w:r>
          </w:p>
        </w:tc>
        <w:tc>
          <w:tcPr>
            <w:tcW w:w="1153" w:type="pct"/>
            <w:vAlign w:val="center"/>
          </w:tcPr>
          <w:p w:rsidR="00CC07DB" w:rsidRPr="00C725E4"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0.50 (0.13, 1.98)</w:t>
            </w:r>
          </w:p>
        </w:tc>
        <w:tc>
          <w:tcPr>
            <w:tcW w:w="1347" w:type="pct"/>
            <w:vAlign w:val="center"/>
          </w:tcPr>
          <w:p w:rsidR="00CC07DB" w:rsidRPr="0088293C" w:rsidRDefault="00CC07DB" w:rsidP="005A0854">
            <w:pPr>
              <w:snapToGrid w:val="0"/>
              <w:jc w:val="center"/>
              <w:rPr>
                <w:rFonts w:ascii="Arial Narrow" w:hAnsi="Arial Narrow"/>
                <w:i/>
                <w:iCs/>
                <w:snapToGrid/>
                <w:sz w:val="20"/>
                <w:lang w:eastAsia="en-AU"/>
              </w:rPr>
            </w:pPr>
            <w:r w:rsidRPr="008A733B">
              <w:rPr>
                <w:rFonts w:ascii="Arial Narrow" w:hAnsi="Arial Narrow"/>
                <w:i/>
                <w:iCs/>
                <w:snapToGrid/>
                <w:sz w:val="20"/>
                <w:lang w:eastAsia="en-AU"/>
              </w:rPr>
              <w:t>0.49 (0.12, 1.99)</w:t>
            </w:r>
          </w:p>
        </w:tc>
        <w:tc>
          <w:tcPr>
            <w:tcW w:w="1329" w:type="pct"/>
          </w:tcPr>
          <w:p w:rsidR="00CC07DB" w:rsidRPr="008A733B"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-0.01 (-0.03, 0.01)</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Pr>
                <w:rFonts w:ascii="Arial Narrow" w:hAnsi="Arial Narrow"/>
                <w:sz w:val="20"/>
                <w:szCs w:val="20"/>
              </w:rPr>
              <w:t>Injection site reactions</w:t>
            </w:r>
          </w:p>
        </w:tc>
        <w:tc>
          <w:tcPr>
            <w:tcW w:w="1153" w:type="pct"/>
            <w:vAlign w:val="center"/>
          </w:tcPr>
          <w:p w:rsidR="00CC07DB" w:rsidRPr="00473A0E" w:rsidRDefault="00CC07DB" w:rsidP="005A0854">
            <w:pPr>
              <w:snapToGrid w:val="0"/>
              <w:jc w:val="center"/>
              <w:rPr>
                <w:rFonts w:ascii="Arial Narrow" w:hAnsi="Arial Narrow"/>
                <w:b/>
                <w:bCs/>
                <w:i/>
                <w:iCs/>
                <w:snapToGrid/>
                <w:sz w:val="20"/>
                <w:lang w:eastAsia="en-AU"/>
              </w:rPr>
            </w:pPr>
            <w:r w:rsidRPr="00473A0E">
              <w:rPr>
                <w:rFonts w:ascii="Arial Narrow" w:hAnsi="Arial Narrow"/>
                <w:b/>
                <w:bCs/>
                <w:i/>
                <w:iCs/>
                <w:snapToGrid/>
                <w:sz w:val="20"/>
                <w:lang w:eastAsia="en-AU"/>
              </w:rPr>
              <w:t>0.14 (0.03, 0.62)</w:t>
            </w:r>
          </w:p>
        </w:tc>
        <w:tc>
          <w:tcPr>
            <w:tcW w:w="1347" w:type="pct"/>
            <w:vAlign w:val="center"/>
          </w:tcPr>
          <w:p w:rsidR="00CC07DB" w:rsidRPr="00473A0E" w:rsidRDefault="00CC07DB" w:rsidP="005A0854">
            <w:pPr>
              <w:snapToGrid w:val="0"/>
              <w:jc w:val="center"/>
              <w:rPr>
                <w:rFonts w:ascii="Arial Narrow" w:hAnsi="Arial Narrow"/>
                <w:b/>
                <w:bCs/>
                <w:i/>
                <w:iCs/>
                <w:snapToGrid/>
                <w:sz w:val="20"/>
                <w:lang w:eastAsia="en-AU"/>
              </w:rPr>
            </w:pPr>
            <w:r w:rsidRPr="00AD7776">
              <w:rPr>
                <w:rFonts w:ascii="Arial Narrow" w:hAnsi="Arial Narrow"/>
                <w:b/>
                <w:bCs/>
                <w:i/>
                <w:iCs/>
                <w:snapToGrid/>
                <w:sz w:val="20"/>
                <w:lang w:eastAsia="en-AU"/>
              </w:rPr>
              <w:t>0.14 (0.03, 0.61)</w:t>
            </w:r>
          </w:p>
        </w:tc>
        <w:tc>
          <w:tcPr>
            <w:tcW w:w="1329" w:type="pct"/>
          </w:tcPr>
          <w:p w:rsidR="00CC07DB" w:rsidRPr="00AD7776" w:rsidRDefault="00CC07DB" w:rsidP="005A0854">
            <w:pPr>
              <w:snapToGrid w:val="0"/>
              <w:jc w:val="center"/>
              <w:rPr>
                <w:rFonts w:ascii="Arial Narrow" w:hAnsi="Arial Narrow"/>
                <w:b/>
                <w:bCs/>
                <w:i/>
                <w:iCs/>
                <w:snapToGrid/>
                <w:sz w:val="20"/>
                <w:lang w:eastAsia="en-AU"/>
              </w:rPr>
            </w:pPr>
            <w:r w:rsidRPr="00473A0E">
              <w:rPr>
                <w:rFonts w:ascii="Arial Narrow" w:hAnsi="Arial Narrow"/>
                <w:b/>
                <w:bCs/>
                <w:i/>
                <w:iCs/>
                <w:snapToGrid/>
                <w:sz w:val="20"/>
                <w:lang w:eastAsia="en-AU"/>
              </w:rPr>
              <w:t>-0.04 (-0.06, -0.01)</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Infections</w:t>
            </w:r>
          </w:p>
        </w:tc>
        <w:tc>
          <w:tcPr>
            <w:tcW w:w="1153" w:type="pct"/>
            <w:vAlign w:val="center"/>
          </w:tcPr>
          <w:p w:rsidR="00CC07DB" w:rsidRPr="00C725E4"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0.92 (0.69, 1.22)</w:t>
            </w:r>
          </w:p>
        </w:tc>
        <w:tc>
          <w:tcPr>
            <w:tcW w:w="1347" w:type="pct"/>
            <w:vAlign w:val="center"/>
          </w:tcPr>
          <w:p w:rsidR="00CC07DB" w:rsidRPr="0088293C" w:rsidRDefault="00CC07DB" w:rsidP="005A0854">
            <w:pPr>
              <w:snapToGrid w:val="0"/>
              <w:jc w:val="center"/>
              <w:rPr>
                <w:rFonts w:ascii="Arial Narrow" w:hAnsi="Arial Narrow"/>
                <w:i/>
                <w:iCs/>
                <w:snapToGrid/>
                <w:sz w:val="20"/>
                <w:lang w:eastAsia="en-AU"/>
              </w:rPr>
            </w:pPr>
            <w:r w:rsidRPr="00A94024">
              <w:rPr>
                <w:rFonts w:ascii="Arial Narrow" w:hAnsi="Arial Narrow"/>
                <w:i/>
                <w:iCs/>
                <w:snapToGrid/>
                <w:sz w:val="20"/>
                <w:lang w:eastAsia="en-AU"/>
              </w:rPr>
              <w:t>0.89 (0.61, 1.30)</w:t>
            </w:r>
          </w:p>
        </w:tc>
        <w:tc>
          <w:tcPr>
            <w:tcW w:w="1329" w:type="pct"/>
          </w:tcPr>
          <w:p w:rsidR="00CC07DB" w:rsidRPr="00A94024"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-0.02 (-0.09, 0.05)</w:t>
            </w:r>
          </w:p>
        </w:tc>
      </w:tr>
      <w:tr w:rsidR="00CC07DB" w:rsidRPr="00192E2C" w:rsidTr="005A0854">
        <w:tc>
          <w:tcPr>
            <w:tcW w:w="5000" w:type="pct"/>
            <w:gridSpan w:val="4"/>
            <w:vAlign w:val="center"/>
          </w:tcPr>
          <w:p w:rsidR="00CC07DB" w:rsidRPr="00192E2C" w:rsidRDefault="00CC07DB" w:rsidP="005A0854">
            <w:pPr>
              <w:snapToGrid w:val="0"/>
              <w:jc w:val="left"/>
              <w:rPr>
                <w:rFonts w:ascii="Arial Narrow" w:hAnsi="Arial Narrow"/>
                <w:snapToGrid/>
                <w:sz w:val="20"/>
                <w:lang w:eastAsia="en-AU"/>
              </w:rPr>
            </w:pPr>
            <w:r>
              <w:rPr>
                <w:rFonts w:ascii="Arial Narrow" w:hAnsi="Arial Narrow"/>
                <w:b/>
                <w:snapToGrid/>
                <w:sz w:val="20"/>
                <w:lang w:eastAsia="en-AU"/>
              </w:rPr>
              <w:t>B: TIL vs UST all doses</w:t>
            </w:r>
            <w:r w:rsidRPr="00192E2C">
              <w:rPr>
                <w:rFonts w:ascii="Arial Narrow" w:hAnsi="Arial Narrow"/>
                <w:b/>
                <w:snapToGrid/>
                <w:sz w:val="20"/>
                <w:lang w:eastAsia="en-AU"/>
              </w:rPr>
              <w:t xml:space="preserve"> (indirect via ETN)</w:t>
            </w:r>
          </w:p>
        </w:tc>
      </w:tr>
      <w:tr w:rsidR="00CC07DB" w:rsidRPr="00CB4479" w:rsidTr="005A0854">
        <w:tc>
          <w:tcPr>
            <w:tcW w:w="1171" w:type="pct"/>
            <w:vAlign w:val="center"/>
          </w:tcPr>
          <w:p w:rsidR="00CC07DB" w:rsidRPr="00192E2C"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Any AE</w:t>
            </w:r>
          </w:p>
        </w:tc>
        <w:tc>
          <w:tcPr>
            <w:tcW w:w="1153" w:type="pct"/>
            <w:vAlign w:val="center"/>
          </w:tcPr>
          <w:p w:rsidR="00CC07DB" w:rsidRPr="00192E2C"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0.94 (0.79, 1.11)</w:t>
            </w:r>
          </w:p>
        </w:tc>
        <w:tc>
          <w:tcPr>
            <w:tcW w:w="1347" w:type="pct"/>
            <w:vAlign w:val="center"/>
          </w:tcPr>
          <w:p w:rsidR="00CC07DB" w:rsidRPr="00192E2C" w:rsidRDefault="00CC07DB" w:rsidP="005A0854">
            <w:pPr>
              <w:snapToGrid w:val="0"/>
              <w:jc w:val="center"/>
              <w:rPr>
                <w:rFonts w:ascii="Arial Narrow" w:hAnsi="Arial Narrow"/>
                <w:i/>
                <w:iCs/>
                <w:snapToGrid/>
                <w:sz w:val="20"/>
                <w:lang w:eastAsia="en-AU"/>
              </w:rPr>
            </w:pPr>
            <w:r w:rsidRPr="003236BD">
              <w:rPr>
                <w:rFonts w:ascii="Arial Narrow" w:hAnsi="Arial Narrow"/>
                <w:i/>
                <w:iCs/>
                <w:snapToGrid/>
                <w:sz w:val="20"/>
                <w:lang w:eastAsia="en-AU"/>
              </w:rPr>
              <w:t>0.9</w:t>
            </w:r>
            <w:r>
              <w:rPr>
                <w:rFonts w:ascii="Arial Narrow" w:hAnsi="Arial Narrow"/>
                <w:i/>
                <w:iCs/>
                <w:snapToGrid/>
                <w:sz w:val="20"/>
                <w:lang w:eastAsia="en-AU"/>
              </w:rPr>
              <w:t>1</w:t>
            </w:r>
            <w:r w:rsidRPr="003236BD">
              <w:rPr>
                <w:rFonts w:ascii="Arial Narrow" w:hAnsi="Arial Narrow"/>
                <w:i/>
                <w:iCs/>
                <w:snapToGrid/>
                <w:sz w:val="20"/>
                <w:lang w:eastAsia="en-AU"/>
              </w:rPr>
              <w:t xml:space="preserve"> (0.6</w:t>
            </w:r>
            <w:r>
              <w:rPr>
                <w:rFonts w:ascii="Arial Narrow" w:hAnsi="Arial Narrow"/>
                <w:i/>
                <w:iCs/>
                <w:snapToGrid/>
                <w:sz w:val="20"/>
                <w:lang w:eastAsia="en-AU"/>
              </w:rPr>
              <w:t>0</w:t>
            </w:r>
            <w:r w:rsidRPr="003236BD">
              <w:rPr>
                <w:rFonts w:ascii="Arial Narrow" w:hAnsi="Arial Narrow"/>
                <w:i/>
                <w:iCs/>
                <w:snapToGrid/>
                <w:sz w:val="20"/>
                <w:lang w:eastAsia="en-AU"/>
              </w:rPr>
              <w:t>, 1.4</w:t>
            </w:r>
            <w:r>
              <w:rPr>
                <w:rFonts w:ascii="Arial Narrow" w:hAnsi="Arial Narrow"/>
                <w:i/>
                <w:iCs/>
                <w:snapToGrid/>
                <w:sz w:val="20"/>
                <w:lang w:eastAsia="en-AU"/>
              </w:rPr>
              <w:t>0</w:t>
            </w:r>
            <w:r w:rsidRPr="003236BD">
              <w:rPr>
                <w:rFonts w:ascii="Arial Narrow" w:hAnsi="Arial Narrow"/>
                <w:i/>
                <w:iCs/>
                <w:snapToGrid/>
                <w:sz w:val="20"/>
                <w:lang w:eastAsia="en-AU"/>
              </w:rPr>
              <w:t>)</w:t>
            </w:r>
          </w:p>
        </w:tc>
        <w:tc>
          <w:tcPr>
            <w:tcW w:w="1329" w:type="pct"/>
          </w:tcPr>
          <w:p w:rsidR="00CC07DB" w:rsidRPr="003236BD"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-0.03 (-0.13, 0.07)</w:t>
            </w:r>
          </w:p>
        </w:tc>
      </w:tr>
      <w:tr w:rsidR="00CC07DB" w:rsidRPr="00CB4479" w:rsidTr="005A0854">
        <w:tc>
          <w:tcPr>
            <w:tcW w:w="1171" w:type="pct"/>
            <w:vAlign w:val="center"/>
          </w:tcPr>
          <w:p w:rsidR="00CC07DB" w:rsidRPr="00CB4479" w:rsidRDefault="00CC07DB" w:rsidP="005A0854">
            <w:pPr>
              <w:snapToGrid w:val="0"/>
              <w:jc w:val="left"/>
              <w:rPr>
                <w:rFonts w:ascii="Arial Narrow" w:hAnsi="Arial Narrow"/>
                <w:snapToGrid/>
                <w:sz w:val="20"/>
                <w:lang w:val="pt-PT" w:eastAsia="en-AU"/>
              </w:rPr>
            </w:pPr>
            <w:r w:rsidRPr="00C725E4">
              <w:rPr>
                <w:rFonts w:ascii="Arial Narrow" w:hAnsi="Arial Narrow"/>
                <w:snapToGrid/>
                <w:sz w:val="20"/>
                <w:lang w:eastAsia="en-AU"/>
              </w:rPr>
              <w:t>Serious AE</w:t>
            </w:r>
          </w:p>
        </w:tc>
        <w:tc>
          <w:tcPr>
            <w:tcW w:w="1153" w:type="pct"/>
            <w:vAlign w:val="center"/>
          </w:tcPr>
          <w:p w:rsidR="00CC07DB" w:rsidRPr="00CB4479" w:rsidRDefault="00CC07DB" w:rsidP="005A0854">
            <w:pPr>
              <w:snapToGrid w:val="0"/>
              <w:jc w:val="center"/>
              <w:rPr>
                <w:rFonts w:ascii="Arial Narrow" w:hAnsi="Arial Narrow"/>
                <w:i/>
                <w:iCs/>
                <w:snapToGrid/>
                <w:sz w:val="20"/>
                <w:lang w:val="pt-PT" w:eastAsia="en-AU"/>
              </w:rPr>
            </w:pPr>
            <w:r>
              <w:rPr>
                <w:rFonts w:ascii="Arial Narrow" w:hAnsi="Arial Narrow"/>
                <w:i/>
                <w:iCs/>
                <w:snapToGrid/>
                <w:sz w:val="20"/>
                <w:lang w:val="pt-PT" w:eastAsia="en-AU"/>
              </w:rPr>
              <w:t>0.68 (0.14, 3.39)</w:t>
            </w:r>
          </w:p>
        </w:tc>
        <w:tc>
          <w:tcPr>
            <w:tcW w:w="1347" w:type="pct"/>
            <w:vAlign w:val="center"/>
          </w:tcPr>
          <w:p w:rsidR="00CC07DB" w:rsidRPr="00CB4479" w:rsidRDefault="00CC07DB" w:rsidP="005A0854">
            <w:pPr>
              <w:snapToGrid w:val="0"/>
              <w:jc w:val="center"/>
              <w:rPr>
                <w:rFonts w:ascii="Arial Narrow" w:hAnsi="Arial Narrow"/>
                <w:i/>
                <w:iCs/>
                <w:snapToGrid/>
                <w:sz w:val="20"/>
                <w:lang w:val="pt-PT" w:eastAsia="en-AU"/>
              </w:rPr>
            </w:pPr>
            <w:r>
              <w:rPr>
                <w:rFonts w:ascii="Arial Narrow" w:hAnsi="Arial Narrow"/>
                <w:i/>
                <w:iCs/>
                <w:snapToGrid/>
                <w:sz w:val="20"/>
                <w:lang w:val="pt-PT" w:eastAsia="en-AU"/>
              </w:rPr>
              <w:t>0.68 (0.13, 3.51)</w:t>
            </w:r>
          </w:p>
        </w:tc>
        <w:tc>
          <w:tcPr>
            <w:tcW w:w="1329" w:type="pct"/>
          </w:tcPr>
          <w:p w:rsidR="00CC07DB" w:rsidRPr="00A03C81" w:rsidRDefault="00CC07DB" w:rsidP="005A0854">
            <w:pPr>
              <w:snapToGrid w:val="0"/>
              <w:jc w:val="center"/>
              <w:rPr>
                <w:rFonts w:ascii="Arial Narrow" w:hAnsi="Arial Narrow"/>
                <w:i/>
                <w:iCs/>
                <w:snapToGrid/>
                <w:sz w:val="20"/>
                <w:lang w:val="pt-PT" w:eastAsia="en-AU"/>
              </w:rPr>
            </w:pPr>
            <w:r>
              <w:rPr>
                <w:rFonts w:ascii="Arial Narrow" w:hAnsi="Arial Narrow"/>
                <w:i/>
                <w:iCs/>
                <w:snapToGrid/>
                <w:sz w:val="20"/>
                <w:lang w:val="pt-PT" w:eastAsia="en-AU"/>
              </w:rPr>
              <w:t>0 (-0.03, 0.03)</w:t>
            </w:r>
          </w:p>
        </w:tc>
      </w:tr>
      <w:tr w:rsidR="00CC07DB" w:rsidRPr="00CB4479"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Discontinuation due to AE</w:t>
            </w:r>
          </w:p>
        </w:tc>
        <w:tc>
          <w:tcPr>
            <w:tcW w:w="1153" w:type="pct"/>
            <w:vAlign w:val="center"/>
          </w:tcPr>
          <w:p w:rsidR="00CC07DB" w:rsidRDefault="00CC07DB" w:rsidP="005A0854">
            <w:pPr>
              <w:snapToGrid w:val="0"/>
              <w:jc w:val="center"/>
              <w:rPr>
                <w:rFonts w:ascii="Arial Narrow" w:hAnsi="Arial Narrow"/>
                <w:i/>
                <w:iCs/>
                <w:snapToGrid/>
                <w:sz w:val="20"/>
                <w:lang w:val="pt-PT" w:eastAsia="en-AU"/>
              </w:rPr>
            </w:pPr>
            <w:r>
              <w:rPr>
                <w:rFonts w:ascii="Arial Narrow" w:hAnsi="Arial Narrow"/>
                <w:i/>
                <w:iCs/>
                <w:snapToGrid/>
                <w:sz w:val="20"/>
                <w:lang w:val="pt-PT" w:eastAsia="en-AU"/>
              </w:rPr>
              <w:t>0.81 (0.15, 4.28)</w:t>
            </w:r>
          </w:p>
        </w:tc>
        <w:tc>
          <w:tcPr>
            <w:tcW w:w="1347" w:type="pct"/>
            <w:vAlign w:val="center"/>
          </w:tcPr>
          <w:p w:rsidR="00CC07DB" w:rsidRDefault="00CC07DB" w:rsidP="005A0854">
            <w:pPr>
              <w:snapToGrid w:val="0"/>
              <w:jc w:val="center"/>
              <w:rPr>
                <w:rFonts w:ascii="Arial Narrow" w:hAnsi="Arial Narrow"/>
                <w:i/>
                <w:iCs/>
                <w:snapToGrid/>
                <w:sz w:val="20"/>
                <w:lang w:val="pt-PT" w:eastAsia="en-AU"/>
              </w:rPr>
            </w:pPr>
            <w:r>
              <w:rPr>
                <w:rFonts w:ascii="Arial Narrow" w:hAnsi="Arial Narrow"/>
                <w:i/>
                <w:iCs/>
                <w:snapToGrid/>
                <w:sz w:val="20"/>
                <w:lang w:val="pt-PT" w:eastAsia="en-AU"/>
              </w:rPr>
              <w:t>0.79</w:t>
            </w:r>
            <w:r w:rsidRPr="00A03C81">
              <w:rPr>
                <w:rFonts w:ascii="Arial Narrow" w:hAnsi="Arial Narrow"/>
                <w:i/>
                <w:iCs/>
                <w:snapToGrid/>
                <w:sz w:val="20"/>
                <w:lang w:val="pt-PT" w:eastAsia="en-AU"/>
              </w:rPr>
              <w:t xml:space="preserve"> (0.1</w:t>
            </w:r>
            <w:r>
              <w:rPr>
                <w:rFonts w:ascii="Arial Narrow" w:hAnsi="Arial Narrow"/>
                <w:i/>
                <w:iCs/>
                <w:snapToGrid/>
                <w:sz w:val="20"/>
                <w:lang w:val="pt-PT" w:eastAsia="en-AU"/>
              </w:rPr>
              <w:t>4</w:t>
            </w:r>
            <w:r w:rsidRPr="00A03C81">
              <w:rPr>
                <w:rFonts w:ascii="Arial Narrow" w:hAnsi="Arial Narrow"/>
                <w:i/>
                <w:iCs/>
                <w:snapToGrid/>
                <w:sz w:val="20"/>
                <w:lang w:val="pt-PT" w:eastAsia="en-AU"/>
              </w:rPr>
              <w:t>, 4.4</w:t>
            </w:r>
            <w:r>
              <w:rPr>
                <w:rFonts w:ascii="Arial Narrow" w:hAnsi="Arial Narrow"/>
                <w:i/>
                <w:iCs/>
                <w:snapToGrid/>
                <w:sz w:val="20"/>
                <w:lang w:val="pt-PT" w:eastAsia="en-AU"/>
              </w:rPr>
              <w:t>0</w:t>
            </w:r>
            <w:r w:rsidRPr="00A03C81">
              <w:rPr>
                <w:rFonts w:ascii="Arial Narrow" w:hAnsi="Arial Narrow"/>
                <w:i/>
                <w:iCs/>
                <w:snapToGrid/>
                <w:sz w:val="20"/>
                <w:lang w:val="pt-PT" w:eastAsia="en-AU"/>
              </w:rPr>
              <w:t>)</w:t>
            </w:r>
          </w:p>
        </w:tc>
        <w:tc>
          <w:tcPr>
            <w:tcW w:w="1329" w:type="pct"/>
          </w:tcPr>
          <w:p w:rsidR="00CC07DB" w:rsidRPr="00A03C81" w:rsidRDefault="00CC07DB" w:rsidP="005A0854">
            <w:pPr>
              <w:snapToGrid w:val="0"/>
              <w:jc w:val="center"/>
              <w:rPr>
                <w:rFonts w:ascii="Arial Narrow" w:hAnsi="Arial Narrow"/>
                <w:i/>
                <w:iCs/>
                <w:snapToGrid/>
                <w:sz w:val="20"/>
                <w:lang w:val="pt-PT" w:eastAsia="en-AU"/>
              </w:rPr>
            </w:pPr>
            <w:r>
              <w:rPr>
                <w:rFonts w:ascii="Arial Narrow" w:hAnsi="Arial Narrow"/>
                <w:i/>
                <w:iCs/>
                <w:snapToGrid/>
                <w:sz w:val="20"/>
                <w:lang w:val="pt-PT" w:eastAsia="en-AU"/>
              </w:rPr>
              <w:t>0 (-0.03, 0.03)</w:t>
            </w:r>
          </w:p>
        </w:tc>
      </w:tr>
      <w:tr w:rsidR="00CC07DB" w:rsidRPr="005422E9" w:rsidTr="005A0854">
        <w:tc>
          <w:tcPr>
            <w:tcW w:w="1171" w:type="pct"/>
            <w:vAlign w:val="center"/>
          </w:tcPr>
          <w:p w:rsidR="00CC07DB" w:rsidRPr="00CB4479" w:rsidRDefault="00CC07DB" w:rsidP="005A0854">
            <w:pPr>
              <w:snapToGrid w:val="0"/>
              <w:jc w:val="left"/>
              <w:rPr>
                <w:rFonts w:ascii="Arial Narrow" w:hAnsi="Arial Narrow"/>
                <w:snapToGrid/>
                <w:sz w:val="20"/>
                <w:lang w:val="pt-PT" w:eastAsia="en-AU"/>
              </w:rPr>
            </w:pPr>
            <w:r>
              <w:rPr>
                <w:rFonts w:ascii="Arial Narrow" w:hAnsi="Arial Narrow"/>
                <w:sz w:val="20"/>
                <w:szCs w:val="20"/>
              </w:rPr>
              <w:t>Injection site reactions</w:t>
            </w:r>
          </w:p>
        </w:tc>
        <w:tc>
          <w:tcPr>
            <w:tcW w:w="1153" w:type="pct"/>
            <w:vAlign w:val="center"/>
          </w:tcPr>
          <w:p w:rsidR="00CC07DB" w:rsidRPr="00142F84"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0.88</w:t>
            </w:r>
            <w:r w:rsidRPr="00142F84">
              <w:rPr>
                <w:rFonts w:ascii="Arial Narrow" w:hAnsi="Arial Narrow"/>
                <w:i/>
                <w:iCs/>
                <w:snapToGrid/>
                <w:sz w:val="20"/>
                <w:lang w:eastAsia="en-AU"/>
              </w:rPr>
              <w:t xml:space="preserve"> (0.18, 4.26)</w:t>
            </w:r>
          </w:p>
        </w:tc>
        <w:tc>
          <w:tcPr>
            <w:tcW w:w="1347" w:type="pct"/>
            <w:vAlign w:val="center"/>
          </w:tcPr>
          <w:p w:rsidR="00CC07DB" w:rsidRPr="00142F84" w:rsidRDefault="00CC07DB" w:rsidP="005A0854">
            <w:pPr>
              <w:snapToGrid w:val="0"/>
              <w:jc w:val="center"/>
              <w:rPr>
                <w:rFonts w:ascii="Arial Narrow" w:hAnsi="Arial Narrow"/>
                <w:b/>
                <w:bCs/>
                <w:i/>
                <w:iCs/>
                <w:snapToGrid/>
                <w:sz w:val="20"/>
                <w:lang w:eastAsia="en-AU"/>
              </w:rPr>
            </w:pPr>
            <w:r w:rsidRPr="000C3B82">
              <w:rPr>
                <w:rFonts w:ascii="Arial Narrow" w:hAnsi="Arial Narrow"/>
                <w:i/>
                <w:iCs/>
                <w:snapToGrid/>
                <w:sz w:val="20"/>
                <w:lang w:eastAsia="en-AU"/>
              </w:rPr>
              <w:t>1.08 (0.22, 5.20)</w:t>
            </w:r>
          </w:p>
        </w:tc>
        <w:tc>
          <w:tcPr>
            <w:tcW w:w="1329" w:type="pct"/>
          </w:tcPr>
          <w:p w:rsidR="00CC07DB" w:rsidRPr="00142F84" w:rsidRDefault="00CC07DB" w:rsidP="005A0854">
            <w:pPr>
              <w:snapToGrid w:val="0"/>
              <w:jc w:val="center"/>
              <w:rPr>
                <w:rFonts w:ascii="Arial Narrow" w:hAnsi="Arial Narrow"/>
                <w:i/>
                <w:iCs/>
                <w:snapToGrid/>
                <w:sz w:val="20"/>
                <w:lang w:eastAsia="en-AU"/>
              </w:rPr>
            </w:pPr>
            <w:r w:rsidRPr="000C3B82">
              <w:rPr>
                <w:rFonts w:ascii="Arial Narrow" w:hAnsi="Arial Narrow"/>
                <w:b/>
                <w:bCs/>
                <w:i/>
                <w:iCs/>
                <w:snapToGrid/>
                <w:sz w:val="20"/>
                <w:lang w:eastAsia="en-AU"/>
              </w:rPr>
              <w:t>0.17 (0.11, 0.23)</w:t>
            </w:r>
          </w:p>
        </w:tc>
      </w:tr>
      <w:tr w:rsidR="00CC07DB" w:rsidRPr="00CB4479" w:rsidTr="005A0854">
        <w:tc>
          <w:tcPr>
            <w:tcW w:w="1171" w:type="pct"/>
            <w:vAlign w:val="center"/>
          </w:tcPr>
          <w:p w:rsidR="00CC07DB" w:rsidRPr="00142F8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Infections</w:t>
            </w:r>
          </w:p>
        </w:tc>
        <w:tc>
          <w:tcPr>
            <w:tcW w:w="1153" w:type="pct"/>
            <w:vAlign w:val="center"/>
          </w:tcPr>
          <w:p w:rsidR="00CC07DB" w:rsidRPr="001338D0"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0.89 (0.63, 1.27)</w:t>
            </w:r>
          </w:p>
        </w:tc>
        <w:tc>
          <w:tcPr>
            <w:tcW w:w="1347" w:type="pct"/>
            <w:vAlign w:val="center"/>
          </w:tcPr>
          <w:p w:rsidR="00CC07DB" w:rsidRPr="001338D0" w:rsidRDefault="00CC07DB" w:rsidP="005A0854">
            <w:pPr>
              <w:snapToGrid w:val="0"/>
              <w:jc w:val="center"/>
              <w:rPr>
                <w:rFonts w:ascii="Arial Narrow" w:hAnsi="Arial Narrow"/>
                <w:i/>
                <w:iCs/>
                <w:snapToGrid/>
                <w:sz w:val="20"/>
                <w:lang w:eastAsia="en-AU"/>
              </w:rPr>
            </w:pPr>
            <w:r w:rsidRPr="002F6218">
              <w:rPr>
                <w:rFonts w:ascii="Arial Narrow" w:hAnsi="Arial Narrow"/>
                <w:i/>
                <w:iCs/>
                <w:snapToGrid/>
                <w:sz w:val="20"/>
                <w:lang w:eastAsia="en-AU"/>
              </w:rPr>
              <w:t>0.8</w:t>
            </w:r>
            <w:r>
              <w:rPr>
                <w:rFonts w:ascii="Arial Narrow" w:hAnsi="Arial Narrow"/>
                <w:i/>
                <w:iCs/>
                <w:snapToGrid/>
                <w:sz w:val="20"/>
                <w:lang w:eastAsia="en-AU"/>
              </w:rPr>
              <w:t>5</w:t>
            </w:r>
            <w:r w:rsidRPr="002F6218">
              <w:rPr>
                <w:rFonts w:ascii="Arial Narrow" w:hAnsi="Arial Narrow"/>
                <w:i/>
                <w:iCs/>
                <w:snapToGrid/>
                <w:sz w:val="20"/>
                <w:lang w:eastAsia="en-AU"/>
              </w:rPr>
              <w:t xml:space="preserve"> (0.5</w:t>
            </w:r>
            <w:r>
              <w:rPr>
                <w:rFonts w:ascii="Arial Narrow" w:hAnsi="Arial Narrow"/>
                <w:i/>
                <w:iCs/>
                <w:snapToGrid/>
                <w:sz w:val="20"/>
                <w:lang w:eastAsia="en-AU"/>
              </w:rPr>
              <w:t>3, 1.37</w:t>
            </w:r>
            <w:r w:rsidRPr="002F6218">
              <w:rPr>
                <w:rFonts w:ascii="Arial Narrow" w:hAnsi="Arial Narrow"/>
                <w:i/>
                <w:iCs/>
                <w:snapToGrid/>
                <w:sz w:val="20"/>
                <w:lang w:eastAsia="en-AU"/>
              </w:rPr>
              <w:t>)</w:t>
            </w:r>
          </w:p>
        </w:tc>
        <w:tc>
          <w:tcPr>
            <w:tcW w:w="1329" w:type="pct"/>
          </w:tcPr>
          <w:p w:rsidR="00CC07DB" w:rsidRPr="002F6218"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-0.03 (-0.12, 0.06)</w:t>
            </w:r>
          </w:p>
        </w:tc>
      </w:tr>
      <w:tr w:rsidR="00CC07DB" w:rsidRPr="00C725E4" w:rsidTr="005A0854">
        <w:tc>
          <w:tcPr>
            <w:tcW w:w="5000" w:type="pct"/>
            <w:gridSpan w:val="4"/>
            <w:vAlign w:val="center"/>
          </w:tcPr>
          <w:p w:rsidR="00CC07DB" w:rsidRPr="00C725E4" w:rsidRDefault="00CC07DB" w:rsidP="005A0854">
            <w:pPr>
              <w:snapToGrid w:val="0"/>
              <w:jc w:val="left"/>
              <w:rPr>
                <w:rFonts w:ascii="Arial Narrow" w:hAnsi="Arial Narrow"/>
                <w:snapToGrid/>
                <w:sz w:val="20"/>
                <w:lang w:eastAsia="en-AU"/>
              </w:rPr>
            </w:pPr>
            <w:r>
              <w:rPr>
                <w:rFonts w:ascii="Arial Narrow" w:hAnsi="Arial Narrow"/>
                <w:b/>
                <w:snapToGrid/>
                <w:sz w:val="20"/>
                <w:lang w:eastAsia="en-AU"/>
              </w:rPr>
              <w:t>C: TIL vs UST all doses (indirect via PBO)</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Any AE</w:t>
            </w:r>
          </w:p>
        </w:tc>
        <w:tc>
          <w:tcPr>
            <w:tcW w:w="1153" w:type="pct"/>
            <w:vAlign w:val="center"/>
          </w:tcPr>
          <w:p w:rsidR="00CC07DB" w:rsidRPr="00357258" w:rsidRDefault="00CC07DB" w:rsidP="005A0854">
            <w:pPr>
              <w:snapToGrid w:val="0"/>
              <w:jc w:val="center"/>
              <w:rPr>
                <w:rFonts w:ascii="Arial Narrow" w:hAnsi="Arial Narrow"/>
                <w:b/>
                <w:bCs/>
                <w:i/>
                <w:iCs/>
                <w:snapToGrid/>
                <w:sz w:val="20"/>
                <w:highlight w:val="cyan"/>
                <w:lang w:eastAsia="en-AU"/>
              </w:rPr>
            </w:pPr>
            <w:r w:rsidRPr="00357258">
              <w:rPr>
                <w:rFonts w:ascii="Arial Narrow" w:hAnsi="Arial Narrow"/>
                <w:b/>
                <w:bCs/>
                <w:i/>
                <w:iCs/>
                <w:snapToGrid/>
                <w:sz w:val="20"/>
                <w:lang w:eastAsia="en-AU"/>
              </w:rPr>
              <w:t>0.8</w:t>
            </w:r>
            <w:r>
              <w:rPr>
                <w:rFonts w:ascii="Arial Narrow" w:hAnsi="Arial Narrow"/>
                <w:b/>
                <w:bCs/>
                <w:i/>
                <w:iCs/>
                <w:snapToGrid/>
                <w:sz w:val="20"/>
                <w:lang w:eastAsia="en-AU"/>
              </w:rPr>
              <w:t>5</w:t>
            </w:r>
            <w:r w:rsidRPr="00357258">
              <w:rPr>
                <w:rFonts w:ascii="Arial Narrow" w:hAnsi="Arial Narrow"/>
                <w:b/>
                <w:bCs/>
                <w:i/>
                <w:iCs/>
                <w:snapToGrid/>
                <w:sz w:val="20"/>
                <w:lang w:eastAsia="en-AU"/>
              </w:rPr>
              <w:t xml:space="preserve"> (0.7</w:t>
            </w:r>
            <w:r>
              <w:rPr>
                <w:rFonts w:ascii="Arial Narrow" w:hAnsi="Arial Narrow"/>
                <w:b/>
                <w:bCs/>
                <w:i/>
                <w:iCs/>
                <w:snapToGrid/>
                <w:sz w:val="20"/>
                <w:lang w:eastAsia="en-AU"/>
              </w:rPr>
              <w:t>4</w:t>
            </w:r>
            <w:r w:rsidRPr="00357258">
              <w:rPr>
                <w:rFonts w:ascii="Arial Narrow" w:hAnsi="Arial Narrow"/>
                <w:b/>
                <w:bCs/>
                <w:i/>
                <w:iCs/>
                <w:snapToGrid/>
                <w:sz w:val="20"/>
                <w:lang w:eastAsia="en-AU"/>
              </w:rPr>
              <w:t xml:space="preserve">, 0.97) </w:t>
            </w:r>
          </w:p>
        </w:tc>
        <w:tc>
          <w:tcPr>
            <w:tcW w:w="1347" w:type="pct"/>
            <w:vAlign w:val="center"/>
          </w:tcPr>
          <w:p w:rsidR="00CC07DB" w:rsidRPr="00D80E2E" w:rsidRDefault="00CC07DB" w:rsidP="005A0854">
            <w:pPr>
              <w:snapToGrid w:val="0"/>
              <w:jc w:val="center"/>
              <w:rPr>
                <w:rFonts w:ascii="Arial Narrow" w:hAnsi="Arial Narrow"/>
                <w:b/>
                <w:bCs/>
                <w:i/>
                <w:iCs/>
                <w:snapToGrid/>
                <w:sz w:val="20"/>
                <w:lang w:eastAsia="en-AU"/>
              </w:rPr>
            </w:pPr>
            <w:r w:rsidRPr="008A7953">
              <w:rPr>
                <w:rFonts w:ascii="Arial Narrow" w:hAnsi="Arial Narrow"/>
                <w:b/>
                <w:bCs/>
                <w:i/>
                <w:iCs/>
                <w:snapToGrid/>
                <w:sz w:val="20"/>
                <w:lang w:eastAsia="en-AU"/>
              </w:rPr>
              <w:t>0.7</w:t>
            </w:r>
            <w:r>
              <w:rPr>
                <w:rFonts w:ascii="Arial Narrow" w:hAnsi="Arial Narrow"/>
                <w:b/>
                <w:bCs/>
                <w:i/>
                <w:iCs/>
                <w:snapToGrid/>
                <w:sz w:val="20"/>
                <w:lang w:eastAsia="en-AU"/>
              </w:rPr>
              <w:t>0</w:t>
            </w:r>
            <w:r w:rsidRPr="008A7953">
              <w:rPr>
                <w:rFonts w:ascii="Arial Narrow" w:hAnsi="Arial Narrow"/>
                <w:b/>
                <w:bCs/>
                <w:i/>
                <w:iCs/>
                <w:snapToGrid/>
                <w:sz w:val="20"/>
                <w:lang w:eastAsia="en-AU"/>
              </w:rPr>
              <w:t xml:space="preserve"> (0.5</w:t>
            </w:r>
            <w:r>
              <w:rPr>
                <w:rFonts w:ascii="Arial Narrow" w:hAnsi="Arial Narrow"/>
                <w:b/>
                <w:bCs/>
                <w:i/>
                <w:iCs/>
                <w:snapToGrid/>
                <w:sz w:val="20"/>
                <w:lang w:eastAsia="en-AU"/>
              </w:rPr>
              <w:t>2</w:t>
            </w:r>
            <w:r w:rsidRPr="008A7953">
              <w:rPr>
                <w:rFonts w:ascii="Arial Narrow" w:hAnsi="Arial Narrow"/>
                <w:b/>
                <w:bCs/>
                <w:i/>
                <w:iCs/>
                <w:snapToGrid/>
                <w:sz w:val="20"/>
                <w:lang w:eastAsia="en-AU"/>
              </w:rPr>
              <w:t>, 0.9</w:t>
            </w:r>
            <w:r>
              <w:rPr>
                <w:rFonts w:ascii="Arial Narrow" w:hAnsi="Arial Narrow"/>
                <w:b/>
                <w:bCs/>
                <w:i/>
                <w:iCs/>
                <w:snapToGrid/>
                <w:sz w:val="20"/>
                <w:lang w:eastAsia="en-AU"/>
              </w:rPr>
              <w:t>3</w:t>
            </w:r>
            <w:r w:rsidRPr="008A7953">
              <w:rPr>
                <w:rFonts w:ascii="Arial Narrow" w:hAnsi="Arial Narrow"/>
                <w:b/>
                <w:bCs/>
                <w:i/>
                <w:iCs/>
                <w:snapToGrid/>
                <w:sz w:val="20"/>
                <w:lang w:eastAsia="en-AU"/>
              </w:rPr>
              <w:t>)</w:t>
            </w:r>
          </w:p>
        </w:tc>
        <w:tc>
          <w:tcPr>
            <w:tcW w:w="1329" w:type="pct"/>
          </w:tcPr>
          <w:p w:rsidR="00CC07DB" w:rsidRPr="008A7953" w:rsidRDefault="00CC07DB" w:rsidP="005A0854">
            <w:pPr>
              <w:snapToGrid w:val="0"/>
              <w:jc w:val="center"/>
              <w:rPr>
                <w:rFonts w:ascii="Arial Narrow" w:hAnsi="Arial Narrow"/>
                <w:b/>
                <w:bCs/>
                <w:i/>
                <w:iCs/>
                <w:snapToGrid/>
                <w:sz w:val="20"/>
                <w:lang w:eastAsia="en-AU"/>
              </w:rPr>
            </w:pPr>
            <w:r>
              <w:rPr>
                <w:rFonts w:ascii="Arial Narrow" w:hAnsi="Arial Narrow"/>
                <w:b/>
                <w:bCs/>
                <w:i/>
                <w:iCs/>
                <w:snapToGrid/>
                <w:sz w:val="20"/>
                <w:lang w:eastAsia="en-AU"/>
              </w:rPr>
              <w:t>-0.09</w:t>
            </w:r>
            <w:r w:rsidRPr="00D80E2E">
              <w:rPr>
                <w:rFonts w:ascii="Arial Narrow" w:hAnsi="Arial Narrow"/>
                <w:b/>
                <w:bCs/>
                <w:i/>
                <w:iCs/>
                <w:snapToGrid/>
                <w:sz w:val="20"/>
                <w:lang w:eastAsia="en-AU"/>
              </w:rPr>
              <w:t xml:space="preserve"> (</w:t>
            </w:r>
            <w:r>
              <w:rPr>
                <w:rFonts w:ascii="Arial Narrow" w:hAnsi="Arial Narrow"/>
                <w:b/>
                <w:bCs/>
                <w:i/>
                <w:iCs/>
                <w:snapToGrid/>
                <w:sz w:val="20"/>
                <w:lang w:eastAsia="en-AU"/>
              </w:rPr>
              <w:t>-0.16</w:t>
            </w:r>
            <w:r w:rsidRPr="00D80E2E">
              <w:rPr>
                <w:rFonts w:ascii="Arial Narrow" w:hAnsi="Arial Narrow"/>
                <w:b/>
                <w:bCs/>
                <w:i/>
                <w:iCs/>
                <w:snapToGrid/>
                <w:sz w:val="20"/>
                <w:lang w:eastAsia="en-AU"/>
              </w:rPr>
              <w:t>,-0.02)</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Serious AE</w:t>
            </w:r>
          </w:p>
        </w:tc>
        <w:tc>
          <w:tcPr>
            <w:tcW w:w="1153" w:type="pct"/>
            <w:vAlign w:val="center"/>
          </w:tcPr>
          <w:p w:rsidR="00CC07DB" w:rsidRPr="00C54941" w:rsidRDefault="00CC07DB" w:rsidP="005A0854">
            <w:pPr>
              <w:snapToGrid w:val="0"/>
              <w:contextualSpacing/>
              <w:jc w:val="center"/>
              <w:rPr>
                <w:rFonts w:ascii="Arial Narrow" w:hAnsi="Arial Narrow"/>
                <w:i/>
                <w:iCs/>
                <w:snapToGrid/>
                <w:sz w:val="20"/>
              </w:rPr>
            </w:pPr>
            <w:r>
              <w:rPr>
                <w:rFonts w:ascii="Arial Narrow" w:hAnsi="Arial Narrow"/>
                <w:i/>
                <w:iCs/>
                <w:snapToGrid/>
                <w:sz w:val="20"/>
              </w:rPr>
              <w:t>1.99 (0.57, 6.86)</w:t>
            </w:r>
          </w:p>
        </w:tc>
        <w:tc>
          <w:tcPr>
            <w:tcW w:w="1347" w:type="pct"/>
          </w:tcPr>
          <w:p w:rsidR="00CC07DB"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2.00 (0.57, 7.06)</w:t>
            </w:r>
          </w:p>
        </w:tc>
        <w:tc>
          <w:tcPr>
            <w:tcW w:w="1329" w:type="pct"/>
          </w:tcPr>
          <w:p w:rsidR="00CC07DB"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0.01 (-0.01, 0.03)</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Discontinuation due to AE</w:t>
            </w:r>
          </w:p>
        </w:tc>
        <w:tc>
          <w:tcPr>
            <w:tcW w:w="1153" w:type="pct"/>
            <w:vAlign w:val="center"/>
          </w:tcPr>
          <w:p w:rsidR="00CC07DB" w:rsidRPr="00A632CD" w:rsidRDefault="00CC07DB" w:rsidP="005A0854">
            <w:pPr>
              <w:snapToGrid w:val="0"/>
              <w:contextualSpacing/>
              <w:jc w:val="center"/>
              <w:rPr>
                <w:rFonts w:ascii="Arial Narrow" w:hAnsi="Arial Narrow"/>
                <w:snapToGrid/>
                <w:sz w:val="20"/>
              </w:rPr>
            </w:pPr>
            <w:r>
              <w:rPr>
                <w:rFonts w:ascii="Arial Narrow" w:hAnsi="Arial Narrow"/>
                <w:snapToGrid/>
                <w:sz w:val="20"/>
              </w:rPr>
              <w:t>1.76 (0.46, 6.77</w:t>
            </w:r>
            <w:r w:rsidRPr="00A632CD">
              <w:rPr>
                <w:rFonts w:ascii="Arial Narrow" w:hAnsi="Arial Narrow"/>
                <w:snapToGrid/>
                <w:sz w:val="20"/>
              </w:rPr>
              <w:t>)</w:t>
            </w:r>
          </w:p>
        </w:tc>
        <w:tc>
          <w:tcPr>
            <w:tcW w:w="1347" w:type="pct"/>
          </w:tcPr>
          <w:p w:rsidR="00CC07DB" w:rsidRPr="0088293C"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1.79 (0.45, 7.09)</w:t>
            </w:r>
          </w:p>
        </w:tc>
        <w:tc>
          <w:tcPr>
            <w:tcW w:w="1329" w:type="pct"/>
          </w:tcPr>
          <w:p w:rsidR="00CC07DB" w:rsidRPr="00DB6B0E"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0.01 (-0.02, 0.02)</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Pr>
                <w:rFonts w:ascii="Arial Narrow" w:hAnsi="Arial Narrow"/>
                <w:sz w:val="20"/>
                <w:szCs w:val="20"/>
              </w:rPr>
              <w:t>Injection site reactions</w:t>
            </w:r>
          </w:p>
        </w:tc>
        <w:tc>
          <w:tcPr>
            <w:tcW w:w="1153" w:type="pct"/>
            <w:vAlign w:val="center"/>
          </w:tcPr>
          <w:p w:rsidR="00CC07DB" w:rsidRPr="00C725E4" w:rsidRDefault="00CC07DB" w:rsidP="005A0854">
            <w:pPr>
              <w:snapToGrid w:val="0"/>
              <w:contextualSpacing/>
              <w:jc w:val="center"/>
              <w:rPr>
                <w:rFonts w:ascii="Arial Narrow" w:hAnsi="Arial Narrow"/>
                <w:i/>
                <w:iCs/>
                <w:snapToGrid/>
                <w:sz w:val="20"/>
                <w:lang w:eastAsia="en-AU"/>
              </w:rPr>
            </w:pPr>
            <w:r>
              <w:rPr>
                <w:rFonts w:ascii="Arial Narrow" w:hAnsi="Arial Narrow"/>
                <w:i/>
                <w:iCs/>
                <w:snapToGrid/>
                <w:sz w:val="20"/>
                <w:lang w:eastAsia="en-AU"/>
              </w:rPr>
              <w:t>0.49 (0.06, 3.94)</w:t>
            </w:r>
          </w:p>
        </w:tc>
        <w:tc>
          <w:tcPr>
            <w:tcW w:w="1347" w:type="pct"/>
          </w:tcPr>
          <w:p w:rsidR="00CC07DB" w:rsidRPr="0088293C" w:rsidRDefault="00CC07DB" w:rsidP="005A0854">
            <w:pPr>
              <w:snapToGrid w:val="0"/>
              <w:jc w:val="center"/>
              <w:rPr>
                <w:rFonts w:ascii="Arial Narrow" w:hAnsi="Arial Narrow"/>
                <w:i/>
                <w:iCs/>
                <w:snapToGrid/>
                <w:sz w:val="20"/>
                <w:lang w:eastAsia="en-AU"/>
              </w:rPr>
            </w:pPr>
            <w:r>
              <w:rPr>
                <w:rFonts w:ascii="Arial Narrow" w:hAnsi="Arial Narrow"/>
                <w:snapToGrid/>
                <w:sz w:val="20"/>
                <w:lang w:eastAsia="en-AU"/>
              </w:rPr>
              <w:t>0.48 (0.06, 3.93)</w:t>
            </w:r>
          </w:p>
        </w:tc>
        <w:tc>
          <w:tcPr>
            <w:tcW w:w="1329" w:type="pct"/>
          </w:tcPr>
          <w:p w:rsidR="00CC07DB" w:rsidRPr="00C725E4" w:rsidRDefault="00CC07DB" w:rsidP="005A0854">
            <w:pPr>
              <w:snapToGrid w:val="0"/>
              <w:jc w:val="center"/>
              <w:rPr>
                <w:rFonts w:ascii="Arial Narrow" w:hAnsi="Arial Narrow"/>
                <w:snapToGrid/>
                <w:sz w:val="20"/>
                <w:lang w:eastAsia="en-AU"/>
              </w:rPr>
            </w:pPr>
            <w:r>
              <w:rPr>
                <w:rFonts w:ascii="Arial Narrow" w:hAnsi="Arial Narrow"/>
                <w:i/>
                <w:iCs/>
                <w:snapToGrid/>
                <w:sz w:val="20"/>
                <w:lang w:eastAsia="en-AU"/>
              </w:rPr>
              <w:t>0 (-0.01, 0.01)</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Infections</w:t>
            </w:r>
          </w:p>
        </w:tc>
        <w:tc>
          <w:tcPr>
            <w:tcW w:w="1153" w:type="pct"/>
            <w:vAlign w:val="center"/>
          </w:tcPr>
          <w:p w:rsidR="00CC07DB" w:rsidRPr="00727D20" w:rsidRDefault="00CC07DB" w:rsidP="005A0854">
            <w:pPr>
              <w:snapToGrid w:val="0"/>
              <w:contextualSpacing/>
              <w:jc w:val="center"/>
              <w:rPr>
                <w:rFonts w:ascii="Arial Narrow" w:hAnsi="Arial Narrow"/>
                <w:i/>
                <w:iCs/>
                <w:snapToGrid/>
                <w:sz w:val="20"/>
              </w:rPr>
            </w:pPr>
            <w:r w:rsidRPr="00727D20">
              <w:rPr>
                <w:rFonts w:ascii="Arial Narrow" w:hAnsi="Arial Narrow"/>
                <w:i/>
                <w:iCs/>
                <w:snapToGrid/>
                <w:sz w:val="20"/>
              </w:rPr>
              <w:t>0.86 (0.65, 1.14)</w:t>
            </w:r>
          </w:p>
        </w:tc>
        <w:tc>
          <w:tcPr>
            <w:tcW w:w="1347" w:type="pct"/>
          </w:tcPr>
          <w:p w:rsidR="00CC07DB" w:rsidRPr="0088293C" w:rsidRDefault="00CC07DB" w:rsidP="005A0854">
            <w:pPr>
              <w:snapToGrid w:val="0"/>
              <w:jc w:val="center"/>
              <w:rPr>
                <w:rFonts w:ascii="Arial Narrow" w:hAnsi="Arial Narrow"/>
                <w:i/>
                <w:iCs/>
                <w:snapToGrid/>
                <w:sz w:val="20"/>
                <w:lang w:eastAsia="en-AU"/>
              </w:rPr>
            </w:pPr>
            <w:r>
              <w:rPr>
                <w:rFonts w:ascii="Arial Narrow" w:hAnsi="Arial Narrow"/>
                <w:snapToGrid/>
                <w:sz w:val="20"/>
                <w:lang w:eastAsia="en-AU"/>
              </w:rPr>
              <w:t>0.82 (0.57, 1.18)</w:t>
            </w:r>
          </w:p>
        </w:tc>
        <w:tc>
          <w:tcPr>
            <w:tcW w:w="1329" w:type="pct"/>
          </w:tcPr>
          <w:p w:rsidR="00CC07DB" w:rsidRPr="00C725E4" w:rsidRDefault="00CC07DB" w:rsidP="005A0854">
            <w:pPr>
              <w:snapToGrid w:val="0"/>
              <w:jc w:val="center"/>
              <w:rPr>
                <w:rFonts w:ascii="Arial Narrow" w:hAnsi="Arial Narrow"/>
                <w:snapToGrid/>
                <w:sz w:val="20"/>
                <w:lang w:eastAsia="en-AU"/>
              </w:rPr>
            </w:pPr>
            <w:r>
              <w:rPr>
                <w:rFonts w:ascii="Arial Narrow" w:hAnsi="Arial Narrow"/>
                <w:i/>
                <w:iCs/>
                <w:snapToGrid/>
                <w:sz w:val="20"/>
                <w:lang w:eastAsia="en-AU"/>
              </w:rPr>
              <w:t>-0.03 (-0.09, 0.03)</w:t>
            </w:r>
          </w:p>
        </w:tc>
      </w:tr>
      <w:tr w:rsidR="00CC07DB" w:rsidRPr="000B2FCD" w:rsidTr="005A0854">
        <w:tc>
          <w:tcPr>
            <w:tcW w:w="5000" w:type="pct"/>
            <w:gridSpan w:val="4"/>
            <w:vAlign w:val="center"/>
          </w:tcPr>
          <w:p w:rsidR="00CC07DB" w:rsidRPr="00CB4479" w:rsidRDefault="00CC07DB" w:rsidP="005A0854">
            <w:pPr>
              <w:snapToGrid w:val="0"/>
              <w:jc w:val="left"/>
              <w:rPr>
                <w:rFonts w:ascii="Arial Narrow" w:hAnsi="Arial Narrow"/>
                <w:b/>
                <w:bCs/>
                <w:snapToGrid/>
                <w:sz w:val="20"/>
                <w:lang w:val="pt-PT" w:eastAsia="en-AU"/>
              </w:rPr>
            </w:pPr>
            <w:r>
              <w:rPr>
                <w:rFonts w:ascii="Arial Narrow" w:hAnsi="Arial Narrow"/>
                <w:b/>
                <w:bCs/>
                <w:snapToGrid/>
                <w:sz w:val="20"/>
                <w:lang w:val="pt-PT" w:eastAsia="en-AU"/>
              </w:rPr>
              <w:t xml:space="preserve">D: </w:t>
            </w:r>
            <w:r w:rsidRPr="00CB4479">
              <w:rPr>
                <w:rFonts w:ascii="Arial Narrow" w:hAnsi="Arial Narrow"/>
                <w:b/>
                <w:bCs/>
                <w:snapToGrid/>
                <w:sz w:val="20"/>
                <w:lang w:val="pt-PT" w:eastAsia="en-AU"/>
              </w:rPr>
              <w:t>TIL vs ADA (indirect via PBO)</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Any AE</w:t>
            </w:r>
          </w:p>
        </w:tc>
        <w:tc>
          <w:tcPr>
            <w:tcW w:w="1153" w:type="pct"/>
            <w:vAlign w:val="center"/>
          </w:tcPr>
          <w:p w:rsidR="00CC07DB" w:rsidRPr="00BA619C" w:rsidRDefault="00F84397" w:rsidP="005A0854">
            <w:pPr>
              <w:snapToGrid w:val="0"/>
              <w:contextualSpacing/>
              <w:jc w:val="center"/>
              <w:rPr>
                <w:rFonts w:ascii="Arial Narrow" w:hAnsi="Arial Narrow"/>
                <w:b/>
                <w:bCs/>
                <w:i/>
                <w:iCs/>
                <w:snapToGrid/>
                <w:sz w:val="20"/>
                <w:lang w:eastAsia="en-AU"/>
              </w:rPr>
            </w:pPr>
            <w:r w:rsidRPr="00A94B81">
              <w:rPr>
                <w:rFonts w:ascii="Arial Narrow" w:hAnsi="Arial Narrow"/>
                <w:i/>
                <w:iCs/>
                <w:snapToGrid/>
                <w:sz w:val="20"/>
                <w:lang w:eastAsia="en-AU"/>
              </w:rPr>
              <w:t>0.87 (0.74, 1.01)</w:t>
            </w:r>
          </w:p>
        </w:tc>
        <w:tc>
          <w:tcPr>
            <w:tcW w:w="1347" w:type="pct"/>
          </w:tcPr>
          <w:p w:rsidR="00CC07DB" w:rsidRPr="003B3C71" w:rsidRDefault="00CC07DB" w:rsidP="005A0854">
            <w:pPr>
              <w:snapToGrid w:val="0"/>
              <w:jc w:val="center"/>
              <w:rPr>
                <w:rFonts w:ascii="Arial Narrow" w:hAnsi="Arial Narrow"/>
                <w:b/>
                <w:bCs/>
                <w:i/>
                <w:iCs/>
                <w:snapToGrid/>
                <w:sz w:val="20"/>
                <w:lang w:eastAsia="en-AU"/>
              </w:rPr>
            </w:pPr>
            <w:r w:rsidRPr="0017519B">
              <w:rPr>
                <w:rFonts w:ascii="Arial Narrow" w:hAnsi="Arial Narrow"/>
                <w:b/>
                <w:bCs/>
                <w:snapToGrid/>
                <w:sz w:val="20"/>
                <w:lang w:eastAsia="en-AU"/>
              </w:rPr>
              <w:t>0.64 (0.46, 0.89)</w:t>
            </w:r>
          </w:p>
        </w:tc>
        <w:tc>
          <w:tcPr>
            <w:tcW w:w="1329" w:type="pct"/>
          </w:tcPr>
          <w:p w:rsidR="00CC07DB" w:rsidRPr="0017519B" w:rsidRDefault="00CC07DB" w:rsidP="005A0854">
            <w:pPr>
              <w:snapToGrid w:val="0"/>
              <w:jc w:val="center"/>
              <w:rPr>
                <w:rFonts w:ascii="Arial Narrow" w:hAnsi="Arial Narrow"/>
                <w:b/>
                <w:bCs/>
                <w:snapToGrid/>
                <w:sz w:val="20"/>
                <w:lang w:eastAsia="en-AU"/>
              </w:rPr>
            </w:pPr>
            <w:r w:rsidRPr="003B3C71">
              <w:rPr>
                <w:rFonts w:ascii="Arial Narrow" w:hAnsi="Arial Narrow"/>
                <w:b/>
                <w:bCs/>
                <w:i/>
                <w:iCs/>
                <w:snapToGrid/>
                <w:sz w:val="20"/>
                <w:lang w:eastAsia="en-AU"/>
              </w:rPr>
              <w:t>-0.10 (-0.18, -0.02)</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Serious AE</w:t>
            </w:r>
          </w:p>
        </w:tc>
        <w:tc>
          <w:tcPr>
            <w:tcW w:w="1153" w:type="pct"/>
            <w:vAlign w:val="center"/>
          </w:tcPr>
          <w:p w:rsidR="00CC07DB" w:rsidRPr="00C725E4" w:rsidRDefault="00CC07DB" w:rsidP="005A0854">
            <w:pPr>
              <w:snapToGrid w:val="0"/>
              <w:contextualSpacing/>
              <w:jc w:val="center"/>
              <w:rPr>
                <w:rFonts w:ascii="Arial Narrow" w:hAnsi="Arial Narrow"/>
                <w:i/>
                <w:iCs/>
                <w:snapToGrid/>
                <w:sz w:val="20"/>
                <w:lang w:eastAsia="en-AU"/>
              </w:rPr>
            </w:pPr>
            <w:r>
              <w:rPr>
                <w:rFonts w:ascii="Arial Narrow" w:hAnsi="Arial Narrow"/>
                <w:i/>
                <w:iCs/>
                <w:snapToGrid/>
                <w:sz w:val="20"/>
                <w:lang w:eastAsia="en-AU"/>
              </w:rPr>
              <w:t>1.46 (0.40, 5.29)</w:t>
            </w:r>
          </w:p>
        </w:tc>
        <w:tc>
          <w:tcPr>
            <w:tcW w:w="1347" w:type="pct"/>
          </w:tcPr>
          <w:p w:rsidR="00CC07DB" w:rsidRPr="009469F0" w:rsidRDefault="00CC07DB" w:rsidP="005A0854">
            <w:pPr>
              <w:snapToGrid w:val="0"/>
              <w:jc w:val="center"/>
              <w:rPr>
                <w:rFonts w:ascii="Arial Narrow" w:hAnsi="Arial Narrow"/>
                <w:snapToGrid/>
                <w:sz w:val="20"/>
                <w:lang w:eastAsia="en-AU"/>
              </w:rPr>
            </w:pPr>
            <w:r w:rsidRPr="009469F0">
              <w:rPr>
                <w:rFonts w:ascii="Arial Narrow" w:hAnsi="Arial Narrow"/>
                <w:snapToGrid/>
                <w:sz w:val="20"/>
                <w:lang w:eastAsia="en-AU"/>
              </w:rPr>
              <w:t>1.48 (0.40, 5.51)</w:t>
            </w:r>
          </w:p>
        </w:tc>
        <w:tc>
          <w:tcPr>
            <w:tcW w:w="1329" w:type="pct"/>
          </w:tcPr>
          <w:p w:rsidR="00CC07DB" w:rsidRPr="00C725E4" w:rsidRDefault="00CC07DB" w:rsidP="005A0854">
            <w:pPr>
              <w:snapToGrid w:val="0"/>
              <w:jc w:val="center"/>
              <w:rPr>
                <w:rFonts w:ascii="Arial Narrow" w:hAnsi="Arial Narrow"/>
                <w:snapToGrid/>
                <w:sz w:val="20"/>
                <w:lang w:eastAsia="en-AU"/>
              </w:rPr>
            </w:pPr>
            <w:r>
              <w:rPr>
                <w:rFonts w:ascii="Arial Narrow" w:hAnsi="Arial Narrow"/>
                <w:i/>
                <w:iCs/>
                <w:snapToGrid/>
                <w:sz w:val="20"/>
                <w:lang w:eastAsia="en-AU"/>
              </w:rPr>
              <w:t>0.01 (-0.01, 0.03)</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Discontinuation due to AE</w:t>
            </w:r>
          </w:p>
        </w:tc>
        <w:tc>
          <w:tcPr>
            <w:tcW w:w="1153" w:type="pct"/>
            <w:vAlign w:val="center"/>
          </w:tcPr>
          <w:p w:rsidR="00CC07DB" w:rsidRPr="00C725E4" w:rsidRDefault="00CC07DB" w:rsidP="005A0854">
            <w:pPr>
              <w:snapToGrid w:val="0"/>
              <w:contextualSpacing/>
              <w:jc w:val="center"/>
              <w:rPr>
                <w:rFonts w:ascii="Arial Narrow" w:hAnsi="Arial Narrow"/>
                <w:i/>
                <w:iCs/>
                <w:snapToGrid/>
                <w:sz w:val="20"/>
                <w:lang w:eastAsia="en-AU"/>
              </w:rPr>
            </w:pPr>
            <w:r>
              <w:rPr>
                <w:rFonts w:ascii="Arial Narrow" w:hAnsi="Arial Narrow"/>
                <w:i/>
                <w:iCs/>
                <w:snapToGrid/>
                <w:sz w:val="20"/>
                <w:lang w:eastAsia="en-AU"/>
              </w:rPr>
              <w:t>1.07 (0.27, 4.22)</w:t>
            </w:r>
          </w:p>
        </w:tc>
        <w:tc>
          <w:tcPr>
            <w:tcW w:w="1347" w:type="pct"/>
          </w:tcPr>
          <w:p w:rsidR="00CC07DB" w:rsidRPr="0088293C" w:rsidRDefault="00CC07DB" w:rsidP="005A0854">
            <w:pPr>
              <w:snapToGrid w:val="0"/>
              <w:jc w:val="center"/>
              <w:rPr>
                <w:rFonts w:ascii="Arial Narrow" w:hAnsi="Arial Narrow"/>
                <w:i/>
                <w:iCs/>
                <w:snapToGrid/>
                <w:sz w:val="20"/>
                <w:lang w:eastAsia="en-AU"/>
              </w:rPr>
            </w:pPr>
            <w:r w:rsidRPr="00831BC5">
              <w:rPr>
                <w:rFonts w:ascii="Arial Narrow" w:hAnsi="Arial Narrow"/>
                <w:i/>
                <w:iCs/>
                <w:snapToGrid/>
                <w:sz w:val="20"/>
                <w:lang w:eastAsia="en-AU"/>
              </w:rPr>
              <w:t>1.07 (</w:t>
            </w:r>
            <w:r>
              <w:rPr>
                <w:rFonts w:ascii="Arial Narrow" w:hAnsi="Arial Narrow"/>
                <w:i/>
                <w:iCs/>
                <w:snapToGrid/>
                <w:sz w:val="20"/>
                <w:lang w:eastAsia="en-AU"/>
              </w:rPr>
              <w:t>0.26</w:t>
            </w:r>
            <w:r w:rsidRPr="00831BC5">
              <w:rPr>
                <w:rFonts w:ascii="Arial Narrow" w:hAnsi="Arial Narrow"/>
                <w:i/>
                <w:iCs/>
                <w:snapToGrid/>
                <w:sz w:val="20"/>
                <w:lang w:eastAsia="en-AU"/>
              </w:rPr>
              <w:t xml:space="preserve">, </w:t>
            </w:r>
            <w:r>
              <w:rPr>
                <w:rFonts w:ascii="Arial Narrow" w:hAnsi="Arial Narrow"/>
                <w:i/>
                <w:iCs/>
                <w:snapToGrid/>
                <w:sz w:val="20"/>
                <w:lang w:eastAsia="en-AU"/>
              </w:rPr>
              <w:t>4.38</w:t>
            </w:r>
            <w:r w:rsidRPr="00831BC5">
              <w:rPr>
                <w:rFonts w:ascii="Arial Narrow" w:hAnsi="Arial Narrow"/>
                <w:i/>
                <w:iCs/>
                <w:snapToGrid/>
                <w:sz w:val="20"/>
                <w:lang w:eastAsia="en-AU"/>
              </w:rPr>
              <w:t>)</w:t>
            </w:r>
          </w:p>
        </w:tc>
        <w:tc>
          <w:tcPr>
            <w:tcW w:w="1329" w:type="pct"/>
          </w:tcPr>
          <w:p w:rsidR="00CC07DB" w:rsidRPr="00831BC5"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 (-0.02, 0.02)</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Pr>
                <w:rFonts w:ascii="Arial Narrow" w:hAnsi="Arial Narrow"/>
                <w:snapToGrid/>
                <w:sz w:val="20"/>
                <w:lang w:eastAsia="en-AU"/>
              </w:rPr>
              <w:t>Injection site reactions</w:t>
            </w:r>
          </w:p>
        </w:tc>
        <w:tc>
          <w:tcPr>
            <w:tcW w:w="1153" w:type="pct"/>
            <w:vAlign w:val="center"/>
          </w:tcPr>
          <w:p w:rsidR="00CC07DB" w:rsidRPr="00195583" w:rsidRDefault="00CC07DB" w:rsidP="005A0854">
            <w:pPr>
              <w:snapToGrid w:val="0"/>
              <w:contextualSpacing/>
              <w:jc w:val="center"/>
              <w:rPr>
                <w:rFonts w:ascii="Arial Narrow" w:hAnsi="Arial Narrow"/>
                <w:snapToGrid/>
                <w:sz w:val="20"/>
                <w:lang w:eastAsia="en-AU"/>
              </w:rPr>
            </w:pPr>
            <w:r w:rsidRPr="00195583">
              <w:rPr>
                <w:rFonts w:ascii="Arial Narrow" w:hAnsi="Arial Narrow"/>
                <w:snapToGrid/>
                <w:sz w:val="20"/>
                <w:lang w:eastAsia="en-AU"/>
              </w:rPr>
              <w:t>0.36 (0.05, 2.54)</w:t>
            </w:r>
          </w:p>
        </w:tc>
        <w:tc>
          <w:tcPr>
            <w:tcW w:w="1347" w:type="pct"/>
          </w:tcPr>
          <w:p w:rsidR="00CC07DB" w:rsidRPr="0088293C"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0.33 (0.05</w:t>
            </w:r>
            <w:r w:rsidRPr="00053A11">
              <w:rPr>
                <w:rFonts w:ascii="Arial Narrow" w:hAnsi="Arial Narrow"/>
                <w:i/>
                <w:iCs/>
                <w:snapToGrid/>
                <w:sz w:val="20"/>
                <w:lang w:eastAsia="en-AU"/>
              </w:rPr>
              <w:t xml:space="preserve">, </w:t>
            </w:r>
            <w:r>
              <w:rPr>
                <w:rFonts w:ascii="Arial Narrow" w:hAnsi="Arial Narrow"/>
                <w:i/>
                <w:iCs/>
                <w:snapToGrid/>
                <w:sz w:val="20"/>
                <w:lang w:eastAsia="en-AU"/>
              </w:rPr>
              <w:t>2.41</w:t>
            </w:r>
            <w:r w:rsidRPr="00053A11">
              <w:rPr>
                <w:rFonts w:ascii="Arial Narrow" w:hAnsi="Arial Narrow"/>
                <w:i/>
                <w:iCs/>
                <w:snapToGrid/>
                <w:sz w:val="20"/>
                <w:lang w:eastAsia="en-AU"/>
              </w:rPr>
              <w:t>)</w:t>
            </w:r>
          </w:p>
        </w:tc>
        <w:tc>
          <w:tcPr>
            <w:tcW w:w="1329" w:type="pct"/>
          </w:tcPr>
          <w:p w:rsidR="00CC07DB" w:rsidRPr="00053A11" w:rsidRDefault="00CC07DB" w:rsidP="005A0854">
            <w:pPr>
              <w:snapToGrid w:val="0"/>
              <w:jc w:val="center"/>
              <w:rPr>
                <w:rFonts w:ascii="Arial Narrow" w:hAnsi="Arial Narrow"/>
                <w:i/>
                <w:iCs/>
                <w:snapToGrid/>
                <w:sz w:val="20"/>
                <w:lang w:eastAsia="en-AU"/>
              </w:rPr>
            </w:pPr>
            <w:r>
              <w:rPr>
                <w:rFonts w:ascii="Arial Narrow" w:hAnsi="Arial Narrow"/>
                <w:i/>
                <w:iCs/>
                <w:snapToGrid/>
                <w:sz w:val="20"/>
                <w:lang w:eastAsia="en-AU"/>
              </w:rPr>
              <w:t>-0.04 (-0.09, 0.01)</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Infections</w:t>
            </w:r>
          </w:p>
        </w:tc>
        <w:tc>
          <w:tcPr>
            <w:tcW w:w="1153" w:type="pct"/>
            <w:vAlign w:val="center"/>
          </w:tcPr>
          <w:p w:rsidR="00CC07DB" w:rsidRPr="00C725E4" w:rsidRDefault="00CC07DB" w:rsidP="005A0854">
            <w:pPr>
              <w:snapToGrid w:val="0"/>
              <w:contextualSpacing/>
              <w:jc w:val="center"/>
              <w:rPr>
                <w:rFonts w:ascii="Arial Narrow" w:hAnsi="Arial Narrow"/>
                <w:i/>
                <w:iCs/>
                <w:snapToGrid/>
                <w:sz w:val="20"/>
                <w:lang w:eastAsia="en-AU"/>
              </w:rPr>
            </w:pPr>
            <w:r>
              <w:rPr>
                <w:rFonts w:ascii="Arial Narrow" w:hAnsi="Arial Narrow"/>
                <w:i/>
                <w:iCs/>
                <w:snapToGrid/>
                <w:sz w:val="20"/>
                <w:lang w:eastAsia="en-AU"/>
              </w:rPr>
              <w:t>0.85 (0.63, 1.13)</w:t>
            </w:r>
          </w:p>
        </w:tc>
        <w:tc>
          <w:tcPr>
            <w:tcW w:w="1347" w:type="pct"/>
          </w:tcPr>
          <w:p w:rsidR="00CC07DB" w:rsidRPr="0088293C" w:rsidRDefault="00CC07DB" w:rsidP="005A0854">
            <w:pPr>
              <w:snapToGrid w:val="0"/>
              <w:jc w:val="center"/>
              <w:rPr>
                <w:rFonts w:ascii="Arial Narrow" w:hAnsi="Arial Narrow"/>
                <w:i/>
                <w:iCs/>
                <w:snapToGrid/>
                <w:sz w:val="20"/>
                <w:lang w:eastAsia="en-AU"/>
              </w:rPr>
            </w:pPr>
            <w:r>
              <w:rPr>
                <w:rFonts w:ascii="Arial Narrow" w:hAnsi="Arial Narrow"/>
                <w:snapToGrid/>
                <w:sz w:val="20"/>
                <w:lang w:eastAsia="en-AU"/>
              </w:rPr>
              <w:t>0.76 (0.52, 1.12)</w:t>
            </w:r>
          </w:p>
        </w:tc>
        <w:tc>
          <w:tcPr>
            <w:tcW w:w="1329" w:type="pct"/>
          </w:tcPr>
          <w:p w:rsidR="00CC07DB" w:rsidRPr="00C725E4" w:rsidRDefault="00CC07DB" w:rsidP="005A0854">
            <w:pPr>
              <w:snapToGrid w:val="0"/>
              <w:jc w:val="center"/>
              <w:rPr>
                <w:rFonts w:ascii="Arial Narrow" w:hAnsi="Arial Narrow"/>
                <w:snapToGrid/>
                <w:sz w:val="20"/>
                <w:lang w:eastAsia="en-AU"/>
              </w:rPr>
            </w:pPr>
            <w:r>
              <w:rPr>
                <w:rFonts w:ascii="Arial Narrow" w:hAnsi="Arial Narrow"/>
                <w:i/>
                <w:iCs/>
                <w:snapToGrid/>
                <w:sz w:val="20"/>
                <w:lang w:eastAsia="en-AU"/>
              </w:rPr>
              <w:t>-0.05 (-0.12, 0.02)</w:t>
            </w:r>
          </w:p>
        </w:tc>
      </w:tr>
      <w:tr w:rsidR="00CC07DB" w:rsidRPr="00C725E4" w:rsidTr="005A0854">
        <w:tc>
          <w:tcPr>
            <w:tcW w:w="5000" w:type="pct"/>
            <w:gridSpan w:val="4"/>
            <w:vAlign w:val="center"/>
          </w:tcPr>
          <w:p w:rsidR="00CC07DB" w:rsidRPr="00337E15" w:rsidRDefault="00CC07DB" w:rsidP="005A0854">
            <w:pPr>
              <w:snapToGrid w:val="0"/>
              <w:jc w:val="center"/>
              <w:rPr>
                <w:rFonts w:ascii="Arial Narrow" w:hAnsi="Arial Narrow"/>
                <w:b/>
                <w:bCs/>
                <w:snapToGrid/>
                <w:sz w:val="20"/>
                <w:lang w:eastAsia="en-AU"/>
              </w:rPr>
            </w:pPr>
            <w:r w:rsidRPr="00337E15">
              <w:rPr>
                <w:rFonts w:ascii="Arial Narrow" w:hAnsi="Arial Narrow"/>
                <w:b/>
                <w:bCs/>
                <w:snapToGrid/>
                <w:sz w:val="20"/>
                <w:lang w:eastAsia="en-AU"/>
              </w:rPr>
              <w:t>Week</w:t>
            </w:r>
            <w:r>
              <w:rPr>
                <w:rFonts w:ascii="Arial Narrow" w:hAnsi="Arial Narrow"/>
                <w:b/>
                <w:bCs/>
                <w:snapToGrid/>
                <w:sz w:val="20"/>
                <w:lang w:eastAsia="en-AU"/>
              </w:rPr>
              <w:t>s</w:t>
            </w:r>
            <w:r w:rsidRPr="00337E15">
              <w:rPr>
                <w:rFonts w:ascii="Arial Narrow" w:hAnsi="Arial Narrow"/>
                <w:b/>
                <w:bCs/>
                <w:snapToGrid/>
                <w:sz w:val="20"/>
                <w:lang w:eastAsia="en-AU"/>
              </w:rPr>
              <w:t xml:space="preserve"> 0-28</w:t>
            </w:r>
          </w:p>
        </w:tc>
      </w:tr>
      <w:tr w:rsidR="00CC07DB" w:rsidRPr="000B2FCD" w:rsidTr="005A0854">
        <w:tc>
          <w:tcPr>
            <w:tcW w:w="1171" w:type="pct"/>
            <w:vAlign w:val="center"/>
          </w:tcPr>
          <w:p w:rsidR="00CC07DB" w:rsidRPr="008B567C" w:rsidRDefault="00CC07DB" w:rsidP="005A0854">
            <w:pPr>
              <w:snapToGrid w:val="0"/>
              <w:jc w:val="left"/>
              <w:rPr>
                <w:rFonts w:ascii="Arial Narrow" w:hAnsi="Arial Narrow"/>
                <w:snapToGrid/>
                <w:sz w:val="20"/>
                <w:lang w:val="pt-PT" w:eastAsia="en-AU"/>
              </w:rPr>
            </w:pPr>
            <w:r w:rsidRPr="008B567C">
              <w:rPr>
                <w:rFonts w:ascii="Arial Narrow" w:hAnsi="Arial Narrow"/>
                <w:b/>
                <w:bCs/>
                <w:snapToGrid/>
                <w:sz w:val="20"/>
                <w:lang w:val="pt-PT" w:eastAsia="en-AU"/>
              </w:rPr>
              <w:t>A: TIL vs ETN (direct)</w:t>
            </w:r>
          </w:p>
        </w:tc>
        <w:tc>
          <w:tcPr>
            <w:tcW w:w="1153" w:type="pct"/>
            <w:vAlign w:val="center"/>
          </w:tcPr>
          <w:p w:rsidR="00CC07DB" w:rsidRPr="008B567C" w:rsidRDefault="00CC07DB" w:rsidP="005A0854">
            <w:pPr>
              <w:snapToGrid w:val="0"/>
              <w:contextualSpacing/>
              <w:jc w:val="center"/>
              <w:rPr>
                <w:rFonts w:ascii="Arial Narrow" w:hAnsi="Arial Narrow"/>
                <w:i/>
                <w:iCs/>
                <w:snapToGrid/>
                <w:sz w:val="20"/>
                <w:lang w:val="pt-PT" w:eastAsia="en-AU"/>
              </w:rPr>
            </w:pPr>
          </w:p>
        </w:tc>
        <w:tc>
          <w:tcPr>
            <w:tcW w:w="1347" w:type="pct"/>
          </w:tcPr>
          <w:p w:rsidR="00CC07DB" w:rsidRPr="008B567C" w:rsidRDefault="00CC07DB" w:rsidP="005A0854">
            <w:pPr>
              <w:snapToGrid w:val="0"/>
              <w:jc w:val="center"/>
              <w:rPr>
                <w:rFonts w:ascii="Arial Narrow" w:hAnsi="Arial Narrow"/>
                <w:i/>
                <w:iCs/>
                <w:snapToGrid/>
                <w:sz w:val="20"/>
                <w:lang w:val="pt-PT" w:eastAsia="en-AU"/>
              </w:rPr>
            </w:pPr>
          </w:p>
        </w:tc>
        <w:tc>
          <w:tcPr>
            <w:tcW w:w="1329" w:type="pct"/>
          </w:tcPr>
          <w:p w:rsidR="00CC07DB" w:rsidRPr="008B567C" w:rsidRDefault="00CC07DB" w:rsidP="005A0854">
            <w:pPr>
              <w:snapToGrid w:val="0"/>
              <w:jc w:val="center"/>
              <w:rPr>
                <w:rFonts w:ascii="Arial Narrow" w:hAnsi="Arial Narrow"/>
                <w:snapToGrid/>
                <w:sz w:val="20"/>
                <w:lang w:val="pt-PT" w:eastAsia="en-AU"/>
              </w:rPr>
            </w:pP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Any AE</w:t>
            </w:r>
          </w:p>
        </w:tc>
        <w:tc>
          <w:tcPr>
            <w:tcW w:w="1153" w:type="pct"/>
            <w:vAlign w:val="center"/>
          </w:tcPr>
          <w:p w:rsidR="00CC07DB" w:rsidRPr="00BF70A8" w:rsidRDefault="00CC07DB" w:rsidP="005A0854">
            <w:pPr>
              <w:snapToGrid w:val="0"/>
              <w:contextualSpacing/>
              <w:jc w:val="center"/>
              <w:rPr>
                <w:rFonts w:ascii="Arial Narrow" w:hAnsi="Arial Narrow"/>
                <w:b/>
                <w:bCs/>
                <w:snapToGrid/>
                <w:sz w:val="20"/>
                <w:lang w:eastAsia="en-AU"/>
              </w:rPr>
            </w:pPr>
            <w:r w:rsidRPr="00BF70A8">
              <w:rPr>
                <w:rFonts w:ascii="Arial Narrow" w:hAnsi="Arial Narrow"/>
                <w:b/>
                <w:bCs/>
                <w:snapToGrid/>
                <w:sz w:val="20"/>
                <w:lang w:eastAsia="en-AU"/>
              </w:rPr>
              <w:t>0.85 (0.76, 0.95)</w:t>
            </w:r>
          </w:p>
        </w:tc>
        <w:tc>
          <w:tcPr>
            <w:tcW w:w="1347" w:type="pct"/>
          </w:tcPr>
          <w:p w:rsidR="00CC07DB" w:rsidRPr="00BF70A8" w:rsidRDefault="00CC07DB" w:rsidP="005A0854">
            <w:pPr>
              <w:snapToGrid w:val="0"/>
              <w:jc w:val="center"/>
              <w:rPr>
                <w:rFonts w:ascii="Arial Narrow" w:hAnsi="Arial Narrow"/>
                <w:snapToGrid/>
                <w:sz w:val="20"/>
                <w:lang w:eastAsia="en-AU"/>
              </w:rPr>
            </w:pPr>
            <w:r w:rsidRPr="00D501F3">
              <w:rPr>
                <w:rFonts w:ascii="Arial Narrow" w:hAnsi="Arial Narrow"/>
                <w:b/>
                <w:bCs/>
                <w:snapToGrid/>
                <w:sz w:val="20"/>
                <w:lang w:eastAsia="en-AU"/>
              </w:rPr>
              <w:t>0.60 (0.43, 0.84)</w:t>
            </w:r>
          </w:p>
        </w:tc>
        <w:tc>
          <w:tcPr>
            <w:tcW w:w="1329" w:type="pct"/>
          </w:tcPr>
          <w:p w:rsidR="00CC07DB" w:rsidRPr="00D501F3" w:rsidRDefault="00CC07DB" w:rsidP="005A0854">
            <w:pPr>
              <w:snapToGrid w:val="0"/>
              <w:jc w:val="center"/>
              <w:rPr>
                <w:rFonts w:ascii="Arial Narrow" w:hAnsi="Arial Narrow"/>
                <w:b/>
                <w:bCs/>
                <w:snapToGrid/>
                <w:sz w:val="20"/>
                <w:lang w:eastAsia="en-AU"/>
              </w:rPr>
            </w:pPr>
            <w:r w:rsidRPr="00BF70A8">
              <w:rPr>
                <w:rFonts w:ascii="Arial Narrow" w:hAnsi="Arial Narrow"/>
                <w:b/>
                <w:bCs/>
                <w:snapToGrid/>
                <w:sz w:val="20"/>
                <w:lang w:eastAsia="en-AU"/>
              </w:rPr>
              <w:t>-0.11 (-0.18, -0.04</w:t>
            </w:r>
            <w:r w:rsidRPr="00BF70A8">
              <w:rPr>
                <w:rFonts w:ascii="Arial Narrow" w:hAnsi="Arial Narrow"/>
                <w:snapToGrid/>
                <w:sz w:val="20"/>
                <w:lang w:eastAsia="en-AU"/>
              </w:rPr>
              <w:t>)</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Pr>
                <w:rFonts w:ascii="Arial Narrow" w:hAnsi="Arial Narrow"/>
                <w:snapToGrid/>
                <w:sz w:val="20"/>
                <w:lang w:eastAsia="en-AU"/>
              </w:rPr>
              <w:t>Serious AE</w:t>
            </w:r>
          </w:p>
        </w:tc>
        <w:tc>
          <w:tcPr>
            <w:tcW w:w="1153" w:type="pct"/>
            <w:vAlign w:val="center"/>
          </w:tcPr>
          <w:p w:rsidR="00CC07DB" w:rsidRPr="00FB4E5F" w:rsidRDefault="00CC07DB" w:rsidP="005A0854">
            <w:pPr>
              <w:snapToGrid w:val="0"/>
              <w:contextualSpacing/>
              <w:jc w:val="center"/>
              <w:rPr>
                <w:rFonts w:ascii="Arial Narrow" w:hAnsi="Arial Narrow"/>
                <w:snapToGrid/>
                <w:sz w:val="20"/>
                <w:lang w:eastAsia="en-AU"/>
              </w:rPr>
            </w:pPr>
            <w:r w:rsidRPr="00FB4E5F">
              <w:rPr>
                <w:rFonts w:ascii="Arial Narrow" w:hAnsi="Arial Narrow"/>
                <w:snapToGrid/>
                <w:sz w:val="20"/>
                <w:lang w:eastAsia="en-AU"/>
              </w:rPr>
              <w:t>0.55 (0.27, 1.13)</w:t>
            </w:r>
          </w:p>
        </w:tc>
        <w:tc>
          <w:tcPr>
            <w:tcW w:w="1347" w:type="pct"/>
          </w:tcPr>
          <w:p w:rsidR="00CC07DB" w:rsidRPr="00FB4E5F" w:rsidRDefault="00CC07DB" w:rsidP="005A0854">
            <w:pPr>
              <w:snapToGrid w:val="0"/>
              <w:jc w:val="center"/>
              <w:rPr>
                <w:rFonts w:ascii="Arial Narrow" w:hAnsi="Arial Narrow"/>
                <w:snapToGrid/>
                <w:sz w:val="20"/>
                <w:lang w:eastAsia="en-AU"/>
              </w:rPr>
            </w:pPr>
            <w:r>
              <w:rPr>
                <w:rFonts w:ascii="Arial Narrow" w:hAnsi="Arial Narrow"/>
                <w:snapToGrid/>
                <w:sz w:val="20"/>
                <w:lang w:eastAsia="en-AU"/>
              </w:rPr>
              <w:t>0.53 (0.25, 1.13)</w:t>
            </w:r>
          </w:p>
        </w:tc>
        <w:tc>
          <w:tcPr>
            <w:tcW w:w="1329" w:type="pct"/>
          </w:tcPr>
          <w:p w:rsidR="00CC07DB" w:rsidRPr="00FB4E5F" w:rsidRDefault="00CC07DB" w:rsidP="005A0854">
            <w:pPr>
              <w:snapToGrid w:val="0"/>
              <w:jc w:val="center"/>
              <w:rPr>
                <w:rFonts w:ascii="Arial Narrow" w:hAnsi="Arial Narrow"/>
                <w:snapToGrid/>
                <w:sz w:val="20"/>
                <w:lang w:eastAsia="en-AU"/>
              </w:rPr>
            </w:pPr>
            <w:r>
              <w:rPr>
                <w:rFonts w:ascii="Arial Narrow" w:hAnsi="Arial Narrow"/>
                <w:snapToGrid/>
                <w:sz w:val="20"/>
                <w:lang w:eastAsia="en-AU"/>
              </w:rPr>
              <w:t>-0.03 (-0.06, 0.01)</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Discontinuation due to AE</w:t>
            </w:r>
          </w:p>
        </w:tc>
        <w:tc>
          <w:tcPr>
            <w:tcW w:w="1153" w:type="pct"/>
            <w:vAlign w:val="center"/>
          </w:tcPr>
          <w:p w:rsidR="00CC07DB" w:rsidRPr="00653668" w:rsidRDefault="00CC07DB" w:rsidP="005A0854">
            <w:pPr>
              <w:snapToGrid w:val="0"/>
              <w:contextualSpacing/>
              <w:jc w:val="center"/>
              <w:rPr>
                <w:rFonts w:ascii="Arial Narrow" w:hAnsi="Arial Narrow"/>
                <w:snapToGrid/>
                <w:sz w:val="20"/>
                <w:lang w:eastAsia="en-AU"/>
              </w:rPr>
            </w:pPr>
            <w:r>
              <w:rPr>
                <w:rFonts w:ascii="Arial Narrow" w:hAnsi="Arial Narrow"/>
                <w:snapToGrid/>
                <w:sz w:val="20"/>
                <w:lang w:eastAsia="en-AU"/>
              </w:rPr>
              <w:t>0.44 (0.14, 1.42)</w:t>
            </w:r>
          </w:p>
        </w:tc>
        <w:tc>
          <w:tcPr>
            <w:tcW w:w="1347" w:type="pct"/>
          </w:tcPr>
          <w:p w:rsidR="00CC07DB" w:rsidRPr="00653668" w:rsidRDefault="00CC07DB" w:rsidP="005A0854">
            <w:pPr>
              <w:snapToGrid w:val="0"/>
              <w:jc w:val="center"/>
              <w:rPr>
                <w:rFonts w:ascii="Arial Narrow" w:hAnsi="Arial Narrow"/>
                <w:snapToGrid/>
                <w:sz w:val="20"/>
                <w:lang w:eastAsia="en-AU"/>
              </w:rPr>
            </w:pPr>
            <w:r>
              <w:rPr>
                <w:rFonts w:ascii="Arial Narrow" w:hAnsi="Arial Narrow"/>
                <w:snapToGrid/>
                <w:sz w:val="20"/>
                <w:lang w:eastAsia="en-AU"/>
              </w:rPr>
              <w:t>0.44 (0.13, 1.43)</w:t>
            </w:r>
          </w:p>
        </w:tc>
        <w:tc>
          <w:tcPr>
            <w:tcW w:w="1329" w:type="pct"/>
          </w:tcPr>
          <w:p w:rsidR="00CC07DB" w:rsidRPr="00653668" w:rsidRDefault="00CC07DB" w:rsidP="005A0854">
            <w:pPr>
              <w:snapToGrid w:val="0"/>
              <w:jc w:val="center"/>
              <w:rPr>
                <w:rFonts w:ascii="Arial Narrow" w:hAnsi="Arial Narrow"/>
                <w:snapToGrid/>
                <w:sz w:val="20"/>
                <w:lang w:eastAsia="en-AU"/>
              </w:rPr>
            </w:pPr>
            <w:r w:rsidRPr="00653668">
              <w:rPr>
                <w:rFonts w:ascii="Arial Narrow" w:hAnsi="Arial Narrow"/>
                <w:snapToGrid/>
                <w:sz w:val="20"/>
                <w:lang w:eastAsia="en-AU"/>
              </w:rPr>
              <w:t>-0.02 (-0.04, 0.01)</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Pr>
                <w:rFonts w:ascii="Arial Narrow" w:hAnsi="Arial Narrow"/>
                <w:snapToGrid/>
                <w:sz w:val="20"/>
                <w:lang w:eastAsia="en-AU"/>
              </w:rPr>
              <w:t>Injection site reactions</w:t>
            </w:r>
          </w:p>
        </w:tc>
        <w:tc>
          <w:tcPr>
            <w:tcW w:w="1153" w:type="pct"/>
            <w:vAlign w:val="center"/>
          </w:tcPr>
          <w:p w:rsidR="00CC07DB" w:rsidRPr="00D11CFD" w:rsidRDefault="00CC07DB" w:rsidP="005A0854">
            <w:pPr>
              <w:snapToGrid w:val="0"/>
              <w:contextualSpacing/>
              <w:jc w:val="center"/>
              <w:rPr>
                <w:rFonts w:ascii="Arial Narrow" w:hAnsi="Arial Narrow"/>
                <w:b/>
                <w:bCs/>
                <w:snapToGrid/>
                <w:sz w:val="20"/>
                <w:lang w:eastAsia="en-AU"/>
              </w:rPr>
            </w:pPr>
            <w:r w:rsidRPr="00D11CFD">
              <w:rPr>
                <w:rFonts w:ascii="Arial Narrow" w:hAnsi="Arial Narrow"/>
                <w:b/>
                <w:bCs/>
                <w:snapToGrid/>
                <w:sz w:val="20"/>
                <w:lang w:eastAsia="en-AU"/>
              </w:rPr>
              <w:t>0.23 (0.08, 0.69)</w:t>
            </w:r>
          </w:p>
        </w:tc>
        <w:tc>
          <w:tcPr>
            <w:tcW w:w="1347" w:type="pct"/>
          </w:tcPr>
          <w:p w:rsidR="00CC07DB" w:rsidRPr="00D11CFD" w:rsidRDefault="00CC07DB" w:rsidP="005A0854">
            <w:pPr>
              <w:snapToGrid w:val="0"/>
              <w:jc w:val="center"/>
              <w:rPr>
                <w:rFonts w:ascii="Arial Narrow" w:hAnsi="Arial Narrow"/>
                <w:b/>
                <w:bCs/>
                <w:snapToGrid/>
                <w:sz w:val="20"/>
                <w:lang w:eastAsia="en-AU"/>
              </w:rPr>
            </w:pPr>
            <w:r>
              <w:rPr>
                <w:rFonts w:ascii="Arial Narrow" w:hAnsi="Arial Narrow"/>
                <w:b/>
                <w:bCs/>
                <w:snapToGrid/>
                <w:sz w:val="20"/>
                <w:lang w:eastAsia="en-AU"/>
              </w:rPr>
              <w:t>0.22 (0.07, 0.68)</w:t>
            </w:r>
          </w:p>
        </w:tc>
        <w:tc>
          <w:tcPr>
            <w:tcW w:w="1329" w:type="pct"/>
          </w:tcPr>
          <w:p w:rsidR="00CC07DB" w:rsidRPr="00D11CFD" w:rsidRDefault="00CC07DB" w:rsidP="005A0854">
            <w:pPr>
              <w:snapToGrid w:val="0"/>
              <w:jc w:val="center"/>
              <w:rPr>
                <w:rFonts w:ascii="Arial Narrow" w:hAnsi="Arial Narrow"/>
                <w:b/>
                <w:bCs/>
                <w:snapToGrid/>
                <w:sz w:val="20"/>
                <w:lang w:eastAsia="en-AU"/>
              </w:rPr>
            </w:pPr>
            <w:r w:rsidRPr="00D11CFD">
              <w:rPr>
                <w:rFonts w:ascii="Arial Narrow" w:hAnsi="Arial Narrow"/>
                <w:b/>
                <w:bCs/>
                <w:snapToGrid/>
                <w:sz w:val="20"/>
                <w:lang w:eastAsia="en-AU"/>
              </w:rPr>
              <w:t>-0.04 (-0.07, -0.01)</w:t>
            </w:r>
          </w:p>
        </w:tc>
      </w:tr>
      <w:tr w:rsidR="00CC07DB" w:rsidRPr="00C725E4" w:rsidTr="005A0854">
        <w:tc>
          <w:tcPr>
            <w:tcW w:w="1171" w:type="pct"/>
            <w:vAlign w:val="center"/>
          </w:tcPr>
          <w:p w:rsidR="00CC07DB" w:rsidRPr="00C725E4" w:rsidRDefault="00CC07DB" w:rsidP="005A0854">
            <w:pPr>
              <w:snapToGrid w:val="0"/>
              <w:jc w:val="left"/>
              <w:rPr>
                <w:rFonts w:ascii="Arial Narrow" w:hAnsi="Arial Narrow"/>
                <w:snapToGrid/>
                <w:sz w:val="20"/>
                <w:lang w:eastAsia="en-AU"/>
              </w:rPr>
            </w:pPr>
            <w:r w:rsidRPr="00C725E4">
              <w:rPr>
                <w:rFonts w:ascii="Arial Narrow" w:hAnsi="Arial Narrow"/>
                <w:snapToGrid/>
                <w:sz w:val="20"/>
                <w:lang w:eastAsia="en-AU"/>
              </w:rPr>
              <w:t>Infections</w:t>
            </w:r>
          </w:p>
        </w:tc>
        <w:tc>
          <w:tcPr>
            <w:tcW w:w="1153" w:type="pct"/>
            <w:vAlign w:val="center"/>
          </w:tcPr>
          <w:p w:rsidR="00CC07DB" w:rsidRPr="00AE7ECC" w:rsidRDefault="00CC07DB" w:rsidP="005A0854">
            <w:pPr>
              <w:snapToGrid w:val="0"/>
              <w:contextualSpacing/>
              <w:jc w:val="center"/>
              <w:rPr>
                <w:rFonts w:ascii="Arial Narrow" w:hAnsi="Arial Narrow"/>
                <w:snapToGrid/>
                <w:sz w:val="20"/>
                <w:lang w:eastAsia="en-AU"/>
              </w:rPr>
            </w:pPr>
            <w:r w:rsidRPr="00AE7ECC">
              <w:rPr>
                <w:rFonts w:ascii="Arial Narrow" w:hAnsi="Arial Narrow"/>
                <w:snapToGrid/>
                <w:sz w:val="20"/>
                <w:lang w:eastAsia="en-AU"/>
              </w:rPr>
              <w:t>0.93</w:t>
            </w:r>
            <w:r>
              <w:rPr>
                <w:rFonts w:ascii="Arial Narrow" w:hAnsi="Arial Narrow"/>
                <w:snapToGrid/>
                <w:sz w:val="20"/>
                <w:lang w:eastAsia="en-AU"/>
              </w:rPr>
              <w:t xml:space="preserve"> (0.77, 1.12)</w:t>
            </w:r>
          </w:p>
        </w:tc>
        <w:tc>
          <w:tcPr>
            <w:tcW w:w="1347" w:type="pct"/>
          </w:tcPr>
          <w:p w:rsidR="00CC07DB" w:rsidRPr="00AE7ECC" w:rsidRDefault="00CC07DB" w:rsidP="005A0854">
            <w:pPr>
              <w:snapToGrid w:val="0"/>
              <w:jc w:val="center"/>
              <w:rPr>
                <w:rFonts w:ascii="Arial Narrow" w:hAnsi="Arial Narrow"/>
                <w:snapToGrid/>
                <w:sz w:val="20"/>
                <w:lang w:eastAsia="en-AU"/>
              </w:rPr>
            </w:pPr>
            <w:r>
              <w:rPr>
                <w:rFonts w:ascii="Arial Narrow" w:hAnsi="Arial Narrow"/>
                <w:snapToGrid/>
                <w:sz w:val="20"/>
                <w:lang w:eastAsia="en-AU"/>
              </w:rPr>
              <w:t>0.88 (0.64, 1.21)</w:t>
            </w:r>
          </w:p>
        </w:tc>
        <w:tc>
          <w:tcPr>
            <w:tcW w:w="1329" w:type="pct"/>
          </w:tcPr>
          <w:p w:rsidR="00CC07DB" w:rsidRPr="00AE7ECC" w:rsidRDefault="00CC07DB" w:rsidP="005A0854">
            <w:pPr>
              <w:snapToGrid w:val="0"/>
              <w:jc w:val="center"/>
              <w:rPr>
                <w:rFonts w:ascii="Arial Narrow" w:hAnsi="Arial Narrow"/>
                <w:snapToGrid/>
                <w:sz w:val="20"/>
                <w:lang w:eastAsia="en-AU"/>
              </w:rPr>
            </w:pPr>
            <w:r>
              <w:rPr>
                <w:rFonts w:ascii="Arial Narrow" w:hAnsi="Arial Narrow"/>
                <w:snapToGrid/>
                <w:sz w:val="20"/>
                <w:lang w:eastAsia="en-AU"/>
              </w:rPr>
              <w:t>-0.03 (-0.11, 0.05)</w:t>
            </w:r>
          </w:p>
        </w:tc>
      </w:tr>
    </w:tbl>
    <w:p w:rsidR="00CC07DB" w:rsidRPr="00A16542" w:rsidRDefault="00CC07DB" w:rsidP="00A16542">
      <w:pPr>
        <w:rPr>
          <w:rFonts w:ascii="Arial Narrow" w:hAnsi="Arial Narrow"/>
          <w:b/>
          <w:i/>
          <w:snapToGrid/>
          <w:sz w:val="18"/>
          <w:szCs w:val="18"/>
        </w:rPr>
      </w:pPr>
      <w:bookmarkStart w:id="18" w:name="_Toc512339663"/>
      <w:r w:rsidRPr="00A16542">
        <w:rPr>
          <w:rFonts w:ascii="Arial Narrow" w:hAnsi="Arial Narrow"/>
          <w:i/>
          <w:snapToGrid/>
          <w:sz w:val="18"/>
          <w:szCs w:val="18"/>
        </w:rPr>
        <w:t>Italics indicate results estimated during the evaluation, bold typography indicate</w:t>
      </w:r>
      <w:r w:rsidR="00A557C1">
        <w:rPr>
          <w:rFonts w:ascii="Arial Narrow" w:hAnsi="Arial Narrow"/>
          <w:i/>
          <w:snapToGrid/>
          <w:sz w:val="18"/>
          <w:szCs w:val="18"/>
        </w:rPr>
        <w:t>s</w:t>
      </w:r>
      <w:r w:rsidRPr="00A16542">
        <w:rPr>
          <w:rFonts w:ascii="Arial Narrow" w:hAnsi="Arial Narrow"/>
          <w:i/>
          <w:snapToGrid/>
          <w:sz w:val="18"/>
          <w:szCs w:val="18"/>
        </w:rPr>
        <w:t xml:space="preserve"> statistically significant results.</w:t>
      </w:r>
      <w:bookmarkEnd w:id="18"/>
      <w:r w:rsidRPr="00A16542">
        <w:rPr>
          <w:rFonts w:ascii="Arial Narrow" w:hAnsi="Arial Narrow"/>
          <w:i/>
          <w:snapToGrid/>
          <w:sz w:val="18"/>
          <w:szCs w:val="18"/>
        </w:rPr>
        <w:t xml:space="preserve"> </w:t>
      </w:r>
    </w:p>
    <w:p w:rsidR="00CC07DB" w:rsidRPr="00A16542" w:rsidRDefault="00CC07DB" w:rsidP="00A16542">
      <w:pPr>
        <w:rPr>
          <w:rFonts w:ascii="Arial Narrow" w:hAnsi="Arial Narrow"/>
          <w:b/>
          <w:snapToGrid/>
          <w:sz w:val="18"/>
          <w:szCs w:val="18"/>
        </w:rPr>
      </w:pPr>
      <w:bookmarkStart w:id="19" w:name="_Toc512339664"/>
      <w:r w:rsidRPr="00A16542">
        <w:rPr>
          <w:rFonts w:ascii="Arial Narrow" w:hAnsi="Arial Narrow"/>
          <w:snapToGrid/>
          <w:sz w:val="18"/>
          <w:szCs w:val="18"/>
        </w:rPr>
        <w:t>ADA</w:t>
      </w:r>
      <w:r w:rsidR="00E56C04">
        <w:rPr>
          <w:rFonts w:ascii="Arial Narrow" w:hAnsi="Arial Narrow"/>
          <w:snapToGrid/>
          <w:sz w:val="18"/>
          <w:szCs w:val="18"/>
        </w:rPr>
        <w:t xml:space="preserve"> =</w:t>
      </w:r>
      <w:r w:rsidRPr="00A16542">
        <w:rPr>
          <w:rFonts w:ascii="Arial Narrow" w:hAnsi="Arial Narrow"/>
          <w:snapToGrid/>
          <w:sz w:val="18"/>
          <w:szCs w:val="18"/>
        </w:rPr>
        <w:t xml:space="preserve"> adalimumab; ETN</w:t>
      </w:r>
      <w:r w:rsidR="00E56C04">
        <w:rPr>
          <w:rFonts w:ascii="Arial Narrow" w:hAnsi="Arial Narrow"/>
          <w:snapToGrid/>
          <w:sz w:val="18"/>
          <w:szCs w:val="18"/>
        </w:rPr>
        <w:t xml:space="preserve"> =</w:t>
      </w:r>
      <w:r w:rsidRPr="00A16542">
        <w:rPr>
          <w:rFonts w:ascii="Arial Narrow" w:hAnsi="Arial Narrow"/>
          <w:snapToGrid/>
          <w:sz w:val="18"/>
          <w:szCs w:val="18"/>
        </w:rPr>
        <w:t xml:space="preserve"> etanercept; TIL</w:t>
      </w:r>
      <w:r w:rsidR="00E56C04">
        <w:rPr>
          <w:rFonts w:ascii="Arial Narrow" w:hAnsi="Arial Narrow"/>
          <w:snapToGrid/>
          <w:sz w:val="18"/>
          <w:szCs w:val="18"/>
        </w:rPr>
        <w:t xml:space="preserve"> =</w:t>
      </w:r>
      <w:r w:rsidRPr="00A16542">
        <w:rPr>
          <w:rFonts w:ascii="Arial Narrow" w:hAnsi="Arial Narrow"/>
          <w:snapToGrid/>
          <w:sz w:val="18"/>
          <w:szCs w:val="18"/>
        </w:rPr>
        <w:t xml:space="preserve"> </w:t>
      </w:r>
      <w:proofErr w:type="spellStart"/>
      <w:r w:rsidRPr="00A16542">
        <w:rPr>
          <w:rFonts w:ascii="Arial Narrow" w:hAnsi="Arial Narrow"/>
          <w:snapToGrid/>
          <w:sz w:val="18"/>
          <w:szCs w:val="18"/>
        </w:rPr>
        <w:t>tildrakizumab</w:t>
      </w:r>
      <w:proofErr w:type="spellEnd"/>
      <w:r w:rsidRPr="00A16542">
        <w:rPr>
          <w:rFonts w:ascii="Arial Narrow" w:hAnsi="Arial Narrow"/>
          <w:snapToGrid/>
          <w:sz w:val="18"/>
          <w:szCs w:val="18"/>
        </w:rPr>
        <w:t>; UST</w:t>
      </w:r>
      <w:r w:rsidR="00E56C04">
        <w:rPr>
          <w:rFonts w:ascii="Arial Narrow" w:hAnsi="Arial Narrow"/>
          <w:snapToGrid/>
          <w:sz w:val="18"/>
          <w:szCs w:val="18"/>
        </w:rPr>
        <w:t xml:space="preserve"> =</w:t>
      </w:r>
      <w:r w:rsidRPr="00A16542">
        <w:rPr>
          <w:rFonts w:ascii="Arial Narrow" w:hAnsi="Arial Narrow"/>
          <w:snapToGrid/>
          <w:sz w:val="18"/>
          <w:szCs w:val="18"/>
        </w:rPr>
        <w:t xml:space="preserve"> ustekinumab; AE</w:t>
      </w:r>
      <w:r w:rsidR="00E56C04">
        <w:rPr>
          <w:rFonts w:ascii="Arial Narrow" w:hAnsi="Arial Narrow"/>
          <w:snapToGrid/>
          <w:sz w:val="18"/>
          <w:szCs w:val="18"/>
        </w:rPr>
        <w:t xml:space="preserve"> =</w:t>
      </w:r>
      <w:r w:rsidRPr="00A16542">
        <w:rPr>
          <w:rFonts w:ascii="Arial Narrow" w:hAnsi="Arial Narrow"/>
          <w:snapToGrid/>
          <w:sz w:val="18"/>
          <w:szCs w:val="18"/>
        </w:rPr>
        <w:t xml:space="preserve"> adverse event; CI</w:t>
      </w:r>
      <w:r w:rsidR="00E56C04">
        <w:rPr>
          <w:rFonts w:ascii="Arial Narrow" w:hAnsi="Arial Narrow"/>
          <w:snapToGrid/>
          <w:sz w:val="18"/>
          <w:szCs w:val="18"/>
        </w:rPr>
        <w:t xml:space="preserve"> =</w:t>
      </w:r>
      <w:r w:rsidRPr="00A16542">
        <w:rPr>
          <w:rFonts w:ascii="Arial Narrow" w:hAnsi="Arial Narrow"/>
          <w:snapToGrid/>
          <w:sz w:val="18"/>
          <w:szCs w:val="18"/>
        </w:rPr>
        <w:t xml:space="preserve"> confidence interval; OR</w:t>
      </w:r>
      <w:r w:rsidR="00E56C04">
        <w:rPr>
          <w:rFonts w:ascii="Arial Narrow" w:hAnsi="Arial Narrow"/>
          <w:snapToGrid/>
          <w:sz w:val="18"/>
          <w:szCs w:val="18"/>
        </w:rPr>
        <w:t xml:space="preserve"> =</w:t>
      </w:r>
      <w:r w:rsidRPr="00A16542">
        <w:rPr>
          <w:rFonts w:ascii="Arial Narrow" w:hAnsi="Arial Narrow"/>
          <w:snapToGrid/>
          <w:sz w:val="18"/>
          <w:szCs w:val="18"/>
        </w:rPr>
        <w:t xml:space="preserve"> </w:t>
      </w:r>
      <w:r w:rsidRPr="00A16542">
        <w:rPr>
          <w:rFonts w:ascii="Arial Narrow" w:hAnsi="Arial Narrow"/>
          <w:snapToGrid/>
          <w:sz w:val="18"/>
          <w:szCs w:val="18"/>
        </w:rPr>
        <w:lastRenderedPageBreak/>
        <w:t>Odds Ratio;</w:t>
      </w:r>
      <w:r w:rsidR="00E56C04">
        <w:rPr>
          <w:rFonts w:ascii="Arial Narrow" w:hAnsi="Arial Narrow"/>
          <w:snapToGrid/>
          <w:sz w:val="18"/>
          <w:szCs w:val="18"/>
        </w:rPr>
        <w:t xml:space="preserve"> </w:t>
      </w:r>
      <w:r w:rsidRPr="00A16542">
        <w:rPr>
          <w:rFonts w:ascii="Arial Narrow" w:hAnsi="Arial Narrow"/>
          <w:snapToGrid/>
          <w:sz w:val="18"/>
          <w:szCs w:val="18"/>
        </w:rPr>
        <w:t>RD</w:t>
      </w:r>
      <w:r w:rsidR="00E56C04">
        <w:rPr>
          <w:rFonts w:ascii="Arial Narrow" w:hAnsi="Arial Narrow"/>
          <w:snapToGrid/>
          <w:sz w:val="18"/>
          <w:szCs w:val="18"/>
        </w:rPr>
        <w:t xml:space="preserve"> =</w:t>
      </w:r>
      <w:r w:rsidRPr="00A16542">
        <w:rPr>
          <w:rFonts w:ascii="Arial Narrow" w:hAnsi="Arial Narrow"/>
          <w:snapToGrid/>
          <w:sz w:val="18"/>
          <w:szCs w:val="18"/>
        </w:rPr>
        <w:t xml:space="preserve"> Risk Difference; RR</w:t>
      </w:r>
      <w:r w:rsidR="00E56C04">
        <w:rPr>
          <w:rFonts w:ascii="Arial Narrow" w:hAnsi="Arial Narrow"/>
          <w:snapToGrid/>
          <w:sz w:val="18"/>
          <w:szCs w:val="18"/>
        </w:rPr>
        <w:t xml:space="preserve"> =</w:t>
      </w:r>
      <w:r w:rsidRPr="00A16542">
        <w:rPr>
          <w:rFonts w:ascii="Arial Narrow" w:hAnsi="Arial Narrow"/>
          <w:snapToGrid/>
          <w:sz w:val="18"/>
          <w:szCs w:val="18"/>
        </w:rPr>
        <w:t xml:space="preserve"> Relative Risk</w:t>
      </w:r>
      <w:bookmarkEnd w:id="19"/>
      <w:r w:rsidRPr="00A16542">
        <w:rPr>
          <w:rFonts w:ascii="Arial Narrow" w:hAnsi="Arial Narrow"/>
          <w:snapToGrid/>
          <w:sz w:val="18"/>
          <w:szCs w:val="18"/>
        </w:rPr>
        <w:t xml:space="preserve"> </w:t>
      </w:r>
    </w:p>
    <w:p w:rsidR="00CC07DB" w:rsidRPr="00A16542" w:rsidRDefault="00CC07DB" w:rsidP="00A16542">
      <w:pPr>
        <w:rPr>
          <w:rFonts w:ascii="Arial Narrow" w:hAnsi="Arial Narrow"/>
          <w:b/>
          <w:snapToGrid/>
          <w:sz w:val="18"/>
          <w:szCs w:val="18"/>
        </w:rPr>
      </w:pPr>
      <w:bookmarkStart w:id="20" w:name="_Toc512339665"/>
      <w:r w:rsidRPr="00A16542">
        <w:rPr>
          <w:rFonts w:ascii="Arial Narrow" w:hAnsi="Arial Narrow"/>
          <w:snapToGrid/>
          <w:sz w:val="18"/>
          <w:szCs w:val="18"/>
        </w:rPr>
        <w:t>^</w:t>
      </w:r>
      <w:r w:rsidRPr="00A16542">
        <w:rPr>
          <w:rFonts w:ascii="Arial Narrow" w:hAnsi="Arial Narrow"/>
          <w:snapToGrid/>
          <w:sz w:val="18"/>
          <w:szCs w:val="18"/>
        </w:rPr>
        <w:tab/>
      </w:r>
      <w:r w:rsidRPr="00A16542">
        <w:rPr>
          <w:rFonts w:ascii="Arial Narrow" w:hAnsi="Arial Narrow"/>
          <w:i/>
          <w:snapToGrid/>
          <w:sz w:val="18"/>
          <w:szCs w:val="18"/>
        </w:rPr>
        <w:t xml:space="preserve">estimated during the evaluation in </w:t>
      </w:r>
      <w:proofErr w:type="spellStart"/>
      <w:r w:rsidRPr="00A16542">
        <w:rPr>
          <w:rFonts w:ascii="Arial Narrow" w:hAnsi="Arial Narrow"/>
          <w:i/>
          <w:snapToGrid/>
          <w:sz w:val="18"/>
          <w:szCs w:val="18"/>
        </w:rPr>
        <w:t>RevMan</w:t>
      </w:r>
      <w:proofErr w:type="spellEnd"/>
      <w:r w:rsidRPr="00A16542">
        <w:rPr>
          <w:rFonts w:ascii="Arial Narrow" w:hAnsi="Arial Narrow"/>
          <w:i/>
          <w:snapToGrid/>
          <w:sz w:val="18"/>
          <w:szCs w:val="18"/>
        </w:rPr>
        <w:t xml:space="preserve"> Version 5.3 following the Bucher 1997 method</w:t>
      </w:r>
      <w:r w:rsidRPr="00A16542">
        <w:rPr>
          <w:rFonts w:ascii="Arial Narrow" w:hAnsi="Arial Narrow"/>
          <w:snapToGrid/>
          <w:sz w:val="18"/>
          <w:szCs w:val="18"/>
        </w:rPr>
        <w:t>.</w:t>
      </w:r>
      <w:bookmarkEnd w:id="20"/>
    </w:p>
    <w:p w:rsidR="00CC07DB" w:rsidRPr="00A16542" w:rsidRDefault="00CC07DB" w:rsidP="00A16542">
      <w:pPr>
        <w:rPr>
          <w:rFonts w:ascii="Arial Narrow" w:hAnsi="Arial Narrow"/>
          <w:b/>
          <w:sz w:val="18"/>
          <w:szCs w:val="18"/>
        </w:rPr>
      </w:pPr>
      <w:bookmarkStart w:id="21" w:name="_Toc512339666"/>
      <w:r w:rsidRPr="00A16542">
        <w:rPr>
          <w:rFonts w:ascii="Arial Narrow" w:hAnsi="Arial Narrow"/>
          <w:snapToGrid/>
          <w:sz w:val="18"/>
          <w:szCs w:val="18"/>
        </w:rPr>
        <w:t xml:space="preserve">Source: Estimated during the evaluation using results reported in Table 2(a).6-52 to 56, pp.170-174 of the submission; </w:t>
      </w:r>
      <w:r w:rsidRPr="00A16542">
        <w:rPr>
          <w:rFonts w:ascii="Arial Narrow" w:hAnsi="Arial Narrow"/>
          <w:sz w:val="18"/>
          <w:szCs w:val="18"/>
        </w:rPr>
        <w:t>Table 2(b).5-11, p26-27; Table 2(c).6-23 to 27, pp.80-84 of Appendix 1 of the submission; Table 12-4, Table12-8; Table 14.3-27; p241, 249, 1105-6 of CSR for re SURFACE 2.</w:t>
      </w:r>
      <w:bookmarkEnd w:id="21"/>
    </w:p>
    <w:p w:rsidR="00CB64E7" w:rsidRDefault="00CB64E7" w:rsidP="00CB64E7">
      <w:pPr>
        <w:pStyle w:val="BodyText"/>
        <w:ind w:left="510" w:firstLine="170"/>
        <w:rPr>
          <w:i/>
        </w:rPr>
      </w:pPr>
    </w:p>
    <w:p w:rsidR="00CB64E7" w:rsidRPr="00CB64E7" w:rsidRDefault="00CB64E7" w:rsidP="00CB64E7">
      <w:pPr>
        <w:pStyle w:val="BodyText"/>
        <w:spacing w:after="120"/>
        <w:ind w:left="510" w:firstLine="170"/>
        <w:rPr>
          <w:i/>
        </w:rPr>
      </w:pPr>
      <w:r w:rsidRPr="00CB64E7">
        <w:rPr>
          <w:i/>
        </w:rPr>
        <w:t>For more detail on PBAC’s view, see section 7 PBAC outcome.</w:t>
      </w:r>
    </w:p>
    <w:p w:rsidR="00B60939" w:rsidRPr="00C725E4" w:rsidRDefault="00B60939" w:rsidP="00CB64E7">
      <w:pPr>
        <w:pStyle w:val="Heading2"/>
        <w:spacing w:after="120"/>
      </w:pPr>
      <w:bookmarkStart w:id="22" w:name="_Toc514171469"/>
      <w:r w:rsidRPr="00C725E4">
        <w:t>Clinical claim</w:t>
      </w:r>
      <w:bookmarkEnd w:id="22"/>
    </w:p>
    <w:p w:rsidR="00AF5506" w:rsidRPr="00273DA3" w:rsidRDefault="00AF5506" w:rsidP="00CB64E7">
      <w:pPr>
        <w:pStyle w:val="ListParagraph"/>
        <w:widowControl/>
        <w:numPr>
          <w:ilvl w:val="1"/>
          <w:numId w:val="3"/>
        </w:numPr>
        <w:spacing w:after="120"/>
      </w:pPr>
      <w:r w:rsidRPr="00273DA3">
        <w:t>The submission described TIL as:</w:t>
      </w:r>
    </w:p>
    <w:p w:rsidR="00AF5506" w:rsidRPr="00273DA3" w:rsidRDefault="00AF5506" w:rsidP="00CB64E7">
      <w:pPr>
        <w:pStyle w:val="ListParagraph"/>
        <w:widowControl/>
        <w:numPr>
          <w:ilvl w:val="1"/>
          <w:numId w:val="28"/>
        </w:numPr>
        <w:spacing w:after="0"/>
        <w:ind w:left="1418" w:hanging="567"/>
      </w:pPr>
      <w:r w:rsidRPr="00273DA3">
        <w:t>non-inferior in terms of effectiveness and safety compared to UST</w:t>
      </w:r>
    </w:p>
    <w:p w:rsidR="00AF5506" w:rsidRPr="00273DA3" w:rsidRDefault="00AF5506" w:rsidP="00CB64E7">
      <w:pPr>
        <w:pStyle w:val="ListParagraph"/>
        <w:widowControl/>
        <w:numPr>
          <w:ilvl w:val="1"/>
          <w:numId w:val="28"/>
        </w:numPr>
        <w:spacing w:after="0"/>
        <w:ind w:left="1418" w:hanging="567"/>
      </w:pPr>
      <w:r w:rsidRPr="00273DA3">
        <w:t>superior in terms of effectiveness and safety compared to ETN; and</w:t>
      </w:r>
    </w:p>
    <w:p w:rsidR="00AF5506" w:rsidRPr="00273DA3" w:rsidRDefault="00AF5506" w:rsidP="00CB64E7">
      <w:pPr>
        <w:pStyle w:val="ListParagraph"/>
        <w:widowControl/>
        <w:numPr>
          <w:ilvl w:val="1"/>
          <w:numId w:val="28"/>
        </w:numPr>
        <w:spacing w:after="120"/>
        <w:ind w:left="1418" w:hanging="567"/>
      </w:pPr>
      <w:proofErr w:type="gramStart"/>
      <w:r w:rsidRPr="00273DA3">
        <w:t>non-inferior</w:t>
      </w:r>
      <w:proofErr w:type="gramEnd"/>
      <w:r w:rsidRPr="00273DA3">
        <w:t xml:space="preserve"> in terms of effectiveness and safety compared to ADA.  </w:t>
      </w:r>
    </w:p>
    <w:p w:rsidR="00AF5506" w:rsidRPr="00273DA3" w:rsidRDefault="00AF5506" w:rsidP="00CB64E7">
      <w:pPr>
        <w:pStyle w:val="ListParagraph"/>
        <w:widowControl/>
        <w:numPr>
          <w:ilvl w:val="1"/>
          <w:numId w:val="3"/>
        </w:numPr>
        <w:spacing w:after="120"/>
      </w:pPr>
      <w:r w:rsidRPr="00273DA3">
        <w:t>Based on the evidence presented in the submission, the claims appeared reasonable except for:</w:t>
      </w:r>
    </w:p>
    <w:p w:rsidR="00AF5506" w:rsidRPr="00273DA3" w:rsidRDefault="00AF5506" w:rsidP="00CB64E7">
      <w:pPr>
        <w:pStyle w:val="ListParagraph"/>
        <w:widowControl/>
        <w:numPr>
          <w:ilvl w:val="0"/>
          <w:numId w:val="29"/>
        </w:numPr>
        <w:spacing w:after="120"/>
        <w:ind w:left="1134" w:hanging="425"/>
      </w:pPr>
      <w:r w:rsidRPr="00273DA3">
        <w:t>The claim of non-inferior efficacy against UST.  Results of indirect comparisons using PBO as common reference generally did not favour TIL for attainment of PASI75 response at Week 12</w:t>
      </w:r>
      <w:r w:rsidR="003133F5">
        <w:t xml:space="preserve">. </w:t>
      </w:r>
      <w:r w:rsidR="003133F5" w:rsidRPr="003133F5">
        <w:t>T</w:t>
      </w:r>
      <w:r w:rsidR="003133F5">
        <w:t>he ESC considered that t</w:t>
      </w:r>
      <w:r w:rsidR="003133F5" w:rsidRPr="003133F5">
        <w:t xml:space="preserve">he PASI 75 outcome at Week 12 (including odds ratio (OR), 95% CI: 0.77: 0.44-1.35) </w:t>
      </w:r>
      <w:r w:rsidR="002F7F99" w:rsidRPr="002F7F99">
        <w:t>i</w:t>
      </w:r>
      <w:r w:rsidR="002E755A" w:rsidRPr="002F7F99">
        <w:rPr>
          <w:rFonts w:asciiTheme="minorHAnsi" w:eastAsiaTheme="minorEastAsia" w:hAnsiTheme="minorHAnsi" w:cstheme="minorBidi"/>
          <w:snapToGrid/>
          <w:sz w:val="22"/>
          <w:lang w:eastAsia="en-AU"/>
        </w:rPr>
        <w:t>ndicated possible inferiority based on the lower 95% CI exceeding -10%</w:t>
      </w:r>
      <w:r w:rsidR="003133F5" w:rsidRPr="003133F5">
        <w:t xml:space="preserve"> for the RD statistic (-0.05: -0.11-0.01).</w:t>
      </w:r>
      <w:r w:rsidR="00775C82">
        <w:t xml:space="preserve"> </w:t>
      </w:r>
      <w:r w:rsidR="00A266B9" w:rsidRPr="00273DA3">
        <w:t xml:space="preserve">The ESC noted that the PSCR questioned the </w:t>
      </w:r>
      <w:r w:rsidR="00A266B9" w:rsidRPr="002F7F99">
        <w:t xml:space="preserve">introduction of </w:t>
      </w:r>
      <w:r w:rsidR="002E755A" w:rsidRPr="002F7F99">
        <w:rPr>
          <w:rFonts w:asciiTheme="minorHAnsi" w:eastAsiaTheme="minorEastAsia" w:hAnsiTheme="minorHAnsi" w:cstheme="minorBidi"/>
          <w:snapToGrid/>
          <w:sz w:val="22"/>
          <w:lang w:eastAsia="en-AU"/>
        </w:rPr>
        <w:t xml:space="preserve">-10% </w:t>
      </w:r>
      <w:r w:rsidR="00A266B9" w:rsidRPr="002F7F99">
        <w:t>as</w:t>
      </w:r>
      <w:r w:rsidR="00A266B9" w:rsidRPr="00273DA3">
        <w:t xml:space="preserve"> a criteria for non-inferiority in the indirect comparison of TIL versus </w:t>
      </w:r>
      <w:r w:rsidR="000B3827" w:rsidRPr="00273DA3">
        <w:t>UST</w:t>
      </w:r>
      <w:r w:rsidR="00362B82" w:rsidRPr="00273DA3">
        <w:t>.</w:t>
      </w:r>
      <w:r w:rsidR="00A266B9" w:rsidRPr="00273DA3">
        <w:t xml:space="preserve">  </w:t>
      </w:r>
      <w:r w:rsidRPr="00273DA3">
        <w:t>The indirect comparison also reached statistical significance for the OR statistic between TIL and UST 90</w:t>
      </w:r>
      <w:r w:rsidR="00775C82">
        <w:t xml:space="preserve"> </w:t>
      </w:r>
      <w:r w:rsidRPr="00273DA3">
        <w:t>mg (OR (95%CI): 0.45 (0.24, 0.86)), indicating TIL may be inferior to UST 90</w:t>
      </w:r>
      <w:r w:rsidR="00775C82">
        <w:t xml:space="preserve"> </w:t>
      </w:r>
      <w:r w:rsidRPr="00273DA3">
        <w:t>mg.  Using results of UST1 (ACCEPT trial) and TIL2 (</w:t>
      </w:r>
      <w:proofErr w:type="spellStart"/>
      <w:r w:rsidRPr="00273DA3">
        <w:t>reSURFACE</w:t>
      </w:r>
      <w:proofErr w:type="spellEnd"/>
      <w:r w:rsidR="004751B9" w:rsidRPr="00273DA3">
        <w:t xml:space="preserve"> </w:t>
      </w:r>
      <w:r w:rsidRPr="00273DA3">
        <w:t>2) the submission also conducted indirect comparisons between TIL and UST using ETN as common comparator.  Although these comparisons did not find any significant differences between TIL and UST at any dose, given only two trials were included in the comparisons, the relevance of these results to decision making may be limited.</w:t>
      </w:r>
      <w:r w:rsidR="00304492" w:rsidRPr="00273DA3">
        <w:t xml:space="preserve"> </w:t>
      </w:r>
      <w:r w:rsidR="00304492" w:rsidRPr="00273DA3">
        <w:rPr>
          <w:iCs/>
        </w:rPr>
        <w:t>The ESC considered that the nominated main comparator of ustekinumab (UST) is reasonable on the basis of use and mechanism but cannot be used for cost minimisation since the indirect comparison does not show unequivocal non-inferiority.</w:t>
      </w:r>
      <w:r w:rsidR="00304492" w:rsidRPr="00273DA3">
        <w:rPr>
          <w:rFonts w:cs="Calibri"/>
          <w:iCs/>
          <w:snapToGrid/>
          <w:szCs w:val="24"/>
          <w:lang w:eastAsia="en-AU"/>
        </w:rPr>
        <w:t xml:space="preserve"> It is noted that other evidence in the submission indicate that</w:t>
      </w:r>
      <w:r w:rsidR="00304492" w:rsidRPr="00273DA3">
        <w:rPr>
          <w:rFonts w:cs="Calibri"/>
          <w:iCs/>
          <w:snapToGrid/>
          <w:szCs w:val="24"/>
          <w:lang w:val="en-US" w:eastAsia="en-AU"/>
        </w:rPr>
        <w:t xml:space="preserve"> </w:t>
      </w:r>
      <w:proofErr w:type="spellStart"/>
      <w:r w:rsidR="00304492" w:rsidRPr="00273DA3">
        <w:rPr>
          <w:rFonts w:cs="Calibri"/>
          <w:iCs/>
          <w:snapToGrid/>
          <w:szCs w:val="24"/>
          <w:lang w:val="en-US" w:eastAsia="en-AU"/>
        </w:rPr>
        <w:t>tildrakizumab</w:t>
      </w:r>
      <w:proofErr w:type="spellEnd"/>
      <w:r w:rsidR="00304492" w:rsidRPr="00273DA3">
        <w:rPr>
          <w:rFonts w:cs="Calibri"/>
          <w:iCs/>
          <w:snapToGrid/>
          <w:szCs w:val="24"/>
          <w:lang w:val="en-US" w:eastAsia="en-AU"/>
        </w:rPr>
        <w:t xml:space="preserve"> (TIL) is probably superior to etanercept (ETN) on direct comparison and non-inferior to adalimumab (ADA) on indirect comparison.</w:t>
      </w:r>
    </w:p>
    <w:p w:rsidR="00AF5506" w:rsidRPr="00273DA3" w:rsidRDefault="00AF5506" w:rsidP="00CB64E7">
      <w:pPr>
        <w:pStyle w:val="ListParagraph"/>
        <w:widowControl/>
        <w:numPr>
          <w:ilvl w:val="0"/>
          <w:numId w:val="29"/>
        </w:numPr>
        <w:spacing w:after="120"/>
        <w:ind w:left="1134" w:hanging="425"/>
      </w:pPr>
      <w:r w:rsidRPr="00273DA3">
        <w:t>The claim of superior safety of TIL vs ETN.  Although TIL reduced injection site reactions compared to ETN,  the proportion of patients with serious AEs and discontinuations due to AEs were similar between TIL and ETN.  Although TIL significantly reduced overall AEs up to 28 weeks (Part I and 2 of re SURFACE 2 trial) compared to ETN, it did not significantly reduce overall AEs in the first 12 weeks of treatment.</w:t>
      </w:r>
      <w:r w:rsidR="00B5083E" w:rsidRPr="00273DA3">
        <w:t xml:space="preserve">  The PSCR acknowledged the assessment in the</w:t>
      </w:r>
      <w:r w:rsidR="00B5083E" w:rsidRPr="00B5083E">
        <w:rPr>
          <w:i/>
        </w:rPr>
        <w:t xml:space="preserve"> </w:t>
      </w:r>
      <w:r w:rsidR="00B5083E" w:rsidRPr="00273DA3">
        <w:lastRenderedPageBreak/>
        <w:t>commentary that a conclusion of non-inferior safety of TIL vs ETN may be more reasonable.</w:t>
      </w:r>
    </w:p>
    <w:p w:rsidR="00304492" w:rsidRPr="00273DA3" w:rsidRDefault="00304492" w:rsidP="00CB64E7">
      <w:pPr>
        <w:pStyle w:val="ListParagraph"/>
        <w:numPr>
          <w:ilvl w:val="1"/>
          <w:numId w:val="3"/>
        </w:numPr>
        <w:spacing w:after="120"/>
      </w:pPr>
      <w:r w:rsidRPr="00273DA3">
        <w:t xml:space="preserve">The ESC noted that no comparative evidence of TIL vs either IFX or IXE was presented in the submission. In addition, the ESC noted that a submission for </w:t>
      </w:r>
      <w:proofErr w:type="spellStart"/>
      <w:r w:rsidRPr="00273DA3">
        <w:t>guselkumab</w:t>
      </w:r>
      <w:proofErr w:type="spellEnd"/>
      <w:r w:rsidRPr="00273DA3">
        <w:t xml:space="preserve"> (GUS), a drug with a similar mechanism of action to TIL, will be considered at the July PBAC meeting. </w:t>
      </w:r>
      <w:r w:rsidR="00EF0480">
        <w:t xml:space="preserve">The </w:t>
      </w:r>
      <w:r w:rsidRPr="00273DA3">
        <w:t xml:space="preserve">PSCR reiterated that the choice of UST as main comparator and ETN and ADA as supplementary comparators is appropriate, but acknowledged that IFX is less costly than UST due to the availability of </w:t>
      </w:r>
      <w:proofErr w:type="spellStart"/>
      <w:r w:rsidRPr="00273DA3">
        <w:t>biosimilars</w:t>
      </w:r>
      <w:proofErr w:type="spellEnd"/>
      <w:r w:rsidRPr="00273DA3">
        <w:t xml:space="preserve">. </w:t>
      </w:r>
    </w:p>
    <w:p w:rsidR="00304492" w:rsidRPr="00273DA3" w:rsidRDefault="00304492" w:rsidP="00CB64E7">
      <w:pPr>
        <w:pStyle w:val="ListParagraph"/>
        <w:numPr>
          <w:ilvl w:val="1"/>
          <w:numId w:val="3"/>
        </w:numPr>
        <w:spacing w:after="120"/>
        <w:rPr>
          <w:iCs/>
        </w:rPr>
      </w:pPr>
      <w:r w:rsidRPr="00273DA3">
        <w:rPr>
          <w:iCs/>
        </w:rPr>
        <w:t>In the PSCR, the sponsor:</w:t>
      </w:r>
    </w:p>
    <w:p w:rsidR="00304492" w:rsidRPr="00273DA3" w:rsidRDefault="00304492" w:rsidP="00CB64E7">
      <w:pPr>
        <w:pStyle w:val="ListParagraph"/>
        <w:widowControl/>
        <w:numPr>
          <w:ilvl w:val="0"/>
          <w:numId w:val="34"/>
        </w:numPr>
        <w:spacing w:after="0"/>
        <w:ind w:left="1434" w:hanging="357"/>
        <w:rPr>
          <w:iCs/>
        </w:rPr>
      </w:pPr>
      <w:proofErr w:type="gramStart"/>
      <w:r w:rsidRPr="00273DA3">
        <w:rPr>
          <w:iCs/>
        </w:rPr>
        <w:t>expressed</w:t>
      </w:r>
      <w:proofErr w:type="gramEnd"/>
      <w:r w:rsidRPr="00273DA3">
        <w:rPr>
          <w:iCs/>
        </w:rPr>
        <w:t xml:space="preserve"> that the submission did not nominate a non-inferiority margin because ‘there is not published evidence that support the use of this statistic for PASI 75’, and argued that previously the PBAC has recommended listing of other bDMARDs without applying non-inferiority margin.</w:t>
      </w:r>
    </w:p>
    <w:p w:rsidR="00304492" w:rsidRPr="00273DA3" w:rsidRDefault="00304492" w:rsidP="00CB64E7">
      <w:pPr>
        <w:pStyle w:val="ListParagraph"/>
        <w:widowControl/>
        <w:numPr>
          <w:ilvl w:val="0"/>
          <w:numId w:val="34"/>
        </w:numPr>
        <w:spacing w:after="0"/>
        <w:ind w:left="1434" w:hanging="357"/>
        <w:rPr>
          <w:iCs/>
        </w:rPr>
      </w:pPr>
      <w:r w:rsidRPr="00273DA3">
        <w:rPr>
          <w:iCs/>
        </w:rPr>
        <w:t xml:space="preserve">argued that the dosing regimen used in the UST clinical trial may have biased the results of the indirect comparison against </w:t>
      </w:r>
      <w:proofErr w:type="spellStart"/>
      <w:r w:rsidR="00775C82">
        <w:rPr>
          <w:iCs/>
        </w:rPr>
        <w:t>t</w:t>
      </w:r>
      <w:r w:rsidRPr="00273DA3">
        <w:rPr>
          <w:iCs/>
        </w:rPr>
        <w:t>ildrakizumab</w:t>
      </w:r>
      <w:proofErr w:type="spellEnd"/>
    </w:p>
    <w:p w:rsidR="00B8360B" w:rsidRDefault="00304492" w:rsidP="00CB64E7">
      <w:pPr>
        <w:pStyle w:val="ListParagraph"/>
        <w:widowControl/>
        <w:numPr>
          <w:ilvl w:val="0"/>
          <w:numId w:val="34"/>
        </w:numPr>
        <w:spacing w:after="120"/>
        <w:ind w:left="1434" w:hanging="357"/>
        <w:rPr>
          <w:iCs/>
        </w:rPr>
      </w:pPr>
      <w:proofErr w:type="gramStart"/>
      <w:r w:rsidRPr="00273DA3">
        <w:rPr>
          <w:iCs/>
        </w:rPr>
        <w:t>argued</w:t>
      </w:r>
      <w:proofErr w:type="gramEnd"/>
      <w:r w:rsidRPr="00273DA3">
        <w:rPr>
          <w:iCs/>
        </w:rPr>
        <w:t xml:space="preserve"> that the indirect comparison via ETN as common reference supports the claims of non-inferiority of TIL to UST</w:t>
      </w:r>
      <w:r w:rsidR="00B8360B">
        <w:rPr>
          <w:iCs/>
        </w:rPr>
        <w:t>.</w:t>
      </w:r>
    </w:p>
    <w:p w:rsidR="00CB64E7" w:rsidRPr="00CB64E7" w:rsidRDefault="00CB64E7" w:rsidP="00CB64E7">
      <w:pPr>
        <w:widowControl/>
        <w:spacing w:after="120"/>
        <w:ind w:left="510" w:firstLine="170"/>
        <w:rPr>
          <w:i/>
        </w:rPr>
      </w:pPr>
      <w:r w:rsidRPr="00CB64E7">
        <w:rPr>
          <w:i/>
        </w:rPr>
        <w:t>For more detail on PBAC’s view, see section 7 PBAC outcome.</w:t>
      </w:r>
    </w:p>
    <w:p w:rsidR="00B60939" w:rsidRPr="00273DA3" w:rsidRDefault="00B60939" w:rsidP="00CB64E7">
      <w:pPr>
        <w:pStyle w:val="Heading2"/>
        <w:spacing w:after="120"/>
      </w:pPr>
      <w:bookmarkStart w:id="23" w:name="_Toc514171470"/>
      <w:r w:rsidRPr="00273DA3">
        <w:t>Economic analysis</w:t>
      </w:r>
      <w:bookmarkEnd w:id="23"/>
      <w:r w:rsidR="00491B3A" w:rsidRPr="00273DA3">
        <w:t xml:space="preserve"> </w:t>
      </w:r>
    </w:p>
    <w:p w:rsidR="00F01867" w:rsidRDefault="002C74EA" w:rsidP="00CB64E7">
      <w:pPr>
        <w:pStyle w:val="ListParagraph"/>
        <w:widowControl/>
        <w:numPr>
          <w:ilvl w:val="1"/>
          <w:numId w:val="3"/>
        </w:numPr>
        <w:spacing w:after="120"/>
      </w:pPr>
      <w:r w:rsidRPr="00273DA3">
        <w:t>The submission presented a cost-min</w:t>
      </w:r>
      <w:r w:rsidR="00BC3632" w:rsidRPr="00273DA3">
        <w:t>imisati</w:t>
      </w:r>
      <w:r w:rsidR="00E243A4" w:rsidRPr="00273DA3">
        <w:t>on analysis</w:t>
      </w:r>
      <w:r w:rsidR="001811A8" w:rsidRPr="00273DA3">
        <w:t xml:space="preserve"> of TIL versus</w:t>
      </w:r>
      <w:r w:rsidR="00E243A4" w:rsidRPr="00273DA3">
        <w:t xml:space="preserve"> UST</w:t>
      </w:r>
      <w:r w:rsidRPr="00273DA3">
        <w:t xml:space="preserve">.  </w:t>
      </w:r>
      <w:r w:rsidR="004315BE" w:rsidRPr="00273DA3">
        <w:t>The ESC considered the</w:t>
      </w:r>
      <w:r w:rsidR="004315BE" w:rsidRPr="00273DA3">
        <w:rPr>
          <w:iCs/>
        </w:rPr>
        <w:t xml:space="preserve"> cost-minimisation analysis against UST</w:t>
      </w:r>
      <w:r w:rsidR="00BE7B83">
        <w:rPr>
          <w:iCs/>
        </w:rPr>
        <w:t xml:space="preserve"> was </w:t>
      </w:r>
      <w:r w:rsidR="004315BE" w:rsidRPr="00273DA3">
        <w:rPr>
          <w:iCs/>
        </w:rPr>
        <w:t>not supported by the</w:t>
      </w:r>
      <w:r w:rsidR="004315BE" w:rsidRPr="00273DA3">
        <w:t xml:space="preserve"> results of indirect </w:t>
      </w:r>
      <w:r w:rsidR="00A557C1" w:rsidRPr="00273DA3">
        <w:t>comparisons that</w:t>
      </w:r>
      <w:r w:rsidR="004315BE" w:rsidRPr="00273DA3">
        <w:t xml:space="preserve"> indicate that TIL may be inferior to UST in terms of efficacy</w:t>
      </w:r>
      <w:r w:rsidR="00AF5506" w:rsidRPr="00273DA3">
        <w:t xml:space="preserve">.  </w:t>
      </w:r>
      <w:r w:rsidR="00F01867">
        <w:t>The</w:t>
      </w:r>
      <w:r w:rsidR="00F01867" w:rsidRPr="00CD1198">
        <w:t xml:space="preserve"> Pre-PBAC Response</w:t>
      </w:r>
      <w:r w:rsidR="00F01867">
        <w:t xml:space="preserve"> </w:t>
      </w:r>
      <w:r w:rsidR="00F01867" w:rsidRPr="00CD1198">
        <w:t xml:space="preserve">maintained that the cost-minimisation analysis versus </w:t>
      </w:r>
      <w:r w:rsidR="00F01867">
        <w:t>UST</w:t>
      </w:r>
      <w:r w:rsidR="00F01867" w:rsidRPr="00CD1198">
        <w:t xml:space="preserve"> was supported on the basis of that the totality of the evidence which demonstrated that TIL is non-inferior to UST via indirect comparison and to etanercept via direct comparison.</w:t>
      </w:r>
    </w:p>
    <w:p w:rsidR="008269DC" w:rsidRPr="00273DA3" w:rsidRDefault="00AF5506" w:rsidP="00CB64E7">
      <w:pPr>
        <w:pStyle w:val="ListParagraph"/>
        <w:widowControl/>
        <w:numPr>
          <w:ilvl w:val="1"/>
          <w:numId w:val="3"/>
        </w:numPr>
        <w:spacing w:after="120"/>
      </w:pPr>
      <w:r w:rsidRPr="00273DA3">
        <w:t>In addition, g</w:t>
      </w:r>
      <w:r w:rsidRPr="00273DA3">
        <w:rPr>
          <w:iCs/>
        </w:rPr>
        <w:t xml:space="preserve">iven all PBS listed biologics for CPP share a similar </w:t>
      </w:r>
      <w:proofErr w:type="gramStart"/>
      <w:r w:rsidRPr="00273DA3">
        <w:rPr>
          <w:iCs/>
        </w:rPr>
        <w:t>listing,</w:t>
      </w:r>
      <w:proofErr w:type="gramEnd"/>
      <w:r w:rsidRPr="00273DA3">
        <w:rPr>
          <w:iCs/>
        </w:rPr>
        <w:t xml:space="preserve"> other listed biologics will also be replaced in practice.  No evidence was presented in the submission against potentially more effective but less costly comparators (IXE and IFX).  </w:t>
      </w:r>
      <w:r w:rsidR="00383FFA" w:rsidRPr="00273DA3">
        <w:t>The analyses compared total drug</w:t>
      </w:r>
      <w:r w:rsidR="008269DC" w:rsidRPr="00273DA3">
        <w:t xml:space="preserve"> costs over a 2-year treatment peri</w:t>
      </w:r>
      <w:r w:rsidR="00E243A4" w:rsidRPr="00273DA3">
        <w:t>od (without discounting</w:t>
      </w:r>
      <w:r w:rsidR="008269DC" w:rsidRPr="00273DA3">
        <w:t>)</w:t>
      </w:r>
      <w:r w:rsidRPr="00273DA3">
        <w:t>, which was consistent with approach previously accepted by the PBAC in CPP.</w:t>
      </w:r>
    </w:p>
    <w:p w:rsidR="00AF5506" w:rsidRPr="00273DA3" w:rsidRDefault="00AF5506" w:rsidP="00CB64E7">
      <w:pPr>
        <w:pStyle w:val="ListParagraph"/>
        <w:widowControl/>
        <w:numPr>
          <w:ilvl w:val="1"/>
          <w:numId w:val="3"/>
        </w:numPr>
        <w:spacing w:after="120"/>
      </w:pPr>
      <w:r w:rsidRPr="00273DA3">
        <w:t xml:space="preserve">The submission estimated </w:t>
      </w:r>
      <w:proofErr w:type="spellStart"/>
      <w:r w:rsidRPr="00273DA3">
        <w:t>equi</w:t>
      </w:r>
      <w:proofErr w:type="spellEnd"/>
      <w:r w:rsidRPr="00273DA3">
        <w:t xml:space="preserve">-effective doses for TIL and UST based on the recommended maintenance doses (‘steady state’), </w:t>
      </w:r>
      <w:r w:rsidR="002E755A" w:rsidRPr="002E755A">
        <w:rPr>
          <w:rFonts w:asciiTheme="minorHAnsi" w:eastAsiaTheme="minorEastAsia" w:hAnsiTheme="minorHAnsi" w:cstheme="minorBidi"/>
          <w:snapToGrid/>
          <w:sz w:val="22"/>
          <w:lang w:eastAsia="en-AU"/>
        </w:rPr>
        <w:t>weighted</w:t>
      </w:r>
      <w:r w:rsidRPr="00273DA3">
        <w:t xml:space="preserve"> by the estimated proportional use of the UST 45</w:t>
      </w:r>
      <w:r w:rsidR="00775C82">
        <w:t xml:space="preserve"> </w:t>
      </w:r>
      <w:r w:rsidRPr="00273DA3">
        <w:t>mg (</w:t>
      </w:r>
      <w:r w:rsidRPr="000E444C">
        <w:t>65</w:t>
      </w:r>
      <w:r w:rsidRPr="00273DA3">
        <w:t>%) and 90</w:t>
      </w:r>
      <w:r w:rsidR="00775C82">
        <w:t xml:space="preserve"> </w:t>
      </w:r>
      <w:r w:rsidRPr="00273DA3">
        <w:t>mg (</w:t>
      </w:r>
      <w:r w:rsidRPr="000E444C">
        <w:t>35</w:t>
      </w:r>
      <w:r w:rsidRPr="00273DA3">
        <w:t xml:space="preserve">%) dosing regimens in Australia.  It was noted that the </w:t>
      </w:r>
      <w:r w:rsidRPr="00273DA3">
        <w:rPr>
          <w:iCs/>
        </w:rPr>
        <w:t xml:space="preserve">UST dose according to its PI </w:t>
      </w:r>
      <w:r w:rsidR="00A557C1" w:rsidRPr="00273DA3">
        <w:rPr>
          <w:iCs/>
        </w:rPr>
        <w:t>is</w:t>
      </w:r>
      <w:r w:rsidRPr="00273DA3">
        <w:rPr>
          <w:iCs/>
        </w:rPr>
        <w:t xml:space="preserve"> 45 mg (for patients weighing </w:t>
      </w:r>
      <w:r w:rsidRPr="00273DA3">
        <w:rPr>
          <w:iCs/>
          <w:u w:val="single"/>
        </w:rPr>
        <w:t>&lt;</w:t>
      </w:r>
      <w:r w:rsidRPr="00273DA3">
        <w:rPr>
          <w:iCs/>
        </w:rPr>
        <w:t xml:space="preserve"> 100 kg) or UST 90 mg (for patients weighing &gt; 100 kg) at Weeks 0, 4 and then every 12 weeks thereafter.  </w:t>
      </w:r>
      <w:r w:rsidR="004C636B" w:rsidRPr="004C636B">
        <w:rPr>
          <w:rFonts w:asciiTheme="minorHAnsi" w:eastAsiaTheme="minorEastAsia" w:hAnsiTheme="minorHAnsi" w:cstheme="minorBidi"/>
          <w:iCs/>
          <w:snapToGrid/>
          <w:sz w:val="22"/>
          <w:lang w:eastAsia="en-AU"/>
        </w:rPr>
        <w:t>Based</w:t>
      </w:r>
      <w:r w:rsidRPr="00273DA3">
        <w:rPr>
          <w:iCs/>
        </w:rPr>
        <w:t xml:space="preserve"> on </w:t>
      </w:r>
      <w:r w:rsidR="00BB7ECC" w:rsidRPr="00273DA3">
        <w:rPr>
          <w:iCs/>
        </w:rPr>
        <w:t xml:space="preserve">DHS </w:t>
      </w:r>
      <w:r w:rsidR="000B2FCD" w:rsidRPr="00273DA3">
        <w:rPr>
          <w:iCs/>
        </w:rPr>
        <w:t>data</w:t>
      </w:r>
      <w:r w:rsidRPr="00273DA3">
        <w:rPr>
          <w:iCs/>
        </w:rPr>
        <w:t xml:space="preserve">, the submission estimated that TIL 200 mg Q12W was </w:t>
      </w:r>
      <w:proofErr w:type="spellStart"/>
      <w:r w:rsidRPr="00273DA3">
        <w:rPr>
          <w:iCs/>
        </w:rPr>
        <w:t>equi</w:t>
      </w:r>
      <w:proofErr w:type="spellEnd"/>
      <w:r w:rsidRPr="00273DA3">
        <w:rPr>
          <w:iCs/>
        </w:rPr>
        <w:t>-effective to UST 60.57mg Q12W for maintenance therapy.</w:t>
      </w:r>
    </w:p>
    <w:p w:rsidR="00F61E13" w:rsidRPr="00273DA3" w:rsidRDefault="00F61E13" w:rsidP="00CB64E7">
      <w:pPr>
        <w:pStyle w:val="ListParagraph"/>
        <w:widowControl/>
        <w:numPr>
          <w:ilvl w:val="1"/>
          <w:numId w:val="3"/>
        </w:numPr>
        <w:spacing w:after="120"/>
      </w:pPr>
      <w:r w:rsidRPr="00273DA3">
        <w:lastRenderedPageBreak/>
        <w:t xml:space="preserve">UST is currently listed on the PBS under a Special Pricing Arrangement (SPA).  As the Sponsor for </w:t>
      </w:r>
      <w:r w:rsidR="00AF5506" w:rsidRPr="00273DA3">
        <w:t>TIL did</w:t>
      </w:r>
      <w:r w:rsidRPr="00273DA3">
        <w:t xml:space="preserve"> not have access to SPA details for UST in CPP, the cost-minimisation analysis was based on the published</w:t>
      </w:r>
      <w:r w:rsidR="00AF5506" w:rsidRPr="00273DA3">
        <w:t xml:space="preserve"> price of UST.</w:t>
      </w:r>
    </w:p>
    <w:p w:rsidR="00DB2362" w:rsidRPr="00273DA3" w:rsidRDefault="004C67B7" w:rsidP="00CB64E7">
      <w:pPr>
        <w:pStyle w:val="ListParagraph"/>
        <w:widowControl/>
        <w:numPr>
          <w:ilvl w:val="1"/>
          <w:numId w:val="3"/>
        </w:numPr>
        <w:spacing w:after="120"/>
      </w:pPr>
      <w:r w:rsidRPr="00273DA3">
        <w:t>The</w:t>
      </w:r>
      <w:r w:rsidR="00DB2362" w:rsidRPr="00273DA3">
        <w:t xml:space="preserve"> </w:t>
      </w:r>
      <w:r w:rsidR="00911AC1" w:rsidRPr="00273DA3">
        <w:t>Approved Ex-Manufacturer Price (</w:t>
      </w:r>
      <w:r w:rsidR="00DB2362" w:rsidRPr="00273DA3">
        <w:t>A</w:t>
      </w:r>
      <w:r w:rsidR="00F45B71" w:rsidRPr="00273DA3">
        <w:t>EMP</w:t>
      </w:r>
      <w:r w:rsidR="00911AC1" w:rsidRPr="00273DA3">
        <w:t>)</w:t>
      </w:r>
      <w:r w:rsidR="00F45B71" w:rsidRPr="00273DA3">
        <w:t xml:space="preserve"> of </w:t>
      </w:r>
      <w:r w:rsidR="00B234A9" w:rsidRPr="00273DA3">
        <w:t>TIL</w:t>
      </w:r>
      <w:r w:rsidR="00C56D92" w:rsidRPr="00273DA3">
        <w:t xml:space="preserve"> </w:t>
      </w:r>
      <w:r w:rsidR="00B234A9" w:rsidRPr="00273DA3">
        <w:t>cost-minimised to UST</w:t>
      </w:r>
      <w:r w:rsidR="00DB2362" w:rsidRPr="00273DA3">
        <w:t xml:space="preserve"> over a 104-week period </w:t>
      </w:r>
      <w:r w:rsidR="002C74EA" w:rsidRPr="00273DA3">
        <w:t>was</w:t>
      </w:r>
      <w:r w:rsidR="00CE2CE5" w:rsidRPr="00273DA3">
        <w:t xml:space="preserve"> estimated </w:t>
      </w:r>
      <w:r w:rsidR="00CE2CE5" w:rsidRPr="002F7F99">
        <w:t xml:space="preserve">to be </w:t>
      </w:r>
      <w:r w:rsidR="00A24F2E" w:rsidRPr="002F7F99">
        <w:rPr>
          <w:rFonts w:asciiTheme="minorHAnsi" w:eastAsiaTheme="minorEastAsia" w:hAnsiTheme="minorHAnsi" w:cstheme="minorBidi"/>
          <w:snapToGrid/>
          <w:sz w:val="22"/>
          <w:lang w:eastAsia="en-AU"/>
        </w:rPr>
        <w:t>$</w:t>
      </w:r>
      <w:r w:rsidR="001B3204">
        <w:rPr>
          <w:rFonts w:asciiTheme="minorHAnsi" w:eastAsiaTheme="minorEastAsia" w:hAnsiTheme="minorHAnsi" w:cstheme="minorBidi"/>
          <w:noProof/>
          <w:snapToGrid/>
          <w:color w:val="000000"/>
          <w:sz w:val="22"/>
          <w:highlight w:val="black"/>
          <w:lang w:eastAsia="en-AU"/>
        </w:rPr>
        <w:t>'''''''''''''''</w:t>
      </w:r>
      <w:r w:rsidR="00B11DB3" w:rsidRPr="002F7F99">
        <w:t>, based</w:t>
      </w:r>
      <w:r w:rsidR="00B11DB3" w:rsidRPr="00273DA3">
        <w:t xml:space="preserve"> on </w:t>
      </w:r>
      <w:r w:rsidR="00AF5506" w:rsidRPr="00273DA3">
        <w:t>published prices.</w:t>
      </w:r>
    </w:p>
    <w:p w:rsidR="002C74EA" w:rsidRPr="00273DA3" w:rsidRDefault="002C74EA" w:rsidP="00CB64E7">
      <w:pPr>
        <w:pStyle w:val="ListParagraph"/>
        <w:widowControl/>
        <w:numPr>
          <w:ilvl w:val="1"/>
          <w:numId w:val="3"/>
        </w:numPr>
        <w:spacing w:after="120"/>
      </w:pPr>
      <w:r w:rsidRPr="00273DA3">
        <w:t xml:space="preserve">The submission </w:t>
      </w:r>
      <w:r w:rsidR="00CE2CE5" w:rsidRPr="00273DA3">
        <w:rPr>
          <w:iCs/>
        </w:rPr>
        <w:t>reasonably</w:t>
      </w:r>
      <w:r w:rsidR="00CE2CE5" w:rsidRPr="00273DA3">
        <w:t xml:space="preserve"> </w:t>
      </w:r>
      <w:r w:rsidR="00BB3FB1" w:rsidRPr="00273DA3">
        <w:t xml:space="preserve">assumed that there would be no </w:t>
      </w:r>
      <w:r w:rsidR="00DB2362" w:rsidRPr="00273DA3">
        <w:rPr>
          <w:iCs/>
        </w:rPr>
        <w:t>additio</w:t>
      </w:r>
      <w:r w:rsidR="00F45B71" w:rsidRPr="00273DA3">
        <w:rPr>
          <w:iCs/>
        </w:rPr>
        <w:t xml:space="preserve">nal administration costs for </w:t>
      </w:r>
      <w:r w:rsidR="00CE2CE5" w:rsidRPr="00273DA3">
        <w:t>TIL</w:t>
      </w:r>
      <w:r w:rsidR="00CE2CE5" w:rsidRPr="00273DA3">
        <w:rPr>
          <w:iCs/>
        </w:rPr>
        <w:t xml:space="preserve"> compared to UST</w:t>
      </w:r>
      <w:r w:rsidR="00AF5506" w:rsidRPr="00273DA3">
        <w:rPr>
          <w:iCs/>
        </w:rPr>
        <w:t>.</w:t>
      </w:r>
    </w:p>
    <w:p w:rsidR="00A107FD" w:rsidRDefault="00A107FD" w:rsidP="00CB64E7">
      <w:pPr>
        <w:pStyle w:val="ListParagraph"/>
        <w:widowControl/>
        <w:numPr>
          <w:ilvl w:val="1"/>
          <w:numId w:val="3"/>
        </w:numPr>
        <w:spacing w:after="120"/>
      </w:pPr>
      <w:r w:rsidRPr="00273DA3">
        <w:t xml:space="preserve">Despite claiming non-inferiority versus ADA, the submission did not present a cost minimisation analysis against this comparator.  Based on trial doses and established therapeutic relativities between listed bDMARDs, the </w:t>
      </w:r>
      <w:proofErr w:type="spellStart"/>
      <w:r w:rsidRPr="00273DA3">
        <w:t>equi</w:t>
      </w:r>
      <w:proofErr w:type="spellEnd"/>
      <w:r w:rsidRPr="00273DA3">
        <w:t>-effective dose versus ADA would be: TIL 200 mg at Weeks 0, 4 and every 12 weeks thereafter ≡ ADA initial dose 80 mg, then 40 mg fortnightly, starting one week after the initial dose.</w:t>
      </w:r>
    </w:p>
    <w:p w:rsidR="002C0175" w:rsidRPr="00BE7B83" w:rsidRDefault="002C0175" w:rsidP="00CB64E7">
      <w:pPr>
        <w:pStyle w:val="ListParagraph"/>
        <w:widowControl/>
        <w:numPr>
          <w:ilvl w:val="1"/>
          <w:numId w:val="3"/>
        </w:numPr>
        <w:spacing w:after="120"/>
      </w:pPr>
      <w:r w:rsidRPr="002C0175">
        <w:rPr>
          <w:szCs w:val="24"/>
        </w:rPr>
        <w:t xml:space="preserve">In </w:t>
      </w:r>
      <w:r w:rsidR="00775C82">
        <w:rPr>
          <w:szCs w:val="24"/>
        </w:rPr>
        <w:t xml:space="preserve">the </w:t>
      </w:r>
      <w:r w:rsidR="00304492" w:rsidRPr="002C0175">
        <w:rPr>
          <w:szCs w:val="24"/>
        </w:rPr>
        <w:t xml:space="preserve">PSCR </w:t>
      </w:r>
      <w:r w:rsidR="00CD1198" w:rsidRPr="002C0175">
        <w:rPr>
          <w:szCs w:val="24"/>
        </w:rPr>
        <w:t>and Pre-PBAC Response, the sponsor</w:t>
      </w:r>
      <w:r w:rsidR="00304492" w:rsidRPr="002C0175">
        <w:rPr>
          <w:szCs w:val="24"/>
        </w:rPr>
        <w:t xml:space="preserve"> stated </w:t>
      </w:r>
      <w:r w:rsidR="00775C82">
        <w:rPr>
          <w:szCs w:val="24"/>
        </w:rPr>
        <w:t xml:space="preserve">it </w:t>
      </w:r>
      <w:r w:rsidR="00304492" w:rsidRPr="002C0175">
        <w:rPr>
          <w:szCs w:val="24"/>
        </w:rPr>
        <w:t xml:space="preserve">would consider accepting a listing for </w:t>
      </w:r>
      <w:proofErr w:type="spellStart"/>
      <w:r w:rsidR="00304492" w:rsidRPr="002C0175">
        <w:rPr>
          <w:szCs w:val="24"/>
        </w:rPr>
        <w:t>tildrakizumab</w:t>
      </w:r>
      <w:proofErr w:type="spellEnd"/>
      <w:r w:rsidR="00304492" w:rsidRPr="002C0175">
        <w:rPr>
          <w:szCs w:val="24"/>
        </w:rPr>
        <w:t xml:space="preserve"> on a cost-minimisation basis to the least costly </w:t>
      </w:r>
      <w:proofErr w:type="spellStart"/>
      <w:r w:rsidR="00304492" w:rsidRPr="002C0175">
        <w:rPr>
          <w:szCs w:val="24"/>
        </w:rPr>
        <w:t>bDMARD</w:t>
      </w:r>
      <w:proofErr w:type="spellEnd"/>
      <w:r w:rsidR="00304492" w:rsidRPr="002C0175">
        <w:rPr>
          <w:szCs w:val="24"/>
        </w:rPr>
        <w:t xml:space="preserve"> over a 2-year treatment period based on the effective ex-manufacturer indication-specific prices using </w:t>
      </w:r>
      <w:proofErr w:type="spellStart"/>
      <w:r w:rsidR="00304492" w:rsidRPr="002C0175">
        <w:rPr>
          <w:szCs w:val="24"/>
        </w:rPr>
        <w:t>equi</w:t>
      </w:r>
      <w:proofErr w:type="spellEnd"/>
      <w:r w:rsidR="00304492" w:rsidRPr="002C0175">
        <w:rPr>
          <w:szCs w:val="24"/>
        </w:rPr>
        <w:t>-effective doses that are derived directly from the relevant clinical trial.</w:t>
      </w:r>
      <w:r w:rsidR="00CD1198" w:rsidRPr="002C0175">
        <w:rPr>
          <w:szCs w:val="24"/>
        </w:rPr>
        <w:t xml:space="preserve"> </w:t>
      </w:r>
    </w:p>
    <w:p w:rsidR="00BE7B83" w:rsidRPr="00775C82" w:rsidRDefault="00BE7B83" w:rsidP="00CB64E7">
      <w:pPr>
        <w:pStyle w:val="ListParagraph"/>
        <w:widowControl/>
        <w:spacing w:after="120"/>
        <w:rPr>
          <w:i/>
        </w:rPr>
      </w:pPr>
      <w:r w:rsidRPr="00775C82">
        <w:rPr>
          <w:i/>
        </w:rPr>
        <w:t>For more detail on PBAC’s view, see section 7 PBAC outcome.</w:t>
      </w:r>
    </w:p>
    <w:p w:rsidR="0002588E" w:rsidRPr="00273DA3" w:rsidRDefault="0002588E" w:rsidP="00CB64E7">
      <w:pPr>
        <w:pStyle w:val="Heading2"/>
        <w:spacing w:after="120"/>
      </w:pPr>
      <w:r w:rsidRPr="002C0175">
        <w:rPr>
          <w:bCs/>
        </w:rPr>
        <w:t xml:space="preserve">Drug cost/patient/year: </w:t>
      </w:r>
      <w:r w:rsidR="000D40E3" w:rsidRPr="00273DA3">
        <w:t>$</w:t>
      </w:r>
      <w:r w:rsidR="001B3204">
        <w:rPr>
          <w:bCs/>
          <w:noProof/>
          <w:color w:val="000000"/>
          <w:highlight w:val="black"/>
        </w:rPr>
        <w:t>''''''''''''''</w:t>
      </w:r>
      <w:r w:rsidR="00B235BB" w:rsidRPr="00273DA3">
        <w:t xml:space="preserve"> </w:t>
      </w:r>
      <w:r w:rsidR="00AF5506" w:rsidRPr="00273DA3">
        <w:t xml:space="preserve">(based on published price of </w:t>
      </w:r>
      <w:r w:rsidR="00EF310E" w:rsidRPr="00273DA3">
        <w:t>TIL).</w:t>
      </w:r>
    </w:p>
    <w:p w:rsidR="00324716" w:rsidRPr="00B235BB" w:rsidRDefault="0002588E" w:rsidP="00CB64E7">
      <w:pPr>
        <w:pStyle w:val="ListParagraph"/>
        <w:widowControl/>
        <w:numPr>
          <w:ilvl w:val="1"/>
          <w:numId w:val="3"/>
        </w:numPr>
        <w:spacing w:after="120"/>
        <w:rPr>
          <w:snapToGrid/>
          <w:lang w:eastAsia="en-AU"/>
        </w:rPr>
      </w:pPr>
      <w:r w:rsidRPr="00273DA3">
        <w:rPr>
          <w:snapToGrid/>
          <w:lang w:eastAsia="en-AU"/>
        </w:rPr>
        <w:t>Usi</w:t>
      </w:r>
      <w:r w:rsidR="006D4E68" w:rsidRPr="00273DA3">
        <w:rPr>
          <w:snapToGrid/>
          <w:lang w:eastAsia="en-AU"/>
        </w:rPr>
        <w:t>ng the requested DPMQ of $</w:t>
      </w:r>
      <w:r w:rsidR="00B235BB" w:rsidRPr="00B235BB">
        <w:rPr>
          <w:snapToGrid/>
          <w:lang w:eastAsia="en-AU"/>
        </w:rPr>
        <w:t xml:space="preserve">5,846.15 </w:t>
      </w:r>
      <w:r w:rsidRPr="00273DA3">
        <w:rPr>
          <w:snapToGrid/>
          <w:lang w:eastAsia="en-AU"/>
        </w:rPr>
        <w:t>per</w:t>
      </w:r>
      <w:r w:rsidR="00F45B71" w:rsidRPr="00273DA3">
        <w:rPr>
          <w:snapToGrid/>
          <w:lang w:eastAsia="en-AU"/>
        </w:rPr>
        <w:t xml:space="preserve"> </w:t>
      </w:r>
      <w:r w:rsidR="006D4E68" w:rsidRPr="00273DA3">
        <w:rPr>
          <w:snapToGrid/>
          <w:lang w:eastAsia="en-AU"/>
        </w:rPr>
        <w:t xml:space="preserve">pack of two 100 mg </w:t>
      </w:r>
      <w:r w:rsidR="00F45B71" w:rsidRPr="00273DA3">
        <w:rPr>
          <w:snapToGrid/>
          <w:lang w:eastAsia="en-AU"/>
        </w:rPr>
        <w:t>injection</w:t>
      </w:r>
      <w:r w:rsidR="006D4E68" w:rsidRPr="00273DA3">
        <w:rPr>
          <w:snapToGrid/>
          <w:lang w:eastAsia="en-AU"/>
        </w:rPr>
        <w:t>s</w:t>
      </w:r>
      <w:r w:rsidR="000D40E3" w:rsidRPr="00273DA3">
        <w:rPr>
          <w:snapToGrid/>
          <w:lang w:eastAsia="en-AU"/>
        </w:rPr>
        <w:t>, and assuming 4.33</w:t>
      </w:r>
      <w:r w:rsidR="00F45B71" w:rsidRPr="00273DA3">
        <w:rPr>
          <w:snapToGrid/>
          <w:lang w:eastAsia="en-AU"/>
        </w:rPr>
        <w:t xml:space="preserve"> </w:t>
      </w:r>
      <w:r w:rsidR="000D40E3" w:rsidRPr="00B235BB">
        <w:rPr>
          <w:snapToGrid/>
          <w:lang w:eastAsia="en-AU"/>
        </w:rPr>
        <w:t>TIL</w:t>
      </w:r>
      <w:r w:rsidRPr="00273DA3">
        <w:rPr>
          <w:snapToGrid/>
          <w:lang w:eastAsia="en-AU"/>
        </w:rPr>
        <w:t xml:space="preserve"> injections per patient per year </w:t>
      </w:r>
      <w:r w:rsidR="007A6800" w:rsidRPr="00273DA3">
        <w:rPr>
          <w:snapToGrid/>
          <w:lang w:eastAsia="en-AU"/>
        </w:rPr>
        <w:t xml:space="preserve">will be used </w:t>
      </w:r>
      <w:r w:rsidRPr="00273DA3">
        <w:rPr>
          <w:snapToGrid/>
          <w:lang w:eastAsia="en-AU"/>
        </w:rPr>
        <w:t>in the maintenance treat</w:t>
      </w:r>
      <w:r w:rsidR="00F45B71" w:rsidRPr="00273DA3">
        <w:rPr>
          <w:snapToGrid/>
          <w:lang w:eastAsia="en-AU"/>
        </w:rPr>
        <w:t xml:space="preserve">ment phase, the drug cost of </w:t>
      </w:r>
      <w:r w:rsidR="000D40E3" w:rsidRPr="00B235BB">
        <w:rPr>
          <w:snapToGrid/>
          <w:lang w:eastAsia="en-AU"/>
        </w:rPr>
        <w:t>TIL</w:t>
      </w:r>
      <w:r w:rsidRPr="00273DA3">
        <w:rPr>
          <w:snapToGrid/>
          <w:lang w:eastAsia="en-AU"/>
        </w:rPr>
        <w:t xml:space="preserve"> </w:t>
      </w:r>
      <w:r w:rsidR="007A6800" w:rsidRPr="00273DA3">
        <w:rPr>
          <w:snapToGrid/>
          <w:lang w:eastAsia="en-AU"/>
        </w:rPr>
        <w:t>wa</w:t>
      </w:r>
      <w:r w:rsidR="000D40E3" w:rsidRPr="00273DA3">
        <w:rPr>
          <w:snapToGrid/>
          <w:lang w:eastAsia="en-AU"/>
        </w:rPr>
        <w:t>s estimated to be $</w:t>
      </w:r>
      <w:r w:rsidR="001B3204">
        <w:rPr>
          <w:noProof/>
          <w:snapToGrid/>
          <w:color w:val="000000"/>
          <w:highlight w:val="black"/>
          <w:lang w:eastAsia="en-AU"/>
        </w:rPr>
        <w:t>'''''''''''''''''''</w:t>
      </w:r>
      <w:r w:rsidR="00B235BB" w:rsidRPr="00B235BB">
        <w:rPr>
          <w:snapToGrid/>
          <w:lang w:eastAsia="en-AU"/>
        </w:rPr>
        <w:t xml:space="preserve"> </w:t>
      </w:r>
      <w:r w:rsidRPr="00273DA3">
        <w:rPr>
          <w:snapToGrid/>
          <w:lang w:eastAsia="en-AU"/>
        </w:rPr>
        <w:t xml:space="preserve">per patient per year.  </w:t>
      </w:r>
      <w:r w:rsidR="007A6800" w:rsidRPr="00273DA3">
        <w:rPr>
          <w:snapToGrid/>
          <w:lang w:eastAsia="en-AU"/>
        </w:rPr>
        <w:t xml:space="preserve">PBS treatment is only permitted to continue </w:t>
      </w:r>
      <w:r w:rsidRPr="00273DA3">
        <w:rPr>
          <w:snapToGrid/>
          <w:lang w:eastAsia="en-AU"/>
        </w:rPr>
        <w:t xml:space="preserve">if the </w:t>
      </w:r>
      <w:r w:rsidRPr="00B235BB">
        <w:rPr>
          <w:snapToGrid/>
          <w:lang w:eastAsia="en-AU"/>
        </w:rPr>
        <w:t>patient</w:t>
      </w:r>
      <w:r w:rsidR="007A6800" w:rsidRPr="00B235BB">
        <w:rPr>
          <w:snapToGrid/>
          <w:lang w:eastAsia="en-AU"/>
        </w:rPr>
        <w:t>s</w:t>
      </w:r>
      <w:r w:rsidRPr="00273DA3">
        <w:rPr>
          <w:snapToGrid/>
          <w:lang w:eastAsia="en-AU"/>
        </w:rPr>
        <w:t xml:space="preserve"> </w:t>
      </w:r>
      <w:r w:rsidR="007A6800" w:rsidRPr="00273DA3">
        <w:rPr>
          <w:snapToGrid/>
          <w:lang w:eastAsia="en-AU"/>
        </w:rPr>
        <w:t>achiev</w:t>
      </w:r>
      <w:r w:rsidR="00D20F18" w:rsidRPr="00273DA3">
        <w:rPr>
          <w:snapToGrid/>
          <w:lang w:eastAsia="en-AU"/>
        </w:rPr>
        <w:t>e</w:t>
      </w:r>
      <w:r w:rsidR="007A6800" w:rsidRPr="00273DA3">
        <w:rPr>
          <w:snapToGrid/>
          <w:lang w:eastAsia="en-AU"/>
        </w:rPr>
        <w:t xml:space="preserve"> and maintain a PASI 75 response.</w:t>
      </w:r>
      <w:r w:rsidRPr="00273DA3">
        <w:rPr>
          <w:snapToGrid/>
          <w:lang w:eastAsia="en-AU"/>
        </w:rPr>
        <w:t xml:space="preserve">  Using the DPMQ for </w:t>
      </w:r>
      <w:r w:rsidR="000D40E3" w:rsidRPr="00B235BB">
        <w:rPr>
          <w:snapToGrid/>
          <w:lang w:eastAsia="en-AU"/>
        </w:rPr>
        <w:t>UST</w:t>
      </w:r>
      <w:r w:rsidR="00D20F18" w:rsidRPr="00B235BB">
        <w:rPr>
          <w:snapToGrid/>
          <w:lang w:eastAsia="en-AU"/>
        </w:rPr>
        <w:t xml:space="preserve"> </w:t>
      </w:r>
      <w:r w:rsidR="00CC2D90" w:rsidRPr="00273DA3">
        <w:rPr>
          <w:snapToGrid/>
          <w:lang w:eastAsia="en-AU"/>
        </w:rPr>
        <w:t xml:space="preserve">of </w:t>
      </w:r>
      <w:r w:rsidRPr="00273DA3">
        <w:rPr>
          <w:snapToGrid/>
          <w:lang w:eastAsia="en-AU"/>
        </w:rPr>
        <w:t>$4,3</w:t>
      </w:r>
      <w:r w:rsidR="00CC2D90" w:rsidRPr="00273DA3">
        <w:rPr>
          <w:snapToGrid/>
          <w:lang w:eastAsia="en-AU"/>
        </w:rPr>
        <w:t>46.86</w:t>
      </w:r>
      <w:r w:rsidRPr="00273DA3">
        <w:rPr>
          <w:snapToGrid/>
          <w:lang w:eastAsia="en-AU"/>
        </w:rPr>
        <w:t xml:space="preserve"> </w:t>
      </w:r>
      <w:r w:rsidR="00CC2D90" w:rsidRPr="00273DA3">
        <w:rPr>
          <w:snapToGrid/>
          <w:lang w:eastAsia="en-AU"/>
        </w:rPr>
        <w:t>a</w:t>
      </w:r>
      <w:r w:rsidRPr="00273DA3">
        <w:rPr>
          <w:snapToGrid/>
          <w:lang w:eastAsia="en-AU"/>
        </w:rPr>
        <w:t xml:space="preserve">nd assuming </w:t>
      </w:r>
      <w:r w:rsidR="00B235BB" w:rsidRPr="00B235BB">
        <w:rPr>
          <w:snapToGrid/>
          <w:lang w:eastAsia="en-AU"/>
        </w:rPr>
        <w:t>4.33</w:t>
      </w:r>
      <w:r w:rsidR="002F7F99">
        <w:rPr>
          <w:snapToGrid/>
          <w:lang w:eastAsia="en-AU"/>
        </w:rPr>
        <w:t xml:space="preserve"> </w:t>
      </w:r>
      <w:r w:rsidR="000D40E3" w:rsidRPr="00B235BB">
        <w:rPr>
          <w:snapToGrid/>
          <w:lang w:eastAsia="en-AU"/>
        </w:rPr>
        <w:t>UST</w:t>
      </w:r>
      <w:r w:rsidR="00D20F18" w:rsidRPr="00B235BB">
        <w:rPr>
          <w:snapToGrid/>
          <w:lang w:eastAsia="en-AU"/>
        </w:rPr>
        <w:t xml:space="preserve"> </w:t>
      </w:r>
      <w:r w:rsidRPr="00273DA3">
        <w:rPr>
          <w:snapToGrid/>
          <w:lang w:eastAsia="en-AU"/>
        </w:rPr>
        <w:t>injections per patient per year dispensed in the maintenance treat</w:t>
      </w:r>
      <w:r w:rsidR="00F45B71" w:rsidRPr="00273DA3">
        <w:rPr>
          <w:snapToGrid/>
          <w:lang w:eastAsia="en-AU"/>
        </w:rPr>
        <w:t>ment pha</w:t>
      </w:r>
      <w:r w:rsidR="004F3432" w:rsidRPr="00273DA3">
        <w:rPr>
          <w:snapToGrid/>
          <w:lang w:eastAsia="en-AU"/>
        </w:rPr>
        <w:t>se, the drug cost of UST</w:t>
      </w:r>
      <w:r w:rsidR="00262073" w:rsidRPr="00273DA3">
        <w:rPr>
          <w:snapToGrid/>
          <w:lang w:eastAsia="en-AU"/>
        </w:rPr>
        <w:t xml:space="preserve"> </w:t>
      </w:r>
      <w:r w:rsidR="007A6800" w:rsidRPr="00273DA3">
        <w:rPr>
          <w:snapToGrid/>
          <w:lang w:eastAsia="en-AU"/>
        </w:rPr>
        <w:t>wa</w:t>
      </w:r>
      <w:r w:rsidRPr="00273DA3">
        <w:rPr>
          <w:snapToGrid/>
          <w:lang w:eastAsia="en-AU"/>
        </w:rPr>
        <w:t>s e</w:t>
      </w:r>
      <w:r w:rsidR="00CC2D90" w:rsidRPr="00273DA3">
        <w:rPr>
          <w:snapToGrid/>
          <w:lang w:eastAsia="en-AU"/>
        </w:rPr>
        <w:t xml:space="preserve">stimated to be </w:t>
      </w:r>
      <w:r w:rsidR="000D40E3" w:rsidRPr="00273DA3">
        <w:rPr>
          <w:snapToGrid/>
          <w:lang w:eastAsia="en-AU"/>
        </w:rPr>
        <w:t>$</w:t>
      </w:r>
      <w:r w:rsidR="001B3204">
        <w:rPr>
          <w:noProof/>
          <w:snapToGrid/>
          <w:color w:val="000000"/>
          <w:highlight w:val="black"/>
          <w:lang w:eastAsia="en-AU"/>
        </w:rPr>
        <w:t>''''''''''''''''''''</w:t>
      </w:r>
      <w:r w:rsidR="000D40E3" w:rsidRPr="00273DA3">
        <w:rPr>
          <w:snapToGrid/>
          <w:lang w:eastAsia="en-AU"/>
        </w:rPr>
        <w:t xml:space="preserve"> </w:t>
      </w:r>
      <w:r w:rsidR="00D20F18" w:rsidRPr="00273DA3">
        <w:rPr>
          <w:snapToGrid/>
          <w:lang w:eastAsia="en-AU"/>
        </w:rPr>
        <w:t>for</w:t>
      </w:r>
      <w:r w:rsidR="00CC2D90" w:rsidRPr="00273DA3">
        <w:rPr>
          <w:snapToGrid/>
          <w:lang w:eastAsia="en-AU"/>
        </w:rPr>
        <w:t xml:space="preserve"> maintenance</w:t>
      </w:r>
      <w:r w:rsidR="000D40E3" w:rsidRPr="00273DA3">
        <w:rPr>
          <w:snapToGrid/>
          <w:lang w:eastAsia="en-AU"/>
        </w:rPr>
        <w:t xml:space="preserve"> </w:t>
      </w:r>
      <w:r w:rsidR="000D40E3" w:rsidRPr="00B235BB">
        <w:rPr>
          <w:snapToGrid/>
          <w:lang w:eastAsia="en-AU"/>
        </w:rPr>
        <w:t>for an UST patient weighing &lt; 100 kg (hence requiring a dose of UST 45 mg).</w:t>
      </w:r>
      <w:r w:rsidR="004F3432" w:rsidRPr="00B235BB">
        <w:rPr>
          <w:snapToGrid/>
          <w:lang w:eastAsia="en-AU"/>
        </w:rPr>
        <w:t xml:space="preserve">  </w:t>
      </w:r>
    </w:p>
    <w:p w:rsidR="00B92E71" w:rsidRPr="00B92E71" w:rsidRDefault="00B92E71" w:rsidP="00CB64E7">
      <w:pPr>
        <w:pStyle w:val="ListParagraph"/>
        <w:widowControl/>
        <w:spacing w:after="120"/>
        <w:rPr>
          <w:i/>
          <w:iCs/>
        </w:rPr>
      </w:pPr>
      <w:r w:rsidRPr="00B92E71">
        <w:rPr>
          <w:i/>
          <w:iCs/>
        </w:rPr>
        <w:t>For more detail on PBAC’s view, see section 7 PBAC outcome.</w:t>
      </w:r>
    </w:p>
    <w:p w:rsidR="00B60939" w:rsidRPr="00273DA3" w:rsidRDefault="00B60939" w:rsidP="00CB64E7">
      <w:pPr>
        <w:pStyle w:val="Heading2"/>
        <w:spacing w:after="120"/>
      </w:pPr>
      <w:bookmarkStart w:id="24" w:name="_Toc514171471"/>
      <w:r w:rsidRPr="00273DA3">
        <w:t>Estimated PBS usage &amp; financial implications</w:t>
      </w:r>
      <w:bookmarkEnd w:id="24"/>
    </w:p>
    <w:p w:rsidR="009D593A" w:rsidRDefault="00C25D9C" w:rsidP="00CB64E7">
      <w:pPr>
        <w:pStyle w:val="ListParagraph"/>
        <w:widowControl/>
        <w:numPr>
          <w:ilvl w:val="1"/>
          <w:numId w:val="3"/>
        </w:numPr>
        <w:spacing w:after="120"/>
      </w:pPr>
      <w:r w:rsidRPr="00024FC3">
        <w:t xml:space="preserve">This submission </w:t>
      </w:r>
      <w:r w:rsidR="00C57A29">
        <w:t>was not</w:t>
      </w:r>
      <w:r w:rsidR="00D20F18" w:rsidRPr="00024FC3">
        <w:t xml:space="preserve"> </w:t>
      </w:r>
      <w:r w:rsidRPr="00024FC3">
        <w:t>considered by DUSC.</w:t>
      </w:r>
      <w:r w:rsidR="00EF310E" w:rsidRPr="00024FC3">
        <w:t xml:space="preserve">  A market share approach was used to estimate the </w:t>
      </w:r>
      <w:r w:rsidR="007A6800" w:rsidRPr="00024FC3">
        <w:t>financia</w:t>
      </w:r>
      <w:r w:rsidR="00F45B71" w:rsidRPr="00024FC3">
        <w:t>l impli</w:t>
      </w:r>
      <w:r w:rsidR="0080184F" w:rsidRPr="00024FC3">
        <w:t xml:space="preserve">cations of </w:t>
      </w:r>
      <w:r w:rsidR="00EF310E" w:rsidRPr="00024FC3">
        <w:t>the propose</w:t>
      </w:r>
      <w:r w:rsidR="00E12F50" w:rsidRPr="00024FC3">
        <w:t xml:space="preserve">d listing, summarised in Table </w:t>
      </w:r>
      <w:r w:rsidR="00BE7B83">
        <w:t>7</w:t>
      </w:r>
      <w:r w:rsidR="00EF310E" w:rsidRPr="00024FC3">
        <w:t xml:space="preserve">.  </w:t>
      </w:r>
      <w:r w:rsidR="004404C6" w:rsidRPr="00024FC3">
        <w:t>PBS claims data were</w:t>
      </w:r>
      <w:r w:rsidR="009D593A" w:rsidRPr="00024FC3">
        <w:t xml:space="preserve"> used to estimate the number of </w:t>
      </w:r>
      <w:proofErr w:type="spellStart"/>
      <w:r w:rsidR="009D593A" w:rsidRPr="00024FC3">
        <w:t>bDMARD</w:t>
      </w:r>
      <w:proofErr w:type="spellEnd"/>
      <w:r w:rsidR="009D593A" w:rsidRPr="00024FC3">
        <w:t xml:space="preserve"> initiations, patient-years on initiation therapy and patient-years on maintenance therapy each month over six years.  It was assumed that initiation with TIL would substitute for initiation with all currently </w:t>
      </w:r>
      <w:proofErr w:type="gramStart"/>
      <w:r w:rsidR="009D593A" w:rsidRPr="00024FC3">
        <w:t>listed</w:t>
      </w:r>
      <w:proofErr w:type="gramEnd"/>
      <w:r w:rsidR="009D593A" w:rsidRPr="00024FC3">
        <w:t xml:space="preserve"> bDMARDs, but total patient-years on bDMARDs would be unchanged.</w:t>
      </w:r>
    </w:p>
    <w:p w:rsidR="004E569C" w:rsidRPr="003921FC" w:rsidRDefault="00E12F50" w:rsidP="00CB64E7">
      <w:pPr>
        <w:keepNext/>
        <w:rPr>
          <w:rFonts w:ascii="Arial Narrow" w:hAnsi="Arial Narrow"/>
          <w:b/>
          <w:bCs/>
          <w:sz w:val="20"/>
          <w:szCs w:val="18"/>
        </w:rPr>
      </w:pPr>
      <w:r>
        <w:rPr>
          <w:rFonts w:ascii="Arial Narrow" w:hAnsi="Arial Narrow"/>
          <w:b/>
          <w:bCs/>
          <w:sz w:val="20"/>
          <w:szCs w:val="18"/>
        </w:rPr>
        <w:lastRenderedPageBreak/>
        <w:t xml:space="preserve">Table </w:t>
      </w:r>
      <w:r w:rsidR="00BE7B83">
        <w:rPr>
          <w:rFonts w:ascii="Arial Narrow" w:hAnsi="Arial Narrow"/>
          <w:b/>
          <w:bCs/>
          <w:sz w:val="20"/>
          <w:szCs w:val="18"/>
        </w:rPr>
        <w:t>7</w:t>
      </w:r>
      <w:r w:rsidR="004E569C" w:rsidRPr="003921FC">
        <w:rPr>
          <w:rFonts w:ascii="Arial Narrow" w:hAnsi="Arial Narrow"/>
          <w:b/>
          <w:bCs/>
          <w:sz w:val="20"/>
          <w:szCs w:val="18"/>
        </w:rPr>
        <w:t xml:space="preserve">: Estimated net financial </w:t>
      </w:r>
      <w:r w:rsidR="004E569C">
        <w:rPr>
          <w:rFonts w:ascii="Arial Narrow" w:hAnsi="Arial Narrow"/>
          <w:b/>
          <w:bCs/>
          <w:sz w:val="20"/>
          <w:szCs w:val="18"/>
        </w:rPr>
        <w:t>implications of the proposed TIL</w:t>
      </w:r>
      <w:r w:rsidR="004E569C" w:rsidRPr="003921FC">
        <w:rPr>
          <w:rFonts w:ascii="Arial Narrow" w:hAnsi="Arial Narrow"/>
          <w:b/>
          <w:bCs/>
          <w:sz w:val="20"/>
          <w:szCs w:val="18"/>
        </w:rPr>
        <w:t xml:space="preserve"> listing</w:t>
      </w:r>
    </w:p>
    <w:tbl>
      <w:tblPr>
        <w:tblStyle w:val="TableGrid"/>
        <w:tblW w:w="0" w:type="auto"/>
        <w:tblCellMar>
          <w:left w:w="28" w:type="dxa"/>
          <w:right w:w="28" w:type="dxa"/>
        </w:tblCellMar>
        <w:tblLook w:val="04A0" w:firstRow="1" w:lastRow="0" w:firstColumn="1" w:lastColumn="0" w:noHBand="0" w:noVBand="1"/>
        <w:tblCaption w:val="Estimated net financial implications of the proposed TIL listing"/>
      </w:tblPr>
      <w:tblGrid>
        <w:gridCol w:w="2689"/>
        <w:gridCol w:w="1054"/>
        <w:gridCol w:w="1055"/>
        <w:gridCol w:w="1055"/>
        <w:gridCol w:w="1054"/>
        <w:gridCol w:w="1055"/>
        <w:gridCol w:w="1060"/>
      </w:tblGrid>
      <w:tr w:rsidR="004E569C" w:rsidRPr="00B44E21" w:rsidTr="008F3B3A">
        <w:trPr>
          <w:tblHeader/>
        </w:trPr>
        <w:tc>
          <w:tcPr>
            <w:tcW w:w="2689" w:type="dxa"/>
          </w:tcPr>
          <w:p w:rsidR="004E569C" w:rsidRPr="00B44E21" w:rsidRDefault="004E569C" w:rsidP="00CB64E7">
            <w:pPr>
              <w:keepNext/>
              <w:rPr>
                <w:rFonts w:ascii="Arial Narrow" w:hAnsi="Arial Narrow"/>
                <w:sz w:val="20"/>
                <w:szCs w:val="20"/>
              </w:rPr>
            </w:pPr>
          </w:p>
        </w:tc>
        <w:tc>
          <w:tcPr>
            <w:tcW w:w="1054" w:type="dxa"/>
            <w:vAlign w:val="center"/>
          </w:tcPr>
          <w:p w:rsidR="004E569C" w:rsidRPr="00392B4F" w:rsidRDefault="004E569C" w:rsidP="00CB64E7">
            <w:pPr>
              <w:keepNext/>
              <w:jc w:val="center"/>
              <w:rPr>
                <w:rFonts w:ascii="Arial Narrow" w:hAnsi="Arial Narrow"/>
                <w:b/>
                <w:bCs/>
                <w:sz w:val="20"/>
                <w:szCs w:val="20"/>
              </w:rPr>
            </w:pPr>
            <w:r w:rsidRPr="00392B4F">
              <w:rPr>
                <w:rFonts w:ascii="Arial Narrow" w:hAnsi="Arial Narrow"/>
                <w:b/>
                <w:bCs/>
                <w:sz w:val="20"/>
                <w:szCs w:val="20"/>
              </w:rPr>
              <w:t>Year 1</w:t>
            </w:r>
          </w:p>
        </w:tc>
        <w:tc>
          <w:tcPr>
            <w:tcW w:w="1055" w:type="dxa"/>
            <w:vAlign w:val="center"/>
          </w:tcPr>
          <w:p w:rsidR="004E569C" w:rsidRPr="00392B4F" w:rsidRDefault="004E569C" w:rsidP="00CB64E7">
            <w:pPr>
              <w:keepNext/>
              <w:jc w:val="center"/>
              <w:rPr>
                <w:rFonts w:ascii="Arial Narrow" w:hAnsi="Arial Narrow"/>
                <w:b/>
                <w:bCs/>
                <w:sz w:val="20"/>
                <w:szCs w:val="20"/>
              </w:rPr>
            </w:pPr>
            <w:r w:rsidRPr="00392B4F">
              <w:rPr>
                <w:rFonts w:ascii="Arial Narrow" w:hAnsi="Arial Narrow"/>
                <w:b/>
                <w:bCs/>
                <w:sz w:val="20"/>
                <w:szCs w:val="20"/>
              </w:rPr>
              <w:t>Year 2</w:t>
            </w:r>
          </w:p>
        </w:tc>
        <w:tc>
          <w:tcPr>
            <w:tcW w:w="1055" w:type="dxa"/>
            <w:vAlign w:val="center"/>
          </w:tcPr>
          <w:p w:rsidR="004E569C" w:rsidRPr="00392B4F" w:rsidRDefault="004E569C" w:rsidP="00CB64E7">
            <w:pPr>
              <w:keepNext/>
              <w:jc w:val="center"/>
              <w:rPr>
                <w:rFonts w:ascii="Arial Narrow" w:hAnsi="Arial Narrow"/>
                <w:b/>
                <w:bCs/>
                <w:sz w:val="20"/>
                <w:szCs w:val="20"/>
              </w:rPr>
            </w:pPr>
            <w:r w:rsidRPr="00392B4F">
              <w:rPr>
                <w:rFonts w:ascii="Arial Narrow" w:hAnsi="Arial Narrow"/>
                <w:b/>
                <w:bCs/>
                <w:sz w:val="20"/>
                <w:szCs w:val="20"/>
              </w:rPr>
              <w:t>Year 3</w:t>
            </w:r>
          </w:p>
        </w:tc>
        <w:tc>
          <w:tcPr>
            <w:tcW w:w="1054" w:type="dxa"/>
            <w:vAlign w:val="center"/>
          </w:tcPr>
          <w:p w:rsidR="004E569C" w:rsidRPr="00392B4F" w:rsidRDefault="004E569C" w:rsidP="00CB64E7">
            <w:pPr>
              <w:keepNext/>
              <w:jc w:val="center"/>
              <w:rPr>
                <w:rFonts w:ascii="Arial Narrow" w:hAnsi="Arial Narrow"/>
                <w:b/>
                <w:bCs/>
                <w:sz w:val="20"/>
                <w:szCs w:val="20"/>
              </w:rPr>
            </w:pPr>
            <w:r w:rsidRPr="00392B4F">
              <w:rPr>
                <w:rFonts w:ascii="Arial Narrow" w:hAnsi="Arial Narrow"/>
                <w:b/>
                <w:bCs/>
                <w:sz w:val="20"/>
                <w:szCs w:val="20"/>
              </w:rPr>
              <w:t>Year 4</w:t>
            </w:r>
          </w:p>
        </w:tc>
        <w:tc>
          <w:tcPr>
            <w:tcW w:w="1055" w:type="dxa"/>
            <w:vAlign w:val="center"/>
          </w:tcPr>
          <w:p w:rsidR="004E569C" w:rsidRPr="00392B4F" w:rsidRDefault="004E569C" w:rsidP="00CB64E7">
            <w:pPr>
              <w:keepNext/>
              <w:jc w:val="center"/>
              <w:rPr>
                <w:rFonts w:ascii="Arial Narrow" w:hAnsi="Arial Narrow"/>
                <w:b/>
                <w:bCs/>
                <w:sz w:val="20"/>
                <w:szCs w:val="20"/>
              </w:rPr>
            </w:pPr>
            <w:r w:rsidRPr="00392B4F">
              <w:rPr>
                <w:rFonts w:ascii="Arial Narrow" w:hAnsi="Arial Narrow"/>
                <w:b/>
                <w:bCs/>
                <w:sz w:val="20"/>
                <w:szCs w:val="20"/>
              </w:rPr>
              <w:t>Year 5</w:t>
            </w:r>
          </w:p>
        </w:tc>
        <w:tc>
          <w:tcPr>
            <w:tcW w:w="1055" w:type="dxa"/>
            <w:vAlign w:val="center"/>
          </w:tcPr>
          <w:p w:rsidR="004E569C" w:rsidRPr="00392B4F" w:rsidRDefault="004E569C" w:rsidP="00CB64E7">
            <w:pPr>
              <w:keepNext/>
              <w:jc w:val="center"/>
              <w:rPr>
                <w:rFonts w:ascii="Arial Narrow" w:hAnsi="Arial Narrow"/>
                <w:b/>
                <w:bCs/>
                <w:sz w:val="20"/>
                <w:szCs w:val="20"/>
              </w:rPr>
            </w:pPr>
            <w:r w:rsidRPr="00392B4F">
              <w:rPr>
                <w:rFonts w:ascii="Arial Narrow" w:hAnsi="Arial Narrow"/>
                <w:b/>
                <w:bCs/>
                <w:sz w:val="20"/>
                <w:szCs w:val="20"/>
              </w:rPr>
              <w:t>Year 6</w:t>
            </w:r>
          </w:p>
        </w:tc>
      </w:tr>
      <w:tr w:rsidR="004E569C" w:rsidRPr="00B44E21" w:rsidTr="008F3B3A">
        <w:tc>
          <w:tcPr>
            <w:tcW w:w="9017" w:type="dxa"/>
            <w:gridSpan w:val="7"/>
            <w:tcBorders>
              <w:bottom w:val="single" w:sz="4" w:space="0" w:color="auto"/>
            </w:tcBorders>
          </w:tcPr>
          <w:p w:rsidR="004E569C" w:rsidRPr="008F4477" w:rsidRDefault="004E569C" w:rsidP="00CB64E7">
            <w:pPr>
              <w:keepNext/>
              <w:rPr>
                <w:rFonts w:ascii="Arial Narrow" w:hAnsi="Arial Narrow"/>
                <w:b/>
                <w:sz w:val="20"/>
                <w:szCs w:val="20"/>
              </w:rPr>
            </w:pPr>
            <w:r w:rsidRPr="008F4477">
              <w:rPr>
                <w:rFonts w:ascii="Arial Narrow" w:hAnsi="Arial Narrow"/>
                <w:b/>
                <w:sz w:val="20"/>
                <w:szCs w:val="20"/>
              </w:rPr>
              <w:t>4.2 Estimation of use and financial impact of the proposed medicine (TIL)</w:t>
            </w:r>
          </w:p>
        </w:tc>
      </w:tr>
      <w:tr w:rsidR="004E569C" w:rsidRPr="00B44E21" w:rsidTr="008F3B3A">
        <w:tc>
          <w:tcPr>
            <w:tcW w:w="2689" w:type="dxa"/>
            <w:tcBorders>
              <w:bottom w:val="nil"/>
            </w:tcBorders>
          </w:tcPr>
          <w:p w:rsidR="004E569C" w:rsidRDefault="004E569C" w:rsidP="00CB64E7">
            <w:pPr>
              <w:keepNext/>
              <w:rPr>
                <w:rFonts w:ascii="Arial Narrow" w:hAnsi="Arial Narrow"/>
                <w:sz w:val="20"/>
                <w:szCs w:val="20"/>
              </w:rPr>
            </w:pPr>
            <w:proofErr w:type="spellStart"/>
            <w:r>
              <w:rPr>
                <w:rFonts w:ascii="Arial Narrow" w:hAnsi="Arial Narrow"/>
                <w:sz w:val="20"/>
                <w:szCs w:val="20"/>
              </w:rPr>
              <w:t>bDMARD</w:t>
            </w:r>
            <w:proofErr w:type="spellEnd"/>
            <w:r>
              <w:rPr>
                <w:rFonts w:ascii="Arial Narrow" w:hAnsi="Arial Narrow"/>
                <w:sz w:val="20"/>
                <w:szCs w:val="20"/>
              </w:rPr>
              <w:t xml:space="preserve"> patient-years without TIL</w:t>
            </w:r>
          </w:p>
        </w:tc>
        <w:tc>
          <w:tcPr>
            <w:tcW w:w="1054"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4"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r>
      <w:tr w:rsidR="004E569C" w:rsidRPr="00B44E21" w:rsidTr="008F3B3A">
        <w:tc>
          <w:tcPr>
            <w:tcW w:w="2689" w:type="dxa"/>
            <w:tcBorders>
              <w:top w:val="nil"/>
              <w:bottom w:val="nil"/>
            </w:tcBorders>
          </w:tcPr>
          <w:p w:rsidR="004E569C" w:rsidRPr="00B44E21" w:rsidRDefault="004E569C" w:rsidP="00CB64E7">
            <w:pPr>
              <w:keepNext/>
              <w:ind w:left="112"/>
              <w:rPr>
                <w:rFonts w:ascii="Arial Narrow" w:hAnsi="Arial Narrow"/>
                <w:sz w:val="20"/>
                <w:szCs w:val="20"/>
              </w:rPr>
            </w:pPr>
            <w:r>
              <w:rPr>
                <w:rFonts w:ascii="Arial Narrow" w:hAnsi="Arial Narrow"/>
                <w:sz w:val="20"/>
                <w:szCs w:val="20"/>
              </w:rPr>
              <w:t xml:space="preserve">Initiation-patient </w:t>
            </w:r>
            <w:proofErr w:type="spellStart"/>
            <w:r>
              <w:rPr>
                <w:rFonts w:ascii="Arial Narrow" w:hAnsi="Arial Narrow"/>
                <w:sz w:val="20"/>
                <w:szCs w:val="20"/>
              </w:rPr>
              <w:t>years</w:t>
            </w:r>
            <w:r w:rsidRPr="00025144">
              <w:rPr>
                <w:rFonts w:ascii="Arial Narrow" w:hAnsi="Arial Narrow"/>
                <w:sz w:val="20"/>
                <w:szCs w:val="20"/>
                <w:vertAlign w:val="superscript"/>
              </w:rPr>
              <w:t>a</w:t>
            </w:r>
            <w:proofErr w:type="spellEnd"/>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top w:val="nil"/>
              <w:bottom w:val="nil"/>
            </w:tcBorders>
          </w:tcPr>
          <w:p w:rsidR="004E569C" w:rsidRDefault="004E569C" w:rsidP="00CB64E7">
            <w:pPr>
              <w:keepNext/>
              <w:ind w:left="112"/>
              <w:rPr>
                <w:rFonts w:ascii="Arial Narrow" w:hAnsi="Arial Narrow"/>
                <w:sz w:val="20"/>
                <w:szCs w:val="20"/>
              </w:rPr>
            </w:pPr>
            <w:r>
              <w:rPr>
                <w:rFonts w:ascii="Arial Narrow" w:hAnsi="Arial Narrow"/>
                <w:sz w:val="20"/>
                <w:szCs w:val="20"/>
              </w:rPr>
              <w:t xml:space="preserve">Maintenance-patient years </w:t>
            </w:r>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top w:val="nil"/>
              <w:bottom w:val="single" w:sz="4" w:space="0" w:color="auto"/>
            </w:tcBorders>
          </w:tcPr>
          <w:p w:rsidR="004E569C" w:rsidRPr="00357A77" w:rsidRDefault="004E569C" w:rsidP="00CB64E7">
            <w:pPr>
              <w:keepNext/>
              <w:ind w:left="112"/>
              <w:rPr>
                <w:rFonts w:ascii="Arial Narrow" w:hAnsi="Arial Narrow"/>
                <w:sz w:val="20"/>
                <w:szCs w:val="20"/>
              </w:rPr>
            </w:pPr>
            <w:r>
              <w:rPr>
                <w:rFonts w:ascii="Arial Narrow" w:hAnsi="Arial Narrow"/>
                <w:sz w:val="20"/>
                <w:szCs w:val="20"/>
              </w:rPr>
              <w:t>T</w:t>
            </w:r>
            <w:r w:rsidRPr="00357A77">
              <w:rPr>
                <w:rFonts w:ascii="Arial Narrow" w:hAnsi="Arial Narrow"/>
                <w:sz w:val="20"/>
                <w:szCs w:val="20"/>
              </w:rPr>
              <w:t xml:space="preserve">otal </w:t>
            </w:r>
          </w:p>
        </w:tc>
        <w:tc>
          <w:tcPr>
            <w:tcW w:w="1054"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bottom w:val="nil"/>
            </w:tcBorders>
          </w:tcPr>
          <w:p w:rsidR="004E569C" w:rsidRDefault="004E569C" w:rsidP="00CB64E7">
            <w:pPr>
              <w:keepNext/>
              <w:rPr>
                <w:rFonts w:ascii="Arial Narrow" w:hAnsi="Arial Narrow"/>
                <w:sz w:val="20"/>
                <w:szCs w:val="20"/>
              </w:rPr>
            </w:pPr>
            <w:proofErr w:type="spellStart"/>
            <w:r>
              <w:rPr>
                <w:rFonts w:ascii="Arial Narrow" w:hAnsi="Arial Narrow"/>
                <w:sz w:val="20"/>
                <w:szCs w:val="20"/>
              </w:rPr>
              <w:t>bDMARD</w:t>
            </w:r>
            <w:proofErr w:type="spellEnd"/>
            <w:r>
              <w:rPr>
                <w:rFonts w:ascii="Arial Narrow" w:hAnsi="Arial Narrow"/>
                <w:sz w:val="20"/>
                <w:szCs w:val="20"/>
              </w:rPr>
              <w:t xml:space="preserve"> patient-years with TIL</w:t>
            </w:r>
          </w:p>
        </w:tc>
        <w:tc>
          <w:tcPr>
            <w:tcW w:w="1054"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4"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4F3D34" w:rsidRDefault="004E569C" w:rsidP="00CB64E7">
            <w:pPr>
              <w:keepNext/>
              <w:jc w:val="center"/>
              <w:rPr>
                <w:rFonts w:ascii="Arial Narrow" w:hAnsi="Arial Narrow"/>
                <w:sz w:val="20"/>
                <w:szCs w:val="20"/>
              </w:rPr>
            </w:pPr>
          </w:p>
        </w:tc>
      </w:tr>
      <w:tr w:rsidR="004E569C" w:rsidRPr="00B44E21" w:rsidTr="008F3B3A">
        <w:tc>
          <w:tcPr>
            <w:tcW w:w="2689" w:type="dxa"/>
            <w:tcBorders>
              <w:top w:val="nil"/>
              <w:bottom w:val="nil"/>
            </w:tcBorders>
          </w:tcPr>
          <w:p w:rsidR="004E569C" w:rsidRDefault="004E569C" w:rsidP="00CB64E7">
            <w:pPr>
              <w:keepNext/>
              <w:ind w:left="112"/>
              <w:rPr>
                <w:rFonts w:ascii="Arial Narrow" w:hAnsi="Arial Narrow"/>
                <w:sz w:val="20"/>
                <w:szCs w:val="20"/>
              </w:rPr>
            </w:pPr>
            <w:r>
              <w:rPr>
                <w:rFonts w:ascii="Arial Narrow" w:hAnsi="Arial Narrow"/>
                <w:sz w:val="20"/>
                <w:szCs w:val="20"/>
              </w:rPr>
              <w:t>Initiation-patient years</w:t>
            </w:r>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top w:val="nil"/>
              <w:bottom w:val="nil"/>
            </w:tcBorders>
          </w:tcPr>
          <w:p w:rsidR="004E569C" w:rsidRPr="00B44E21" w:rsidRDefault="004E569C" w:rsidP="00CB64E7">
            <w:pPr>
              <w:keepNext/>
              <w:ind w:left="112"/>
              <w:rPr>
                <w:rFonts w:ascii="Arial Narrow" w:hAnsi="Arial Narrow"/>
                <w:sz w:val="20"/>
                <w:szCs w:val="20"/>
              </w:rPr>
            </w:pPr>
            <w:r>
              <w:rPr>
                <w:rFonts w:ascii="Arial Narrow" w:hAnsi="Arial Narrow"/>
                <w:sz w:val="20"/>
                <w:szCs w:val="20"/>
              </w:rPr>
              <w:t xml:space="preserve">Maintenance-patient years </w:t>
            </w:r>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center"/>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top w:val="nil"/>
              <w:bottom w:val="single" w:sz="4" w:space="0" w:color="auto"/>
            </w:tcBorders>
          </w:tcPr>
          <w:p w:rsidR="004E569C" w:rsidRPr="00357A77" w:rsidRDefault="004E569C" w:rsidP="00CB64E7">
            <w:pPr>
              <w:keepNext/>
              <w:ind w:left="112"/>
              <w:rPr>
                <w:rFonts w:ascii="Arial Narrow" w:hAnsi="Arial Narrow"/>
                <w:sz w:val="20"/>
                <w:szCs w:val="20"/>
              </w:rPr>
            </w:pPr>
            <w:r>
              <w:rPr>
                <w:rFonts w:ascii="Arial Narrow" w:hAnsi="Arial Narrow"/>
                <w:sz w:val="20"/>
                <w:szCs w:val="20"/>
              </w:rPr>
              <w:t>T</w:t>
            </w:r>
            <w:r w:rsidRPr="00357A77">
              <w:rPr>
                <w:rFonts w:ascii="Arial Narrow" w:hAnsi="Arial Narrow"/>
                <w:sz w:val="20"/>
                <w:szCs w:val="20"/>
              </w:rPr>
              <w:t xml:space="preserve">otal </w:t>
            </w:r>
          </w:p>
        </w:tc>
        <w:tc>
          <w:tcPr>
            <w:tcW w:w="1054"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bottom w:val="nil"/>
            </w:tcBorders>
          </w:tcPr>
          <w:p w:rsidR="004E569C" w:rsidRDefault="004E569C" w:rsidP="00CB64E7">
            <w:pPr>
              <w:keepNext/>
              <w:rPr>
                <w:rFonts w:ascii="Arial Narrow" w:hAnsi="Arial Narrow"/>
                <w:sz w:val="20"/>
                <w:szCs w:val="20"/>
              </w:rPr>
            </w:pPr>
            <w:r>
              <w:rPr>
                <w:rFonts w:ascii="Arial Narrow" w:hAnsi="Arial Narrow"/>
                <w:sz w:val="20"/>
                <w:szCs w:val="20"/>
              </w:rPr>
              <w:t>Scripts of TIL</w:t>
            </w:r>
          </w:p>
        </w:tc>
        <w:tc>
          <w:tcPr>
            <w:tcW w:w="1054"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4"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r>
      <w:tr w:rsidR="004E569C" w:rsidRPr="00B44E21" w:rsidTr="008F3B3A">
        <w:tc>
          <w:tcPr>
            <w:tcW w:w="2689" w:type="dxa"/>
            <w:tcBorders>
              <w:top w:val="nil"/>
              <w:bottom w:val="nil"/>
            </w:tcBorders>
          </w:tcPr>
          <w:p w:rsidR="004E569C" w:rsidRDefault="004E569C" w:rsidP="00CB64E7">
            <w:pPr>
              <w:keepNext/>
              <w:ind w:left="112"/>
              <w:rPr>
                <w:rFonts w:ascii="Arial Narrow" w:hAnsi="Arial Narrow"/>
                <w:sz w:val="20"/>
                <w:szCs w:val="20"/>
              </w:rPr>
            </w:pPr>
            <w:r>
              <w:rPr>
                <w:rFonts w:ascii="Arial Narrow" w:hAnsi="Arial Narrow"/>
                <w:sz w:val="20"/>
                <w:szCs w:val="20"/>
              </w:rPr>
              <w:t>Initiation</w:t>
            </w:r>
          </w:p>
        </w:tc>
        <w:tc>
          <w:tcPr>
            <w:tcW w:w="1054"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top w:val="nil"/>
              <w:bottom w:val="nil"/>
            </w:tcBorders>
          </w:tcPr>
          <w:p w:rsidR="004E569C" w:rsidRDefault="004E569C" w:rsidP="00CB64E7">
            <w:pPr>
              <w:keepNext/>
              <w:ind w:left="112"/>
              <w:rPr>
                <w:rFonts w:ascii="Arial Narrow" w:hAnsi="Arial Narrow"/>
                <w:sz w:val="20"/>
                <w:szCs w:val="20"/>
              </w:rPr>
            </w:pPr>
            <w:r>
              <w:rPr>
                <w:rFonts w:ascii="Arial Narrow" w:hAnsi="Arial Narrow"/>
                <w:sz w:val="20"/>
                <w:szCs w:val="20"/>
              </w:rPr>
              <w:t>Maintenance</w:t>
            </w:r>
          </w:p>
        </w:tc>
        <w:tc>
          <w:tcPr>
            <w:tcW w:w="1054"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bottom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Borders>
              <w:top w:val="nil"/>
            </w:tcBorders>
          </w:tcPr>
          <w:p w:rsidR="004E569C" w:rsidRDefault="004E569C" w:rsidP="00CB64E7">
            <w:pPr>
              <w:keepNext/>
              <w:ind w:left="112"/>
              <w:rPr>
                <w:rFonts w:ascii="Arial Narrow" w:hAnsi="Arial Narrow"/>
                <w:sz w:val="20"/>
                <w:szCs w:val="20"/>
              </w:rPr>
            </w:pPr>
            <w:r>
              <w:rPr>
                <w:rFonts w:ascii="Arial Narrow" w:hAnsi="Arial Narrow"/>
                <w:sz w:val="20"/>
                <w:szCs w:val="20"/>
              </w:rPr>
              <w:t>Total</w:t>
            </w:r>
          </w:p>
        </w:tc>
        <w:tc>
          <w:tcPr>
            <w:tcW w:w="1054" w:type="dxa"/>
            <w:tcBorders>
              <w:top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4" w:type="dxa"/>
            <w:tcBorders>
              <w:top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55" w:type="dxa"/>
            <w:tcBorders>
              <w:top w:val="nil"/>
            </w:tcBorders>
            <w:vAlign w:val="bottom"/>
          </w:tcPr>
          <w:p w:rsidR="004E569C" w:rsidRPr="001B3204" w:rsidRDefault="001B3204" w:rsidP="00CB64E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E569C" w:rsidRPr="00B44E21" w:rsidTr="008F3B3A">
        <w:tc>
          <w:tcPr>
            <w:tcW w:w="2689" w:type="dxa"/>
          </w:tcPr>
          <w:p w:rsidR="004E569C" w:rsidRPr="00664C44" w:rsidRDefault="004E569C" w:rsidP="00CB64E7">
            <w:pPr>
              <w:keepNext/>
              <w:rPr>
                <w:rFonts w:ascii="Arial Narrow" w:hAnsi="Arial Narrow"/>
                <w:sz w:val="20"/>
                <w:szCs w:val="20"/>
              </w:rPr>
            </w:pPr>
            <w:r>
              <w:rPr>
                <w:rFonts w:ascii="Arial Narrow" w:hAnsi="Arial Narrow"/>
                <w:sz w:val="20"/>
                <w:szCs w:val="20"/>
              </w:rPr>
              <w:t>TIL net c</w:t>
            </w:r>
            <w:r w:rsidRPr="00664C44">
              <w:rPr>
                <w:rFonts w:ascii="Arial Narrow" w:hAnsi="Arial Narrow"/>
                <w:sz w:val="20"/>
                <w:szCs w:val="20"/>
              </w:rPr>
              <w:t>ost to PBS/RPBS</w:t>
            </w:r>
          </w:p>
        </w:tc>
        <w:tc>
          <w:tcPr>
            <w:tcW w:w="1054"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iCs/>
                <w:sz w:val="20"/>
              </w:rPr>
              <w:t>$</w:t>
            </w:r>
            <w:r w:rsidR="001B3204">
              <w:rPr>
                <w:rFonts w:ascii="Arial Narrow" w:hAnsi="Arial Narrow"/>
                <w:iCs/>
                <w:noProof/>
                <w:color w:val="000000"/>
                <w:sz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iCs/>
                <w:sz w:val="20"/>
                <w:szCs w:val="20"/>
              </w:rPr>
              <w:t>$</w:t>
            </w:r>
            <w:r w:rsidR="001B3204">
              <w:rPr>
                <w:rFonts w:ascii="Arial Narrow" w:hAnsi="Arial Narrow"/>
                <w:iCs/>
                <w:noProof/>
                <w:color w:val="000000"/>
                <w:sz w:val="20"/>
                <w:szCs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iCs/>
                <w:sz w:val="20"/>
                <w:szCs w:val="20"/>
              </w:rPr>
              <w:t>$</w:t>
            </w:r>
            <w:r w:rsidR="001B3204">
              <w:rPr>
                <w:rFonts w:ascii="Arial Narrow" w:hAnsi="Arial Narrow"/>
                <w:iCs/>
                <w:noProof/>
                <w:color w:val="000000"/>
                <w:sz w:val="20"/>
                <w:szCs w:val="20"/>
                <w:highlight w:val="black"/>
              </w:rPr>
              <w:t>''''''''''''''''''''''''''</w:t>
            </w:r>
          </w:p>
        </w:tc>
        <w:tc>
          <w:tcPr>
            <w:tcW w:w="1054"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iCs/>
                <w:sz w:val="20"/>
                <w:szCs w:val="20"/>
              </w:rPr>
              <w:t>$</w:t>
            </w:r>
            <w:r w:rsidR="001B3204">
              <w:rPr>
                <w:rFonts w:ascii="Arial Narrow" w:hAnsi="Arial Narrow"/>
                <w:iCs/>
                <w:noProof/>
                <w:color w:val="000000"/>
                <w:sz w:val="20"/>
                <w:szCs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iCs/>
                <w:sz w:val="20"/>
                <w:szCs w:val="20"/>
              </w:rPr>
              <w:t>$</w:t>
            </w:r>
            <w:r w:rsidR="001B3204">
              <w:rPr>
                <w:rFonts w:ascii="Arial Narrow" w:hAnsi="Arial Narrow"/>
                <w:iCs/>
                <w:noProof/>
                <w:color w:val="000000"/>
                <w:sz w:val="20"/>
                <w:szCs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iCs/>
                <w:sz w:val="20"/>
                <w:szCs w:val="20"/>
              </w:rPr>
              <w:t>$</w:t>
            </w:r>
            <w:r w:rsidR="001B3204">
              <w:rPr>
                <w:rFonts w:ascii="Arial Narrow" w:hAnsi="Arial Narrow"/>
                <w:iCs/>
                <w:noProof/>
                <w:color w:val="000000"/>
                <w:sz w:val="20"/>
                <w:szCs w:val="20"/>
                <w:highlight w:val="black"/>
              </w:rPr>
              <w:t>''''''''''''''''''''''''''</w:t>
            </w:r>
          </w:p>
        </w:tc>
      </w:tr>
      <w:tr w:rsidR="004E569C" w:rsidRPr="00B44E21" w:rsidTr="008F3B3A">
        <w:tc>
          <w:tcPr>
            <w:tcW w:w="2689" w:type="dxa"/>
          </w:tcPr>
          <w:p w:rsidR="004E569C" w:rsidRDefault="004E569C" w:rsidP="00CB64E7">
            <w:pPr>
              <w:keepNext/>
              <w:rPr>
                <w:rFonts w:ascii="Arial Narrow" w:hAnsi="Arial Narrow"/>
                <w:sz w:val="20"/>
                <w:szCs w:val="20"/>
              </w:rPr>
            </w:pPr>
            <w:r>
              <w:rPr>
                <w:rFonts w:ascii="Arial Narrow" w:hAnsi="Arial Narrow"/>
                <w:sz w:val="20"/>
                <w:szCs w:val="20"/>
              </w:rPr>
              <w:t>TIL net c</w:t>
            </w:r>
            <w:r w:rsidRPr="00664C44">
              <w:rPr>
                <w:rFonts w:ascii="Arial Narrow" w:hAnsi="Arial Narrow"/>
                <w:sz w:val="20"/>
                <w:szCs w:val="20"/>
              </w:rPr>
              <w:t>ost to PBS/RPBS</w:t>
            </w:r>
          </w:p>
          <w:p w:rsidR="004E569C" w:rsidRDefault="004E569C" w:rsidP="00CB64E7">
            <w:pPr>
              <w:keepNext/>
              <w:rPr>
                <w:rFonts w:ascii="Arial Narrow" w:hAnsi="Arial Narrow"/>
                <w:sz w:val="20"/>
                <w:szCs w:val="20"/>
              </w:rPr>
            </w:pPr>
            <w:r>
              <w:rPr>
                <w:rFonts w:ascii="Arial Narrow" w:hAnsi="Arial Narrow"/>
                <w:sz w:val="20"/>
                <w:szCs w:val="20"/>
              </w:rPr>
              <w:t xml:space="preserve">(minus patient </w:t>
            </w:r>
            <w:proofErr w:type="spellStart"/>
            <w:r>
              <w:rPr>
                <w:rFonts w:ascii="Arial Narrow" w:hAnsi="Arial Narrow"/>
                <w:sz w:val="20"/>
                <w:szCs w:val="20"/>
              </w:rPr>
              <w:t>copayment</w:t>
            </w:r>
            <w:proofErr w:type="spellEnd"/>
            <w:r>
              <w:rPr>
                <w:rFonts w:ascii="Arial Narrow" w:hAnsi="Arial Narrow"/>
                <w:sz w:val="20"/>
                <w:szCs w:val="20"/>
              </w:rPr>
              <w:t>)</w:t>
            </w:r>
          </w:p>
        </w:tc>
        <w:tc>
          <w:tcPr>
            <w:tcW w:w="1054"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b/>
                <w:bCs/>
                <w:sz w:val="20"/>
              </w:rPr>
              <w:t>$</w:t>
            </w:r>
            <w:r w:rsidR="001B3204">
              <w:rPr>
                <w:rFonts w:ascii="Arial Narrow" w:hAnsi="Arial Narrow"/>
                <w:b/>
                <w:bCs/>
                <w:noProof/>
                <w:color w:val="000000"/>
                <w:sz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4"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shd w:val="clear" w:color="auto" w:fill="auto"/>
            <w:vAlign w:val="center"/>
          </w:tcPr>
          <w:p w:rsidR="004E569C" w:rsidRPr="00664C44" w:rsidRDefault="004E569C" w:rsidP="00CB64E7">
            <w:pPr>
              <w:keepNext/>
              <w:jc w:val="center"/>
              <w:rPr>
                <w:rFonts w:ascii="Arial Narrow" w:hAnsi="Arial Narrow"/>
                <w:i/>
                <w:iCs/>
                <w:sz w:val="20"/>
                <w:szCs w:val="20"/>
              </w:rPr>
            </w:pPr>
            <w:r>
              <w:rPr>
                <w:rFonts w:ascii="Arial Narrow" w:hAnsi="Arial Narrow"/>
                <w:b/>
                <w:bCs/>
                <w:sz w:val="20"/>
                <w:szCs w:val="20"/>
              </w:rPr>
              <w:t>$</w:t>
            </w:r>
            <w:r w:rsidR="001B3204">
              <w:rPr>
                <w:rFonts w:ascii="Arial Narrow" w:hAnsi="Arial Narrow"/>
                <w:b/>
                <w:bCs/>
                <w:noProof/>
                <w:color w:val="000000"/>
                <w:sz w:val="20"/>
                <w:szCs w:val="20"/>
                <w:highlight w:val="black"/>
              </w:rPr>
              <w:t>'''''''''''''''''''</w:t>
            </w:r>
          </w:p>
        </w:tc>
      </w:tr>
      <w:tr w:rsidR="004E569C" w:rsidRPr="00B44E21" w:rsidTr="008F3B3A">
        <w:tc>
          <w:tcPr>
            <w:tcW w:w="9017" w:type="dxa"/>
            <w:gridSpan w:val="7"/>
            <w:tcBorders>
              <w:bottom w:val="single" w:sz="4" w:space="0" w:color="auto"/>
            </w:tcBorders>
          </w:tcPr>
          <w:p w:rsidR="004E569C" w:rsidRPr="008F4477" w:rsidRDefault="004E569C" w:rsidP="00CB64E7">
            <w:pPr>
              <w:keepNext/>
              <w:rPr>
                <w:rFonts w:ascii="Arial Narrow" w:hAnsi="Arial Narrow"/>
                <w:b/>
                <w:i/>
                <w:sz w:val="20"/>
                <w:szCs w:val="20"/>
              </w:rPr>
            </w:pPr>
            <w:bookmarkStart w:id="25" w:name="_Toc512339672"/>
            <w:r w:rsidRPr="008F4477">
              <w:rPr>
                <w:rFonts w:ascii="Arial Narrow" w:hAnsi="Arial Narrow"/>
                <w:b/>
                <w:sz w:val="20"/>
                <w:szCs w:val="20"/>
              </w:rPr>
              <w:t>4.3</w:t>
            </w:r>
            <w:r w:rsidRPr="008F4477">
              <w:rPr>
                <w:rFonts w:ascii="Arial Narrow" w:hAnsi="Arial Narrow"/>
                <w:b/>
                <w:sz w:val="20"/>
                <w:szCs w:val="20"/>
              </w:rPr>
              <w:tab/>
              <w:t>Estimation of changes in use and financial impact of other medicines (bDMARDs)</w:t>
            </w:r>
            <w:bookmarkEnd w:id="25"/>
          </w:p>
        </w:tc>
      </w:tr>
      <w:tr w:rsidR="004E569C" w:rsidRPr="00B44E21" w:rsidTr="008F3B3A">
        <w:tc>
          <w:tcPr>
            <w:tcW w:w="2689" w:type="dxa"/>
            <w:tcBorders>
              <w:bottom w:val="nil"/>
            </w:tcBorders>
          </w:tcPr>
          <w:p w:rsidR="004E569C" w:rsidRDefault="004E569C" w:rsidP="00CB64E7">
            <w:pPr>
              <w:keepNext/>
              <w:rPr>
                <w:rFonts w:ascii="Arial Narrow" w:hAnsi="Arial Narrow"/>
                <w:sz w:val="20"/>
                <w:szCs w:val="20"/>
              </w:rPr>
            </w:pPr>
            <w:r>
              <w:rPr>
                <w:rFonts w:ascii="Arial Narrow" w:hAnsi="Arial Narrow"/>
                <w:sz w:val="20"/>
                <w:szCs w:val="20"/>
              </w:rPr>
              <w:t xml:space="preserve">Other </w:t>
            </w:r>
            <w:proofErr w:type="spellStart"/>
            <w:r>
              <w:rPr>
                <w:rFonts w:ascii="Arial Narrow" w:hAnsi="Arial Narrow"/>
                <w:sz w:val="20"/>
                <w:szCs w:val="20"/>
              </w:rPr>
              <w:t>bDMARD</w:t>
            </w:r>
            <w:proofErr w:type="spellEnd"/>
            <w:r>
              <w:rPr>
                <w:rFonts w:ascii="Arial Narrow" w:hAnsi="Arial Narrow"/>
                <w:sz w:val="20"/>
                <w:szCs w:val="20"/>
              </w:rPr>
              <w:t xml:space="preserve"> scripts</w:t>
            </w:r>
          </w:p>
        </w:tc>
        <w:tc>
          <w:tcPr>
            <w:tcW w:w="1054" w:type="dxa"/>
            <w:tcBorders>
              <w:bottom w:val="nil"/>
            </w:tcBorders>
            <w:vAlign w:val="center"/>
          </w:tcPr>
          <w:p w:rsidR="004E569C" w:rsidRPr="006840A2" w:rsidRDefault="004E569C" w:rsidP="00CB64E7">
            <w:pPr>
              <w:keepNext/>
              <w:jc w:val="center"/>
              <w:rPr>
                <w:rFonts w:ascii="Arial Narrow" w:hAnsi="Arial Narrow"/>
                <w:i/>
                <w:iCs/>
                <w:sz w:val="20"/>
                <w:szCs w:val="20"/>
              </w:rPr>
            </w:pPr>
            <w:r w:rsidRPr="006840A2">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bottom w:val="nil"/>
            </w:tcBorders>
            <w:vAlign w:val="center"/>
          </w:tcPr>
          <w:p w:rsidR="004E569C" w:rsidRPr="006840A2"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bottom w:val="nil"/>
            </w:tcBorders>
            <w:vAlign w:val="center"/>
          </w:tcPr>
          <w:p w:rsidR="004E569C" w:rsidRPr="006840A2"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bottom w:val="nil"/>
            </w:tcBorders>
            <w:vAlign w:val="center"/>
          </w:tcPr>
          <w:p w:rsidR="004E569C" w:rsidRPr="006840A2"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bottom w:val="nil"/>
            </w:tcBorders>
            <w:vAlign w:val="center"/>
          </w:tcPr>
          <w:p w:rsidR="004E569C" w:rsidRPr="006840A2"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bottom w:val="nil"/>
            </w:tcBorders>
            <w:vAlign w:val="center"/>
          </w:tcPr>
          <w:p w:rsidR="004E569C" w:rsidRPr="006840A2"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2689" w:type="dxa"/>
            <w:tcBorders>
              <w:bottom w:val="nil"/>
            </w:tcBorders>
          </w:tcPr>
          <w:p w:rsidR="004E569C" w:rsidRDefault="004E569C" w:rsidP="00CB64E7">
            <w:pPr>
              <w:keepNext/>
              <w:rPr>
                <w:rFonts w:ascii="Arial Narrow" w:hAnsi="Arial Narrow"/>
                <w:sz w:val="20"/>
                <w:szCs w:val="20"/>
              </w:rPr>
            </w:pPr>
            <w:r>
              <w:rPr>
                <w:rFonts w:ascii="Arial Narrow" w:hAnsi="Arial Narrow"/>
                <w:sz w:val="20"/>
                <w:szCs w:val="20"/>
              </w:rPr>
              <w:t xml:space="preserve">Net cost to PBS/RPBS (minus patient </w:t>
            </w:r>
            <w:proofErr w:type="spellStart"/>
            <w:r>
              <w:rPr>
                <w:rFonts w:ascii="Arial Narrow" w:hAnsi="Arial Narrow"/>
                <w:sz w:val="20"/>
                <w:szCs w:val="20"/>
              </w:rPr>
              <w:t>copayment</w:t>
            </w:r>
            <w:proofErr w:type="spellEnd"/>
            <w:r>
              <w:rPr>
                <w:rFonts w:ascii="Arial Narrow" w:hAnsi="Arial Narrow"/>
                <w:sz w:val="20"/>
                <w:szCs w:val="20"/>
              </w:rPr>
              <w:t>)</w:t>
            </w:r>
          </w:p>
        </w:tc>
        <w:tc>
          <w:tcPr>
            <w:tcW w:w="1054"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4"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c>
          <w:tcPr>
            <w:tcW w:w="1055" w:type="dxa"/>
            <w:tcBorders>
              <w:bottom w:val="nil"/>
            </w:tcBorders>
            <w:vAlign w:val="center"/>
          </w:tcPr>
          <w:p w:rsidR="004E569C" w:rsidRPr="00B44E21" w:rsidRDefault="004E569C" w:rsidP="00CB64E7">
            <w:pPr>
              <w:keepNext/>
              <w:jc w:val="center"/>
              <w:rPr>
                <w:rFonts w:ascii="Arial Narrow" w:hAnsi="Arial Narrow"/>
                <w:sz w:val="20"/>
                <w:szCs w:val="20"/>
              </w:rPr>
            </w:pPr>
          </w:p>
        </w:tc>
      </w:tr>
      <w:tr w:rsidR="004E569C" w:rsidRPr="00B44E21" w:rsidTr="008F3B3A">
        <w:tc>
          <w:tcPr>
            <w:tcW w:w="2689" w:type="dxa"/>
            <w:tcBorders>
              <w:top w:val="nil"/>
              <w:bottom w:val="nil"/>
            </w:tcBorders>
            <w:vAlign w:val="bottom"/>
          </w:tcPr>
          <w:p w:rsidR="004E569C" w:rsidRDefault="004E569C" w:rsidP="00CB64E7">
            <w:pPr>
              <w:keepNext/>
              <w:ind w:left="112"/>
              <w:rPr>
                <w:rFonts w:ascii="Arial Narrow" w:hAnsi="Arial Narrow"/>
                <w:sz w:val="20"/>
                <w:szCs w:val="20"/>
              </w:rPr>
            </w:pPr>
            <w:r>
              <w:rPr>
                <w:rFonts w:ascii="Arial Narrow" w:hAnsi="Arial Narrow"/>
                <w:sz w:val="20"/>
                <w:szCs w:val="20"/>
              </w:rPr>
              <w:t>UST</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2689" w:type="dxa"/>
            <w:tcBorders>
              <w:top w:val="nil"/>
              <w:bottom w:val="nil"/>
            </w:tcBorders>
            <w:vAlign w:val="bottom"/>
          </w:tcPr>
          <w:p w:rsidR="004E569C" w:rsidRDefault="004E569C" w:rsidP="00CB64E7">
            <w:pPr>
              <w:keepNext/>
              <w:ind w:left="112"/>
              <w:rPr>
                <w:rFonts w:ascii="Arial Narrow" w:hAnsi="Arial Narrow"/>
                <w:sz w:val="20"/>
                <w:szCs w:val="20"/>
              </w:rPr>
            </w:pPr>
            <w:r>
              <w:rPr>
                <w:rFonts w:ascii="Arial Narrow" w:hAnsi="Arial Narrow"/>
                <w:sz w:val="20"/>
                <w:szCs w:val="20"/>
              </w:rPr>
              <w:t>ADA</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2689" w:type="dxa"/>
            <w:tcBorders>
              <w:top w:val="nil"/>
              <w:bottom w:val="nil"/>
            </w:tcBorders>
            <w:vAlign w:val="bottom"/>
          </w:tcPr>
          <w:p w:rsidR="004E569C" w:rsidRDefault="004E569C" w:rsidP="00CB64E7">
            <w:pPr>
              <w:keepNext/>
              <w:ind w:left="112"/>
              <w:rPr>
                <w:rFonts w:ascii="Arial Narrow" w:hAnsi="Arial Narrow"/>
                <w:sz w:val="20"/>
                <w:szCs w:val="20"/>
              </w:rPr>
            </w:pPr>
            <w:r w:rsidRPr="005545DB">
              <w:rPr>
                <w:rFonts w:ascii="Arial Narrow" w:hAnsi="Arial Narrow"/>
                <w:sz w:val="20"/>
                <w:szCs w:val="20"/>
              </w:rPr>
              <w:t>ETN</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2689" w:type="dxa"/>
            <w:tcBorders>
              <w:top w:val="nil"/>
              <w:bottom w:val="nil"/>
            </w:tcBorders>
            <w:vAlign w:val="bottom"/>
          </w:tcPr>
          <w:p w:rsidR="004E569C" w:rsidRDefault="004E569C" w:rsidP="00CB64E7">
            <w:pPr>
              <w:keepNext/>
              <w:ind w:left="112"/>
              <w:rPr>
                <w:rFonts w:ascii="Arial Narrow" w:hAnsi="Arial Narrow"/>
                <w:sz w:val="20"/>
                <w:szCs w:val="20"/>
              </w:rPr>
            </w:pPr>
            <w:r>
              <w:rPr>
                <w:rFonts w:ascii="Arial Narrow" w:hAnsi="Arial Narrow"/>
                <w:sz w:val="20"/>
                <w:szCs w:val="20"/>
              </w:rPr>
              <w:t>IFX</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2689" w:type="dxa"/>
            <w:tcBorders>
              <w:top w:val="nil"/>
              <w:bottom w:val="nil"/>
            </w:tcBorders>
            <w:vAlign w:val="bottom"/>
          </w:tcPr>
          <w:p w:rsidR="004E569C" w:rsidRDefault="004E569C" w:rsidP="00CB64E7">
            <w:pPr>
              <w:keepNext/>
              <w:ind w:left="112"/>
              <w:rPr>
                <w:rFonts w:ascii="Arial Narrow" w:hAnsi="Arial Narrow"/>
                <w:sz w:val="20"/>
                <w:szCs w:val="20"/>
              </w:rPr>
            </w:pPr>
            <w:r>
              <w:rPr>
                <w:rFonts w:ascii="Arial Narrow" w:hAnsi="Arial Narrow"/>
                <w:sz w:val="20"/>
                <w:szCs w:val="20"/>
              </w:rPr>
              <w:t>SEC</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2689" w:type="dxa"/>
            <w:tcBorders>
              <w:top w:val="nil"/>
              <w:bottom w:val="nil"/>
            </w:tcBorders>
            <w:vAlign w:val="bottom"/>
          </w:tcPr>
          <w:p w:rsidR="004E569C" w:rsidRDefault="004E569C" w:rsidP="00CB64E7">
            <w:pPr>
              <w:keepNext/>
              <w:ind w:left="112"/>
              <w:rPr>
                <w:rFonts w:ascii="Arial Narrow" w:hAnsi="Arial Narrow"/>
                <w:sz w:val="20"/>
                <w:szCs w:val="20"/>
              </w:rPr>
            </w:pPr>
            <w:r>
              <w:rPr>
                <w:rFonts w:ascii="Arial Narrow" w:hAnsi="Arial Narrow"/>
                <w:sz w:val="20"/>
                <w:szCs w:val="20"/>
              </w:rPr>
              <w:t>IXE</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bottom w:val="nil"/>
            </w:tcBorders>
            <w:vAlign w:val="bottom"/>
          </w:tcPr>
          <w:p w:rsidR="004E569C" w:rsidRPr="00955BDA"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2689" w:type="dxa"/>
            <w:tcBorders>
              <w:top w:val="nil"/>
            </w:tcBorders>
          </w:tcPr>
          <w:p w:rsidR="004E569C" w:rsidRPr="00BD7A2D" w:rsidRDefault="004E569C" w:rsidP="00CB64E7">
            <w:pPr>
              <w:keepNext/>
              <w:ind w:left="112"/>
              <w:rPr>
                <w:rFonts w:ascii="Arial Narrow" w:hAnsi="Arial Narrow"/>
                <w:b/>
                <w:bCs/>
                <w:sz w:val="20"/>
                <w:szCs w:val="20"/>
              </w:rPr>
            </w:pPr>
            <w:r w:rsidRPr="00BD7A2D">
              <w:rPr>
                <w:rFonts w:ascii="Arial Narrow" w:hAnsi="Arial Narrow"/>
                <w:b/>
                <w:bCs/>
                <w:sz w:val="20"/>
                <w:szCs w:val="20"/>
              </w:rPr>
              <w:t>Total</w:t>
            </w:r>
          </w:p>
        </w:tc>
        <w:tc>
          <w:tcPr>
            <w:tcW w:w="1054" w:type="dxa"/>
            <w:tcBorders>
              <w:top w:val="nil"/>
            </w:tcBorders>
            <w:vAlign w:val="center"/>
          </w:tcPr>
          <w:p w:rsidR="004E569C" w:rsidRPr="00664C44"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tcBorders>
            <w:vAlign w:val="center"/>
          </w:tcPr>
          <w:p w:rsidR="004E569C" w:rsidRPr="00664C44" w:rsidRDefault="008F3B3A" w:rsidP="00CB64E7">
            <w:pPr>
              <w:keepNext/>
              <w:jc w:val="center"/>
              <w:rPr>
                <w:rFonts w:ascii="Arial Narrow" w:hAnsi="Arial Narrow"/>
                <w:i/>
                <w:iCs/>
                <w:sz w:val="20"/>
                <w:szCs w:val="20"/>
              </w:rPr>
            </w:pPr>
            <w:r>
              <w:rPr>
                <w:rFonts w:ascii="Arial Narrow" w:hAnsi="Arial Narrow"/>
                <w:i/>
                <w:iCs/>
                <w:sz w:val="20"/>
                <w:szCs w:val="20"/>
              </w:rPr>
              <w:t>-</w:t>
            </w:r>
            <w:r w:rsidR="004E569C">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tcBorders>
            <w:vAlign w:val="center"/>
          </w:tcPr>
          <w:p w:rsidR="004E569C" w:rsidRPr="00664C44"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4" w:type="dxa"/>
            <w:tcBorders>
              <w:top w:val="nil"/>
            </w:tcBorders>
            <w:vAlign w:val="center"/>
          </w:tcPr>
          <w:p w:rsidR="004E569C" w:rsidRPr="00664C44"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tcBorders>
            <w:vAlign w:val="center"/>
          </w:tcPr>
          <w:p w:rsidR="004E569C" w:rsidRPr="00664C44"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c>
          <w:tcPr>
            <w:tcW w:w="1055" w:type="dxa"/>
            <w:tcBorders>
              <w:top w:val="nil"/>
            </w:tcBorders>
            <w:vAlign w:val="center"/>
          </w:tcPr>
          <w:p w:rsidR="004E569C" w:rsidRPr="00664C44" w:rsidRDefault="004E569C" w:rsidP="00CB64E7">
            <w:pPr>
              <w:keepNext/>
              <w:jc w:val="center"/>
              <w:rPr>
                <w:rFonts w:ascii="Arial Narrow" w:hAnsi="Arial Narrow"/>
                <w:i/>
                <w:iCs/>
                <w:sz w:val="20"/>
                <w:szCs w:val="20"/>
              </w:rPr>
            </w:pPr>
            <w:r>
              <w:rPr>
                <w:rFonts w:ascii="Arial Narrow" w:hAnsi="Arial Narrow"/>
                <w:i/>
                <w:iCs/>
                <w:sz w:val="20"/>
                <w:szCs w:val="20"/>
              </w:rPr>
              <w:t>-$</w:t>
            </w:r>
            <w:r w:rsidR="001B3204">
              <w:rPr>
                <w:rFonts w:ascii="Arial Narrow" w:hAnsi="Arial Narrow"/>
                <w:i/>
                <w:iCs/>
                <w:noProof/>
                <w:color w:val="000000"/>
                <w:sz w:val="20"/>
                <w:szCs w:val="20"/>
                <w:highlight w:val="black"/>
              </w:rPr>
              <w:t>''''''''''''''''''''''''''</w:t>
            </w:r>
          </w:p>
        </w:tc>
      </w:tr>
      <w:tr w:rsidR="004E569C" w:rsidRPr="00B44E21" w:rsidTr="008F3B3A">
        <w:tc>
          <w:tcPr>
            <w:tcW w:w="9017" w:type="dxa"/>
            <w:gridSpan w:val="7"/>
          </w:tcPr>
          <w:p w:rsidR="004E569C" w:rsidRPr="008F4477" w:rsidRDefault="004E569C" w:rsidP="00CB64E7">
            <w:pPr>
              <w:keepNext/>
              <w:rPr>
                <w:rFonts w:ascii="Arial Narrow" w:hAnsi="Arial Narrow"/>
                <w:b/>
                <w:i/>
                <w:sz w:val="20"/>
                <w:szCs w:val="20"/>
              </w:rPr>
            </w:pPr>
            <w:bookmarkStart w:id="26" w:name="_Toc512339673"/>
            <w:r w:rsidRPr="008F4477">
              <w:rPr>
                <w:rFonts w:ascii="Arial Narrow" w:hAnsi="Arial Narrow"/>
                <w:b/>
                <w:sz w:val="20"/>
                <w:szCs w:val="20"/>
              </w:rPr>
              <w:t>4.4</w:t>
            </w:r>
            <w:r w:rsidRPr="008F4477">
              <w:rPr>
                <w:rFonts w:ascii="Arial Narrow" w:hAnsi="Arial Narrow"/>
                <w:b/>
                <w:sz w:val="20"/>
                <w:szCs w:val="20"/>
              </w:rPr>
              <w:tab/>
              <w:t>Estimated financial implications for the PBS/RPBS or the NIP</w:t>
            </w:r>
            <w:bookmarkEnd w:id="26"/>
          </w:p>
        </w:tc>
      </w:tr>
      <w:tr w:rsidR="004E569C" w:rsidRPr="00B44E21" w:rsidTr="008F3B3A">
        <w:tc>
          <w:tcPr>
            <w:tcW w:w="2689" w:type="dxa"/>
          </w:tcPr>
          <w:p w:rsidR="004E569C" w:rsidRDefault="004E569C" w:rsidP="00CB64E7">
            <w:pPr>
              <w:keepNext/>
              <w:rPr>
                <w:rFonts w:ascii="Arial Narrow" w:hAnsi="Arial Narrow"/>
                <w:sz w:val="20"/>
                <w:szCs w:val="20"/>
              </w:rPr>
            </w:pPr>
            <w:r>
              <w:rPr>
                <w:rFonts w:ascii="Arial Narrow" w:hAnsi="Arial Narrow"/>
                <w:sz w:val="20"/>
                <w:szCs w:val="20"/>
              </w:rPr>
              <w:t xml:space="preserve">Net cost to PBS/RPBS (minus patient </w:t>
            </w:r>
            <w:proofErr w:type="spellStart"/>
            <w:r>
              <w:rPr>
                <w:rFonts w:ascii="Arial Narrow" w:hAnsi="Arial Narrow"/>
                <w:sz w:val="20"/>
                <w:szCs w:val="20"/>
              </w:rPr>
              <w:t>copayment</w:t>
            </w:r>
            <w:proofErr w:type="spellEnd"/>
            <w:r>
              <w:rPr>
                <w:rFonts w:ascii="Arial Narrow" w:hAnsi="Arial Narrow"/>
                <w:sz w:val="20"/>
                <w:szCs w:val="20"/>
              </w:rPr>
              <w:t>)</w:t>
            </w:r>
          </w:p>
        </w:tc>
        <w:tc>
          <w:tcPr>
            <w:tcW w:w="1054" w:type="dxa"/>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4" w:type="dxa"/>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r>
      <w:tr w:rsidR="004E569C" w:rsidRPr="00B44E21" w:rsidTr="008F3B3A">
        <w:tc>
          <w:tcPr>
            <w:tcW w:w="9017" w:type="dxa"/>
            <w:gridSpan w:val="7"/>
            <w:tcBorders>
              <w:bottom w:val="single" w:sz="4" w:space="0" w:color="auto"/>
            </w:tcBorders>
          </w:tcPr>
          <w:p w:rsidR="004E569C" w:rsidRPr="008F4477" w:rsidRDefault="004E569C" w:rsidP="00CB64E7">
            <w:pPr>
              <w:keepNext/>
              <w:rPr>
                <w:rFonts w:ascii="Arial Narrow" w:hAnsi="Arial Narrow"/>
                <w:b/>
                <w:i/>
                <w:sz w:val="20"/>
                <w:szCs w:val="20"/>
              </w:rPr>
            </w:pPr>
            <w:bookmarkStart w:id="27" w:name="_Toc512339674"/>
            <w:r w:rsidRPr="008F4477">
              <w:rPr>
                <w:rFonts w:ascii="Arial Narrow" w:hAnsi="Arial Narrow"/>
                <w:b/>
                <w:sz w:val="20"/>
                <w:szCs w:val="20"/>
              </w:rPr>
              <w:t>4.5</w:t>
            </w:r>
            <w:r w:rsidRPr="008F4477">
              <w:rPr>
                <w:rFonts w:ascii="Arial Narrow" w:hAnsi="Arial Narrow"/>
                <w:b/>
                <w:sz w:val="20"/>
                <w:szCs w:val="20"/>
              </w:rPr>
              <w:tab/>
              <w:t>Estimated financial implications for the health budget</w:t>
            </w:r>
            <w:bookmarkEnd w:id="27"/>
          </w:p>
        </w:tc>
      </w:tr>
      <w:tr w:rsidR="004E569C" w:rsidRPr="00B44E21" w:rsidTr="008F3B3A">
        <w:tc>
          <w:tcPr>
            <w:tcW w:w="2689" w:type="dxa"/>
            <w:tcBorders>
              <w:bottom w:val="nil"/>
            </w:tcBorders>
          </w:tcPr>
          <w:p w:rsidR="004E569C" w:rsidRDefault="004E569C" w:rsidP="00CB64E7">
            <w:pPr>
              <w:keepNext/>
              <w:rPr>
                <w:rFonts w:ascii="Arial Narrow" w:hAnsi="Arial Narrow"/>
                <w:sz w:val="20"/>
                <w:szCs w:val="20"/>
              </w:rPr>
            </w:pPr>
            <w:r>
              <w:rPr>
                <w:rFonts w:ascii="Arial Narrow" w:hAnsi="Arial Narrow"/>
                <w:sz w:val="20"/>
                <w:szCs w:val="20"/>
              </w:rPr>
              <w:t>Infusions (associated with IFX)</w:t>
            </w:r>
          </w:p>
        </w:tc>
        <w:tc>
          <w:tcPr>
            <w:tcW w:w="1054" w:type="dxa"/>
            <w:tcBorders>
              <w:bottom w:val="nil"/>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bottom w:val="nil"/>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bottom w:val="nil"/>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4" w:type="dxa"/>
            <w:tcBorders>
              <w:bottom w:val="nil"/>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bottom w:val="nil"/>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bottom w:val="nil"/>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r>
      <w:tr w:rsidR="004E569C" w:rsidRPr="00B44E21" w:rsidTr="008F3B3A">
        <w:tc>
          <w:tcPr>
            <w:tcW w:w="2689" w:type="dxa"/>
            <w:tcBorders>
              <w:top w:val="nil"/>
              <w:bottom w:val="single" w:sz="4" w:space="0" w:color="auto"/>
            </w:tcBorders>
          </w:tcPr>
          <w:p w:rsidR="004E569C" w:rsidRDefault="004E569C" w:rsidP="00CB64E7">
            <w:pPr>
              <w:keepNext/>
              <w:rPr>
                <w:rFonts w:ascii="Arial Narrow" w:hAnsi="Arial Narrow"/>
                <w:sz w:val="20"/>
                <w:szCs w:val="20"/>
              </w:rPr>
            </w:pPr>
            <w:r>
              <w:rPr>
                <w:rFonts w:ascii="Arial Narrow" w:hAnsi="Arial Narrow"/>
                <w:sz w:val="20"/>
                <w:szCs w:val="20"/>
              </w:rPr>
              <w:t>Net cost to MBS (infusions)</w:t>
            </w:r>
          </w:p>
        </w:tc>
        <w:tc>
          <w:tcPr>
            <w:tcW w:w="1054" w:type="dxa"/>
            <w:tcBorders>
              <w:top w:val="nil"/>
              <w:bottom w:val="single" w:sz="4" w:space="0" w:color="auto"/>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4" w:type="dxa"/>
            <w:tcBorders>
              <w:top w:val="nil"/>
              <w:bottom w:val="single" w:sz="4" w:space="0" w:color="auto"/>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c>
          <w:tcPr>
            <w:tcW w:w="1055" w:type="dxa"/>
            <w:tcBorders>
              <w:top w:val="nil"/>
              <w:bottom w:val="single" w:sz="4" w:space="0" w:color="auto"/>
            </w:tcBorders>
            <w:vAlign w:val="bottom"/>
          </w:tcPr>
          <w:p w:rsidR="004E569C" w:rsidRPr="00E67E63" w:rsidRDefault="004E569C" w:rsidP="00CB64E7">
            <w:pPr>
              <w:keepNext/>
              <w:jc w:val="center"/>
              <w:rPr>
                <w:rFonts w:ascii="Arial Narrow" w:hAnsi="Arial Narrow"/>
                <w:sz w:val="20"/>
                <w:szCs w:val="20"/>
              </w:rPr>
            </w:pPr>
            <w:r w:rsidRPr="00E67E63">
              <w:rPr>
                <w:rFonts w:ascii="Arial Narrow" w:hAnsi="Arial Narrow"/>
                <w:sz w:val="20"/>
                <w:szCs w:val="20"/>
              </w:rPr>
              <w:t>-$</w:t>
            </w:r>
            <w:r w:rsidR="001B3204">
              <w:rPr>
                <w:rFonts w:ascii="Arial Narrow" w:hAnsi="Arial Narrow"/>
                <w:noProof/>
                <w:color w:val="000000"/>
                <w:sz w:val="20"/>
                <w:szCs w:val="20"/>
                <w:highlight w:val="black"/>
              </w:rPr>
              <w:t>'''''''''''''''</w:t>
            </w:r>
          </w:p>
        </w:tc>
      </w:tr>
      <w:tr w:rsidR="004E569C" w:rsidRPr="00B44E21" w:rsidTr="008F3B3A">
        <w:tc>
          <w:tcPr>
            <w:tcW w:w="2689" w:type="dxa"/>
            <w:tcBorders>
              <w:top w:val="single" w:sz="4" w:space="0" w:color="auto"/>
            </w:tcBorders>
          </w:tcPr>
          <w:p w:rsidR="004E569C" w:rsidRPr="003921FC" w:rsidRDefault="004E569C" w:rsidP="00CB64E7">
            <w:pPr>
              <w:keepNext/>
              <w:rPr>
                <w:rFonts w:ascii="Arial Narrow" w:hAnsi="Arial Narrow"/>
                <w:b/>
                <w:bCs/>
                <w:sz w:val="20"/>
                <w:szCs w:val="20"/>
              </w:rPr>
            </w:pPr>
            <w:r w:rsidRPr="003921FC">
              <w:rPr>
                <w:rFonts w:ascii="Arial Narrow" w:hAnsi="Arial Narrow"/>
                <w:b/>
                <w:bCs/>
                <w:sz w:val="20"/>
                <w:szCs w:val="20"/>
              </w:rPr>
              <w:t>Net cost to health budget</w:t>
            </w:r>
          </w:p>
        </w:tc>
        <w:tc>
          <w:tcPr>
            <w:tcW w:w="1054" w:type="dxa"/>
            <w:tcBorders>
              <w:top w:val="single" w:sz="4" w:space="0" w:color="auto"/>
            </w:tcBorders>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tcBorders>
              <w:top w:val="single" w:sz="4" w:space="0" w:color="auto"/>
            </w:tcBorders>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tcBorders>
              <w:top w:val="single" w:sz="4" w:space="0" w:color="auto"/>
            </w:tcBorders>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4" w:type="dxa"/>
            <w:tcBorders>
              <w:top w:val="single" w:sz="4" w:space="0" w:color="auto"/>
            </w:tcBorders>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tcBorders>
              <w:top w:val="single" w:sz="4" w:space="0" w:color="auto"/>
            </w:tcBorders>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c>
          <w:tcPr>
            <w:tcW w:w="1055" w:type="dxa"/>
            <w:tcBorders>
              <w:top w:val="single" w:sz="4" w:space="0" w:color="auto"/>
            </w:tcBorders>
            <w:vAlign w:val="bottom"/>
          </w:tcPr>
          <w:p w:rsidR="004E569C" w:rsidRPr="00E67E63" w:rsidRDefault="004E569C" w:rsidP="00CB64E7">
            <w:pPr>
              <w:keepNext/>
              <w:jc w:val="center"/>
              <w:rPr>
                <w:rFonts w:ascii="Arial Narrow" w:hAnsi="Arial Narrow"/>
                <w:b/>
                <w:bCs/>
                <w:sz w:val="20"/>
                <w:szCs w:val="20"/>
              </w:rPr>
            </w:pPr>
            <w:r w:rsidRPr="00E67E63">
              <w:rPr>
                <w:rFonts w:ascii="Arial Narrow" w:hAnsi="Arial Narrow"/>
                <w:b/>
                <w:bCs/>
                <w:sz w:val="20"/>
                <w:szCs w:val="20"/>
              </w:rPr>
              <w:t>$</w:t>
            </w:r>
            <w:r w:rsidR="001B3204">
              <w:rPr>
                <w:rFonts w:ascii="Arial Narrow" w:hAnsi="Arial Narrow"/>
                <w:b/>
                <w:bCs/>
                <w:noProof/>
                <w:color w:val="000000"/>
                <w:sz w:val="20"/>
                <w:szCs w:val="20"/>
                <w:highlight w:val="black"/>
              </w:rPr>
              <w:t>'''''''''''''''''''''</w:t>
            </w:r>
          </w:p>
        </w:tc>
      </w:tr>
    </w:tbl>
    <w:p w:rsidR="004E569C" w:rsidRPr="00A557C1" w:rsidRDefault="004E569C" w:rsidP="004E569C">
      <w:pPr>
        <w:rPr>
          <w:rFonts w:ascii="Arial Narrow" w:hAnsi="Arial Narrow"/>
          <w:i/>
          <w:iCs/>
          <w:sz w:val="18"/>
          <w:szCs w:val="18"/>
        </w:rPr>
      </w:pPr>
      <w:proofErr w:type="spellStart"/>
      <w:proofErr w:type="gramStart"/>
      <w:r w:rsidRPr="00A557C1">
        <w:rPr>
          <w:rFonts w:ascii="Arial Narrow" w:hAnsi="Arial Narrow"/>
          <w:i/>
          <w:iCs/>
          <w:sz w:val="18"/>
          <w:szCs w:val="18"/>
          <w:vertAlign w:val="superscript"/>
        </w:rPr>
        <w:t>a</w:t>
      </w:r>
      <w:proofErr w:type="spellEnd"/>
      <w:proofErr w:type="gramEnd"/>
      <w:r w:rsidRPr="00A557C1">
        <w:rPr>
          <w:rFonts w:ascii="Arial Narrow" w:hAnsi="Arial Narrow"/>
          <w:i/>
          <w:iCs/>
          <w:sz w:val="18"/>
          <w:szCs w:val="18"/>
        </w:rPr>
        <w:tab/>
        <w:t>Initiation periods are converted to initiation patient-years by multiplying by (length of initiation period in weeks / 52 weeks in a year)</w:t>
      </w:r>
    </w:p>
    <w:p w:rsidR="004E569C" w:rsidRPr="00A80911" w:rsidRDefault="004E569C" w:rsidP="00EF310E">
      <w:pPr>
        <w:spacing w:after="120"/>
        <w:contextualSpacing/>
        <w:rPr>
          <w:rFonts w:ascii="Arial Narrow" w:hAnsi="Arial Narrow"/>
          <w:i/>
          <w:iCs/>
          <w:sz w:val="18"/>
          <w:szCs w:val="18"/>
        </w:rPr>
      </w:pPr>
      <w:r w:rsidRPr="00A557C1">
        <w:rPr>
          <w:rFonts w:ascii="Arial Narrow" w:hAnsi="Arial Narrow"/>
          <w:sz w:val="18"/>
          <w:szCs w:val="18"/>
        </w:rPr>
        <w:t>Source:</w:t>
      </w:r>
      <w:r w:rsidRPr="00A557C1">
        <w:rPr>
          <w:rFonts w:ascii="Arial Narrow" w:hAnsi="Arial Narrow"/>
          <w:sz w:val="18"/>
          <w:szCs w:val="18"/>
        </w:rPr>
        <w:tab/>
        <w:t xml:space="preserve">Tables 4.2-2 to 4.5-3 pp203-213 of the submission; </w:t>
      </w:r>
      <w:r w:rsidRPr="00A557C1">
        <w:rPr>
          <w:rFonts w:ascii="Arial Narrow" w:hAnsi="Arial Narrow"/>
          <w:i/>
          <w:iCs/>
          <w:sz w:val="18"/>
          <w:szCs w:val="18"/>
        </w:rPr>
        <w:t xml:space="preserve">‘4D.Treatment-Years’ worksheet of </w:t>
      </w:r>
      <w:proofErr w:type="spellStart"/>
      <w:r w:rsidRPr="00A557C1">
        <w:rPr>
          <w:rFonts w:ascii="Arial Narrow" w:hAnsi="Arial Narrow"/>
          <w:i/>
          <w:iCs/>
          <w:sz w:val="18"/>
          <w:szCs w:val="18"/>
        </w:rPr>
        <w:t>Ti</w:t>
      </w:r>
      <w:r w:rsidR="00EF310E" w:rsidRPr="00A557C1">
        <w:rPr>
          <w:rFonts w:ascii="Arial Narrow" w:hAnsi="Arial Narrow"/>
          <w:i/>
          <w:iCs/>
          <w:sz w:val="18"/>
          <w:szCs w:val="18"/>
        </w:rPr>
        <w:t>ldrakizumab</w:t>
      </w:r>
      <w:proofErr w:type="spellEnd"/>
      <w:r w:rsidR="00EF310E" w:rsidRPr="00A557C1">
        <w:rPr>
          <w:rFonts w:ascii="Arial Narrow" w:hAnsi="Arial Narrow"/>
          <w:i/>
          <w:iCs/>
          <w:sz w:val="18"/>
          <w:szCs w:val="18"/>
        </w:rPr>
        <w:t xml:space="preserve"> Section 3 – 4 FINAL</w:t>
      </w:r>
      <w:r w:rsidRPr="00A557C1">
        <w:rPr>
          <w:rFonts w:ascii="Arial Narrow" w:hAnsi="Arial Narrow"/>
          <w:i/>
          <w:iCs/>
          <w:sz w:val="18"/>
          <w:szCs w:val="18"/>
        </w:rPr>
        <w:t>EXCEL file</w:t>
      </w:r>
      <w:r>
        <w:rPr>
          <w:rFonts w:ascii="Arial Narrow" w:hAnsi="Arial Narrow"/>
          <w:i/>
          <w:iCs/>
          <w:sz w:val="18"/>
          <w:szCs w:val="18"/>
        </w:rPr>
        <w:t>.</w:t>
      </w:r>
    </w:p>
    <w:p w:rsidR="006D7A13" w:rsidRDefault="006D7A13" w:rsidP="006D7A13">
      <w:pPr>
        <w:rPr>
          <w:i/>
          <w:iCs/>
        </w:rPr>
      </w:pPr>
    </w:p>
    <w:p w:rsidR="00FA55D6" w:rsidRPr="00FA55D6" w:rsidRDefault="00FA55D6" w:rsidP="006D7A13">
      <w:pPr>
        <w:rPr>
          <w:iCs/>
        </w:rPr>
      </w:pPr>
      <w:r>
        <w:rPr>
          <w:iCs/>
        </w:rPr>
        <w:t xml:space="preserve">The redacted table shows that at year 6, the estimated number of scripts was less than 10,000. </w:t>
      </w:r>
    </w:p>
    <w:p w:rsidR="00FA55D6" w:rsidRPr="0000317F" w:rsidRDefault="00FA55D6" w:rsidP="006D7A13">
      <w:pPr>
        <w:rPr>
          <w:i/>
          <w:iCs/>
        </w:rPr>
      </w:pPr>
    </w:p>
    <w:p w:rsidR="006D7A13" w:rsidRPr="00273DA3" w:rsidRDefault="00EF310E" w:rsidP="00CB64E7">
      <w:pPr>
        <w:pStyle w:val="ListParagraph"/>
        <w:widowControl/>
        <w:numPr>
          <w:ilvl w:val="1"/>
          <w:numId w:val="3"/>
        </w:numPr>
        <w:spacing w:after="120"/>
        <w:rPr>
          <w:iCs/>
        </w:rPr>
      </w:pPr>
      <w:r w:rsidRPr="00594538">
        <w:rPr>
          <w:iCs/>
        </w:rPr>
        <w:t>The model predicted</w:t>
      </w:r>
      <w:r w:rsidR="006D7A13" w:rsidRPr="00594538">
        <w:rPr>
          <w:iCs/>
        </w:rPr>
        <w:t xml:space="preserve"> more patient-years of initiation therapy with TIL due to a longer initiation period of 28 weeks compared to some of the other alternative bDMARDs </w:t>
      </w:r>
      <w:r w:rsidR="006D7A13" w:rsidRPr="00273DA3">
        <w:rPr>
          <w:iCs/>
        </w:rPr>
        <w:t>such as SEC, IXE and ADA with an initiation period of 16 weeks, and hence s</w:t>
      </w:r>
      <w:r w:rsidR="004D4A0A" w:rsidRPr="00273DA3">
        <w:rPr>
          <w:iCs/>
        </w:rPr>
        <w:t>horter duration</w:t>
      </w:r>
      <w:r w:rsidR="006D7A13" w:rsidRPr="00273DA3">
        <w:rPr>
          <w:iCs/>
        </w:rPr>
        <w:t xml:space="preserve"> on maintenance therapy.</w:t>
      </w:r>
    </w:p>
    <w:p w:rsidR="004156B1" w:rsidRPr="00273DA3" w:rsidRDefault="00167E20" w:rsidP="008F3B3A">
      <w:pPr>
        <w:pStyle w:val="ListParagraph"/>
        <w:widowControl/>
        <w:numPr>
          <w:ilvl w:val="1"/>
          <w:numId w:val="3"/>
        </w:numPr>
        <w:spacing w:after="120"/>
        <w:rPr>
          <w:iCs/>
        </w:rPr>
      </w:pPr>
      <w:r w:rsidRPr="00273DA3">
        <w:rPr>
          <w:iCs/>
        </w:rPr>
        <w:t>The submission requested a listing for grandfathered patients (</w:t>
      </w:r>
      <w:r w:rsidR="008F3B3A" w:rsidRPr="008F3B3A">
        <w:rPr>
          <w:iCs/>
        </w:rPr>
        <w:t xml:space="preserve">less than </w:t>
      </w:r>
      <w:proofErr w:type="gramStart"/>
      <w:r w:rsidR="008F3B3A" w:rsidRPr="008F3B3A">
        <w:rPr>
          <w:iCs/>
        </w:rPr>
        <w:t xml:space="preserve">10,000 </w:t>
      </w:r>
      <w:r w:rsidRPr="00273DA3">
        <w:rPr>
          <w:iCs/>
        </w:rPr>
        <w:t xml:space="preserve"> patients</w:t>
      </w:r>
      <w:proofErr w:type="gramEnd"/>
      <w:r w:rsidRPr="00273DA3">
        <w:rPr>
          <w:iCs/>
        </w:rPr>
        <w:t>)</w:t>
      </w:r>
      <w:r w:rsidR="00A557C1" w:rsidRPr="00273DA3">
        <w:rPr>
          <w:iCs/>
        </w:rPr>
        <w:t>;</w:t>
      </w:r>
      <w:r w:rsidRPr="00273DA3">
        <w:rPr>
          <w:iCs/>
        </w:rPr>
        <w:t xml:space="preserve"> it was unclear from the submission whether the assumed uptake rates had incorporated this population</w:t>
      </w:r>
      <w:r w:rsidR="00A344D5" w:rsidRPr="00273DA3">
        <w:rPr>
          <w:iCs/>
        </w:rPr>
        <w:t>.</w:t>
      </w:r>
    </w:p>
    <w:p w:rsidR="004156B1" w:rsidRPr="00181D2E" w:rsidRDefault="006D7A13" w:rsidP="00CB64E7">
      <w:pPr>
        <w:pStyle w:val="ListParagraph"/>
        <w:widowControl/>
        <w:numPr>
          <w:ilvl w:val="1"/>
          <w:numId w:val="3"/>
        </w:numPr>
        <w:spacing w:after="120"/>
        <w:rPr>
          <w:iCs/>
        </w:rPr>
      </w:pPr>
      <w:r w:rsidRPr="00273DA3">
        <w:rPr>
          <w:iCs/>
        </w:rPr>
        <w:lastRenderedPageBreak/>
        <w:t>Overall, the financial estimates presented</w:t>
      </w:r>
      <w:r w:rsidR="00C61A91" w:rsidRPr="00273DA3">
        <w:rPr>
          <w:iCs/>
        </w:rPr>
        <w:t xml:space="preserve"> (totalling $</w:t>
      </w:r>
      <w:r w:rsidR="008F3B3A">
        <w:rPr>
          <w:iCs/>
        </w:rPr>
        <w:t>10 - $20 million</w:t>
      </w:r>
      <w:r w:rsidR="00C61A91" w:rsidRPr="00273DA3">
        <w:rPr>
          <w:iCs/>
        </w:rPr>
        <w:t xml:space="preserve"> over the first 6 years)</w:t>
      </w:r>
      <w:r w:rsidRPr="00273DA3">
        <w:rPr>
          <w:iCs/>
        </w:rPr>
        <w:t xml:space="preserve"> may not be </w:t>
      </w:r>
      <w:r w:rsidR="00304492" w:rsidRPr="00273DA3">
        <w:rPr>
          <w:iCs/>
        </w:rPr>
        <w:t>accurate</w:t>
      </w:r>
      <w:r w:rsidRPr="00273DA3">
        <w:rPr>
          <w:iCs/>
        </w:rPr>
        <w:t xml:space="preserve"> given </w:t>
      </w:r>
      <w:r w:rsidR="00EF310E" w:rsidRPr="00273DA3">
        <w:rPr>
          <w:iCs/>
        </w:rPr>
        <w:t xml:space="preserve">they were based on </w:t>
      </w:r>
      <w:r w:rsidRPr="00273DA3">
        <w:rPr>
          <w:iCs/>
        </w:rPr>
        <w:t xml:space="preserve">published prices of bDMARDs </w:t>
      </w:r>
      <w:r w:rsidR="00EF310E" w:rsidRPr="00273DA3">
        <w:rPr>
          <w:iCs/>
        </w:rPr>
        <w:t xml:space="preserve">rather than effective prices (after accounting for </w:t>
      </w:r>
      <w:r w:rsidRPr="00273DA3">
        <w:rPr>
          <w:iCs/>
        </w:rPr>
        <w:t>special pricing arrangements</w:t>
      </w:r>
      <w:r w:rsidR="00EF310E" w:rsidRPr="00273DA3">
        <w:rPr>
          <w:iCs/>
        </w:rPr>
        <w:t>)</w:t>
      </w:r>
      <w:r w:rsidRPr="00273DA3">
        <w:rPr>
          <w:iCs/>
        </w:rPr>
        <w:t xml:space="preserve">.  </w:t>
      </w:r>
      <w:r w:rsidR="00917A9B" w:rsidRPr="00273DA3">
        <w:rPr>
          <w:iCs/>
        </w:rPr>
        <w:t>While</w:t>
      </w:r>
      <w:r w:rsidRPr="00273DA3">
        <w:rPr>
          <w:iCs/>
        </w:rPr>
        <w:t xml:space="preserve"> the proposed listing of TIL was based on a cost-minimisation analysis to UST, the net cost to the health budget </w:t>
      </w:r>
      <w:r w:rsidR="00917A9B" w:rsidRPr="00273DA3">
        <w:rPr>
          <w:iCs/>
        </w:rPr>
        <w:t>will depend</w:t>
      </w:r>
      <w:r w:rsidRPr="00273DA3">
        <w:rPr>
          <w:iCs/>
        </w:rPr>
        <w:t xml:space="preserve"> on the relative substitution of</w:t>
      </w:r>
      <w:r w:rsidR="00917A9B" w:rsidRPr="00273DA3">
        <w:rPr>
          <w:iCs/>
        </w:rPr>
        <w:t xml:space="preserve"> </w:t>
      </w:r>
      <w:r w:rsidR="00167E20" w:rsidRPr="00273DA3">
        <w:rPr>
          <w:iCs/>
        </w:rPr>
        <w:t>differently priced</w:t>
      </w:r>
      <w:r w:rsidR="00917A9B" w:rsidRPr="00273DA3">
        <w:rPr>
          <w:iCs/>
        </w:rPr>
        <w:t xml:space="preserve"> alternatives</w:t>
      </w:r>
      <w:r w:rsidRPr="00273DA3">
        <w:rPr>
          <w:iCs/>
        </w:rPr>
        <w:t xml:space="preserve">.  </w:t>
      </w:r>
      <w:r w:rsidR="00FA3633">
        <w:rPr>
          <w:iCs/>
        </w:rPr>
        <w:t>The evaluation noted that</w:t>
      </w:r>
      <w:r w:rsidRPr="00273DA3">
        <w:rPr>
          <w:iCs/>
        </w:rPr>
        <w:t xml:space="preserve"> listing of TIL based on a cost-minimisation analysis with the </w:t>
      </w:r>
      <w:r w:rsidR="009D10C4" w:rsidRPr="00273DA3">
        <w:rPr>
          <w:iCs/>
        </w:rPr>
        <w:t xml:space="preserve">least costly </w:t>
      </w:r>
      <w:proofErr w:type="spellStart"/>
      <w:r w:rsidRPr="00273DA3">
        <w:rPr>
          <w:iCs/>
        </w:rPr>
        <w:t>bDMARD</w:t>
      </w:r>
      <w:proofErr w:type="spellEnd"/>
      <w:r w:rsidR="00917A9B" w:rsidRPr="00273DA3">
        <w:rPr>
          <w:iCs/>
        </w:rPr>
        <w:t xml:space="preserve"> and based on the methodology in the </w:t>
      </w:r>
      <w:proofErr w:type="gramStart"/>
      <w:r w:rsidR="00917A9B" w:rsidRPr="00273DA3">
        <w:rPr>
          <w:iCs/>
        </w:rPr>
        <w:t>submission</w:t>
      </w:r>
      <w:r w:rsidRPr="00273DA3">
        <w:rPr>
          <w:iCs/>
        </w:rPr>
        <w:t>,</w:t>
      </w:r>
      <w:proofErr w:type="gramEnd"/>
      <w:r w:rsidRPr="00273DA3">
        <w:rPr>
          <w:iCs/>
        </w:rPr>
        <w:t xml:space="preserve"> the net cost to the health budget </w:t>
      </w:r>
      <w:r w:rsidR="00A557C1" w:rsidRPr="00273DA3">
        <w:rPr>
          <w:iCs/>
        </w:rPr>
        <w:t>might</w:t>
      </w:r>
      <w:r w:rsidRPr="00273DA3">
        <w:rPr>
          <w:iCs/>
        </w:rPr>
        <w:t xml:space="preserve"> be negative as more costly alternatives </w:t>
      </w:r>
      <w:r w:rsidR="00167E20" w:rsidRPr="00273DA3">
        <w:rPr>
          <w:iCs/>
        </w:rPr>
        <w:t>may</w:t>
      </w:r>
      <w:r w:rsidRPr="00273DA3">
        <w:rPr>
          <w:iCs/>
        </w:rPr>
        <w:t xml:space="preserve"> be substituted</w:t>
      </w:r>
      <w:r w:rsidR="00EF310E" w:rsidRPr="00273DA3">
        <w:rPr>
          <w:iCs/>
        </w:rPr>
        <w:t>.</w:t>
      </w:r>
      <w:r w:rsidR="00304492" w:rsidRPr="00273DA3">
        <w:rPr>
          <w:iCs/>
        </w:rPr>
        <w:t xml:space="preserve">  </w:t>
      </w:r>
      <w:r w:rsidR="00304492" w:rsidRPr="00273DA3">
        <w:t xml:space="preserve">The PSCR acknowledged that the effective indication-specific prices of bDMARDs are confidential and therefore the estimation of cost to the Health Budget presented in the submission </w:t>
      </w:r>
      <w:r w:rsidR="00A557C1" w:rsidRPr="00273DA3">
        <w:t>is</w:t>
      </w:r>
      <w:r w:rsidR="00304492" w:rsidRPr="00273DA3">
        <w:t xml:space="preserve"> not accurate.</w:t>
      </w:r>
    </w:p>
    <w:p w:rsidR="004156B1" w:rsidRPr="00CB64E7" w:rsidRDefault="00E71790" w:rsidP="00CB64E7">
      <w:pPr>
        <w:pStyle w:val="ListParagraph"/>
        <w:widowControl/>
        <w:spacing w:after="120"/>
        <w:rPr>
          <w:i/>
          <w:iCs/>
        </w:rPr>
      </w:pPr>
      <w:r w:rsidRPr="00E71790">
        <w:rPr>
          <w:i/>
          <w:iCs/>
        </w:rPr>
        <w:t>For more detail on PBAC’s vi</w:t>
      </w:r>
      <w:r w:rsidR="00CB64E7">
        <w:rPr>
          <w:i/>
          <w:iCs/>
        </w:rPr>
        <w:t>ew, see section 7 PBAC outcome.</w:t>
      </w:r>
    </w:p>
    <w:p w:rsidR="00412948" w:rsidRDefault="009F0722" w:rsidP="00F14289">
      <w:pPr>
        <w:pStyle w:val="PBACHeading1"/>
        <w:spacing w:before="240"/>
        <w:rPr>
          <w:snapToGrid/>
        </w:rPr>
      </w:pPr>
      <w:r w:rsidRPr="003133F5">
        <w:t>PBAC</w:t>
      </w:r>
      <w:r w:rsidRPr="0067774A">
        <w:rPr>
          <w:snapToGrid/>
        </w:rPr>
        <w:t xml:space="preserve"> outcome</w:t>
      </w:r>
    </w:p>
    <w:p w:rsidR="00340487" w:rsidRPr="00AE68A4" w:rsidRDefault="00340487" w:rsidP="00CB64E7">
      <w:pPr>
        <w:pStyle w:val="ListParagraph"/>
        <w:numPr>
          <w:ilvl w:val="1"/>
          <w:numId w:val="3"/>
        </w:numPr>
        <w:spacing w:after="120"/>
      </w:pPr>
      <w:r w:rsidRPr="00AE68A4">
        <w:t xml:space="preserve">The PBAC recommended an Authority </w:t>
      </w:r>
      <w:proofErr w:type="gramStart"/>
      <w:r w:rsidRPr="00AE68A4">
        <w:t>Required</w:t>
      </w:r>
      <w:proofErr w:type="gramEnd"/>
      <w:r w:rsidRPr="00AE68A4">
        <w:t xml:space="preserve"> listing of </w:t>
      </w:r>
      <w:proofErr w:type="spellStart"/>
      <w:r w:rsidRPr="00AE68A4">
        <w:rPr>
          <w:snapToGrid/>
          <w:szCs w:val="24"/>
        </w:rPr>
        <w:t>tildrakizumab</w:t>
      </w:r>
      <w:proofErr w:type="spellEnd"/>
      <w:r w:rsidRPr="00AE68A4">
        <w:t xml:space="preserve"> on a cost-minimisation basis against the lowest cost biological agent </w:t>
      </w:r>
      <w:r w:rsidRPr="00AE68A4">
        <w:rPr>
          <w:snapToGrid/>
          <w:szCs w:val="24"/>
        </w:rPr>
        <w:t>for the treatment of adult patients with severe chronic plaque psoriasis (CPP)</w:t>
      </w:r>
      <w:r w:rsidRPr="00AE68A4">
        <w:t xml:space="preserve">. </w:t>
      </w:r>
      <w:r w:rsidR="001F17B1" w:rsidRPr="00AE68A4">
        <w:t>I</w:t>
      </w:r>
      <w:r w:rsidRPr="00AE68A4">
        <w:t xml:space="preserve">n making this recommendation, the PBAC </w:t>
      </w:r>
      <w:r w:rsidRPr="00AE68A4">
        <w:rPr>
          <w:lang w:val="en-GB"/>
        </w:rPr>
        <w:t xml:space="preserve">accepted </w:t>
      </w:r>
      <w:r w:rsidRPr="00AE68A4">
        <w:rPr>
          <w:rFonts w:asciiTheme="minorHAnsi" w:hAnsiTheme="minorHAnsi"/>
          <w:bCs/>
          <w:lang w:val="en-GB"/>
        </w:rPr>
        <w:t xml:space="preserve">any of the current PBS listed bDMARDs for severe CPP could be an alternative therapy to </w:t>
      </w:r>
      <w:proofErr w:type="spellStart"/>
      <w:r w:rsidRPr="00AE68A4">
        <w:rPr>
          <w:snapToGrid/>
          <w:szCs w:val="24"/>
        </w:rPr>
        <w:t>tildrakizumab</w:t>
      </w:r>
      <w:proofErr w:type="spellEnd"/>
      <w:r w:rsidRPr="00AE68A4">
        <w:rPr>
          <w:rFonts w:asciiTheme="minorHAnsi" w:hAnsiTheme="minorHAnsi"/>
          <w:bCs/>
          <w:lang w:val="en-GB"/>
        </w:rPr>
        <w:t xml:space="preserve">. </w:t>
      </w:r>
    </w:p>
    <w:p w:rsidR="00340487" w:rsidRPr="00AE68A4" w:rsidRDefault="00340487" w:rsidP="00CB64E7">
      <w:pPr>
        <w:pStyle w:val="ListParagraph"/>
        <w:numPr>
          <w:ilvl w:val="1"/>
          <w:numId w:val="3"/>
        </w:numPr>
        <w:spacing w:after="120"/>
      </w:pPr>
      <w:r w:rsidRPr="00AE68A4">
        <w:rPr>
          <w:lang w:val="en-GB"/>
        </w:rPr>
        <w:t>The PBAC noted that six alternative bDMARDs were listed on the PBS for the treatment of severe CPP at the</w:t>
      </w:r>
      <w:r w:rsidR="00AE68A4">
        <w:rPr>
          <w:lang w:val="en-GB"/>
        </w:rPr>
        <w:t xml:space="preserve"> time of the July 2018 meeting; </w:t>
      </w:r>
      <w:r w:rsidRPr="00AE68A4">
        <w:rPr>
          <w:lang w:val="en-GB"/>
        </w:rPr>
        <w:t xml:space="preserve">specifically: </w:t>
      </w:r>
      <w:r w:rsidRPr="00AE68A4">
        <w:t xml:space="preserve">adalimumab, etanercept, infliximab, ixekizumab, </w:t>
      </w:r>
      <w:proofErr w:type="spellStart"/>
      <w:r w:rsidRPr="00AE68A4">
        <w:t>secukinumab</w:t>
      </w:r>
      <w:proofErr w:type="spellEnd"/>
      <w:r w:rsidRPr="00AE68A4">
        <w:t xml:space="preserve"> and ustekinumab</w:t>
      </w:r>
      <w:r w:rsidRPr="00AE68A4">
        <w:rPr>
          <w:lang w:val="en-GB"/>
        </w:rPr>
        <w:t xml:space="preserve">.  The PBAC noted that </w:t>
      </w:r>
      <w:proofErr w:type="spellStart"/>
      <w:r w:rsidRPr="00AE68A4">
        <w:t>guselkumab</w:t>
      </w:r>
      <w:proofErr w:type="spellEnd"/>
      <w:r w:rsidRPr="00AE68A4">
        <w:rPr>
          <w:lang w:val="en-GB"/>
        </w:rPr>
        <w:t xml:space="preserve"> for the same indication was also considered at the same meeting. The PBAC considered that the clinical need for an additional </w:t>
      </w:r>
      <w:proofErr w:type="spellStart"/>
      <w:r w:rsidRPr="00AE68A4">
        <w:rPr>
          <w:lang w:val="en-GB"/>
        </w:rPr>
        <w:t>bDMARD</w:t>
      </w:r>
      <w:proofErr w:type="spellEnd"/>
      <w:r w:rsidRPr="00AE68A4">
        <w:rPr>
          <w:lang w:val="en-GB"/>
        </w:rPr>
        <w:t xml:space="preserve"> was low</w:t>
      </w:r>
      <w:r w:rsidR="006F5220" w:rsidRPr="00AE68A4">
        <w:rPr>
          <w:lang w:val="en-GB"/>
        </w:rPr>
        <w:t>.</w:t>
      </w:r>
      <w:r w:rsidRPr="00AE68A4">
        <w:rPr>
          <w:lang w:val="en-GB"/>
        </w:rPr>
        <w:t xml:space="preserve"> </w:t>
      </w:r>
      <w:r w:rsidR="006F5220" w:rsidRPr="00AE68A4">
        <w:t>However,</w:t>
      </w:r>
      <w:r w:rsidRPr="00AE68A4">
        <w:t xml:space="preserve"> the PBAC acknowledged the addition of another drug may be useful to some patients. </w:t>
      </w:r>
    </w:p>
    <w:p w:rsidR="006F5220" w:rsidRPr="00AE68A4" w:rsidRDefault="00453458" w:rsidP="00CB64E7">
      <w:pPr>
        <w:pStyle w:val="ListParagraph"/>
        <w:numPr>
          <w:ilvl w:val="1"/>
          <w:numId w:val="3"/>
        </w:numPr>
        <w:spacing w:after="120"/>
      </w:pPr>
      <w:r w:rsidRPr="00AE68A4">
        <w:rPr>
          <w:snapToGrid/>
          <w:szCs w:val="24"/>
        </w:rPr>
        <w:t xml:space="preserve">The PBAC recommended that the restrictions for </w:t>
      </w:r>
      <w:proofErr w:type="spellStart"/>
      <w:r w:rsidRPr="00AE68A4">
        <w:rPr>
          <w:snapToGrid/>
          <w:szCs w:val="24"/>
        </w:rPr>
        <w:t>tildrakizumab</w:t>
      </w:r>
      <w:proofErr w:type="spellEnd"/>
      <w:r w:rsidRPr="00AE68A4">
        <w:rPr>
          <w:snapToGrid/>
          <w:szCs w:val="24"/>
        </w:rPr>
        <w:t xml:space="preserve"> should be consistent with those for the bDMARDs that are currently listed on the PBS for the treatment of CPP and that flow-on changes</w:t>
      </w:r>
      <w:r w:rsidR="00985C04">
        <w:rPr>
          <w:snapToGrid/>
          <w:szCs w:val="24"/>
        </w:rPr>
        <w:t xml:space="preserve"> for all PBS listings</w:t>
      </w:r>
      <w:r w:rsidRPr="00AE68A4">
        <w:rPr>
          <w:snapToGrid/>
          <w:szCs w:val="24"/>
        </w:rPr>
        <w:t xml:space="preserve"> to the note ‘Treatment of adult patients with </w:t>
      </w:r>
      <w:r w:rsidR="00D93EDC">
        <w:rPr>
          <w:snapToGrid/>
          <w:szCs w:val="24"/>
        </w:rPr>
        <w:t xml:space="preserve">Severe </w:t>
      </w:r>
      <w:r w:rsidR="00AC50B6">
        <w:rPr>
          <w:snapToGrid/>
          <w:szCs w:val="24"/>
        </w:rPr>
        <w:t xml:space="preserve">Chronic </w:t>
      </w:r>
      <w:r w:rsidR="00D93EDC">
        <w:rPr>
          <w:snapToGrid/>
          <w:szCs w:val="24"/>
        </w:rPr>
        <w:t>Plaque Psoriasis</w:t>
      </w:r>
      <w:r w:rsidRPr="00AE68A4">
        <w:rPr>
          <w:snapToGrid/>
          <w:szCs w:val="24"/>
        </w:rPr>
        <w:t xml:space="preserve">’ would be required to include </w:t>
      </w:r>
      <w:proofErr w:type="spellStart"/>
      <w:r w:rsidRPr="00AE68A4">
        <w:rPr>
          <w:snapToGrid/>
          <w:szCs w:val="24"/>
        </w:rPr>
        <w:t>tildrakizumab</w:t>
      </w:r>
      <w:proofErr w:type="spellEnd"/>
      <w:r w:rsidRPr="00AE68A4">
        <w:rPr>
          <w:snapToGrid/>
          <w:szCs w:val="24"/>
        </w:rPr>
        <w:t xml:space="preserve"> as one of the bDMARDs for this indication. </w:t>
      </w:r>
      <w:r w:rsidR="00092073" w:rsidRPr="00AE68A4">
        <w:t xml:space="preserve">However, the PBAC noted that the registration of </w:t>
      </w:r>
      <w:proofErr w:type="spellStart"/>
      <w:r w:rsidR="00092073" w:rsidRPr="00AE68A4">
        <w:t>tildrakizumab</w:t>
      </w:r>
      <w:proofErr w:type="spellEnd"/>
      <w:r w:rsidR="00092073" w:rsidRPr="00AE68A4">
        <w:t xml:space="preserve"> (TIL) had not been finalised at the time of the Committee’s consideration</w:t>
      </w:r>
      <w:r w:rsidR="001F17B1" w:rsidRPr="00AE68A4">
        <w:t xml:space="preserve"> of the submission</w:t>
      </w:r>
      <w:r w:rsidR="00E61725" w:rsidRPr="00AE68A4">
        <w:t xml:space="preserve">. The final product information on </w:t>
      </w:r>
      <w:r w:rsidR="00092073" w:rsidRPr="00AE68A4">
        <w:t xml:space="preserve">the dosage </w:t>
      </w:r>
      <w:r w:rsidR="00E61725" w:rsidRPr="00AE68A4">
        <w:t>of treatment would inform the maximum quantities for the initial and continuing treatments (currently</w:t>
      </w:r>
      <w:r w:rsidR="003F2DF6" w:rsidRPr="00AE68A4">
        <w:t xml:space="preserve"> proposed to be 2 x 100 </w:t>
      </w:r>
      <w:r w:rsidRPr="00AE68A4">
        <w:t xml:space="preserve">mg </w:t>
      </w:r>
      <w:r w:rsidRPr="00AE68A4">
        <w:rPr>
          <w:iCs/>
        </w:rPr>
        <w:t>pre</w:t>
      </w:r>
      <w:r w:rsidR="003F2DF6" w:rsidRPr="00AE68A4">
        <w:rPr>
          <w:iCs/>
        </w:rPr>
        <w:t>-filled single use syringes for a dose of 200 mg).</w:t>
      </w:r>
      <w:r w:rsidR="003F2DF6" w:rsidRPr="00AE68A4">
        <w:t xml:space="preserve"> </w:t>
      </w:r>
      <w:r w:rsidR="00E61725" w:rsidRPr="00AE68A4">
        <w:t>In light of the FDA decision recommending only the 100</w:t>
      </w:r>
      <w:r w:rsidR="005D40A3">
        <w:t xml:space="preserve"> </w:t>
      </w:r>
      <w:r w:rsidR="00E61725" w:rsidRPr="00AE68A4">
        <w:t xml:space="preserve">mg dosage, </w:t>
      </w:r>
      <w:r w:rsidR="00985C04">
        <w:t xml:space="preserve">the PBAC noted that </w:t>
      </w:r>
      <w:r w:rsidR="00E61725" w:rsidRPr="00AE68A4">
        <w:t>the e</w:t>
      </w:r>
      <w:r w:rsidR="003F2DF6" w:rsidRPr="00AE68A4">
        <w:t>valuation</w:t>
      </w:r>
      <w:r w:rsidRPr="00AE68A4">
        <w:t xml:space="preserve"> of the submission</w:t>
      </w:r>
      <w:r w:rsidR="003F2DF6" w:rsidRPr="00AE68A4">
        <w:t xml:space="preserve"> presented the trial data </w:t>
      </w:r>
      <w:r w:rsidRPr="00AE68A4">
        <w:t xml:space="preserve">of </w:t>
      </w:r>
      <w:r w:rsidR="00985C04">
        <w:t xml:space="preserve">patients using </w:t>
      </w:r>
      <w:r w:rsidRPr="00AE68A4">
        <w:rPr>
          <w:rFonts w:asciiTheme="minorHAnsi" w:hAnsiTheme="minorHAnsi" w:cstheme="minorHAnsi"/>
          <w:snapToGrid/>
          <w:szCs w:val="24"/>
        </w:rPr>
        <w:t>TIL 200 mg and TIL 100 mg</w:t>
      </w:r>
      <w:r w:rsidRPr="00AE68A4">
        <w:t>. T</w:t>
      </w:r>
      <w:r w:rsidR="00E61725" w:rsidRPr="00AE68A4">
        <w:rPr>
          <w:rFonts w:asciiTheme="minorHAnsi" w:hAnsiTheme="minorHAnsi" w:cstheme="minorHAnsi"/>
          <w:snapToGrid/>
          <w:szCs w:val="24"/>
        </w:rPr>
        <w:t>here were no significant differences between TIL 200 mg and TIL 100 mg with respect to PASI responses at Week 12/16 in the TIL trials</w:t>
      </w:r>
      <w:r w:rsidRPr="00AE68A4">
        <w:rPr>
          <w:rFonts w:asciiTheme="minorHAnsi" w:hAnsiTheme="minorHAnsi" w:cstheme="minorHAnsi"/>
          <w:snapToGrid/>
          <w:szCs w:val="24"/>
        </w:rPr>
        <w:t xml:space="preserve"> (the time point at which comparative efficacy was assessed).</w:t>
      </w:r>
      <w:r w:rsidR="00E61725" w:rsidRPr="00AE68A4">
        <w:rPr>
          <w:rFonts w:asciiTheme="minorHAnsi" w:hAnsiTheme="minorHAnsi" w:cstheme="minorHAnsi"/>
          <w:snapToGrid/>
          <w:szCs w:val="24"/>
        </w:rPr>
        <w:t xml:space="preserve"> </w:t>
      </w:r>
    </w:p>
    <w:p w:rsidR="00453458" w:rsidRPr="00AE68A4" w:rsidRDefault="00453458" w:rsidP="00CB64E7">
      <w:pPr>
        <w:pStyle w:val="ListParagraph"/>
        <w:numPr>
          <w:ilvl w:val="1"/>
          <w:numId w:val="3"/>
        </w:numPr>
        <w:spacing w:after="120"/>
      </w:pPr>
      <w:r w:rsidRPr="00AE68A4">
        <w:rPr>
          <w:snapToGrid/>
          <w:szCs w:val="24"/>
        </w:rPr>
        <w:lastRenderedPageBreak/>
        <w:t xml:space="preserve">The submission requested grandfather restrictions for patients currently enrolled in clinical trials and those in the </w:t>
      </w:r>
      <w:proofErr w:type="spellStart"/>
      <w:r w:rsidR="00BE7B83">
        <w:rPr>
          <w:snapToGrid/>
          <w:szCs w:val="24"/>
        </w:rPr>
        <w:t>t</w:t>
      </w:r>
      <w:r w:rsidRPr="00AE68A4">
        <w:rPr>
          <w:snapToGrid/>
          <w:szCs w:val="24"/>
        </w:rPr>
        <w:t>ildrakizumab</w:t>
      </w:r>
      <w:proofErr w:type="spellEnd"/>
      <w:r w:rsidRPr="00AE68A4">
        <w:rPr>
          <w:snapToGrid/>
          <w:szCs w:val="24"/>
        </w:rPr>
        <w:t xml:space="preserve"> Patient Familiarisation Program (PFP). </w:t>
      </w:r>
      <w:r w:rsidRPr="00AE68A4">
        <w:t>The PBAC advised that it would be appropriate to provide grandfathered PBS supply to those patients</w:t>
      </w:r>
      <w:r w:rsidR="00D83436">
        <w:t>,</w:t>
      </w:r>
      <w:r w:rsidRPr="00AE68A4">
        <w:t xml:space="preserve"> receiving </w:t>
      </w:r>
      <w:proofErr w:type="spellStart"/>
      <w:r w:rsidRPr="00AE68A4">
        <w:rPr>
          <w:snapToGrid/>
          <w:szCs w:val="24"/>
        </w:rPr>
        <w:t>tildrakizumab</w:t>
      </w:r>
      <w:proofErr w:type="spellEnd"/>
      <w:r w:rsidR="00D83436">
        <w:rPr>
          <w:snapToGrid/>
          <w:szCs w:val="24"/>
        </w:rPr>
        <w:t xml:space="preserve">, </w:t>
      </w:r>
      <w:r w:rsidR="00D83436">
        <w:t xml:space="preserve">who had met initial treatment criteria at the time of entering the clinical trials or the </w:t>
      </w:r>
      <w:proofErr w:type="spellStart"/>
      <w:r w:rsidR="00D83436">
        <w:t>tildrakizumab</w:t>
      </w:r>
      <w:proofErr w:type="spellEnd"/>
      <w:r w:rsidR="00D83436">
        <w:t xml:space="preserve"> PFP</w:t>
      </w:r>
      <w:r w:rsidRPr="00AE68A4">
        <w:t xml:space="preserve">. </w:t>
      </w:r>
      <w:r w:rsidR="00BE7B83">
        <w:t>T</w:t>
      </w:r>
      <w:r w:rsidRPr="00AE68A4">
        <w:t>he grandfather provision should be removed from the listing after 12 months.</w:t>
      </w:r>
    </w:p>
    <w:p w:rsidR="00B531CF" w:rsidRPr="00BE7B83" w:rsidRDefault="001F17B1" w:rsidP="00CB64E7">
      <w:pPr>
        <w:pStyle w:val="ListParagraph"/>
        <w:numPr>
          <w:ilvl w:val="1"/>
          <w:numId w:val="3"/>
        </w:numPr>
        <w:spacing w:after="120"/>
      </w:pPr>
      <w:r w:rsidRPr="00AE68A4">
        <w:t xml:space="preserve">The PBAC noted that </w:t>
      </w:r>
      <w:r w:rsidR="00AE68A4">
        <w:t xml:space="preserve">the </w:t>
      </w:r>
      <w:r w:rsidRPr="00AE68A4">
        <w:t xml:space="preserve">direct comparison with etanercept supported a conclusion of superior efficacy of </w:t>
      </w:r>
      <w:proofErr w:type="spellStart"/>
      <w:r w:rsidRPr="00AE68A4">
        <w:t>tildrakizumab</w:t>
      </w:r>
      <w:proofErr w:type="spellEnd"/>
      <w:r w:rsidRPr="00AE68A4">
        <w:t>, while the indirect comparisons supported non-inferiority efficacy to adalimumab and likely</w:t>
      </w:r>
      <w:r w:rsidR="00AE68A4">
        <w:t xml:space="preserve"> </w:t>
      </w:r>
      <w:r w:rsidR="00AE68A4" w:rsidRPr="00AE68A4">
        <w:t>non-inferiority efficacy</w:t>
      </w:r>
      <w:r w:rsidRPr="00AE68A4">
        <w:t xml:space="preserve"> to ustekinumab.  The PBAC considered that the evidence supported a claim of non-inferior safety to etanercept, adalimumab and ustekinumab.  The PBAC noted that comparisons to ixekizumab and infliximab were not presented in the submission. </w:t>
      </w:r>
      <w:r w:rsidRPr="00AE68A4">
        <w:rPr>
          <w:iCs/>
        </w:rPr>
        <w:t xml:space="preserve">In the absence of these comparisons, and noting that etanercept, adalimumab, </w:t>
      </w:r>
      <w:proofErr w:type="spellStart"/>
      <w:r w:rsidRPr="00AE68A4">
        <w:rPr>
          <w:iCs/>
        </w:rPr>
        <w:t>secukinumab</w:t>
      </w:r>
      <w:proofErr w:type="spellEnd"/>
      <w:r w:rsidRPr="00AE68A4">
        <w:rPr>
          <w:iCs/>
        </w:rPr>
        <w:t xml:space="preserve"> and ixekizumab were cost-minimised against each other or the least expensive biological, the PBAC considered overall it would be appropriate for </w:t>
      </w:r>
      <w:proofErr w:type="spellStart"/>
      <w:r w:rsidRPr="00AE68A4">
        <w:rPr>
          <w:snapToGrid/>
          <w:szCs w:val="24"/>
        </w:rPr>
        <w:t>tildrakizumab</w:t>
      </w:r>
      <w:proofErr w:type="spellEnd"/>
      <w:r w:rsidRPr="00AE68A4">
        <w:rPr>
          <w:iCs/>
        </w:rPr>
        <w:t xml:space="preserve"> to also be cost-minimised to the least expensive biological agent for this condition</w:t>
      </w:r>
      <w:r w:rsidR="00AB2B56">
        <w:rPr>
          <w:iCs/>
        </w:rPr>
        <w:t>.</w:t>
      </w:r>
    </w:p>
    <w:p w:rsidR="00495ACD" w:rsidRPr="00AE68A4" w:rsidRDefault="003628AB" w:rsidP="00CB64E7">
      <w:pPr>
        <w:pStyle w:val="ListParagraph"/>
        <w:numPr>
          <w:ilvl w:val="1"/>
          <w:numId w:val="3"/>
        </w:numPr>
        <w:spacing w:after="120"/>
        <w:rPr>
          <w:snapToGrid/>
          <w:szCs w:val="24"/>
        </w:rPr>
      </w:pPr>
      <w:r w:rsidRPr="00AE68A4">
        <w:rPr>
          <w:snapToGrid/>
          <w:szCs w:val="24"/>
        </w:rPr>
        <w:t>In t</w:t>
      </w:r>
      <w:r w:rsidR="00D407A6" w:rsidRPr="00AE68A4">
        <w:rPr>
          <w:snapToGrid/>
          <w:szCs w:val="24"/>
        </w:rPr>
        <w:t xml:space="preserve">he Pre-Subcommittee Response and Pre-PBAC Response, </w:t>
      </w:r>
      <w:r w:rsidRPr="00AE68A4">
        <w:rPr>
          <w:snapToGrid/>
          <w:szCs w:val="24"/>
        </w:rPr>
        <w:t xml:space="preserve">the sponsor </w:t>
      </w:r>
      <w:r w:rsidR="00D407A6" w:rsidRPr="00AE68A4">
        <w:rPr>
          <w:snapToGrid/>
          <w:szCs w:val="24"/>
        </w:rPr>
        <w:t xml:space="preserve">expressed willingness to consider listing of </w:t>
      </w:r>
      <w:proofErr w:type="spellStart"/>
      <w:r w:rsidR="00453458" w:rsidRPr="00AE68A4">
        <w:rPr>
          <w:snapToGrid/>
          <w:szCs w:val="24"/>
        </w:rPr>
        <w:t>t</w:t>
      </w:r>
      <w:r w:rsidR="00D407A6" w:rsidRPr="00AE68A4">
        <w:rPr>
          <w:snapToGrid/>
          <w:szCs w:val="24"/>
        </w:rPr>
        <w:t>ildrakizumab</w:t>
      </w:r>
      <w:proofErr w:type="spellEnd"/>
      <w:r w:rsidR="00D407A6" w:rsidRPr="00AE68A4">
        <w:rPr>
          <w:snapToGrid/>
          <w:szCs w:val="24"/>
        </w:rPr>
        <w:t xml:space="preserve"> on a cost-minimisation basis versus the least costly </w:t>
      </w:r>
      <w:proofErr w:type="spellStart"/>
      <w:r w:rsidR="00D407A6" w:rsidRPr="00AE68A4">
        <w:rPr>
          <w:snapToGrid/>
          <w:szCs w:val="24"/>
        </w:rPr>
        <w:t>bDMARD</w:t>
      </w:r>
      <w:proofErr w:type="spellEnd"/>
      <w:r w:rsidR="00D407A6" w:rsidRPr="00AE68A4">
        <w:rPr>
          <w:snapToGrid/>
          <w:szCs w:val="24"/>
        </w:rPr>
        <w:t xml:space="preserve"> over a 2-year treatment period based on the effective ex-manufacturer indication-specific prices using </w:t>
      </w:r>
      <w:proofErr w:type="spellStart"/>
      <w:r w:rsidR="00D407A6" w:rsidRPr="00AE68A4">
        <w:rPr>
          <w:snapToGrid/>
          <w:szCs w:val="24"/>
        </w:rPr>
        <w:t>equi</w:t>
      </w:r>
      <w:proofErr w:type="spellEnd"/>
      <w:r w:rsidR="00D407A6" w:rsidRPr="00AE68A4">
        <w:rPr>
          <w:snapToGrid/>
          <w:szCs w:val="24"/>
        </w:rPr>
        <w:t xml:space="preserve">-effective doses that are derived directly from the relevant clinical trials. </w:t>
      </w:r>
      <w:r w:rsidR="00453458" w:rsidRPr="00AE68A4">
        <w:rPr>
          <w:snapToGrid/>
          <w:szCs w:val="24"/>
        </w:rPr>
        <w:t xml:space="preserve"> The PBAC considered the </w:t>
      </w:r>
      <w:proofErr w:type="spellStart"/>
      <w:r w:rsidR="00453458" w:rsidRPr="00AE68A4">
        <w:rPr>
          <w:snapToGrid/>
          <w:szCs w:val="24"/>
        </w:rPr>
        <w:t>equi</w:t>
      </w:r>
      <w:proofErr w:type="spellEnd"/>
      <w:r w:rsidR="00453458" w:rsidRPr="00AE68A4">
        <w:rPr>
          <w:snapToGrid/>
          <w:szCs w:val="24"/>
        </w:rPr>
        <w:t xml:space="preserve">-effective doses between </w:t>
      </w:r>
      <w:proofErr w:type="spellStart"/>
      <w:r w:rsidR="00453458" w:rsidRPr="00AE68A4">
        <w:rPr>
          <w:snapToGrid/>
          <w:szCs w:val="24"/>
        </w:rPr>
        <w:t>tildrakizumab</w:t>
      </w:r>
      <w:proofErr w:type="spellEnd"/>
      <w:r w:rsidR="00453458" w:rsidRPr="00AE68A4">
        <w:rPr>
          <w:snapToGrid/>
          <w:szCs w:val="24"/>
        </w:rPr>
        <w:t xml:space="preserve"> and the alternative bDMARDs could be derived from the product information and with reference to previously recommended </w:t>
      </w:r>
      <w:proofErr w:type="spellStart"/>
      <w:r w:rsidR="00453458" w:rsidRPr="00AE68A4">
        <w:rPr>
          <w:snapToGrid/>
          <w:szCs w:val="24"/>
        </w:rPr>
        <w:t>equi</w:t>
      </w:r>
      <w:proofErr w:type="spellEnd"/>
      <w:r w:rsidR="00453458" w:rsidRPr="00AE68A4">
        <w:rPr>
          <w:snapToGrid/>
          <w:szCs w:val="24"/>
        </w:rPr>
        <w:t>-effective doses collated in the PBS Therapeutic Relativity Sheets.</w:t>
      </w:r>
    </w:p>
    <w:p w:rsidR="005530CC" w:rsidRPr="00AE68A4" w:rsidRDefault="005530CC" w:rsidP="00CB64E7">
      <w:pPr>
        <w:pStyle w:val="ListParagraph"/>
        <w:numPr>
          <w:ilvl w:val="1"/>
          <w:numId w:val="3"/>
        </w:numPr>
        <w:spacing w:after="120"/>
        <w:rPr>
          <w:snapToGrid/>
          <w:szCs w:val="24"/>
        </w:rPr>
      </w:pPr>
      <w:r w:rsidRPr="00AE68A4">
        <w:rPr>
          <w:snapToGrid/>
          <w:szCs w:val="24"/>
        </w:rPr>
        <w:t>The PBAC noted</w:t>
      </w:r>
      <w:r w:rsidR="00CF355C" w:rsidRPr="00AE68A4">
        <w:rPr>
          <w:snapToGrid/>
          <w:szCs w:val="24"/>
        </w:rPr>
        <w:t xml:space="preserve">, based on the utilisation assumptions in the submission, </w:t>
      </w:r>
      <w:r w:rsidRPr="00AE68A4">
        <w:rPr>
          <w:snapToGrid/>
          <w:szCs w:val="24"/>
        </w:rPr>
        <w:t xml:space="preserve">that </w:t>
      </w:r>
      <w:r w:rsidR="004A62A7" w:rsidRPr="00AE68A4">
        <w:rPr>
          <w:snapToGrid/>
          <w:szCs w:val="24"/>
        </w:rPr>
        <w:t xml:space="preserve">the </w:t>
      </w:r>
      <w:r w:rsidRPr="00AE68A4">
        <w:rPr>
          <w:snapToGrid/>
          <w:szCs w:val="24"/>
        </w:rPr>
        <w:t>net cost to the health budget would depend on the alternative bDMARD</w:t>
      </w:r>
      <w:r w:rsidR="00CF355C" w:rsidRPr="00AE68A4">
        <w:rPr>
          <w:snapToGrid/>
          <w:szCs w:val="24"/>
        </w:rPr>
        <w:t>s</w:t>
      </w:r>
      <w:r w:rsidRPr="00AE68A4">
        <w:rPr>
          <w:snapToGrid/>
          <w:szCs w:val="24"/>
        </w:rPr>
        <w:t xml:space="preserve"> that would be substituted</w:t>
      </w:r>
      <w:r w:rsidR="00CF355C" w:rsidRPr="00AE68A4">
        <w:rPr>
          <w:snapToGrid/>
          <w:szCs w:val="24"/>
        </w:rPr>
        <w:t xml:space="preserve"> by </w:t>
      </w:r>
      <w:proofErr w:type="spellStart"/>
      <w:r w:rsidR="00CF355C" w:rsidRPr="00AE68A4">
        <w:rPr>
          <w:snapToGrid/>
          <w:szCs w:val="24"/>
        </w:rPr>
        <w:t>tildrakizumab</w:t>
      </w:r>
      <w:proofErr w:type="spellEnd"/>
      <w:r w:rsidR="00CF355C" w:rsidRPr="00AE68A4">
        <w:rPr>
          <w:snapToGrid/>
          <w:szCs w:val="24"/>
        </w:rPr>
        <w:t xml:space="preserve">. The PBAC considered that listing of </w:t>
      </w:r>
      <w:proofErr w:type="spellStart"/>
      <w:r w:rsidR="00CF355C" w:rsidRPr="00AE68A4">
        <w:rPr>
          <w:snapToGrid/>
          <w:szCs w:val="24"/>
        </w:rPr>
        <w:t>tildrakizumab</w:t>
      </w:r>
      <w:proofErr w:type="spellEnd"/>
      <w:r w:rsidR="00CF355C" w:rsidRPr="00AE68A4">
        <w:rPr>
          <w:snapToGrid/>
          <w:szCs w:val="24"/>
        </w:rPr>
        <w:t xml:space="preserve"> would have minimal financial impact on the PBS. However, the PBAC noted that the responses from the sponsor had not clarified the evaluations </w:t>
      </w:r>
      <w:r w:rsidR="00453458" w:rsidRPr="00AE68A4">
        <w:rPr>
          <w:snapToGrid/>
          <w:szCs w:val="24"/>
        </w:rPr>
        <w:t xml:space="preserve">concern that it </w:t>
      </w:r>
      <w:r w:rsidR="00453458" w:rsidRPr="00AE68A4">
        <w:rPr>
          <w:iCs/>
        </w:rPr>
        <w:t>was unclear from the submission whether the assumed uptake rates had incorporated the requested grandfathered patients.</w:t>
      </w:r>
    </w:p>
    <w:p w:rsidR="003F2DF6" w:rsidRPr="00AE68A4" w:rsidRDefault="003F2DF6" w:rsidP="00CB64E7">
      <w:pPr>
        <w:pStyle w:val="ListParagraph"/>
        <w:numPr>
          <w:ilvl w:val="1"/>
          <w:numId w:val="3"/>
        </w:numPr>
        <w:spacing w:after="120"/>
      </w:pPr>
      <w:r w:rsidRPr="00AE68A4">
        <w:t xml:space="preserve">Under section 101(3BA) of the </w:t>
      </w:r>
      <w:r w:rsidRPr="00A672F0">
        <w:rPr>
          <w:i/>
        </w:rPr>
        <w:t>National Health Act 1953</w:t>
      </w:r>
      <w:r w:rsidRPr="00AE68A4">
        <w:t xml:space="preserve">, the PBAC advised that </w:t>
      </w:r>
      <w:proofErr w:type="spellStart"/>
      <w:r w:rsidRPr="00AE68A4">
        <w:rPr>
          <w:snapToGrid/>
          <w:szCs w:val="24"/>
        </w:rPr>
        <w:t>tildrakizumab</w:t>
      </w:r>
      <w:proofErr w:type="spellEnd"/>
      <w:r w:rsidRPr="00AE68A4">
        <w:t xml:space="preserve"> may be treated as interchangeable on an individual patient basis with adalimumab, etanercept, infliximab, ixekizumab, </w:t>
      </w:r>
      <w:proofErr w:type="spellStart"/>
      <w:r w:rsidRPr="00AE68A4">
        <w:t>secukinumab</w:t>
      </w:r>
      <w:proofErr w:type="spellEnd"/>
      <w:r w:rsidRPr="00AE68A4">
        <w:t xml:space="preserve">, </w:t>
      </w:r>
      <w:proofErr w:type="spellStart"/>
      <w:r w:rsidRPr="00AE68A4">
        <w:t>guselkumab</w:t>
      </w:r>
      <w:proofErr w:type="spellEnd"/>
      <w:r w:rsidRPr="00AE68A4">
        <w:t xml:space="preserve"> and ustekinumab on the PBS for the treatment of severe CPP. </w:t>
      </w:r>
    </w:p>
    <w:p w:rsidR="005530CC" w:rsidRPr="00AE68A4" w:rsidRDefault="005530CC" w:rsidP="00CB64E7">
      <w:pPr>
        <w:pStyle w:val="ListParagraph"/>
        <w:numPr>
          <w:ilvl w:val="1"/>
          <w:numId w:val="3"/>
        </w:numPr>
        <w:spacing w:after="120"/>
        <w:rPr>
          <w:snapToGrid/>
          <w:szCs w:val="24"/>
        </w:rPr>
      </w:pPr>
      <w:r w:rsidRPr="00AE68A4">
        <w:rPr>
          <w:snapToGrid/>
          <w:szCs w:val="24"/>
        </w:rPr>
        <w:t xml:space="preserve">The PBAC advised that </w:t>
      </w:r>
      <w:proofErr w:type="spellStart"/>
      <w:r w:rsidRPr="00AE68A4">
        <w:rPr>
          <w:snapToGrid/>
          <w:szCs w:val="24"/>
        </w:rPr>
        <w:t>tildrakizumab</w:t>
      </w:r>
      <w:proofErr w:type="spellEnd"/>
      <w:r w:rsidRPr="00AE68A4">
        <w:rPr>
          <w:snapToGrid/>
          <w:szCs w:val="24"/>
        </w:rPr>
        <w:t xml:space="preserve"> is not suitable for prescribing by nurse practitioners.</w:t>
      </w:r>
    </w:p>
    <w:p w:rsidR="005530CC" w:rsidRPr="00AE68A4" w:rsidRDefault="005530CC" w:rsidP="00CB64E7">
      <w:pPr>
        <w:pStyle w:val="ListParagraph"/>
        <w:numPr>
          <w:ilvl w:val="1"/>
          <w:numId w:val="3"/>
        </w:numPr>
        <w:spacing w:after="120"/>
        <w:rPr>
          <w:snapToGrid/>
          <w:szCs w:val="24"/>
        </w:rPr>
      </w:pPr>
      <w:r w:rsidRPr="00AE68A4">
        <w:rPr>
          <w:snapToGrid/>
          <w:szCs w:val="24"/>
        </w:rPr>
        <w:t>The PBAC recommended that the Early Supply rule should apply for continuing therapy only.</w:t>
      </w:r>
    </w:p>
    <w:p w:rsidR="005530CC" w:rsidRPr="00AE68A4" w:rsidRDefault="005530CC" w:rsidP="00CB64E7">
      <w:pPr>
        <w:pStyle w:val="ListParagraph"/>
        <w:numPr>
          <w:ilvl w:val="1"/>
          <w:numId w:val="3"/>
        </w:numPr>
        <w:spacing w:after="120"/>
        <w:rPr>
          <w:snapToGrid/>
          <w:szCs w:val="24"/>
        </w:rPr>
      </w:pPr>
      <w:r w:rsidRPr="00AE68A4">
        <w:rPr>
          <w:snapToGrid/>
          <w:szCs w:val="24"/>
        </w:rPr>
        <w:t xml:space="preserve">The PBAC noted that this submission is not eligible for an Independent Review, as the </w:t>
      </w:r>
      <w:r w:rsidRPr="00AE68A4">
        <w:rPr>
          <w:snapToGrid/>
          <w:szCs w:val="24"/>
        </w:rPr>
        <w:lastRenderedPageBreak/>
        <w:t xml:space="preserve">PBAC has made a positive recommendation. </w:t>
      </w:r>
    </w:p>
    <w:p w:rsidR="009F0722" w:rsidRPr="00F14289" w:rsidRDefault="009F0722" w:rsidP="00F14289">
      <w:pPr>
        <w:rPr>
          <w:b/>
          <w:snapToGrid/>
        </w:rPr>
      </w:pPr>
      <w:r w:rsidRPr="00F14289">
        <w:rPr>
          <w:b/>
          <w:snapToGrid/>
        </w:rPr>
        <w:t>Outcome</w:t>
      </w:r>
      <w:r w:rsidR="00134EE6" w:rsidRPr="00F14289">
        <w:rPr>
          <w:b/>
          <w:snapToGrid/>
        </w:rPr>
        <w:t>:</w:t>
      </w:r>
    </w:p>
    <w:p w:rsidR="00BE77C7" w:rsidRPr="00134EE6" w:rsidRDefault="00BE77C7" w:rsidP="00F14289">
      <w:pPr>
        <w:rPr>
          <w:b/>
          <w:snapToGrid/>
        </w:rPr>
      </w:pPr>
      <w:bookmarkStart w:id="28" w:name="_GoBack"/>
      <w:r w:rsidRPr="00134EE6">
        <w:rPr>
          <w:snapToGrid/>
        </w:rPr>
        <w:t>Recommended</w:t>
      </w:r>
    </w:p>
    <w:bookmarkEnd w:id="28"/>
    <w:p w:rsidR="009F0722" w:rsidRDefault="009F0722" w:rsidP="00F14289">
      <w:pPr>
        <w:pStyle w:val="PBACHeading1"/>
        <w:spacing w:before="240"/>
        <w:rPr>
          <w:snapToGrid/>
        </w:rPr>
      </w:pPr>
      <w:r>
        <w:rPr>
          <w:snapToGrid/>
        </w:rPr>
        <w:t>Recommended listing</w:t>
      </w:r>
    </w:p>
    <w:p w:rsidR="003F75EC" w:rsidRDefault="00134EE6" w:rsidP="00F14289">
      <w:pPr>
        <w:rPr>
          <w:b/>
          <w:snapToGrid/>
        </w:rPr>
      </w:pPr>
      <w:r w:rsidRPr="00134EE6">
        <w:rPr>
          <w:snapToGrid/>
        </w:rPr>
        <w:t>8.</w:t>
      </w:r>
      <w:r>
        <w:rPr>
          <w:snapToGrid/>
        </w:rPr>
        <w:t>1</w:t>
      </w:r>
      <w:r>
        <w:rPr>
          <w:snapToGrid/>
        </w:rPr>
        <w:tab/>
      </w:r>
      <w:r>
        <w:rPr>
          <w:snapToGrid/>
        </w:rPr>
        <w:tab/>
      </w:r>
      <w:r>
        <w:rPr>
          <w:snapToGrid/>
        </w:rPr>
        <w:tab/>
      </w:r>
      <w:r w:rsidR="003F75EC" w:rsidRPr="00134EE6">
        <w:rPr>
          <w:snapToGrid/>
        </w:rPr>
        <w:t>Add new item</w:t>
      </w:r>
      <w:r w:rsidR="00702912" w:rsidRPr="00134EE6">
        <w:rPr>
          <w:snapToGrid/>
        </w:rPr>
        <w:t xml:space="preserve"> [note: Maximum Quantity is based on proposed dose of 200 mg]</w:t>
      </w:r>
      <w:r>
        <w:rPr>
          <w:snapToGrid/>
        </w:rPr>
        <w:t>.</w:t>
      </w:r>
    </w:p>
    <w:p w:rsidR="00134EE6" w:rsidRDefault="00134EE6" w:rsidP="00134EE6">
      <w:pPr>
        <w:pStyle w:val="BodyText"/>
        <w:rPr>
          <w:snapToGrid/>
        </w:rPr>
      </w:pPr>
    </w:p>
    <w:p w:rsidR="002F480B" w:rsidRPr="00134EE6" w:rsidRDefault="002F480B" w:rsidP="00134EE6">
      <w:pPr>
        <w:pStyle w:val="PBACHeading1"/>
        <w:numPr>
          <w:ilvl w:val="0"/>
          <w:numId w:val="0"/>
        </w:numPr>
        <w:ind w:left="720" w:hanging="720"/>
        <w:rPr>
          <w:snapToGrid/>
          <w:sz w:val="22"/>
        </w:rPr>
      </w:pPr>
      <w:r w:rsidRPr="00134EE6">
        <w:rPr>
          <w:snapToGrid/>
          <w:sz w:val="22"/>
        </w:rPr>
        <w:t>Summary of listings presented below</w:t>
      </w:r>
    </w:p>
    <w:tbl>
      <w:tblPr>
        <w:tblStyle w:val="TableGrid"/>
        <w:tblW w:w="9135" w:type="dxa"/>
        <w:tblInd w:w="108" w:type="dxa"/>
        <w:tblLayout w:type="fixed"/>
        <w:tblLook w:val="04A0" w:firstRow="1" w:lastRow="0" w:firstColumn="1" w:lastColumn="0" w:noHBand="0" w:noVBand="1"/>
        <w:tblCaption w:val="Summary of listings presented "/>
      </w:tblPr>
      <w:tblGrid>
        <w:gridCol w:w="851"/>
        <w:gridCol w:w="4394"/>
        <w:gridCol w:w="1134"/>
        <w:gridCol w:w="1418"/>
        <w:gridCol w:w="1338"/>
      </w:tblGrid>
      <w:tr w:rsidR="002F480B" w:rsidRPr="002F480B" w:rsidTr="00F14289">
        <w:trPr>
          <w:tblHeader/>
        </w:trPr>
        <w:tc>
          <w:tcPr>
            <w:tcW w:w="9135" w:type="dxa"/>
            <w:gridSpan w:val="5"/>
            <w:vAlign w:val="center"/>
          </w:tcPr>
          <w:p w:rsidR="002F480B" w:rsidRPr="002F480B" w:rsidRDefault="002F480B" w:rsidP="00BB5004">
            <w:pPr>
              <w:keepNext/>
              <w:ind w:left="-108"/>
              <w:jc w:val="center"/>
              <w:rPr>
                <w:rFonts w:ascii="Arial Narrow" w:hAnsi="Arial Narrow" w:cstheme="minorHAnsi"/>
                <w:sz w:val="20"/>
                <w:szCs w:val="20"/>
                <w:lang w:eastAsia="en-AU"/>
              </w:rPr>
            </w:pPr>
            <w:proofErr w:type="spellStart"/>
            <w:r w:rsidRPr="002F480B">
              <w:rPr>
                <w:rFonts w:ascii="Arial Narrow" w:hAnsi="Arial Narrow" w:cstheme="minorHAnsi"/>
                <w:smallCaps/>
                <w:sz w:val="20"/>
                <w:szCs w:val="20"/>
                <w:lang w:eastAsia="en-AU"/>
              </w:rPr>
              <w:t>tildrakizumab</w:t>
            </w:r>
            <w:proofErr w:type="spellEnd"/>
          </w:p>
          <w:p w:rsidR="002F480B" w:rsidRPr="002F480B" w:rsidRDefault="002F480B" w:rsidP="00BB5004">
            <w:pPr>
              <w:keepNext/>
              <w:ind w:left="-108"/>
              <w:jc w:val="center"/>
              <w:rPr>
                <w:rFonts w:ascii="Arial Narrow" w:hAnsi="Arial Narrow" w:cstheme="minorHAnsi"/>
                <w:sz w:val="20"/>
                <w:szCs w:val="20"/>
                <w:lang w:eastAsia="en-AU"/>
              </w:rPr>
            </w:pPr>
            <w:r w:rsidRPr="002F480B">
              <w:rPr>
                <w:rFonts w:ascii="Arial Narrow" w:hAnsi="Arial Narrow" w:cstheme="minorHAnsi"/>
                <w:sz w:val="20"/>
                <w:szCs w:val="20"/>
                <w:lang w:eastAsia="en-AU"/>
              </w:rPr>
              <w:t>100mg in 1 mL single use pre-filled syringes, 2 pack</w:t>
            </w:r>
          </w:p>
        </w:tc>
      </w:tr>
      <w:tr w:rsidR="002F480B" w:rsidRPr="002F480B" w:rsidTr="00F14289">
        <w:trPr>
          <w:tblHeader/>
        </w:trPr>
        <w:tc>
          <w:tcPr>
            <w:tcW w:w="851" w:type="dxa"/>
            <w:vAlign w:val="center"/>
          </w:tcPr>
          <w:p w:rsidR="002F480B" w:rsidRPr="002F480B" w:rsidRDefault="000E4E24" w:rsidP="00BB5004">
            <w:pPr>
              <w:jc w:val="center"/>
              <w:rPr>
                <w:rFonts w:ascii="Arial Narrow" w:hAnsi="Arial Narrow" w:cstheme="minorHAnsi"/>
                <w:b/>
                <w:sz w:val="20"/>
                <w:szCs w:val="20"/>
              </w:rPr>
            </w:pPr>
            <w:r w:rsidRPr="000E4E24">
              <w:rPr>
                <w:rFonts w:ascii="Arial Narrow" w:hAnsi="Arial Narrow" w:cstheme="minorHAnsi"/>
                <w:b/>
                <w:sz w:val="14"/>
                <w:szCs w:val="20"/>
              </w:rPr>
              <w:t>Restriction</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Treatment Phase</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Max Qty (units)</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Max Qty (packs)</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Repeats</w:t>
            </w:r>
          </w:p>
        </w:tc>
      </w:tr>
      <w:tr w:rsidR="002F480B" w:rsidRPr="002F480B" w:rsidTr="00BB5004">
        <w:tc>
          <w:tcPr>
            <w:tcW w:w="851" w:type="dxa"/>
            <w:vAlign w:val="center"/>
          </w:tcPr>
          <w:p w:rsidR="002F480B" w:rsidRPr="002F480B" w:rsidRDefault="002F480B" w:rsidP="00BB5004">
            <w:pPr>
              <w:rPr>
                <w:rFonts w:ascii="Arial Narrow" w:hAnsi="Arial Narrow" w:cstheme="minorHAnsi"/>
                <w:b/>
                <w:sz w:val="20"/>
                <w:szCs w:val="20"/>
              </w:rPr>
            </w:pPr>
          </w:p>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lang w:eastAsia="en-AU"/>
              </w:rPr>
              <w:t>Initial 1, Whole body</w:t>
            </w:r>
            <w:r w:rsidRPr="002F480B">
              <w:rPr>
                <w:rFonts w:ascii="Arial Narrow" w:hAnsi="Arial Narrow" w:cstheme="minorHAnsi"/>
                <w:sz w:val="20"/>
                <w:szCs w:val="20"/>
                <w:lang w:eastAsia="en-AU"/>
              </w:rPr>
              <w:t xml:space="preserve"> (new patient (no prior biological agent) or patient recommencing treatment after a break of 5 years or more)</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r>
      <w:tr w:rsidR="002F480B" w:rsidRPr="002F480B" w:rsidTr="00BB5004">
        <w:tc>
          <w:tcPr>
            <w:tcW w:w="851" w:type="dxa"/>
            <w:vAlign w:val="center"/>
          </w:tcPr>
          <w:p w:rsidR="002F480B" w:rsidRPr="002F480B" w:rsidRDefault="000E4E24" w:rsidP="00BB5004">
            <w:pPr>
              <w:jc w:val="center"/>
              <w:rPr>
                <w:rFonts w:ascii="Arial Narrow" w:hAnsi="Arial Narrow" w:cstheme="minorHAnsi"/>
                <w:b/>
                <w:sz w:val="20"/>
                <w:szCs w:val="20"/>
              </w:rPr>
            </w:pPr>
            <w:r>
              <w:rPr>
                <w:rFonts w:ascii="Arial Narrow" w:hAnsi="Arial Narrow" w:cstheme="minorHAnsi"/>
                <w:b/>
                <w:sz w:val="20"/>
                <w:szCs w:val="20"/>
              </w:rPr>
              <w:t>2</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lang w:eastAsia="en-AU"/>
              </w:rPr>
              <w:t xml:space="preserve">Initial 2, </w:t>
            </w:r>
            <w:r w:rsidRPr="002F480B">
              <w:rPr>
                <w:rFonts w:ascii="Arial Narrow" w:hAnsi="Arial Narrow" w:cstheme="minorHAnsi"/>
                <w:b/>
                <w:sz w:val="20"/>
                <w:szCs w:val="20"/>
              </w:rPr>
              <w:t>Whole body</w:t>
            </w:r>
            <w:r w:rsidRPr="002F480B">
              <w:rPr>
                <w:rFonts w:ascii="Arial Narrow" w:hAnsi="Arial Narrow" w:cstheme="minorHAnsi"/>
                <w:sz w:val="20"/>
                <w:szCs w:val="20"/>
              </w:rPr>
              <w:t xml:space="preserve"> (change or recommencement of treatment after a break of less than 5 years)</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r>
      <w:tr w:rsidR="002F480B" w:rsidRPr="002F480B" w:rsidTr="00BB5004">
        <w:tc>
          <w:tcPr>
            <w:tcW w:w="851" w:type="dxa"/>
            <w:vAlign w:val="center"/>
          </w:tcPr>
          <w:p w:rsidR="002F480B" w:rsidRPr="002F480B" w:rsidRDefault="000E4E24" w:rsidP="00BB5004">
            <w:pPr>
              <w:jc w:val="center"/>
              <w:rPr>
                <w:rFonts w:ascii="Arial Narrow" w:hAnsi="Arial Narrow" w:cstheme="minorHAnsi"/>
                <w:b/>
                <w:sz w:val="20"/>
                <w:szCs w:val="20"/>
              </w:rPr>
            </w:pPr>
            <w:r>
              <w:rPr>
                <w:rFonts w:ascii="Arial Narrow" w:hAnsi="Arial Narrow" w:cstheme="minorHAnsi"/>
                <w:b/>
                <w:sz w:val="20"/>
                <w:szCs w:val="20"/>
              </w:rPr>
              <w:t>3</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 xml:space="preserve">Initial 1, Face, hand, foot </w:t>
            </w:r>
            <w:r w:rsidRPr="002F480B">
              <w:rPr>
                <w:rFonts w:ascii="Arial Narrow" w:hAnsi="Arial Narrow" w:cstheme="minorHAnsi"/>
                <w:sz w:val="20"/>
                <w:szCs w:val="20"/>
                <w:lang w:eastAsia="en-AU"/>
              </w:rPr>
              <w:t>(new patient (no prior biological agent) or patient recommencing treatment after a break of 5 years or more)</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r>
      <w:tr w:rsidR="002F480B" w:rsidRPr="002F480B" w:rsidTr="00BB5004">
        <w:tc>
          <w:tcPr>
            <w:tcW w:w="851" w:type="dxa"/>
            <w:vAlign w:val="center"/>
          </w:tcPr>
          <w:p w:rsidR="002F480B" w:rsidRPr="002F480B" w:rsidRDefault="000E4E24" w:rsidP="00BB5004">
            <w:pPr>
              <w:jc w:val="center"/>
              <w:rPr>
                <w:rFonts w:ascii="Arial Narrow" w:hAnsi="Arial Narrow" w:cstheme="minorHAnsi"/>
                <w:b/>
                <w:sz w:val="20"/>
                <w:szCs w:val="20"/>
              </w:rPr>
            </w:pPr>
            <w:r>
              <w:rPr>
                <w:rFonts w:ascii="Arial Narrow" w:hAnsi="Arial Narrow" w:cstheme="minorHAnsi"/>
                <w:b/>
                <w:sz w:val="20"/>
                <w:szCs w:val="20"/>
              </w:rPr>
              <w:t>4</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Initial 2, Face, hand, foot</w:t>
            </w:r>
            <w:r w:rsidRPr="002F480B">
              <w:rPr>
                <w:rFonts w:ascii="Arial Narrow" w:hAnsi="Arial Narrow" w:cstheme="minorHAnsi"/>
                <w:sz w:val="20"/>
                <w:szCs w:val="20"/>
              </w:rPr>
              <w:t xml:space="preserve"> (change or recommencement of treatment after a break of less than 5 years)</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r>
      <w:tr w:rsidR="002F480B" w:rsidRPr="002F480B" w:rsidTr="00BB5004">
        <w:tc>
          <w:tcPr>
            <w:tcW w:w="851" w:type="dxa"/>
            <w:vAlign w:val="center"/>
          </w:tcPr>
          <w:p w:rsidR="002F480B" w:rsidRPr="002F480B" w:rsidRDefault="000E4E24" w:rsidP="00BB5004">
            <w:pPr>
              <w:jc w:val="center"/>
              <w:rPr>
                <w:rFonts w:ascii="Arial Narrow" w:hAnsi="Arial Narrow" w:cstheme="minorHAnsi"/>
                <w:b/>
                <w:sz w:val="20"/>
                <w:szCs w:val="20"/>
              </w:rPr>
            </w:pPr>
            <w:r>
              <w:rPr>
                <w:rFonts w:ascii="Arial Narrow" w:hAnsi="Arial Narrow" w:cstheme="minorHAnsi"/>
                <w:b/>
                <w:sz w:val="20"/>
                <w:szCs w:val="20"/>
              </w:rPr>
              <w:t>5</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Initial 1, Whole body or Face, hand, foot</w:t>
            </w:r>
            <w:r w:rsidRPr="002F480B">
              <w:rPr>
                <w:rFonts w:ascii="Arial Narrow" w:hAnsi="Arial Narrow" w:cstheme="minorHAnsi"/>
                <w:sz w:val="20"/>
                <w:szCs w:val="20"/>
              </w:rPr>
              <w:t xml:space="preserve"> (new patient or patient recommencing treatment after a break of 5 years or more) </w:t>
            </w:r>
            <w:r w:rsidRPr="002F480B">
              <w:rPr>
                <w:rFonts w:ascii="Arial Narrow" w:hAnsi="Arial Narrow" w:cstheme="minorHAnsi"/>
                <w:b/>
                <w:sz w:val="20"/>
                <w:szCs w:val="20"/>
              </w:rPr>
              <w:t>or Initial 2, Whole body or Face, hand, foot</w:t>
            </w:r>
            <w:r w:rsidRPr="002F480B">
              <w:rPr>
                <w:rFonts w:ascii="Arial Narrow" w:hAnsi="Arial Narrow" w:cstheme="minorHAnsi"/>
                <w:sz w:val="20"/>
                <w:szCs w:val="20"/>
              </w:rPr>
              <w:t xml:space="preserve"> (change or recommencement of treatment after a break of less than 5 years) - </w:t>
            </w:r>
            <w:r w:rsidRPr="002F480B">
              <w:rPr>
                <w:rFonts w:ascii="Arial Narrow" w:hAnsi="Arial Narrow" w:cstheme="minorHAnsi"/>
                <w:b/>
                <w:sz w:val="20"/>
                <w:szCs w:val="20"/>
              </w:rPr>
              <w:t>balance of supply</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r>
      <w:tr w:rsidR="002F480B" w:rsidRPr="002F480B" w:rsidTr="00BB5004">
        <w:tc>
          <w:tcPr>
            <w:tcW w:w="851" w:type="dxa"/>
            <w:vAlign w:val="center"/>
          </w:tcPr>
          <w:p w:rsidR="002F480B" w:rsidRPr="002F480B" w:rsidRDefault="002F480B" w:rsidP="00BB5004">
            <w:pPr>
              <w:jc w:val="center"/>
              <w:rPr>
                <w:rFonts w:ascii="Arial Narrow" w:hAnsi="Arial Narrow" w:cstheme="minorHAnsi"/>
                <w:b/>
                <w:sz w:val="20"/>
                <w:szCs w:val="20"/>
              </w:rPr>
            </w:pPr>
          </w:p>
          <w:p w:rsidR="002F480B" w:rsidRPr="002F480B" w:rsidRDefault="000B265C" w:rsidP="00BB5004">
            <w:pPr>
              <w:jc w:val="center"/>
              <w:rPr>
                <w:rFonts w:ascii="Arial Narrow" w:hAnsi="Arial Narrow" w:cstheme="minorHAnsi"/>
                <w:b/>
                <w:sz w:val="20"/>
                <w:szCs w:val="20"/>
              </w:rPr>
            </w:pPr>
            <w:r>
              <w:rPr>
                <w:rFonts w:ascii="Arial Narrow" w:hAnsi="Arial Narrow" w:cstheme="minorHAnsi"/>
                <w:b/>
                <w:sz w:val="20"/>
                <w:szCs w:val="20"/>
              </w:rPr>
              <w:t>6</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lang w:eastAsia="en-AU"/>
              </w:rPr>
              <w:t>Grandfather treatment</w:t>
            </w:r>
            <w:r w:rsidRPr="002F480B">
              <w:rPr>
                <w:rFonts w:ascii="Arial Narrow" w:hAnsi="Arial Narrow" w:cstheme="minorHAnsi"/>
                <w:b/>
                <w:sz w:val="20"/>
                <w:szCs w:val="20"/>
              </w:rPr>
              <w:t xml:space="preserve">, </w:t>
            </w:r>
            <w:r w:rsidRPr="002F480B">
              <w:rPr>
                <w:rFonts w:ascii="Arial Narrow" w:hAnsi="Arial Narrow" w:cstheme="minorHAnsi"/>
                <w:b/>
                <w:sz w:val="20"/>
                <w:szCs w:val="20"/>
                <w:lang w:eastAsia="en-AU"/>
              </w:rPr>
              <w:t xml:space="preserve">Whole body </w:t>
            </w:r>
            <w:r w:rsidRPr="002F480B">
              <w:rPr>
                <w:rFonts w:ascii="Arial Narrow" w:hAnsi="Arial Narrow" w:cstheme="minorHAnsi"/>
                <w:sz w:val="20"/>
                <w:szCs w:val="20"/>
                <w:lang w:eastAsia="en-AU"/>
              </w:rPr>
              <w:t>(initial PBS-subsidised supply for continuing treatment in a patient commenced on non-PBS-subsidised therapy)</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r>
      <w:tr w:rsidR="002F480B" w:rsidRPr="002F480B" w:rsidTr="00BB5004">
        <w:tc>
          <w:tcPr>
            <w:tcW w:w="851" w:type="dxa"/>
            <w:vAlign w:val="center"/>
          </w:tcPr>
          <w:p w:rsidR="002F480B" w:rsidRPr="002F480B" w:rsidRDefault="000B265C" w:rsidP="00BB5004">
            <w:pPr>
              <w:jc w:val="center"/>
              <w:rPr>
                <w:rFonts w:ascii="Arial Narrow" w:hAnsi="Arial Narrow" w:cstheme="minorHAnsi"/>
                <w:b/>
                <w:sz w:val="20"/>
                <w:szCs w:val="20"/>
              </w:rPr>
            </w:pPr>
            <w:r>
              <w:rPr>
                <w:rFonts w:ascii="Arial Narrow" w:hAnsi="Arial Narrow" w:cstheme="minorHAnsi"/>
                <w:b/>
                <w:sz w:val="20"/>
                <w:szCs w:val="20"/>
              </w:rPr>
              <w:t>7</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 xml:space="preserve">Grandfather treatment, Face, hand, foot </w:t>
            </w:r>
            <w:r w:rsidRPr="002F480B">
              <w:rPr>
                <w:rFonts w:ascii="Arial Narrow" w:hAnsi="Arial Narrow" w:cstheme="minorHAnsi"/>
                <w:sz w:val="20"/>
                <w:szCs w:val="20"/>
                <w:lang w:eastAsia="en-AU"/>
              </w:rPr>
              <w:t>(initial PBS-subsidised supply for continuing treatment in a patient commenced on non-PBS-subsidised therapy)</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r>
      <w:tr w:rsidR="002F480B" w:rsidRPr="002F480B" w:rsidTr="00BB5004">
        <w:tc>
          <w:tcPr>
            <w:tcW w:w="851" w:type="dxa"/>
            <w:vAlign w:val="center"/>
          </w:tcPr>
          <w:p w:rsidR="002F480B" w:rsidRPr="002F480B" w:rsidRDefault="000B265C" w:rsidP="00BB5004">
            <w:pPr>
              <w:jc w:val="center"/>
              <w:rPr>
                <w:rFonts w:ascii="Arial Narrow" w:hAnsi="Arial Narrow" w:cstheme="minorHAnsi"/>
                <w:b/>
                <w:sz w:val="20"/>
                <w:szCs w:val="20"/>
              </w:rPr>
            </w:pPr>
            <w:r>
              <w:rPr>
                <w:rFonts w:ascii="Arial Narrow" w:hAnsi="Arial Narrow" w:cstheme="minorHAnsi"/>
                <w:b/>
                <w:sz w:val="20"/>
                <w:szCs w:val="20"/>
              </w:rPr>
              <w:t>8</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Continuing treatment, Whole body</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r>
      <w:tr w:rsidR="002F480B" w:rsidRPr="002F480B" w:rsidTr="00BB5004">
        <w:tc>
          <w:tcPr>
            <w:tcW w:w="851" w:type="dxa"/>
            <w:vAlign w:val="center"/>
          </w:tcPr>
          <w:p w:rsidR="002F480B" w:rsidRPr="002F480B" w:rsidRDefault="000B265C" w:rsidP="00BB5004">
            <w:pPr>
              <w:jc w:val="center"/>
              <w:rPr>
                <w:rFonts w:ascii="Arial Narrow" w:hAnsi="Arial Narrow" w:cstheme="minorHAnsi"/>
                <w:b/>
                <w:sz w:val="20"/>
                <w:szCs w:val="20"/>
              </w:rPr>
            </w:pPr>
            <w:r>
              <w:rPr>
                <w:rFonts w:ascii="Arial Narrow" w:hAnsi="Arial Narrow" w:cstheme="minorHAnsi"/>
                <w:b/>
                <w:sz w:val="20"/>
                <w:szCs w:val="20"/>
              </w:rPr>
              <w:t>9</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Continuing treatment, Face, hand, foot</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r>
      <w:tr w:rsidR="002F480B" w:rsidRPr="002F480B" w:rsidTr="00BB5004">
        <w:tc>
          <w:tcPr>
            <w:tcW w:w="851" w:type="dxa"/>
            <w:vAlign w:val="center"/>
          </w:tcPr>
          <w:p w:rsidR="002F480B" w:rsidRPr="002F480B" w:rsidRDefault="000B265C" w:rsidP="00BB5004">
            <w:pPr>
              <w:jc w:val="center"/>
              <w:rPr>
                <w:rFonts w:ascii="Arial Narrow" w:hAnsi="Arial Narrow" w:cstheme="minorHAnsi"/>
                <w:b/>
                <w:sz w:val="20"/>
                <w:szCs w:val="20"/>
              </w:rPr>
            </w:pPr>
            <w:r>
              <w:rPr>
                <w:rFonts w:ascii="Arial Narrow" w:hAnsi="Arial Narrow" w:cstheme="minorHAnsi"/>
                <w:b/>
                <w:sz w:val="20"/>
                <w:szCs w:val="20"/>
              </w:rPr>
              <w:t>10</w:t>
            </w:r>
          </w:p>
        </w:tc>
        <w:tc>
          <w:tcPr>
            <w:tcW w:w="439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Continuing treatment, Whole body or Continuing treatment, Face, hand, foot - balance of supply</w:t>
            </w:r>
          </w:p>
        </w:tc>
        <w:tc>
          <w:tcPr>
            <w:tcW w:w="1134"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2</w:t>
            </w:r>
          </w:p>
        </w:tc>
        <w:tc>
          <w:tcPr>
            <w:tcW w:w="141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c>
          <w:tcPr>
            <w:tcW w:w="1338" w:type="dxa"/>
            <w:vAlign w:val="center"/>
          </w:tcPr>
          <w:p w:rsidR="002F480B" w:rsidRPr="002F480B" w:rsidRDefault="002F480B" w:rsidP="00BB5004">
            <w:pPr>
              <w:jc w:val="center"/>
              <w:rPr>
                <w:rFonts w:ascii="Arial Narrow" w:hAnsi="Arial Narrow" w:cstheme="minorHAnsi"/>
                <w:b/>
                <w:sz w:val="20"/>
                <w:szCs w:val="20"/>
              </w:rPr>
            </w:pPr>
            <w:r w:rsidRPr="002F480B">
              <w:rPr>
                <w:rFonts w:ascii="Arial Narrow" w:hAnsi="Arial Narrow" w:cstheme="minorHAnsi"/>
                <w:b/>
                <w:sz w:val="20"/>
                <w:szCs w:val="20"/>
              </w:rPr>
              <w:t>1</w:t>
            </w:r>
          </w:p>
        </w:tc>
      </w:tr>
    </w:tbl>
    <w:p w:rsidR="008D1A9A" w:rsidRDefault="008D1A9A" w:rsidP="002D2DBF">
      <w:pPr>
        <w:widowControl/>
        <w:jc w:val="left"/>
        <w:rPr>
          <w:rFonts w:asciiTheme="minorHAnsi" w:hAnsiTheme="minorHAnsi"/>
          <w:b/>
          <w:sz w:val="32"/>
          <w:szCs w:val="32"/>
        </w:rPr>
      </w:pPr>
    </w:p>
    <w:p w:rsidR="008D1A9A" w:rsidRDefault="008D1A9A">
      <w:pPr>
        <w:widowControl/>
        <w:jc w:val="left"/>
        <w:rPr>
          <w:rFonts w:asciiTheme="minorHAnsi" w:hAnsiTheme="minorHAnsi" w:cstheme="minorHAnsi"/>
          <w:snapToGrid/>
          <w:lang w:val="en-GB"/>
        </w:rPr>
      </w:pPr>
      <w:r>
        <w:rPr>
          <w:rFonts w:asciiTheme="minorHAnsi" w:hAnsiTheme="minorHAnsi" w:cstheme="minorHAnsi"/>
        </w:rPr>
        <w:br w:type="page"/>
      </w:r>
    </w:p>
    <w:p w:rsidR="008D1A9A" w:rsidRDefault="008D1A9A" w:rsidP="008D1A9A">
      <w:pPr>
        <w:pStyle w:val="NormalWeb"/>
        <w:spacing w:line="300" w:lineRule="atLeast"/>
        <w:jc w:val="both"/>
        <w:rPr>
          <w:rFonts w:asciiTheme="minorHAnsi" w:hAnsiTheme="minorHAnsi" w:cstheme="minorHAnsi"/>
        </w:rPr>
      </w:pPr>
    </w:p>
    <w:p w:rsidR="008D1A9A" w:rsidRPr="00306C0E" w:rsidRDefault="008D1A9A" w:rsidP="008D1A9A">
      <w:pPr>
        <w:pStyle w:val="NormalWeb"/>
        <w:spacing w:line="300" w:lineRule="atLeast"/>
        <w:jc w:val="both"/>
        <w:outlineLvl w:val="1"/>
        <w:rPr>
          <w:rFonts w:asciiTheme="minorHAnsi" w:hAnsiTheme="minorHAnsi" w:cstheme="minorHAnsi"/>
          <w:b/>
        </w:rPr>
      </w:pPr>
      <w:r w:rsidRPr="00306C0E">
        <w:rPr>
          <w:rFonts w:asciiTheme="minorHAnsi" w:hAnsiTheme="minorHAnsi" w:cstheme="minorHAnsi"/>
          <w:b/>
        </w:rPr>
        <w:t>General Administrative Advice for all chronic plaque psoriasis listings</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TREATMENT OF ADULT PATIENTS WITH SEVERE CHRONIC PLAQUE PSORIASIS</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The following information applies to the prescribing under the Pharmaceutical Benefits Scheme (PBS) of the biological </w:t>
      </w:r>
      <w:proofErr w:type="gramStart"/>
      <w:r w:rsidRPr="007A7E15">
        <w:rPr>
          <w:rFonts w:asciiTheme="minorHAnsi" w:hAnsiTheme="minorHAnsi" w:cstheme="minorHAnsi"/>
        </w:rPr>
        <w:t>agents</w:t>
      </w:r>
      <w:proofErr w:type="gramEnd"/>
      <w:r w:rsidRPr="007A7E15">
        <w:rPr>
          <w:rFonts w:asciiTheme="minorHAnsi" w:hAnsiTheme="minorHAnsi" w:cstheme="minorHAnsi"/>
        </w:rPr>
        <w:t xml:space="preserve"> adalimumab, etanercept, infliximab, ixekizumab, </w:t>
      </w:r>
      <w:proofErr w:type="spellStart"/>
      <w:r w:rsidRPr="007A7E15">
        <w:rPr>
          <w:rFonts w:asciiTheme="minorHAnsi" w:hAnsiTheme="minorHAnsi" w:cstheme="minorHAnsi"/>
        </w:rPr>
        <w:t>secukinumab</w:t>
      </w:r>
      <w:proofErr w:type="spellEnd"/>
      <w:r w:rsidRPr="007A7E15">
        <w:rPr>
          <w:rFonts w:asciiTheme="minorHAnsi" w:hAnsiTheme="minorHAnsi" w:cstheme="minorHAnsi"/>
        </w:rPr>
        <w:t xml:space="preserve">, ustekinumab and </w:t>
      </w:r>
      <w:proofErr w:type="spellStart"/>
      <w:r w:rsidRPr="007A7E15">
        <w:rPr>
          <w:rFonts w:asciiTheme="minorHAnsi" w:hAnsiTheme="minorHAnsi" w:cstheme="minorHAnsi"/>
          <w:highlight w:val="yellow"/>
        </w:rPr>
        <w:t>tildrakizumab</w:t>
      </w:r>
      <w:proofErr w:type="spellEnd"/>
      <w:r w:rsidRPr="007A7E15">
        <w:rPr>
          <w:rFonts w:asciiTheme="minorHAnsi" w:hAnsiTheme="minorHAnsi" w:cstheme="minorHAnsi"/>
        </w:rPr>
        <w:t xml:space="preserve"> for adult patients with severe chronic plaque psoriasis. Therefore, where the term 'biological agents' appears in notes and restrictions, it refers to adalimumab, etanercept, infliximab, ixekizumab, </w:t>
      </w:r>
      <w:proofErr w:type="spellStart"/>
      <w:r w:rsidRPr="007A7E15">
        <w:rPr>
          <w:rFonts w:asciiTheme="minorHAnsi" w:hAnsiTheme="minorHAnsi" w:cstheme="minorHAnsi"/>
        </w:rPr>
        <w:t>secukinumab</w:t>
      </w:r>
      <w:proofErr w:type="spellEnd"/>
      <w:r w:rsidRPr="007A7E15">
        <w:rPr>
          <w:rFonts w:asciiTheme="minorHAnsi" w:hAnsiTheme="minorHAnsi" w:cstheme="minorHAnsi"/>
        </w:rPr>
        <w:t xml:space="preserve">, ustekinumab and </w:t>
      </w:r>
      <w:proofErr w:type="spellStart"/>
      <w:r w:rsidRPr="007A7E15">
        <w:rPr>
          <w:rFonts w:asciiTheme="minorHAnsi" w:hAnsiTheme="minorHAnsi" w:cstheme="minorHAnsi"/>
          <w:highlight w:val="yellow"/>
        </w:rPr>
        <w:t>tildrakizumab</w:t>
      </w:r>
      <w:proofErr w:type="spellEnd"/>
      <w:r w:rsidRPr="007A7E15">
        <w:rPr>
          <w:rFonts w:asciiTheme="minorHAnsi" w:hAnsiTheme="minorHAnsi" w:cstheme="minorHAnsi"/>
        </w:rPr>
        <w:t xml:space="preserve"> only.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receiving PBS-subsidised treatment for chronic plaque psoriasis are deemed to have commenced a 'Biological Treatment Cycle' (Cycle), where they may trial biological agents without having to meet the initial treatment </w:t>
      </w:r>
      <w:proofErr w:type="gramStart"/>
      <w:r w:rsidRPr="007A7E15">
        <w:rPr>
          <w:rFonts w:asciiTheme="minorHAnsi" w:hAnsiTheme="minorHAnsi" w:cstheme="minorHAnsi"/>
        </w:rPr>
        <w:t>criteria, that is</w:t>
      </w:r>
      <w:proofErr w:type="gramEnd"/>
      <w:r w:rsidRPr="007A7E15">
        <w:rPr>
          <w:rFonts w:asciiTheme="minorHAnsi" w:hAnsiTheme="minorHAnsi" w:cstheme="minorHAnsi"/>
        </w:rPr>
        <w:t xml:space="preserve"> they will not need to experience a disease flare, when swapping to an alternate agent. Under these interchangeability arrangements, within a single Cycle, patients may receive long-term treatment with a biological agent as long as they sustain a response to therapy.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are eligible for PBS-subsidised treatment with only 1 biological agent at any 1 time.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Within the same Treatment Cycle, a patient cannot trial and fail, or cease to respond to, the same PBS-subsidised biological agent more than once. Therefore once a patient fails to meet the response criteria for a PBS-subsidised biological agent, they must change to an alternate agent if they wish to continue PBS-subsidised biological treatment.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must be assessed for response to each course of treatment according to the criteria included in the relevant continuing treatment restriction.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Once a patient has either failed or ceased to respond to treatment 3 times, they are deemed to have completed a Treatment Cycle and they must have, at a minimum, a 5-year break in PBS-subsidised biological agent therapy before they are eligible to commence the next Cycle. The duration of the break in therapy is measured from the date of the last approval for PBS-subsidised biological agent treatment in the most recent Cycle to the date of the first application for initial treatment with a biological agent under the new Treatment Cycle.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for whom a break in PBS-subsidised therapy of less than 5 years duration has occurred, and, who have failed therapy fewer than 3 times within a particular Cycle, as defined in the relevant restriction, may commence a further course of treatment within that Cycle.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for whom a break in PBS-subsidised therapy of 5 years or more has occurred, and, who have failed therapy fewer than 3 times within a particular Cycle, as defined in the relevant restriction, are eligible to commence a new Cycle.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There is no limit to the number of Biological Treatment Cycles a patient may undertake in their lifetime. </w:t>
      </w:r>
    </w:p>
    <w:p w:rsidR="008D1A9A" w:rsidRPr="007A7E15" w:rsidRDefault="008D1A9A" w:rsidP="008D1A9A">
      <w:pPr>
        <w:pStyle w:val="NormalWeb"/>
        <w:spacing w:line="300" w:lineRule="atLeast"/>
        <w:jc w:val="both"/>
        <w:rPr>
          <w:rFonts w:asciiTheme="minorHAnsi" w:hAnsiTheme="minorHAnsi" w:cstheme="minorHAnsi"/>
        </w:rPr>
      </w:pPr>
      <w:proofErr w:type="gramStart"/>
      <w:r w:rsidRPr="007A7E15">
        <w:rPr>
          <w:rFonts w:asciiTheme="minorHAnsi" w:hAnsiTheme="minorHAnsi" w:cstheme="minorHAnsi"/>
        </w:rPr>
        <w:lastRenderedPageBreak/>
        <w:t>How to prescribe biological agents for the treatment of severe chronic plaque psoriasis.</w:t>
      </w:r>
      <w:proofErr w:type="gramEnd"/>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There are separate restrictions for both the initial and continuing treatment for psoriasis affecting the whole body, versus psoriasis affecting the face, hands and feet.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(1) Application for approval for initial treatment.</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Applications for a course of initial treatment should be made in the following situations:</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w:t>
      </w:r>
      <w:proofErr w:type="gramStart"/>
      <w:r w:rsidRPr="007A7E15">
        <w:rPr>
          <w:rFonts w:asciiTheme="minorHAnsi" w:hAnsiTheme="minorHAnsi" w:cstheme="minorHAnsi"/>
        </w:rPr>
        <w:t>patients</w:t>
      </w:r>
      <w:proofErr w:type="gramEnd"/>
      <w:r w:rsidRPr="007A7E15">
        <w:rPr>
          <w:rFonts w:asciiTheme="minorHAnsi" w:hAnsiTheme="minorHAnsi" w:cstheme="minorHAnsi"/>
        </w:rPr>
        <w:t xml:space="preserve"> who have received no prior PBS-subsidised biological treatment and wish to commence such therapy (Initial 1); or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(ii) patients who wish to recommence treatment following a break of 5 years or more and commence a new treatment cycle (Initial 1); or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(iii) </w:t>
      </w:r>
      <w:proofErr w:type="gramStart"/>
      <w:r w:rsidRPr="007A7E15">
        <w:rPr>
          <w:rFonts w:asciiTheme="minorHAnsi" w:hAnsiTheme="minorHAnsi" w:cstheme="minorHAnsi"/>
        </w:rPr>
        <w:t>patients</w:t>
      </w:r>
      <w:proofErr w:type="gramEnd"/>
      <w:r w:rsidRPr="007A7E15">
        <w:rPr>
          <w:rFonts w:asciiTheme="minorHAnsi" w:hAnsiTheme="minorHAnsi" w:cstheme="minorHAnsi"/>
        </w:rPr>
        <w:t xml:space="preserve"> who have received prior PBS-subsidised biological therapy and wish to trial an alternate agent (Initial 2) [further details are under '(4) Swapping therapy' below]; or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(iv) </w:t>
      </w:r>
      <w:proofErr w:type="gramStart"/>
      <w:r w:rsidRPr="007A7E15">
        <w:rPr>
          <w:rFonts w:asciiTheme="minorHAnsi" w:hAnsiTheme="minorHAnsi" w:cstheme="minorHAnsi"/>
        </w:rPr>
        <w:t>patients</w:t>
      </w:r>
      <w:proofErr w:type="gramEnd"/>
      <w:r w:rsidRPr="007A7E15">
        <w:rPr>
          <w:rFonts w:asciiTheme="minorHAnsi" w:hAnsiTheme="minorHAnsi" w:cstheme="minorHAnsi"/>
        </w:rPr>
        <w:t xml:space="preserve"> who wish to recommence treatment following a break of less than 5 years in PBS-subsidised therapy with that agent (Initial 2).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All applications for initial treatment for non-grandfather patients will be limited to provide for a maximum of 16 weeks of treatment of adalimumab, etanercept, ixekizumab and </w:t>
      </w:r>
      <w:proofErr w:type="spellStart"/>
      <w:r w:rsidRPr="007A7E15">
        <w:rPr>
          <w:rFonts w:asciiTheme="minorHAnsi" w:hAnsiTheme="minorHAnsi" w:cstheme="minorHAnsi"/>
        </w:rPr>
        <w:t>secukinumab</w:t>
      </w:r>
      <w:proofErr w:type="spellEnd"/>
      <w:r w:rsidRPr="007A7E15">
        <w:rPr>
          <w:rFonts w:asciiTheme="minorHAnsi" w:hAnsiTheme="minorHAnsi" w:cstheme="minorHAnsi"/>
        </w:rPr>
        <w:t xml:space="preserve">, 22 weeks of treatment of infliximab and 28 weeks of treatment of ustekinumab. </w:t>
      </w:r>
    </w:p>
    <w:p w:rsidR="008D1A9A" w:rsidRPr="007A7E15" w:rsidRDefault="008D1A9A" w:rsidP="008D1A9A">
      <w:pPr>
        <w:pStyle w:val="NormalWeb"/>
        <w:spacing w:line="300" w:lineRule="atLeast"/>
        <w:jc w:val="both"/>
        <w:rPr>
          <w:rFonts w:asciiTheme="minorHAnsi" w:hAnsiTheme="minorHAnsi" w:cstheme="minorHAnsi"/>
        </w:rPr>
      </w:pPr>
      <w:proofErr w:type="gramStart"/>
      <w:r w:rsidRPr="007A7E15">
        <w:rPr>
          <w:rFonts w:asciiTheme="minorHAnsi" w:hAnsiTheme="minorHAnsi" w:cstheme="minorHAnsi"/>
        </w:rPr>
        <w:t>Grandfather patients (ixekizumab only).</w:t>
      </w:r>
      <w:proofErr w:type="gramEnd"/>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Applications for patients who commenced treatment with ixekizumab for chronic plaque psoriasis prior to 1 February 2017 may be made for initial PBS-subsidised treatment as continuing therapy under the relevant initial treatment restriction (Initial 3). These patients access the PBS interchangeability arrangements in the same way as new patients who have not been treated with a biological agent prior to PBS listing of that agent.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Applications for initial PBS-subsidised treatment for grandfather patients will provide for a maximum of 24 weeks of treatment. Approval will be based on the criteria included in the relevant restriction</w:t>
      </w:r>
    </w:p>
    <w:p w:rsidR="008D1A9A" w:rsidRPr="007A7E15" w:rsidRDefault="008D1A9A" w:rsidP="008D1A9A">
      <w:pPr>
        <w:pStyle w:val="NormalWeb"/>
        <w:spacing w:line="300" w:lineRule="atLeast"/>
        <w:jc w:val="both"/>
        <w:rPr>
          <w:rFonts w:asciiTheme="minorHAnsi" w:hAnsiTheme="minorHAnsi" w:cstheme="minorHAnsi"/>
        </w:rPr>
      </w:pPr>
      <w:proofErr w:type="gramStart"/>
      <w:r w:rsidRPr="007A7E15">
        <w:rPr>
          <w:rFonts w:asciiTheme="minorHAnsi" w:hAnsiTheme="minorHAnsi" w:cstheme="minorHAnsi"/>
        </w:rPr>
        <w:t xml:space="preserve">Grandfather patients </w:t>
      </w:r>
      <w:r w:rsidRPr="007A7E15">
        <w:rPr>
          <w:rFonts w:asciiTheme="minorHAnsi" w:hAnsiTheme="minorHAnsi" w:cstheme="minorHAnsi"/>
          <w:highlight w:val="yellow"/>
        </w:rPr>
        <w:t>(</w:t>
      </w:r>
      <w:proofErr w:type="spellStart"/>
      <w:r w:rsidRPr="007A7E15">
        <w:rPr>
          <w:rFonts w:asciiTheme="minorHAnsi" w:hAnsiTheme="minorHAnsi" w:cstheme="minorHAnsi"/>
          <w:highlight w:val="yellow"/>
        </w:rPr>
        <w:t>tildrakizumab</w:t>
      </w:r>
      <w:proofErr w:type="spellEnd"/>
      <w:r w:rsidRPr="007A7E15">
        <w:rPr>
          <w:rFonts w:asciiTheme="minorHAnsi" w:hAnsiTheme="minorHAnsi" w:cstheme="minorHAnsi"/>
          <w:highlight w:val="yellow"/>
        </w:rPr>
        <w:t xml:space="preserve"> only</w:t>
      </w:r>
      <w:r w:rsidRPr="007A7E15">
        <w:rPr>
          <w:rFonts w:asciiTheme="minorHAnsi" w:hAnsiTheme="minorHAnsi" w:cstheme="minorHAnsi"/>
        </w:rPr>
        <w:t>).</w:t>
      </w:r>
      <w:proofErr w:type="gramEnd"/>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Applications for patients who commenced treatment with </w:t>
      </w:r>
      <w:proofErr w:type="spellStart"/>
      <w:r w:rsidRPr="007A7E15">
        <w:rPr>
          <w:rFonts w:asciiTheme="minorHAnsi" w:hAnsiTheme="minorHAnsi" w:cstheme="minorHAnsi"/>
          <w:highlight w:val="yellow"/>
        </w:rPr>
        <w:t>tildrakizumab</w:t>
      </w:r>
      <w:proofErr w:type="spellEnd"/>
      <w:r w:rsidRPr="007A7E15">
        <w:rPr>
          <w:rFonts w:asciiTheme="minorHAnsi" w:hAnsiTheme="minorHAnsi" w:cstheme="minorHAnsi"/>
        </w:rPr>
        <w:t xml:space="preserve"> for chronic plaque psoriasis prior to [listing date] may be made for initial PBS-subsidised treatment as continuing therapy under the relevant initial treatment restriction (grandfather treatment). These patients access the PBS interchangeability arrangements in the same way as new patients who have not been treated with a biological agent prior to PBS listing of that agent.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Applications for initial PBS-subsidised treatment for grandfather patients will provide for a maximum of 28 weeks of treatment. Approval will be based on the criteria included in the relevant restriction.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(2) Assessment of response to initial treatment.</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lastRenderedPageBreak/>
        <w:t xml:space="preserve">When prescribing initial treatment with a biological agent, a PASI assessment must be conducted after at least 12 weeks of treatment. This assessment must be submitted to the Department of Human Services within 1 month of the completion of this initial treatment course. Where a response assessment is not undertaken and submitted to the Department of Human Services within these timeframes, the patient will be deemed to have failed to respond to treatment with that biological agent. In circumstances where it is not possible to submit a response assessment within these timeframes, please call the Department of Human Services on 1800 700 270 to discuss.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The PASI assessment for continuing treatment must be performed on the same affected area as assessed at baseline.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(3) Application for continuing treatment.</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Following the completion of an initial treatment course with a biological agent to which an adequate response has been demonstrated, patients may qualify to receive up to 24 weeks of continuing treatment with that biological agent. Patients are eligible to continue to receive continuous treatment with 24 week courses providing they continue to sustain a response.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For second and subsequent courses of PBS-subsidised treatment with a specific biological agent it is recommended that a patient is reviewed in the month prior to completing their current course of treatment and that where applicable an application is submitted to the Department of Human Services.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Where a response assessment is not submitted to the Department of Human Services where required, patients will be deemed to have failed to sustain a response to treatment with that biological agent.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(4) Swapping therapy.</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Once an authority for initial treatment with the first PBS-subsidised biological agent is approved, patients may swap to an alternate agent within the same Treatment Cycle without having to requalify with respect to disease severity (i.e. a PASI score of greater than 15), or prior treatment requirements.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who are not able to complete a minimum of 12 weeks of an initial treatment course will be deemed to have failed treatment with that agent.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may trial an alternate biological agent at any time, regardless of whether they are receiving therapy with a biological agent at the time of the application or not. However, they cannot swap to a particular agent if they have failed to respond to treatment with that particular agent within the same Cycle.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To ensure patients receive the maximum treatment opportunities allowed under the interchangeability arrangements, it is important that they are assessed for response to every course of treatment.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lastRenderedPageBreak/>
        <w:t xml:space="preserve">To avoid confusion, applications for patients who wish to swap to an alternate biological agent should be accompanied by the prescription or remaining repeats for the agent being ceased.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(5) Baseline measurements to determine response.</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Response to treatment will be determined based on the baseline PASI assessment submitted with the first authority application for a biological agent. However, prescribers may provide new baseline measurements any time that an initial treatment authority is submitted within a Treatment Cycle and subsequent response will be assessed according to this revised PASI score.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To ensure consistency in determining response, the same body area assessed at the baseline PASI assessment must be assessed for demonstration of response to treatment for the purposes of all continuing treatments. </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(6) Recommencement of treatment after a 5-year break in PBS-subsidised therapy.</w:t>
      </w:r>
    </w:p>
    <w:p w:rsidR="008D1A9A" w:rsidRPr="007A7E15" w:rsidRDefault="008D1A9A" w:rsidP="008D1A9A">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who wish to trial a second or subsequent Biological Treatment Cycle, following a break in PBS-subsidised biological therapy of at least 5 years, must requalify for initial treatment according to the criteria of the relevant restriction and index of disease severity. Patients must have had at least 1 prior treatment, as listed in the criteria, for a minimum of 6 weeks, and must have a PASI </w:t>
      </w:r>
    </w:p>
    <w:p w:rsidR="008D1A9A" w:rsidRPr="007A7E15" w:rsidRDefault="008D1A9A" w:rsidP="008D1A9A">
      <w:pPr>
        <w:outlineLvl w:val="1"/>
        <w:rPr>
          <w:rFonts w:asciiTheme="minorHAnsi" w:hAnsiTheme="minorHAnsi" w:cstheme="minorHAnsi"/>
          <w:b/>
        </w:rPr>
      </w:pPr>
      <w:r>
        <w:rPr>
          <w:rFonts w:asciiTheme="minorHAnsi" w:hAnsiTheme="minorHAnsi" w:cstheme="minorHAnsi"/>
          <w:b/>
        </w:rPr>
        <w:t>Restriction 1</w:t>
      </w:r>
    </w:p>
    <w:tbl>
      <w:tblPr>
        <w:tblW w:w="9072" w:type="dxa"/>
        <w:tblInd w:w="108" w:type="dxa"/>
        <w:tblLayout w:type="fixed"/>
        <w:tblLook w:val="0000" w:firstRow="0" w:lastRow="0" w:firstColumn="0" w:lastColumn="0" w:noHBand="0" w:noVBand="0"/>
      </w:tblPr>
      <w:tblGrid>
        <w:gridCol w:w="2977"/>
        <w:gridCol w:w="1134"/>
        <w:gridCol w:w="851"/>
        <w:gridCol w:w="992"/>
        <w:gridCol w:w="1701"/>
        <w:gridCol w:w="1417"/>
      </w:tblGrid>
      <w:tr w:rsidR="008D1A9A" w:rsidRPr="007A7E15" w:rsidTr="00AE3079">
        <w:trPr>
          <w:cantSplit/>
          <w:trHeight w:val="471"/>
        </w:trPr>
        <w:tc>
          <w:tcPr>
            <w:tcW w:w="4111" w:type="dxa"/>
            <w:gridSpan w:val="2"/>
            <w:tcBorders>
              <w:bottom w:val="single" w:sz="4" w:space="0" w:color="auto"/>
            </w:tcBorders>
          </w:tcPr>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Name, Restriction,</w:t>
            </w:r>
          </w:p>
          <w:p w:rsidR="008D1A9A" w:rsidRPr="007A7E15" w:rsidRDefault="008D1A9A" w:rsidP="00AE3079">
            <w:pPr>
              <w:keepNext/>
              <w:ind w:left="-108"/>
              <w:rPr>
                <w:rFonts w:asciiTheme="minorHAnsi" w:hAnsiTheme="minorHAnsi" w:cstheme="minorHAnsi"/>
                <w:lang w:eastAsia="en-AU"/>
              </w:rPr>
            </w:pPr>
          </w:p>
        </w:tc>
        <w:tc>
          <w:tcPr>
            <w:tcW w:w="851" w:type="dxa"/>
            <w:tcBorders>
              <w:bottom w:val="single" w:sz="4" w:space="0" w:color="auto"/>
            </w:tcBorders>
          </w:tcPr>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Max.</w:t>
            </w: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Qty</w:t>
            </w:r>
            <w:r>
              <w:rPr>
                <w:rFonts w:asciiTheme="minorHAnsi" w:hAnsiTheme="minorHAnsi" w:cstheme="minorHAnsi"/>
                <w:lang w:eastAsia="en-AU"/>
              </w:rPr>
              <w:t xml:space="preserve"> (pack)</w:t>
            </w:r>
          </w:p>
        </w:tc>
        <w:tc>
          <w:tcPr>
            <w:tcW w:w="992" w:type="dxa"/>
            <w:tcBorders>
              <w:bottom w:val="single" w:sz="4" w:space="0" w:color="auto"/>
            </w:tcBorders>
          </w:tcPr>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№.of</w:t>
            </w: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Rpts</w:t>
            </w:r>
          </w:p>
        </w:tc>
        <w:tc>
          <w:tcPr>
            <w:tcW w:w="3118" w:type="dxa"/>
            <w:gridSpan w:val="2"/>
            <w:tcBorders>
              <w:bottom w:val="single" w:sz="4" w:space="0" w:color="auto"/>
            </w:tcBorders>
          </w:tcPr>
          <w:p w:rsidR="008D1A9A" w:rsidRPr="007A7E15" w:rsidRDefault="008D1A9A" w:rsidP="00AE3079">
            <w:pPr>
              <w:keepNext/>
              <w:rPr>
                <w:rFonts w:asciiTheme="minorHAnsi" w:hAnsiTheme="minorHAnsi" w:cstheme="minorHAnsi"/>
                <w:lang w:val="fr-FR" w:eastAsia="en-AU"/>
              </w:rPr>
            </w:pPr>
            <w:r w:rsidRPr="007A7E15">
              <w:rPr>
                <w:rFonts w:asciiTheme="minorHAnsi" w:hAnsiTheme="minorHAnsi" w:cstheme="minorHAnsi"/>
                <w:lang w:eastAsia="en-AU"/>
              </w:rPr>
              <w:t>Proprietary Name and Manufacturer</w:t>
            </w:r>
          </w:p>
        </w:tc>
      </w:tr>
      <w:tr w:rsidR="008D1A9A" w:rsidRPr="007A7E15" w:rsidTr="00AE3079">
        <w:trPr>
          <w:cantSplit/>
          <w:trHeight w:val="577"/>
        </w:trPr>
        <w:tc>
          <w:tcPr>
            <w:tcW w:w="4111" w:type="dxa"/>
            <w:gridSpan w:val="2"/>
          </w:tcPr>
          <w:p w:rsidR="008D1A9A" w:rsidRPr="007A7E15" w:rsidRDefault="008D1A9A" w:rsidP="00AE3079">
            <w:pPr>
              <w:keepNext/>
              <w:ind w:left="-108"/>
              <w:rPr>
                <w:rFonts w:asciiTheme="minorHAnsi" w:hAnsiTheme="minorHAnsi" w:cstheme="minorHAnsi"/>
                <w:lang w:eastAsia="en-AU"/>
              </w:rPr>
            </w:pPr>
            <w:proofErr w:type="spellStart"/>
            <w:r w:rsidRPr="007A7E15">
              <w:rPr>
                <w:rFonts w:asciiTheme="minorHAnsi" w:hAnsiTheme="minorHAnsi" w:cstheme="minorHAnsi"/>
                <w:smallCaps/>
                <w:lang w:eastAsia="en-AU"/>
              </w:rPr>
              <w:t>tildrakizumab</w:t>
            </w:r>
            <w:proofErr w:type="spellEnd"/>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100mg in 1 mL single use pre-filled syringes, 2 pack</w:t>
            </w:r>
          </w:p>
          <w:p w:rsidR="008D1A9A" w:rsidRPr="007A7E15" w:rsidRDefault="008D1A9A" w:rsidP="00AE3079">
            <w:pPr>
              <w:keepNext/>
              <w:ind w:left="-108"/>
              <w:rPr>
                <w:rFonts w:asciiTheme="minorHAnsi" w:hAnsiTheme="minorHAnsi" w:cstheme="minorHAnsi"/>
                <w:lang w:eastAsia="en-AU"/>
              </w:rPr>
            </w:pPr>
          </w:p>
        </w:tc>
        <w:tc>
          <w:tcPr>
            <w:tcW w:w="851" w:type="dxa"/>
          </w:tcPr>
          <w:p w:rsidR="008D1A9A" w:rsidRPr="007A7E15" w:rsidRDefault="008D1A9A" w:rsidP="00AE3079">
            <w:pPr>
              <w:keepNext/>
              <w:ind w:left="-108"/>
              <w:rPr>
                <w:rFonts w:asciiTheme="minorHAnsi" w:hAnsiTheme="minorHAnsi" w:cstheme="minorHAnsi"/>
                <w:lang w:eastAsia="en-AU"/>
              </w:rPr>
            </w:pP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1</w:t>
            </w:r>
          </w:p>
        </w:tc>
        <w:tc>
          <w:tcPr>
            <w:tcW w:w="992" w:type="dxa"/>
          </w:tcPr>
          <w:p w:rsidR="008D1A9A" w:rsidRPr="007A7E15" w:rsidRDefault="008D1A9A" w:rsidP="00AE3079">
            <w:pPr>
              <w:keepNext/>
              <w:ind w:left="-108"/>
              <w:rPr>
                <w:rFonts w:asciiTheme="minorHAnsi" w:hAnsiTheme="minorHAnsi" w:cstheme="minorHAnsi"/>
                <w:lang w:eastAsia="en-AU"/>
              </w:rPr>
            </w:pP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2</w:t>
            </w:r>
          </w:p>
        </w:tc>
        <w:tc>
          <w:tcPr>
            <w:tcW w:w="1701" w:type="dxa"/>
          </w:tcPr>
          <w:p w:rsidR="008D1A9A" w:rsidRPr="007A7E15" w:rsidRDefault="008D1A9A" w:rsidP="00AE3079">
            <w:pPr>
              <w:keepNext/>
              <w:rPr>
                <w:rFonts w:asciiTheme="minorHAnsi" w:hAnsiTheme="minorHAnsi" w:cstheme="minorHAnsi"/>
                <w:b/>
                <w:lang w:eastAsia="en-AU"/>
              </w:rPr>
            </w:pPr>
            <w:proofErr w:type="spellStart"/>
            <w:r w:rsidRPr="007A7E15">
              <w:rPr>
                <w:rFonts w:asciiTheme="minorHAnsi" w:hAnsiTheme="minorHAnsi" w:cstheme="minorHAnsi"/>
                <w:b/>
                <w:lang w:eastAsia="en-AU"/>
              </w:rPr>
              <w:t>Ilumya</w:t>
            </w:r>
            <w:proofErr w:type="spellEnd"/>
          </w:p>
        </w:tc>
        <w:tc>
          <w:tcPr>
            <w:tcW w:w="1417" w:type="dxa"/>
          </w:tcPr>
          <w:p w:rsidR="008D1A9A" w:rsidRPr="007A7E15" w:rsidRDefault="008D1A9A" w:rsidP="00AE3079">
            <w:pPr>
              <w:keepNext/>
              <w:rPr>
                <w:rFonts w:asciiTheme="minorHAnsi" w:hAnsiTheme="minorHAnsi" w:cstheme="minorHAnsi"/>
                <w:lang w:eastAsia="en-AU"/>
              </w:rPr>
            </w:pPr>
            <w:r w:rsidRPr="007A7E15">
              <w:rPr>
                <w:rFonts w:asciiTheme="minorHAnsi" w:hAnsiTheme="minorHAnsi" w:cstheme="minorHAnsi"/>
                <w:lang w:eastAsia="en-AU"/>
              </w:rPr>
              <w:t>Sun Pharma ANZ Pty Ltd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Episodicity:</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N/A</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b/>
                <w:lang w:eastAsia="en-AU"/>
              </w:rPr>
              <w:t>Initial 1, Whole body</w:t>
            </w:r>
            <w:r w:rsidRPr="007A7E15">
              <w:rPr>
                <w:rFonts w:asciiTheme="minorHAnsi" w:hAnsiTheme="minorHAnsi" w:cstheme="minorHAnsi"/>
                <w:lang w:eastAsia="en-AU"/>
              </w:rPr>
              <w:t xml:space="preserve"> (new patient (no prior biological agent) or patient recommencing treatment after a break of 5 years or more)</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Restriction:</w:t>
            </w: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3"/>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p>
          <w:p w:rsidR="008D1A9A" w:rsidRPr="00A528EF" w:rsidRDefault="008D1A9A" w:rsidP="00A528EF">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severe chronic plaque psoriasis where the plaque or plaques have been present for at least 6 months from the time of initial diagnosis,</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not have received any prior PBS-subsidised treatment with a biological agent for this condition; OR</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not have received PBS-subsidised treatment with a biological agent for at least 5 years, if they have previously received PBS-subsidised treatment with a biological agent for this condition and wish to commence a new Treatment Cycle,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failed to achieve an adequate response, as demonstrated by a Psoriasis Area and Severity Index (PASI) assessment, to at least 3 of the following 4 treatments: (</w:t>
            </w:r>
            <w:proofErr w:type="spellStart"/>
            <w:r w:rsidRPr="007A7E15">
              <w:rPr>
                <w:rFonts w:asciiTheme="minorHAnsi" w:hAnsiTheme="minorHAnsi" w:cstheme="minorHAnsi"/>
                <w:lang w:eastAsia="en-AU"/>
              </w:rPr>
              <w:t>i</w:t>
            </w:r>
            <w:proofErr w:type="spellEnd"/>
            <w:r w:rsidRPr="007A7E15">
              <w:rPr>
                <w:rFonts w:asciiTheme="minorHAnsi" w:hAnsiTheme="minorHAnsi" w:cstheme="minorHAnsi"/>
                <w:lang w:eastAsia="en-AU"/>
              </w:rPr>
              <w:t>)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(whole body),</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treatment must be as systemic monotherapy (other than methotrexate),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not receive more than 28 weeks of treatment under this restriction.</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Population criteria:</w:t>
            </w: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Prescriber Instructions</w:t>
            </w: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For the purposes of this restriction 'biological agent' means adalimumab, etanercept, infliximab, ixekizumab, </w:t>
            </w:r>
            <w:proofErr w:type="spellStart"/>
            <w:r w:rsidRPr="007A7E15">
              <w:rPr>
                <w:rFonts w:asciiTheme="minorHAnsi" w:hAnsiTheme="minorHAnsi" w:cstheme="minorHAnsi"/>
                <w:lang w:eastAsia="en-AU"/>
              </w:rPr>
              <w:t>secukinumab</w:t>
            </w:r>
            <w:proofErr w:type="spellEnd"/>
            <w:r>
              <w:rPr>
                <w:rFonts w:asciiTheme="minorHAnsi" w:hAnsiTheme="minorHAnsi" w:cstheme="minorHAnsi"/>
                <w:lang w:eastAsia="en-AU"/>
              </w:rPr>
              <w:t xml:space="preserve">, </w:t>
            </w:r>
            <w:proofErr w:type="spellStart"/>
            <w:r w:rsidRPr="008D1A9A">
              <w:rPr>
                <w:rFonts w:asciiTheme="minorHAnsi" w:hAnsiTheme="minorHAnsi" w:cstheme="minorHAnsi"/>
                <w:highlight w:val="yellow"/>
                <w:lang w:eastAsia="en-AU"/>
              </w:rPr>
              <w:t>tildrakizumab</w:t>
            </w:r>
            <w:proofErr w:type="spellEnd"/>
            <w:r w:rsidRPr="007A7E15">
              <w:rPr>
                <w:rFonts w:asciiTheme="minorHAnsi" w:hAnsiTheme="minorHAnsi" w:cstheme="minorHAnsi"/>
                <w:lang w:eastAsia="en-AU"/>
              </w:rPr>
              <w:t xml:space="preserve"> or ustekinumab.</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Where treatment with methotrexate, cyclosporin or acitretin is contraindicated according to the relevant TGA-approved Product Information, or where phototherapy is contraindicated, details must be provided at the time of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following criterion indicates failure to achieve an adequate response to prior treatment and must be demonstrated in the patient at the time of the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 A current Psoriasis Area and Severity Index (PASI) score of greater than 15, as assessed, preferably whilst still on treatment, but no longer than 1 month following cessation of the most recent prior treatment.</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(b) A PASI assessment must be completed for each prior treatment course, preferably whilst still on treatment, but no longer than 1 month following cessation of each course of treatment.</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t>
            </w:r>
            <w:proofErr w:type="gramStart"/>
            <w:r w:rsidRPr="007A7E15">
              <w:rPr>
                <w:rFonts w:asciiTheme="minorHAnsi" w:hAnsiTheme="minorHAnsi" w:cstheme="minorHAnsi"/>
                <w:lang w:eastAsia="en-AU"/>
              </w:rPr>
              <w:t>c</w:t>
            </w:r>
            <w:proofErr w:type="gramEnd"/>
            <w:r w:rsidRPr="007A7E15">
              <w:rPr>
                <w:rFonts w:asciiTheme="minorHAnsi" w:hAnsiTheme="minorHAnsi" w:cstheme="minorHAnsi"/>
                <w:lang w:eastAsia="en-AU"/>
              </w:rPr>
              <w:t>) The most recent PASI assessment must be no more than 1 month old at the time of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authority application must be made in writing and must include: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 a completed authority prescription form;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(b) a completed Severe Chronic Plaque Psoriasis PBS Authority Application - Supporting Information Form which </w:t>
            </w:r>
            <w:r w:rsidRPr="007A7E15">
              <w:rPr>
                <w:rFonts w:asciiTheme="minorHAnsi" w:hAnsiTheme="minorHAnsi" w:cstheme="minorHAnsi"/>
                <w:lang w:eastAsia="en-AU"/>
              </w:rPr>
              <w:lastRenderedPageBreak/>
              <w:t>includes the following:</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t>
            </w:r>
            <w:proofErr w:type="spellStart"/>
            <w:r w:rsidRPr="007A7E15">
              <w:rPr>
                <w:rFonts w:asciiTheme="minorHAnsi" w:hAnsiTheme="minorHAnsi" w:cstheme="minorHAnsi"/>
                <w:lang w:eastAsia="en-AU"/>
              </w:rPr>
              <w:t>i</w:t>
            </w:r>
            <w:proofErr w:type="spellEnd"/>
            <w:r w:rsidRPr="007A7E15">
              <w:rPr>
                <w:rFonts w:asciiTheme="minorHAnsi" w:hAnsiTheme="minorHAnsi" w:cstheme="minorHAnsi"/>
                <w:lang w:eastAsia="en-AU"/>
              </w:rPr>
              <w:t>) the completed current and previous Psoriasis Area and Severity Index (PASI) calculation sheets including the dates of assessment of the patient's condition;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(ii) details of previous phototherapy and systemic drug therapy [dosage (where applicable), date of commencement and duration of therapy];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(iii) </w:t>
            </w:r>
            <w:proofErr w:type="gramStart"/>
            <w:r w:rsidRPr="007A7E15">
              <w:rPr>
                <w:rFonts w:asciiTheme="minorHAnsi" w:hAnsiTheme="minorHAnsi" w:cstheme="minorHAnsi"/>
                <w:lang w:eastAsia="en-AU"/>
              </w:rPr>
              <w:t>the</w:t>
            </w:r>
            <w:proofErr w:type="gramEnd"/>
            <w:r w:rsidRPr="007A7E15">
              <w:rPr>
                <w:rFonts w:asciiTheme="minorHAnsi" w:hAnsiTheme="minorHAnsi" w:cstheme="minorHAnsi"/>
                <w:lang w:eastAsia="en-AU"/>
              </w:rPr>
              <w:t xml:space="preserve"> signed patient and prescriber acknowledgements.</w:t>
            </w:r>
          </w:p>
          <w:p w:rsidR="008D1A9A" w:rsidRPr="007A7E15" w:rsidRDefault="008D1A9A" w:rsidP="00AE3079">
            <w:pPr>
              <w:rPr>
                <w:rFonts w:asciiTheme="minorHAnsi" w:hAnsiTheme="minorHAnsi" w:cstheme="minorHAnsi"/>
                <w:lang w:eastAsia="en-AU"/>
              </w:rPr>
            </w:pP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Administrative Advice</w:t>
            </w:r>
          </w:p>
          <w:p w:rsidR="008D1A9A" w:rsidRPr="007A7E15" w:rsidRDefault="008D1A9A" w:rsidP="00AE3079">
            <w:pPr>
              <w:rPr>
                <w:rFonts w:asciiTheme="minorHAnsi" w:hAnsiTheme="minorHAnsi" w:cstheme="minorHAnsi"/>
                <w:i/>
                <w:lang w:eastAsia="en-AU"/>
              </w:rPr>
            </w:pP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No increase in the maximum number of repeats may be authorised</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Details of the toxicities, including severity, which will be accepted as a reason for exempting a patient from the requirement for 6 weeks treatment with phototherapy, methotrexate, cyclosporin or acitretin can be found on the Department of Human Services website (</w:t>
            </w:r>
            <w:r w:rsidRPr="007A7E15">
              <w:rPr>
                <w:rFonts w:asciiTheme="minorHAnsi" w:hAnsiTheme="minorHAnsi" w:cstheme="minorHAnsi"/>
                <w:color w:val="0000FF" w:themeColor="hyperlink"/>
                <w:u w:val="single"/>
                <w:lang w:eastAsia="en-AU"/>
              </w:rPr>
              <w:t>www.humanservices.gov.au</w:t>
            </w:r>
            <w:r w:rsidRPr="007A7E15">
              <w:rPr>
                <w:rFonts w:asciiTheme="minorHAnsi" w:hAnsiTheme="minorHAnsi" w:cstheme="minorHAnsi"/>
                <w:lang w:eastAsia="en-AU"/>
              </w:rPr>
              <w:t>)</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In circumstances where it is not possible to submit a response assessment within these timeframes, please call the Department of Human Services on 1800 700 270 to discuss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 xml:space="preserve">It is recommended that an application is posted to the Department of Human Services no later than 2 weeks prior to the patient completing their current treatment course to </w:t>
            </w:r>
            <w:r w:rsidRPr="007A7E15">
              <w:rPr>
                <w:rFonts w:asciiTheme="minorHAnsi" w:hAnsiTheme="minorHAnsi" w:cstheme="minorHAnsi"/>
                <w:lang w:eastAsia="en-AU"/>
              </w:rPr>
              <w:lastRenderedPageBreak/>
              <w:t>ensure continuity of treatment for those patients who meet the continuation criterion for PBS-subsidised treatment with this drug.</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Any queries concerning the arrangements to prescribe may be directed to the Department of Human Services on 1800 700 270 (hours of operation 8 a.m. to 5 p.m. EST Monday to Friday).</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Applications for authority to prescribe should be forwarded to:</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Department of Human Services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Complex Drugs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Reply Paid 9826</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HOBART TAS 7001</w:t>
            </w:r>
          </w:p>
        </w:tc>
      </w:tr>
    </w:tbl>
    <w:p w:rsidR="008D1A9A" w:rsidRPr="007A7E15" w:rsidRDefault="008D1A9A" w:rsidP="008D1A9A">
      <w:pPr>
        <w:rPr>
          <w:rFonts w:asciiTheme="minorHAnsi" w:hAnsiTheme="minorHAnsi" w:cstheme="minorHAnsi"/>
          <w:lang w:eastAsia="en-AU"/>
        </w:rPr>
      </w:pPr>
    </w:p>
    <w:p w:rsidR="008D1A9A" w:rsidRPr="00306C0E" w:rsidRDefault="008D1A9A" w:rsidP="008D1A9A">
      <w:pPr>
        <w:outlineLvl w:val="1"/>
        <w:rPr>
          <w:rFonts w:asciiTheme="minorHAnsi" w:hAnsiTheme="minorHAnsi" w:cstheme="minorHAnsi"/>
          <w:b/>
        </w:rPr>
      </w:pPr>
      <w:r w:rsidRPr="00306C0E">
        <w:rPr>
          <w:rFonts w:asciiTheme="minorHAnsi" w:hAnsiTheme="minorHAnsi" w:cstheme="minorHAnsi"/>
          <w:b/>
        </w:rPr>
        <w:t>Restriction 2</w:t>
      </w:r>
    </w:p>
    <w:p w:rsidR="008D1A9A" w:rsidRPr="007A7E15" w:rsidRDefault="008D1A9A" w:rsidP="008D1A9A">
      <w:pPr>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2977"/>
        <w:gridCol w:w="6095"/>
      </w:tblGrid>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Episodicity: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N/A</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b/>
                <w:lang w:eastAsia="en-AU"/>
              </w:rPr>
              <w:t xml:space="preserve">Initial 2, </w:t>
            </w:r>
            <w:r w:rsidRPr="007A7E15">
              <w:rPr>
                <w:rFonts w:asciiTheme="minorHAnsi" w:hAnsiTheme="minorHAnsi" w:cstheme="minorHAnsi"/>
                <w:b/>
              </w:rPr>
              <w:t>Whole body</w:t>
            </w:r>
            <w:r w:rsidRPr="007A7E15">
              <w:rPr>
                <w:rFonts w:asciiTheme="minorHAnsi" w:hAnsiTheme="minorHAnsi" w:cstheme="minorHAnsi"/>
              </w:rPr>
              <w:t xml:space="preserve"> (change or recommencement of treatment after a break of less than 5 years)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Restriction:</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3"/>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Patient must have a documented history of severe chronic plaque psoriasis,</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received prior PBS-subsidised treatment with a biological agent for this condition in this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not have already failed, or ceased to respond to, PBS-subsidised treatment with 3 biological agents for this condition within this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not have failed, or ceased to respond to, PBS-subsidised therapy with this drug for the treatment of this condition in the current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treatment must be as systemic monotherapy (other than methotrexate),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Patient must not receive more than 28 weeks of treatment under this restriction.</w:t>
            </w:r>
          </w:p>
          <w:p w:rsidR="008D1A9A" w:rsidRPr="007A7E15" w:rsidRDefault="008D1A9A" w:rsidP="00AE3079">
            <w:pPr>
              <w:rPr>
                <w:rFonts w:asciiTheme="minorHAnsi" w:hAnsiTheme="minorHAnsi" w:cstheme="minorHAnsi"/>
                <w:lang w:eastAsia="en-AU"/>
              </w:rPr>
            </w:pP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Population criteria:</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Prescriber Instructions</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For the purposes of this restriction 'biological agent' means adalimumab, etanercept, infliximab, ixekizumab, </w:t>
            </w:r>
            <w:proofErr w:type="spellStart"/>
            <w:r w:rsidRPr="007A7E15">
              <w:rPr>
                <w:rFonts w:asciiTheme="minorHAnsi" w:hAnsiTheme="minorHAnsi" w:cstheme="minorHAnsi"/>
              </w:rPr>
              <w:t>secukinumab</w:t>
            </w:r>
            <w:proofErr w:type="spellEnd"/>
            <w:r>
              <w:rPr>
                <w:rFonts w:asciiTheme="minorHAnsi" w:hAnsiTheme="minorHAnsi" w:cstheme="minorHAnsi"/>
              </w:rPr>
              <w:t>,</w:t>
            </w:r>
            <w:r w:rsidRPr="007A7E15">
              <w:rPr>
                <w:rFonts w:asciiTheme="minorHAnsi" w:hAnsiTheme="minorHAnsi" w:cstheme="minorHAnsi"/>
              </w:rPr>
              <w:t xml:space="preserve"> </w:t>
            </w:r>
            <w:proofErr w:type="spellStart"/>
            <w:r w:rsidRPr="008D1A9A">
              <w:rPr>
                <w:rFonts w:asciiTheme="minorHAnsi" w:hAnsiTheme="minorHAnsi" w:cstheme="minorHAnsi"/>
                <w:highlight w:val="yellow"/>
                <w:lang w:eastAsia="en-AU"/>
              </w:rPr>
              <w:t>tildrakizumab</w:t>
            </w:r>
            <w:proofErr w:type="spellEnd"/>
            <w:r w:rsidRPr="007A7E15">
              <w:rPr>
                <w:rFonts w:asciiTheme="minorHAnsi" w:hAnsiTheme="minorHAnsi" w:cstheme="minorHAnsi"/>
                <w:lang w:eastAsia="en-AU"/>
              </w:rPr>
              <w:t xml:space="preserve"> or</w:t>
            </w:r>
            <w:r w:rsidRPr="007A7E15">
              <w:rPr>
                <w:rFonts w:asciiTheme="minorHAnsi" w:hAnsiTheme="minorHAnsi" w:cstheme="minorHAnsi"/>
              </w:rPr>
              <w:t xml:space="preserve"> ustekinumab.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authority application must be made in writing and must include: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(a) a completed authority prescription form; 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(b) a completed Severe Chronic Plaque Psoriasis PBS Authority Application - Supporting Information Form which includes the following: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the completed current Psoriasis Area and Severity Index (PASI) calculation sheets including the dates of assessment </w:t>
            </w:r>
            <w:r w:rsidRPr="007A7E15">
              <w:rPr>
                <w:rFonts w:asciiTheme="minorHAnsi" w:hAnsiTheme="minorHAnsi" w:cstheme="minorHAnsi"/>
              </w:rPr>
              <w:lastRenderedPageBreak/>
              <w:t xml:space="preserve">of the patient's condition; and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(ii) </w:t>
            </w:r>
            <w:proofErr w:type="gramStart"/>
            <w:r w:rsidRPr="007A7E15">
              <w:rPr>
                <w:rFonts w:asciiTheme="minorHAnsi" w:hAnsiTheme="minorHAnsi" w:cstheme="minorHAnsi"/>
              </w:rPr>
              <w:t>details</w:t>
            </w:r>
            <w:proofErr w:type="gramEnd"/>
            <w:r w:rsidRPr="007A7E15">
              <w:rPr>
                <w:rFonts w:asciiTheme="minorHAnsi" w:hAnsiTheme="minorHAnsi" w:cstheme="minorHAnsi"/>
              </w:rPr>
              <w:t xml:space="preserve"> of prior biological treatment, including dosage, date and duration of treatment.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At the time of the authority application, medical practitioners should request the appropriate number of vials, based on the weight of the patient, to provide sufficient for a single injection. Up to a maximum of 2 repeats will be authorised.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Applications for patients who have demonstrated a response to PBS-subsidised treatment with this drug within this Treatment Cycle and who wish to recommence treatment with this drug within the same Cycle following a break in therapy, will only be approved where evidence of the patient's response to their most recent course of PBS-subsidised treatment with this drug has been submitted within 1 month of cessation of treatment.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An adequate response to treatment is defined as:</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 Psoriasis Area and Severity Index (PASI) score which is reduced by 75% or more, or is sustained at this level, when compared with the </w:t>
            </w:r>
            <w:proofErr w:type="spellStart"/>
            <w:r w:rsidRPr="007A7E15">
              <w:rPr>
                <w:rFonts w:asciiTheme="minorHAnsi" w:hAnsiTheme="minorHAnsi" w:cstheme="minorHAnsi"/>
              </w:rPr>
              <w:t>prebiological</w:t>
            </w:r>
            <w:proofErr w:type="spellEnd"/>
            <w:r w:rsidRPr="007A7E15">
              <w:rPr>
                <w:rFonts w:asciiTheme="minorHAnsi" w:hAnsiTheme="minorHAnsi" w:cstheme="minorHAnsi"/>
              </w:rPr>
              <w:t xml:space="preserve"> treatment baseline value for this Treatment Cycle. </w:t>
            </w:r>
          </w:p>
          <w:p w:rsidR="008D1A9A" w:rsidRPr="007A7E15" w:rsidRDefault="008D1A9A" w:rsidP="00AE3079">
            <w:pPr>
              <w:rPr>
                <w:rFonts w:asciiTheme="minorHAnsi" w:hAnsiTheme="minorHAnsi" w:cstheme="minorHAnsi"/>
                <w:lang w:eastAsia="en-AU"/>
              </w:rPr>
            </w:pP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Administrative Advice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A17F95" w:rsidRDefault="008D1A9A" w:rsidP="00AE3079">
            <w:pPr>
              <w:pStyle w:val="NormalWeb"/>
              <w:spacing w:line="300" w:lineRule="atLeast"/>
              <w:jc w:val="both"/>
              <w:rPr>
                <w:rFonts w:asciiTheme="minorHAnsi" w:hAnsiTheme="minorHAnsi" w:cstheme="minorHAnsi"/>
              </w:rPr>
            </w:pPr>
            <w:r w:rsidRPr="00A17F95">
              <w:rPr>
                <w:rFonts w:asciiTheme="minorHAnsi" w:hAnsiTheme="minorHAnsi" w:cstheme="minorHAnsi"/>
              </w:rPr>
              <w:t>No increase in the maximum number of repeats may be authorised.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In circumstances where it is not possible to submit a response assessment within these timeframes, please call the Department of Human Services on 1800 700 270 to </w:t>
            </w:r>
            <w:r w:rsidRPr="007A7E15">
              <w:rPr>
                <w:rFonts w:asciiTheme="minorHAnsi" w:hAnsiTheme="minorHAnsi" w:cstheme="minorHAnsi"/>
              </w:rPr>
              <w:lastRenderedPageBreak/>
              <w:t xml:space="preserve">discuss.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 </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Any queries concerning the arrangements to prescribe may be directed to the Department of Human Services on 1800 700 270 (hours of operation 8 a.m. to 5 p.m. EST Monday to Friday).</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Applications for authority to prescribe should be forwarded to:</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Department of Human Services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Complex Drugs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Reply Paid 9826</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HOBART TAS 7001</w:t>
            </w:r>
          </w:p>
        </w:tc>
      </w:tr>
    </w:tbl>
    <w:p w:rsidR="008D1A9A" w:rsidRPr="00306C0E" w:rsidRDefault="008D1A9A" w:rsidP="008D1A9A">
      <w:pPr>
        <w:outlineLvl w:val="1"/>
        <w:rPr>
          <w:rFonts w:asciiTheme="minorHAnsi" w:hAnsiTheme="minorHAnsi" w:cstheme="minorHAnsi"/>
          <w:b/>
        </w:rPr>
      </w:pPr>
      <w:r w:rsidRPr="00306C0E">
        <w:rPr>
          <w:rFonts w:asciiTheme="minorHAnsi" w:hAnsiTheme="minorHAnsi" w:cstheme="minorHAnsi"/>
          <w:b/>
        </w:rPr>
        <w:lastRenderedPageBreak/>
        <w:t>Restriction 3</w:t>
      </w:r>
    </w:p>
    <w:tbl>
      <w:tblPr>
        <w:tblW w:w="9072" w:type="dxa"/>
        <w:tblInd w:w="108" w:type="dxa"/>
        <w:tblLayout w:type="fixed"/>
        <w:tblLook w:val="0000" w:firstRow="0" w:lastRow="0" w:firstColumn="0" w:lastColumn="0" w:noHBand="0" w:noVBand="0"/>
      </w:tblPr>
      <w:tblGrid>
        <w:gridCol w:w="2977"/>
        <w:gridCol w:w="6095"/>
      </w:tblGrid>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Episodicity: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N/A</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Treatment phase: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b/>
                <w:lang w:eastAsia="en-AU"/>
              </w:rPr>
              <w:t>Initial 1, Face, hand, foot</w:t>
            </w:r>
            <w:r w:rsidRPr="007A7E15">
              <w:rPr>
                <w:rFonts w:asciiTheme="minorHAnsi" w:hAnsiTheme="minorHAnsi" w:cstheme="minorHAnsi"/>
                <w:lang w:eastAsia="en-AU"/>
              </w:rPr>
              <w:t xml:space="preserve"> (new patient (no prior biological agent) or patient recommencing treatment after a break of 5 years or more)</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Restriction:</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3"/>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severe chronic plaque psoriasis of the face, or palm of a hand or sole of a foot where the plaque or plaques have been present for at least 6 months from the time of initial diagnosis,</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not have received any prior PBS-subsidised treatment with a biological agent for this condition; OR</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not have received PBS-subsidised treatment with a biological agent for at least 5 years, if they have previously received PBS-subsidised treatment with a biological agent for this condition and wish to commence a new Treatment Cycle,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failed to achieve an adequate response, as demonstrated by a Psoriasis Area and Severity Index (PASI) assessment, to at least 3 of the following 4 treatments: (</w:t>
            </w:r>
            <w:proofErr w:type="spellStart"/>
            <w:r w:rsidRPr="007A7E15">
              <w:rPr>
                <w:rFonts w:asciiTheme="minorHAnsi" w:hAnsiTheme="minorHAnsi" w:cstheme="minorHAnsi"/>
                <w:lang w:eastAsia="en-AU"/>
              </w:rPr>
              <w:t>i</w:t>
            </w:r>
            <w:proofErr w:type="spellEnd"/>
            <w:r w:rsidRPr="007A7E15">
              <w:rPr>
                <w:rFonts w:asciiTheme="minorHAnsi" w:hAnsiTheme="minorHAnsi" w:cstheme="minorHAnsi"/>
                <w:lang w:eastAsia="en-AU"/>
              </w:rPr>
              <w:t>)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(face, hand, foot),</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treatment must be as systemic monotherapy (other than methotrexate),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not receive more than 28 weeks of treatment under this restriction.</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Population criteria:</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Prescriber Instructions</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For the purposes of this restriction 'biological agent' means adalimumab, etanercept, infliximab, ixekizumab, </w:t>
            </w:r>
            <w:proofErr w:type="spellStart"/>
            <w:r w:rsidRPr="007A7E15">
              <w:rPr>
                <w:rFonts w:asciiTheme="minorHAnsi" w:hAnsiTheme="minorHAnsi" w:cstheme="minorHAnsi"/>
                <w:lang w:eastAsia="en-AU"/>
              </w:rPr>
              <w:t>secukinumab</w:t>
            </w:r>
            <w:proofErr w:type="spellEnd"/>
            <w:r>
              <w:rPr>
                <w:rFonts w:asciiTheme="minorHAnsi" w:hAnsiTheme="minorHAnsi" w:cstheme="minorHAnsi"/>
                <w:lang w:eastAsia="en-AU"/>
              </w:rPr>
              <w:t xml:space="preserve">, </w:t>
            </w:r>
            <w:proofErr w:type="spellStart"/>
            <w:r w:rsidRPr="008D1A9A">
              <w:rPr>
                <w:rFonts w:asciiTheme="minorHAnsi" w:hAnsiTheme="minorHAnsi" w:cstheme="minorHAnsi"/>
                <w:highlight w:val="yellow"/>
                <w:lang w:eastAsia="en-AU"/>
              </w:rPr>
              <w:t>tildrakizumab</w:t>
            </w:r>
            <w:proofErr w:type="spellEnd"/>
            <w:r w:rsidRPr="007A7E15">
              <w:rPr>
                <w:rFonts w:asciiTheme="minorHAnsi" w:hAnsiTheme="minorHAnsi" w:cstheme="minorHAnsi"/>
                <w:lang w:eastAsia="en-AU"/>
              </w:rPr>
              <w:t xml:space="preserve"> or ustekinumab.</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Where treatment with methotrexate, cyclosporin or acitretin is contraindicated according to the relevant TGA-approved Product Information, or where phototherapy is contraindicated, details must be provided at the time of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following criterion indicates failure to achieve an adequate response to prior treatment and must be demonstrated in the patient at the time of the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(a) Chronic plaque psoriasis classified as severe due to a plaque or plaques on the face, palm of a hand or sole of a foot where: </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t>
            </w:r>
            <w:proofErr w:type="spellStart"/>
            <w:r w:rsidRPr="007A7E15">
              <w:rPr>
                <w:rFonts w:asciiTheme="minorHAnsi" w:hAnsiTheme="minorHAnsi" w:cstheme="minorHAnsi"/>
                <w:lang w:eastAsia="en-AU"/>
              </w:rPr>
              <w:t>i</w:t>
            </w:r>
            <w:proofErr w:type="spellEnd"/>
            <w:r w:rsidRPr="007A7E15">
              <w:rPr>
                <w:rFonts w:asciiTheme="minorHAnsi" w:hAnsiTheme="minorHAnsi" w:cstheme="minorHAnsi"/>
                <w:lang w:eastAsia="en-AU"/>
              </w:rPr>
              <w:t xml:space="preserve">) at least 2 of the 3 Psoriasis Area and Severity Index (PASI) symptom </w:t>
            </w:r>
            <w:proofErr w:type="spellStart"/>
            <w:r w:rsidRPr="007A7E15">
              <w:rPr>
                <w:rFonts w:asciiTheme="minorHAnsi" w:hAnsiTheme="minorHAnsi" w:cstheme="minorHAnsi"/>
                <w:lang w:eastAsia="en-AU"/>
              </w:rPr>
              <w:t>subscores</w:t>
            </w:r>
            <w:proofErr w:type="spellEnd"/>
            <w:r w:rsidRPr="007A7E15">
              <w:rPr>
                <w:rFonts w:asciiTheme="minorHAnsi" w:hAnsiTheme="minorHAnsi" w:cstheme="minorHAnsi"/>
                <w:lang w:eastAsia="en-AU"/>
              </w:rPr>
              <w:t xml:space="preserve"> for erythema, thickness and scaling are rated as severe or very severe, as assessed, preferably whilst still on treatment, but no longer than 1 month following cessation of the most recent prior treatment; or </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(ii) the skin area affected is 30% or more of the face, palm of a hand or sole of a foot, as assessed, preferably whilst still on treatment, but no longer than 1 month following cessation of the most recent prior treatment;</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(b) A PASI assessment must be completed for each prior treatment course, preferably whilst still on treatment, but no longer than 1 month following cessation of each course of treatment.</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lastRenderedPageBreak/>
              <w:t>(</w:t>
            </w:r>
            <w:proofErr w:type="gramStart"/>
            <w:r w:rsidRPr="007A7E15">
              <w:rPr>
                <w:rFonts w:asciiTheme="minorHAnsi" w:hAnsiTheme="minorHAnsi" w:cstheme="minorHAnsi"/>
                <w:lang w:eastAsia="en-AU"/>
              </w:rPr>
              <w:t>c</w:t>
            </w:r>
            <w:proofErr w:type="gramEnd"/>
            <w:r w:rsidRPr="007A7E15">
              <w:rPr>
                <w:rFonts w:asciiTheme="minorHAnsi" w:hAnsiTheme="minorHAnsi" w:cstheme="minorHAnsi"/>
                <w:lang w:eastAsia="en-AU"/>
              </w:rPr>
              <w:t>) The most recent PASI assessment must be no more than 1 month old at the time of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authority application must be made in writing and must include: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 a completed authority prescription form;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(b) a completed Severe Chronic Plaque Psoriasis PBS Authority Application - Supporting Information Form which includes the following:</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t>
            </w:r>
            <w:proofErr w:type="spellStart"/>
            <w:r w:rsidRPr="007A7E15">
              <w:rPr>
                <w:rFonts w:asciiTheme="minorHAnsi" w:hAnsiTheme="minorHAnsi" w:cstheme="minorHAnsi"/>
                <w:lang w:eastAsia="en-AU"/>
              </w:rPr>
              <w:t>i</w:t>
            </w:r>
            <w:proofErr w:type="spellEnd"/>
            <w:r w:rsidRPr="007A7E15">
              <w:rPr>
                <w:rFonts w:asciiTheme="minorHAnsi" w:hAnsiTheme="minorHAnsi" w:cstheme="minorHAnsi"/>
                <w:lang w:eastAsia="en-AU"/>
              </w:rPr>
              <w:t>) the completed current and previous Psoriasis Area and Severity Index (PASI) calculation sheets and face, hand, foot area diagrams including the dates of assessment of the patient's condition;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(ii) details of previous phototherapy and systemic drug therapy [dosage (where applicable), date of commencement and duration of therapy];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(iii) </w:t>
            </w:r>
            <w:proofErr w:type="gramStart"/>
            <w:r w:rsidRPr="007A7E15">
              <w:rPr>
                <w:rFonts w:asciiTheme="minorHAnsi" w:hAnsiTheme="minorHAnsi" w:cstheme="minorHAnsi"/>
                <w:lang w:eastAsia="en-AU"/>
              </w:rPr>
              <w:t>the</w:t>
            </w:r>
            <w:proofErr w:type="gramEnd"/>
            <w:r w:rsidRPr="007A7E15">
              <w:rPr>
                <w:rFonts w:asciiTheme="minorHAnsi" w:hAnsiTheme="minorHAnsi" w:cstheme="minorHAnsi"/>
                <w:lang w:eastAsia="en-AU"/>
              </w:rPr>
              <w:t xml:space="preserve"> signed patient and prescriber acknowledgements.</w:t>
            </w:r>
          </w:p>
          <w:p w:rsidR="008D1A9A" w:rsidRPr="007A7E15" w:rsidRDefault="008D1A9A" w:rsidP="00AE3079">
            <w:pPr>
              <w:rPr>
                <w:rFonts w:asciiTheme="minorHAnsi" w:hAnsiTheme="minorHAnsi" w:cstheme="minorHAnsi"/>
                <w:lang w:eastAsia="en-AU"/>
              </w:rPr>
            </w:pP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Administrative Advice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No increase in the maximum number of repeats may be authorised</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Details of the toxicities, including severity, which will be accepted as a reason for exempting a patient from the requirement for 6 weeks treatment with phototherapy, methotrexate, cyclosporin or acitretin can be found on the Department of Human Services website (</w:t>
            </w:r>
            <w:r w:rsidRPr="007A7E15">
              <w:rPr>
                <w:rFonts w:asciiTheme="minorHAnsi" w:hAnsiTheme="minorHAnsi" w:cstheme="minorHAnsi"/>
                <w:color w:val="0000FF" w:themeColor="hyperlink"/>
                <w:u w:val="single"/>
                <w:lang w:eastAsia="en-AU"/>
              </w:rPr>
              <w:t>www.humanservices.gov.au</w:t>
            </w:r>
            <w:r w:rsidRPr="007A7E15">
              <w:rPr>
                <w:rFonts w:asciiTheme="minorHAnsi" w:hAnsiTheme="minorHAnsi" w:cstheme="minorHAnsi"/>
                <w:lang w:eastAsia="en-AU"/>
              </w:rPr>
              <w:t>)</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 xml:space="preserve">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The PASI assessment for continuing treatment must be performed on the same affected area as assessed at baseline. Where a response assessment is not </w:t>
            </w:r>
            <w:r w:rsidRPr="007A7E15">
              <w:rPr>
                <w:rFonts w:asciiTheme="minorHAnsi" w:hAnsiTheme="minorHAnsi" w:cstheme="minorHAnsi"/>
                <w:lang w:eastAsia="en-AU"/>
              </w:rPr>
              <w:lastRenderedPageBreak/>
              <w:t>undertaken and submitted to the Department of Human Services within these timeframes, the patient will be deemed to have failed to respond to treatment with this drug.</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In circumstances where it is not possible to submit a response assessment within these timeframes, please call the Department of Human Services on 1800 700 270 to discuss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Any queries concerning the arrangements to prescribe may be directed to the Department of Human Services on 1800 700 270 (hours of operation 8 a.m. to 5 p.m. EST Monday to Friday).</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Applications for authority to prescribe should be forwarded to:</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Department of Human Services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Complex Drugs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Reply Paid 9826</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HOBART TAS 7001</w:t>
            </w:r>
          </w:p>
        </w:tc>
      </w:tr>
    </w:tbl>
    <w:p w:rsidR="008D1A9A" w:rsidRPr="007A7E15" w:rsidRDefault="008D1A9A" w:rsidP="008D1A9A">
      <w:pPr>
        <w:rPr>
          <w:rFonts w:asciiTheme="minorHAnsi" w:hAnsiTheme="minorHAnsi" w:cstheme="minorHAnsi"/>
        </w:rPr>
      </w:pPr>
    </w:p>
    <w:p w:rsidR="008D1A9A" w:rsidRPr="00306C0E" w:rsidRDefault="008D1A9A" w:rsidP="008D1A9A">
      <w:pPr>
        <w:outlineLvl w:val="1"/>
        <w:rPr>
          <w:rFonts w:asciiTheme="minorHAnsi" w:hAnsiTheme="minorHAnsi" w:cstheme="minorHAnsi"/>
          <w:b/>
        </w:rPr>
      </w:pPr>
      <w:r w:rsidRPr="00306C0E">
        <w:rPr>
          <w:rFonts w:asciiTheme="minorHAnsi" w:hAnsiTheme="minorHAnsi" w:cstheme="minorHAnsi"/>
          <w:b/>
        </w:rPr>
        <w:t>Restriction 4</w:t>
      </w:r>
    </w:p>
    <w:tbl>
      <w:tblPr>
        <w:tblW w:w="9072" w:type="dxa"/>
        <w:tblInd w:w="108" w:type="dxa"/>
        <w:tblLayout w:type="fixed"/>
        <w:tblLook w:val="0000" w:firstRow="0" w:lastRow="0" w:firstColumn="0" w:lastColumn="0" w:noHBand="0" w:noVBand="0"/>
      </w:tblPr>
      <w:tblGrid>
        <w:gridCol w:w="2977"/>
        <w:gridCol w:w="6095"/>
      </w:tblGrid>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Episodicity: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N/A</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PBS Indication: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rPr>
              <w:t>Initial 2, Face, hand, foot</w:t>
            </w:r>
            <w:r w:rsidRPr="007A7E15">
              <w:rPr>
                <w:rFonts w:asciiTheme="minorHAnsi" w:hAnsiTheme="minorHAnsi" w:cstheme="minorHAnsi"/>
              </w:rPr>
              <w:t xml:space="preserve"> (change or recommencement of treatment after a break of less than 5 years)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Restriction:</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3"/>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a documented history of severe chronic plaque psoriasis of the face, or palm of a hand or sole of a foot,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received prior PBS-subsidised treatment with a biological agent for this condition in this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not have already failed, or ceased to respond to, PBS-subsidised treatment with 3 biological agents for this condition within this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not have failed, or ceased to respond to, PBS-subsidised therapy with this drug for the treatment of this condition in the current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treatment must be as systemic monotherapy (other than methotrexate),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Patient must not receive more than 28 weeks of treatment under this restriction</w:t>
            </w:r>
          </w:p>
          <w:p w:rsidR="008D1A9A" w:rsidRPr="007A7E15" w:rsidRDefault="008D1A9A" w:rsidP="00AE3079">
            <w:pPr>
              <w:rPr>
                <w:rFonts w:asciiTheme="minorHAnsi" w:hAnsiTheme="minorHAnsi" w:cstheme="minorHAnsi"/>
                <w:lang w:eastAsia="en-AU"/>
              </w:rPr>
            </w:pP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Population criteria:</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Prescriber Instructions</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For the purposes of this restriction 'biological agent' means adalimumab, etanercept, infliximab, ixekizumab, </w:t>
            </w:r>
            <w:proofErr w:type="spellStart"/>
            <w:r w:rsidRPr="007A7E15">
              <w:rPr>
                <w:rFonts w:asciiTheme="minorHAnsi" w:hAnsiTheme="minorHAnsi" w:cstheme="minorHAnsi"/>
              </w:rPr>
              <w:t>secukinumab</w:t>
            </w:r>
            <w:proofErr w:type="spellEnd"/>
            <w:r>
              <w:rPr>
                <w:rFonts w:asciiTheme="minorHAnsi" w:hAnsiTheme="minorHAnsi" w:cstheme="minorHAnsi"/>
              </w:rPr>
              <w:t xml:space="preserve">, </w:t>
            </w:r>
            <w:proofErr w:type="spellStart"/>
            <w:r w:rsidRPr="00BB5004">
              <w:rPr>
                <w:rFonts w:asciiTheme="minorHAnsi" w:hAnsiTheme="minorHAnsi" w:cstheme="minorHAnsi"/>
                <w:highlight w:val="yellow"/>
                <w:lang w:eastAsia="en-AU"/>
              </w:rPr>
              <w:t>tildrakizumab</w:t>
            </w:r>
            <w:proofErr w:type="spellEnd"/>
            <w:r w:rsidRPr="007A7E15">
              <w:rPr>
                <w:rFonts w:asciiTheme="minorHAnsi" w:hAnsiTheme="minorHAnsi" w:cstheme="minorHAnsi"/>
                <w:lang w:eastAsia="en-AU"/>
              </w:rPr>
              <w:t xml:space="preserve"> or</w:t>
            </w:r>
            <w:r w:rsidRPr="007A7E15">
              <w:rPr>
                <w:rFonts w:asciiTheme="minorHAnsi" w:hAnsiTheme="minorHAnsi" w:cstheme="minorHAnsi"/>
              </w:rPr>
              <w:t xml:space="preserve"> ustekinumab.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authority application must be made in writing and must include: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(a) a completed authority prescription form; 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(b) a completed Severe Chronic Plaque Psoriasis PBS Authority Application - Supporting Information Form which includes the following: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the completed current Psoriasis Area and Severity Index (PASI) calculation sheets and face, hand, foot area diagrams including the dates of assessment of the patient's condition; and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(ii) </w:t>
            </w:r>
            <w:proofErr w:type="gramStart"/>
            <w:r w:rsidRPr="007A7E15">
              <w:rPr>
                <w:rFonts w:asciiTheme="minorHAnsi" w:hAnsiTheme="minorHAnsi" w:cstheme="minorHAnsi"/>
              </w:rPr>
              <w:t>details</w:t>
            </w:r>
            <w:proofErr w:type="gramEnd"/>
            <w:r w:rsidRPr="007A7E15">
              <w:rPr>
                <w:rFonts w:asciiTheme="minorHAnsi" w:hAnsiTheme="minorHAnsi" w:cstheme="minorHAnsi"/>
              </w:rPr>
              <w:t xml:space="preserve"> of prior biological treatment, including dosage, date and duration of treatment.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Applications for patients who have demonstrated a response to PBS-subsidised treatment with this drug within this Treatment Cycle and who wish to recommence treatment with this drug within the same Cycle following a break in therapy, will only be approved where evidence of the patient's response to their most recent course of PBS-subsidised treatment with this drug has been submitted within 1 month of cessation of treatment.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An adequate response to treatment is defined as the plaque or plaques assessed prior to biological treatment showing: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a reduction in the Psoriasis Area and Severity Index (PASI) symptom </w:t>
            </w:r>
            <w:proofErr w:type="spellStart"/>
            <w:r w:rsidRPr="007A7E15">
              <w:rPr>
                <w:rFonts w:asciiTheme="minorHAnsi" w:hAnsiTheme="minorHAnsi" w:cstheme="minorHAnsi"/>
              </w:rPr>
              <w:t>subscores</w:t>
            </w:r>
            <w:proofErr w:type="spellEnd"/>
            <w:r w:rsidRPr="007A7E15">
              <w:rPr>
                <w:rFonts w:asciiTheme="minorHAnsi" w:hAnsiTheme="minorHAnsi" w:cstheme="minorHAnsi"/>
              </w:rPr>
              <w:t xml:space="preserve"> for all 3 of erythema, thickness and scaling, to slight or better, or sustained at this level, as compared to the pre-biological treatment baseline values; or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(ii) </w:t>
            </w:r>
            <w:proofErr w:type="gramStart"/>
            <w:r w:rsidRPr="007A7E15">
              <w:rPr>
                <w:rFonts w:asciiTheme="minorHAnsi" w:hAnsiTheme="minorHAnsi" w:cstheme="minorHAnsi"/>
              </w:rPr>
              <w:t>a</w:t>
            </w:r>
            <w:proofErr w:type="gramEnd"/>
            <w:r w:rsidRPr="007A7E15">
              <w:rPr>
                <w:rFonts w:asciiTheme="minorHAnsi" w:hAnsiTheme="minorHAnsi" w:cstheme="minorHAnsi"/>
              </w:rPr>
              <w:t xml:space="preserve"> reduction by 75% or more in the skin area affected, or sustained at this level, as compared to the pre-biological treatment baseline value. </w:t>
            </w:r>
          </w:p>
          <w:p w:rsidR="008D1A9A" w:rsidRPr="007A7E15" w:rsidRDefault="008D1A9A" w:rsidP="00AE3079">
            <w:pPr>
              <w:rPr>
                <w:rFonts w:asciiTheme="minorHAnsi" w:hAnsiTheme="minorHAnsi" w:cstheme="minorHAnsi"/>
                <w:lang w:eastAsia="en-AU"/>
              </w:rPr>
            </w:pP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Administrative Advice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No increase in the maximum number of repeats may be authorised</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lastRenderedPageBreak/>
              <w:t>Details of the toxicities, including severity, which will be accepted as a reason for exempting a patient from the requirement for 6 weeks treatment with phototherapy, methotrexate, cyclosporin or acitretin can be found on the Department of Human Services website (</w:t>
            </w:r>
            <w:r w:rsidRPr="007A7E15">
              <w:rPr>
                <w:rFonts w:asciiTheme="minorHAnsi" w:hAnsiTheme="minorHAnsi" w:cstheme="minorHAnsi"/>
                <w:color w:val="0000FF" w:themeColor="hyperlink"/>
                <w:u w:val="single"/>
                <w:lang w:eastAsia="en-AU"/>
              </w:rPr>
              <w:t>www.humanservices.gov.au</w:t>
            </w:r>
            <w:r w:rsidRPr="007A7E15">
              <w:rPr>
                <w:rFonts w:asciiTheme="minorHAnsi" w:hAnsiTheme="minorHAnsi" w:cstheme="minorHAnsi"/>
                <w:lang w:eastAsia="en-AU"/>
              </w:rPr>
              <w:t>)</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The PASI assessment for continuing treatment must be performed on the same affected area as assessed at baseline. Where a response assessment is not undertaken and submitted to the Department of Human Services within these timeframes, the patient will be deemed to have failed to respond to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In circumstances where it is not possible to submit a response assessment within these timeframes, please call the Department of Human Services on 1800 700 270 to discuss. </w:t>
            </w:r>
          </w:p>
          <w:p w:rsidR="008D1A9A" w:rsidRPr="007A7E15" w:rsidRDefault="008D1A9A" w:rsidP="00AE3079">
            <w:pPr>
              <w:spacing w:line="300" w:lineRule="atLeast"/>
              <w:rPr>
                <w:rFonts w:asciiTheme="minorHAnsi" w:hAnsiTheme="minorHAnsi" w:cstheme="minorHAnsi"/>
                <w:color w:val="333333"/>
              </w:rPr>
            </w:pP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 </w:t>
            </w:r>
          </w:p>
          <w:p w:rsidR="008D1A9A" w:rsidRPr="007A7E15" w:rsidRDefault="008D1A9A" w:rsidP="00AE3079">
            <w:pPr>
              <w:spacing w:line="300" w:lineRule="atLeast"/>
              <w:rPr>
                <w:rFonts w:asciiTheme="minorHAnsi" w:hAnsiTheme="minorHAnsi" w:cstheme="minorHAnsi"/>
                <w:color w:val="333333"/>
              </w:rPr>
            </w:pP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t>
            </w:r>
            <w:r w:rsidRPr="007A7E15">
              <w:rPr>
                <w:rFonts w:asciiTheme="minorHAnsi" w:hAnsiTheme="minorHAnsi" w:cstheme="minorHAnsi"/>
              </w:rPr>
              <w:lastRenderedPageBreak/>
              <w:t>with this drug.</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Any queries concerning the arrangements to prescribe may be directed to the Department of Human Services on 1800 700 270 (hours of operation 8 a.m. to 5 p.m. EST Monday to Friday).</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Applications for authority to prescribe should be forwarded to:</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Department of Human Services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Complex Drugs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Reply Paid 9826</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HOBART TAS 7001</w:t>
            </w:r>
          </w:p>
        </w:tc>
      </w:tr>
    </w:tbl>
    <w:p w:rsidR="008D1A9A" w:rsidRDefault="008D1A9A" w:rsidP="008D1A9A">
      <w:pPr>
        <w:rPr>
          <w:rFonts w:asciiTheme="minorHAnsi" w:hAnsiTheme="minorHAnsi" w:cstheme="minorHAnsi"/>
        </w:rPr>
      </w:pPr>
    </w:p>
    <w:p w:rsidR="008D1A9A" w:rsidRPr="00834C59" w:rsidRDefault="008D1A9A" w:rsidP="008D1A9A">
      <w:pPr>
        <w:outlineLvl w:val="1"/>
        <w:rPr>
          <w:rFonts w:asciiTheme="minorHAnsi" w:hAnsiTheme="minorHAnsi" w:cstheme="minorHAnsi"/>
          <w:b/>
        </w:rPr>
      </w:pPr>
      <w:r w:rsidRPr="00834C59">
        <w:rPr>
          <w:rFonts w:asciiTheme="minorHAnsi" w:hAnsiTheme="minorHAnsi" w:cstheme="minorHAnsi"/>
          <w:b/>
        </w:rPr>
        <w:t>Restriction 5</w:t>
      </w:r>
    </w:p>
    <w:tbl>
      <w:tblPr>
        <w:tblStyle w:val="TableGrid"/>
        <w:tblW w:w="0" w:type="auto"/>
        <w:tblLook w:val="04A0" w:firstRow="1" w:lastRow="0" w:firstColumn="1" w:lastColumn="0" w:noHBand="0" w:noVBand="1"/>
        <w:tblCaption w:val="Restriction 5"/>
      </w:tblPr>
      <w:tblGrid>
        <w:gridCol w:w="3085"/>
        <w:gridCol w:w="6157"/>
      </w:tblGrid>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Episodicity:</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N/A</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157"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rPr>
              <w:t>Initial 1, Whole body or Face, hand, foot</w:t>
            </w:r>
            <w:r w:rsidRPr="007A7E15">
              <w:rPr>
                <w:rFonts w:asciiTheme="minorHAnsi" w:hAnsiTheme="minorHAnsi" w:cstheme="minorHAnsi"/>
              </w:rPr>
              <w:t xml:space="preserve"> (new patient or patient recommencing treatment after a break of 5 years or more) or </w:t>
            </w:r>
            <w:r w:rsidRPr="007A7E15">
              <w:rPr>
                <w:rFonts w:asciiTheme="minorHAnsi" w:hAnsiTheme="minorHAnsi" w:cstheme="minorHAnsi"/>
                <w:b/>
              </w:rPr>
              <w:t>Initial 2, Whole body or Face, hand, foot</w:t>
            </w:r>
            <w:r w:rsidRPr="007A7E15">
              <w:rPr>
                <w:rFonts w:asciiTheme="minorHAnsi" w:hAnsiTheme="minorHAnsi" w:cstheme="minorHAnsi"/>
              </w:rPr>
              <w:t xml:space="preserve"> (change or recommencement of treatment after a break of less than 5 years) - </w:t>
            </w:r>
            <w:r w:rsidRPr="007A7E15">
              <w:rPr>
                <w:rFonts w:asciiTheme="minorHAnsi" w:hAnsiTheme="minorHAnsi" w:cstheme="minorHAnsi"/>
                <w:b/>
              </w:rPr>
              <w:t>balance of supply</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Restriction:</w:t>
            </w:r>
          </w:p>
          <w:p w:rsidR="008D1A9A" w:rsidRPr="007A7E15" w:rsidRDefault="008D1A9A" w:rsidP="00AE3079">
            <w:pPr>
              <w:rPr>
                <w:rFonts w:asciiTheme="minorHAnsi" w:hAnsiTheme="minorHAnsi" w:cstheme="minorHAnsi"/>
                <w:lang w:eastAsia="en-AU"/>
              </w:rPr>
            </w:pPr>
          </w:p>
        </w:tc>
        <w:tc>
          <w:tcPr>
            <w:tcW w:w="6157" w:type="dxa"/>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157" w:type="dxa"/>
          </w:tcPr>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lastRenderedPageBreak/>
              <w:t>Must be treated by a dermatologist.</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rPr>
            </w:pPr>
          </w:p>
        </w:tc>
        <w:tc>
          <w:tcPr>
            <w:tcW w:w="6157" w:type="dxa"/>
          </w:tcPr>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rPr>
              <w:t xml:space="preserve">Patient must have received insufficient therapy with this drug under the Initial 1, Whole body (new patient or patient recommencing treatment after a break of 5 years or more) restriction to complete 28 weeks treatment; OR </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rPr>
              <w:t xml:space="preserve">Patient must have received insufficient therapy with this drug under the Initial 2, Whole body (change or recommencement of treatment after a break of less than 5 years) restriction to complete 28 weeks treatment; OR </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rPr>
              <w:t xml:space="preserve">Patient must have received insufficient therapy with this drug under the Initial 1, Face, hand, foot (new patient or patient recommencing treatment after a break of 5 years or more) restriction to complete 28 weeks treatment; OR </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rPr>
              <w:t xml:space="preserve">Patient must have received insufficient therapy with this drug under the Initial 2, Face, hand, foot (change or recommencement of treatment after a break of less than 5 years) restriction to complete 28 weeks treatment, </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rPr>
              <w:t>The treatment must be as systemic monotherapy (other than methotrexate),</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rPr>
              <w:t xml:space="preserve">The treatment must provide no more than the balance of up to 28 weeks treatment available under the above restrictions. </w:t>
            </w:r>
          </w:p>
          <w:p w:rsidR="008D1A9A" w:rsidRPr="007A7E15" w:rsidRDefault="008D1A9A" w:rsidP="00AE3079">
            <w:pPr>
              <w:rPr>
                <w:rFonts w:asciiTheme="minorHAnsi" w:hAnsiTheme="minorHAnsi" w:cstheme="minorHAnsi"/>
              </w:rPr>
            </w:pP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Administrative Advice</w:t>
            </w:r>
          </w:p>
          <w:p w:rsidR="008D1A9A" w:rsidRPr="007A7E15" w:rsidRDefault="008D1A9A" w:rsidP="00AE3079">
            <w:pPr>
              <w:rPr>
                <w:rFonts w:asciiTheme="minorHAnsi" w:hAnsiTheme="minorHAnsi" w:cstheme="minorHAnsi"/>
                <w:lang w:eastAsia="en-AU"/>
              </w:rPr>
            </w:pPr>
          </w:p>
        </w:tc>
        <w:tc>
          <w:tcPr>
            <w:tcW w:w="6157" w:type="dxa"/>
          </w:tcPr>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No increase in the maximum number of repeats may be authorised</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Details of the toxicities, including severity, which will be accepted as a reason for exempting a patient from the requirement for 6 weeks treatment with phototherapy, methotrexate, cyclosporin or acitretin can be found on the Department of Human Services website (</w:t>
            </w:r>
            <w:r w:rsidRPr="007A7E15">
              <w:rPr>
                <w:rFonts w:asciiTheme="minorHAnsi" w:hAnsiTheme="minorHAnsi" w:cstheme="minorHAnsi"/>
                <w:color w:val="0000FF" w:themeColor="hyperlink"/>
                <w:u w:val="single"/>
                <w:lang w:eastAsia="en-AU"/>
              </w:rPr>
              <w:t>www.humanservices.gov.au</w:t>
            </w:r>
            <w:r w:rsidRPr="007A7E15">
              <w:rPr>
                <w:rFonts w:asciiTheme="minorHAnsi" w:hAnsiTheme="minorHAnsi" w:cstheme="minorHAnsi"/>
                <w:lang w:eastAsia="en-AU"/>
              </w:rPr>
              <w:t>)</w:t>
            </w:r>
          </w:p>
          <w:p w:rsidR="008D1A9A" w:rsidRPr="007A7E15" w:rsidRDefault="008D1A9A" w:rsidP="00AE3079">
            <w:pPr>
              <w:pStyle w:val="NormalWeb"/>
              <w:spacing w:line="300" w:lineRule="atLeast"/>
              <w:rPr>
                <w:rFonts w:asciiTheme="minorHAnsi" w:hAnsiTheme="minorHAnsi" w:cstheme="minorHAnsi"/>
              </w:rPr>
            </w:pPr>
            <w:r w:rsidRPr="007A7E15">
              <w:rPr>
                <w:rFonts w:asciiTheme="minorHAnsi" w:hAnsiTheme="minorHAnsi" w:cstheme="minorHAnsi"/>
              </w:rPr>
              <w:t xml:space="preserve">Authority approval for sufficient therapy to complete a maximum of 28 weeks of treatment may be requested by telephone by contacting the Department of Human Services </w:t>
            </w:r>
            <w:r w:rsidRPr="007A7E15">
              <w:rPr>
                <w:rFonts w:asciiTheme="minorHAnsi" w:hAnsiTheme="minorHAnsi" w:cstheme="minorHAnsi"/>
              </w:rPr>
              <w:lastRenderedPageBreak/>
              <w:t>on 1800 700 270 (hours of operation 8 a.m. to 5 p.m. EST Monday to Friday).</w:t>
            </w:r>
          </w:p>
        </w:tc>
      </w:tr>
    </w:tbl>
    <w:p w:rsidR="008D1A9A" w:rsidRPr="007A7E15" w:rsidRDefault="008D1A9A" w:rsidP="008D1A9A">
      <w:pPr>
        <w:rPr>
          <w:rFonts w:asciiTheme="minorHAnsi" w:hAnsiTheme="minorHAnsi" w:cstheme="minorHAnsi"/>
        </w:rPr>
      </w:pPr>
    </w:p>
    <w:p w:rsidR="008D1A9A" w:rsidRPr="007A7E15" w:rsidRDefault="008D1A9A" w:rsidP="008D1A9A">
      <w:pPr>
        <w:pStyle w:val="NormalWeb"/>
        <w:spacing w:line="300" w:lineRule="atLeast"/>
        <w:jc w:val="both"/>
        <w:rPr>
          <w:rFonts w:asciiTheme="minorHAnsi" w:hAnsiTheme="minorHAnsi" w:cstheme="minorHAnsi"/>
        </w:rPr>
      </w:pPr>
    </w:p>
    <w:p w:rsidR="008D1A9A" w:rsidRPr="007A7E15" w:rsidRDefault="008D1A9A" w:rsidP="008D1A9A">
      <w:pPr>
        <w:outlineLvl w:val="1"/>
        <w:rPr>
          <w:rFonts w:asciiTheme="minorHAnsi" w:hAnsiTheme="minorHAnsi" w:cstheme="minorHAnsi"/>
          <w:b/>
        </w:rPr>
      </w:pPr>
      <w:r>
        <w:rPr>
          <w:rFonts w:asciiTheme="minorHAnsi" w:hAnsiTheme="minorHAnsi" w:cstheme="minorHAnsi"/>
          <w:b/>
        </w:rPr>
        <w:t>Restriction 6</w:t>
      </w:r>
    </w:p>
    <w:p w:rsidR="008D1A9A" w:rsidRPr="007A7E15" w:rsidRDefault="008D1A9A" w:rsidP="008D1A9A">
      <w:pPr>
        <w:rPr>
          <w:rFonts w:asciiTheme="minorHAnsi" w:hAnsiTheme="minorHAnsi" w:cstheme="minorHAnsi"/>
          <w:b/>
        </w:rPr>
      </w:pPr>
    </w:p>
    <w:tbl>
      <w:tblPr>
        <w:tblW w:w="9072" w:type="dxa"/>
        <w:tblInd w:w="108" w:type="dxa"/>
        <w:tblLayout w:type="fixed"/>
        <w:tblLook w:val="0000" w:firstRow="0" w:lastRow="0" w:firstColumn="0" w:lastColumn="0" w:noHBand="0" w:noVBand="0"/>
      </w:tblPr>
      <w:tblGrid>
        <w:gridCol w:w="2977"/>
        <w:gridCol w:w="1134"/>
        <w:gridCol w:w="851"/>
        <w:gridCol w:w="992"/>
        <w:gridCol w:w="1701"/>
        <w:gridCol w:w="1417"/>
      </w:tblGrid>
      <w:tr w:rsidR="008D1A9A" w:rsidRPr="007A7E15" w:rsidTr="00AE3079">
        <w:trPr>
          <w:cantSplit/>
          <w:trHeight w:val="471"/>
        </w:trPr>
        <w:tc>
          <w:tcPr>
            <w:tcW w:w="4111" w:type="dxa"/>
            <w:gridSpan w:val="2"/>
            <w:tcBorders>
              <w:bottom w:val="single" w:sz="4" w:space="0" w:color="auto"/>
            </w:tcBorders>
          </w:tcPr>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Name, Restriction,</w:t>
            </w:r>
          </w:p>
          <w:p w:rsidR="008D1A9A" w:rsidRPr="007A7E15" w:rsidRDefault="008D1A9A" w:rsidP="00AE3079">
            <w:pPr>
              <w:keepNext/>
              <w:ind w:left="-108"/>
              <w:rPr>
                <w:rFonts w:asciiTheme="minorHAnsi" w:hAnsiTheme="minorHAnsi" w:cstheme="minorHAnsi"/>
                <w:lang w:eastAsia="en-AU"/>
              </w:rPr>
            </w:pPr>
          </w:p>
        </w:tc>
        <w:tc>
          <w:tcPr>
            <w:tcW w:w="851" w:type="dxa"/>
            <w:tcBorders>
              <w:bottom w:val="single" w:sz="4" w:space="0" w:color="auto"/>
            </w:tcBorders>
          </w:tcPr>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Max.</w:t>
            </w: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Qty</w:t>
            </w:r>
            <w:r>
              <w:rPr>
                <w:rFonts w:asciiTheme="minorHAnsi" w:hAnsiTheme="minorHAnsi" w:cstheme="minorHAnsi"/>
                <w:lang w:eastAsia="en-AU"/>
              </w:rPr>
              <w:t xml:space="preserve"> (pack)</w:t>
            </w:r>
          </w:p>
        </w:tc>
        <w:tc>
          <w:tcPr>
            <w:tcW w:w="992" w:type="dxa"/>
            <w:tcBorders>
              <w:bottom w:val="single" w:sz="4" w:space="0" w:color="auto"/>
            </w:tcBorders>
          </w:tcPr>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№.of</w:t>
            </w: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Rpts</w:t>
            </w:r>
          </w:p>
        </w:tc>
        <w:tc>
          <w:tcPr>
            <w:tcW w:w="3118" w:type="dxa"/>
            <w:gridSpan w:val="2"/>
            <w:tcBorders>
              <w:bottom w:val="single" w:sz="4" w:space="0" w:color="auto"/>
            </w:tcBorders>
          </w:tcPr>
          <w:p w:rsidR="008D1A9A" w:rsidRPr="007A7E15" w:rsidRDefault="008D1A9A" w:rsidP="00AE3079">
            <w:pPr>
              <w:keepNext/>
              <w:rPr>
                <w:rFonts w:asciiTheme="minorHAnsi" w:hAnsiTheme="minorHAnsi" w:cstheme="minorHAnsi"/>
                <w:lang w:val="fr-FR" w:eastAsia="en-AU"/>
              </w:rPr>
            </w:pPr>
            <w:r w:rsidRPr="007A7E15">
              <w:rPr>
                <w:rFonts w:asciiTheme="minorHAnsi" w:hAnsiTheme="minorHAnsi" w:cstheme="minorHAnsi"/>
                <w:lang w:eastAsia="en-AU"/>
              </w:rPr>
              <w:t>Proprietary Name and Manufacturer</w:t>
            </w:r>
          </w:p>
        </w:tc>
      </w:tr>
      <w:tr w:rsidR="008D1A9A" w:rsidRPr="007A7E15" w:rsidTr="00AE3079">
        <w:trPr>
          <w:cantSplit/>
          <w:trHeight w:val="577"/>
        </w:trPr>
        <w:tc>
          <w:tcPr>
            <w:tcW w:w="4111" w:type="dxa"/>
            <w:gridSpan w:val="2"/>
          </w:tcPr>
          <w:p w:rsidR="008D1A9A" w:rsidRPr="007A7E15" w:rsidRDefault="008D1A9A" w:rsidP="00AE3079">
            <w:pPr>
              <w:keepNext/>
              <w:ind w:left="-108"/>
              <w:rPr>
                <w:rFonts w:asciiTheme="minorHAnsi" w:hAnsiTheme="minorHAnsi" w:cstheme="minorHAnsi"/>
                <w:lang w:eastAsia="en-AU"/>
              </w:rPr>
            </w:pPr>
            <w:proofErr w:type="spellStart"/>
            <w:r w:rsidRPr="007A7E15">
              <w:rPr>
                <w:rFonts w:asciiTheme="minorHAnsi" w:hAnsiTheme="minorHAnsi" w:cstheme="minorHAnsi"/>
                <w:smallCaps/>
                <w:lang w:eastAsia="en-AU"/>
              </w:rPr>
              <w:t>tildrakizumab</w:t>
            </w:r>
            <w:proofErr w:type="spellEnd"/>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100mg in 1 mL single use pre-filled syringes, 2 pack</w:t>
            </w:r>
          </w:p>
          <w:p w:rsidR="008D1A9A" w:rsidRPr="007A7E15" w:rsidRDefault="008D1A9A" w:rsidP="00AE3079">
            <w:pPr>
              <w:keepNext/>
              <w:ind w:left="-108"/>
              <w:rPr>
                <w:rFonts w:asciiTheme="minorHAnsi" w:hAnsiTheme="minorHAnsi" w:cstheme="minorHAnsi"/>
                <w:lang w:eastAsia="en-AU"/>
              </w:rPr>
            </w:pPr>
          </w:p>
          <w:p w:rsidR="008D1A9A" w:rsidRPr="007A7E15" w:rsidRDefault="008D1A9A" w:rsidP="00AE3079">
            <w:pPr>
              <w:keepNext/>
              <w:ind w:left="-108"/>
              <w:rPr>
                <w:rFonts w:asciiTheme="minorHAnsi" w:hAnsiTheme="minorHAnsi" w:cstheme="minorHAnsi"/>
                <w:lang w:eastAsia="en-AU"/>
              </w:rPr>
            </w:pPr>
          </w:p>
        </w:tc>
        <w:tc>
          <w:tcPr>
            <w:tcW w:w="851" w:type="dxa"/>
          </w:tcPr>
          <w:p w:rsidR="008D1A9A" w:rsidRPr="007A7E15" w:rsidRDefault="008D1A9A" w:rsidP="00AE3079">
            <w:pPr>
              <w:keepNext/>
              <w:ind w:left="-108"/>
              <w:rPr>
                <w:rFonts w:asciiTheme="minorHAnsi" w:hAnsiTheme="minorHAnsi" w:cstheme="minorHAnsi"/>
                <w:lang w:eastAsia="en-AU"/>
              </w:rPr>
            </w:pP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1</w:t>
            </w:r>
          </w:p>
        </w:tc>
        <w:tc>
          <w:tcPr>
            <w:tcW w:w="992" w:type="dxa"/>
          </w:tcPr>
          <w:p w:rsidR="008D1A9A" w:rsidRPr="007A7E15" w:rsidRDefault="008D1A9A" w:rsidP="00AE3079">
            <w:pPr>
              <w:keepNext/>
              <w:ind w:left="-108"/>
              <w:rPr>
                <w:rFonts w:asciiTheme="minorHAnsi" w:hAnsiTheme="minorHAnsi" w:cstheme="minorHAnsi"/>
                <w:lang w:eastAsia="en-AU"/>
              </w:rPr>
            </w:pPr>
          </w:p>
          <w:p w:rsidR="008D1A9A" w:rsidRPr="007A7E15" w:rsidRDefault="008D1A9A" w:rsidP="00AE3079">
            <w:pPr>
              <w:keepNext/>
              <w:ind w:left="-108"/>
              <w:rPr>
                <w:rFonts w:asciiTheme="minorHAnsi" w:hAnsiTheme="minorHAnsi" w:cstheme="minorHAnsi"/>
                <w:lang w:eastAsia="en-AU"/>
              </w:rPr>
            </w:pPr>
            <w:r w:rsidRPr="007A7E15">
              <w:rPr>
                <w:rFonts w:asciiTheme="minorHAnsi" w:hAnsiTheme="minorHAnsi" w:cstheme="minorHAnsi"/>
                <w:lang w:eastAsia="en-AU"/>
              </w:rPr>
              <w:t>1</w:t>
            </w:r>
          </w:p>
        </w:tc>
        <w:tc>
          <w:tcPr>
            <w:tcW w:w="1701" w:type="dxa"/>
          </w:tcPr>
          <w:p w:rsidR="008D1A9A" w:rsidRPr="007A7E15" w:rsidRDefault="008D1A9A" w:rsidP="00AE3079">
            <w:pPr>
              <w:keepNext/>
              <w:rPr>
                <w:rFonts w:asciiTheme="minorHAnsi" w:hAnsiTheme="minorHAnsi" w:cstheme="minorHAnsi"/>
                <w:b/>
                <w:lang w:eastAsia="en-AU"/>
              </w:rPr>
            </w:pPr>
            <w:proofErr w:type="spellStart"/>
            <w:r w:rsidRPr="007A7E15">
              <w:rPr>
                <w:rFonts w:asciiTheme="minorHAnsi" w:hAnsiTheme="minorHAnsi" w:cstheme="minorHAnsi"/>
                <w:b/>
                <w:lang w:eastAsia="en-AU"/>
              </w:rPr>
              <w:t>Ilumya</w:t>
            </w:r>
            <w:proofErr w:type="spellEnd"/>
          </w:p>
        </w:tc>
        <w:tc>
          <w:tcPr>
            <w:tcW w:w="1417" w:type="dxa"/>
          </w:tcPr>
          <w:p w:rsidR="008D1A9A" w:rsidRPr="007A7E15" w:rsidRDefault="008D1A9A" w:rsidP="00AE3079">
            <w:pPr>
              <w:keepNext/>
              <w:rPr>
                <w:rFonts w:asciiTheme="minorHAnsi" w:hAnsiTheme="minorHAnsi" w:cstheme="minorHAnsi"/>
                <w:lang w:eastAsia="en-AU"/>
              </w:rPr>
            </w:pPr>
            <w:r w:rsidRPr="007A7E15">
              <w:rPr>
                <w:rFonts w:asciiTheme="minorHAnsi" w:hAnsiTheme="minorHAnsi" w:cstheme="minorHAnsi"/>
                <w:lang w:eastAsia="en-AU"/>
              </w:rPr>
              <w:t>Sun Pharma ANZ Pty Ltd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Episodicity:</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N/A</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Grandfather treatment</w:t>
            </w:r>
            <w:r w:rsidRPr="007A7E15">
              <w:rPr>
                <w:rFonts w:asciiTheme="minorHAnsi" w:hAnsiTheme="minorHAnsi" w:cstheme="minorHAnsi"/>
                <w:b/>
              </w:rPr>
              <w:t xml:space="preserve">, </w:t>
            </w:r>
            <w:r w:rsidRPr="007A7E15">
              <w:rPr>
                <w:rFonts w:asciiTheme="minorHAnsi" w:hAnsiTheme="minorHAnsi" w:cstheme="minorHAnsi"/>
                <w:b/>
                <w:lang w:eastAsia="en-AU"/>
              </w:rPr>
              <w:t xml:space="preserve">Whole body </w:t>
            </w:r>
            <w:r w:rsidRPr="007A7E15">
              <w:rPr>
                <w:rFonts w:asciiTheme="minorHAnsi" w:hAnsiTheme="minorHAnsi" w:cstheme="minorHAnsi"/>
                <w:lang w:eastAsia="en-AU"/>
              </w:rPr>
              <w:t>(initial PBS-subsidised supply for continuing treatment in a patient commenced on non-PBS-subsidised therapy)</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Restriction:</w:t>
            </w: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3"/>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rPr>
              <w:t>Patient must have a documented history of severe chronic plaque psoriasis</w:t>
            </w:r>
            <w:r w:rsidRPr="007A7E15">
              <w:rPr>
                <w:rFonts w:asciiTheme="minorHAnsi" w:hAnsiTheme="minorHAnsi" w:cstheme="minorHAnsi"/>
                <w:lang w:eastAsia="en-AU"/>
              </w:rPr>
              <w:t>,</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AND </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Patient must have previously received non-PBS-subsidised </w:t>
            </w:r>
            <w:r>
              <w:rPr>
                <w:rFonts w:asciiTheme="minorHAnsi" w:hAnsiTheme="minorHAnsi" w:cstheme="minorHAnsi"/>
                <w:lang w:eastAsia="en-AU"/>
              </w:rPr>
              <w:t>treatment</w:t>
            </w:r>
            <w:r w:rsidRPr="007A7E15">
              <w:rPr>
                <w:rFonts w:asciiTheme="minorHAnsi" w:hAnsiTheme="minorHAnsi" w:cstheme="minorHAnsi"/>
                <w:lang w:eastAsia="en-AU"/>
              </w:rPr>
              <w:t xml:space="preserve"> wi</w:t>
            </w:r>
            <w:r>
              <w:rPr>
                <w:rFonts w:asciiTheme="minorHAnsi" w:hAnsiTheme="minorHAnsi" w:cstheme="minorHAnsi"/>
                <w:lang w:eastAsia="en-AU"/>
              </w:rPr>
              <w:t xml:space="preserve">th this drug for this condition prior </w:t>
            </w:r>
            <w:r w:rsidRPr="007A7E15">
              <w:rPr>
                <w:rFonts w:asciiTheme="minorHAnsi" w:hAnsiTheme="minorHAnsi" w:cstheme="minorHAnsi"/>
                <w:lang w:eastAsia="en-AU"/>
              </w:rPr>
              <w:t>to [1 month year],</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had a documented history of  a Psoriasis Area and Severity Index (PASI) score of greater than 15 prior to commencing non-PBS- subsidised treatment with this drug,</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have demonstrated an adequate response to their most recent course of non-PBS-subsidised treatment with this drug as specified in the continuing treatment restriction</w:t>
            </w:r>
            <w:r>
              <w:rPr>
                <w:rFonts w:asciiTheme="minorHAnsi" w:hAnsiTheme="minorHAnsi" w:cstheme="minorHAnsi"/>
                <w:lang w:eastAsia="en-AU"/>
              </w:rPr>
              <w:t xml:space="preserve"> (whole body)</w:t>
            </w:r>
            <w:r w:rsidRPr="007A7E15">
              <w:rPr>
                <w:rFonts w:asciiTheme="minorHAnsi" w:hAnsiTheme="minorHAnsi" w:cstheme="minorHAnsi"/>
                <w:lang w:eastAsia="en-AU"/>
              </w:rPr>
              <w:t>,</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treatment must be as systemic monotherapy (other than methotrexate),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not receive more than 24 weeks of treatment under this restriction.</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Population criteria:</w:t>
            </w: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Prescriber Instructions</w:t>
            </w:r>
          </w:p>
          <w:p w:rsidR="008D1A9A" w:rsidRPr="007A7E15" w:rsidRDefault="008D1A9A" w:rsidP="00AE3079">
            <w:pPr>
              <w:rPr>
                <w:rFonts w:asciiTheme="minorHAnsi" w:hAnsiTheme="minorHAnsi" w:cstheme="minorHAnsi"/>
                <w:lang w:eastAsia="en-AU"/>
              </w:rPr>
            </w:pPr>
          </w:p>
        </w:tc>
        <w:tc>
          <w:tcPr>
            <w:tcW w:w="6095" w:type="dxa"/>
            <w:gridSpan w:val="5"/>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authority application must be made in writing and must include:</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 a completed authority prescription form;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(b) a completed Severe Chronic Plaque Psoriasis PBS Authority Application - Supporting Information Form which includes the following:</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w:t>
            </w:r>
            <w:proofErr w:type="spellStart"/>
            <w:r w:rsidRPr="007A7E15">
              <w:rPr>
                <w:rFonts w:asciiTheme="minorHAnsi" w:hAnsiTheme="minorHAnsi" w:cstheme="minorHAnsi"/>
                <w:lang w:eastAsia="en-AU"/>
              </w:rPr>
              <w:t>i</w:t>
            </w:r>
            <w:proofErr w:type="spellEnd"/>
            <w:r w:rsidRPr="007A7E15">
              <w:rPr>
                <w:rFonts w:asciiTheme="minorHAnsi" w:hAnsiTheme="minorHAnsi" w:cstheme="minorHAnsi"/>
                <w:lang w:eastAsia="en-AU"/>
              </w:rPr>
              <w:t>) the completed Psoriasis Area and Severity Index (PASI) calculation sheets including the date of assessment of the patient's condition at baseline (prior to initiation of non-PBS-subsidised therapy with this drug) and the most recent PASI assessment;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(ii) details of previous phototherapy and systemic drug therapy [dosage (where applicable), date of commencement and duration of therapy]; and</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 xml:space="preserve">(iii) </w:t>
            </w:r>
            <w:proofErr w:type="gramStart"/>
            <w:r w:rsidRPr="007A7E15">
              <w:rPr>
                <w:rFonts w:asciiTheme="minorHAnsi" w:hAnsiTheme="minorHAnsi" w:cstheme="minorHAnsi"/>
                <w:lang w:eastAsia="en-AU"/>
              </w:rPr>
              <w:t>the</w:t>
            </w:r>
            <w:proofErr w:type="gramEnd"/>
            <w:r w:rsidRPr="007A7E15">
              <w:rPr>
                <w:rFonts w:asciiTheme="minorHAnsi" w:hAnsiTheme="minorHAnsi" w:cstheme="minorHAnsi"/>
                <w:lang w:eastAsia="en-AU"/>
              </w:rPr>
              <w:t xml:space="preserve"> signed patient and prescriber acknowledgements.</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The most recent PASI assessment must be no more than 1 month old at the time of the application.</w:t>
            </w:r>
          </w:p>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A patient may qualify for PBS-subsidised treatment under this restriction once only.</w:t>
            </w:r>
          </w:p>
          <w:p w:rsidR="008D1A9A" w:rsidRPr="007A7E15" w:rsidRDefault="008D1A9A" w:rsidP="00AE3079">
            <w:pPr>
              <w:rPr>
                <w:rFonts w:asciiTheme="minorHAnsi" w:hAnsiTheme="minorHAnsi" w:cstheme="minorHAnsi"/>
                <w:lang w:eastAsia="en-AU"/>
              </w:rPr>
            </w:pP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Administrative Advice</w:t>
            </w:r>
          </w:p>
          <w:p w:rsidR="008D1A9A" w:rsidRPr="007A7E15" w:rsidRDefault="008D1A9A" w:rsidP="00AE3079">
            <w:pPr>
              <w:rPr>
                <w:rFonts w:asciiTheme="minorHAnsi" w:hAnsiTheme="minorHAnsi" w:cstheme="minorHAnsi"/>
                <w:i/>
                <w:lang w:eastAsia="en-AU"/>
              </w:rPr>
            </w:pP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No increase in the maximum number of repeats may be authorised</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 PASI assessment of the patient's response to this initial course of therapy must be conducted within 4 weeks prior to completion of this course of treatment.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8D1A9A"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 xml:space="preserve">In circumstances where is not possible to submit a response </w:t>
            </w:r>
            <w:r w:rsidRPr="007A7E15">
              <w:rPr>
                <w:rFonts w:asciiTheme="minorHAnsi" w:hAnsiTheme="minorHAnsi" w:cstheme="minorHAnsi"/>
                <w:lang w:eastAsia="en-AU"/>
              </w:rPr>
              <w:lastRenderedPageBreak/>
              <w:t>assessment within these timeframes, please call the Department of Human Services on 1800 700 270 to discuss.</w:t>
            </w:r>
          </w:p>
          <w:p w:rsidR="008D1A9A" w:rsidRPr="00610847"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610847">
              <w:rPr>
                <w:rFonts w:asciiTheme="minorHAnsi" w:hAnsiTheme="minorHAnsi" w:cstheme="minorHAnsi"/>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Any queries concerning the arrangements to prescribe may be directed to the Department of Human Services on 1800 700 270 (hours of operation 8 a.m. to 5 p.m. EST Monday to Friday).</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Applications for authority to prescribe should be forwarded to:</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Department of Human Services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Complex Drugs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Reply Paid 9826</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HOBART TAS 7001</w:t>
            </w:r>
          </w:p>
        </w:tc>
      </w:tr>
    </w:tbl>
    <w:p w:rsidR="008D1A9A" w:rsidRDefault="008D1A9A" w:rsidP="008D1A9A">
      <w:pPr>
        <w:rPr>
          <w:rFonts w:asciiTheme="minorHAnsi" w:hAnsiTheme="minorHAnsi" w:cstheme="minorHAnsi"/>
        </w:rPr>
      </w:pPr>
    </w:p>
    <w:p w:rsidR="008D1A9A" w:rsidRDefault="008D1A9A" w:rsidP="008D1A9A">
      <w:pPr>
        <w:rPr>
          <w:rFonts w:asciiTheme="minorHAnsi" w:hAnsiTheme="minorHAnsi" w:cstheme="minorHAnsi"/>
        </w:rPr>
      </w:pPr>
    </w:p>
    <w:p w:rsidR="008D1A9A" w:rsidRPr="00834C59" w:rsidRDefault="008D1A9A" w:rsidP="008D1A9A">
      <w:pPr>
        <w:outlineLvl w:val="1"/>
        <w:rPr>
          <w:rFonts w:asciiTheme="minorHAnsi" w:hAnsiTheme="minorHAnsi" w:cstheme="minorHAnsi"/>
          <w:b/>
        </w:rPr>
      </w:pPr>
      <w:r w:rsidRPr="00834C59">
        <w:rPr>
          <w:rFonts w:asciiTheme="minorHAnsi" w:hAnsiTheme="minorHAnsi" w:cstheme="minorHAnsi"/>
          <w:b/>
        </w:rPr>
        <w:t>Restriction 7</w:t>
      </w:r>
      <w:r w:rsidRPr="00834C59">
        <w:rPr>
          <w:rFonts w:asciiTheme="minorHAnsi" w:hAnsiTheme="minorHAnsi" w:cstheme="minorHAnsi"/>
          <w:b/>
        </w:rPr>
        <w:br w:type="page"/>
      </w:r>
    </w:p>
    <w:tbl>
      <w:tblPr>
        <w:tblW w:w="9072" w:type="dxa"/>
        <w:tblInd w:w="108" w:type="dxa"/>
        <w:tblLayout w:type="fixed"/>
        <w:tblLook w:val="0000" w:firstRow="0" w:lastRow="0" w:firstColumn="0" w:lastColumn="0" w:noHBand="0" w:noVBand="0"/>
      </w:tblPr>
      <w:tblGrid>
        <w:gridCol w:w="2977"/>
        <w:gridCol w:w="6095"/>
      </w:tblGrid>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lastRenderedPageBreak/>
              <w:t>Episodicity: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r w:rsidRPr="007A7E15">
              <w:rPr>
                <w:rFonts w:asciiTheme="minorHAnsi" w:hAnsiTheme="minorHAnsi" w:cstheme="minorHAnsi"/>
              </w:rPr>
              <w:t>N/A</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Severity: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r w:rsidRPr="007A7E15">
              <w:rPr>
                <w:rFonts w:asciiTheme="minorHAnsi" w:hAnsiTheme="minorHAnsi" w:cstheme="minorHAnsi"/>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Condition: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r w:rsidRPr="007A7E15">
              <w:rPr>
                <w:rFonts w:asciiTheme="minorHAnsi" w:hAnsiTheme="minorHAnsi" w:cstheme="minorHAnsi"/>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PBS Indication: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r w:rsidRPr="007A7E15">
              <w:rPr>
                <w:rFonts w:asciiTheme="minorHAnsi" w:hAnsiTheme="minorHAnsi" w:cstheme="minorHAnsi"/>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Treatment phase:</w:t>
            </w:r>
          </w:p>
          <w:p w:rsidR="008D1A9A" w:rsidRPr="007A7E15" w:rsidRDefault="008D1A9A" w:rsidP="00AE3079">
            <w:pPr>
              <w:rPr>
                <w:rFonts w:asciiTheme="minorHAnsi" w:hAnsiTheme="minorHAnsi" w:cstheme="minorHAnsi"/>
                <w:i/>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 xml:space="preserve">Grandfather treatment- Face, hand and foot </w:t>
            </w:r>
            <w:r w:rsidRPr="007A7E15">
              <w:rPr>
                <w:rFonts w:asciiTheme="minorHAnsi" w:hAnsiTheme="minorHAnsi" w:cstheme="minorHAnsi"/>
              </w:rPr>
              <w:t>(initial PBS-subsidised supply for continuing treatment in a patient commenced on non-PBS-subsidised therapy)</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Restriction:</w:t>
            </w:r>
          </w:p>
          <w:p w:rsidR="008D1A9A" w:rsidRPr="007A7E15" w:rsidRDefault="008D1A9A" w:rsidP="00AE3079">
            <w:pPr>
              <w:rPr>
                <w:rFonts w:asciiTheme="minorHAnsi" w:hAnsiTheme="minorHAnsi" w:cstheme="minorHAnsi"/>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r w:rsidRPr="007A7E15">
              <w:rPr>
                <w:rFonts w:asciiTheme="minorHAnsi" w:hAnsiTheme="minorHAnsi" w:cstheme="minorHAnsi"/>
              </w:rPr>
              <w:fldChar w:fldCharType="begin">
                <w:ffData>
                  <w:name w:val="Check1"/>
                  <w:enabled/>
                  <w:calcOnExit w:val="0"/>
                  <w:checkBox>
                    <w:sizeAuto/>
                    <w:default w:val="0"/>
                  </w:checkBox>
                </w:ffData>
              </w:fldChar>
            </w:r>
            <w:r w:rsidRPr="007A7E15">
              <w:rPr>
                <w:rFonts w:asciiTheme="minorHAnsi" w:hAnsiTheme="minorHAnsi" w:cstheme="minorHAnsi"/>
              </w:rPr>
              <w:instrText xml:space="preserve"> FORMCHECKBOX </w:instrText>
            </w:r>
            <w:r w:rsidR="00F14289">
              <w:rPr>
                <w:rFonts w:asciiTheme="minorHAnsi" w:hAnsiTheme="minorHAnsi" w:cstheme="minorHAnsi"/>
              </w:rPr>
            </w:r>
            <w:r w:rsidR="00F14289">
              <w:rPr>
                <w:rFonts w:asciiTheme="minorHAnsi" w:hAnsiTheme="minorHAnsi" w:cstheme="minorHAnsi"/>
              </w:rPr>
              <w:fldChar w:fldCharType="separate"/>
            </w:r>
            <w:r w:rsidRPr="007A7E15">
              <w:rPr>
                <w:rFonts w:asciiTheme="minorHAnsi" w:hAnsiTheme="minorHAnsi" w:cstheme="minorHAnsi"/>
              </w:rPr>
              <w:fldChar w:fldCharType="end"/>
            </w:r>
            <w:r w:rsidRPr="007A7E15">
              <w:rPr>
                <w:rFonts w:asciiTheme="minorHAnsi" w:hAnsiTheme="minorHAnsi" w:cstheme="minorHAnsi"/>
              </w:rPr>
              <w:t>Restricted benefit</w:t>
            </w:r>
          </w:p>
          <w:p w:rsidR="008D1A9A" w:rsidRPr="007A7E15" w:rsidRDefault="008D1A9A" w:rsidP="00AE3079">
            <w:pPr>
              <w:rPr>
                <w:rFonts w:asciiTheme="minorHAnsi" w:hAnsiTheme="minorHAnsi" w:cstheme="minorHAnsi"/>
              </w:rPr>
            </w:pPr>
            <w:r w:rsidRPr="007A7E15">
              <w:rPr>
                <w:rFonts w:asciiTheme="minorHAnsi" w:hAnsiTheme="minorHAnsi" w:cstheme="minorHAnsi"/>
              </w:rPr>
              <w:fldChar w:fldCharType="begin">
                <w:ffData>
                  <w:name w:val=""/>
                  <w:enabled/>
                  <w:calcOnExit w:val="0"/>
                  <w:checkBox>
                    <w:sizeAuto/>
                    <w:default w:val="1"/>
                  </w:checkBox>
                </w:ffData>
              </w:fldChar>
            </w:r>
            <w:r w:rsidRPr="007A7E15">
              <w:rPr>
                <w:rFonts w:asciiTheme="minorHAnsi" w:hAnsiTheme="minorHAnsi" w:cstheme="minorHAnsi"/>
              </w:rPr>
              <w:instrText xml:space="preserve"> FORMCHECKBOX </w:instrText>
            </w:r>
            <w:r w:rsidR="00F14289">
              <w:rPr>
                <w:rFonts w:asciiTheme="minorHAnsi" w:hAnsiTheme="minorHAnsi" w:cstheme="minorHAnsi"/>
              </w:rPr>
            </w:r>
            <w:r w:rsidR="00F14289">
              <w:rPr>
                <w:rFonts w:asciiTheme="minorHAnsi" w:hAnsiTheme="minorHAnsi" w:cstheme="minorHAnsi"/>
              </w:rPr>
              <w:fldChar w:fldCharType="separate"/>
            </w:r>
            <w:r w:rsidRPr="007A7E15">
              <w:rPr>
                <w:rFonts w:asciiTheme="minorHAnsi" w:hAnsiTheme="minorHAnsi" w:cstheme="minorHAnsi"/>
              </w:rPr>
              <w:fldChar w:fldCharType="end"/>
            </w:r>
            <w:r w:rsidRPr="007A7E15">
              <w:rPr>
                <w:rFonts w:asciiTheme="minorHAnsi" w:hAnsiTheme="minorHAnsi" w:cstheme="minorHAnsi"/>
              </w:rPr>
              <w:t>Authority Required - In Writing</w:t>
            </w:r>
            <w:r w:rsidRPr="007A7E15">
              <w:rPr>
                <w:rFonts w:asciiTheme="minorHAnsi" w:hAnsiTheme="minorHAnsi" w:cstheme="minorHAnsi"/>
              </w:rPr>
              <w:tab/>
            </w:r>
          </w:p>
          <w:p w:rsidR="008D1A9A" w:rsidRPr="007A7E15" w:rsidRDefault="008D1A9A" w:rsidP="00AE3079">
            <w:pPr>
              <w:rPr>
                <w:rFonts w:asciiTheme="minorHAnsi" w:hAnsiTheme="minorHAnsi" w:cstheme="minorHAnsi"/>
              </w:rPr>
            </w:pPr>
            <w:r w:rsidRPr="007A7E15">
              <w:rPr>
                <w:rFonts w:asciiTheme="minorHAnsi" w:hAnsiTheme="minorHAnsi" w:cstheme="minorHAnsi"/>
              </w:rPr>
              <w:fldChar w:fldCharType="begin">
                <w:ffData>
                  <w:name w:val="Check3"/>
                  <w:enabled/>
                  <w:calcOnExit w:val="0"/>
                  <w:checkBox>
                    <w:sizeAuto/>
                    <w:default w:val="0"/>
                  </w:checkBox>
                </w:ffData>
              </w:fldChar>
            </w:r>
            <w:r w:rsidRPr="007A7E15">
              <w:rPr>
                <w:rFonts w:asciiTheme="minorHAnsi" w:hAnsiTheme="minorHAnsi" w:cstheme="minorHAnsi"/>
              </w:rPr>
              <w:instrText xml:space="preserve"> FORMCHECKBOX </w:instrText>
            </w:r>
            <w:r w:rsidR="00F14289">
              <w:rPr>
                <w:rFonts w:asciiTheme="minorHAnsi" w:hAnsiTheme="minorHAnsi" w:cstheme="minorHAnsi"/>
              </w:rPr>
            </w:r>
            <w:r w:rsidR="00F14289">
              <w:rPr>
                <w:rFonts w:asciiTheme="minorHAnsi" w:hAnsiTheme="minorHAnsi" w:cstheme="minorHAnsi"/>
              </w:rPr>
              <w:fldChar w:fldCharType="separate"/>
            </w:r>
            <w:r w:rsidRPr="007A7E15">
              <w:rPr>
                <w:rFonts w:asciiTheme="minorHAnsi" w:hAnsiTheme="minorHAnsi" w:cstheme="minorHAnsi"/>
              </w:rPr>
              <w:fldChar w:fldCharType="end"/>
            </w:r>
            <w:r w:rsidRPr="007A7E15">
              <w:rPr>
                <w:rFonts w:asciiTheme="minorHAnsi" w:hAnsiTheme="minorHAnsi" w:cstheme="minorHAnsi"/>
              </w:rPr>
              <w:t>Authority Required - Telephone</w:t>
            </w:r>
          </w:p>
          <w:p w:rsidR="008D1A9A" w:rsidRPr="007A7E15" w:rsidRDefault="008D1A9A" w:rsidP="00AE3079">
            <w:pPr>
              <w:rPr>
                <w:rFonts w:asciiTheme="minorHAnsi" w:hAnsiTheme="minorHAnsi" w:cstheme="minorHAnsi"/>
              </w:rPr>
            </w:pPr>
            <w:r w:rsidRPr="007A7E15">
              <w:rPr>
                <w:rFonts w:asciiTheme="minorHAnsi" w:hAnsiTheme="minorHAnsi" w:cstheme="minorHAnsi"/>
              </w:rPr>
              <w:fldChar w:fldCharType="begin">
                <w:ffData>
                  <w:name w:val=""/>
                  <w:enabled/>
                  <w:calcOnExit w:val="0"/>
                  <w:checkBox>
                    <w:sizeAuto/>
                    <w:default w:val="0"/>
                  </w:checkBox>
                </w:ffData>
              </w:fldChar>
            </w:r>
            <w:r w:rsidRPr="007A7E15">
              <w:rPr>
                <w:rFonts w:asciiTheme="minorHAnsi" w:hAnsiTheme="minorHAnsi" w:cstheme="minorHAnsi"/>
              </w:rPr>
              <w:instrText xml:space="preserve"> FORMCHECKBOX </w:instrText>
            </w:r>
            <w:r w:rsidR="00F14289">
              <w:rPr>
                <w:rFonts w:asciiTheme="minorHAnsi" w:hAnsiTheme="minorHAnsi" w:cstheme="minorHAnsi"/>
              </w:rPr>
            </w:r>
            <w:r w:rsidR="00F14289">
              <w:rPr>
                <w:rFonts w:asciiTheme="minorHAnsi" w:hAnsiTheme="minorHAnsi" w:cstheme="minorHAnsi"/>
              </w:rPr>
              <w:fldChar w:fldCharType="separate"/>
            </w:r>
            <w:r w:rsidRPr="007A7E15">
              <w:rPr>
                <w:rFonts w:asciiTheme="minorHAnsi" w:hAnsiTheme="minorHAnsi" w:cstheme="minorHAnsi"/>
              </w:rPr>
              <w:fldChar w:fldCharType="end"/>
            </w:r>
            <w:r w:rsidRPr="007A7E15">
              <w:rPr>
                <w:rFonts w:asciiTheme="minorHAnsi" w:hAnsiTheme="minorHAnsi" w:cstheme="minorHAnsi"/>
              </w:rPr>
              <w:t>Authority Required – Emergency</w:t>
            </w:r>
          </w:p>
          <w:p w:rsidR="008D1A9A" w:rsidRPr="007A7E15" w:rsidRDefault="008D1A9A" w:rsidP="00AE3079">
            <w:pPr>
              <w:rPr>
                <w:rFonts w:asciiTheme="minorHAnsi" w:hAnsiTheme="minorHAnsi" w:cstheme="minorHAnsi"/>
              </w:rPr>
            </w:pPr>
            <w:r w:rsidRPr="007A7E15">
              <w:rPr>
                <w:rFonts w:asciiTheme="minorHAnsi" w:hAnsiTheme="minorHAnsi" w:cstheme="minorHAnsi"/>
              </w:rPr>
              <w:fldChar w:fldCharType="begin">
                <w:ffData>
                  <w:name w:val="Check5"/>
                  <w:enabled/>
                  <w:calcOnExit w:val="0"/>
                  <w:checkBox>
                    <w:sizeAuto/>
                    <w:default w:val="0"/>
                  </w:checkBox>
                </w:ffData>
              </w:fldChar>
            </w:r>
            <w:r w:rsidRPr="007A7E15">
              <w:rPr>
                <w:rFonts w:asciiTheme="minorHAnsi" w:hAnsiTheme="minorHAnsi" w:cstheme="minorHAnsi"/>
              </w:rPr>
              <w:instrText xml:space="preserve"> FORMCHECKBOX </w:instrText>
            </w:r>
            <w:r w:rsidR="00F14289">
              <w:rPr>
                <w:rFonts w:asciiTheme="minorHAnsi" w:hAnsiTheme="minorHAnsi" w:cstheme="minorHAnsi"/>
              </w:rPr>
            </w:r>
            <w:r w:rsidR="00F14289">
              <w:rPr>
                <w:rFonts w:asciiTheme="minorHAnsi" w:hAnsiTheme="minorHAnsi" w:cstheme="minorHAnsi"/>
              </w:rPr>
              <w:fldChar w:fldCharType="separate"/>
            </w:r>
            <w:r w:rsidRPr="007A7E15">
              <w:rPr>
                <w:rFonts w:asciiTheme="minorHAnsi" w:hAnsiTheme="minorHAnsi" w:cstheme="minorHAnsi"/>
              </w:rPr>
              <w:fldChar w:fldCharType="end"/>
            </w:r>
            <w:r w:rsidRPr="007A7E15">
              <w:rPr>
                <w:rFonts w:asciiTheme="minorHAnsi" w:hAnsiTheme="minorHAnsi" w:cstheme="minorHAnsi"/>
              </w:rPr>
              <w:t>Authority Required - Electronic</w:t>
            </w:r>
          </w:p>
          <w:p w:rsidR="008D1A9A" w:rsidRPr="007A7E15" w:rsidRDefault="008D1A9A" w:rsidP="00AE3079">
            <w:pPr>
              <w:rPr>
                <w:rFonts w:asciiTheme="minorHAnsi" w:hAnsiTheme="minorHAnsi" w:cstheme="minorHAnsi"/>
              </w:rPr>
            </w:pPr>
            <w:r w:rsidRPr="007A7E15">
              <w:rPr>
                <w:rFonts w:asciiTheme="minorHAnsi" w:hAnsiTheme="minorHAnsi" w:cstheme="minorHAnsi"/>
              </w:rPr>
              <w:fldChar w:fldCharType="begin">
                <w:ffData>
                  <w:name w:val="Check5"/>
                  <w:enabled/>
                  <w:calcOnExit w:val="0"/>
                  <w:checkBox>
                    <w:sizeAuto/>
                    <w:default w:val="0"/>
                  </w:checkBox>
                </w:ffData>
              </w:fldChar>
            </w:r>
            <w:r w:rsidRPr="007A7E15">
              <w:rPr>
                <w:rFonts w:asciiTheme="minorHAnsi" w:hAnsiTheme="minorHAnsi" w:cstheme="minorHAnsi"/>
              </w:rPr>
              <w:instrText xml:space="preserve"> FORMCHECKBOX </w:instrText>
            </w:r>
            <w:r w:rsidR="00F14289">
              <w:rPr>
                <w:rFonts w:asciiTheme="minorHAnsi" w:hAnsiTheme="minorHAnsi" w:cstheme="minorHAnsi"/>
              </w:rPr>
            </w:r>
            <w:r w:rsidR="00F14289">
              <w:rPr>
                <w:rFonts w:asciiTheme="minorHAnsi" w:hAnsiTheme="minorHAnsi" w:cstheme="minorHAnsi"/>
              </w:rPr>
              <w:fldChar w:fldCharType="separate"/>
            </w:r>
            <w:r w:rsidRPr="007A7E15">
              <w:rPr>
                <w:rFonts w:asciiTheme="minorHAnsi" w:hAnsiTheme="minorHAnsi" w:cstheme="minorHAnsi"/>
              </w:rPr>
              <w:fldChar w:fldCharType="end"/>
            </w:r>
            <w:r w:rsidRPr="007A7E15">
              <w:rPr>
                <w:rFonts w:asciiTheme="minorHAnsi" w:hAnsiTheme="minorHAnsi" w:cstheme="minorHAnsi"/>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Treatment criteria:</w:t>
            </w:r>
          </w:p>
          <w:p w:rsidR="008D1A9A" w:rsidRPr="007A7E15" w:rsidRDefault="008D1A9A" w:rsidP="00AE3079">
            <w:pPr>
              <w:rPr>
                <w:rFonts w:asciiTheme="minorHAnsi" w:hAnsiTheme="minorHAnsi" w:cstheme="minorHAnsi"/>
                <w:i/>
              </w:rPr>
            </w:pPr>
          </w:p>
          <w:p w:rsidR="008D1A9A" w:rsidRPr="007A7E15" w:rsidRDefault="008D1A9A" w:rsidP="00AE3079">
            <w:pPr>
              <w:rPr>
                <w:rFonts w:asciiTheme="minorHAnsi" w:hAnsiTheme="minorHAnsi" w:cstheme="minorHAnsi"/>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lastRenderedPageBreak/>
              <w:t>Clinical criteria:</w:t>
            </w:r>
          </w:p>
          <w:p w:rsidR="008D1A9A" w:rsidRPr="007A7E15" w:rsidRDefault="008D1A9A" w:rsidP="00AE3079">
            <w:pPr>
              <w:rPr>
                <w:rFonts w:asciiTheme="minorHAnsi" w:hAnsiTheme="minorHAnsi" w:cstheme="minorHAnsi"/>
                <w:i/>
              </w:rPr>
            </w:pPr>
          </w:p>
          <w:p w:rsidR="008D1A9A" w:rsidRPr="007A7E15" w:rsidRDefault="008D1A9A" w:rsidP="00AE3079">
            <w:pPr>
              <w:rPr>
                <w:rFonts w:asciiTheme="minorHAnsi" w:hAnsiTheme="minorHAnsi" w:cstheme="minorHAnsi"/>
                <w:i/>
              </w:rPr>
            </w:pPr>
          </w:p>
          <w:p w:rsidR="008D1A9A" w:rsidRPr="007A7E15" w:rsidRDefault="008D1A9A" w:rsidP="00AE3079">
            <w:pPr>
              <w:rPr>
                <w:rFonts w:asciiTheme="minorHAnsi" w:hAnsiTheme="minorHAnsi" w:cstheme="minorHAnsi"/>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r w:rsidRPr="007A7E15">
              <w:rPr>
                <w:rFonts w:asciiTheme="minorHAnsi" w:hAnsiTheme="minorHAnsi" w:cstheme="minorHAnsi"/>
              </w:rPr>
              <w:t>Patient must have a documented history of severe chronic plaque psoriasis of the face or palm of a hand or sole of a foot,</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 xml:space="preserve">AND </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 xml:space="preserve">Patient must have previously received non-PBS-subsidised </w:t>
            </w:r>
            <w:r>
              <w:rPr>
                <w:rFonts w:asciiTheme="minorHAnsi" w:hAnsiTheme="minorHAnsi" w:cstheme="minorHAnsi"/>
              </w:rPr>
              <w:t>treatment</w:t>
            </w:r>
            <w:r w:rsidRPr="007A7E15">
              <w:rPr>
                <w:rFonts w:asciiTheme="minorHAnsi" w:hAnsiTheme="minorHAnsi" w:cstheme="minorHAnsi"/>
              </w:rPr>
              <w:t xml:space="preserve"> with this drug for this condition prior to [1 month year],</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Patient must have had a documented history of disease, prior to commencing non-PBS- subsidised treatment with this drug, classified as severe due to a plaque or plaques on the face, palm of a hand or sole of a foot where: (</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at least 2 of the 3 Psoriasis Area and Severity Index (PASI) symptom </w:t>
            </w:r>
            <w:proofErr w:type="spellStart"/>
            <w:r w:rsidRPr="007A7E15">
              <w:rPr>
                <w:rFonts w:asciiTheme="minorHAnsi" w:hAnsiTheme="minorHAnsi" w:cstheme="minorHAnsi"/>
              </w:rPr>
              <w:t>subscores</w:t>
            </w:r>
            <w:proofErr w:type="spellEnd"/>
            <w:r w:rsidRPr="007A7E15">
              <w:rPr>
                <w:rFonts w:asciiTheme="minorHAnsi" w:hAnsiTheme="minorHAnsi" w:cstheme="minorHAnsi"/>
              </w:rPr>
              <w:t xml:space="preserve"> for erythema, thickness and scaling were rated as severe or very severe; or (ii) the skin area affected was 30% or more of the face, palm of a hand or sole of a foot,</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Patient must have demonstrated an adequate response to their most recent course of non-PBS-subsidised treatment with this drug as specified in the continuing treatment restriction (face, hand and foot),</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 xml:space="preserve">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(face, hand, foot) </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The treatment must be as systemic monotherapy (other than methotrexate),</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 xml:space="preserve">Patient must not receive more </w:t>
            </w:r>
            <w:r w:rsidRPr="00BD6B5B">
              <w:rPr>
                <w:rFonts w:asciiTheme="minorHAnsi" w:hAnsiTheme="minorHAnsi" w:cstheme="minorHAnsi"/>
              </w:rPr>
              <w:t>than 24</w:t>
            </w:r>
            <w:r w:rsidRPr="007A7E15">
              <w:rPr>
                <w:rFonts w:asciiTheme="minorHAnsi" w:hAnsiTheme="minorHAnsi" w:cstheme="minorHAnsi"/>
                <w:b/>
              </w:rPr>
              <w:t xml:space="preserve"> </w:t>
            </w:r>
            <w:r w:rsidRPr="007A7E15">
              <w:rPr>
                <w:rFonts w:asciiTheme="minorHAnsi" w:hAnsiTheme="minorHAnsi" w:cstheme="minorHAnsi"/>
              </w:rPr>
              <w:t>weeks of treatment under this restriction.</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lastRenderedPageBreak/>
              <w:t>Population criteria:</w:t>
            </w:r>
          </w:p>
          <w:p w:rsidR="008D1A9A" w:rsidRPr="007A7E15" w:rsidRDefault="008D1A9A" w:rsidP="00AE3079">
            <w:pPr>
              <w:rPr>
                <w:rFonts w:asciiTheme="minorHAnsi" w:hAnsiTheme="minorHAnsi" w:cstheme="minorHAns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rPr>
            </w:pPr>
            <w:r w:rsidRPr="007A7E15">
              <w:rPr>
                <w:rFonts w:asciiTheme="minorHAnsi" w:hAnsiTheme="minorHAnsi" w:cstheme="minorHAnsi"/>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Prescriber Instructions</w:t>
            </w:r>
          </w:p>
          <w:p w:rsidR="008D1A9A" w:rsidRPr="007A7E15" w:rsidRDefault="008D1A9A" w:rsidP="00AE3079">
            <w:pPr>
              <w:rPr>
                <w:rFonts w:asciiTheme="minorHAnsi" w:hAnsiTheme="minorHAnsi" w:cstheme="minorHAnsi"/>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rPr>
            </w:pPr>
            <w:r w:rsidRPr="007A7E15">
              <w:rPr>
                <w:rFonts w:asciiTheme="minorHAnsi" w:hAnsiTheme="minorHAnsi" w:cstheme="minorHAnsi"/>
              </w:rPr>
              <w:t>The authority application must be made in writing and must include:</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(a) a completed authority prescription form; 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(b) a completed Severe Chronic Plaque Psoriasis PBS Authority Application - Supporting Information Form which includes the following:</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the completed Psoriasis Area and Severity Index (PASI) calculation sheet and face, hand, foot area diagrams including the date of the assessment of the patient's condition at baseline (prior to initiation of therapy with this drug) and the most recent PASI assessment; 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(ii) details of previous phototherapy and systemic drug therapy [dosage (where applicable), date of commencement and duration of therapy]; and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 xml:space="preserve">(iii) </w:t>
            </w:r>
            <w:proofErr w:type="gramStart"/>
            <w:r w:rsidRPr="007A7E15">
              <w:rPr>
                <w:rFonts w:asciiTheme="minorHAnsi" w:hAnsiTheme="minorHAnsi" w:cstheme="minorHAnsi"/>
              </w:rPr>
              <w:t>the</w:t>
            </w:r>
            <w:proofErr w:type="gramEnd"/>
            <w:r w:rsidRPr="007A7E15">
              <w:rPr>
                <w:rFonts w:asciiTheme="minorHAnsi" w:hAnsiTheme="minorHAnsi" w:cstheme="minorHAnsi"/>
              </w:rPr>
              <w:t xml:space="preserve"> signed patient and prescriber acknowledgements.</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The most recent PASI assessment must be no more than 1 month old at the time of the application.</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The PASI assessment must be performed on the same affected area as assessed at baseline or prior to initiation of treatment with this drug</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A patient may qualify for PBS-subsidised treatment under this restriction once only.</w:t>
            </w:r>
          </w:p>
          <w:p w:rsidR="008D1A9A" w:rsidRPr="007A7E15" w:rsidRDefault="008D1A9A" w:rsidP="00AE3079">
            <w:pPr>
              <w:rPr>
                <w:rFonts w:asciiTheme="minorHAnsi" w:hAnsiTheme="minorHAnsi" w:cstheme="minorHAnsi"/>
              </w:rPr>
            </w:pP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rPr>
            </w:pPr>
            <w:r w:rsidRPr="007A7E15">
              <w:rPr>
                <w:rFonts w:asciiTheme="minorHAnsi" w:hAnsiTheme="minorHAnsi" w:cstheme="minorHAnsi"/>
                <w:b/>
              </w:rPr>
              <w:t>Administrative Advice</w:t>
            </w:r>
          </w:p>
          <w:p w:rsidR="008D1A9A" w:rsidRPr="007A7E15" w:rsidRDefault="008D1A9A" w:rsidP="00AE3079">
            <w:pPr>
              <w:rPr>
                <w:rFonts w:asciiTheme="minorHAnsi" w:hAnsiTheme="minorHAnsi" w:cstheme="minorHAnsi"/>
                <w: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Default="008D1A9A" w:rsidP="00AE3079">
            <w:pPr>
              <w:rPr>
                <w:rFonts w:asciiTheme="minorHAnsi" w:hAnsiTheme="minorHAnsi" w:cstheme="minorHAnsi"/>
              </w:rPr>
            </w:pPr>
            <w:r w:rsidRPr="007A7E15">
              <w:rPr>
                <w:rFonts w:asciiTheme="minorHAnsi" w:hAnsiTheme="minorHAnsi" w:cstheme="minorHAnsi"/>
              </w:rPr>
              <w:t>No increase in the maximum number of repeats may be authorised</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 xml:space="preserve">A PASI assessment of the patient's response to this initial PBS-subsidised course of therapy must be conducted within 4 weeks prior to completion of this course of treatment. This assessment, which will be used to determine eligibility for continuing treatment, must be submitted to the Department of Human Services no later than 1 month from the date of completion of this initial course of treatment. </w:t>
            </w:r>
            <w:r w:rsidRPr="007A7E15">
              <w:rPr>
                <w:rFonts w:asciiTheme="minorHAnsi" w:hAnsiTheme="minorHAnsi" w:cstheme="minorHAnsi"/>
              </w:rPr>
              <w:lastRenderedPageBreak/>
              <w:t xml:space="preserve">Where a response assessment is not undertaken and submitted to the Department of Human Services within these timeframes, the patient will be deemed to have failed to respond to treatment with this drug. </w:t>
            </w:r>
          </w:p>
          <w:p w:rsidR="008D1A9A" w:rsidRDefault="008D1A9A" w:rsidP="00AE3079">
            <w:pPr>
              <w:rPr>
                <w:rFonts w:asciiTheme="minorHAnsi" w:hAnsiTheme="minorHAnsi" w:cstheme="minorHAnsi"/>
              </w:rPr>
            </w:pPr>
            <w:r w:rsidRPr="007A7E15">
              <w:rPr>
                <w:rFonts w:asciiTheme="minorHAnsi" w:hAnsiTheme="minorHAnsi" w:cstheme="minorHAnsi"/>
              </w:rPr>
              <w:t xml:space="preserve">In circumstances where it is not possible to submit a response assessment within these timeframes, please call the Department of Human Services on 1800 700 270 to discuss. </w:t>
            </w:r>
          </w:p>
          <w:p w:rsidR="008D1A9A" w:rsidRPr="007A7E15" w:rsidRDefault="008D1A9A" w:rsidP="00AE3079">
            <w:pPr>
              <w:rPr>
                <w:rFonts w:asciiTheme="minorHAnsi" w:hAnsiTheme="minorHAnsi" w:cstheme="minorHAnsi"/>
              </w:rPr>
            </w:pPr>
          </w:p>
          <w:p w:rsidR="008D1A9A" w:rsidRDefault="008D1A9A" w:rsidP="00AE3079">
            <w:pPr>
              <w:rPr>
                <w:rFonts w:asciiTheme="minorHAnsi" w:hAnsiTheme="minorHAnsi" w:cstheme="minorHAnsi"/>
              </w:rPr>
            </w:pPr>
            <w:r w:rsidRPr="007A7E15">
              <w:rPr>
                <w:rFonts w:asciiTheme="minorHAnsi" w:hAnsiTheme="minorHAnsi" w:cstheme="minorHAnsi"/>
              </w:rPr>
              <w:t xml:space="preserve">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 </w:t>
            </w:r>
          </w:p>
          <w:p w:rsidR="008D1A9A" w:rsidRPr="007A7E15" w:rsidRDefault="008D1A9A" w:rsidP="00AE3079">
            <w:pPr>
              <w:rPr>
                <w:rFonts w:asciiTheme="minorHAnsi" w:hAnsiTheme="minorHAnsi" w:cstheme="minorHAnsi"/>
              </w:rPr>
            </w:pPr>
          </w:p>
          <w:p w:rsidR="008D1A9A" w:rsidRDefault="008D1A9A" w:rsidP="00AE3079">
            <w:pPr>
              <w:rPr>
                <w:rFonts w:asciiTheme="minorHAnsi" w:hAnsiTheme="minorHAnsi" w:cstheme="minorHAnsi"/>
              </w:rPr>
            </w:pPr>
            <w:r w:rsidRPr="007A7E15">
              <w:rPr>
                <w:rFonts w:asciiTheme="minorHAnsi" w:hAnsiTheme="minorHAnsi" w:cstheme="minorHAnsi"/>
              </w:rPr>
              <w:t>Any queries concerning the arrangements to prescribe may be directed to the Department of Human Services on 1800 700 270 (hours of operation 8 a.m. to 5 p.m. EST Monday to Friday).</w:t>
            </w:r>
          </w:p>
          <w:p w:rsidR="008D1A9A" w:rsidRPr="007A7E15" w:rsidRDefault="008D1A9A" w:rsidP="00AE3079">
            <w:pPr>
              <w:rPr>
                <w:rFonts w:asciiTheme="minorHAnsi" w:hAnsiTheme="minorHAnsi" w:cstheme="minorHAnsi"/>
              </w:rPr>
            </w:pPr>
          </w:p>
          <w:p w:rsidR="008D1A9A" w:rsidRPr="007A7E15" w:rsidRDefault="008D1A9A" w:rsidP="00AE3079">
            <w:pPr>
              <w:rPr>
                <w:rFonts w:asciiTheme="minorHAnsi" w:hAnsiTheme="minorHAnsi" w:cstheme="minorHAnsi"/>
              </w:rPr>
            </w:pPr>
            <w:r w:rsidRPr="007A7E15">
              <w:rPr>
                <w:rFonts w:asciiTheme="minorHAnsi" w:hAnsiTheme="minorHAnsi" w:cstheme="minorHAnsi"/>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rPr>
                <w:rFonts w:asciiTheme="minorHAnsi" w:hAnsiTheme="minorHAnsi" w:cstheme="minorHAnsi"/>
              </w:rPr>
            </w:pPr>
            <w:r w:rsidRPr="007A7E15">
              <w:rPr>
                <w:rFonts w:asciiTheme="minorHAnsi" w:hAnsiTheme="minorHAnsi" w:cstheme="minorHAnsi"/>
              </w:rPr>
              <w:t>Applications for authority to prescribe should be forwarded to:</w:t>
            </w:r>
          </w:p>
          <w:p w:rsidR="008D1A9A" w:rsidRPr="007A7E15" w:rsidRDefault="008D1A9A" w:rsidP="00AE3079">
            <w:pPr>
              <w:rPr>
                <w:rFonts w:asciiTheme="minorHAnsi" w:hAnsiTheme="minorHAnsi" w:cstheme="minorHAnsi"/>
              </w:rPr>
            </w:pPr>
            <w:r w:rsidRPr="007A7E15">
              <w:rPr>
                <w:rFonts w:asciiTheme="minorHAnsi" w:hAnsiTheme="minorHAnsi" w:cstheme="minorHAnsi"/>
              </w:rPr>
              <w:t>Department of Human Services</w:t>
            </w:r>
          </w:p>
          <w:p w:rsidR="008D1A9A" w:rsidRPr="007A7E15" w:rsidRDefault="008D1A9A" w:rsidP="00AE3079">
            <w:pPr>
              <w:rPr>
                <w:rFonts w:asciiTheme="minorHAnsi" w:hAnsiTheme="minorHAnsi" w:cstheme="minorHAnsi"/>
              </w:rPr>
            </w:pPr>
            <w:r w:rsidRPr="007A7E15">
              <w:rPr>
                <w:rFonts w:asciiTheme="minorHAnsi" w:hAnsiTheme="minorHAnsi" w:cstheme="minorHAnsi"/>
              </w:rPr>
              <w:t>Complex Drugs</w:t>
            </w:r>
          </w:p>
          <w:p w:rsidR="008D1A9A" w:rsidRPr="007A7E15" w:rsidRDefault="008D1A9A" w:rsidP="00AE3079">
            <w:pPr>
              <w:rPr>
                <w:rFonts w:asciiTheme="minorHAnsi" w:hAnsiTheme="minorHAnsi" w:cstheme="minorHAnsi"/>
              </w:rPr>
            </w:pPr>
            <w:r w:rsidRPr="007A7E15">
              <w:rPr>
                <w:rFonts w:asciiTheme="minorHAnsi" w:hAnsiTheme="minorHAnsi" w:cstheme="minorHAnsi"/>
              </w:rPr>
              <w:t>Reply Paid 9826</w:t>
            </w:r>
          </w:p>
          <w:p w:rsidR="008D1A9A" w:rsidRPr="007A7E15" w:rsidRDefault="008D1A9A" w:rsidP="00AE3079">
            <w:pPr>
              <w:rPr>
                <w:rFonts w:asciiTheme="minorHAnsi" w:hAnsiTheme="minorHAnsi" w:cstheme="minorHAnsi"/>
              </w:rPr>
            </w:pPr>
            <w:r w:rsidRPr="007A7E15">
              <w:rPr>
                <w:rFonts w:asciiTheme="minorHAnsi" w:hAnsiTheme="minorHAnsi" w:cstheme="minorHAnsi"/>
              </w:rPr>
              <w:t>HOBART TAS 7001</w:t>
            </w:r>
          </w:p>
        </w:tc>
      </w:tr>
    </w:tbl>
    <w:p w:rsidR="008D1A9A" w:rsidRPr="007A7E15" w:rsidRDefault="008D1A9A" w:rsidP="008D1A9A">
      <w:pPr>
        <w:rPr>
          <w:rFonts w:asciiTheme="minorHAnsi" w:hAnsiTheme="minorHAnsi" w:cstheme="minorHAnsi"/>
        </w:rPr>
      </w:pPr>
    </w:p>
    <w:p w:rsidR="008D1A9A" w:rsidRPr="003E46EB" w:rsidRDefault="008D1A9A" w:rsidP="008D1A9A">
      <w:pPr>
        <w:outlineLvl w:val="1"/>
        <w:rPr>
          <w:rFonts w:asciiTheme="minorHAnsi" w:hAnsiTheme="minorHAnsi" w:cstheme="minorHAnsi"/>
          <w:b/>
        </w:rPr>
      </w:pPr>
      <w:r w:rsidRPr="003E46EB">
        <w:rPr>
          <w:rFonts w:asciiTheme="minorHAnsi" w:hAnsiTheme="minorHAnsi" w:cstheme="minorHAnsi"/>
          <w:b/>
        </w:rPr>
        <w:t>Restriction 8</w:t>
      </w:r>
    </w:p>
    <w:p w:rsidR="008D1A9A" w:rsidRPr="007A7E15" w:rsidRDefault="008D1A9A" w:rsidP="008D1A9A">
      <w:pPr>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2977"/>
        <w:gridCol w:w="6095"/>
      </w:tblGrid>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rPr>
              <w:t>Continuing treatment, Whole body</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Restriction:</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3"/>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Patient must have a documented history of severe chronic plaque psoriasis,</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received this drug as their most recent course of PBS-subsidised treatment with a biological agent for this condition in the current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demonstrated an adequate response to their most recent course of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treatment must be as systemic monotherapy (other than methotrexate),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not receive more than 24 weeks of treatment per continuing treatment course authorised under this restriction. </w:t>
            </w:r>
          </w:p>
          <w:p w:rsidR="008D1A9A" w:rsidRPr="007A7E15" w:rsidRDefault="008D1A9A" w:rsidP="00AE3079">
            <w:pPr>
              <w:rPr>
                <w:rFonts w:asciiTheme="minorHAnsi" w:hAnsiTheme="minorHAnsi" w:cstheme="minorHAnsi"/>
                <w:lang w:eastAsia="en-AU"/>
              </w:rPr>
            </w:pP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Population criteria:</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Prescriber Instructions</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For the purposes of this restriction 'biological agent' means adalimumab, etanercept, infliximab, ixekizumab, </w:t>
            </w:r>
            <w:proofErr w:type="spellStart"/>
            <w:r w:rsidRPr="007A7E15">
              <w:rPr>
                <w:rFonts w:asciiTheme="minorHAnsi" w:hAnsiTheme="minorHAnsi" w:cstheme="minorHAnsi"/>
              </w:rPr>
              <w:t>secukinumab</w:t>
            </w:r>
            <w:proofErr w:type="spellEnd"/>
            <w:r>
              <w:rPr>
                <w:rFonts w:asciiTheme="minorHAnsi" w:hAnsiTheme="minorHAnsi" w:cstheme="minorHAnsi"/>
              </w:rPr>
              <w:t xml:space="preserve">, </w:t>
            </w:r>
            <w:proofErr w:type="spellStart"/>
            <w:r w:rsidRPr="00BB5004">
              <w:rPr>
                <w:rFonts w:asciiTheme="minorHAnsi" w:hAnsiTheme="minorHAnsi" w:cstheme="minorHAnsi"/>
                <w:highlight w:val="yellow"/>
                <w:lang w:eastAsia="en-AU"/>
              </w:rPr>
              <w:t>tildrakizumab</w:t>
            </w:r>
            <w:proofErr w:type="spellEnd"/>
            <w:r w:rsidRPr="007A7E15">
              <w:rPr>
                <w:rFonts w:asciiTheme="minorHAnsi" w:hAnsiTheme="minorHAnsi" w:cstheme="minorHAnsi"/>
              </w:rPr>
              <w:t xml:space="preserve"> or ustekinumab.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An adequate response to treatment is defined as:</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 Psoriasis Area and Severity Index (PASI) score which is reduced by 75% or more, or is sustained at this level, when compared with the </w:t>
            </w:r>
            <w:proofErr w:type="spellStart"/>
            <w:r w:rsidRPr="007A7E15">
              <w:rPr>
                <w:rFonts w:asciiTheme="minorHAnsi" w:hAnsiTheme="minorHAnsi" w:cstheme="minorHAnsi"/>
              </w:rPr>
              <w:t>prebiological</w:t>
            </w:r>
            <w:proofErr w:type="spellEnd"/>
            <w:r w:rsidRPr="007A7E15">
              <w:rPr>
                <w:rFonts w:asciiTheme="minorHAnsi" w:hAnsiTheme="minorHAnsi" w:cstheme="minorHAnsi"/>
              </w:rPr>
              <w:t xml:space="preserve"> treatment baseline value </w:t>
            </w:r>
            <w:r w:rsidRPr="007A7E15">
              <w:rPr>
                <w:rFonts w:asciiTheme="minorHAnsi" w:hAnsiTheme="minorHAnsi" w:cstheme="minorHAnsi"/>
              </w:rPr>
              <w:lastRenderedPageBreak/>
              <w:t xml:space="preserve">for this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All applications for continuing treatment with this drug must include a measurement of response to the most recent course of PBS-subsidised therapy. This assessment must be submitted no later than 4 weeks from the cessation of that treatment course. If the application is the first application for continuing treatment with this drug, it must be accompanied by an assessment of response to a minimum of 12 weeks of treatment with the initial treatment course.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Where a response assessment is not submitted within these timeframes, the patient will be deemed to have failed to respond to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authority application must be made in writing and must include: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(a) a completed authority prescription form; 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(b) a completed Severe Chronic Plaque Psoriasis PBS Authority Application - Supporting Information Form which includes the following: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w:t>
            </w:r>
            <w:proofErr w:type="gramStart"/>
            <w:r w:rsidRPr="007A7E15">
              <w:rPr>
                <w:rFonts w:asciiTheme="minorHAnsi" w:hAnsiTheme="minorHAnsi" w:cstheme="minorHAnsi"/>
              </w:rPr>
              <w:t>the</w:t>
            </w:r>
            <w:proofErr w:type="gramEnd"/>
            <w:r w:rsidRPr="007A7E15">
              <w:rPr>
                <w:rFonts w:asciiTheme="minorHAnsi" w:hAnsiTheme="minorHAnsi" w:cstheme="minorHAnsi"/>
              </w:rPr>
              <w:t xml:space="preserve"> completed Psoriasis Area and Severity Index (PASI) calculation sheet including the date of the assessment of the patient's condition.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most recent PASI assessment must be no more than 1 month old at the time of application.</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Approval will be based on the PASI assessment of response to the most recent course of treatment with this drug. </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Administrative Advice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No increase in the maximum number of repeats may be authorised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 PASI assessment of the patient's response must be conducted within 4 weeks prior to completion of this course of treatment. This assessment, which will be used to determine eligibility for further continuing treatment, must be submitted to the Department of Human Services no later than 1 month from the date of completion of this course of treatment. Where a response assessment is not undertaken and submitted to the Department of Human Services within these timeframes, the patient will be deemed to have failed to respond to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lastRenderedPageBreak/>
              <w:t xml:space="preserve">In circumstances where it is not possible to submit a response assessment within these timeframes, please call the Department of Human Services on 1800 700 270 to discuss.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 </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Any queries concerning the arrangements to prescribe may be directed to the Department of Human Services on 1800 700 270 (hours of operation 8 a.m. to 5 p.m. EST Monday to Friday).</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Applications for authority to prescribe should be forwarded to:</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Department of Human Services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Complex Drugs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Reply Paid 9826</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HOBART TAS 7001</w:t>
            </w:r>
          </w:p>
        </w:tc>
      </w:tr>
    </w:tbl>
    <w:p w:rsidR="008D1A9A" w:rsidRDefault="008D1A9A" w:rsidP="008D1A9A">
      <w:pPr>
        <w:rPr>
          <w:rFonts w:asciiTheme="minorHAnsi" w:hAnsiTheme="minorHAnsi" w:cstheme="minorHAnsi"/>
        </w:rPr>
      </w:pPr>
    </w:p>
    <w:p w:rsidR="008D1A9A" w:rsidRPr="000761CE" w:rsidRDefault="008D1A9A" w:rsidP="008D1A9A">
      <w:pPr>
        <w:outlineLvl w:val="1"/>
        <w:rPr>
          <w:rFonts w:asciiTheme="minorHAnsi" w:hAnsiTheme="minorHAnsi" w:cstheme="minorHAnsi"/>
          <w:b/>
        </w:rPr>
      </w:pPr>
      <w:r w:rsidRPr="000761CE">
        <w:rPr>
          <w:rFonts w:asciiTheme="minorHAnsi" w:hAnsiTheme="minorHAnsi" w:cstheme="minorHAnsi"/>
          <w:b/>
        </w:rPr>
        <w:t>Restriction 9</w:t>
      </w:r>
    </w:p>
    <w:p w:rsidR="008D1A9A" w:rsidRPr="007A7E15" w:rsidRDefault="008D1A9A" w:rsidP="008D1A9A">
      <w:pPr>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2977"/>
        <w:gridCol w:w="6095"/>
      </w:tblGrid>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Episodicity: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N/A</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rPr>
              <w:t>Continuing treatment, Face, hand, foot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Restriction:</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3"/>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a documented history of severe chronic plaque psoriasis of the face, or palm of a hand or sole of a foot,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received this drug as their most recent course of PBS-subsidised treatment with a biological agent for this condition in the current Treatment Cycle,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demonstrated an adequate response to their most recent course of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treatment must be as systemic monotherapy (other than methotrexate),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not receive more than 24 weeks of treatment per continuing treatment course authorised under this restriction. </w:t>
            </w:r>
          </w:p>
          <w:p w:rsidR="008D1A9A" w:rsidRPr="007A7E15" w:rsidRDefault="008D1A9A" w:rsidP="00AE3079">
            <w:pPr>
              <w:rPr>
                <w:rFonts w:asciiTheme="minorHAnsi" w:hAnsiTheme="minorHAnsi" w:cstheme="minorHAnsi"/>
                <w:lang w:eastAsia="en-AU"/>
              </w:rPr>
            </w:pPr>
          </w:p>
        </w:tc>
      </w:tr>
      <w:tr w:rsidR="008D1A9A" w:rsidRPr="007A7E15" w:rsidTr="00AE3079">
        <w:trPr>
          <w:cantSplit/>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Population criteria:</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Patient must be aged 18 years or older.</w:t>
            </w: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Prescriber Instructions</w:t>
            </w:r>
          </w:p>
          <w:p w:rsidR="008D1A9A" w:rsidRPr="007A7E15" w:rsidRDefault="008D1A9A" w:rsidP="00AE3079">
            <w:pPr>
              <w:rPr>
                <w:rFonts w:asciiTheme="minorHAnsi" w:hAnsiTheme="minorHAnsi" w:cstheme="minorHAnsi"/>
                <w:lang w:eastAsia="en-AU"/>
              </w:rPr>
            </w:pPr>
          </w:p>
        </w:tc>
        <w:tc>
          <w:tcPr>
            <w:tcW w:w="6095"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For the purposes of this restriction 'biological agent' means adalimumab, etanercept, infliximab, ixekizumab, </w:t>
            </w:r>
            <w:proofErr w:type="spellStart"/>
            <w:r w:rsidRPr="007A7E15">
              <w:rPr>
                <w:rFonts w:asciiTheme="minorHAnsi" w:hAnsiTheme="minorHAnsi" w:cstheme="minorHAnsi"/>
              </w:rPr>
              <w:t>secukinumab</w:t>
            </w:r>
            <w:proofErr w:type="spellEnd"/>
            <w:r>
              <w:rPr>
                <w:rFonts w:asciiTheme="minorHAnsi" w:hAnsiTheme="minorHAnsi" w:cstheme="minorHAnsi"/>
              </w:rPr>
              <w:t xml:space="preserve">, </w:t>
            </w:r>
            <w:proofErr w:type="spellStart"/>
            <w:r w:rsidRPr="00BB5004">
              <w:rPr>
                <w:rFonts w:asciiTheme="minorHAnsi" w:hAnsiTheme="minorHAnsi" w:cstheme="minorHAnsi"/>
                <w:highlight w:val="yellow"/>
                <w:lang w:eastAsia="en-AU"/>
              </w:rPr>
              <w:t>tildrakizumab</w:t>
            </w:r>
            <w:proofErr w:type="spellEnd"/>
            <w:r w:rsidRPr="007A7E15">
              <w:rPr>
                <w:rFonts w:asciiTheme="minorHAnsi" w:hAnsiTheme="minorHAnsi" w:cstheme="minorHAnsi"/>
                <w:lang w:eastAsia="en-AU"/>
              </w:rPr>
              <w:t xml:space="preserve"> or</w:t>
            </w:r>
            <w:r w:rsidRPr="007A7E15">
              <w:rPr>
                <w:rFonts w:asciiTheme="minorHAnsi" w:hAnsiTheme="minorHAnsi" w:cstheme="minorHAnsi"/>
              </w:rPr>
              <w:t xml:space="preserve"> ustekinumab.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An adequate response to treatment is defined as the plaque or plaques assessed prior to biological treatment showing: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a reduction in the Psoriasis Area and Severity Index (PASI) symptom </w:t>
            </w:r>
            <w:proofErr w:type="spellStart"/>
            <w:r w:rsidRPr="007A7E15">
              <w:rPr>
                <w:rFonts w:asciiTheme="minorHAnsi" w:hAnsiTheme="minorHAnsi" w:cstheme="minorHAnsi"/>
              </w:rPr>
              <w:t>subscores</w:t>
            </w:r>
            <w:proofErr w:type="spellEnd"/>
            <w:r w:rsidRPr="007A7E15">
              <w:rPr>
                <w:rFonts w:asciiTheme="minorHAnsi" w:hAnsiTheme="minorHAnsi" w:cstheme="minorHAnsi"/>
              </w:rPr>
              <w:t xml:space="preserve"> for all 3 of erythema, thickness and scaling, to slight or better, or sustained at this level, as compared to the pre-biological treatment baseline values; or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(ii) </w:t>
            </w:r>
            <w:proofErr w:type="gramStart"/>
            <w:r w:rsidRPr="007A7E15">
              <w:rPr>
                <w:rFonts w:asciiTheme="minorHAnsi" w:hAnsiTheme="minorHAnsi" w:cstheme="minorHAnsi"/>
              </w:rPr>
              <w:t>a</w:t>
            </w:r>
            <w:proofErr w:type="gramEnd"/>
            <w:r w:rsidRPr="007A7E15">
              <w:rPr>
                <w:rFonts w:asciiTheme="minorHAnsi" w:hAnsiTheme="minorHAnsi" w:cstheme="minorHAnsi"/>
              </w:rPr>
              <w:t xml:space="preserve"> reduction by 75% or more in the skin area affected, or sustained at this level, as compared to the pre-biological treatment baseline value.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All applications for continuing treatment with this drug must include a measurement of response to the most recent course of PBS-subsidised therapy. This assessment must be submitted no later than 4 weeks from the cessation of that treatment course. If the application is the first application for continuing treatment with this drug, it must be accompanied by an assessment of response to a minimum of 12 weeks of treatment with the initial treatment course.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Where a response assessment is not submitted within these timeframes, the patient will be deemed to have failed to respond to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authority application must be made in writing and must include:</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(a) a completed authority prescription form; 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(b) a completed Severe Chronic Plaque Psoriasis PBS Authority Application - Supporting Information Form which includes the following: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w:t>
            </w:r>
            <w:proofErr w:type="spellStart"/>
            <w:r w:rsidRPr="007A7E15">
              <w:rPr>
                <w:rFonts w:asciiTheme="minorHAnsi" w:hAnsiTheme="minorHAnsi" w:cstheme="minorHAnsi"/>
              </w:rPr>
              <w:t>i</w:t>
            </w:r>
            <w:proofErr w:type="spellEnd"/>
            <w:r w:rsidRPr="007A7E15">
              <w:rPr>
                <w:rFonts w:asciiTheme="minorHAnsi" w:hAnsiTheme="minorHAnsi" w:cstheme="minorHAnsi"/>
              </w:rPr>
              <w:t xml:space="preserve">) </w:t>
            </w:r>
            <w:proofErr w:type="gramStart"/>
            <w:r w:rsidRPr="007A7E15">
              <w:rPr>
                <w:rFonts w:asciiTheme="minorHAnsi" w:hAnsiTheme="minorHAnsi" w:cstheme="minorHAnsi"/>
              </w:rPr>
              <w:t>the</w:t>
            </w:r>
            <w:proofErr w:type="gramEnd"/>
            <w:r w:rsidRPr="007A7E15">
              <w:rPr>
                <w:rFonts w:asciiTheme="minorHAnsi" w:hAnsiTheme="minorHAnsi" w:cstheme="minorHAnsi"/>
              </w:rPr>
              <w:t xml:space="preserve"> completed Psoriasis Area and Severity Index (PASI) calculation sheet and face, hand, foot area diagrams including the date of the assessment of the patient's condition.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most recent PASI assessment must be no more than 1 month old at the time of application.</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Approval will be based on the PASI assessment of response </w:t>
            </w:r>
            <w:r w:rsidRPr="007A7E15">
              <w:rPr>
                <w:rFonts w:asciiTheme="minorHAnsi" w:hAnsiTheme="minorHAnsi" w:cstheme="minorHAnsi"/>
              </w:rPr>
              <w:lastRenderedPageBreak/>
              <w:t xml:space="preserve">to the most recent course of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The PASI assessment for continuing treatment must be performed on the same affected area assessed at baseline. </w:t>
            </w:r>
          </w:p>
          <w:p w:rsidR="008D1A9A" w:rsidRPr="007A7E15" w:rsidRDefault="008D1A9A" w:rsidP="00AE3079">
            <w:pPr>
              <w:pStyle w:val="NormalWeb"/>
              <w:spacing w:line="300" w:lineRule="atLeast"/>
              <w:jc w:val="both"/>
              <w:rPr>
                <w:rFonts w:asciiTheme="minorHAnsi" w:hAnsiTheme="minorHAnsi" w:cstheme="minorHAnsi"/>
              </w:rPr>
            </w:pPr>
          </w:p>
        </w:tc>
      </w:tr>
      <w:tr w:rsidR="008D1A9A" w:rsidRPr="007A7E15" w:rsidTr="00AE3079">
        <w:trPr>
          <w:trHeight w:val="360"/>
        </w:trPr>
        <w:tc>
          <w:tcPr>
            <w:tcW w:w="2977" w:type="dxa"/>
            <w:tcBorders>
              <w:top w:val="single" w:sz="4" w:space="0" w:color="auto"/>
              <w:left w:val="single" w:sz="4" w:space="0" w:color="auto"/>
              <w:bottom w:val="single" w:sz="4" w:space="0" w:color="auto"/>
              <w:right w:val="single" w:sz="4" w:space="0" w:color="auto"/>
            </w:tcBorders>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Administrative Advice</w:t>
            </w:r>
          </w:p>
          <w:p w:rsidR="008D1A9A" w:rsidRPr="007A7E15" w:rsidRDefault="008D1A9A" w:rsidP="00AE3079">
            <w:pPr>
              <w:rPr>
                <w:rFonts w:asciiTheme="minorHAnsi" w:hAnsiTheme="minorHAnsi" w:cstheme="minorHAnsi"/>
                <w:i/>
                <w:lang w:eastAsia="en-A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No increase in the maximum number of repeats may be authorised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A PASI assessment of the patient's response must be conducted within 4 weeks prior to completion of this course of treatment. This assessment, which will be used to determine eligibility for further continuing treatment, must be submitted to the Department of Human Services no later than 1 month from the date of completion of this course of treatment. Where a response assessment is not undertaken and submitted to the Department of Human Services within these timeframes, the patient will be deemed to have failed to respond to treatment with this drug.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In circumstances where it is not possible to submit a response assessment within these timeframes, please call the Department of Human Services on 1800 700 270 to discuss.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 </w:t>
            </w:r>
          </w:p>
          <w:p w:rsidR="008D1A9A" w:rsidRPr="00DE3100" w:rsidRDefault="008D1A9A" w:rsidP="00AE3079">
            <w:pPr>
              <w:shd w:val="clear" w:color="auto" w:fill="FFFFFF"/>
              <w:spacing w:before="100" w:beforeAutospacing="1" w:after="240" w:afterAutospacing="1" w:line="300" w:lineRule="atLeast"/>
              <w:rPr>
                <w:rFonts w:asciiTheme="minorHAnsi" w:hAnsiTheme="minorHAnsi" w:cstheme="minorHAnsi"/>
              </w:rPr>
            </w:pPr>
            <w:r w:rsidRPr="00DE3100">
              <w:rPr>
                <w:rFonts w:asciiTheme="minorHAnsi" w:hAnsiTheme="minorHAnsi" w:cstheme="minorHAnsi"/>
              </w:rPr>
              <w:t xml:space="preserve">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 </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 xml:space="preserve">Any queries concerning the arrangements to prescribe may be directed to the Department of Human Services on 1800 700 270 (hours of operation 8 a.m. to 5 p.m. EST Monday to </w:t>
            </w:r>
            <w:r w:rsidRPr="007A7E15">
              <w:rPr>
                <w:rFonts w:asciiTheme="minorHAnsi" w:hAnsiTheme="minorHAnsi" w:cstheme="minorHAnsi"/>
                <w:lang w:eastAsia="en-AU"/>
              </w:rPr>
              <w:lastRenderedPageBreak/>
              <w:t>Friday).</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Prescribing information (including Authority Application forms and other relevant documentation as applicable) is available on the Department of Human Services website at www.humanservices.gov.au</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Applications for authority to prescribe should be forwarded to:</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Department of Human Services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Complex Drugs</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Reply Paid 9826</w:t>
            </w:r>
          </w:p>
          <w:p w:rsidR="008D1A9A" w:rsidRPr="007A7E15" w:rsidRDefault="008D1A9A" w:rsidP="00AE3079">
            <w:pPr>
              <w:shd w:val="clear" w:color="auto" w:fill="FFFFFF"/>
              <w:spacing w:before="100" w:beforeAutospacing="1" w:after="240" w:afterAutospacing="1" w:line="300" w:lineRule="atLeast"/>
              <w:rPr>
                <w:rFonts w:asciiTheme="minorHAnsi" w:hAnsiTheme="minorHAnsi" w:cstheme="minorHAnsi"/>
                <w:lang w:eastAsia="en-AU"/>
              </w:rPr>
            </w:pPr>
            <w:r w:rsidRPr="007A7E15">
              <w:rPr>
                <w:rFonts w:asciiTheme="minorHAnsi" w:hAnsiTheme="minorHAnsi" w:cstheme="minorHAnsi"/>
                <w:lang w:eastAsia="en-AU"/>
              </w:rPr>
              <w:t>HOBART TAS 7001</w:t>
            </w:r>
          </w:p>
        </w:tc>
      </w:tr>
    </w:tbl>
    <w:p w:rsidR="008D1A9A" w:rsidRDefault="008D1A9A" w:rsidP="008D1A9A">
      <w:pPr>
        <w:rPr>
          <w:rFonts w:asciiTheme="minorHAnsi" w:hAnsiTheme="minorHAnsi" w:cstheme="minorHAnsi"/>
        </w:rPr>
      </w:pPr>
    </w:p>
    <w:p w:rsidR="008D1A9A" w:rsidRPr="000761CE" w:rsidRDefault="008D1A9A" w:rsidP="008D1A9A">
      <w:pPr>
        <w:outlineLvl w:val="1"/>
        <w:rPr>
          <w:rFonts w:asciiTheme="minorHAnsi" w:hAnsiTheme="minorHAnsi" w:cstheme="minorHAnsi"/>
          <w:b/>
        </w:rPr>
      </w:pPr>
      <w:r w:rsidRPr="000761CE">
        <w:rPr>
          <w:rFonts w:asciiTheme="minorHAnsi" w:hAnsiTheme="minorHAnsi" w:cstheme="minorHAnsi"/>
          <w:b/>
        </w:rPr>
        <w:t>Restriction 10</w:t>
      </w:r>
    </w:p>
    <w:p w:rsidR="008D1A9A" w:rsidRPr="007A7E15" w:rsidRDefault="008D1A9A" w:rsidP="008D1A9A">
      <w:pPr>
        <w:rPr>
          <w:rFonts w:asciiTheme="minorHAnsi" w:hAnsiTheme="minorHAnsi" w:cstheme="minorHAnsi"/>
        </w:rPr>
      </w:pPr>
    </w:p>
    <w:tbl>
      <w:tblPr>
        <w:tblStyle w:val="TableGrid"/>
        <w:tblW w:w="0" w:type="auto"/>
        <w:tblLook w:val="04A0" w:firstRow="1" w:lastRow="0" w:firstColumn="1" w:lastColumn="0" w:noHBand="0" w:noVBand="1"/>
        <w:tblCaption w:val="Restriction 10"/>
      </w:tblPr>
      <w:tblGrid>
        <w:gridCol w:w="3085"/>
        <w:gridCol w:w="6157"/>
      </w:tblGrid>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Episodicity:</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N/A</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Severity:</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Condition:</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Plaque Psoriasis</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PBS Indication:</w:t>
            </w:r>
          </w:p>
        </w:tc>
        <w:tc>
          <w:tcPr>
            <w:tcW w:w="6157" w:type="dxa"/>
          </w:tcPr>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Severe chronic plaque psoriasis</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phase:</w:t>
            </w:r>
          </w:p>
          <w:p w:rsidR="008D1A9A" w:rsidRPr="007A7E15" w:rsidRDefault="008D1A9A" w:rsidP="00AE3079">
            <w:pPr>
              <w:rPr>
                <w:rFonts w:asciiTheme="minorHAnsi" w:hAnsiTheme="minorHAnsi" w:cstheme="minorHAnsi"/>
                <w:i/>
                <w:lang w:eastAsia="en-AU"/>
              </w:rPr>
            </w:pPr>
          </w:p>
        </w:tc>
        <w:tc>
          <w:tcPr>
            <w:tcW w:w="6157"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rPr>
              <w:t>Continuing treatment, Whole body or Continuing treatment, Face, hand, foot - balance of supply</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Restriction:</w:t>
            </w:r>
          </w:p>
          <w:p w:rsidR="008D1A9A" w:rsidRPr="007A7E15" w:rsidRDefault="008D1A9A" w:rsidP="00AE3079">
            <w:pPr>
              <w:rPr>
                <w:rFonts w:asciiTheme="minorHAnsi" w:hAnsiTheme="minorHAnsi" w:cstheme="minorHAnsi"/>
                <w:lang w:eastAsia="en-AU"/>
              </w:rPr>
            </w:pPr>
          </w:p>
        </w:tc>
        <w:tc>
          <w:tcPr>
            <w:tcW w:w="6157" w:type="dxa"/>
          </w:tcPr>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Restricted benefit</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1"/>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In Writing</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1"/>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Telephone</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Emergency</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Authority Required - Electronic</w:t>
            </w:r>
          </w:p>
          <w:p w:rsidR="008D1A9A" w:rsidRPr="007A7E15" w:rsidRDefault="008D1A9A" w:rsidP="00AE3079">
            <w:pPr>
              <w:spacing w:line="360" w:lineRule="auto"/>
              <w:rPr>
                <w:rFonts w:asciiTheme="minorHAnsi" w:hAnsiTheme="minorHAnsi" w:cstheme="minorHAnsi"/>
                <w:lang w:eastAsia="en-AU"/>
              </w:rPr>
            </w:pPr>
            <w:r w:rsidRPr="007A7E15">
              <w:rPr>
                <w:rFonts w:asciiTheme="minorHAnsi" w:hAnsiTheme="minorHAnsi" w:cstheme="minorHAnsi"/>
                <w:lang w:eastAsia="en-AU"/>
              </w:rPr>
              <w:fldChar w:fldCharType="begin">
                <w:ffData>
                  <w:name w:val="Check5"/>
                  <w:enabled/>
                  <w:calcOnExit w:val="0"/>
                  <w:checkBox>
                    <w:sizeAuto/>
                    <w:default w:val="0"/>
                  </w:checkBox>
                </w:ffData>
              </w:fldChar>
            </w:r>
            <w:r w:rsidRPr="007A7E15">
              <w:rPr>
                <w:rFonts w:asciiTheme="minorHAnsi" w:hAnsiTheme="minorHAnsi" w:cstheme="minorHAnsi"/>
                <w:lang w:eastAsia="en-AU"/>
              </w:rPr>
              <w:instrText xml:space="preserve"> FORMCHECKBOX </w:instrText>
            </w:r>
            <w:r w:rsidR="00F14289">
              <w:rPr>
                <w:rFonts w:asciiTheme="minorHAnsi" w:hAnsiTheme="minorHAnsi" w:cstheme="minorHAnsi"/>
                <w:lang w:eastAsia="en-AU"/>
              </w:rPr>
            </w:r>
            <w:r w:rsidR="00F14289">
              <w:rPr>
                <w:rFonts w:asciiTheme="minorHAnsi" w:hAnsiTheme="minorHAnsi" w:cstheme="minorHAnsi"/>
                <w:lang w:eastAsia="en-AU"/>
              </w:rPr>
              <w:fldChar w:fldCharType="separate"/>
            </w:r>
            <w:r w:rsidRPr="007A7E15">
              <w:rPr>
                <w:rFonts w:asciiTheme="minorHAnsi" w:hAnsiTheme="minorHAnsi" w:cstheme="minorHAnsi"/>
                <w:lang w:eastAsia="en-AU"/>
              </w:rPr>
              <w:fldChar w:fldCharType="end"/>
            </w:r>
            <w:r w:rsidRPr="007A7E15">
              <w:rPr>
                <w:rFonts w:asciiTheme="minorHAnsi" w:hAnsiTheme="minorHAnsi" w:cstheme="minorHAnsi"/>
                <w:lang w:eastAsia="en-AU"/>
              </w:rPr>
              <w:t>Streamlined</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Treatment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lang w:eastAsia="en-AU"/>
              </w:rPr>
            </w:pPr>
          </w:p>
        </w:tc>
        <w:tc>
          <w:tcPr>
            <w:tcW w:w="6157" w:type="dxa"/>
          </w:tcPr>
          <w:p w:rsidR="008D1A9A" w:rsidRPr="007A7E15" w:rsidRDefault="008D1A9A" w:rsidP="00AE3079">
            <w:pPr>
              <w:rPr>
                <w:rFonts w:asciiTheme="minorHAnsi" w:hAnsiTheme="minorHAnsi" w:cstheme="minorHAnsi"/>
                <w:lang w:eastAsia="en-AU"/>
              </w:rPr>
            </w:pPr>
          </w:p>
          <w:p w:rsidR="008D1A9A" w:rsidRPr="007A7E15" w:rsidRDefault="008D1A9A" w:rsidP="00AE3079">
            <w:pPr>
              <w:rPr>
                <w:rFonts w:asciiTheme="minorHAnsi" w:hAnsiTheme="minorHAnsi" w:cstheme="minorHAnsi"/>
                <w:lang w:eastAsia="en-AU"/>
              </w:rPr>
            </w:pPr>
            <w:r w:rsidRPr="007A7E15">
              <w:rPr>
                <w:rFonts w:asciiTheme="minorHAnsi" w:hAnsiTheme="minorHAnsi" w:cstheme="minorHAnsi"/>
                <w:lang w:eastAsia="en-AU"/>
              </w:rPr>
              <w:t>Must be treated by a dermatologist.</w:t>
            </w: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t>Clinical criteria:</w:t>
            </w:r>
          </w:p>
          <w:p w:rsidR="008D1A9A" w:rsidRPr="007A7E15" w:rsidRDefault="008D1A9A" w:rsidP="00AE3079">
            <w:pPr>
              <w:rPr>
                <w:rFonts w:asciiTheme="minorHAnsi" w:hAnsiTheme="minorHAnsi" w:cstheme="minorHAnsi"/>
                <w:i/>
                <w:lang w:eastAsia="en-AU"/>
              </w:rPr>
            </w:pPr>
          </w:p>
          <w:p w:rsidR="008D1A9A" w:rsidRPr="007A7E15" w:rsidRDefault="008D1A9A" w:rsidP="00AE3079">
            <w:pPr>
              <w:rPr>
                <w:rFonts w:asciiTheme="minorHAnsi" w:hAnsiTheme="minorHAnsi" w:cstheme="minorHAnsi"/>
              </w:rPr>
            </w:pPr>
          </w:p>
        </w:tc>
        <w:tc>
          <w:tcPr>
            <w:tcW w:w="6157" w:type="dxa"/>
          </w:tcPr>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received insufficient therapy with this drug under the Continuing treatment, Whole body restriction to complete 24 weeks treatment; OR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Patient must have received insufficient therapy with this </w:t>
            </w:r>
            <w:r w:rsidRPr="007A7E15">
              <w:rPr>
                <w:rFonts w:asciiTheme="minorHAnsi" w:hAnsiTheme="minorHAnsi" w:cstheme="minorHAnsi"/>
              </w:rPr>
              <w:lastRenderedPageBreak/>
              <w:t xml:space="preserve">drug under the Continuing treatment, Face, hand, foot restriction to complete 24 weeks treatment,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 xml:space="preserve">The treatment must provide no more than the balance of up to 24 weeks treatment available under the above restrictions, </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b/>
                <w:bCs/>
              </w:rPr>
              <w:t>AND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The treatment must be as systemic monotherapy (other than methotrexate).</w:t>
            </w:r>
          </w:p>
          <w:p w:rsidR="008D1A9A" w:rsidRPr="007A7E15" w:rsidRDefault="008D1A9A" w:rsidP="00AE3079">
            <w:pPr>
              <w:rPr>
                <w:rFonts w:asciiTheme="minorHAnsi" w:hAnsiTheme="minorHAnsi" w:cstheme="minorHAnsi"/>
              </w:rPr>
            </w:pPr>
          </w:p>
        </w:tc>
      </w:tr>
      <w:tr w:rsidR="008D1A9A" w:rsidRPr="007A7E15" w:rsidTr="00AE3079">
        <w:tc>
          <w:tcPr>
            <w:tcW w:w="3085" w:type="dxa"/>
          </w:tcPr>
          <w:p w:rsidR="008D1A9A" w:rsidRPr="007A7E15" w:rsidRDefault="008D1A9A" w:rsidP="00AE3079">
            <w:pPr>
              <w:rPr>
                <w:rFonts w:asciiTheme="minorHAnsi" w:hAnsiTheme="minorHAnsi" w:cstheme="minorHAnsi"/>
                <w:b/>
                <w:lang w:eastAsia="en-AU"/>
              </w:rPr>
            </w:pPr>
            <w:r w:rsidRPr="007A7E15">
              <w:rPr>
                <w:rFonts w:asciiTheme="minorHAnsi" w:hAnsiTheme="minorHAnsi" w:cstheme="minorHAnsi"/>
                <w:b/>
                <w:lang w:eastAsia="en-AU"/>
              </w:rPr>
              <w:lastRenderedPageBreak/>
              <w:t>Administrative Advice</w:t>
            </w:r>
          </w:p>
          <w:p w:rsidR="008D1A9A" w:rsidRPr="007A7E15" w:rsidRDefault="008D1A9A" w:rsidP="00AE3079">
            <w:pPr>
              <w:rPr>
                <w:rFonts w:asciiTheme="minorHAnsi" w:hAnsiTheme="minorHAnsi" w:cstheme="minorHAnsi"/>
                <w:lang w:eastAsia="en-AU"/>
              </w:rPr>
            </w:pPr>
          </w:p>
        </w:tc>
        <w:tc>
          <w:tcPr>
            <w:tcW w:w="6157" w:type="dxa"/>
          </w:tcPr>
          <w:p w:rsidR="008D1A9A" w:rsidRPr="00C04B9F" w:rsidRDefault="008D1A9A" w:rsidP="00AE3079">
            <w:pPr>
              <w:pStyle w:val="NormalWeb"/>
              <w:spacing w:line="300" w:lineRule="atLeast"/>
              <w:jc w:val="both"/>
              <w:rPr>
                <w:rFonts w:asciiTheme="minorHAnsi" w:hAnsiTheme="minorHAnsi" w:cstheme="minorHAnsi"/>
              </w:rPr>
            </w:pPr>
            <w:r w:rsidRPr="00C04B9F">
              <w:rPr>
                <w:rFonts w:asciiTheme="minorHAnsi" w:hAnsiTheme="minorHAnsi" w:cstheme="minorHAnsi"/>
              </w:rPr>
              <w:t>No increase in the maximum number of repeats may be authorised.</w:t>
            </w:r>
          </w:p>
          <w:p w:rsidR="008D1A9A" w:rsidRPr="007A7E15" w:rsidRDefault="008D1A9A" w:rsidP="00AE3079">
            <w:pPr>
              <w:pStyle w:val="NormalWeb"/>
              <w:spacing w:line="300" w:lineRule="atLeast"/>
              <w:jc w:val="both"/>
              <w:rPr>
                <w:rFonts w:asciiTheme="minorHAnsi" w:hAnsiTheme="minorHAnsi" w:cstheme="minorHAnsi"/>
              </w:rPr>
            </w:pPr>
            <w:r w:rsidRPr="007A7E15">
              <w:rPr>
                <w:rFonts w:asciiTheme="minorHAnsi" w:hAnsiTheme="minorHAnsi" w:cstheme="minorHAnsi"/>
              </w:rPr>
              <w:t>Authority approval for sufficient therapy to complete a maximum of 28 weeks of treatment may be requested by telephone by contacting the Department of Human Services on 1800 700 270 (hours of operation 8 a.m. to 5 p.m. EST Monday to Friday).</w:t>
            </w:r>
          </w:p>
        </w:tc>
      </w:tr>
    </w:tbl>
    <w:p w:rsidR="00DA2267" w:rsidRPr="00DA2267" w:rsidRDefault="00DA2267" w:rsidP="00DA2267">
      <w:pPr>
        <w:rPr>
          <w:rFonts w:asciiTheme="minorHAnsi" w:hAnsiTheme="minorHAnsi" w:cstheme="minorHAnsi"/>
          <w:sz w:val="16"/>
        </w:rPr>
      </w:pPr>
    </w:p>
    <w:p w:rsidR="00A528EF" w:rsidRPr="00A528EF" w:rsidRDefault="00A528EF" w:rsidP="00F14289">
      <w:pPr>
        <w:pStyle w:val="PBACHeading1"/>
        <w:spacing w:before="240"/>
        <w:rPr>
          <w:snapToGrid/>
        </w:rPr>
      </w:pPr>
      <w:r>
        <w:rPr>
          <w:snapToGrid/>
        </w:rPr>
        <w:t>Context for Decision</w:t>
      </w:r>
    </w:p>
    <w:p w:rsidR="00DA2267" w:rsidRPr="00F14289" w:rsidRDefault="00A528EF" w:rsidP="00DE5D76">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528EF" w:rsidRPr="00A528EF" w:rsidRDefault="00A528EF" w:rsidP="00F14289">
      <w:pPr>
        <w:pStyle w:val="PBACHeading1"/>
        <w:spacing w:before="240"/>
        <w:rPr>
          <w:snapToGrid/>
        </w:rPr>
      </w:pPr>
      <w:r>
        <w:rPr>
          <w:snapToGrid/>
        </w:rPr>
        <w:t xml:space="preserve">Sponsor’s Comment </w:t>
      </w:r>
    </w:p>
    <w:p w:rsidR="008D1A9A" w:rsidRPr="00F14289" w:rsidRDefault="004C636B" w:rsidP="00F14289">
      <w:pPr>
        <w:widowControl/>
        <w:spacing w:after="120" w:line="276" w:lineRule="auto"/>
        <w:rPr>
          <w:rFonts w:asciiTheme="minorHAnsi" w:hAnsiTheme="minorHAnsi"/>
        </w:rPr>
      </w:pPr>
      <w:r w:rsidRPr="004C636B">
        <w:rPr>
          <w:rFonts w:asciiTheme="minorHAnsi" w:hAnsiTheme="minorHAnsi"/>
        </w:rPr>
        <w:t xml:space="preserve">Sun Pharma welcomes the PBACs decision to recommend </w:t>
      </w:r>
      <w:proofErr w:type="spellStart"/>
      <w:r w:rsidRPr="004C636B">
        <w:rPr>
          <w:rFonts w:asciiTheme="minorHAnsi" w:hAnsiTheme="minorHAnsi"/>
        </w:rPr>
        <w:t>tildrakizumab</w:t>
      </w:r>
      <w:proofErr w:type="spellEnd"/>
      <w:r w:rsidRPr="004C636B">
        <w:rPr>
          <w:rFonts w:asciiTheme="minorHAnsi" w:hAnsiTheme="minorHAnsi"/>
        </w:rPr>
        <w:t xml:space="preserve"> for listing on the PBS for the treatment of severe chronic plaque psoriasis.</w:t>
      </w:r>
    </w:p>
    <w:sectPr w:rsidR="008D1A9A" w:rsidRPr="00F14289" w:rsidSect="00E21358">
      <w:headerReference w:type="default" r:id="rId10"/>
      <w:footerReference w:type="default" r:id="rId11"/>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78F3BB" w15:done="0"/>
  <w15:commentEx w15:paraId="112B365C" w15:done="0"/>
  <w15:commentEx w15:paraId="6CA8FA49" w15:done="0"/>
  <w15:commentEx w15:paraId="49939471" w15:done="0"/>
  <w15:commentEx w15:paraId="41D130B4" w15:done="0"/>
  <w15:commentEx w15:paraId="114635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8F3BB" w16cid:durableId="1EFF3E99"/>
  <w16cid:commentId w16cid:paraId="112B365C" w16cid:durableId="1EFF4465"/>
  <w16cid:commentId w16cid:paraId="6CA8FA49" w16cid:durableId="1EFF44C5"/>
  <w16cid:commentId w16cid:paraId="49939471" w16cid:durableId="1EFF458B"/>
  <w16cid:commentId w16cid:paraId="41D130B4" w16cid:durableId="1EFF3E9A"/>
  <w16cid:commentId w16cid:paraId="11463599" w16cid:durableId="1EFF3E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04" w:rsidRDefault="001B3204" w:rsidP="00124A51">
      <w:r>
        <w:separator/>
      </w:r>
    </w:p>
    <w:p w:rsidR="001B3204" w:rsidRDefault="001B3204"/>
  </w:endnote>
  <w:endnote w:type="continuationSeparator" w:id="0">
    <w:p w:rsidR="001B3204" w:rsidRDefault="001B3204" w:rsidP="00124A51">
      <w:r>
        <w:continuationSeparator/>
      </w:r>
    </w:p>
    <w:p w:rsidR="001B3204" w:rsidRDefault="001B3204"/>
  </w:endnote>
  <w:endnote w:type="continuationNotice" w:id="1">
    <w:p w:rsidR="001B3204" w:rsidRDefault="001B3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885759"/>
      <w:docPartObj>
        <w:docPartGallery w:val="Page Numbers (Bottom of Page)"/>
        <w:docPartUnique/>
      </w:docPartObj>
    </w:sdtPr>
    <w:sdtEndPr>
      <w:rPr>
        <w:noProof/>
      </w:rPr>
    </w:sdtEndPr>
    <w:sdtContent>
      <w:p w:rsidR="00677323" w:rsidRDefault="00677323">
        <w:pPr>
          <w:pStyle w:val="Footer"/>
          <w:jc w:val="center"/>
        </w:pPr>
        <w:r>
          <w:fldChar w:fldCharType="begin"/>
        </w:r>
        <w:r>
          <w:instrText xml:space="preserve"> PAGE   \* MERGEFORMAT </w:instrText>
        </w:r>
        <w:r>
          <w:fldChar w:fldCharType="separate"/>
        </w:r>
        <w:r w:rsidR="00F14289">
          <w:rPr>
            <w:noProof/>
          </w:rPr>
          <w:t>59</w:t>
        </w:r>
        <w:r>
          <w:rPr>
            <w:noProof/>
          </w:rPr>
          <w:fldChar w:fldCharType="end"/>
        </w:r>
      </w:p>
    </w:sdtContent>
  </w:sdt>
  <w:p w:rsidR="00677323" w:rsidRDefault="00677323" w:rsidP="007004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04" w:rsidRDefault="001B3204" w:rsidP="00124A51">
      <w:r>
        <w:separator/>
      </w:r>
    </w:p>
    <w:p w:rsidR="001B3204" w:rsidRDefault="001B3204"/>
  </w:footnote>
  <w:footnote w:type="continuationSeparator" w:id="0">
    <w:p w:rsidR="001B3204" w:rsidRDefault="001B3204" w:rsidP="00124A51">
      <w:r>
        <w:continuationSeparator/>
      </w:r>
    </w:p>
    <w:p w:rsidR="001B3204" w:rsidRDefault="001B3204"/>
  </w:footnote>
  <w:footnote w:type="continuationNotice" w:id="1">
    <w:p w:rsidR="001B3204" w:rsidRDefault="001B3204"/>
  </w:footnote>
  <w:footnote w:id="2">
    <w:p w:rsidR="00677323" w:rsidRPr="00FB585C" w:rsidRDefault="00677323" w:rsidP="006443F5">
      <w:pPr>
        <w:pStyle w:val="FootnoteText"/>
      </w:pPr>
      <w:r>
        <w:rPr>
          <w:rStyle w:val="FootnoteReference"/>
        </w:rPr>
        <w:footnoteRef/>
      </w:r>
      <w:r>
        <w:t xml:space="preserve"> </w:t>
      </w:r>
      <w:r w:rsidRPr="00214F9C">
        <w:t>Figure ES.2 of Pharmaceutical Benefits Scheme. Post-market Review</w:t>
      </w:r>
      <w:r>
        <w:t xml:space="preserve">: The use of biologics in the treatment of severe chronic plaque psoriasis, draft Report to PBAC. (Executive Summary available at </w:t>
      </w:r>
      <w:hyperlink r:id="rId1" w:history="1">
        <w:r w:rsidRPr="00723417">
          <w:rPr>
            <w:rStyle w:val="Hyperlink"/>
          </w:rPr>
          <w:t>http://www.pbs.gov.au/info/reviews/biologics-review-public-consultation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23" w:rsidRPr="00DA2267" w:rsidRDefault="00677323" w:rsidP="00DA2267">
    <w:pPr>
      <w:widowControl/>
      <w:tabs>
        <w:tab w:val="center" w:pos="4513"/>
        <w:tab w:val="right" w:pos="9026"/>
      </w:tabs>
      <w:jc w:val="center"/>
      <w:rPr>
        <w:rFonts w:asciiTheme="minorHAnsi" w:eastAsiaTheme="minorHAnsi" w:hAnsiTheme="minorHAnsi" w:cstheme="minorHAnsi"/>
        <w:i/>
        <w:snapToGrid/>
        <w:color w:val="808080"/>
        <w:sz w:val="22"/>
      </w:rPr>
    </w:pPr>
    <w:r>
      <w:rPr>
        <w:rFonts w:asciiTheme="minorHAnsi" w:eastAsiaTheme="minorHAnsi" w:hAnsiTheme="minorHAnsi" w:cstheme="minorHAnsi"/>
        <w:i/>
        <w:snapToGrid/>
        <w:color w:val="808080"/>
        <w:sz w:val="22"/>
      </w:rPr>
      <w:t xml:space="preserve">Public Summary Document – July 2018 </w:t>
    </w:r>
    <w:r w:rsidRPr="00DA2267">
      <w:rPr>
        <w:rFonts w:asciiTheme="minorHAnsi" w:eastAsiaTheme="minorHAnsi" w:hAnsiTheme="minorHAnsi" w:cstheme="minorHAnsi"/>
        <w:i/>
        <w:snapToGrid/>
        <w:color w:val="808080"/>
        <w:sz w:val="22"/>
      </w:rPr>
      <w:t>PBAC Meeting</w:t>
    </w:r>
  </w:p>
  <w:p w:rsidR="00677323" w:rsidRPr="00700480" w:rsidRDefault="00677323">
    <w:pP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89D"/>
    <w:multiLevelType w:val="hybridMultilevel"/>
    <w:tmpl w:val="07907A94"/>
    <w:lvl w:ilvl="0" w:tplc="72D4C0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2E2F"/>
    <w:multiLevelType w:val="hybridMultilevel"/>
    <w:tmpl w:val="F938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2361F"/>
    <w:multiLevelType w:val="hybridMultilevel"/>
    <w:tmpl w:val="14E4A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83566B"/>
    <w:multiLevelType w:val="multilevel"/>
    <w:tmpl w:val="A4CE068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0CD41FD"/>
    <w:multiLevelType w:val="hybridMultilevel"/>
    <w:tmpl w:val="78DC004A"/>
    <w:lvl w:ilvl="0" w:tplc="0C090001">
      <w:start w:val="1"/>
      <w:numFmt w:val="bullet"/>
      <w:lvlText w:val=""/>
      <w:lvlJc w:val="left"/>
      <w:pPr>
        <w:ind w:left="780" w:hanging="360"/>
      </w:pPr>
      <w:rPr>
        <w:rFonts w:ascii="Symbol" w:hAnsi="Symbol" w:hint="default"/>
      </w:rPr>
    </w:lvl>
    <w:lvl w:ilvl="1" w:tplc="A3543DA2">
      <w:start w:val="5"/>
      <w:numFmt w:val="bullet"/>
      <w:lvlText w:val="-"/>
      <w:lvlJc w:val="left"/>
      <w:pPr>
        <w:ind w:left="1495" w:hanging="360"/>
      </w:pPr>
      <w:rPr>
        <w:rFonts w:ascii="Arial Narrow" w:eastAsia="Times New Roman" w:hAnsi="Arial Narro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4A81B40"/>
    <w:multiLevelType w:val="hybridMultilevel"/>
    <w:tmpl w:val="237A6F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1D0E0D"/>
    <w:multiLevelType w:val="hybridMultilevel"/>
    <w:tmpl w:val="8D0A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F13624"/>
    <w:multiLevelType w:val="hybridMultilevel"/>
    <w:tmpl w:val="6E2289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7051A7"/>
    <w:multiLevelType w:val="hybridMultilevel"/>
    <w:tmpl w:val="5CC09A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FD7E79"/>
    <w:multiLevelType w:val="hybridMultilevel"/>
    <w:tmpl w:val="9A5653A0"/>
    <w:lvl w:ilvl="0" w:tplc="0C090001">
      <w:start w:val="1"/>
      <w:numFmt w:val="bullet"/>
      <w:lvlText w:val=""/>
      <w:lvlJc w:val="left"/>
      <w:pPr>
        <w:ind w:left="376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A32432"/>
    <w:multiLevelType w:val="hybridMultilevel"/>
    <w:tmpl w:val="86FAC99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3148496B"/>
    <w:multiLevelType w:val="hybridMultilevel"/>
    <w:tmpl w:val="C52E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787344"/>
    <w:multiLevelType w:val="hybridMultilevel"/>
    <w:tmpl w:val="821CF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BC43BF"/>
    <w:multiLevelType w:val="hybridMultilevel"/>
    <w:tmpl w:val="948A1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C76506"/>
    <w:multiLevelType w:val="hybridMultilevel"/>
    <w:tmpl w:val="C6C61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A70B2E"/>
    <w:multiLevelType w:val="hybridMultilevel"/>
    <w:tmpl w:val="9BBAA06E"/>
    <w:lvl w:ilvl="0" w:tplc="14AEA0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7C34E2"/>
    <w:multiLevelType w:val="hybridMultilevel"/>
    <w:tmpl w:val="F1D62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A73568"/>
    <w:multiLevelType w:val="hybridMultilevel"/>
    <w:tmpl w:val="94783DFE"/>
    <w:lvl w:ilvl="0" w:tplc="6108DB88">
      <w:start w:val="1"/>
      <w:numFmt w:val="bullet"/>
      <w:lvlText w:val=""/>
      <w:lvlJc w:val="left"/>
      <w:pPr>
        <w:tabs>
          <w:tab w:val="num" w:pos="360"/>
        </w:tabs>
        <w:ind w:left="360" w:hanging="360"/>
      </w:pPr>
      <w:rPr>
        <w:rFonts w:ascii="Symbol" w:hAnsi="Symbol" w:hint="default"/>
      </w:rPr>
    </w:lvl>
    <w:lvl w:ilvl="1" w:tplc="BE020434">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327DC6"/>
    <w:multiLevelType w:val="hybridMultilevel"/>
    <w:tmpl w:val="B2DC5734"/>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2D45DF"/>
    <w:multiLevelType w:val="hybridMultilevel"/>
    <w:tmpl w:val="9A58C8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40AC8"/>
    <w:multiLevelType w:val="multilevel"/>
    <w:tmpl w:val="A4CE068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E491EEC"/>
    <w:multiLevelType w:val="hybridMultilevel"/>
    <w:tmpl w:val="03EA91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31D45A0"/>
    <w:multiLevelType w:val="multilevel"/>
    <w:tmpl w:val="A4CE068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5845F92"/>
    <w:multiLevelType w:val="hybridMultilevel"/>
    <w:tmpl w:val="4D44A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1C0D9C"/>
    <w:multiLevelType w:val="hybridMultilevel"/>
    <w:tmpl w:val="A04CE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AA59C6"/>
    <w:multiLevelType w:val="hybridMultilevel"/>
    <w:tmpl w:val="7958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F56954"/>
    <w:multiLevelType w:val="multilevel"/>
    <w:tmpl w:val="00169A7A"/>
    <w:lvl w:ilvl="0">
      <w:start w:val="1"/>
      <w:numFmt w:val="decimal"/>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345216F"/>
    <w:multiLevelType w:val="hybridMultilevel"/>
    <w:tmpl w:val="B7908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494128"/>
    <w:multiLevelType w:val="multilevel"/>
    <w:tmpl w:val="9D1A5F0A"/>
    <w:lvl w:ilvl="0">
      <w:start w:val="1"/>
      <w:numFmt w:val="decimal"/>
      <w:lvlText w:val="%1"/>
      <w:lvlJc w:val="left"/>
      <w:pPr>
        <w:ind w:left="398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8303D7B"/>
    <w:multiLevelType w:val="hybridMultilevel"/>
    <w:tmpl w:val="A0102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1816FC"/>
    <w:multiLevelType w:val="multilevel"/>
    <w:tmpl w:val="10865216"/>
    <w:lvl w:ilvl="0">
      <w:start w:val="1"/>
      <w:numFmt w:val="decimal"/>
      <w:lvlText w:val="%1"/>
      <w:lvlJc w:val="left"/>
      <w:pPr>
        <w:ind w:left="720" w:hanging="720"/>
      </w:pPr>
      <w:rPr>
        <w:rFonts w:hint="default"/>
        <w:b/>
      </w:rPr>
    </w:lvl>
    <w:lvl w:ilvl="1">
      <w:start w:val="1"/>
      <w:numFmt w:val="upperLetter"/>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84D033C"/>
    <w:multiLevelType w:val="multilevel"/>
    <w:tmpl w:val="32EA86CE"/>
    <w:lvl w:ilvl="0">
      <w:start w:val="1"/>
      <w:numFmt w:val="decimal"/>
      <w:pStyle w:val="PBACHeading1"/>
      <w:lvlText w:val="%1"/>
      <w:lvlJc w:val="left"/>
      <w:pPr>
        <w:ind w:left="3839" w:hanging="720"/>
      </w:pPr>
      <w:rPr>
        <w:rFonts w:hint="default"/>
        <w:b/>
      </w:rPr>
    </w:lvl>
    <w:lvl w:ilvl="1">
      <w:start w:val="1"/>
      <w:numFmt w:val="decimal"/>
      <w:lvlText w:val="%1.%2"/>
      <w:lvlJc w:val="left"/>
      <w:pPr>
        <w:ind w:left="578" w:hanging="720"/>
      </w:pPr>
      <w:rPr>
        <w:rFonts w:asciiTheme="minorHAnsi" w:hAnsiTheme="minorHAnsi" w:hint="default"/>
        <w:b w:val="0"/>
        <w:i w:val="0"/>
        <w:sz w:val="24"/>
        <w:szCs w:val="24"/>
      </w:rPr>
    </w:lvl>
    <w:lvl w:ilvl="2">
      <w:start w:val="1"/>
      <w:numFmt w:val="decimal"/>
      <w:lvlText w:val="%1.%2.%3"/>
      <w:lvlJc w:val="left"/>
      <w:pPr>
        <w:ind w:left="578" w:hanging="720"/>
      </w:pPr>
      <w:rPr>
        <w:rFonts w:hint="default"/>
      </w:rPr>
    </w:lvl>
    <w:lvl w:ilvl="3">
      <w:start w:val="1"/>
      <w:numFmt w:val="decimal"/>
      <w:lvlText w:val="%1.%2.%3.%4"/>
      <w:lvlJc w:val="left"/>
      <w:pPr>
        <w:ind w:left="938" w:hanging="108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1298" w:hanging="1440"/>
      </w:pPr>
      <w:rPr>
        <w:rFonts w:hint="default"/>
      </w:rPr>
    </w:lvl>
    <w:lvl w:ilvl="6">
      <w:start w:val="1"/>
      <w:numFmt w:val="decimal"/>
      <w:lvlText w:val="%1.%2.%3.%4.%5.%6.%7"/>
      <w:lvlJc w:val="left"/>
      <w:pPr>
        <w:ind w:left="1298" w:hanging="1440"/>
      </w:pPr>
      <w:rPr>
        <w:rFonts w:hint="default"/>
      </w:rPr>
    </w:lvl>
    <w:lvl w:ilvl="7">
      <w:start w:val="1"/>
      <w:numFmt w:val="decimal"/>
      <w:lvlText w:val="%1.%2.%3.%4.%5.%6.%7.%8"/>
      <w:lvlJc w:val="left"/>
      <w:pPr>
        <w:ind w:left="1658" w:hanging="1800"/>
      </w:pPr>
      <w:rPr>
        <w:rFonts w:hint="default"/>
      </w:rPr>
    </w:lvl>
    <w:lvl w:ilvl="8">
      <w:start w:val="1"/>
      <w:numFmt w:val="decimal"/>
      <w:lvlText w:val="%1.%2.%3.%4.%5.%6.%7.%8.%9"/>
      <w:lvlJc w:val="left"/>
      <w:pPr>
        <w:ind w:left="1658" w:hanging="1800"/>
      </w:pPr>
      <w:rPr>
        <w:rFonts w:hint="default"/>
      </w:rPr>
    </w:lvl>
  </w:abstractNum>
  <w:abstractNum w:abstractNumId="34">
    <w:nsid w:val="7DC94DD0"/>
    <w:multiLevelType w:val="hybridMultilevel"/>
    <w:tmpl w:val="BAD0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3"/>
  </w:num>
  <w:num w:numId="4">
    <w:abstractNumId w:val="21"/>
  </w:num>
  <w:num w:numId="5">
    <w:abstractNumId w:val="2"/>
  </w:num>
  <w:num w:numId="6">
    <w:abstractNumId w:val="26"/>
  </w:num>
  <w:num w:numId="7">
    <w:abstractNumId w:val="16"/>
  </w:num>
  <w:num w:numId="8">
    <w:abstractNumId w:val="0"/>
  </w:num>
  <w:num w:numId="9">
    <w:abstractNumId w:val="9"/>
  </w:num>
  <w:num w:numId="10">
    <w:abstractNumId w:val="14"/>
  </w:num>
  <w:num w:numId="11">
    <w:abstractNumId w:val="27"/>
  </w:num>
  <w:num w:numId="12">
    <w:abstractNumId w:val="18"/>
  </w:num>
  <w:num w:numId="13">
    <w:abstractNumId w:val="25"/>
  </w:num>
  <w:num w:numId="14">
    <w:abstractNumId w:val="10"/>
  </w:num>
  <w:num w:numId="15">
    <w:abstractNumId w:val="34"/>
  </w:num>
  <w:num w:numId="16">
    <w:abstractNumId w:val="31"/>
  </w:num>
  <w:num w:numId="17">
    <w:abstractNumId w:val="7"/>
  </w:num>
  <w:num w:numId="18">
    <w:abstractNumId w:val="13"/>
  </w:num>
  <w:num w:numId="19">
    <w:abstractNumId w:val="29"/>
  </w:num>
  <w:num w:numId="20">
    <w:abstractNumId w:val="15"/>
  </w:num>
  <w:num w:numId="21">
    <w:abstractNumId w:val="19"/>
  </w:num>
  <w:num w:numId="22">
    <w:abstractNumId w:val="8"/>
  </w:num>
  <w:num w:numId="23">
    <w:abstractNumId w:val="5"/>
  </w:num>
  <w:num w:numId="24">
    <w:abstractNumId w:val="23"/>
  </w:num>
  <w:num w:numId="25">
    <w:abstractNumId w:val="22"/>
  </w:num>
  <w:num w:numId="26">
    <w:abstractNumId w:val="32"/>
  </w:num>
  <w:num w:numId="27">
    <w:abstractNumId w:val="24"/>
  </w:num>
  <w:num w:numId="28">
    <w:abstractNumId w:val="4"/>
  </w:num>
  <w:num w:numId="29">
    <w:abstractNumId w:val="11"/>
  </w:num>
  <w:num w:numId="30">
    <w:abstractNumId w:val="33"/>
  </w:num>
  <w:num w:numId="31">
    <w:abstractNumId w:val="6"/>
  </w:num>
  <w:num w:numId="32">
    <w:abstractNumId w:val="33"/>
    <w:lvlOverride w:ilvl="0">
      <w:startOverride w:val="6"/>
    </w:lvlOverride>
    <w:lvlOverride w:ilvl="1">
      <w:startOverride w:val="13"/>
    </w:lvlOverride>
  </w:num>
  <w:num w:numId="33">
    <w:abstractNumId w:val="3"/>
  </w:num>
  <w:num w:numId="34">
    <w:abstractNumId w:val="20"/>
  </w:num>
  <w:num w:numId="35">
    <w:abstractNumId w:val="30"/>
  </w:num>
  <w:num w:numId="36">
    <w:abstractNumId w:val="12"/>
  </w:num>
  <w:num w:numId="37">
    <w:abstractNumId w:val="33"/>
    <w:lvlOverride w:ilvl="0">
      <w:startOverride w:val="7"/>
    </w:lvlOverride>
    <w:lvlOverride w:ilvl="1">
      <w:startOverride w:val="8"/>
    </w:lvlOverride>
  </w:num>
  <w:num w:numId="38">
    <w:abstractNumId w:val="28"/>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s-MX" w:vendorID="64" w:dllVersion="6" w:nlCheck="1" w:checkStyle="0"/>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17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120"/>
    <w:rsid w:val="000001AF"/>
    <w:rsid w:val="00000284"/>
    <w:rsid w:val="00000355"/>
    <w:rsid w:val="00000378"/>
    <w:rsid w:val="00000790"/>
    <w:rsid w:val="00000C19"/>
    <w:rsid w:val="000010F6"/>
    <w:rsid w:val="0000110B"/>
    <w:rsid w:val="00001162"/>
    <w:rsid w:val="0000160C"/>
    <w:rsid w:val="00001854"/>
    <w:rsid w:val="00001C46"/>
    <w:rsid w:val="00001D34"/>
    <w:rsid w:val="00001EB1"/>
    <w:rsid w:val="00001ED4"/>
    <w:rsid w:val="00001ED6"/>
    <w:rsid w:val="000020A8"/>
    <w:rsid w:val="00002172"/>
    <w:rsid w:val="0000278A"/>
    <w:rsid w:val="00002969"/>
    <w:rsid w:val="0000317F"/>
    <w:rsid w:val="00003222"/>
    <w:rsid w:val="00003499"/>
    <w:rsid w:val="000035D1"/>
    <w:rsid w:val="000038A4"/>
    <w:rsid w:val="000039B7"/>
    <w:rsid w:val="00003BA8"/>
    <w:rsid w:val="00003EF3"/>
    <w:rsid w:val="000040FE"/>
    <w:rsid w:val="000043ED"/>
    <w:rsid w:val="0000489A"/>
    <w:rsid w:val="00004F80"/>
    <w:rsid w:val="00005B3E"/>
    <w:rsid w:val="00005B81"/>
    <w:rsid w:val="00005EAD"/>
    <w:rsid w:val="0000610B"/>
    <w:rsid w:val="000062E4"/>
    <w:rsid w:val="000072E2"/>
    <w:rsid w:val="00007489"/>
    <w:rsid w:val="00007805"/>
    <w:rsid w:val="00007C27"/>
    <w:rsid w:val="00007E32"/>
    <w:rsid w:val="00010342"/>
    <w:rsid w:val="00010648"/>
    <w:rsid w:val="00010754"/>
    <w:rsid w:val="0001130B"/>
    <w:rsid w:val="00011B8F"/>
    <w:rsid w:val="00012A5D"/>
    <w:rsid w:val="00012FF2"/>
    <w:rsid w:val="00013148"/>
    <w:rsid w:val="00013247"/>
    <w:rsid w:val="000137A2"/>
    <w:rsid w:val="00013ED7"/>
    <w:rsid w:val="0001414A"/>
    <w:rsid w:val="000141E7"/>
    <w:rsid w:val="00014369"/>
    <w:rsid w:val="0001444F"/>
    <w:rsid w:val="0001450E"/>
    <w:rsid w:val="0001464B"/>
    <w:rsid w:val="00014A37"/>
    <w:rsid w:val="00014AC2"/>
    <w:rsid w:val="00014F89"/>
    <w:rsid w:val="000151CB"/>
    <w:rsid w:val="000151CD"/>
    <w:rsid w:val="0001552D"/>
    <w:rsid w:val="00015886"/>
    <w:rsid w:val="000159AB"/>
    <w:rsid w:val="00015E61"/>
    <w:rsid w:val="00015F3F"/>
    <w:rsid w:val="000162EF"/>
    <w:rsid w:val="00016428"/>
    <w:rsid w:val="00016820"/>
    <w:rsid w:val="000169E9"/>
    <w:rsid w:val="00016EB6"/>
    <w:rsid w:val="00017417"/>
    <w:rsid w:val="00017E71"/>
    <w:rsid w:val="000201D1"/>
    <w:rsid w:val="0002039B"/>
    <w:rsid w:val="000203DB"/>
    <w:rsid w:val="000208A8"/>
    <w:rsid w:val="00020944"/>
    <w:rsid w:val="00020BA1"/>
    <w:rsid w:val="00020DBC"/>
    <w:rsid w:val="000216E1"/>
    <w:rsid w:val="000217F1"/>
    <w:rsid w:val="0002225F"/>
    <w:rsid w:val="00022554"/>
    <w:rsid w:val="00022B2A"/>
    <w:rsid w:val="00022C19"/>
    <w:rsid w:val="00023413"/>
    <w:rsid w:val="00023741"/>
    <w:rsid w:val="00023763"/>
    <w:rsid w:val="00024549"/>
    <w:rsid w:val="00024ED5"/>
    <w:rsid w:val="00024FC3"/>
    <w:rsid w:val="00025144"/>
    <w:rsid w:val="0002563A"/>
    <w:rsid w:val="000257DA"/>
    <w:rsid w:val="0002588E"/>
    <w:rsid w:val="0002594F"/>
    <w:rsid w:val="00025DEB"/>
    <w:rsid w:val="00025EBF"/>
    <w:rsid w:val="00025FCB"/>
    <w:rsid w:val="000262BF"/>
    <w:rsid w:val="0002696F"/>
    <w:rsid w:val="00026DDF"/>
    <w:rsid w:val="00027605"/>
    <w:rsid w:val="000278C3"/>
    <w:rsid w:val="00027C68"/>
    <w:rsid w:val="00027D98"/>
    <w:rsid w:val="00030951"/>
    <w:rsid w:val="00030F29"/>
    <w:rsid w:val="00031349"/>
    <w:rsid w:val="00031612"/>
    <w:rsid w:val="00031CA9"/>
    <w:rsid w:val="000320AA"/>
    <w:rsid w:val="00032174"/>
    <w:rsid w:val="00032A4A"/>
    <w:rsid w:val="00032C50"/>
    <w:rsid w:val="000333FA"/>
    <w:rsid w:val="00033778"/>
    <w:rsid w:val="00033863"/>
    <w:rsid w:val="00033BB6"/>
    <w:rsid w:val="00034037"/>
    <w:rsid w:val="0003418F"/>
    <w:rsid w:val="000341E4"/>
    <w:rsid w:val="0003468B"/>
    <w:rsid w:val="0003527D"/>
    <w:rsid w:val="000355F7"/>
    <w:rsid w:val="00035C7C"/>
    <w:rsid w:val="00035DC0"/>
    <w:rsid w:val="00036829"/>
    <w:rsid w:val="000369BA"/>
    <w:rsid w:val="00036A2C"/>
    <w:rsid w:val="00036A45"/>
    <w:rsid w:val="00037AAD"/>
    <w:rsid w:val="00037AEB"/>
    <w:rsid w:val="00040140"/>
    <w:rsid w:val="00040558"/>
    <w:rsid w:val="00040601"/>
    <w:rsid w:val="00040895"/>
    <w:rsid w:val="000411C5"/>
    <w:rsid w:val="000412D5"/>
    <w:rsid w:val="000413EE"/>
    <w:rsid w:val="00042170"/>
    <w:rsid w:val="00042268"/>
    <w:rsid w:val="000426FD"/>
    <w:rsid w:val="00043C37"/>
    <w:rsid w:val="00043CD4"/>
    <w:rsid w:val="00043FC9"/>
    <w:rsid w:val="0004433E"/>
    <w:rsid w:val="00045017"/>
    <w:rsid w:val="00045055"/>
    <w:rsid w:val="00045374"/>
    <w:rsid w:val="00045A2B"/>
    <w:rsid w:val="000464AD"/>
    <w:rsid w:val="00046749"/>
    <w:rsid w:val="00046854"/>
    <w:rsid w:val="0004689B"/>
    <w:rsid w:val="0004698F"/>
    <w:rsid w:val="0004707E"/>
    <w:rsid w:val="00047104"/>
    <w:rsid w:val="00047A8A"/>
    <w:rsid w:val="00050522"/>
    <w:rsid w:val="00050999"/>
    <w:rsid w:val="00050D9D"/>
    <w:rsid w:val="000511D9"/>
    <w:rsid w:val="00051D42"/>
    <w:rsid w:val="00052374"/>
    <w:rsid w:val="00052584"/>
    <w:rsid w:val="00052682"/>
    <w:rsid w:val="00052EC0"/>
    <w:rsid w:val="0005361C"/>
    <w:rsid w:val="000538F6"/>
    <w:rsid w:val="000539D0"/>
    <w:rsid w:val="00053A11"/>
    <w:rsid w:val="00053A80"/>
    <w:rsid w:val="00053B60"/>
    <w:rsid w:val="00054262"/>
    <w:rsid w:val="00054621"/>
    <w:rsid w:val="000546D7"/>
    <w:rsid w:val="00054DD1"/>
    <w:rsid w:val="000559D1"/>
    <w:rsid w:val="00055CC7"/>
    <w:rsid w:val="00055CDF"/>
    <w:rsid w:val="000569D1"/>
    <w:rsid w:val="00057126"/>
    <w:rsid w:val="00057557"/>
    <w:rsid w:val="00057E49"/>
    <w:rsid w:val="00057EC5"/>
    <w:rsid w:val="000605BA"/>
    <w:rsid w:val="00060849"/>
    <w:rsid w:val="0006102C"/>
    <w:rsid w:val="00061192"/>
    <w:rsid w:val="00061775"/>
    <w:rsid w:val="00061B36"/>
    <w:rsid w:val="000620C6"/>
    <w:rsid w:val="000622C5"/>
    <w:rsid w:val="00062573"/>
    <w:rsid w:val="00062D7A"/>
    <w:rsid w:val="0006334E"/>
    <w:rsid w:val="0006337F"/>
    <w:rsid w:val="000635F0"/>
    <w:rsid w:val="00063780"/>
    <w:rsid w:val="00063CE9"/>
    <w:rsid w:val="00063E9C"/>
    <w:rsid w:val="00063F38"/>
    <w:rsid w:val="00064057"/>
    <w:rsid w:val="000642D7"/>
    <w:rsid w:val="000643E7"/>
    <w:rsid w:val="00064617"/>
    <w:rsid w:val="000646C1"/>
    <w:rsid w:val="000648F1"/>
    <w:rsid w:val="00065042"/>
    <w:rsid w:val="0006527E"/>
    <w:rsid w:val="000653D1"/>
    <w:rsid w:val="00065BFB"/>
    <w:rsid w:val="00065C74"/>
    <w:rsid w:val="00065CB2"/>
    <w:rsid w:val="00065D3D"/>
    <w:rsid w:val="00066360"/>
    <w:rsid w:val="00067072"/>
    <w:rsid w:val="00067537"/>
    <w:rsid w:val="000706E3"/>
    <w:rsid w:val="00070E26"/>
    <w:rsid w:val="00070E97"/>
    <w:rsid w:val="00071248"/>
    <w:rsid w:val="00071C56"/>
    <w:rsid w:val="000720B9"/>
    <w:rsid w:val="00072225"/>
    <w:rsid w:val="000723AC"/>
    <w:rsid w:val="00072524"/>
    <w:rsid w:val="000729A4"/>
    <w:rsid w:val="00072A57"/>
    <w:rsid w:val="00073101"/>
    <w:rsid w:val="000732EB"/>
    <w:rsid w:val="00073406"/>
    <w:rsid w:val="000736FF"/>
    <w:rsid w:val="000737F7"/>
    <w:rsid w:val="00073974"/>
    <w:rsid w:val="00073CFB"/>
    <w:rsid w:val="00073D02"/>
    <w:rsid w:val="000741DB"/>
    <w:rsid w:val="00075B95"/>
    <w:rsid w:val="00076306"/>
    <w:rsid w:val="00076350"/>
    <w:rsid w:val="0007657F"/>
    <w:rsid w:val="000765FC"/>
    <w:rsid w:val="00076672"/>
    <w:rsid w:val="0007672F"/>
    <w:rsid w:val="000774F0"/>
    <w:rsid w:val="000779A1"/>
    <w:rsid w:val="00080454"/>
    <w:rsid w:val="00080909"/>
    <w:rsid w:val="00080D27"/>
    <w:rsid w:val="000812CA"/>
    <w:rsid w:val="00081543"/>
    <w:rsid w:val="00081A11"/>
    <w:rsid w:val="00081AFC"/>
    <w:rsid w:val="00081B54"/>
    <w:rsid w:val="00081EB5"/>
    <w:rsid w:val="00081EE0"/>
    <w:rsid w:val="00081F44"/>
    <w:rsid w:val="0008258D"/>
    <w:rsid w:val="00082D09"/>
    <w:rsid w:val="00082D52"/>
    <w:rsid w:val="00082DD2"/>
    <w:rsid w:val="0008303E"/>
    <w:rsid w:val="000832B1"/>
    <w:rsid w:val="000837BF"/>
    <w:rsid w:val="00083A5D"/>
    <w:rsid w:val="00083B9A"/>
    <w:rsid w:val="00083E99"/>
    <w:rsid w:val="000840A2"/>
    <w:rsid w:val="0008415B"/>
    <w:rsid w:val="00084591"/>
    <w:rsid w:val="00084DAD"/>
    <w:rsid w:val="00084E61"/>
    <w:rsid w:val="00084F19"/>
    <w:rsid w:val="0008519E"/>
    <w:rsid w:val="0008553B"/>
    <w:rsid w:val="000856C5"/>
    <w:rsid w:val="000857C7"/>
    <w:rsid w:val="00085AAE"/>
    <w:rsid w:val="00085EF9"/>
    <w:rsid w:val="00086617"/>
    <w:rsid w:val="000869F6"/>
    <w:rsid w:val="00087273"/>
    <w:rsid w:val="000876EC"/>
    <w:rsid w:val="00087797"/>
    <w:rsid w:val="00087D81"/>
    <w:rsid w:val="00087E72"/>
    <w:rsid w:val="0009048E"/>
    <w:rsid w:val="00090677"/>
    <w:rsid w:val="00090C7E"/>
    <w:rsid w:val="000913C7"/>
    <w:rsid w:val="000913C8"/>
    <w:rsid w:val="0009157D"/>
    <w:rsid w:val="00091792"/>
    <w:rsid w:val="000917B4"/>
    <w:rsid w:val="00091AD3"/>
    <w:rsid w:val="00091F7C"/>
    <w:rsid w:val="00092073"/>
    <w:rsid w:val="00092600"/>
    <w:rsid w:val="0009262B"/>
    <w:rsid w:val="00092BED"/>
    <w:rsid w:val="00092FC6"/>
    <w:rsid w:val="00093310"/>
    <w:rsid w:val="00093686"/>
    <w:rsid w:val="00093E16"/>
    <w:rsid w:val="0009445C"/>
    <w:rsid w:val="0009491E"/>
    <w:rsid w:val="00094FDC"/>
    <w:rsid w:val="0009553B"/>
    <w:rsid w:val="000956D4"/>
    <w:rsid w:val="000958D6"/>
    <w:rsid w:val="00095FE5"/>
    <w:rsid w:val="000961A6"/>
    <w:rsid w:val="00096284"/>
    <w:rsid w:val="00096645"/>
    <w:rsid w:val="00096A40"/>
    <w:rsid w:val="00096DCA"/>
    <w:rsid w:val="00097BEC"/>
    <w:rsid w:val="00097D54"/>
    <w:rsid w:val="00097F58"/>
    <w:rsid w:val="000A02F8"/>
    <w:rsid w:val="000A03BE"/>
    <w:rsid w:val="000A0E8E"/>
    <w:rsid w:val="000A1064"/>
    <w:rsid w:val="000A18EB"/>
    <w:rsid w:val="000A1C7A"/>
    <w:rsid w:val="000A20DA"/>
    <w:rsid w:val="000A2DDB"/>
    <w:rsid w:val="000A2EB3"/>
    <w:rsid w:val="000A3973"/>
    <w:rsid w:val="000A3A51"/>
    <w:rsid w:val="000A3F7E"/>
    <w:rsid w:val="000A4CB3"/>
    <w:rsid w:val="000A5661"/>
    <w:rsid w:val="000A5BBE"/>
    <w:rsid w:val="000A6241"/>
    <w:rsid w:val="000A6BF4"/>
    <w:rsid w:val="000A6CB6"/>
    <w:rsid w:val="000A6D34"/>
    <w:rsid w:val="000A6FA3"/>
    <w:rsid w:val="000A716F"/>
    <w:rsid w:val="000A741C"/>
    <w:rsid w:val="000A7D08"/>
    <w:rsid w:val="000B02D4"/>
    <w:rsid w:val="000B032A"/>
    <w:rsid w:val="000B0389"/>
    <w:rsid w:val="000B0670"/>
    <w:rsid w:val="000B0B27"/>
    <w:rsid w:val="000B0B77"/>
    <w:rsid w:val="000B0E75"/>
    <w:rsid w:val="000B0E77"/>
    <w:rsid w:val="000B0F4F"/>
    <w:rsid w:val="000B1175"/>
    <w:rsid w:val="000B19C7"/>
    <w:rsid w:val="000B2110"/>
    <w:rsid w:val="000B2278"/>
    <w:rsid w:val="000B2290"/>
    <w:rsid w:val="000B265C"/>
    <w:rsid w:val="000B29C1"/>
    <w:rsid w:val="000B2C5E"/>
    <w:rsid w:val="000B2FCD"/>
    <w:rsid w:val="000B34B4"/>
    <w:rsid w:val="000B3627"/>
    <w:rsid w:val="000B3827"/>
    <w:rsid w:val="000B3BF5"/>
    <w:rsid w:val="000B3DFB"/>
    <w:rsid w:val="000B4710"/>
    <w:rsid w:val="000B4742"/>
    <w:rsid w:val="000B52C4"/>
    <w:rsid w:val="000B5430"/>
    <w:rsid w:val="000B544F"/>
    <w:rsid w:val="000B66BF"/>
    <w:rsid w:val="000B66F5"/>
    <w:rsid w:val="000B6CAC"/>
    <w:rsid w:val="000B7612"/>
    <w:rsid w:val="000C09B3"/>
    <w:rsid w:val="000C1237"/>
    <w:rsid w:val="000C138C"/>
    <w:rsid w:val="000C1C42"/>
    <w:rsid w:val="000C1CBC"/>
    <w:rsid w:val="000C23BC"/>
    <w:rsid w:val="000C24EB"/>
    <w:rsid w:val="000C27BE"/>
    <w:rsid w:val="000C2A38"/>
    <w:rsid w:val="000C2B45"/>
    <w:rsid w:val="000C3B82"/>
    <w:rsid w:val="000C3DF9"/>
    <w:rsid w:val="000C40D6"/>
    <w:rsid w:val="000C43C3"/>
    <w:rsid w:val="000C4552"/>
    <w:rsid w:val="000C4B38"/>
    <w:rsid w:val="000C5623"/>
    <w:rsid w:val="000C6456"/>
    <w:rsid w:val="000C65F6"/>
    <w:rsid w:val="000C661C"/>
    <w:rsid w:val="000C6713"/>
    <w:rsid w:val="000C6DDF"/>
    <w:rsid w:val="000C6F3C"/>
    <w:rsid w:val="000C713C"/>
    <w:rsid w:val="000C7763"/>
    <w:rsid w:val="000C7943"/>
    <w:rsid w:val="000C7C47"/>
    <w:rsid w:val="000D03EA"/>
    <w:rsid w:val="000D0844"/>
    <w:rsid w:val="000D0913"/>
    <w:rsid w:val="000D1BFC"/>
    <w:rsid w:val="000D1F6E"/>
    <w:rsid w:val="000D202C"/>
    <w:rsid w:val="000D2768"/>
    <w:rsid w:val="000D281A"/>
    <w:rsid w:val="000D2B1E"/>
    <w:rsid w:val="000D2B8E"/>
    <w:rsid w:val="000D2FE2"/>
    <w:rsid w:val="000D30E2"/>
    <w:rsid w:val="000D326A"/>
    <w:rsid w:val="000D395A"/>
    <w:rsid w:val="000D3CF1"/>
    <w:rsid w:val="000D40E3"/>
    <w:rsid w:val="000D4116"/>
    <w:rsid w:val="000D413B"/>
    <w:rsid w:val="000D41B5"/>
    <w:rsid w:val="000D4785"/>
    <w:rsid w:val="000D4E61"/>
    <w:rsid w:val="000D4FA5"/>
    <w:rsid w:val="000D515B"/>
    <w:rsid w:val="000D51FB"/>
    <w:rsid w:val="000D553E"/>
    <w:rsid w:val="000D5571"/>
    <w:rsid w:val="000D56BE"/>
    <w:rsid w:val="000D7BA3"/>
    <w:rsid w:val="000E0133"/>
    <w:rsid w:val="000E01D8"/>
    <w:rsid w:val="000E10B6"/>
    <w:rsid w:val="000E135D"/>
    <w:rsid w:val="000E19A6"/>
    <w:rsid w:val="000E2078"/>
    <w:rsid w:val="000E2409"/>
    <w:rsid w:val="000E3093"/>
    <w:rsid w:val="000E3119"/>
    <w:rsid w:val="000E377B"/>
    <w:rsid w:val="000E3C42"/>
    <w:rsid w:val="000E3E80"/>
    <w:rsid w:val="000E3F12"/>
    <w:rsid w:val="000E3F64"/>
    <w:rsid w:val="000E444C"/>
    <w:rsid w:val="000E4735"/>
    <w:rsid w:val="000E4757"/>
    <w:rsid w:val="000E484E"/>
    <w:rsid w:val="000E4C81"/>
    <w:rsid w:val="000E4E24"/>
    <w:rsid w:val="000E4F2D"/>
    <w:rsid w:val="000E52DF"/>
    <w:rsid w:val="000E54D4"/>
    <w:rsid w:val="000E55DC"/>
    <w:rsid w:val="000E5741"/>
    <w:rsid w:val="000E5FEF"/>
    <w:rsid w:val="000E64E2"/>
    <w:rsid w:val="000E6576"/>
    <w:rsid w:val="000E6688"/>
    <w:rsid w:val="000E68B0"/>
    <w:rsid w:val="000E798C"/>
    <w:rsid w:val="000F00BA"/>
    <w:rsid w:val="000F018D"/>
    <w:rsid w:val="000F0A31"/>
    <w:rsid w:val="000F0BB4"/>
    <w:rsid w:val="000F0C8E"/>
    <w:rsid w:val="000F0D0D"/>
    <w:rsid w:val="000F1486"/>
    <w:rsid w:val="000F316A"/>
    <w:rsid w:val="000F3629"/>
    <w:rsid w:val="000F381A"/>
    <w:rsid w:val="000F3A30"/>
    <w:rsid w:val="000F3C74"/>
    <w:rsid w:val="000F4147"/>
    <w:rsid w:val="000F4254"/>
    <w:rsid w:val="000F48E9"/>
    <w:rsid w:val="000F4BB8"/>
    <w:rsid w:val="000F5036"/>
    <w:rsid w:val="000F513C"/>
    <w:rsid w:val="000F51F4"/>
    <w:rsid w:val="000F553C"/>
    <w:rsid w:val="000F577C"/>
    <w:rsid w:val="000F5C2B"/>
    <w:rsid w:val="000F64CC"/>
    <w:rsid w:val="000F670B"/>
    <w:rsid w:val="000F6B19"/>
    <w:rsid w:val="000F7127"/>
    <w:rsid w:val="000F74FF"/>
    <w:rsid w:val="000F79D4"/>
    <w:rsid w:val="000F79FB"/>
    <w:rsid w:val="000F7CCC"/>
    <w:rsid w:val="001004F9"/>
    <w:rsid w:val="00100536"/>
    <w:rsid w:val="0010065E"/>
    <w:rsid w:val="00100BBF"/>
    <w:rsid w:val="00100F8A"/>
    <w:rsid w:val="0010180B"/>
    <w:rsid w:val="001018C4"/>
    <w:rsid w:val="00101B46"/>
    <w:rsid w:val="00102055"/>
    <w:rsid w:val="001024DA"/>
    <w:rsid w:val="001024E3"/>
    <w:rsid w:val="0010273B"/>
    <w:rsid w:val="00102764"/>
    <w:rsid w:val="00102A26"/>
    <w:rsid w:val="00102B7A"/>
    <w:rsid w:val="00102E42"/>
    <w:rsid w:val="001034F8"/>
    <w:rsid w:val="001038F9"/>
    <w:rsid w:val="00103CB2"/>
    <w:rsid w:val="001042DD"/>
    <w:rsid w:val="001044B4"/>
    <w:rsid w:val="00104CF0"/>
    <w:rsid w:val="0010548B"/>
    <w:rsid w:val="00105545"/>
    <w:rsid w:val="00105AE2"/>
    <w:rsid w:val="00106145"/>
    <w:rsid w:val="001065A6"/>
    <w:rsid w:val="001069DC"/>
    <w:rsid w:val="00106B80"/>
    <w:rsid w:val="00107152"/>
    <w:rsid w:val="001071AC"/>
    <w:rsid w:val="00107A87"/>
    <w:rsid w:val="00107C1B"/>
    <w:rsid w:val="00107DD9"/>
    <w:rsid w:val="00110215"/>
    <w:rsid w:val="0011032E"/>
    <w:rsid w:val="0011080F"/>
    <w:rsid w:val="00110DB0"/>
    <w:rsid w:val="00111483"/>
    <w:rsid w:val="00111825"/>
    <w:rsid w:val="00111DFE"/>
    <w:rsid w:val="0011200F"/>
    <w:rsid w:val="001124CE"/>
    <w:rsid w:val="00112526"/>
    <w:rsid w:val="00113060"/>
    <w:rsid w:val="00113288"/>
    <w:rsid w:val="0011348B"/>
    <w:rsid w:val="0011367F"/>
    <w:rsid w:val="00113D33"/>
    <w:rsid w:val="00113F57"/>
    <w:rsid w:val="001140B2"/>
    <w:rsid w:val="001143C8"/>
    <w:rsid w:val="001145F6"/>
    <w:rsid w:val="00114AB8"/>
    <w:rsid w:val="00115057"/>
    <w:rsid w:val="0011506E"/>
    <w:rsid w:val="00115982"/>
    <w:rsid w:val="001165C7"/>
    <w:rsid w:val="00116C53"/>
    <w:rsid w:val="001174F4"/>
    <w:rsid w:val="001175C9"/>
    <w:rsid w:val="001178A8"/>
    <w:rsid w:val="00117F0D"/>
    <w:rsid w:val="001204BB"/>
    <w:rsid w:val="00121799"/>
    <w:rsid w:val="00121B6D"/>
    <w:rsid w:val="00121E66"/>
    <w:rsid w:val="001222FC"/>
    <w:rsid w:val="001223D7"/>
    <w:rsid w:val="0012242D"/>
    <w:rsid w:val="0012261E"/>
    <w:rsid w:val="00122CC4"/>
    <w:rsid w:val="00122DAE"/>
    <w:rsid w:val="00122F35"/>
    <w:rsid w:val="001230E4"/>
    <w:rsid w:val="00123789"/>
    <w:rsid w:val="0012390B"/>
    <w:rsid w:val="001240FF"/>
    <w:rsid w:val="00124606"/>
    <w:rsid w:val="00124A51"/>
    <w:rsid w:val="00125198"/>
    <w:rsid w:val="00125333"/>
    <w:rsid w:val="001256F9"/>
    <w:rsid w:val="00125953"/>
    <w:rsid w:val="00125C2E"/>
    <w:rsid w:val="00126097"/>
    <w:rsid w:val="001260B8"/>
    <w:rsid w:val="001260E4"/>
    <w:rsid w:val="001263A9"/>
    <w:rsid w:val="00126621"/>
    <w:rsid w:val="00126720"/>
    <w:rsid w:val="00126768"/>
    <w:rsid w:val="0012689D"/>
    <w:rsid w:val="00126C75"/>
    <w:rsid w:val="001301E9"/>
    <w:rsid w:val="0013056B"/>
    <w:rsid w:val="001308E3"/>
    <w:rsid w:val="00130BD1"/>
    <w:rsid w:val="00131135"/>
    <w:rsid w:val="0013154E"/>
    <w:rsid w:val="0013178F"/>
    <w:rsid w:val="00131A54"/>
    <w:rsid w:val="00131D82"/>
    <w:rsid w:val="00131ED2"/>
    <w:rsid w:val="00131F00"/>
    <w:rsid w:val="00131F68"/>
    <w:rsid w:val="00132273"/>
    <w:rsid w:val="0013238D"/>
    <w:rsid w:val="001324B3"/>
    <w:rsid w:val="00132574"/>
    <w:rsid w:val="00132939"/>
    <w:rsid w:val="00132F4B"/>
    <w:rsid w:val="001330E9"/>
    <w:rsid w:val="00133795"/>
    <w:rsid w:val="001338D0"/>
    <w:rsid w:val="00133D36"/>
    <w:rsid w:val="00133EEB"/>
    <w:rsid w:val="00134053"/>
    <w:rsid w:val="00134257"/>
    <w:rsid w:val="0013481D"/>
    <w:rsid w:val="00134925"/>
    <w:rsid w:val="00134987"/>
    <w:rsid w:val="00134EE6"/>
    <w:rsid w:val="0013536F"/>
    <w:rsid w:val="00135687"/>
    <w:rsid w:val="001356B0"/>
    <w:rsid w:val="001356B6"/>
    <w:rsid w:val="00135E14"/>
    <w:rsid w:val="00136710"/>
    <w:rsid w:val="00136A62"/>
    <w:rsid w:val="00136C36"/>
    <w:rsid w:val="00137001"/>
    <w:rsid w:val="00137113"/>
    <w:rsid w:val="00137268"/>
    <w:rsid w:val="00137645"/>
    <w:rsid w:val="001376AB"/>
    <w:rsid w:val="001377CF"/>
    <w:rsid w:val="00137B33"/>
    <w:rsid w:val="001400BA"/>
    <w:rsid w:val="0014015A"/>
    <w:rsid w:val="00140763"/>
    <w:rsid w:val="0014088E"/>
    <w:rsid w:val="00140AAF"/>
    <w:rsid w:val="00140B25"/>
    <w:rsid w:val="00140C26"/>
    <w:rsid w:val="00140E99"/>
    <w:rsid w:val="00141157"/>
    <w:rsid w:val="001413E5"/>
    <w:rsid w:val="00141772"/>
    <w:rsid w:val="001418DE"/>
    <w:rsid w:val="00141FDD"/>
    <w:rsid w:val="00142476"/>
    <w:rsid w:val="00142529"/>
    <w:rsid w:val="001426F5"/>
    <w:rsid w:val="00142EBE"/>
    <w:rsid w:val="00142F84"/>
    <w:rsid w:val="001430C9"/>
    <w:rsid w:val="0014333A"/>
    <w:rsid w:val="00143565"/>
    <w:rsid w:val="00143B70"/>
    <w:rsid w:val="0014402E"/>
    <w:rsid w:val="00144479"/>
    <w:rsid w:val="0014492C"/>
    <w:rsid w:val="00144EAE"/>
    <w:rsid w:val="00145226"/>
    <w:rsid w:val="00145508"/>
    <w:rsid w:val="00145540"/>
    <w:rsid w:val="001456B0"/>
    <w:rsid w:val="00145914"/>
    <w:rsid w:val="00145B84"/>
    <w:rsid w:val="00146963"/>
    <w:rsid w:val="00146E22"/>
    <w:rsid w:val="00147616"/>
    <w:rsid w:val="00150441"/>
    <w:rsid w:val="001510C3"/>
    <w:rsid w:val="001510EC"/>
    <w:rsid w:val="00151516"/>
    <w:rsid w:val="00151E80"/>
    <w:rsid w:val="001524E1"/>
    <w:rsid w:val="00152827"/>
    <w:rsid w:val="00152F63"/>
    <w:rsid w:val="00153C00"/>
    <w:rsid w:val="0015427A"/>
    <w:rsid w:val="001543D8"/>
    <w:rsid w:val="0015457F"/>
    <w:rsid w:val="00154B49"/>
    <w:rsid w:val="00155475"/>
    <w:rsid w:val="0015565A"/>
    <w:rsid w:val="0015612E"/>
    <w:rsid w:val="00156389"/>
    <w:rsid w:val="0015639A"/>
    <w:rsid w:val="00157130"/>
    <w:rsid w:val="0015734C"/>
    <w:rsid w:val="001576B1"/>
    <w:rsid w:val="00160082"/>
    <w:rsid w:val="00160A4C"/>
    <w:rsid w:val="00160AC2"/>
    <w:rsid w:val="00160E4F"/>
    <w:rsid w:val="00161FF9"/>
    <w:rsid w:val="0016285B"/>
    <w:rsid w:val="00162913"/>
    <w:rsid w:val="00162F05"/>
    <w:rsid w:val="001639D7"/>
    <w:rsid w:val="00163AA2"/>
    <w:rsid w:val="00163CDC"/>
    <w:rsid w:val="00163EE8"/>
    <w:rsid w:val="00163EFF"/>
    <w:rsid w:val="00164592"/>
    <w:rsid w:val="00164786"/>
    <w:rsid w:val="00164B62"/>
    <w:rsid w:val="00164C65"/>
    <w:rsid w:val="00165151"/>
    <w:rsid w:val="00165179"/>
    <w:rsid w:val="0016554F"/>
    <w:rsid w:val="001661FB"/>
    <w:rsid w:val="0016644B"/>
    <w:rsid w:val="00166790"/>
    <w:rsid w:val="00166D91"/>
    <w:rsid w:val="00167B6A"/>
    <w:rsid w:val="00167C90"/>
    <w:rsid w:val="00167E20"/>
    <w:rsid w:val="001701AE"/>
    <w:rsid w:val="001702EF"/>
    <w:rsid w:val="00170943"/>
    <w:rsid w:val="00171657"/>
    <w:rsid w:val="00171D09"/>
    <w:rsid w:val="00171D27"/>
    <w:rsid w:val="00171E4D"/>
    <w:rsid w:val="00172340"/>
    <w:rsid w:val="00172465"/>
    <w:rsid w:val="00173565"/>
    <w:rsid w:val="00173646"/>
    <w:rsid w:val="00173B07"/>
    <w:rsid w:val="00173ED2"/>
    <w:rsid w:val="001741B0"/>
    <w:rsid w:val="00174503"/>
    <w:rsid w:val="00174889"/>
    <w:rsid w:val="00174AAF"/>
    <w:rsid w:val="00174B0B"/>
    <w:rsid w:val="00174E44"/>
    <w:rsid w:val="0017519B"/>
    <w:rsid w:val="001751E7"/>
    <w:rsid w:val="001752A4"/>
    <w:rsid w:val="0017569E"/>
    <w:rsid w:val="00175B50"/>
    <w:rsid w:val="00175F25"/>
    <w:rsid w:val="00176A32"/>
    <w:rsid w:val="00176C33"/>
    <w:rsid w:val="00176DEB"/>
    <w:rsid w:val="001771B2"/>
    <w:rsid w:val="0017771C"/>
    <w:rsid w:val="001800D9"/>
    <w:rsid w:val="00180372"/>
    <w:rsid w:val="00180560"/>
    <w:rsid w:val="00180691"/>
    <w:rsid w:val="001807F1"/>
    <w:rsid w:val="001808C0"/>
    <w:rsid w:val="001809B9"/>
    <w:rsid w:val="00180A59"/>
    <w:rsid w:val="00180B6E"/>
    <w:rsid w:val="001810B7"/>
    <w:rsid w:val="001811A8"/>
    <w:rsid w:val="00181AA2"/>
    <w:rsid w:val="00181D2E"/>
    <w:rsid w:val="00181D9C"/>
    <w:rsid w:val="00181ECF"/>
    <w:rsid w:val="00181F08"/>
    <w:rsid w:val="00182161"/>
    <w:rsid w:val="00182FA7"/>
    <w:rsid w:val="00183796"/>
    <w:rsid w:val="00183D63"/>
    <w:rsid w:val="00184DFB"/>
    <w:rsid w:val="00184F7D"/>
    <w:rsid w:val="0018537D"/>
    <w:rsid w:val="001858D7"/>
    <w:rsid w:val="001860FE"/>
    <w:rsid w:val="00186265"/>
    <w:rsid w:val="001863AB"/>
    <w:rsid w:val="00186FB7"/>
    <w:rsid w:val="0018752F"/>
    <w:rsid w:val="001876C6"/>
    <w:rsid w:val="00187FE6"/>
    <w:rsid w:val="00190312"/>
    <w:rsid w:val="00190636"/>
    <w:rsid w:val="001908AA"/>
    <w:rsid w:val="001908B5"/>
    <w:rsid w:val="001908F9"/>
    <w:rsid w:val="0019132E"/>
    <w:rsid w:val="00191D5E"/>
    <w:rsid w:val="00192E23"/>
    <w:rsid w:val="00192E2C"/>
    <w:rsid w:val="001934B6"/>
    <w:rsid w:val="00193E38"/>
    <w:rsid w:val="00194114"/>
    <w:rsid w:val="00194663"/>
    <w:rsid w:val="00194803"/>
    <w:rsid w:val="00195222"/>
    <w:rsid w:val="001952D7"/>
    <w:rsid w:val="00195369"/>
    <w:rsid w:val="00195583"/>
    <w:rsid w:val="00195D2F"/>
    <w:rsid w:val="00195EF5"/>
    <w:rsid w:val="00196FAD"/>
    <w:rsid w:val="00197596"/>
    <w:rsid w:val="001975D8"/>
    <w:rsid w:val="00197BD2"/>
    <w:rsid w:val="00197EC8"/>
    <w:rsid w:val="001A0B3F"/>
    <w:rsid w:val="001A10A7"/>
    <w:rsid w:val="001A116E"/>
    <w:rsid w:val="001A1B8F"/>
    <w:rsid w:val="001A1D8D"/>
    <w:rsid w:val="001A1ECC"/>
    <w:rsid w:val="001A2008"/>
    <w:rsid w:val="001A273B"/>
    <w:rsid w:val="001A2FEB"/>
    <w:rsid w:val="001A3199"/>
    <w:rsid w:val="001A35F7"/>
    <w:rsid w:val="001A39F8"/>
    <w:rsid w:val="001A3CDD"/>
    <w:rsid w:val="001A417F"/>
    <w:rsid w:val="001A43FA"/>
    <w:rsid w:val="001A4775"/>
    <w:rsid w:val="001A4A0A"/>
    <w:rsid w:val="001A4BA3"/>
    <w:rsid w:val="001A4E85"/>
    <w:rsid w:val="001A5125"/>
    <w:rsid w:val="001A5168"/>
    <w:rsid w:val="001A5180"/>
    <w:rsid w:val="001A59FB"/>
    <w:rsid w:val="001A5F64"/>
    <w:rsid w:val="001A6245"/>
    <w:rsid w:val="001A6354"/>
    <w:rsid w:val="001A66F4"/>
    <w:rsid w:val="001A6891"/>
    <w:rsid w:val="001A6CD1"/>
    <w:rsid w:val="001A6DE7"/>
    <w:rsid w:val="001A7301"/>
    <w:rsid w:val="001A7AE8"/>
    <w:rsid w:val="001A7C10"/>
    <w:rsid w:val="001B010C"/>
    <w:rsid w:val="001B01C6"/>
    <w:rsid w:val="001B0488"/>
    <w:rsid w:val="001B05A1"/>
    <w:rsid w:val="001B1214"/>
    <w:rsid w:val="001B1824"/>
    <w:rsid w:val="001B1965"/>
    <w:rsid w:val="001B1B17"/>
    <w:rsid w:val="001B204E"/>
    <w:rsid w:val="001B2085"/>
    <w:rsid w:val="001B24FD"/>
    <w:rsid w:val="001B26CC"/>
    <w:rsid w:val="001B3204"/>
    <w:rsid w:val="001B3443"/>
    <w:rsid w:val="001B415F"/>
    <w:rsid w:val="001B4493"/>
    <w:rsid w:val="001B4CDC"/>
    <w:rsid w:val="001B4D20"/>
    <w:rsid w:val="001B5500"/>
    <w:rsid w:val="001B550E"/>
    <w:rsid w:val="001B5C15"/>
    <w:rsid w:val="001B660F"/>
    <w:rsid w:val="001B6977"/>
    <w:rsid w:val="001B69D2"/>
    <w:rsid w:val="001B6ACF"/>
    <w:rsid w:val="001B7235"/>
    <w:rsid w:val="001B7C24"/>
    <w:rsid w:val="001C10E7"/>
    <w:rsid w:val="001C1398"/>
    <w:rsid w:val="001C1A2E"/>
    <w:rsid w:val="001C1EB8"/>
    <w:rsid w:val="001C1EF4"/>
    <w:rsid w:val="001C1FAB"/>
    <w:rsid w:val="001C217B"/>
    <w:rsid w:val="001C2259"/>
    <w:rsid w:val="001C22A3"/>
    <w:rsid w:val="001C2A9B"/>
    <w:rsid w:val="001C2B10"/>
    <w:rsid w:val="001C2B6B"/>
    <w:rsid w:val="001C2C10"/>
    <w:rsid w:val="001C2E54"/>
    <w:rsid w:val="001C2E89"/>
    <w:rsid w:val="001C3176"/>
    <w:rsid w:val="001C3366"/>
    <w:rsid w:val="001C3399"/>
    <w:rsid w:val="001C3879"/>
    <w:rsid w:val="001C3894"/>
    <w:rsid w:val="001C4299"/>
    <w:rsid w:val="001C47A7"/>
    <w:rsid w:val="001C48CD"/>
    <w:rsid w:val="001C5075"/>
    <w:rsid w:val="001C5345"/>
    <w:rsid w:val="001C5B2B"/>
    <w:rsid w:val="001C5F94"/>
    <w:rsid w:val="001C6366"/>
    <w:rsid w:val="001C687A"/>
    <w:rsid w:val="001C6E66"/>
    <w:rsid w:val="001C74B6"/>
    <w:rsid w:val="001C74BE"/>
    <w:rsid w:val="001C7968"/>
    <w:rsid w:val="001D08A1"/>
    <w:rsid w:val="001D09EC"/>
    <w:rsid w:val="001D0B2B"/>
    <w:rsid w:val="001D1390"/>
    <w:rsid w:val="001D1D70"/>
    <w:rsid w:val="001D210F"/>
    <w:rsid w:val="001D221D"/>
    <w:rsid w:val="001D227B"/>
    <w:rsid w:val="001D248E"/>
    <w:rsid w:val="001D2803"/>
    <w:rsid w:val="001D2995"/>
    <w:rsid w:val="001D29EC"/>
    <w:rsid w:val="001D2EB6"/>
    <w:rsid w:val="001D2F0E"/>
    <w:rsid w:val="001D31C9"/>
    <w:rsid w:val="001D33A6"/>
    <w:rsid w:val="001D458A"/>
    <w:rsid w:val="001D4871"/>
    <w:rsid w:val="001D4C0D"/>
    <w:rsid w:val="001D52CB"/>
    <w:rsid w:val="001D5380"/>
    <w:rsid w:val="001D5500"/>
    <w:rsid w:val="001D5A81"/>
    <w:rsid w:val="001D5B70"/>
    <w:rsid w:val="001D6836"/>
    <w:rsid w:val="001D69A4"/>
    <w:rsid w:val="001D6F4A"/>
    <w:rsid w:val="001D7B13"/>
    <w:rsid w:val="001D7B6F"/>
    <w:rsid w:val="001D7D52"/>
    <w:rsid w:val="001D7D64"/>
    <w:rsid w:val="001D7EC5"/>
    <w:rsid w:val="001D7F7C"/>
    <w:rsid w:val="001E01AF"/>
    <w:rsid w:val="001E0538"/>
    <w:rsid w:val="001E085F"/>
    <w:rsid w:val="001E0AAA"/>
    <w:rsid w:val="001E106D"/>
    <w:rsid w:val="001E175D"/>
    <w:rsid w:val="001E238E"/>
    <w:rsid w:val="001E2483"/>
    <w:rsid w:val="001E2670"/>
    <w:rsid w:val="001E2827"/>
    <w:rsid w:val="001E2B1E"/>
    <w:rsid w:val="001E2DAB"/>
    <w:rsid w:val="001E2F11"/>
    <w:rsid w:val="001E30D4"/>
    <w:rsid w:val="001E349A"/>
    <w:rsid w:val="001E3C4A"/>
    <w:rsid w:val="001E40A9"/>
    <w:rsid w:val="001E40AB"/>
    <w:rsid w:val="001E45BF"/>
    <w:rsid w:val="001E45EF"/>
    <w:rsid w:val="001E4F88"/>
    <w:rsid w:val="001E511E"/>
    <w:rsid w:val="001E5258"/>
    <w:rsid w:val="001E52EB"/>
    <w:rsid w:val="001E55DD"/>
    <w:rsid w:val="001E60F1"/>
    <w:rsid w:val="001E61D2"/>
    <w:rsid w:val="001E62DE"/>
    <w:rsid w:val="001E6F3D"/>
    <w:rsid w:val="001E7028"/>
    <w:rsid w:val="001E740C"/>
    <w:rsid w:val="001E78A2"/>
    <w:rsid w:val="001E78A9"/>
    <w:rsid w:val="001E79F9"/>
    <w:rsid w:val="001E7D03"/>
    <w:rsid w:val="001E7D3B"/>
    <w:rsid w:val="001F04C7"/>
    <w:rsid w:val="001F0671"/>
    <w:rsid w:val="001F0A79"/>
    <w:rsid w:val="001F0BFE"/>
    <w:rsid w:val="001F0F29"/>
    <w:rsid w:val="001F1235"/>
    <w:rsid w:val="001F15E7"/>
    <w:rsid w:val="001F17B1"/>
    <w:rsid w:val="001F1B71"/>
    <w:rsid w:val="001F1C39"/>
    <w:rsid w:val="001F1CB3"/>
    <w:rsid w:val="001F2400"/>
    <w:rsid w:val="001F250F"/>
    <w:rsid w:val="001F2653"/>
    <w:rsid w:val="001F37FB"/>
    <w:rsid w:val="001F38B5"/>
    <w:rsid w:val="001F398F"/>
    <w:rsid w:val="001F3A8C"/>
    <w:rsid w:val="001F3DC3"/>
    <w:rsid w:val="001F43EE"/>
    <w:rsid w:val="001F50FA"/>
    <w:rsid w:val="001F5286"/>
    <w:rsid w:val="001F53B1"/>
    <w:rsid w:val="001F5A99"/>
    <w:rsid w:val="001F5B9D"/>
    <w:rsid w:val="001F5D6E"/>
    <w:rsid w:val="001F61CE"/>
    <w:rsid w:val="001F68A8"/>
    <w:rsid w:val="001F6E84"/>
    <w:rsid w:val="001F7361"/>
    <w:rsid w:val="001F7BE8"/>
    <w:rsid w:val="001F7F92"/>
    <w:rsid w:val="00200076"/>
    <w:rsid w:val="00200456"/>
    <w:rsid w:val="00200FD8"/>
    <w:rsid w:val="002011B0"/>
    <w:rsid w:val="00201C97"/>
    <w:rsid w:val="00201E3A"/>
    <w:rsid w:val="00201E70"/>
    <w:rsid w:val="0020216C"/>
    <w:rsid w:val="00202191"/>
    <w:rsid w:val="002021DE"/>
    <w:rsid w:val="002023BB"/>
    <w:rsid w:val="002026B5"/>
    <w:rsid w:val="00202824"/>
    <w:rsid w:val="00202AC4"/>
    <w:rsid w:val="00203181"/>
    <w:rsid w:val="002033F3"/>
    <w:rsid w:val="00203459"/>
    <w:rsid w:val="00203783"/>
    <w:rsid w:val="002037E8"/>
    <w:rsid w:val="0020382E"/>
    <w:rsid w:val="0020385F"/>
    <w:rsid w:val="00203A0E"/>
    <w:rsid w:val="00203FE8"/>
    <w:rsid w:val="002042EE"/>
    <w:rsid w:val="00204585"/>
    <w:rsid w:val="00204C3B"/>
    <w:rsid w:val="00205321"/>
    <w:rsid w:val="002053F6"/>
    <w:rsid w:val="002054B4"/>
    <w:rsid w:val="00205E43"/>
    <w:rsid w:val="00205FF8"/>
    <w:rsid w:val="0020625E"/>
    <w:rsid w:val="00206528"/>
    <w:rsid w:val="002066F0"/>
    <w:rsid w:val="00206EE7"/>
    <w:rsid w:val="00207021"/>
    <w:rsid w:val="00207025"/>
    <w:rsid w:val="002072AB"/>
    <w:rsid w:val="0020732F"/>
    <w:rsid w:val="002073E2"/>
    <w:rsid w:val="002075C4"/>
    <w:rsid w:val="00207D00"/>
    <w:rsid w:val="00207DC1"/>
    <w:rsid w:val="002101F7"/>
    <w:rsid w:val="00210236"/>
    <w:rsid w:val="002105C1"/>
    <w:rsid w:val="0021095C"/>
    <w:rsid w:val="0021148D"/>
    <w:rsid w:val="0021183F"/>
    <w:rsid w:val="00211B52"/>
    <w:rsid w:val="00211BE9"/>
    <w:rsid w:val="00211D35"/>
    <w:rsid w:val="00211E74"/>
    <w:rsid w:val="0021258F"/>
    <w:rsid w:val="002125BE"/>
    <w:rsid w:val="00212EC9"/>
    <w:rsid w:val="002133A8"/>
    <w:rsid w:val="002133F0"/>
    <w:rsid w:val="002137E5"/>
    <w:rsid w:val="00213AF8"/>
    <w:rsid w:val="00213CBA"/>
    <w:rsid w:val="00213DCC"/>
    <w:rsid w:val="002140BD"/>
    <w:rsid w:val="002149BB"/>
    <w:rsid w:val="00214AC1"/>
    <w:rsid w:val="00214BCB"/>
    <w:rsid w:val="00214C42"/>
    <w:rsid w:val="00214CCC"/>
    <w:rsid w:val="00214E68"/>
    <w:rsid w:val="00214F28"/>
    <w:rsid w:val="00214F9C"/>
    <w:rsid w:val="0021552C"/>
    <w:rsid w:val="0021571B"/>
    <w:rsid w:val="00215B3A"/>
    <w:rsid w:val="002161B3"/>
    <w:rsid w:val="00216380"/>
    <w:rsid w:val="00216529"/>
    <w:rsid w:val="00216DF2"/>
    <w:rsid w:val="00217117"/>
    <w:rsid w:val="00217953"/>
    <w:rsid w:val="00217C6B"/>
    <w:rsid w:val="00220395"/>
    <w:rsid w:val="002207B1"/>
    <w:rsid w:val="00220B34"/>
    <w:rsid w:val="00220B7A"/>
    <w:rsid w:val="00220C83"/>
    <w:rsid w:val="00220D4B"/>
    <w:rsid w:val="00221487"/>
    <w:rsid w:val="002223F3"/>
    <w:rsid w:val="002226DC"/>
    <w:rsid w:val="00222787"/>
    <w:rsid w:val="002231E7"/>
    <w:rsid w:val="00223B49"/>
    <w:rsid w:val="00223B71"/>
    <w:rsid w:val="00223BFA"/>
    <w:rsid w:val="0022493A"/>
    <w:rsid w:val="00224DD4"/>
    <w:rsid w:val="00225599"/>
    <w:rsid w:val="00225672"/>
    <w:rsid w:val="00225B45"/>
    <w:rsid w:val="00225CAC"/>
    <w:rsid w:val="00225E00"/>
    <w:rsid w:val="00225EBD"/>
    <w:rsid w:val="002272D6"/>
    <w:rsid w:val="00227349"/>
    <w:rsid w:val="00227B6F"/>
    <w:rsid w:val="00227D91"/>
    <w:rsid w:val="00230019"/>
    <w:rsid w:val="002304E6"/>
    <w:rsid w:val="002309CC"/>
    <w:rsid w:val="00230B8F"/>
    <w:rsid w:val="00231173"/>
    <w:rsid w:val="00231179"/>
    <w:rsid w:val="002317D9"/>
    <w:rsid w:val="002318A4"/>
    <w:rsid w:val="00231EDC"/>
    <w:rsid w:val="0023209F"/>
    <w:rsid w:val="00232909"/>
    <w:rsid w:val="002333DE"/>
    <w:rsid w:val="00233DD1"/>
    <w:rsid w:val="002343FA"/>
    <w:rsid w:val="0023489B"/>
    <w:rsid w:val="00234AED"/>
    <w:rsid w:val="00234F12"/>
    <w:rsid w:val="002356C8"/>
    <w:rsid w:val="0023629D"/>
    <w:rsid w:val="002363C3"/>
    <w:rsid w:val="002366FF"/>
    <w:rsid w:val="00236901"/>
    <w:rsid w:val="00236B15"/>
    <w:rsid w:val="00236BAC"/>
    <w:rsid w:val="00236CEA"/>
    <w:rsid w:val="00237255"/>
    <w:rsid w:val="002379B6"/>
    <w:rsid w:val="00237AEE"/>
    <w:rsid w:val="00240589"/>
    <w:rsid w:val="00240704"/>
    <w:rsid w:val="00240931"/>
    <w:rsid w:val="00240C43"/>
    <w:rsid w:val="00240D5C"/>
    <w:rsid w:val="00240F2E"/>
    <w:rsid w:val="0024122E"/>
    <w:rsid w:val="00241D6A"/>
    <w:rsid w:val="00241EB3"/>
    <w:rsid w:val="0024227A"/>
    <w:rsid w:val="00242345"/>
    <w:rsid w:val="00242409"/>
    <w:rsid w:val="0024246A"/>
    <w:rsid w:val="002424AF"/>
    <w:rsid w:val="00242D4A"/>
    <w:rsid w:val="00242F4D"/>
    <w:rsid w:val="00243009"/>
    <w:rsid w:val="0024321D"/>
    <w:rsid w:val="002432EB"/>
    <w:rsid w:val="00243548"/>
    <w:rsid w:val="00243586"/>
    <w:rsid w:val="002439DC"/>
    <w:rsid w:val="00243AD4"/>
    <w:rsid w:val="0024493B"/>
    <w:rsid w:val="00244999"/>
    <w:rsid w:val="00244DC8"/>
    <w:rsid w:val="0024532D"/>
    <w:rsid w:val="002458BA"/>
    <w:rsid w:val="0024636C"/>
    <w:rsid w:val="002463FB"/>
    <w:rsid w:val="00246B53"/>
    <w:rsid w:val="00246C0F"/>
    <w:rsid w:val="00246EB9"/>
    <w:rsid w:val="00247058"/>
    <w:rsid w:val="002473FF"/>
    <w:rsid w:val="002478AE"/>
    <w:rsid w:val="00247925"/>
    <w:rsid w:val="00247A6D"/>
    <w:rsid w:val="00250420"/>
    <w:rsid w:val="00250A81"/>
    <w:rsid w:val="0025139B"/>
    <w:rsid w:val="0025186F"/>
    <w:rsid w:val="0025253B"/>
    <w:rsid w:val="0025255C"/>
    <w:rsid w:val="00252575"/>
    <w:rsid w:val="00252B6C"/>
    <w:rsid w:val="002539FB"/>
    <w:rsid w:val="00254913"/>
    <w:rsid w:val="00254DCF"/>
    <w:rsid w:val="0025534B"/>
    <w:rsid w:val="0025594D"/>
    <w:rsid w:val="00255B74"/>
    <w:rsid w:val="00255BB7"/>
    <w:rsid w:val="002560A0"/>
    <w:rsid w:val="0025626D"/>
    <w:rsid w:val="002565B6"/>
    <w:rsid w:val="00256896"/>
    <w:rsid w:val="0025692E"/>
    <w:rsid w:val="00257541"/>
    <w:rsid w:val="002579ED"/>
    <w:rsid w:val="002579F7"/>
    <w:rsid w:val="00257B0C"/>
    <w:rsid w:val="00257CCD"/>
    <w:rsid w:val="00260070"/>
    <w:rsid w:val="002600A3"/>
    <w:rsid w:val="00260954"/>
    <w:rsid w:val="00260994"/>
    <w:rsid w:val="00260FB9"/>
    <w:rsid w:val="00260FDF"/>
    <w:rsid w:val="0026113F"/>
    <w:rsid w:val="002615A6"/>
    <w:rsid w:val="002616DB"/>
    <w:rsid w:val="00261C5E"/>
    <w:rsid w:val="00262073"/>
    <w:rsid w:val="002626FA"/>
    <w:rsid w:val="00262A1A"/>
    <w:rsid w:val="00262A87"/>
    <w:rsid w:val="002634B1"/>
    <w:rsid w:val="00263C44"/>
    <w:rsid w:val="0026411E"/>
    <w:rsid w:val="00264D26"/>
    <w:rsid w:val="00265065"/>
    <w:rsid w:val="002656F2"/>
    <w:rsid w:val="00265A82"/>
    <w:rsid w:val="00265F6B"/>
    <w:rsid w:val="002667BF"/>
    <w:rsid w:val="00266A6D"/>
    <w:rsid w:val="00266AFA"/>
    <w:rsid w:val="00266FFE"/>
    <w:rsid w:val="00267603"/>
    <w:rsid w:val="00267642"/>
    <w:rsid w:val="002679DE"/>
    <w:rsid w:val="00267AEA"/>
    <w:rsid w:val="00267F9D"/>
    <w:rsid w:val="002700E6"/>
    <w:rsid w:val="00270231"/>
    <w:rsid w:val="002705B8"/>
    <w:rsid w:val="00270788"/>
    <w:rsid w:val="00271B96"/>
    <w:rsid w:val="00271CD1"/>
    <w:rsid w:val="00271CE1"/>
    <w:rsid w:val="00271FCA"/>
    <w:rsid w:val="002728CF"/>
    <w:rsid w:val="0027294B"/>
    <w:rsid w:val="00272EE5"/>
    <w:rsid w:val="00273B45"/>
    <w:rsid w:val="00273DA3"/>
    <w:rsid w:val="002740EF"/>
    <w:rsid w:val="0027456B"/>
    <w:rsid w:val="00274818"/>
    <w:rsid w:val="00275002"/>
    <w:rsid w:val="0027550E"/>
    <w:rsid w:val="002757F1"/>
    <w:rsid w:val="00275C01"/>
    <w:rsid w:val="00275C5A"/>
    <w:rsid w:val="00275FC9"/>
    <w:rsid w:val="00276048"/>
    <w:rsid w:val="00276762"/>
    <w:rsid w:val="00276801"/>
    <w:rsid w:val="00276A15"/>
    <w:rsid w:val="00276ABB"/>
    <w:rsid w:val="002775BA"/>
    <w:rsid w:val="00277E0E"/>
    <w:rsid w:val="00277FB5"/>
    <w:rsid w:val="00280120"/>
    <w:rsid w:val="00281014"/>
    <w:rsid w:val="00281057"/>
    <w:rsid w:val="002815EA"/>
    <w:rsid w:val="002819B5"/>
    <w:rsid w:val="00281D90"/>
    <w:rsid w:val="00281F30"/>
    <w:rsid w:val="002823AB"/>
    <w:rsid w:val="002825F1"/>
    <w:rsid w:val="00283100"/>
    <w:rsid w:val="002835B3"/>
    <w:rsid w:val="00283695"/>
    <w:rsid w:val="002838C1"/>
    <w:rsid w:val="0028412F"/>
    <w:rsid w:val="002843EF"/>
    <w:rsid w:val="00284E31"/>
    <w:rsid w:val="002850CC"/>
    <w:rsid w:val="00285461"/>
    <w:rsid w:val="00285ACA"/>
    <w:rsid w:val="00285C5E"/>
    <w:rsid w:val="0028608C"/>
    <w:rsid w:val="00286439"/>
    <w:rsid w:val="0028659B"/>
    <w:rsid w:val="00286E35"/>
    <w:rsid w:val="002870BA"/>
    <w:rsid w:val="002877BE"/>
    <w:rsid w:val="002879AE"/>
    <w:rsid w:val="0029000E"/>
    <w:rsid w:val="00290538"/>
    <w:rsid w:val="002906FB"/>
    <w:rsid w:val="00290DFA"/>
    <w:rsid w:val="0029113E"/>
    <w:rsid w:val="00291454"/>
    <w:rsid w:val="00291B59"/>
    <w:rsid w:val="00291C98"/>
    <w:rsid w:val="0029227E"/>
    <w:rsid w:val="00293674"/>
    <w:rsid w:val="00293715"/>
    <w:rsid w:val="002937E2"/>
    <w:rsid w:val="00293B33"/>
    <w:rsid w:val="00293E7B"/>
    <w:rsid w:val="00294633"/>
    <w:rsid w:val="002946E0"/>
    <w:rsid w:val="00294715"/>
    <w:rsid w:val="00294981"/>
    <w:rsid w:val="00294AA3"/>
    <w:rsid w:val="00294EC5"/>
    <w:rsid w:val="00295099"/>
    <w:rsid w:val="0029597D"/>
    <w:rsid w:val="00295F08"/>
    <w:rsid w:val="00296C6B"/>
    <w:rsid w:val="002A0561"/>
    <w:rsid w:val="002A0647"/>
    <w:rsid w:val="002A0DEA"/>
    <w:rsid w:val="002A102B"/>
    <w:rsid w:val="002A1138"/>
    <w:rsid w:val="002A116D"/>
    <w:rsid w:val="002A14AB"/>
    <w:rsid w:val="002A1F35"/>
    <w:rsid w:val="002A257A"/>
    <w:rsid w:val="002A2D23"/>
    <w:rsid w:val="002A2F02"/>
    <w:rsid w:val="002A2F50"/>
    <w:rsid w:val="002A2FCB"/>
    <w:rsid w:val="002A3866"/>
    <w:rsid w:val="002A3F14"/>
    <w:rsid w:val="002A4673"/>
    <w:rsid w:val="002A4AC6"/>
    <w:rsid w:val="002A4EFD"/>
    <w:rsid w:val="002A5230"/>
    <w:rsid w:val="002A59F2"/>
    <w:rsid w:val="002A5A01"/>
    <w:rsid w:val="002A5A4B"/>
    <w:rsid w:val="002A5DEE"/>
    <w:rsid w:val="002A5E1F"/>
    <w:rsid w:val="002A62A6"/>
    <w:rsid w:val="002A62D2"/>
    <w:rsid w:val="002A63E1"/>
    <w:rsid w:val="002A63EA"/>
    <w:rsid w:val="002A6AAE"/>
    <w:rsid w:val="002A7B32"/>
    <w:rsid w:val="002B09A4"/>
    <w:rsid w:val="002B0A77"/>
    <w:rsid w:val="002B0BF9"/>
    <w:rsid w:val="002B0FD9"/>
    <w:rsid w:val="002B1C1F"/>
    <w:rsid w:val="002B1F13"/>
    <w:rsid w:val="002B2BBA"/>
    <w:rsid w:val="002B2EFB"/>
    <w:rsid w:val="002B2FB4"/>
    <w:rsid w:val="002B2FC9"/>
    <w:rsid w:val="002B3573"/>
    <w:rsid w:val="002B3D30"/>
    <w:rsid w:val="002B3E41"/>
    <w:rsid w:val="002B432F"/>
    <w:rsid w:val="002B45F3"/>
    <w:rsid w:val="002B4931"/>
    <w:rsid w:val="002B49C3"/>
    <w:rsid w:val="002B4CBE"/>
    <w:rsid w:val="002B569D"/>
    <w:rsid w:val="002B5AAC"/>
    <w:rsid w:val="002B62B3"/>
    <w:rsid w:val="002B630B"/>
    <w:rsid w:val="002B6754"/>
    <w:rsid w:val="002B6816"/>
    <w:rsid w:val="002B6959"/>
    <w:rsid w:val="002B6CCE"/>
    <w:rsid w:val="002B7590"/>
    <w:rsid w:val="002B7784"/>
    <w:rsid w:val="002B7B39"/>
    <w:rsid w:val="002B7BC7"/>
    <w:rsid w:val="002C0175"/>
    <w:rsid w:val="002C065D"/>
    <w:rsid w:val="002C0ABB"/>
    <w:rsid w:val="002C0D6B"/>
    <w:rsid w:val="002C0F17"/>
    <w:rsid w:val="002C120B"/>
    <w:rsid w:val="002C1402"/>
    <w:rsid w:val="002C1FC2"/>
    <w:rsid w:val="002C2264"/>
    <w:rsid w:val="002C2510"/>
    <w:rsid w:val="002C2775"/>
    <w:rsid w:val="002C27C1"/>
    <w:rsid w:val="002C294A"/>
    <w:rsid w:val="002C2DCA"/>
    <w:rsid w:val="002C335B"/>
    <w:rsid w:val="002C480C"/>
    <w:rsid w:val="002C4D03"/>
    <w:rsid w:val="002C5099"/>
    <w:rsid w:val="002C5889"/>
    <w:rsid w:val="002C5937"/>
    <w:rsid w:val="002C5C82"/>
    <w:rsid w:val="002C5CBA"/>
    <w:rsid w:val="002C63E6"/>
    <w:rsid w:val="002C68B4"/>
    <w:rsid w:val="002C6F7F"/>
    <w:rsid w:val="002C7011"/>
    <w:rsid w:val="002C702D"/>
    <w:rsid w:val="002C7109"/>
    <w:rsid w:val="002C71CE"/>
    <w:rsid w:val="002C74EA"/>
    <w:rsid w:val="002C798A"/>
    <w:rsid w:val="002C7BEE"/>
    <w:rsid w:val="002D04E5"/>
    <w:rsid w:val="002D08B1"/>
    <w:rsid w:val="002D15DF"/>
    <w:rsid w:val="002D166B"/>
    <w:rsid w:val="002D1EBB"/>
    <w:rsid w:val="002D207A"/>
    <w:rsid w:val="002D2450"/>
    <w:rsid w:val="002D29CB"/>
    <w:rsid w:val="002D2A96"/>
    <w:rsid w:val="002D2DBF"/>
    <w:rsid w:val="002D2DF8"/>
    <w:rsid w:val="002D2E1D"/>
    <w:rsid w:val="002D3805"/>
    <w:rsid w:val="002D383B"/>
    <w:rsid w:val="002D39E1"/>
    <w:rsid w:val="002D3C56"/>
    <w:rsid w:val="002D3E4A"/>
    <w:rsid w:val="002D3F5C"/>
    <w:rsid w:val="002D4732"/>
    <w:rsid w:val="002D47AA"/>
    <w:rsid w:val="002D48B9"/>
    <w:rsid w:val="002D4CB2"/>
    <w:rsid w:val="002D4EEB"/>
    <w:rsid w:val="002D5425"/>
    <w:rsid w:val="002D54A7"/>
    <w:rsid w:val="002D577C"/>
    <w:rsid w:val="002D664C"/>
    <w:rsid w:val="002D68A2"/>
    <w:rsid w:val="002D6A62"/>
    <w:rsid w:val="002D6EE9"/>
    <w:rsid w:val="002D6F15"/>
    <w:rsid w:val="002D743E"/>
    <w:rsid w:val="002D7A9A"/>
    <w:rsid w:val="002E0028"/>
    <w:rsid w:val="002E0285"/>
    <w:rsid w:val="002E093D"/>
    <w:rsid w:val="002E0A51"/>
    <w:rsid w:val="002E0AED"/>
    <w:rsid w:val="002E0B54"/>
    <w:rsid w:val="002E0C11"/>
    <w:rsid w:val="002E15B9"/>
    <w:rsid w:val="002E1FD6"/>
    <w:rsid w:val="002E2158"/>
    <w:rsid w:val="002E2A7F"/>
    <w:rsid w:val="002E3128"/>
    <w:rsid w:val="002E3D6A"/>
    <w:rsid w:val="002E3FDE"/>
    <w:rsid w:val="002E4154"/>
    <w:rsid w:val="002E4525"/>
    <w:rsid w:val="002E516C"/>
    <w:rsid w:val="002E518F"/>
    <w:rsid w:val="002E5603"/>
    <w:rsid w:val="002E5996"/>
    <w:rsid w:val="002E5CD3"/>
    <w:rsid w:val="002E6544"/>
    <w:rsid w:val="002E6D49"/>
    <w:rsid w:val="002E6DC1"/>
    <w:rsid w:val="002E755A"/>
    <w:rsid w:val="002E765B"/>
    <w:rsid w:val="002E769F"/>
    <w:rsid w:val="002E7722"/>
    <w:rsid w:val="002F01CE"/>
    <w:rsid w:val="002F07BA"/>
    <w:rsid w:val="002F07D5"/>
    <w:rsid w:val="002F0A8A"/>
    <w:rsid w:val="002F0DA9"/>
    <w:rsid w:val="002F1E58"/>
    <w:rsid w:val="002F1ED7"/>
    <w:rsid w:val="002F2262"/>
    <w:rsid w:val="002F28F4"/>
    <w:rsid w:val="002F2AF1"/>
    <w:rsid w:val="002F32A7"/>
    <w:rsid w:val="002F3521"/>
    <w:rsid w:val="002F3A2F"/>
    <w:rsid w:val="002F3C93"/>
    <w:rsid w:val="002F4159"/>
    <w:rsid w:val="002F460C"/>
    <w:rsid w:val="002F480B"/>
    <w:rsid w:val="002F49A8"/>
    <w:rsid w:val="002F4C15"/>
    <w:rsid w:val="002F5C03"/>
    <w:rsid w:val="002F6218"/>
    <w:rsid w:val="002F6236"/>
    <w:rsid w:val="002F6403"/>
    <w:rsid w:val="002F643C"/>
    <w:rsid w:val="002F6C69"/>
    <w:rsid w:val="002F70F6"/>
    <w:rsid w:val="002F71C0"/>
    <w:rsid w:val="002F7BAB"/>
    <w:rsid w:val="002F7F99"/>
    <w:rsid w:val="003001E6"/>
    <w:rsid w:val="00300ADC"/>
    <w:rsid w:val="00300C14"/>
    <w:rsid w:val="00300C1D"/>
    <w:rsid w:val="00300FD1"/>
    <w:rsid w:val="00301017"/>
    <w:rsid w:val="00301181"/>
    <w:rsid w:val="0030155F"/>
    <w:rsid w:val="00301AC5"/>
    <w:rsid w:val="00301B47"/>
    <w:rsid w:val="00302376"/>
    <w:rsid w:val="00303145"/>
    <w:rsid w:val="003031CB"/>
    <w:rsid w:val="00304492"/>
    <w:rsid w:val="00304B1C"/>
    <w:rsid w:val="00304C32"/>
    <w:rsid w:val="003057AE"/>
    <w:rsid w:val="0030587B"/>
    <w:rsid w:val="003059B2"/>
    <w:rsid w:val="00305A61"/>
    <w:rsid w:val="00305E0B"/>
    <w:rsid w:val="003068D5"/>
    <w:rsid w:val="00306C11"/>
    <w:rsid w:val="00306D98"/>
    <w:rsid w:val="003070D4"/>
    <w:rsid w:val="00307117"/>
    <w:rsid w:val="0030786C"/>
    <w:rsid w:val="00307F00"/>
    <w:rsid w:val="0031031A"/>
    <w:rsid w:val="00310981"/>
    <w:rsid w:val="00311510"/>
    <w:rsid w:val="00311800"/>
    <w:rsid w:val="003119DB"/>
    <w:rsid w:val="00311B5A"/>
    <w:rsid w:val="00311B61"/>
    <w:rsid w:val="003120B5"/>
    <w:rsid w:val="0031226F"/>
    <w:rsid w:val="00312632"/>
    <w:rsid w:val="0031294F"/>
    <w:rsid w:val="0031298B"/>
    <w:rsid w:val="00312EEE"/>
    <w:rsid w:val="003133F5"/>
    <w:rsid w:val="0031354E"/>
    <w:rsid w:val="0031376D"/>
    <w:rsid w:val="003145E0"/>
    <w:rsid w:val="00314FCF"/>
    <w:rsid w:val="0031502B"/>
    <w:rsid w:val="00315498"/>
    <w:rsid w:val="003154A2"/>
    <w:rsid w:val="00315624"/>
    <w:rsid w:val="00315C10"/>
    <w:rsid w:val="00316182"/>
    <w:rsid w:val="003161AE"/>
    <w:rsid w:val="003164CF"/>
    <w:rsid w:val="0031651D"/>
    <w:rsid w:val="00316772"/>
    <w:rsid w:val="00316B84"/>
    <w:rsid w:val="00316CAB"/>
    <w:rsid w:val="00316ED8"/>
    <w:rsid w:val="00316F8B"/>
    <w:rsid w:val="0031700B"/>
    <w:rsid w:val="0031750D"/>
    <w:rsid w:val="0031771B"/>
    <w:rsid w:val="00317BF9"/>
    <w:rsid w:val="00317FA5"/>
    <w:rsid w:val="003206E2"/>
    <w:rsid w:val="003208F7"/>
    <w:rsid w:val="00320CE3"/>
    <w:rsid w:val="003219C8"/>
    <w:rsid w:val="00321A53"/>
    <w:rsid w:val="00321C8F"/>
    <w:rsid w:val="00321CAB"/>
    <w:rsid w:val="00321CCE"/>
    <w:rsid w:val="003220DF"/>
    <w:rsid w:val="00322107"/>
    <w:rsid w:val="0032263C"/>
    <w:rsid w:val="00322846"/>
    <w:rsid w:val="00322B1D"/>
    <w:rsid w:val="003230EA"/>
    <w:rsid w:val="003232AE"/>
    <w:rsid w:val="00323499"/>
    <w:rsid w:val="003236BD"/>
    <w:rsid w:val="00324012"/>
    <w:rsid w:val="00324716"/>
    <w:rsid w:val="00324EAE"/>
    <w:rsid w:val="003251F1"/>
    <w:rsid w:val="00325595"/>
    <w:rsid w:val="00325679"/>
    <w:rsid w:val="0032573D"/>
    <w:rsid w:val="0032576F"/>
    <w:rsid w:val="00325996"/>
    <w:rsid w:val="00326157"/>
    <w:rsid w:val="003262DE"/>
    <w:rsid w:val="003269BE"/>
    <w:rsid w:val="00326B5F"/>
    <w:rsid w:val="00326DA7"/>
    <w:rsid w:val="00326E3A"/>
    <w:rsid w:val="00327005"/>
    <w:rsid w:val="003270E4"/>
    <w:rsid w:val="00327322"/>
    <w:rsid w:val="0032760F"/>
    <w:rsid w:val="0032773D"/>
    <w:rsid w:val="0033078E"/>
    <w:rsid w:val="00330EB6"/>
    <w:rsid w:val="00330F5C"/>
    <w:rsid w:val="00331AB5"/>
    <w:rsid w:val="00331D92"/>
    <w:rsid w:val="00331F44"/>
    <w:rsid w:val="00331FC6"/>
    <w:rsid w:val="00332356"/>
    <w:rsid w:val="00332BFE"/>
    <w:rsid w:val="00333684"/>
    <w:rsid w:val="00333A2F"/>
    <w:rsid w:val="00334CB2"/>
    <w:rsid w:val="00334D7B"/>
    <w:rsid w:val="00334E5F"/>
    <w:rsid w:val="00335046"/>
    <w:rsid w:val="0033515B"/>
    <w:rsid w:val="003351B4"/>
    <w:rsid w:val="003351C2"/>
    <w:rsid w:val="00335313"/>
    <w:rsid w:val="00335DE0"/>
    <w:rsid w:val="003366C9"/>
    <w:rsid w:val="00336D44"/>
    <w:rsid w:val="00336F5B"/>
    <w:rsid w:val="003371B0"/>
    <w:rsid w:val="0033744D"/>
    <w:rsid w:val="00337E15"/>
    <w:rsid w:val="003401BC"/>
    <w:rsid w:val="00340487"/>
    <w:rsid w:val="003406B4"/>
    <w:rsid w:val="00340BAE"/>
    <w:rsid w:val="00340C2B"/>
    <w:rsid w:val="00340DF1"/>
    <w:rsid w:val="003415B0"/>
    <w:rsid w:val="0034215F"/>
    <w:rsid w:val="003424DF"/>
    <w:rsid w:val="00342638"/>
    <w:rsid w:val="0034263D"/>
    <w:rsid w:val="0034292B"/>
    <w:rsid w:val="00342E9D"/>
    <w:rsid w:val="00342F96"/>
    <w:rsid w:val="00343137"/>
    <w:rsid w:val="003433CD"/>
    <w:rsid w:val="00343A1D"/>
    <w:rsid w:val="00343E30"/>
    <w:rsid w:val="003440C6"/>
    <w:rsid w:val="00344162"/>
    <w:rsid w:val="0034488C"/>
    <w:rsid w:val="00344AC9"/>
    <w:rsid w:val="00344F76"/>
    <w:rsid w:val="0034506F"/>
    <w:rsid w:val="0034553E"/>
    <w:rsid w:val="0034573A"/>
    <w:rsid w:val="00346054"/>
    <w:rsid w:val="003464BB"/>
    <w:rsid w:val="003464D3"/>
    <w:rsid w:val="003465A8"/>
    <w:rsid w:val="00346790"/>
    <w:rsid w:val="00346853"/>
    <w:rsid w:val="00346F2B"/>
    <w:rsid w:val="0034779B"/>
    <w:rsid w:val="003479E7"/>
    <w:rsid w:val="003503C2"/>
    <w:rsid w:val="00350539"/>
    <w:rsid w:val="003513AF"/>
    <w:rsid w:val="00351481"/>
    <w:rsid w:val="00351653"/>
    <w:rsid w:val="003516E0"/>
    <w:rsid w:val="003517F9"/>
    <w:rsid w:val="00351936"/>
    <w:rsid w:val="00351949"/>
    <w:rsid w:val="00351A47"/>
    <w:rsid w:val="00351AC3"/>
    <w:rsid w:val="00351C36"/>
    <w:rsid w:val="00351D04"/>
    <w:rsid w:val="003521F7"/>
    <w:rsid w:val="00352241"/>
    <w:rsid w:val="003525C3"/>
    <w:rsid w:val="003525F9"/>
    <w:rsid w:val="00352B64"/>
    <w:rsid w:val="00352CBD"/>
    <w:rsid w:val="00353596"/>
    <w:rsid w:val="00353884"/>
    <w:rsid w:val="00353CBE"/>
    <w:rsid w:val="003540B0"/>
    <w:rsid w:val="00354159"/>
    <w:rsid w:val="003544B0"/>
    <w:rsid w:val="00354B28"/>
    <w:rsid w:val="00356182"/>
    <w:rsid w:val="0035620E"/>
    <w:rsid w:val="00356A36"/>
    <w:rsid w:val="00356A6D"/>
    <w:rsid w:val="00357258"/>
    <w:rsid w:val="00357AA3"/>
    <w:rsid w:val="00357D45"/>
    <w:rsid w:val="00357E41"/>
    <w:rsid w:val="003602DA"/>
    <w:rsid w:val="00360AF7"/>
    <w:rsid w:val="00360F26"/>
    <w:rsid w:val="00360F7F"/>
    <w:rsid w:val="0036106A"/>
    <w:rsid w:val="00361103"/>
    <w:rsid w:val="003614BB"/>
    <w:rsid w:val="0036204B"/>
    <w:rsid w:val="003622BF"/>
    <w:rsid w:val="003624C4"/>
    <w:rsid w:val="00362783"/>
    <w:rsid w:val="003628AB"/>
    <w:rsid w:val="00362B82"/>
    <w:rsid w:val="00362E9B"/>
    <w:rsid w:val="00363695"/>
    <w:rsid w:val="00363E7A"/>
    <w:rsid w:val="003641FE"/>
    <w:rsid w:val="0036427E"/>
    <w:rsid w:val="00364658"/>
    <w:rsid w:val="003654AC"/>
    <w:rsid w:val="00366821"/>
    <w:rsid w:val="0037020C"/>
    <w:rsid w:val="00370350"/>
    <w:rsid w:val="0037048A"/>
    <w:rsid w:val="003709C3"/>
    <w:rsid w:val="00370A63"/>
    <w:rsid w:val="00370BE1"/>
    <w:rsid w:val="003710CF"/>
    <w:rsid w:val="00371216"/>
    <w:rsid w:val="00371452"/>
    <w:rsid w:val="00371E33"/>
    <w:rsid w:val="00371F7C"/>
    <w:rsid w:val="003724D7"/>
    <w:rsid w:val="00372A60"/>
    <w:rsid w:val="00372FE5"/>
    <w:rsid w:val="00373299"/>
    <w:rsid w:val="00373339"/>
    <w:rsid w:val="0037358A"/>
    <w:rsid w:val="00373686"/>
    <w:rsid w:val="00373E71"/>
    <w:rsid w:val="00374647"/>
    <w:rsid w:val="00374832"/>
    <w:rsid w:val="00374BE9"/>
    <w:rsid w:val="00374C25"/>
    <w:rsid w:val="00374F87"/>
    <w:rsid w:val="0037500F"/>
    <w:rsid w:val="003750F6"/>
    <w:rsid w:val="0037517E"/>
    <w:rsid w:val="00375547"/>
    <w:rsid w:val="00375FAD"/>
    <w:rsid w:val="003760FC"/>
    <w:rsid w:val="0037644C"/>
    <w:rsid w:val="00376E8B"/>
    <w:rsid w:val="00376EC0"/>
    <w:rsid w:val="0037759D"/>
    <w:rsid w:val="003801DB"/>
    <w:rsid w:val="003805E0"/>
    <w:rsid w:val="00380976"/>
    <w:rsid w:val="00380BD3"/>
    <w:rsid w:val="003815F7"/>
    <w:rsid w:val="0038193C"/>
    <w:rsid w:val="00381FAF"/>
    <w:rsid w:val="00382006"/>
    <w:rsid w:val="00382784"/>
    <w:rsid w:val="00382C08"/>
    <w:rsid w:val="00382F94"/>
    <w:rsid w:val="0038365C"/>
    <w:rsid w:val="0038369B"/>
    <w:rsid w:val="00383B78"/>
    <w:rsid w:val="00383BB5"/>
    <w:rsid w:val="00383FFA"/>
    <w:rsid w:val="0038417B"/>
    <w:rsid w:val="0038446D"/>
    <w:rsid w:val="003848E7"/>
    <w:rsid w:val="00384EDB"/>
    <w:rsid w:val="00384F2B"/>
    <w:rsid w:val="0038500D"/>
    <w:rsid w:val="003850A8"/>
    <w:rsid w:val="003850BE"/>
    <w:rsid w:val="0038514B"/>
    <w:rsid w:val="003855B8"/>
    <w:rsid w:val="00385A9D"/>
    <w:rsid w:val="00385CA4"/>
    <w:rsid w:val="00385F4C"/>
    <w:rsid w:val="003864D8"/>
    <w:rsid w:val="003868BC"/>
    <w:rsid w:val="00386981"/>
    <w:rsid w:val="0038698F"/>
    <w:rsid w:val="003869AD"/>
    <w:rsid w:val="00386B83"/>
    <w:rsid w:val="00386DA2"/>
    <w:rsid w:val="00387C5A"/>
    <w:rsid w:val="003902B1"/>
    <w:rsid w:val="00390AF5"/>
    <w:rsid w:val="00390C86"/>
    <w:rsid w:val="00390F7D"/>
    <w:rsid w:val="00390FCD"/>
    <w:rsid w:val="003916C8"/>
    <w:rsid w:val="003921A7"/>
    <w:rsid w:val="003938D0"/>
    <w:rsid w:val="0039537A"/>
    <w:rsid w:val="0039556E"/>
    <w:rsid w:val="00395BCE"/>
    <w:rsid w:val="00395DC8"/>
    <w:rsid w:val="003962A3"/>
    <w:rsid w:val="003962FA"/>
    <w:rsid w:val="003963CD"/>
    <w:rsid w:val="00396896"/>
    <w:rsid w:val="00396C29"/>
    <w:rsid w:val="00396FD0"/>
    <w:rsid w:val="00397215"/>
    <w:rsid w:val="003973C6"/>
    <w:rsid w:val="0039747F"/>
    <w:rsid w:val="00397EB6"/>
    <w:rsid w:val="00397FEA"/>
    <w:rsid w:val="003A046C"/>
    <w:rsid w:val="003A0972"/>
    <w:rsid w:val="003A0D9F"/>
    <w:rsid w:val="003A0E91"/>
    <w:rsid w:val="003A0F75"/>
    <w:rsid w:val="003A1074"/>
    <w:rsid w:val="003A11DC"/>
    <w:rsid w:val="003A1618"/>
    <w:rsid w:val="003A1A7A"/>
    <w:rsid w:val="003A1EDB"/>
    <w:rsid w:val="003A209A"/>
    <w:rsid w:val="003A21F4"/>
    <w:rsid w:val="003A2392"/>
    <w:rsid w:val="003A27C0"/>
    <w:rsid w:val="003A2831"/>
    <w:rsid w:val="003A2BB8"/>
    <w:rsid w:val="003A2D0D"/>
    <w:rsid w:val="003A3076"/>
    <w:rsid w:val="003A3505"/>
    <w:rsid w:val="003A3D0D"/>
    <w:rsid w:val="003A3ED1"/>
    <w:rsid w:val="003A41CA"/>
    <w:rsid w:val="003A4A19"/>
    <w:rsid w:val="003A6144"/>
    <w:rsid w:val="003A62D6"/>
    <w:rsid w:val="003A6306"/>
    <w:rsid w:val="003A75E3"/>
    <w:rsid w:val="003A7931"/>
    <w:rsid w:val="003B00AF"/>
    <w:rsid w:val="003B0807"/>
    <w:rsid w:val="003B0ABD"/>
    <w:rsid w:val="003B0B23"/>
    <w:rsid w:val="003B0DD0"/>
    <w:rsid w:val="003B1234"/>
    <w:rsid w:val="003B14FF"/>
    <w:rsid w:val="003B15DE"/>
    <w:rsid w:val="003B164C"/>
    <w:rsid w:val="003B1713"/>
    <w:rsid w:val="003B1990"/>
    <w:rsid w:val="003B2189"/>
    <w:rsid w:val="003B2AB7"/>
    <w:rsid w:val="003B2AC0"/>
    <w:rsid w:val="003B2B43"/>
    <w:rsid w:val="003B3C71"/>
    <w:rsid w:val="003B3E76"/>
    <w:rsid w:val="003B3F55"/>
    <w:rsid w:val="003B40EC"/>
    <w:rsid w:val="003B413E"/>
    <w:rsid w:val="003B4566"/>
    <w:rsid w:val="003B464B"/>
    <w:rsid w:val="003B47F1"/>
    <w:rsid w:val="003B4F75"/>
    <w:rsid w:val="003B5829"/>
    <w:rsid w:val="003B5B61"/>
    <w:rsid w:val="003B5CE8"/>
    <w:rsid w:val="003B5CEF"/>
    <w:rsid w:val="003B5D93"/>
    <w:rsid w:val="003B5F49"/>
    <w:rsid w:val="003B60F4"/>
    <w:rsid w:val="003B646C"/>
    <w:rsid w:val="003B6CA9"/>
    <w:rsid w:val="003B7144"/>
    <w:rsid w:val="003B714C"/>
    <w:rsid w:val="003B7DEB"/>
    <w:rsid w:val="003C048E"/>
    <w:rsid w:val="003C0581"/>
    <w:rsid w:val="003C0609"/>
    <w:rsid w:val="003C0F1F"/>
    <w:rsid w:val="003C1424"/>
    <w:rsid w:val="003C142D"/>
    <w:rsid w:val="003C1654"/>
    <w:rsid w:val="003C1B26"/>
    <w:rsid w:val="003C224D"/>
    <w:rsid w:val="003C257B"/>
    <w:rsid w:val="003C2AC9"/>
    <w:rsid w:val="003C3E05"/>
    <w:rsid w:val="003C4239"/>
    <w:rsid w:val="003C44B4"/>
    <w:rsid w:val="003C49F6"/>
    <w:rsid w:val="003C4A80"/>
    <w:rsid w:val="003C4CAA"/>
    <w:rsid w:val="003C4CC2"/>
    <w:rsid w:val="003C52F7"/>
    <w:rsid w:val="003C53D2"/>
    <w:rsid w:val="003C5934"/>
    <w:rsid w:val="003C5B71"/>
    <w:rsid w:val="003C61F3"/>
    <w:rsid w:val="003C6332"/>
    <w:rsid w:val="003C6656"/>
    <w:rsid w:val="003C6DFC"/>
    <w:rsid w:val="003C7652"/>
    <w:rsid w:val="003C785C"/>
    <w:rsid w:val="003C7D19"/>
    <w:rsid w:val="003D05DF"/>
    <w:rsid w:val="003D07A1"/>
    <w:rsid w:val="003D0BE6"/>
    <w:rsid w:val="003D0DF1"/>
    <w:rsid w:val="003D11DA"/>
    <w:rsid w:val="003D1828"/>
    <w:rsid w:val="003D1DE4"/>
    <w:rsid w:val="003D1E2B"/>
    <w:rsid w:val="003D2400"/>
    <w:rsid w:val="003D2422"/>
    <w:rsid w:val="003D24DB"/>
    <w:rsid w:val="003D2AA2"/>
    <w:rsid w:val="003D34C9"/>
    <w:rsid w:val="003D366C"/>
    <w:rsid w:val="003D39A1"/>
    <w:rsid w:val="003D3FBF"/>
    <w:rsid w:val="003D4330"/>
    <w:rsid w:val="003D4A30"/>
    <w:rsid w:val="003D5322"/>
    <w:rsid w:val="003D56A3"/>
    <w:rsid w:val="003D5DA0"/>
    <w:rsid w:val="003D5FDF"/>
    <w:rsid w:val="003D60C6"/>
    <w:rsid w:val="003D62D5"/>
    <w:rsid w:val="003D683C"/>
    <w:rsid w:val="003D69BD"/>
    <w:rsid w:val="003D6CF0"/>
    <w:rsid w:val="003D6F42"/>
    <w:rsid w:val="003D78A9"/>
    <w:rsid w:val="003D79BB"/>
    <w:rsid w:val="003D7C98"/>
    <w:rsid w:val="003D7DA4"/>
    <w:rsid w:val="003D7E14"/>
    <w:rsid w:val="003E03E2"/>
    <w:rsid w:val="003E0496"/>
    <w:rsid w:val="003E0543"/>
    <w:rsid w:val="003E08A1"/>
    <w:rsid w:val="003E09A1"/>
    <w:rsid w:val="003E0C9F"/>
    <w:rsid w:val="003E11E3"/>
    <w:rsid w:val="003E16BD"/>
    <w:rsid w:val="003E19DA"/>
    <w:rsid w:val="003E1BA2"/>
    <w:rsid w:val="003E2A50"/>
    <w:rsid w:val="003E2D2F"/>
    <w:rsid w:val="003E2EBE"/>
    <w:rsid w:val="003E2FDB"/>
    <w:rsid w:val="003E30F7"/>
    <w:rsid w:val="003E3225"/>
    <w:rsid w:val="003E35B3"/>
    <w:rsid w:val="003E3C98"/>
    <w:rsid w:val="003E4BF0"/>
    <w:rsid w:val="003E54F3"/>
    <w:rsid w:val="003E5A5C"/>
    <w:rsid w:val="003E5AEC"/>
    <w:rsid w:val="003E5E60"/>
    <w:rsid w:val="003E64D5"/>
    <w:rsid w:val="003E6B6A"/>
    <w:rsid w:val="003E6BD3"/>
    <w:rsid w:val="003E6E84"/>
    <w:rsid w:val="003E6FAE"/>
    <w:rsid w:val="003E70BE"/>
    <w:rsid w:val="003E72D7"/>
    <w:rsid w:val="003E7AE6"/>
    <w:rsid w:val="003E7C6A"/>
    <w:rsid w:val="003E7E99"/>
    <w:rsid w:val="003F009E"/>
    <w:rsid w:val="003F0C93"/>
    <w:rsid w:val="003F11F9"/>
    <w:rsid w:val="003F1571"/>
    <w:rsid w:val="003F1677"/>
    <w:rsid w:val="003F173E"/>
    <w:rsid w:val="003F197E"/>
    <w:rsid w:val="003F1B04"/>
    <w:rsid w:val="003F1B2F"/>
    <w:rsid w:val="003F2DF6"/>
    <w:rsid w:val="003F401D"/>
    <w:rsid w:val="003F4156"/>
    <w:rsid w:val="003F4775"/>
    <w:rsid w:val="003F5319"/>
    <w:rsid w:val="003F54BD"/>
    <w:rsid w:val="003F588C"/>
    <w:rsid w:val="003F5C22"/>
    <w:rsid w:val="003F6536"/>
    <w:rsid w:val="003F6A24"/>
    <w:rsid w:val="003F708B"/>
    <w:rsid w:val="003F75EC"/>
    <w:rsid w:val="003F7959"/>
    <w:rsid w:val="003F7B0B"/>
    <w:rsid w:val="0040020C"/>
    <w:rsid w:val="004004E5"/>
    <w:rsid w:val="00400674"/>
    <w:rsid w:val="00400B29"/>
    <w:rsid w:val="00401321"/>
    <w:rsid w:val="00401B3A"/>
    <w:rsid w:val="0040235B"/>
    <w:rsid w:val="004034FF"/>
    <w:rsid w:val="004035FB"/>
    <w:rsid w:val="00403608"/>
    <w:rsid w:val="00403697"/>
    <w:rsid w:val="00403810"/>
    <w:rsid w:val="00403851"/>
    <w:rsid w:val="004039F5"/>
    <w:rsid w:val="00403E96"/>
    <w:rsid w:val="0040409F"/>
    <w:rsid w:val="00404547"/>
    <w:rsid w:val="00404B39"/>
    <w:rsid w:val="00404B4C"/>
    <w:rsid w:val="0040504B"/>
    <w:rsid w:val="0040625F"/>
    <w:rsid w:val="00406A61"/>
    <w:rsid w:val="00406EF5"/>
    <w:rsid w:val="0040760E"/>
    <w:rsid w:val="004079C9"/>
    <w:rsid w:val="004079D0"/>
    <w:rsid w:val="00407C1C"/>
    <w:rsid w:val="00407F6F"/>
    <w:rsid w:val="00410708"/>
    <w:rsid w:val="00410A34"/>
    <w:rsid w:val="00410EC7"/>
    <w:rsid w:val="00410EE2"/>
    <w:rsid w:val="0041159F"/>
    <w:rsid w:val="0041191F"/>
    <w:rsid w:val="00411B39"/>
    <w:rsid w:val="00412948"/>
    <w:rsid w:val="00412958"/>
    <w:rsid w:val="004136A3"/>
    <w:rsid w:val="0041374B"/>
    <w:rsid w:val="00413A1E"/>
    <w:rsid w:val="00413F7D"/>
    <w:rsid w:val="00414476"/>
    <w:rsid w:val="004147A4"/>
    <w:rsid w:val="004147D0"/>
    <w:rsid w:val="00414882"/>
    <w:rsid w:val="00414AC3"/>
    <w:rsid w:val="00414C2E"/>
    <w:rsid w:val="00414DEA"/>
    <w:rsid w:val="004151CF"/>
    <w:rsid w:val="0041539C"/>
    <w:rsid w:val="004156B1"/>
    <w:rsid w:val="00415810"/>
    <w:rsid w:val="00415B40"/>
    <w:rsid w:val="00415F3B"/>
    <w:rsid w:val="00415F97"/>
    <w:rsid w:val="00416085"/>
    <w:rsid w:val="00416328"/>
    <w:rsid w:val="00416364"/>
    <w:rsid w:val="00416457"/>
    <w:rsid w:val="0041656E"/>
    <w:rsid w:val="00416995"/>
    <w:rsid w:val="00416A57"/>
    <w:rsid w:val="00416ADB"/>
    <w:rsid w:val="004170AE"/>
    <w:rsid w:val="00417682"/>
    <w:rsid w:val="004176C9"/>
    <w:rsid w:val="004176FB"/>
    <w:rsid w:val="004179FA"/>
    <w:rsid w:val="004202CE"/>
    <w:rsid w:val="004204FB"/>
    <w:rsid w:val="00420A0B"/>
    <w:rsid w:val="00420AA6"/>
    <w:rsid w:val="00420B31"/>
    <w:rsid w:val="00420B9F"/>
    <w:rsid w:val="0042144E"/>
    <w:rsid w:val="00421CD0"/>
    <w:rsid w:val="00422260"/>
    <w:rsid w:val="0042226F"/>
    <w:rsid w:val="00423054"/>
    <w:rsid w:val="00423074"/>
    <w:rsid w:val="0042384E"/>
    <w:rsid w:val="0042413F"/>
    <w:rsid w:val="00424625"/>
    <w:rsid w:val="00424718"/>
    <w:rsid w:val="0042494A"/>
    <w:rsid w:val="0042564A"/>
    <w:rsid w:val="00425AF5"/>
    <w:rsid w:val="00425FE4"/>
    <w:rsid w:val="004269A9"/>
    <w:rsid w:val="00426A5B"/>
    <w:rsid w:val="00427085"/>
    <w:rsid w:val="0042708B"/>
    <w:rsid w:val="004277D4"/>
    <w:rsid w:val="004277F3"/>
    <w:rsid w:val="00427BFE"/>
    <w:rsid w:val="00427F28"/>
    <w:rsid w:val="0043024A"/>
    <w:rsid w:val="0043098E"/>
    <w:rsid w:val="004309E8"/>
    <w:rsid w:val="00430E5E"/>
    <w:rsid w:val="00430F42"/>
    <w:rsid w:val="00430F92"/>
    <w:rsid w:val="0043135B"/>
    <w:rsid w:val="00431534"/>
    <w:rsid w:val="004315BE"/>
    <w:rsid w:val="004315E1"/>
    <w:rsid w:val="004319F8"/>
    <w:rsid w:val="00431E55"/>
    <w:rsid w:val="004321F6"/>
    <w:rsid w:val="0043263D"/>
    <w:rsid w:val="004328D0"/>
    <w:rsid w:val="00432B3F"/>
    <w:rsid w:val="00432B8E"/>
    <w:rsid w:val="00433044"/>
    <w:rsid w:val="0043392C"/>
    <w:rsid w:val="00433D70"/>
    <w:rsid w:val="00433D8C"/>
    <w:rsid w:val="00433DAD"/>
    <w:rsid w:val="00434329"/>
    <w:rsid w:val="0043434C"/>
    <w:rsid w:val="0043439F"/>
    <w:rsid w:val="00434E1D"/>
    <w:rsid w:val="0043582A"/>
    <w:rsid w:val="004363A0"/>
    <w:rsid w:val="004363AA"/>
    <w:rsid w:val="0043665F"/>
    <w:rsid w:val="00436819"/>
    <w:rsid w:val="00436E8D"/>
    <w:rsid w:val="004375B9"/>
    <w:rsid w:val="00437BFE"/>
    <w:rsid w:val="00437E3F"/>
    <w:rsid w:val="00437F91"/>
    <w:rsid w:val="004404C6"/>
    <w:rsid w:val="004405FF"/>
    <w:rsid w:val="004407B3"/>
    <w:rsid w:val="00440878"/>
    <w:rsid w:val="00440A17"/>
    <w:rsid w:val="0044129A"/>
    <w:rsid w:val="00441E77"/>
    <w:rsid w:val="004424BD"/>
    <w:rsid w:val="004426D3"/>
    <w:rsid w:val="004428D0"/>
    <w:rsid w:val="00443573"/>
    <w:rsid w:val="00443616"/>
    <w:rsid w:val="00443895"/>
    <w:rsid w:val="004443A7"/>
    <w:rsid w:val="0044442C"/>
    <w:rsid w:val="00444706"/>
    <w:rsid w:val="00444C68"/>
    <w:rsid w:val="00444F2F"/>
    <w:rsid w:val="00445800"/>
    <w:rsid w:val="00445941"/>
    <w:rsid w:val="00445E6E"/>
    <w:rsid w:val="00446461"/>
    <w:rsid w:val="004464EB"/>
    <w:rsid w:val="00446553"/>
    <w:rsid w:val="00446591"/>
    <w:rsid w:val="00446873"/>
    <w:rsid w:val="00447908"/>
    <w:rsid w:val="00447A5E"/>
    <w:rsid w:val="00447C8C"/>
    <w:rsid w:val="00447D26"/>
    <w:rsid w:val="00447D53"/>
    <w:rsid w:val="00447E84"/>
    <w:rsid w:val="00447E93"/>
    <w:rsid w:val="004502F7"/>
    <w:rsid w:val="004503ED"/>
    <w:rsid w:val="00450F53"/>
    <w:rsid w:val="0045177C"/>
    <w:rsid w:val="0045199E"/>
    <w:rsid w:val="00451A76"/>
    <w:rsid w:val="00451CEE"/>
    <w:rsid w:val="00452336"/>
    <w:rsid w:val="0045259F"/>
    <w:rsid w:val="00452E4D"/>
    <w:rsid w:val="004531F8"/>
    <w:rsid w:val="00453458"/>
    <w:rsid w:val="004541B5"/>
    <w:rsid w:val="00454281"/>
    <w:rsid w:val="00454B94"/>
    <w:rsid w:val="00454EAF"/>
    <w:rsid w:val="00455254"/>
    <w:rsid w:val="00455988"/>
    <w:rsid w:val="00455A46"/>
    <w:rsid w:val="00455D45"/>
    <w:rsid w:val="004564CD"/>
    <w:rsid w:val="00456DD1"/>
    <w:rsid w:val="00456F38"/>
    <w:rsid w:val="004574C0"/>
    <w:rsid w:val="004577F7"/>
    <w:rsid w:val="00457A83"/>
    <w:rsid w:val="00457F27"/>
    <w:rsid w:val="0046009B"/>
    <w:rsid w:val="00460974"/>
    <w:rsid w:val="00460ACA"/>
    <w:rsid w:val="00460BF8"/>
    <w:rsid w:val="004616E2"/>
    <w:rsid w:val="00461F2D"/>
    <w:rsid w:val="00462314"/>
    <w:rsid w:val="00462DA7"/>
    <w:rsid w:val="00463E8D"/>
    <w:rsid w:val="004641F4"/>
    <w:rsid w:val="004641F9"/>
    <w:rsid w:val="004643E4"/>
    <w:rsid w:val="00464595"/>
    <w:rsid w:val="00464741"/>
    <w:rsid w:val="00464BF2"/>
    <w:rsid w:val="004652DF"/>
    <w:rsid w:val="0046542B"/>
    <w:rsid w:val="00465A31"/>
    <w:rsid w:val="004674DA"/>
    <w:rsid w:val="00467635"/>
    <w:rsid w:val="004677F1"/>
    <w:rsid w:val="00467A16"/>
    <w:rsid w:val="00467D4E"/>
    <w:rsid w:val="00467D5F"/>
    <w:rsid w:val="00467F12"/>
    <w:rsid w:val="00470058"/>
    <w:rsid w:val="00470403"/>
    <w:rsid w:val="004707B4"/>
    <w:rsid w:val="00470930"/>
    <w:rsid w:val="004709A1"/>
    <w:rsid w:val="00470B9C"/>
    <w:rsid w:val="00471211"/>
    <w:rsid w:val="0047160D"/>
    <w:rsid w:val="00471615"/>
    <w:rsid w:val="00471C5C"/>
    <w:rsid w:val="00471CE0"/>
    <w:rsid w:val="00472443"/>
    <w:rsid w:val="00472A79"/>
    <w:rsid w:val="00472B75"/>
    <w:rsid w:val="00472C2A"/>
    <w:rsid w:val="004734BE"/>
    <w:rsid w:val="00473A0E"/>
    <w:rsid w:val="00473ADD"/>
    <w:rsid w:val="00473F19"/>
    <w:rsid w:val="00473F79"/>
    <w:rsid w:val="0047410C"/>
    <w:rsid w:val="00474568"/>
    <w:rsid w:val="00474695"/>
    <w:rsid w:val="004747B1"/>
    <w:rsid w:val="004749EF"/>
    <w:rsid w:val="004751B9"/>
    <w:rsid w:val="00475787"/>
    <w:rsid w:val="004757C8"/>
    <w:rsid w:val="00475B6F"/>
    <w:rsid w:val="00475E22"/>
    <w:rsid w:val="00475ECA"/>
    <w:rsid w:val="00475EEF"/>
    <w:rsid w:val="0047611B"/>
    <w:rsid w:val="00476239"/>
    <w:rsid w:val="004764AA"/>
    <w:rsid w:val="0047675F"/>
    <w:rsid w:val="00477AAC"/>
    <w:rsid w:val="00477BDE"/>
    <w:rsid w:val="00477F7D"/>
    <w:rsid w:val="0048000D"/>
    <w:rsid w:val="0048018E"/>
    <w:rsid w:val="00480252"/>
    <w:rsid w:val="0048088E"/>
    <w:rsid w:val="004809E9"/>
    <w:rsid w:val="00480C93"/>
    <w:rsid w:val="00481412"/>
    <w:rsid w:val="00481747"/>
    <w:rsid w:val="00481BA4"/>
    <w:rsid w:val="00482595"/>
    <w:rsid w:val="00482720"/>
    <w:rsid w:val="00482934"/>
    <w:rsid w:val="0048338A"/>
    <w:rsid w:val="004835E7"/>
    <w:rsid w:val="004835EE"/>
    <w:rsid w:val="004838D2"/>
    <w:rsid w:val="00483DDA"/>
    <w:rsid w:val="00483EC5"/>
    <w:rsid w:val="0048414C"/>
    <w:rsid w:val="00484258"/>
    <w:rsid w:val="00484576"/>
    <w:rsid w:val="004857E5"/>
    <w:rsid w:val="004865B1"/>
    <w:rsid w:val="004867E2"/>
    <w:rsid w:val="0048688C"/>
    <w:rsid w:val="00486FF6"/>
    <w:rsid w:val="00487164"/>
    <w:rsid w:val="00487232"/>
    <w:rsid w:val="00487466"/>
    <w:rsid w:val="004878B5"/>
    <w:rsid w:val="00487C1A"/>
    <w:rsid w:val="00487E1A"/>
    <w:rsid w:val="00490049"/>
    <w:rsid w:val="004903F2"/>
    <w:rsid w:val="00490673"/>
    <w:rsid w:val="00490675"/>
    <w:rsid w:val="00490E3C"/>
    <w:rsid w:val="004917EF"/>
    <w:rsid w:val="00491B3A"/>
    <w:rsid w:val="00492A84"/>
    <w:rsid w:val="00492CFD"/>
    <w:rsid w:val="004932BA"/>
    <w:rsid w:val="0049348A"/>
    <w:rsid w:val="004939F6"/>
    <w:rsid w:val="00493CE1"/>
    <w:rsid w:val="00493D66"/>
    <w:rsid w:val="00493E94"/>
    <w:rsid w:val="004940C6"/>
    <w:rsid w:val="00494DD5"/>
    <w:rsid w:val="00494F5F"/>
    <w:rsid w:val="00495177"/>
    <w:rsid w:val="004956D0"/>
    <w:rsid w:val="004958BE"/>
    <w:rsid w:val="00495A3A"/>
    <w:rsid w:val="00495ACD"/>
    <w:rsid w:val="00496159"/>
    <w:rsid w:val="004962D2"/>
    <w:rsid w:val="00496F8F"/>
    <w:rsid w:val="00497052"/>
    <w:rsid w:val="00497223"/>
    <w:rsid w:val="0049766D"/>
    <w:rsid w:val="004A04A1"/>
    <w:rsid w:val="004A05BD"/>
    <w:rsid w:val="004A0C6B"/>
    <w:rsid w:val="004A0DA1"/>
    <w:rsid w:val="004A0FB4"/>
    <w:rsid w:val="004A1258"/>
    <w:rsid w:val="004A152F"/>
    <w:rsid w:val="004A1939"/>
    <w:rsid w:val="004A19A3"/>
    <w:rsid w:val="004A1C31"/>
    <w:rsid w:val="004A1F9C"/>
    <w:rsid w:val="004A272B"/>
    <w:rsid w:val="004A2D5F"/>
    <w:rsid w:val="004A3E47"/>
    <w:rsid w:val="004A40E0"/>
    <w:rsid w:val="004A4126"/>
    <w:rsid w:val="004A455B"/>
    <w:rsid w:val="004A4575"/>
    <w:rsid w:val="004A46BF"/>
    <w:rsid w:val="004A4CB1"/>
    <w:rsid w:val="004A52E9"/>
    <w:rsid w:val="004A5E6C"/>
    <w:rsid w:val="004A6249"/>
    <w:rsid w:val="004A62A7"/>
    <w:rsid w:val="004A6597"/>
    <w:rsid w:val="004A6606"/>
    <w:rsid w:val="004A66D1"/>
    <w:rsid w:val="004A6B86"/>
    <w:rsid w:val="004A6EF0"/>
    <w:rsid w:val="004A6F2E"/>
    <w:rsid w:val="004A7848"/>
    <w:rsid w:val="004A7DAB"/>
    <w:rsid w:val="004A7E0F"/>
    <w:rsid w:val="004B00CC"/>
    <w:rsid w:val="004B073A"/>
    <w:rsid w:val="004B07AD"/>
    <w:rsid w:val="004B0951"/>
    <w:rsid w:val="004B0E2C"/>
    <w:rsid w:val="004B1026"/>
    <w:rsid w:val="004B119B"/>
    <w:rsid w:val="004B1337"/>
    <w:rsid w:val="004B13A6"/>
    <w:rsid w:val="004B1BBD"/>
    <w:rsid w:val="004B1CB4"/>
    <w:rsid w:val="004B1D7A"/>
    <w:rsid w:val="004B1F49"/>
    <w:rsid w:val="004B213E"/>
    <w:rsid w:val="004B2E04"/>
    <w:rsid w:val="004B2F18"/>
    <w:rsid w:val="004B3DDB"/>
    <w:rsid w:val="004B3F70"/>
    <w:rsid w:val="004B44FD"/>
    <w:rsid w:val="004B461D"/>
    <w:rsid w:val="004B554F"/>
    <w:rsid w:val="004B5868"/>
    <w:rsid w:val="004B591E"/>
    <w:rsid w:val="004B5CFC"/>
    <w:rsid w:val="004B661B"/>
    <w:rsid w:val="004B73AA"/>
    <w:rsid w:val="004B73B8"/>
    <w:rsid w:val="004B774D"/>
    <w:rsid w:val="004B7A59"/>
    <w:rsid w:val="004B7B4C"/>
    <w:rsid w:val="004B7CBA"/>
    <w:rsid w:val="004B7D7C"/>
    <w:rsid w:val="004C037B"/>
    <w:rsid w:val="004C0588"/>
    <w:rsid w:val="004C06B2"/>
    <w:rsid w:val="004C0BE3"/>
    <w:rsid w:val="004C0CCF"/>
    <w:rsid w:val="004C0CE3"/>
    <w:rsid w:val="004C1136"/>
    <w:rsid w:val="004C1A7D"/>
    <w:rsid w:val="004C1C00"/>
    <w:rsid w:val="004C1E08"/>
    <w:rsid w:val="004C20C4"/>
    <w:rsid w:val="004C233A"/>
    <w:rsid w:val="004C2C17"/>
    <w:rsid w:val="004C3355"/>
    <w:rsid w:val="004C3375"/>
    <w:rsid w:val="004C3A9B"/>
    <w:rsid w:val="004C3F20"/>
    <w:rsid w:val="004C3F2F"/>
    <w:rsid w:val="004C3F5C"/>
    <w:rsid w:val="004C4AED"/>
    <w:rsid w:val="004C4D59"/>
    <w:rsid w:val="004C5104"/>
    <w:rsid w:val="004C55AB"/>
    <w:rsid w:val="004C57F1"/>
    <w:rsid w:val="004C58F6"/>
    <w:rsid w:val="004C596A"/>
    <w:rsid w:val="004C5B56"/>
    <w:rsid w:val="004C5CE3"/>
    <w:rsid w:val="004C5EBF"/>
    <w:rsid w:val="004C5FF4"/>
    <w:rsid w:val="004C636B"/>
    <w:rsid w:val="004C67B7"/>
    <w:rsid w:val="004C6A25"/>
    <w:rsid w:val="004C6A7B"/>
    <w:rsid w:val="004C73CE"/>
    <w:rsid w:val="004C759A"/>
    <w:rsid w:val="004C766C"/>
    <w:rsid w:val="004C7CB9"/>
    <w:rsid w:val="004D0310"/>
    <w:rsid w:val="004D05B9"/>
    <w:rsid w:val="004D0B1E"/>
    <w:rsid w:val="004D0C3E"/>
    <w:rsid w:val="004D1210"/>
    <w:rsid w:val="004D1678"/>
    <w:rsid w:val="004D18F0"/>
    <w:rsid w:val="004D1D71"/>
    <w:rsid w:val="004D2079"/>
    <w:rsid w:val="004D21CC"/>
    <w:rsid w:val="004D22AF"/>
    <w:rsid w:val="004D255A"/>
    <w:rsid w:val="004D2C2D"/>
    <w:rsid w:val="004D3610"/>
    <w:rsid w:val="004D4A0A"/>
    <w:rsid w:val="004D5125"/>
    <w:rsid w:val="004D5231"/>
    <w:rsid w:val="004D54CA"/>
    <w:rsid w:val="004D5F6F"/>
    <w:rsid w:val="004D6122"/>
    <w:rsid w:val="004D635C"/>
    <w:rsid w:val="004D658A"/>
    <w:rsid w:val="004D68E2"/>
    <w:rsid w:val="004D7227"/>
    <w:rsid w:val="004D7279"/>
    <w:rsid w:val="004D7463"/>
    <w:rsid w:val="004D7612"/>
    <w:rsid w:val="004E0360"/>
    <w:rsid w:val="004E06F0"/>
    <w:rsid w:val="004E07A9"/>
    <w:rsid w:val="004E0B43"/>
    <w:rsid w:val="004E0E7F"/>
    <w:rsid w:val="004E0EB8"/>
    <w:rsid w:val="004E1579"/>
    <w:rsid w:val="004E1FCB"/>
    <w:rsid w:val="004E2024"/>
    <w:rsid w:val="004E2ADC"/>
    <w:rsid w:val="004E2B0F"/>
    <w:rsid w:val="004E2B21"/>
    <w:rsid w:val="004E39FC"/>
    <w:rsid w:val="004E3C05"/>
    <w:rsid w:val="004E3CFD"/>
    <w:rsid w:val="004E43B2"/>
    <w:rsid w:val="004E4717"/>
    <w:rsid w:val="004E569C"/>
    <w:rsid w:val="004E64C4"/>
    <w:rsid w:val="004E79E6"/>
    <w:rsid w:val="004E7E12"/>
    <w:rsid w:val="004E7F56"/>
    <w:rsid w:val="004F0158"/>
    <w:rsid w:val="004F02B3"/>
    <w:rsid w:val="004F0F76"/>
    <w:rsid w:val="004F1A93"/>
    <w:rsid w:val="004F1C3B"/>
    <w:rsid w:val="004F1D02"/>
    <w:rsid w:val="004F1E5E"/>
    <w:rsid w:val="004F1F8D"/>
    <w:rsid w:val="004F2097"/>
    <w:rsid w:val="004F2192"/>
    <w:rsid w:val="004F22F1"/>
    <w:rsid w:val="004F2679"/>
    <w:rsid w:val="004F2871"/>
    <w:rsid w:val="004F2F21"/>
    <w:rsid w:val="004F3032"/>
    <w:rsid w:val="004F3091"/>
    <w:rsid w:val="004F31A3"/>
    <w:rsid w:val="004F3432"/>
    <w:rsid w:val="004F4124"/>
    <w:rsid w:val="004F42EF"/>
    <w:rsid w:val="004F4D36"/>
    <w:rsid w:val="004F4D83"/>
    <w:rsid w:val="004F513B"/>
    <w:rsid w:val="004F5376"/>
    <w:rsid w:val="004F5AC2"/>
    <w:rsid w:val="004F5F89"/>
    <w:rsid w:val="004F6913"/>
    <w:rsid w:val="004F746B"/>
    <w:rsid w:val="004F757C"/>
    <w:rsid w:val="004F7865"/>
    <w:rsid w:val="005000C6"/>
    <w:rsid w:val="00500732"/>
    <w:rsid w:val="00500A6C"/>
    <w:rsid w:val="00500DC7"/>
    <w:rsid w:val="0050116E"/>
    <w:rsid w:val="005017DD"/>
    <w:rsid w:val="0050219B"/>
    <w:rsid w:val="005029ED"/>
    <w:rsid w:val="005031C7"/>
    <w:rsid w:val="005031DB"/>
    <w:rsid w:val="005031E8"/>
    <w:rsid w:val="00503242"/>
    <w:rsid w:val="00503E80"/>
    <w:rsid w:val="00503E9F"/>
    <w:rsid w:val="00503F17"/>
    <w:rsid w:val="0050431F"/>
    <w:rsid w:val="0050452A"/>
    <w:rsid w:val="00504954"/>
    <w:rsid w:val="00504985"/>
    <w:rsid w:val="00504A0D"/>
    <w:rsid w:val="00504E86"/>
    <w:rsid w:val="00504F23"/>
    <w:rsid w:val="00505F01"/>
    <w:rsid w:val="00505F3F"/>
    <w:rsid w:val="00505F7C"/>
    <w:rsid w:val="00506562"/>
    <w:rsid w:val="00506928"/>
    <w:rsid w:val="00506B70"/>
    <w:rsid w:val="00506CD4"/>
    <w:rsid w:val="005071DE"/>
    <w:rsid w:val="00507A7D"/>
    <w:rsid w:val="0051004E"/>
    <w:rsid w:val="00510096"/>
    <w:rsid w:val="005100B5"/>
    <w:rsid w:val="005101F0"/>
    <w:rsid w:val="005102EA"/>
    <w:rsid w:val="00510789"/>
    <w:rsid w:val="00511101"/>
    <w:rsid w:val="0051124B"/>
    <w:rsid w:val="0051149C"/>
    <w:rsid w:val="005115D8"/>
    <w:rsid w:val="00511602"/>
    <w:rsid w:val="0051165D"/>
    <w:rsid w:val="00511A1A"/>
    <w:rsid w:val="00511E07"/>
    <w:rsid w:val="00511F5E"/>
    <w:rsid w:val="00512371"/>
    <w:rsid w:val="005125BD"/>
    <w:rsid w:val="00512A3F"/>
    <w:rsid w:val="00512BB9"/>
    <w:rsid w:val="00512CC5"/>
    <w:rsid w:val="005130F8"/>
    <w:rsid w:val="00513978"/>
    <w:rsid w:val="0051424E"/>
    <w:rsid w:val="00514BB3"/>
    <w:rsid w:val="005150DC"/>
    <w:rsid w:val="00515148"/>
    <w:rsid w:val="005152B5"/>
    <w:rsid w:val="00515A3E"/>
    <w:rsid w:val="00515AC4"/>
    <w:rsid w:val="00515B85"/>
    <w:rsid w:val="00515EA0"/>
    <w:rsid w:val="0051649C"/>
    <w:rsid w:val="005168B7"/>
    <w:rsid w:val="00517E65"/>
    <w:rsid w:val="00520A10"/>
    <w:rsid w:val="00521319"/>
    <w:rsid w:val="00522184"/>
    <w:rsid w:val="0052292C"/>
    <w:rsid w:val="00522A16"/>
    <w:rsid w:val="00522BC8"/>
    <w:rsid w:val="005230B5"/>
    <w:rsid w:val="00523292"/>
    <w:rsid w:val="005233B5"/>
    <w:rsid w:val="00523C28"/>
    <w:rsid w:val="00524107"/>
    <w:rsid w:val="005249B8"/>
    <w:rsid w:val="005252F9"/>
    <w:rsid w:val="00525718"/>
    <w:rsid w:val="005258A6"/>
    <w:rsid w:val="00525AE7"/>
    <w:rsid w:val="00525B2B"/>
    <w:rsid w:val="00526783"/>
    <w:rsid w:val="0052684F"/>
    <w:rsid w:val="005268DE"/>
    <w:rsid w:val="0052697F"/>
    <w:rsid w:val="00526A1D"/>
    <w:rsid w:val="00526BC6"/>
    <w:rsid w:val="0052711C"/>
    <w:rsid w:val="00527385"/>
    <w:rsid w:val="00527514"/>
    <w:rsid w:val="00530383"/>
    <w:rsid w:val="00531BE9"/>
    <w:rsid w:val="00531F2B"/>
    <w:rsid w:val="00532514"/>
    <w:rsid w:val="00532912"/>
    <w:rsid w:val="005340F6"/>
    <w:rsid w:val="005347FC"/>
    <w:rsid w:val="00534E22"/>
    <w:rsid w:val="00535474"/>
    <w:rsid w:val="00535598"/>
    <w:rsid w:val="00535AF9"/>
    <w:rsid w:val="00535B19"/>
    <w:rsid w:val="00535FBC"/>
    <w:rsid w:val="005360A8"/>
    <w:rsid w:val="005362E7"/>
    <w:rsid w:val="00536576"/>
    <w:rsid w:val="00536703"/>
    <w:rsid w:val="005368FF"/>
    <w:rsid w:val="00536E39"/>
    <w:rsid w:val="00536F42"/>
    <w:rsid w:val="00537182"/>
    <w:rsid w:val="00537586"/>
    <w:rsid w:val="00540365"/>
    <w:rsid w:val="00540424"/>
    <w:rsid w:val="0054048A"/>
    <w:rsid w:val="0054086B"/>
    <w:rsid w:val="00540974"/>
    <w:rsid w:val="00540CF3"/>
    <w:rsid w:val="00540FCD"/>
    <w:rsid w:val="005410EA"/>
    <w:rsid w:val="00541427"/>
    <w:rsid w:val="00541488"/>
    <w:rsid w:val="00541723"/>
    <w:rsid w:val="00541BCD"/>
    <w:rsid w:val="00542120"/>
    <w:rsid w:val="005422E9"/>
    <w:rsid w:val="00542415"/>
    <w:rsid w:val="00542496"/>
    <w:rsid w:val="00542743"/>
    <w:rsid w:val="00542C2D"/>
    <w:rsid w:val="00542E7E"/>
    <w:rsid w:val="00542F0B"/>
    <w:rsid w:val="00543A5F"/>
    <w:rsid w:val="0054410B"/>
    <w:rsid w:val="005441B2"/>
    <w:rsid w:val="005449E1"/>
    <w:rsid w:val="005449F3"/>
    <w:rsid w:val="00544ADC"/>
    <w:rsid w:val="00544E2B"/>
    <w:rsid w:val="00545203"/>
    <w:rsid w:val="00545286"/>
    <w:rsid w:val="00545C11"/>
    <w:rsid w:val="00545F5D"/>
    <w:rsid w:val="005465AF"/>
    <w:rsid w:val="0054668A"/>
    <w:rsid w:val="0054682F"/>
    <w:rsid w:val="00546ED6"/>
    <w:rsid w:val="00547E8F"/>
    <w:rsid w:val="0055019E"/>
    <w:rsid w:val="00550548"/>
    <w:rsid w:val="005506BE"/>
    <w:rsid w:val="00550D57"/>
    <w:rsid w:val="00550DD6"/>
    <w:rsid w:val="0055132F"/>
    <w:rsid w:val="005514EC"/>
    <w:rsid w:val="00551985"/>
    <w:rsid w:val="00552781"/>
    <w:rsid w:val="005527DD"/>
    <w:rsid w:val="005529D6"/>
    <w:rsid w:val="00552BD3"/>
    <w:rsid w:val="005530AF"/>
    <w:rsid w:val="005530CC"/>
    <w:rsid w:val="005532AE"/>
    <w:rsid w:val="00553389"/>
    <w:rsid w:val="00553B89"/>
    <w:rsid w:val="005546C8"/>
    <w:rsid w:val="005548C2"/>
    <w:rsid w:val="00554D29"/>
    <w:rsid w:val="00555109"/>
    <w:rsid w:val="00555922"/>
    <w:rsid w:val="00555CC1"/>
    <w:rsid w:val="005569DA"/>
    <w:rsid w:val="00556C7D"/>
    <w:rsid w:val="00556EEC"/>
    <w:rsid w:val="00557293"/>
    <w:rsid w:val="005577AE"/>
    <w:rsid w:val="005577FF"/>
    <w:rsid w:val="00557CFF"/>
    <w:rsid w:val="005606A9"/>
    <w:rsid w:val="00560992"/>
    <w:rsid w:val="00560F7A"/>
    <w:rsid w:val="0056114A"/>
    <w:rsid w:val="00561EC1"/>
    <w:rsid w:val="00562050"/>
    <w:rsid w:val="00562428"/>
    <w:rsid w:val="00562B06"/>
    <w:rsid w:val="00564163"/>
    <w:rsid w:val="005642C1"/>
    <w:rsid w:val="00564958"/>
    <w:rsid w:val="00565662"/>
    <w:rsid w:val="005659D8"/>
    <w:rsid w:val="00565A94"/>
    <w:rsid w:val="00565AEA"/>
    <w:rsid w:val="00565CDE"/>
    <w:rsid w:val="00566245"/>
    <w:rsid w:val="0056691A"/>
    <w:rsid w:val="0056696F"/>
    <w:rsid w:val="00566A6E"/>
    <w:rsid w:val="00566C8B"/>
    <w:rsid w:val="005670A0"/>
    <w:rsid w:val="00567313"/>
    <w:rsid w:val="005679CA"/>
    <w:rsid w:val="00567CF1"/>
    <w:rsid w:val="00567F33"/>
    <w:rsid w:val="00570175"/>
    <w:rsid w:val="00570978"/>
    <w:rsid w:val="0057097E"/>
    <w:rsid w:val="00570DEB"/>
    <w:rsid w:val="00570E49"/>
    <w:rsid w:val="005712D4"/>
    <w:rsid w:val="005714D6"/>
    <w:rsid w:val="00571955"/>
    <w:rsid w:val="00572040"/>
    <w:rsid w:val="00572269"/>
    <w:rsid w:val="0057244A"/>
    <w:rsid w:val="0057259E"/>
    <w:rsid w:val="00572AFB"/>
    <w:rsid w:val="00572C8A"/>
    <w:rsid w:val="00572CA1"/>
    <w:rsid w:val="0057331C"/>
    <w:rsid w:val="00573548"/>
    <w:rsid w:val="0057372F"/>
    <w:rsid w:val="00573B9F"/>
    <w:rsid w:val="00574348"/>
    <w:rsid w:val="0057436B"/>
    <w:rsid w:val="00574F22"/>
    <w:rsid w:val="0057540F"/>
    <w:rsid w:val="005755BD"/>
    <w:rsid w:val="005756CA"/>
    <w:rsid w:val="00575D8D"/>
    <w:rsid w:val="0057622E"/>
    <w:rsid w:val="005768E5"/>
    <w:rsid w:val="00576972"/>
    <w:rsid w:val="00576BBC"/>
    <w:rsid w:val="0057761D"/>
    <w:rsid w:val="0057784E"/>
    <w:rsid w:val="00577915"/>
    <w:rsid w:val="00577EC8"/>
    <w:rsid w:val="00580202"/>
    <w:rsid w:val="005803EF"/>
    <w:rsid w:val="005805BF"/>
    <w:rsid w:val="005808CD"/>
    <w:rsid w:val="00580E13"/>
    <w:rsid w:val="005812CE"/>
    <w:rsid w:val="00581A6C"/>
    <w:rsid w:val="00581B87"/>
    <w:rsid w:val="00581D70"/>
    <w:rsid w:val="005823CF"/>
    <w:rsid w:val="0058249F"/>
    <w:rsid w:val="00582F51"/>
    <w:rsid w:val="00583249"/>
    <w:rsid w:val="005833E8"/>
    <w:rsid w:val="00583699"/>
    <w:rsid w:val="00583AB9"/>
    <w:rsid w:val="00583BB3"/>
    <w:rsid w:val="0058498E"/>
    <w:rsid w:val="00584D7D"/>
    <w:rsid w:val="005851C0"/>
    <w:rsid w:val="0058554C"/>
    <w:rsid w:val="0058596C"/>
    <w:rsid w:val="00585979"/>
    <w:rsid w:val="00585CDD"/>
    <w:rsid w:val="00586436"/>
    <w:rsid w:val="005867B3"/>
    <w:rsid w:val="005867FA"/>
    <w:rsid w:val="00586F6B"/>
    <w:rsid w:val="00587013"/>
    <w:rsid w:val="00587058"/>
    <w:rsid w:val="00587160"/>
    <w:rsid w:val="005871FA"/>
    <w:rsid w:val="0058729E"/>
    <w:rsid w:val="00587334"/>
    <w:rsid w:val="00587802"/>
    <w:rsid w:val="00590885"/>
    <w:rsid w:val="0059124A"/>
    <w:rsid w:val="005913F1"/>
    <w:rsid w:val="00591957"/>
    <w:rsid w:val="00591BAA"/>
    <w:rsid w:val="00591E30"/>
    <w:rsid w:val="0059228D"/>
    <w:rsid w:val="00592790"/>
    <w:rsid w:val="00593782"/>
    <w:rsid w:val="00593F19"/>
    <w:rsid w:val="00594538"/>
    <w:rsid w:val="0059469D"/>
    <w:rsid w:val="00594775"/>
    <w:rsid w:val="00594CFF"/>
    <w:rsid w:val="00594F58"/>
    <w:rsid w:val="00594F86"/>
    <w:rsid w:val="00594FAF"/>
    <w:rsid w:val="0059542F"/>
    <w:rsid w:val="0059597A"/>
    <w:rsid w:val="00595B11"/>
    <w:rsid w:val="00595F89"/>
    <w:rsid w:val="00596FCA"/>
    <w:rsid w:val="005977D9"/>
    <w:rsid w:val="00597BF9"/>
    <w:rsid w:val="00597C83"/>
    <w:rsid w:val="005A0220"/>
    <w:rsid w:val="005A03EE"/>
    <w:rsid w:val="005A0854"/>
    <w:rsid w:val="005A10CB"/>
    <w:rsid w:val="005A1C17"/>
    <w:rsid w:val="005A1D0F"/>
    <w:rsid w:val="005A1F3A"/>
    <w:rsid w:val="005A211C"/>
    <w:rsid w:val="005A2157"/>
    <w:rsid w:val="005A250E"/>
    <w:rsid w:val="005A2F6A"/>
    <w:rsid w:val="005A35C9"/>
    <w:rsid w:val="005A373D"/>
    <w:rsid w:val="005A375A"/>
    <w:rsid w:val="005A3E50"/>
    <w:rsid w:val="005A4915"/>
    <w:rsid w:val="005A4C29"/>
    <w:rsid w:val="005A5971"/>
    <w:rsid w:val="005A5E89"/>
    <w:rsid w:val="005A637A"/>
    <w:rsid w:val="005A6580"/>
    <w:rsid w:val="005A6956"/>
    <w:rsid w:val="005A6C7B"/>
    <w:rsid w:val="005A70A4"/>
    <w:rsid w:val="005A723A"/>
    <w:rsid w:val="005A7E2B"/>
    <w:rsid w:val="005B02E7"/>
    <w:rsid w:val="005B08C1"/>
    <w:rsid w:val="005B0953"/>
    <w:rsid w:val="005B09DC"/>
    <w:rsid w:val="005B11B5"/>
    <w:rsid w:val="005B1397"/>
    <w:rsid w:val="005B18FF"/>
    <w:rsid w:val="005B1A34"/>
    <w:rsid w:val="005B237F"/>
    <w:rsid w:val="005B28FA"/>
    <w:rsid w:val="005B29AA"/>
    <w:rsid w:val="005B2DA3"/>
    <w:rsid w:val="005B2E50"/>
    <w:rsid w:val="005B3091"/>
    <w:rsid w:val="005B383E"/>
    <w:rsid w:val="005B3BB7"/>
    <w:rsid w:val="005B3D07"/>
    <w:rsid w:val="005B403B"/>
    <w:rsid w:val="005B4507"/>
    <w:rsid w:val="005B49E6"/>
    <w:rsid w:val="005B4B15"/>
    <w:rsid w:val="005B56E6"/>
    <w:rsid w:val="005B5857"/>
    <w:rsid w:val="005B59C0"/>
    <w:rsid w:val="005B6108"/>
    <w:rsid w:val="005B635B"/>
    <w:rsid w:val="005B76CA"/>
    <w:rsid w:val="005C1292"/>
    <w:rsid w:val="005C18C8"/>
    <w:rsid w:val="005C1902"/>
    <w:rsid w:val="005C1B83"/>
    <w:rsid w:val="005C2424"/>
    <w:rsid w:val="005C278D"/>
    <w:rsid w:val="005C29C5"/>
    <w:rsid w:val="005C2B72"/>
    <w:rsid w:val="005C2D55"/>
    <w:rsid w:val="005C3061"/>
    <w:rsid w:val="005C346B"/>
    <w:rsid w:val="005C387E"/>
    <w:rsid w:val="005C3D1E"/>
    <w:rsid w:val="005C3D9C"/>
    <w:rsid w:val="005C3FAF"/>
    <w:rsid w:val="005C53BC"/>
    <w:rsid w:val="005C571A"/>
    <w:rsid w:val="005C5879"/>
    <w:rsid w:val="005C5F31"/>
    <w:rsid w:val="005C5F6D"/>
    <w:rsid w:val="005C601B"/>
    <w:rsid w:val="005C6105"/>
    <w:rsid w:val="005C6250"/>
    <w:rsid w:val="005C69D1"/>
    <w:rsid w:val="005C6D78"/>
    <w:rsid w:val="005C6F9B"/>
    <w:rsid w:val="005C7DFB"/>
    <w:rsid w:val="005D01A6"/>
    <w:rsid w:val="005D01CD"/>
    <w:rsid w:val="005D02B4"/>
    <w:rsid w:val="005D044D"/>
    <w:rsid w:val="005D05F3"/>
    <w:rsid w:val="005D0673"/>
    <w:rsid w:val="005D0ABD"/>
    <w:rsid w:val="005D0B09"/>
    <w:rsid w:val="005D0CE7"/>
    <w:rsid w:val="005D0DD5"/>
    <w:rsid w:val="005D18AD"/>
    <w:rsid w:val="005D1950"/>
    <w:rsid w:val="005D1A6E"/>
    <w:rsid w:val="005D1CD6"/>
    <w:rsid w:val="005D1D8C"/>
    <w:rsid w:val="005D26B4"/>
    <w:rsid w:val="005D274E"/>
    <w:rsid w:val="005D3179"/>
    <w:rsid w:val="005D31CD"/>
    <w:rsid w:val="005D3910"/>
    <w:rsid w:val="005D39D9"/>
    <w:rsid w:val="005D3DB7"/>
    <w:rsid w:val="005D4085"/>
    <w:rsid w:val="005D40A3"/>
    <w:rsid w:val="005D4561"/>
    <w:rsid w:val="005D4779"/>
    <w:rsid w:val="005D4F75"/>
    <w:rsid w:val="005D516E"/>
    <w:rsid w:val="005D54B7"/>
    <w:rsid w:val="005D56A5"/>
    <w:rsid w:val="005D56BB"/>
    <w:rsid w:val="005D6042"/>
    <w:rsid w:val="005D6310"/>
    <w:rsid w:val="005D65EE"/>
    <w:rsid w:val="005D6652"/>
    <w:rsid w:val="005D6987"/>
    <w:rsid w:val="005D6A8A"/>
    <w:rsid w:val="005D6AA0"/>
    <w:rsid w:val="005D6FBC"/>
    <w:rsid w:val="005D709D"/>
    <w:rsid w:val="005D7143"/>
    <w:rsid w:val="005D75D3"/>
    <w:rsid w:val="005D7D41"/>
    <w:rsid w:val="005D7F5A"/>
    <w:rsid w:val="005E0B17"/>
    <w:rsid w:val="005E10C4"/>
    <w:rsid w:val="005E126B"/>
    <w:rsid w:val="005E191E"/>
    <w:rsid w:val="005E1988"/>
    <w:rsid w:val="005E1C11"/>
    <w:rsid w:val="005E1DDC"/>
    <w:rsid w:val="005E1EA3"/>
    <w:rsid w:val="005E2811"/>
    <w:rsid w:val="005E2827"/>
    <w:rsid w:val="005E289E"/>
    <w:rsid w:val="005E2C45"/>
    <w:rsid w:val="005E2C61"/>
    <w:rsid w:val="005E2E17"/>
    <w:rsid w:val="005E3035"/>
    <w:rsid w:val="005E3131"/>
    <w:rsid w:val="005E3266"/>
    <w:rsid w:val="005E3709"/>
    <w:rsid w:val="005E376C"/>
    <w:rsid w:val="005E3A71"/>
    <w:rsid w:val="005E438E"/>
    <w:rsid w:val="005E44D8"/>
    <w:rsid w:val="005E460F"/>
    <w:rsid w:val="005E487A"/>
    <w:rsid w:val="005E48A3"/>
    <w:rsid w:val="005E4B70"/>
    <w:rsid w:val="005E4DF7"/>
    <w:rsid w:val="005E5576"/>
    <w:rsid w:val="005E586F"/>
    <w:rsid w:val="005E5C7D"/>
    <w:rsid w:val="005E5CF4"/>
    <w:rsid w:val="005E5F2C"/>
    <w:rsid w:val="005E6289"/>
    <w:rsid w:val="005E67B0"/>
    <w:rsid w:val="005E6CBC"/>
    <w:rsid w:val="005E727E"/>
    <w:rsid w:val="005E73C0"/>
    <w:rsid w:val="005E75D9"/>
    <w:rsid w:val="005E7815"/>
    <w:rsid w:val="005F013B"/>
    <w:rsid w:val="005F072A"/>
    <w:rsid w:val="005F0EA8"/>
    <w:rsid w:val="005F1159"/>
    <w:rsid w:val="005F1207"/>
    <w:rsid w:val="005F1881"/>
    <w:rsid w:val="005F1E14"/>
    <w:rsid w:val="005F1EF0"/>
    <w:rsid w:val="005F1F4A"/>
    <w:rsid w:val="005F2706"/>
    <w:rsid w:val="005F2BF4"/>
    <w:rsid w:val="005F2C94"/>
    <w:rsid w:val="005F3403"/>
    <w:rsid w:val="005F3481"/>
    <w:rsid w:val="005F3997"/>
    <w:rsid w:val="005F3FFC"/>
    <w:rsid w:val="005F478E"/>
    <w:rsid w:val="005F4B30"/>
    <w:rsid w:val="005F54E4"/>
    <w:rsid w:val="005F5B44"/>
    <w:rsid w:val="005F5B4C"/>
    <w:rsid w:val="005F5F28"/>
    <w:rsid w:val="005F602A"/>
    <w:rsid w:val="005F61F4"/>
    <w:rsid w:val="005F63CF"/>
    <w:rsid w:val="005F6A8F"/>
    <w:rsid w:val="005F6C0C"/>
    <w:rsid w:val="005F6D6F"/>
    <w:rsid w:val="005F70DD"/>
    <w:rsid w:val="005F78C6"/>
    <w:rsid w:val="0060007B"/>
    <w:rsid w:val="00600385"/>
    <w:rsid w:val="00600541"/>
    <w:rsid w:val="00600608"/>
    <w:rsid w:val="00600D85"/>
    <w:rsid w:val="00600FEB"/>
    <w:rsid w:val="00601086"/>
    <w:rsid w:val="006013D3"/>
    <w:rsid w:val="00601AD1"/>
    <w:rsid w:val="00601CE5"/>
    <w:rsid w:val="0060218F"/>
    <w:rsid w:val="00602653"/>
    <w:rsid w:val="006026C7"/>
    <w:rsid w:val="0060292F"/>
    <w:rsid w:val="0060295C"/>
    <w:rsid w:val="00602A4C"/>
    <w:rsid w:val="00602F7E"/>
    <w:rsid w:val="006032DA"/>
    <w:rsid w:val="006036CA"/>
    <w:rsid w:val="00603DB9"/>
    <w:rsid w:val="00603DC4"/>
    <w:rsid w:val="006042D2"/>
    <w:rsid w:val="0060435A"/>
    <w:rsid w:val="00604432"/>
    <w:rsid w:val="006048D5"/>
    <w:rsid w:val="00605067"/>
    <w:rsid w:val="00605B59"/>
    <w:rsid w:val="00606029"/>
    <w:rsid w:val="006061DD"/>
    <w:rsid w:val="00606615"/>
    <w:rsid w:val="00606791"/>
    <w:rsid w:val="00606A82"/>
    <w:rsid w:val="00607669"/>
    <w:rsid w:val="00607AFD"/>
    <w:rsid w:val="00607C2C"/>
    <w:rsid w:val="00607DC7"/>
    <w:rsid w:val="00607F4A"/>
    <w:rsid w:val="00610050"/>
    <w:rsid w:val="00610B4D"/>
    <w:rsid w:val="00610D74"/>
    <w:rsid w:val="00610FBE"/>
    <w:rsid w:val="00611DC7"/>
    <w:rsid w:val="00611ECE"/>
    <w:rsid w:val="006127D9"/>
    <w:rsid w:val="00612894"/>
    <w:rsid w:val="00612F97"/>
    <w:rsid w:val="00612FF7"/>
    <w:rsid w:val="006130A9"/>
    <w:rsid w:val="0061345D"/>
    <w:rsid w:val="00613471"/>
    <w:rsid w:val="00613752"/>
    <w:rsid w:val="00613DC5"/>
    <w:rsid w:val="00614017"/>
    <w:rsid w:val="00614375"/>
    <w:rsid w:val="00614CEB"/>
    <w:rsid w:val="00614DE8"/>
    <w:rsid w:val="00615539"/>
    <w:rsid w:val="006156B3"/>
    <w:rsid w:val="00615996"/>
    <w:rsid w:val="00616802"/>
    <w:rsid w:val="00616A37"/>
    <w:rsid w:val="00616DB8"/>
    <w:rsid w:val="00617835"/>
    <w:rsid w:val="00617E12"/>
    <w:rsid w:val="00617ED8"/>
    <w:rsid w:val="00617F9C"/>
    <w:rsid w:val="00620168"/>
    <w:rsid w:val="00620521"/>
    <w:rsid w:val="006208C0"/>
    <w:rsid w:val="00620BAE"/>
    <w:rsid w:val="00620D65"/>
    <w:rsid w:val="0062109E"/>
    <w:rsid w:val="00621128"/>
    <w:rsid w:val="006213B7"/>
    <w:rsid w:val="00621477"/>
    <w:rsid w:val="006217BE"/>
    <w:rsid w:val="00621874"/>
    <w:rsid w:val="006223A2"/>
    <w:rsid w:val="0062279B"/>
    <w:rsid w:val="00622887"/>
    <w:rsid w:val="00622A6B"/>
    <w:rsid w:val="00622A7F"/>
    <w:rsid w:val="00622A88"/>
    <w:rsid w:val="00622C15"/>
    <w:rsid w:val="00622E35"/>
    <w:rsid w:val="006233F1"/>
    <w:rsid w:val="006235BC"/>
    <w:rsid w:val="006235C5"/>
    <w:rsid w:val="00623762"/>
    <w:rsid w:val="00623BA3"/>
    <w:rsid w:val="00624021"/>
    <w:rsid w:val="00624653"/>
    <w:rsid w:val="00625087"/>
    <w:rsid w:val="00625766"/>
    <w:rsid w:val="00625B39"/>
    <w:rsid w:val="00625C4F"/>
    <w:rsid w:val="00625CCB"/>
    <w:rsid w:val="00626B44"/>
    <w:rsid w:val="00626B7F"/>
    <w:rsid w:val="00626CD2"/>
    <w:rsid w:val="00626DE3"/>
    <w:rsid w:val="00626DE4"/>
    <w:rsid w:val="00626F2E"/>
    <w:rsid w:val="0062708E"/>
    <w:rsid w:val="00627220"/>
    <w:rsid w:val="006277F5"/>
    <w:rsid w:val="0062780D"/>
    <w:rsid w:val="006278AE"/>
    <w:rsid w:val="00627907"/>
    <w:rsid w:val="00630035"/>
    <w:rsid w:val="006303D6"/>
    <w:rsid w:val="0063049F"/>
    <w:rsid w:val="0063062B"/>
    <w:rsid w:val="00631021"/>
    <w:rsid w:val="006314BD"/>
    <w:rsid w:val="0063158F"/>
    <w:rsid w:val="00631C7A"/>
    <w:rsid w:val="00631D04"/>
    <w:rsid w:val="00631D6B"/>
    <w:rsid w:val="0063237A"/>
    <w:rsid w:val="0063245D"/>
    <w:rsid w:val="006330A1"/>
    <w:rsid w:val="006332C4"/>
    <w:rsid w:val="006334D7"/>
    <w:rsid w:val="006336CA"/>
    <w:rsid w:val="00633B48"/>
    <w:rsid w:val="00633E1C"/>
    <w:rsid w:val="00633F4B"/>
    <w:rsid w:val="00633FC9"/>
    <w:rsid w:val="0063479F"/>
    <w:rsid w:val="006347E6"/>
    <w:rsid w:val="00634825"/>
    <w:rsid w:val="00634868"/>
    <w:rsid w:val="00634C95"/>
    <w:rsid w:val="00634F9E"/>
    <w:rsid w:val="006353F0"/>
    <w:rsid w:val="00635830"/>
    <w:rsid w:val="00635C9B"/>
    <w:rsid w:val="006364A1"/>
    <w:rsid w:val="00636E3F"/>
    <w:rsid w:val="006370A0"/>
    <w:rsid w:val="00637BFD"/>
    <w:rsid w:val="00637C55"/>
    <w:rsid w:val="00637FC5"/>
    <w:rsid w:val="006400A6"/>
    <w:rsid w:val="00640196"/>
    <w:rsid w:val="00640490"/>
    <w:rsid w:val="00640507"/>
    <w:rsid w:val="00640C2B"/>
    <w:rsid w:val="00640C5E"/>
    <w:rsid w:val="00640F18"/>
    <w:rsid w:val="00641A0B"/>
    <w:rsid w:val="00641C4E"/>
    <w:rsid w:val="00642056"/>
    <w:rsid w:val="00642627"/>
    <w:rsid w:val="00642942"/>
    <w:rsid w:val="006430AB"/>
    <w:rsid w:val="006438F3"/>
    <w:rsid w:val="00643BF2"/>
    <w:rsid w:val="006441C5"/>
    <w:rsid w:val="0064437C"/>
    <w:rsid w:val="006443F5"/>
    <w:rsid w:val="006448A2"/>
    <w:rsid w:val="00645031"/>
    <w:rsid w:val="00645318"/>
    <w:rsid w:val="00645771"/>
    <w:rsid w:val="006458D2"/>
    <w:rsid w:val="00645C81"/>
    <w:rsid w:val="00646B8A"/>
    <w:rsid w:val="00646BE7"/>
    <w:rsid w:val="006471CC"/>
    <w:rsid w:val="00647DF1"/>
    <w:rsid w:val="00650549"/>
    <w:rsid w:val="0065057F"/>
    <w:rsid w:val="006505BA"/>
    <w:rsid w:val="0065079F"/>
    <w:rsid w:val="00650E01"/>
    <w:rsid w:val="00650F86"/>
    <w:rsid w:val="0065109C"/>
    <w:rsid w:val="00651278"/>
    <w:rsid w:val="0065180E"/>
    <w:rsid w:val="006521E2"/>
    <w:rsid w:val="006528DA"/>
    <w:rsid w:val="00652C1D"/>
    <w:rsid w:val="00652D47"/>
    <w:rsid w:val="00653574"/>
    <w:rsid w:val="00653668"/>
    <w:rsid w:val="0065379F"/>
    <w:rsid w:val="006538AA"/>
    <w:rsid w:val="006542EC"/>
    <w:rsid w:val="00654415"/>
    <w:rsid w:val="0065441A"/>
    <w:rsid w:val="006545EC"/>
    <w:rsid w:val="00655D95"/>
    <w:rsid w:val="00656377"/>
    <w:rsid w:val="00656403"/>
    <w:rsid w:val="00656895"/>
    <w:rsid w:val="00656C7A"/>
    <w:rsid w:val="00656DD7"/>
    <w:rsid w:val="00657076"/>
    <w:rsid w:val="00660148"/>
    <w:rsid w:val="00660158"/>
    <w:rsid w:val="00660CE9"/>
    <w:rsid w:val="00660DCD"/>
    <w:rsid w:val="0066121D"/>
    <w:rsid w:val="006615C4"/>
    <w:rsid w:val="006616E9"/>
    <w:rsid w:val="006617AB"/>
    <w:rsid w:val="00661868"/>
    <w:rsid w:val="00661C6B"/>
    <w:rsid w:val="00661DDD"/>
    <w:rsid w:val="00662608"/>
    <w:rsid w:val="00662B98"/>
    <w:rsid w:val="0066351B"/>
    <w:rsid w:val="00665359"/>
    <w:rsid w:val="00665ADC"/>
    <w:rsid w:val="0066665C"/>
    <w:rsid w:val="00666868"/>
    <w:rsid w:val="006668F7"/>
    <w:rsid w:val="006668F9"/>
    <w:rsid w:val="00666B12"/>
    <w:rsid w:val="00666F2E"/>
    <w:rsid w:val="00666F59"/>
    <w:rsid w:val="006675BB"/>
    <w:rsid w:val="00667ADF"/>
    <w:rsid w:val="00667C64"/>
    <w:rsid w:val="00667F02"/>
    <w:rsid w:val="0067001E"/>
    <w:rsid w:val="00670132"/>
    <w:rsid w:val="00670169"/>
    <w:rsid w:val="00670753"/>
    <w:rsid w:val="00671990"/>
    <w:rsid w:val="00671DB1"/>
    <w:rsid w:val="006728C1"/>
    <w:rsid w:val="0067290D"/>
    <w:rsid w:val="00672979"/>
    <w:rsid w:val="00672A4F"/>
    <w:rsid w:val="00672ED9"/>
    <w:rsid w:val="006732BD"/>
    <w:rsid w:val="006732D3"/>
    <w:rsid w:val="0067349A"/>
    <w:rsid w:val="0067374E"/>
    <w:rsid w:val="00673F6E"/>
    <w:rsid w:val="0067464F"/>
    <w:rsid w:val="00674878"/>
    <w:rsid w:val="0067497D"/>
    <w:rsid w:val="00674B9F"/>
    <w:rsid w:val="00674CC1"/>
    <w:rsid w:val="00674E42"/>
    <w:rsid w:val="0067528E"/>
    <w:rsid w:val="00675449"/>
    <w:rsid w:val="00675CFE"/>
    <w:rsid w:val="006761F2"/>
    <w:rsid w:val="00676298"/>
    <w:rsid w:val="006765F4"/>
    <w:rsid w:val="00676CDF"/>
    <w:rsid w:val="00677323"/>
    <w:rsid w:val="0067774A"/>
    <w:rsid w:val="006805F3"/>
    <w:rsid w:val="0068086C"/>
    <w:rsid w:val="006808BB"/>
    <w:rsid w:val="00680BDE"/>
    <w:rsid w:val="0068132E"/>
    <w:rsid w:val="0068175F"/>
    <w:rsid w:val="00681A2F"/>
    <w:rsid w:val="00681BDB"/>
    <w:rsid w:val="00682112"/>
    <w:rsid w:val="0068251A"/>
    <w:rsid w:val="00683154"/>
    <w:rsid w:val="00683945"/>
    <w:rsid w:val="00683969"/>
    <w:rsid w:val="00683A29"/>
    <w:rsid w:val="00683E10"/>
    <w:rsid w:val="00683EA8"/>
    <w:rsid w:val="00683FB6"/>
    <w:rsid w:val="006840A2"/>
    <w:rsid w:val="0068497E"/>
    <w:rsid w:val="00684B68"/>
    <w:rsid w:val="00684CCD"/>
    <w:rsid w:val="00685049"/>
    <w:rsid w:val="0068522D"/>
    <w:rsid w:val="00685B73"/>
    <w:rsid w:val="00685ECD"/>
    <w:rsid w:val="00686199"/>
    <w:rsid w:val="006861CE"/>
    <w:rsid w:val="006864B4"/>
    <w:rsid w:val="006864F9"/>
    <w:rsid w:val="00686957"/>
    <w:rsid w:val="00686A3B"/>
    <w:rsid w:val="00686E05"/>
    <w:rsid w:val="00686EBB"/>
    <w:rsid w:val="00687245"/>
    <w:rsid w:val="006872BA"/>
    <w:rsid w:val="0068782A"/>
    <w:rsid w:val="00687BD3"/>
    <w:rsid w:val="00687F4D"/>
    <w:rsid w:val="00687F86"/>
    <w:rsid w:val="006900F6"/>
    <w:rsid w:val="00690343"/>
    <w:rsid w:val="00690446"/>
    <w:rsid w:val="00690694"/>
    <w:rsid w:val="006907D6"/>
    <w:rsid w:val="00690DDD"/>
    <w:rsid w:val="00691071"/>
    <w:rsid w:val="006915BB"/>
    <w:rsid w:val="00691648"/>
    <w:rsid w:val="006917D7"/>
    <w:rsid w:val="00691C09"/>
    <w:rsid w:val="00691C72"/>
    <w:rsid w:val="006925BF"/>
    <w:rsid w:val="006929DD"/>
    <w:rsid w:val="00692CDD"/>
    <w:rsid w:val="00692FA0"/>
    <w:rsid w:val="00693ACC"/>
    <w:rsid w:val="00693C72"/>
    <w:rsid w:val="00693EDC"/>
    <w:rsid w:val="0069422F"/>
    <w:rsid w:val="00694DCA"/>
    <w:rsid w:val="00694F44"/>
    <w:rsid w:val="00695406"/>
    <w:rsid w:val="006956B7"/>
    <w:rsid w:val="00695E0A"/>
    <w:rsid w:val="00696089"/>
    <w:rsid w:val="0069619C"/>
    <w:rsid w:val="006968BD"/>
    <w:rsid w:val="00696C22"/>
    <w:rsid w:val="00696D5E"/>
    <w:rsid w:val="00696E02"/>
    <w:rsid w:val="0069747B"/>
    <w:rsid w:val="00697760"/>
    <w:rsid w:val="00697C90"/>
    <w:rsid w:val="00697F19"/>
    <w:rsid w:val="006A08C9"/>
    <w:rsid w:val="006A08F2"/>
    <w:rsid w:val="006A0BCE"/>
    <w:rsid w:val="006A0C14"/>
    <w:rsid w:val="006A0C34"/>
    <w:rsid w:val="006A0D7C"/>
    <w:rsid w:val="006A0E9E"/>
    <w:rsid w:val="006A1089"/>
    <w:rsid w:val="006A187C"/>
    <w:rsid w:val="006A1C9C"/>
    <w:rsid w:val="006A22BB"/>
    <w:rsid w:val="006A2861"/>
    <w:rsid w:val="006A28F8"/>
    <w:rsid w:val="006A2B0D"/>
    <w:rsid w:val="006A3431"/>
    <w:rsid w:val="006A34FF"/>
    <w:rsid w:val="006A36C6"/>
    <w:rsid w:val="006A3765"/>
    <w:rsid w:val="006A3A85"/>
    <w:rsid w:val="006A4A61"/>
    <w:rsid w:val="006A4ACF"/>
    <w:rsid w:val="006A4F99"/>
    <w:rsid w:val="006A5313"/>
    <w:rsid w:val="006A56F3"/>
    <w:rsid w:val="006A592C"/>
    <w:rsid w:val="006A5B67"/>
    <w:rsid w:val="006A5E36"/>
    <w:rsid w:val="006A604D"/>
    <w:rsid w:val="006A610B"/>
    <w:rsid w:val="006A636C"/>
    <w:rsid w:val="006A6766"/>
    <w:rsid w:val="006A734F"/>
    <w:rsid w:val="006A75E4"/>
    <w:rsid w:val="006A798E"/>
    <w:rsid w:val="006A7CD8"/>
    <w:rsid w:val="006A7E5F"/>
    <w:rsid w:val="006B04B8"/>
    <w:rsid w:val="006B0597"/>
    <w:rsid w:val="006B0E5E"/>
    <w:rsid w:val="006B1437"/>
    <w:rsid w:val="006B1D89"/>
    <w:rsid w:val="006B24C1"/>
    <w:rsid w:val="006B261B"/>
    <w:rsid w:val="006B2725"/>
    <w:rsid w:val="006B279B"/>
    <w:rsid w:val="006B299E"/>
    <w:rsid w:val="006B2ADA"/>
    <w:rsid w:val="006B2C90"/>
    <w:rsid w:val="006B2D70"/>
    <w:rsid w:val="006B311C"/>
    <w:rsid w:val="006B3495"/>
    <w:rsid w:val="006B3F39"/>
    <w:rsid w:val="006B4135"/>
    <w:rsid w:val="006B4315"/>
    <w:rsid w:val="006B49DE"/>
    <w:rsid w:val="006B5054"/>
    <w:rsid w:val="006B50BA"/>
    <w:rsid w:val="006B52DA"/>
    <w:rsid w:val="006B5554"/>
    <w:rsid w:val="006B5655"/>
    <w:rsid w:val="006B5677"/>
    <w:rsid w:val="006B5C11"/>
    <w:rsid w:val="006B5DBF"/>
    <w:rsid w:val="006B663D"/>
    <w:rsid w:val="006B683F"/>
    <w:rsid w:val="006B6D24"/>
    <w:rsid w:val="006B6DD0"/>
    <w:rsid w:val="006B70EB"/>
    <w:rsid w:val="006B7130"/>
    <w:rsid w:val="006B7440"/>
    <w:rsid w:val="006B76C5"/>
    <w:rsid w:val="006B7A52"/>
    <w:rsid w:val="006B7C5F"/>
    <w:rsid w:val="006B7F6F"/>
    <w:rsid w:val="006C09A1"/>
    <w:rsid w:val="006C09F9"/>
    <w:rsid w:val="006C0FDD"/>
    <w:rsid w:val="006C11DC"/>
    <w:rsid w:val="006C16A5"/>
    <w:rsid w:val="006C1B9F"/>
    <w:rsid w:val="006C1FAF"/>
    <w:rsid w:val="006C2A8E"/>
    <w:rsid w:val="006C2B39"/>
    <w:rsid w:val="006C2E75"/>
    <w:rsid w:val="006C3322"/>
    <w:rsid w:val="006C36FF"/>
    <w:rsid w:val="006C38BF"/>
    <w:rsid w:val="006C3EAE"/>
    <w:rsid w:val="006C43AD"/>
    <w:rsid w:val="006C4DAE"/>
    <w:rsid w:val="006C544C"/>
    <w:rsid w:val="006C5C07"/>
    <w:rsid w:val="006C5C3C"/>
    <w:rsid w:val="006C5CBF"/>
    <w:rsid w:val="006C5F88"/>
    <w:rsid w:val="006C60B7"/>
    <w:rsid w:val="006C60FF"/>
    <w:rsid w:val="006C64A9"/>
    <w:rsid w:val="006C65E0"/>
    <w:rsid w:val="006C6635"/>
    <w:rsid w:val="006C740F"/>
    <w:rsid w:val="006C7E21"/>
    <w:rsid w:val="006D0083"/>
    <w:rsid w:val="006D0212"/>
    <w:rsid w:val="006D0A96"/>
    <w:rsid w:val="006D1B94"/>
    <w:rsid w:val="006D1F1B"/>
    <w:rsid w:val="006D2349"/>
    <w:rsid w:val="006D235A"/>
    <w:rsid w:val="006D2660"/>
    <w:rsid w:val="006D274F"/>
    <w:rsid w:val="006D2FD5"/>
    <w:rsid w:val="006D3491"/>
    <w:rsid w:val="006D35C2"/>
    <w:rsid w:val="006D3C7D"/>
    <w:rsid w:val="006D4401"/>
    <w:rsid w:val="006D46AB"/>
    <w:rsid w:val="006D4832"/>
    <w:rsid w:val="006D4974"/>
    <w:rsid w:val="006D4A85"/>
    <w:rsid w:val="006D4B76"/>
    <w:rsid w:val="006D4E68"/>
    <w:rsid w:val="006D4E8B"/>
    <w:rsid w:val="006D506C"/>
    <w:rsid w:val="006D5CF5"/>
    <w:rsid w:val="006D5D5F"/>
    <w:rsid w:val="006D5F8D"/>
    <w:rsid w:val="006D64DB"/>
    <w:rsid w:val="006D67ED"/>
    <w:rsid w:val="006D6A95"/>
    <w:rsid w:val="006D714E"/>
    <w:rsid w:val="006D739F"/>
    <w:rsid w:val="006D7418"/>
    <w:rsid w:val="006D75BB"/>
    <w:rsid w:val="006D7A13"/>
    <w:rsid w:val="006D7B2A"/>
    <w:rsid w:val="006D7B52"/>
    <w:rsid w:val="006D7BD9"/>
    <w:rsid w:val="006E0092"/>
    <w:rsid w:val="006E0537"/>
    <w:rsid w:val="006E1F7D"/>
    <w:rsid w:val="006E2131"/>
    <w:rsid w:val="006E26A4"/>
    <w:rsid w:val="006E2723"/>
    <w:rsid w:val="006E2D0C"/>
    <w:rsid w:val="006E30A8"/>
    <w:rsid w:val="006E32F1"/>
    <w:rsid w:val="006E33E6"/>
    <w:rsid w:val="006E37D3"/>
    <w:rsid w:val="006E3836"/>
    <w:rsid w:val="006E3E3E"/>
    <w:rsid w:val="006E45B7"/>
    <w:rsid w:val="006E4771"/>
    <w:rsid w:val="006E4C7E"/>
    <w:rsid w:val="006E4CEF"/>
    <w:rsid w:val="006E5119"/>
    <w:rsid w:val="006E559A"/>
    <w:rsid w:val="006E576B"/>
    <w:rsid w:val="006E5848"/>
    <w:rsid w:val="006E5CCF"/>
    <w:rsid w:val="006E5F81"/>
    <w:rsid w:val="006E611D"/>
    <w:rsid w:val="006E6C18"/>
    <w:rsid w:val="006E6CA8"/>
    <w:rsid w:val="006E77AA"/>
    <w:rsid w:val="006E79D4"/>
    <w:rsid w:val="006E7DD1"/>
    <w:rsid w:val="006E7DF2"/>
    <w:rsid w:val="006F0022"/>
    <w:rsid w:val="006F03CC"/>
    <w:rsid w:val="006F0448"/>
    <w:rsid w:val="006F09A2"/>
    <w:rsid w:val="006F164C"/>
    <w:rsid w:val="006F1A02"/>
    <w:rsid w:val="006F1F04"/>
    <w:rsid w:val="006F2432"/>
    <w:rsid w:val="006F2726"/>
    <w:rsid w:val="006F2A7E"/>
    <w:rsid w:val="006F2D86"/>
    <w:rsid w:val="006F3009"/>
    <w:rsid w:val="006F306C"/>
    <w:rsid w:val="006F33A0"/>
    <w:rsid w:val="006F3C1B"/>
    <w:rsid w:val="006F3D13"/>
    <w:rsid w:val="006F4022"/>
    <w:rsid w:val="006F43EB"/>
    <w:rsid w:val="006F4578"/>
    <w:rsid w:val="006F50B2"/>
    <w:rsid w:val="006F5220"/>
    <w:rsid w:val="006F5683"/>
    <w:rsid w:val="006F57E7"/>
    <w:rsid w:val="006F5CF4"/>
    <w:rsid w:val="006F62A5"/>
    <w:rsid w:val="006F63A5"/>
    <w:rsid w:val="006F668D"/>
    <w:rsid w:val="006F67E2"/>
    <w:rsid w:val="006F691B"/>
    <w:rsid w:val="006F6AA4"/>
    <w:rsid w:val="006F6F91"/>
    <w:rsid w:val="006F763B"/>
    <w:rsid w:val="006F781E"/>
    <w:rsid w:val="006F7FA7"/>
    <w:rsid w:val="00700480"/>
    <w:rsid w:val="00700751"/>
    <w:rsid w:val="00700826"/>
    <w:rsid w:val="00700F26"/>
    <w:rsid w:val="007013FA"/>
    <w:rsid w:val="0070142B"/>
    <w:rsid w:val="00701549"/>
    <w:rsid w:val="00701561"/>
    <w:rsid w:val="00701616"/>
    <w:rsid w:val="00701716"/>
    <w:rsid w:val="00701AB9"/>
    <w:rsid w:val="00701B52"/>
    <w:rsid w:val="00701ECE"/>
    <w:rsid w:val="0070276E"/>
    <w:rsid w:val="00702912"/>
    <w:rsid w:val="0070294B"/>
    <w:rsid w:val="00702A45"/>
    <w:rsid w:val="00702CC9"/>
    <w:rsid w:val="00702D1A"/>
    <w:rsid w:val="00702F8F"/>
    <w:rsid w:val="007034A1"/>
    <w:rsid w:val="007034E3"/>
    <w:rsid w:val="0070362A"/>
    <w:rsid w:val="00704563"/>
    <w:rsid w:val="00704B64"/>
    <w:rsid w:val="00704BC4"/>
    <w:rsid w:val="00704C12"/>
    <w:rsid w:val="00704DC7"/>
    <w:rsid w:val="00705054"/>
    <w:rsid w:val="00705B4F"/>
    <w:rsid w:val="00706C85"/>
    <w:rsid w:val="00706C8A"/>
    <w:rsid w:val="00706D24"/>
    <w:rsid w:val="00706FFE"/>
    <w:rsid w:val="007074F3"/>
    <w:rsid w:val="007078DE"/>
    <w:rsid w:val="00707A8D"/>
    <w:rsid w:val="00707C13"/>
    <w:rsid w:val="00707D29"/>
    <w:rsid w:val="00707FF8"/>
    <w:rsid w:val="00710949"/>
    <w:rsid w:val="00710D55"/>
    <w:rsid w:val="00711403"/>
    <w:rsid w:val="00711971"/>
    <w:rsid w:val="00711A36"/>
    <w:rsid w:val="00712037"/>
    <w:rsid w:val="007122DB"/>
    <w:rsid w:val="00712349"/>
    <w:rsid w:val="007129E5"/>
    <w:rsid w:val="00712D80"/>
    <w:rsid w:val="00712F42"/>
    <w:rsid w:val="0071300F"/>
    <w:rsid w:val="00713631"/>
    <w:rsid w:val="00713E0A"/>
    <w:rsid w:val="00714BA0"/>
    <w:rsid w:val="00714BF5"/>
    <w:rsid w:val="00714CA9"/>
    <w:rsid w:val="00714CF3"/>
    <w:rsid w:val="0071509E"/>
    <w:rsid w:val="0071529C"/>
    <w:rsid w:val="00715912"/>
    <w:rsid w:val="007159AE"/>
    <w:rsid w:val="00715B86"/>
    <w:rsid w:val="00715D83"/>
    <w:rsid w:val="00715FC0"/>
    <w:rsid w:val="00716AFC"/>
    <w:rsid w:val="00716E1A"/>
    <w:rsid w:val="007172AD"/>
    <w:rsid w:val="00717AE1"/>
    <w:rsid w:val="00717F1B"/>
    <w:rsid w:val="007204CC"/>
    <w:rsid w:val="007206BC"/>
    <w:rsid w:val="00720868"/>
    <w:rsid w:val="00721135"/>
    <w:rsid w:val="007213B3"/>
    <w:rsid w:val="007219E3"/>
    <w:rsid w:val="00722300"/>
    <w:rsid w:val="00722317"/>
    <w:rsid w:val="0072268A"/>
    <w:rsid w:val="0072272B"/>
    <w:rsid w:val="00722A20"/>
    <w:rsid w:val="00722B1B"/>
    <w:rsid w:val="00722C6D"/>
    <w:rsid w:val="00723417"/>
    <w:rsid w:val="0072416F"/>
    <w:rsid w:val="007245B6"/>
    <w:rsid w:val="00724C54"/>
    <w:rsid w:val="007256AB"/>
    <w:rsid w:val="00725A5B"/>
    <w:rsid w:val="00725E77"/>
    <w:rsid w:val="00725FB8"/>
    <w:rsid w:val="007276D0"/>
    <w:rsid w:val="00727A92"/>
    <w:rsid w:val="00727C94"/>
    <w:rsid w:val="00727D20"/>
    <w:rsid w:val="007300F7"/>
    <w:rsid w:val="0073079F"/>
    <w:rsid w:val="00730B9B"/>
    <w:rsid w:val="00730D12"/>
    <w:rsid w:val="00730E76"/>
    <w:rsid w:val="007311C0"/>
    <w:rsid w:val="00731454"/>
    <w:rsid w:val="0073166F"/>
    <w:rsid w:val="007319CC"/>
    <w:rsid w:val="00731C57"/>
    <w:rsid w:val="00731EAE"/>
    <w:rsid w:val="007321D6"/>
    <w:rsid w:val="0073258C"/>
    <w:rsid w:val="00732692"/>
    <w:rsid w:val="007328B8"/>
    <w:rsid w:val="00732CF8"/>
    <w:rsid w:val="007335FB"/>
    <w:rsid w:val="00733811"/>
    <w:rsid w:val="007338E7"/>
    <w:rsid w:val="00734148"/>
    <w:rsid w:val="007342B3"/>
    <w:rsid w:val="00734676"/>
    <w:rsid w:val="007347E1"/>
    <w:rsid w:val="007349FA"/>
    <w:rsid w:val="00734D4F"/>
    <w:rsid w:val="00734DF9"/>
    <w:rsid w:val="00735033"/>
    <w:rsid w:val="007350EB"/>
    <w:rsid w:val="00735328"/>
    <w:rsid w:val="0073550A"/>
    <w:rsid w:val="00735746"/>
    <w:rsid w:val="0073589A"/>
    <w:rsid w:val="0073591C"/>
    <w:rsid w:val="007361EB"/>
    <w:rsid w:val="0073647A"/>
    <w:rsid w:val="007366F0"/>
    <w:rsid w:val="0073685B"/>
    <w:rsid w:val="00736FB0"/>
    <w:rsid w:val="00737039"/>
    <w:rsid w:val="0073716D"/>
    <w:rsid w:val="00737237"/>
    <w:rsid w:val="007376CE"/>
    <w:rsid w:val="0074022C"/>
    <w:rsid w:val="007402F4"/>
    <w:rsid w:val="00740663"/>
    <w:rsid w:val="0074088A"/>
    <w:rsid w:val="00740C00"/>
    <w:rsid w:val="00740ECD"/>
    <w:rsid w:val="00741409"/>
    <w:rsid w:val="00741481"/>
    <w:rsid w:val="007416E4"/>
    <w:rsid w:val="007419A3"/>
    <w:rsid w:val="007419F3"/>
    <w:rsid w:val="00741A07"/>
    <w:rsid w:val="007420B0"/>
    <w:rsid w:val="007425F4"/>
    <w:rsid w:val="00742700"/>
    <w:rsid w:val="00742714"/>
    <w:rsid w:val="007427EA"/>
    <w:rsid w:val="00742933"/>
    <w:rsid w:val="0074299A"/>
    <w:rsid w:val="00743370"/>
    <w:rsid w:val="00743EEF"/>
    <w:rsid w:val="00744C1F"/>
    <w:rsid w:val="00744D3A"/>
    <w:rsid w:val="00744D96"/>
    <w:rsid w:val="007452E8"/>
    <w:rsid w:val="007457E3"/>
    <w:rsid w:val="007463BE"/>
    <w:rsid w:val="00746B91"/>
    <w:rsid w:val="00746D8C"/>
    <w:rsid w:val="0074744A"/>
    <w:rsid w:val="00747643"/>
    <w:rsid w:val="00747949"/>
    <w:rsid w:val="0074795F"/>
    <w:rsid w:val="00747BAC"/>
    <w:rsid w:val="00747F59"/>
    <w:rsid w:val="00751865"/>
    <w:rsid w:val="0075190F"/>
    <w:rsid w:val="00751C4F"/>
    <w:rsid w:val="00752142"/>
    <w:rsid w:val="007521A6"/>
    <w:rsid w:val="007523A0"/>
    <w:rsid w:val="007523F9"/>
    <w:rsid w:val="007529F2"/>
    <w:rsid w:val="007530E1"/>
    <w:rsid w:val="00753414"/>
    <w:rsid w:val="0075346D"/>
    <w:rsid w:val="00753477"/>
    <w:rsid w:val="0075365A"/>
    <w:rsid w:val="00753AD3"/>
    <w:rsid w:val="00753E25"/>
    <w:rsid w:val="00754138"/>
    <w:rsid w:val="00754411"/>
    <w:rsid w:val="0075457E"/>
    <w:rsid w:val="007547F1"/>
    <w:rsid w:val="00754BC5"/>
    <w:rsid w:val="00754F1D"/>
    <w:rsid w:val="0075510C"/>
    <w:rsid w:val="007552BC"/>
    <w:rsid w:val="00755327"/>
    <w:rsid w:val="0075571C"/>
    <w:rsid w:val="007557D5"/>
    <w:rsid w:val="00755EDF"/>
    <w:rsid w:val="0075622A"/>
    <w:rsid w:val="00756CA2"/>
    <w:rsid w:val="0075715F"/>
    <w:rsid w:val="007572E4"/>
    <w:rsid w:val="007573E8"/>
    <w:rsid w:val="00757878"/>
    <w:rsid w:val="00757D38"/>
    <w:rsid w:val="007600EC"/>
    <w:rsid w:val="0076063F"/>
    <w:rsid w:val="00760C4E"/>
    <w:rsid w:val="00760E54"/>
    <w:rsid w:val="00761F83"/>
    <w:rsid w:val="007630CE"/>
    <w:rsid w:val="00763D88"/>
    <w:rsid w:val="00763DA0"/>
    <w:rsid w:val="00763EC1"/>
    <w:rsid w:val="00764042"/>
    <w:rsid w:val="0076424A"/>
    <w:rsid w:val="0076459E"/>
    <w:rsid w:val="007648EB"/>
    <w:rsid w:val="007648F2"/>
    <w:rsid w:val="00764A3A"/>
    <w:rsid w:val="00764B04"/>
    <w:rsid w:val="00764D74"/>
    <w:rsid w:val="007651AE"/>
    <w:rsid w:val="007655AE"/>
    <w:rsid w:val="007657D2"/>
    <w:rsid w:val="0076594B"/>
    <w:rsid w:val="00765A41"/>
    <w:rsid w:val="00765B1A"/>
    <w:rsid w:val="00765B5F"/>
    <w:rsid w:val="00765ED4"/>
    <w:rsid w:val="00765FCD"/>
    <w:rsid w:val="007667D7"/>
    <w:rsid w:val="007667F6"/>
    <w:rsid w:val="00766BA8"/>
    <w:rsid w:val="00766FFC"/>
    <w:rsid w:val="00767452"/>
    <w:rsid w:val="00767501"/>
    <w:rsid w:val="007676BB"/>
    <w:rsid w:val="00767A45"/>
    <w:rsid w:val="00767DE4"/>
    <w:rsid w:val="00770665"/>
    <w:rsid w:val="0077076F"/>
    <w:rsid w:val="00770D12"/>
    <w:rsid w:val="00770F14"/>
    <w:rsid w:val="00771425"/>
    <w:rsid w:val="00771ABE"/>
    <w:rsid w:val="00773450"/>
    <w:rsid w:val="007737F0"/>
    <w:rsid w:val="00773949"/>
    <w:rsid w:val="00773AA7"/>
    <w:rsid w:val="00773B70"/>
    <w:rsid w:val="0077438F"/>
    <w:rsid w:val="007749E3"/>
    <w:rsid w:val="00774A83"/>
    <w:rsid w:val="00774AE4"/>
    <w:rsid w:val="007754F0"/>
    <w:rsid w:val="007755B1"/>
    <w:rsid w:val="007756A8"/>
    <w:rsid w:val="00775A16"/>
    <w:rsid w:val="00775C82"/>
    <w:rsid w:val="00775E57"/>
    <w:rsid w:val="00775EBD"/>
    <w:rsid w:val="0077605C"/>
    <w:rsid w:val="00776296"/>
    <w:rsid w:val="0077666E"/>
    <w:rsid w:val="007766CE"/>
    <w:rsid w:val="00776DEA"/>
    <w:rsid w:val="00776F5E"/>
    <w:rsid w:val="00776FD4"/>
    <w:rsid w:val="0077724C"/>
    <w:rsid w:val="007777C1"/>
    <w:rsid w:val="007778A3"/>
    <w:rsid w:val="00777D98"/>
    <w:rsid w:val="00777ED3"/>
    <w:rsid w:val="007800FE"/>
    <w:rsid w:val="00780E31"/>
    <w:rsid w:val="007813A2"/>
    <w:rsid w:val="007818A7"/>
    <w:rsid w:val="00781BB4"/>
    <w:rsid w:val="00781E38"/>
    <w:rsid w:val="00781E7F"/>
    <w:rsid w:val="00781F67"/>
    <w:rsid w:val="007820D8"/>
    <w:rsid w:val="0078216F"/>
    <w:rsid w:val="00782188"/>
    <w:rsid w:val="007823A0"/>
    <w:rsid w:val="007824D1"/>
    <w:rsid w:val="00782789"/>
    <w:rsid w:val="0078292A"/>
    <w:rsid w:val="00782D0A"/>
    <w:rsid w:val="00783383"/>
    <w:rsid w:val="0078364A"/>
    <w:rsid w:val="00784236"/>
    <w:rsid w:val="007843F2"/>
    <w:rsid w:val="007845EA"/>
    <w:rsid w:val="007848F8"/>
    <w:rsid w:val="00785000"/>
    <w:rsid w:val="00785019"/>
    <w:rsid w:val="00785396"/>
    <w:rsid w:val="007855C8"/>
    <w:rsid w:val="00787523"/>
    <w:rsid w:val="007875A5"/>
    <w:rsid w:val="00787742"/>
    <w:rsid w:val="00787A41"/>
    <w:rsid w:val="00790240"/>
    <w:rsid w:val="0079043A"/>
    <w:rsid w:val="0079117C"/>
    <w:rsid w:val="00791354"/>
    <w:rsid w:val="007919D1"/>
    <w:rsid w:val="00791B56"/>
    <w:rsid w:val="00793D42"/>
    <w:rsid w:val="0079415A"/>
    <w:rsid w:val="00794FEF"/>
    <w:rsid w:val="00795B33"/>
    <w:rsid w:val="0079603D"/>
    <w:rsid w:val="00796811"/>
    <w:rsid w:val="007969C6"/>
    <w:rsid w:val="007969F4"/>
    <w:rsid w:val="00796A6F"/>
    <w:rsid w:val="00796BE1"/>
    <w:rsid w:val="00796F89"/>
    <w:rsid w:val="00797187"/>
    <w:rsid w:val="00797432"/>
    <w:rsid w:val="00797B10"/>
    <w:rsid w:val="007A0610"/>
    <w:rsid w:val="007A09DA"/>
    <w:rsid w:val="007A0A12"/>
    <w:rsid w:val="007A0D6A"/>
    <w:rsid w:val="007A1107"/>
    <w:rsid w:val="007A11CF"/>
    <w:rsid w:val="007A132D"/>
    <w:rsid w:val="007A1D03"/>
    <w:rsid w:val="007A2472"/>
    <w:rsid w:val="007A3038"/>
    <w:rsid w:val="007A346D"/>
    <w:rsid w:val="007A3E51"/>
    <w:rsid w:val="007A4571"/>
    <w:rsid w:val="007A49BE"/>
    <w:rsid w:val="007A503D"/>
    <w:rsid w:val="007A5135"/>
    <w:rsid w:val="007A52C6"/>
    <w:rsid w:val="007A645B"/>
    <w:rsid w:val="007A6800"/>
    <w:rsid w:val="007A681B"/>
    <w:rsid w:val="007A6914"/>
    <w:rsid w:val="007A6A23"/>
    <w:rsid w:val="007A6E40"/>
    <w:rsid w:val="007A6EE1"/>
    <w:rsid w:val="007A6FA6"/>
    <w:rsid w:val="007A7371"/>
    <w:rsid w:val="007A741D"/>
    <w:rsid w:val="007A7435"/>
    <w:rsid w:val="007A79C7"/>
    <w:rsid w:val="007A79EF"/>
    <w:rsid w:val="007A7B0A"/>
    <w:rsid w:val="007B064A"/>
    <w:rsid w:val="007B0B1B"/>
    <w:rsid w:val="007B0D68"/>
    <w:rsid w:val="007B13E4"/>
    <w:rsid w:val="007B1BCE"/>
    <w:rsid w:val="007B2041"/>
    <w:rsid w:val="007B251D"/>
    <w:rsid w:val="007B2755"/>
    <w:rsid w:val="007B27D3"/>
    <w:rsid w:val="007B27ED"/>
    <w:rsid w:val="007B2EAD"/>
    <w:rsid w:val="007B3BA5"/>
    <w:rsid w:val="007B3C37"/>
    <w:rsid w:val="007B3E69"/>
    <w:rsid w:val="007B42A0"/>
    <w:rsid w:val="007B43E3"/>
    <w:rsid w:val="007B476B"/>
    <w:rsid w:val="007B4F58"/>
    <w:rsid w:val="007B50F3"/>
    <w:rsid w:val="007B528D"/>
    <w:rsid w:val="007B53A1"/>
    <w:rsid w:val="007B59DC"/>
    <w:rsid w:val="007B5E29"/>
    <w:rsid w:val="007B6276"/>
    <w:rsid w:val="007B7199"/>
    <w:rsid w:val="007B757C"/>
    <w:rsid w:val="007B77D1"/>
    <w:rsid w:val="007B79DA"/>
    <w:rsid w:val="007C0157"/>
    <w:rsid w:val="007C0C27"/>
    <w:rsid w:val="007C12CF"/>
    <w:rsid w:val="007C17DC"/>
    <w:rsid w:val="007C1CD9"/>
    <w:rsid w:val="007C1D6E"/>
    <w:rsid w:val="007C1FF2"/>
    <w:rsid w:val="007C2614"/>
    <w:rsid w:val="007C2A9A"/>
    <w:rsid w:val="007C2D2F"/>
    <w:rsid w:val="007C2DC2"/>
    <w:rsid w:val="007C2E0C"/>
    <w:rsid w:val="007C361D"/>
    <w:rsid w:val="007C38EF"/>
    <w:rsid w:val="007C3B23"/>
    <w:rsid w:val="007C3F9B"/>
    <w:rsid w:val="007C40CE"/>
    <w:rsid w:val="007C4A1D"/>
    <w:rsid w:val="007C4B84"/>
    <w:rsid w:val="007C5589"/>
    <w:rsid w:val="007C5AD6"/>
    <w:rsid w:val="007C6232"/>
    <w:rsid w:val="007C6380"/>
    <w:rsid w:val="007C63FC"/>
    <w:rsid w:val="007C65AF"/>
    <w:rsid w:val="007C6A51"/>
    <w:rsid w:val="007C6C9B"/>
    <w:rsid w:val="007C6DE0"/>
    <w:rsid w:val="007C7330"/>
    <w:rsid w:val="007C766A"/>
    <w:rsid w:val="007C787C"/>
    <w:rsid w:val="007C7D1C"/>
    <w:rsid w:val="007D004F"/>
    <w:rsid w:val="007D0B38"/>
    <w:rsid w:val="007D0BE4"/>
    <w:rsid w:val="007D0CDF"/>
    <w:rsid w:val="007D0FBC"/>
    <w:rsid w:val="007D105B"/>
    <w:rsid w:val="007D1463"/>
    <w:rsid w:val="007D1FA5"/>
    <w:rsid w:val="007D1FB7"/>
    <w:rsid w:val="007D207A"/>
    <w:rsid w:val="007D270A"/>
    <w:rsid w:val="007D2D4C"/>
    <w:rsid w:val="007D2FCB"/>
    <w:rsid w:val="007D31E7"/>
    <w:rsid w:val="007D3BB0"/>
    <w:rsid w:val="007D3BD1"/>
    <w:rsid w:val="007D42FF"/>
    <w:rsid w:val="007D47E7"/>
    <w:rsid w:val="007D4935"/>
    <w:rsid w:val="007D4CB5"/>
    <w:rsid w:val="007D53DE"/>
    <w:rsid w:val="007D5440"/>
    <w:rsid w:val="007D631C"/>
    <w:rsid w:val="007D64C5"/>
    <w:rsid w:val="007D6C17"/>
    <w:rsid w:val="007D6D2B"/>
    <w:rsid w:val="007D7BAB"/>
    <w:rsid w:val="007D7CFD"/>
    <w:rsid w:val="007E048B"/>
    <w:rsid w:val="007E098D"/>
    <w:rsid w:val="007E0D0D"/>
    <w:rsid w:val="007E0EA2"/>
    <w:rsid w:val="007E0F9D"/>
    <w:rsid w:val="007E1535"/>
    <w:rsid w:val="007E190A"/>
    <w:rsid w:val="007E2879"/>
    <w:rsid w:val="007E2BEF"/>
    <w:rsid w:val="007E351A"/>
    <w:rsid w:val="007E3B6B"/>
    <w:rsid w:val="007E3DD0"/>
    <w:rsid w:val="007E41D4"/>
    <w:rsid w:val="007E50C0"/>
    <w:rsid w:val="007E5222"/>
    <w:rsid w:val="007E5289"/>
    <w:rsid w:val="007E5814"/>
    <w:rsid w:val="007E59D6"/>
    <w:rsid w:val="007E5A32"/>
    <w:rsid w:val="007E5C03"/>
    <w:rsid w:val="007E5FFE"/>
    <w:rsid w:val="007E6455"/>
    <w:rsid w:val="007E6490"/>
    <w:rsid w:val="007E6663"/>
    <w:rsid w:val="007E67F4"/>
    <w:rsid w:val="007E6A66"/>
    <w:rsid w:val="007F0583"/>
    <w:rsid w:val="007F1017"/>
    <w:rsid w:val="007F13C5"/>
    <w:rsid w:val="007F178C"/>
    <w:rsid w:val="007F194B"/>
    <w:rsid w:val="007F22F9"/>
    <w:rsid w:val="007F2314"/>
    <w:rsid w:val="007F25AC"/>
    <w:rsid w:val="007F282C"/>
    <w:rsid w:val="007F2844"/>
    <w:rsid w:val="007F2B2B"/>
    <w:rsid w:val="007F3008"/>
    <w:rsid w:val="007F3465"/>
    <w:rsid w:val="007F34EF"/>
    <w:rsid w:val="007F3C53"/>
    <w:rsid w:val="007F49FF"/>
    <w:rsid w:val="007F4A3F"/>
    <w:rsid w:val="007F4A61"/>
    <w:rsid w:val="007F4EBF"/>
    <w:rsid w:val="007F5241"/>
    <w:rsid w:val="007F547B"/>
    <w:rsid w:val="007F5846"/>
    <w:rsid w:val="007F5994"/>
    <w:rsid w:val="007F5D1F"/>
    <w:rsid w:val="007F61C2"/>
    <w:rsid w:val="007F6B79"/>
    <w:rsid w:val="007F762F"/>
    <w:rsid w:val="007F7850"/>
    <w:rsid w:val="0080050E"/>
    <w:rsid w:val="00800899"/>
    <w:rsid w:val="0080094A"/>
    <w:rsid w:val="008009DB"/>
    <w:rsid w:val="00800E8B"/>
    <w:rsid w:val="0080104A"/>
    <w:rsid w:val="0080184F"/>
    <w:rsid w:val="00802C5A"/>
    <w:rsid w:val="008032F2"/>
    <w:rsid w:val="008038AC"/>
    <w:rsid w:val="008040CB"/>
    <w:rsid w:val="00804552"/>
    <w:rsid w:val="00804E72"/>
    <w:rsid w:val="00805142"/>
    <w:rsid w:val="00805A42"/>
    <w:rsid w:val="00805D17"/>
    <w:rsid w:val="00805D68"/>
    <w:rsid w:val="00805E0B"/>
    <w:rsid w:val="00805E4A"/>
    <w:rsid w:val="00806292"/>
    <w:rsid w:val="0080740D"/>
    <w:rsid w:val="00807A8B"/>
    <w:rsid w:val="00807B55"/>
    <w:rsid w:val="00807C25"/>
    <w:rsid w:val="00807EF8"/>
    <w:rsid w:val="00807F4A"/>
    <w:rsid w:val="008109EE"/>
    <w:rsid w:val="00810E24"/>
    <w:rsid w:val="00811383"/>
    <w:rsid w:val="00811AE2"/>
    <w:rsid w:val="00812149"/>
    <w:rsid w:val="00812CAC"/>
    <w:rsid w:val="00812CB0"/>
    <w:rsid w:val="00812D4C"/>
    <w:rsid w:val="00812DB9"/>
    <w:rsid w:val="008132E6"/>
    <w:rsid w:val="00813688"/>
    <w:rsid w:val="008149DA"/>
    <w:rsid w:val="008152DF"/>
    <w:rsid w:val="008154E7"/>
    <w:rsid w:val="00815A5E"/>
    <w:rsid w:val="00815AD1"/>
    <w:rsid w:val="00815ADC"/>
    <w:rsid w:val="008166EF"/>
    <w:rsid w:val="00816714"/>
    <w:rsid w:val="00816EC0"/>
    <w:rsid w:val="00816ED5"/>
    <w:rsid w:val="008172A5"/>
    <w:rsid w:val="0081742B"/>
    <w:rsid w:val="00820113"/>
    <w:rsid w:val="00820252"/>
    <w:rsid w:val="00820357"/>
    <w:rsid w:val="0082036B"/>
    <w:rsid w:val="008204AB"/>
    <w:rsid w:val="00820E37"/>
    <w:rsid w:val="0082118A"/>
    <w:rsid w:val="008212BA"/>
    <w:rsid w:val="008213D2"/>
    <w:rsid w:val="008214DD"/>
    <w:rsid w:val="00821E97"/>
    <w:rsid w:val="00821F1B"/>
    <w:rsid w:val="00822151"/>
    <w:rsid w:val="00822BCE"/>
    <w:rsid w:val="00823D0C"/>
    <w:rsid w:val="00824AD7"/>
    <w:rsid w:val="00825327"/>
    <w:rsid w:val="00825751"/>
    <w:rsid w:val="00825791"/>
    <w:rsid w:val="00825E33"/>
    <w:rsid w:val="00825ECB"/>
    <w:rsid w:val="00826027"/>
    <w:rsid w:val="00826098"/>
    <w:rsid w:val="008264EB"/>
    <w:rsid w:val="00826994"/>
    <w:rsid w:val="008269DC"/>
    <w:rsid w:val="0082735D"/>
    <w:rsid w:val="0082774E"/>
    <w:rsid w:val="008306ED"/>
    <w:rsid w:val="00830B32"/>
    <w:rsid w:val="008319CE"/>
    <w:rsid w:val="00831BC5"/>
    <w:rsid w:val="00831F1F"/>
    <w:rsid w:val="00832748"/>
    <w:rsid w:val="0083274E"/>
    <w:rsid w:val="00832896"/>
    <w:rsid w:val="00833556"/>
    <w:rsid w:val="008335A7"/>
    <w:rsid w:val="00833922"/>
    <w:rsid w:val="00833B05"/>
    <w:rsid w:val="00834444"/>
    <w:rsid w:val="00834484"/>
    <w:rsid w:val="00834930"/>
    <w:rsid w:val="008349F6"/>
    <w:rsid w:val="00834BD1"/>
    <w:rsid w:val="00835202"/>
    <w:rsid w:val="008352E2"/>
    <w:rsid w:val="00835B23"/>
    <w:rsid w:val="00835E6F"/>
    <w:rsid w:val="008361CD"/>
    <w:rsid w:val="008362B4"/>
    <w:rsid w:val="008363E6"/>
    <w:rsid w:val="00836771"/>
    <w:rsid w:val="00836CD0"/>
    <w:rsid w:val="00836F3F"/>
    <w:rsid w:val="00837AFB"/>
    <w:rsid w:val="00837AFC"/>
    <w:rsid w:val="0084020E"/>
    <w:rsid w:val="00840CA2"/>
    <w:rsid w:val="00841247"/>
    <w:rsid w:val="00841B28"/>
    <w:rsid w:val="00841DB6"/>
    <w:rsid w:val="00842E5F"/>
    <w:rsid w:val="00843719"/>
    <w:rsid w:val="0084374F"/>
    <w:rsid w:val="008442E2"/>
    <w:rsid w:val="008446F1"/>
    <w:rsid w:val="0084472A"/>
    <w:rsid w:val="008447EB"/>
    <w:rsid w:val="00844A3B"/>
    <w:rsid w:val="00845013"/>
    <w:rsid w:val="00845250"/>
    <w:rsid w:val="008456FC"/>
    <w:rsid w:val="008458DA"/>
    <w:rsid w:val="0084621D"/>
    <w:rsid w:val="0084624B"/>
    <w:rsid w:val="00846299"/>
    <w:rsid w:val="008465EE"/>
    <w:rsid w:val="00846B4B"/>
    <w:rsid w:val="00846CC9"/>
    <w:rsid w:val="00846E1B"/>
    <w:rsid w:val="00846F4A"/>
    <w:rsid w:val="00847276"/>
    <w:rsid w:val="00847DF5"/>
    <w:rsid w:val="00850516"/>
    <w:rsid w:val="00850A29"/>
    <w:rsid w:val="00850C31"/>
    <w:rsid w:val="00851057"/>
    <w:rsid w:val="008520AC"/>
    <w:rsid w:val="00852AD1"/>
    <w:rsid w:val="0085309D"/>
    <w:rsid w:val="008532FE"/>
    <w:rsid w:val="008537B6"/>
    <w:rsid w:val="008550CD"/>
    <w:rsid w:val="008552C0"/>
    <w:rsid w:val="00856020"/>
    <w:rsid w:val="008566AF"/>
    <w:rsid w:val="00856897"/>
    <w:rsid w:val="00856955"/>
    <w:rsid w:val="008569C8"/>
    <w:rsid w:val="00856B27"/>
    <w:rsid w:val="00856CF2"/>
    <w:rsid w:val="00856E9A"/>
    <w:rsid w:val="00857962"/>
    <w:rsid w:val="00857BC3"/>
    <w:rsid w:val="00857C53"/>
    <w:rsid w:val="00857EAB"/>
    <w:rsid w:val="00860074"/>
    <w:rsid w:val="008602A7"/>
    <w:rsid w:val="008602F3"/>
    <w:rsid w:val="008603A5"/>
    <w:rsid w:val="008603EB"/>
    <w:rsid w:val="00860646"/>
    <w:rsid w:val="0086075D"/>
    <w:rsid w:val="008607A7"/>
    <w:rsid w:val="00860884"/>
    <w:rsid w:val="00860ECF"/>
    <w:rsid w:val="008613A1"/>
    <w:rsid w:val="00861F08"/>
    <w:rsid w:val="00862192"/>
    <w:rsid w:val="00862502"/>
    <w:rsid w:val="00862547"/>
    <w:rsid w:val="00864508"/>
    <w:rsid w:val="00864721"/>
    <w:rsid w:val="00865332"/>
    <w:rsid w:val="0086554B"/>
    <w:rsid w:val="00865A3F"/>
    <w:rsid w:val="008660D4"/>
    <w:rsid w:val="0086713F"/>
    <w:rsid w:val="008672AB"/>
    <w:rsid w:val="0086734D"/>
    <w:rsid w:val="00867364"/>
    <w:rsid w:val="00870081"/>
    <w:rsid w:val="008703EE"/>
    <w:rsid w:val="00870DCC"/>
    <w:rsid w:val="00870E37"/>
    <w:rsid w:val="00870F6A"/>
    <w:rsid w:val="008714D8"/>
    <w:rsid w:val="00871628"/>
    <w:rsid w:val="00871B4C"/>
    <w:rsid w:val="00871D57"/>
    <w:rsid w:val="00871FA9"/>
    <w:rsid w:val="0087205B"/>
    <w:rsid w:val="008727F2"/>
    <w:rsid w:val="008728E9"/>
    <w:rsid w:val="00872A92"/>
    <w:rsid w:val="008734EB"/>
    <w:rsid w:val="0087390E"/>
    <w:rsid w:val="00873A24"/>
    <w:rsid w:val="00873D4E"/>
    <w:rsid w:val="00874117"/>
    <w:rsid w:val="008741C3"/>
    <w:rsid w:val="008744F1"/>
    <w:rsid w:val="00874688"/>
    <w:rsid w:val="00874840"/>
    <w:rsid w:val="008751F9"/>
    <w:rsid w:val="00875807"/>
    <w:rsid w:val="00875DE8"/>
    <w:rsid w:val="00876537"/>
    <w:rsid w:val="00877C92"/>
    <w:rsid w:val="0088108F"/>
    <w:rsid w:val="00881444"/>
    <w:rsid w:val="008814C4"/>
    <w:rsid w:val="0088213E"/>
    <w:rsid w:val="008823A9"/>
    <w:rsid w:val="0088249A"/>
    <w:rsid w:val="00882874"/>
    <w:rsid w:val="0088317C"/>
    <w:rsid w:val="00883787"/>
    <w:rsid w:val="008839B9"/>
    <w:rsid w:val="00883A68"/>
    <w:rsid w:val="00883CF0"/>
    <w:rsid w:val="00884005"/>
    <w:rsid w:val="0088425D"/>
    <w:rsid w:val="00884475"/>
    <w:rsid w:val="008845C0"/>
    <w:rsid w:val="0088495E"/>
    <w:rsid w:val="00885221"/>
    <w:rsid w:val="008857AA"/>
    <w:rsid w:val="0088585F"/>
    <w:rsid w:val="00885A8F"/>
    <w:rsid w:val="008861B8"/>
    <w:rsid w:val="00886370"/>
    <w:rsid w:val="00886B2A"/>
    <w:rsid w:val="00886CD2"/>
    <w:rsid w:val="00886D03"/>
    <w:rsid w:val="0088708A"/>
    <w:rsid w:val="00887255"/>
    <w:rsid w:val="008877EA"/>
    <w:rsid w:val="00890618"/>
    <w:rsid w:val="00890951"/>
    <w:rsid w:val="00890DD3"/>
    <w:rsid w:val="008917DA"/>
    <w:rsid w:val="00892301"/>
    <w:rsid w:val="00892479"/>
    <w:rsid w:val="00892641"/>
    <w:rsid w:val="008929DE"/>
    <w:rsid w:val="00892A36"/>
    <w:rsid w:val="00893239"/>
    <w:rsid w:val="008937D7"/>
    <w:rsid w:val="00893D16"/>
    <w:rsid w:val="00894489"/>
    <w:rsid w:val="00894673"/>
    <w:rsid w:val="008949DB"/>
    <w:rsid w:val="00894D4D"/>
    <w:rsid w:val="0089521F"/>
    <w:rsid w:val="00895F76"/>
    <w:rsid w:val="008963A5"/>
    <w:rsid w:val="00896542"/>
    <w:rsid w:val="00896BAE"/>
    <w:rsid w:val="00896E64"/>
    <w:rsid w:val="0089730A"/>
    <w:rsid w:val="00897766"/>
    <w:rsid w:val="0089781A"/>
    <w:rsid w:val="0089787D"/>
    <w:rsid w:val="00897B9E"/>
    <w:rsid w:val="008A008B"/>
    <w:rsid w:val="008A069C"/>
    <w:rsid w:val="008A0A6A"/>
    <w:rsid w:val="008A0AF1"/>
    <w:rsid w:val="008A0DAD"/>
    <w:rsid w:val="008A103A"/>
    <w:rsid w:val="008A17DA"/>
    <w:rsid w:val="008A18EA"/>
    <w:rsid w:val="008A19AF"/>
    <w:rsid w:val="008A1C72"/>
    <w:rsid w:val="008A1DA0"/>
    <w:rsid w:val="008A209E"/>
    <w:rsid w:val="008A2541"/>
    <w:rsid w:val="008A2621"/>
    <w:rsid w:val="008A27A3"/>
    <w:rsid w:val="008A2871"/>
    <w:rsid w:val="008A2973"/>
    <w:rsid w:val="008A3012"/>
    <w:rsid w:val="008A30A8"/>
    <w:rsid w:val="008A3363"/>
    <w:rsid w:val="008A3371"/>
    <w:rsid w:val="008A3AFB"/>
    <w:rsid w:val="008A3C3E"/>
    <w:rsid w:val="008A41AB"/>
    <w:rsid w:val="008A43C6"/>
    <w:rsid w:val="008A4E50"/>
    <w:rsid w:val="008A4EF5"/>
    <w:rsid w:val="008A51DA"/>
    <w:rsid w:val="008A5349"/>
    <w:rsid w:val="008A5731"/>
    <w:rsid w:val="008A5C2A"/>
    <w:rsid w:val="008A5D2A"/>
    <w:rsid w:val="008A5DF1"/>
    <w:rsid w:val="008A6FB1"/>
    <w:rsid w:val="008A733B"/>
    <w:rsid w:val="008A73D0"/>
    <w:rsid w:val="008A7790"/>
    <w:rsid w:val="008A7953"/>
    <w:rsid w:val="008A79DE"/>
    <w:rsid w:val="008A7D2E"/>
    <w:rsid w:val="008B0953"/>
    <w:rsid w:val="008B0ECC"/>
    <w:rsid w:val="008B11F4"/>
    <w:rsid w:val="008B1757"/>
    <w:rsid w:val="008B1788"/>
    <w:rsid w:val="008B18AD"/>
    <w:rsid w:val="008B1D00"/>
    <w:rsid w:val="008B3004"/>
    <w:rsid w:val="008B33BD"/>
    <w:rsid w:val="008B3942"/>
    <w:rsid w:val="008B414D"/>
    <w:rsid w:val="008B4561"/>
    <w:rsid w:val="008B4C2F"/>
    <w:rsid w:val="008B509F"/>
    <w:rsid w:val="008B5585"/>
    <w:rsid w:val="008B5598"/>
    <w:rsid w:val="008B567C"/>
    <w:rsid w:val="008B571C"/>
    <w:rsid w:val="008B674A"/>
    <w:rsid w:val="008B6A2F"/>
    <w:rsid w:val="008B77B6"/>
    <w:rsid w:val="008B78F6"/>
    <w:rsid w:val="008B7903"/>
    <w:rsid w:val="008B7A18"/>
    <w:rsid w:val="008B7D7E"/>
    <w:rsid w:val="008B7F33"/>
    <w:rsid w:val="008C036B"/>
    <w:rsid w:val="008C09B0"/>
    <w:rsid w:val="008C09CC"/>
    <w:rsid w:val="008C0FC7"/>
    <w:rsid w:val="008C133A"/>
    <w:rsid w:val="008C156B"/>
    <w:rsid w:val="008C15A1"/>
    <w:rsid w:val="008C1D6E"/>
    <w:rsid w:val="008C2112"/>
    <w:rsid w:val="008C29C9"/>
    <w:rsid w:val="008C2CD2"/>
    <w:rsid w:val="008C3B34"/>
    <w:rsid w:val="008C3F54"/>
    <w:rsid w:val="008C4114"/>
    <w:rsid w:val="008C45F9"/>
    <w:rsid w:val="008C50E5"/>
    <w:rsid w:val="008C51D9"/>
    <w:rsid w:val="008C5872"/>
    <w:rsid w:val="008C58E0"/>
    <w:rsid w:val="008C5D3D"/>
    <w:rsid w:val="008C5DCA"/>
    <w:rsid w:val="008C5E97"/>
    <w:rsid w:val="008C5F76"/>
    <w:rsid w:val="008C6386"/>
    <w:rsid w:val="008C672E"/>
    <w:rsid w:val="008C6AA0"/>
    <w:rsid w:val="008C6F79"/>
    <w:rsid w:val="008C7219"/>
    <w:rsid w:val="008C7B49"/>
    <w:rsid w:val="008C7B97"/>
    <w:rsid w:val="008C7CA5"/>
    <w:rsid w:val="008C7D0E"/>
    <w:rsid w:val="008C7ECB"/>
    <w:rsid w:val="008D032B"/>
    <w:rsid w:val="008D10A4"/>
    <w:rsid w:val="008D130D"/>
    <w:rsid w:val="008D175F"/>
    <w:rsid w:val="008D19C5"/>
    <w:rsid w:val="008D1A9A"/>
    <w:rsid w:val="008D2267"/>
    <w:rsid w:val="008D3225"/>
    <w:rsid w:val="008D34FD"/>
    <w:rsid w:val="008D3554"/>
    <w:rsid w:val="008D359D"/>
    <w:rsid w:val="008D36D7"/>
    <w:rsid w:val="008D3FA1"/>
    <w:rsid w:val="008D404A"/>
    <w:rsid w:val="008D434B"/>
    <w:rsid w:val="008D4531"/>
    <w:rsid w:val="008D4604"/>
    <w:rsid w:val="008D4755"/>
    <w:rsid w:val="008D477A"/>
    <w:rsid w:val="008D4B57"/>
    <w:rsid w:val="008D4C3D"/>
    <w:rsid w:val="008D5F8F"/>
    <w:rsid w:val="008D612E"/>
    <w:rsid w:val="008D66FE"/>
    <w:rsid w:val="008E09D8"/>
    <w:rsid w:val="008E09FA"/>
    <w:rsid w:val="008E0A7F"/>
    <w:rsid w:val="008E0B50"/>
    <w:rsid w:val="008E0D3C"/>
    <w:rsid w:val="008E0ED8"/>
    <w:rsid w:val="008E1146"/>
    <w:rsid w:val="008E12DC"/>
    <w:rsid w:val="008E1500"/>
    <w:rsid w:val="008E1724"/>
    <w:rsid w:val="008E1B9E"/>
    <w:rsid w:val="008E206F"/>
    <w:rsid w:val="008E207F"/>
    <w:rsid w:val="008E2BC7"/>
    <w:rsid w:val="008E2D7A"/>
    <w:rsid w:val="008E353D"/>
    <w:rsid w:val="008E3F08"/>
    <w:rsid w:val="008E407C"/>
    <w:rsid w:val="008E41E0"/>
    <w:rsid w:val="008E4ED7"/>
    <w:rsid w:val="008E55AB"/>
    <w:rsid w:val="008E55DB"/>
    <w:rsid w:val="008E6881"/>
    <w:rsid w:val="008E6DA1"/>
    <w:rsid w:val="008E6F4F"/>
    <w:rsid w:val="008E6F5E"/>
    <w:rsid w:val="008E7473"/>
    <w:rsid w:val="008E7ABE"/>
    <w:rsid w:val="008F03D7"/>
    <w:rsid w:val="008F07D8"/>
    <w:rsid w:val="008F0D23"/>
    <w:rsid w:val="008F1020"/>
    <w:rsid w:val="008F120A"/>
    <w:rsid w:val="008F13BB"/>
    <w:rsid w:val="008F17F3"/>
    <w:rsid w:val="008F1AE0"/>
    <w:rsid w:val="008F1B70"/>
    <w:rsid w:val="008F1EFE"/>
    <w:rsid w:val="008F23B2"/>
    <w:rsid w:val="008F27E0"/>
    <w:rsid w:val="008F2C8F"/>
    <w:rsid w:val="008F2D2C"/>
    <w:rsid w:val="008F2D38"/>
    <w:rsid w:val="008F2F13"/>
    <w:rsid w:val="008F3B3A"/>
    <w:rsid w:val="008F3D54"/>
    <w:rsid w:val="008F4091"/>
    <w:rsid w:val="008F4477"/>
    <w:rsid w:val="008F44D2"/>
    <w:rsid w:val="008F48EB"/>
    <w:rsid w:val="008F4C25"/>
    <w:rsid w:val="008F4EFF"/>
    <w:rsid w:val="008F4F0B"/>
    <w:rsid w:val="008F5628"/>
    <w:rsid w:val="008F5EC8"/>
    <w:rsid w:val="008F5EEE"/>
    <w:rsid w:val="008F63B4"/>
    <w:rsid w:val="008F6793"/>
    <w:rsid w:val="008F6DFF"/>
    <w:rsid w:val="008F75A6"/>
    <w:rsid w:val="008F76DE"/>
    <w:rsid w:val="008F78A8"/>
    <w:rsid w:val="0090022D"/>
    <w:rsid w:val="009006A8"/>
    <w:rsid w:val="00901E97"/>
    <w:rsid w:val="009022B1"/>
    <w:rsid w:val="0090260D"/>
    <w:rsid w:val="00902816"/>
    <w:rsid w:val="009028E0"/>
    <w:rsid w:val="00902A15"/>
    <w:rsid w:val="00902E9C"/>
    <w:rsid w:val="00903091"/>
    <w:rsid w:val="0090342E"/>
    <w:rsid w:val="0090348A"/>
    <w:rsid w:val="00903D05"/>
    <w:rsid w:val="009040CC"/>
    <w:rsid w:val="0090440F"/>
    <w:rsid w:val="00904511"/>
    <w:rsid w:val="009046C4"/>
    <w:rsid w:val="00904B74"/>
    <w:rsid w:val="00905174"/>
    <w:rsid w:val="00905D02"/>
    <w:rsid w:val="00905D92"/>
    <w:rsid w:val="009062A5"/>
    <w:rsid w:val="00906374"/>
    <w:rsid w:val="009064B8"/>
    <w:rsid w:val="0090671E"/>
    <w:rsid w:val="00906BA1"/>
    <w:rsid w:val="009103A9"/>
    <w:rsid w:val="009105E4"/>
    <w:rsid w:val="009107BC"/>
    <w:rsid w:val="009109DD"/>
    <w:rsid w:val="00910FE3"/>
    <w:rsid w:val="00910FFE"/>
    <w:rsid w:val="0091113E"/>
    <w:rsid w:val="00911272"/>
    <w:rsid w:val="009115B6"/>
    <w:rsid w:val="00911A83"/>
    <w:rsid w:val="00911AC1"/>
    <w:rsid w:val="009122F8"/>
    <w:rsid w:val="00912A20"/>
    <w:rsid w:val="00912D02"/>
    <w:rsid w:val="00913277"/>
    <w:rsid w:val="0091337A"/>
    <w:rsid w:val="009135D6"/>
    <w:rsid w:val="00913ADA"/>
    <w:rsid w:val="00913BE0"/>
    <w:rsid w:val="00914155"/>
    <w:rsid w:val="00914C77"/>
    <w:rsid w:val="0091532D"/>
    <w:rsid w:val="00915556"/>
    <w:rsid w:val="00915BF5"/>
    <w:rsid w:val="00915E29"/>
    <w:rsid w:val="009167AC"/>
    <w:rsid w:val="00917311"/>
    <w:rsid w:val="00917A9B"/>
    <w:rsid w:val="0092061F"/>
    <w:rsid w:val="009213C3"/>
    <w:rsid w:val="00921811"/>
    <w:rsid w:val="009224B7"/>
    <w:rsid w:val="0092273A"/>
    <w:rsid w:val="0092315F"/>
    <w:rsid w:val="00923279"/>
    <w:rsid w:val="0092369B"/>
    <w:rsid w:val="0092388C"/>
    <w:rsid w:val="00923998"/>
    <w:rsid w:val="00924324"/>
    <w:rsid w:val="009251E8"/>
    <w:rsid w:val="00925227"/>
    <w:rsid w:val="009252ED"/>
    <w:rsid w:val="00925FA7"/>
    <w:rsid w:val="00926087"/>
    <w:rsid w:val="009264CF"/>
    <w:rsid w:val="0092652E"/>
    <w:rsid w:val="00926569"/>
    <w:rsid w:val="00926B2C"/>
    <w:rsid w:val="00926D95"/>
    <w:rsid w:val="00927485"/>
    <w:rsid w:val="00927B7D"/>
    <w:rsid w:val="00927DAB"/>
    <w:rsid w:val="00930157"/>
    <w:rsid w:val="009304D8"/>
    <w:rsid w:val="009305AF"/>
    <w:rsid w:val="00930D7C"/>
    <w:rsid w:val="00931B11"/>
    <w:rsid w:val="00931FF3"/>
    <w:rsid w:val="0093387B"/>
    <w:rsid w:val="00933A85"/>
    <w:rsid w:val="00933C3A"/>
    <w:rsid w:val="00934035"/>
    <w:rsid w:val="009347C0"/>
    <w:rsid w:val="00934BF3"/>
    <w:rsid w:val="00935887"/>
    <w:rsid w:val="0093630D"/>
    <w:rsid w:val="00936634"/>
    <w:rsid w:val="00936770"/>
    <w:rsid w:val="00936AD8"/>
    <w:rsid w:val="00936E3D"/>
    <w:rsid w:val="009371FE"/>
    <w:rsid w:val="00937424"/>
    <w:rsid w:val="00937511"/>
    <w:rsid w:val="00937B21"/>
    <w:rsid w:val="009400F8"/>
    <w:rsid w:val="009410D9"/>
    <w:rsid w:val="009411F5"/>
    <w:rsid w:val="0094138D"/>
    <w:rsid w:val="00941550"/>
    <w:rsid w:val="009415FC"/>
    <w:rsid w:val="00941608"/>
    <w:rsid w:val="009421E5"/>
    <w:rsid w:val="00942307"/>
    <w:rsid w:val="00942308"/>
    <w:rsid w:val="00942787"/>
    <w:rsid w:val="00942B9F"/>
    <w:rsid w:val="00943B13"/>
    <w:rsid w:val="00943C0D"/>
    <w:rsid w:val="00943E41"/>
    <w:rsid w:val="00943ED2"/>
    <w:rsid w:val="009440D0"/>
    <w:rsid w:val="009442FC"/>
    <w:rsid w:val="0094443E"/>
    <w:rsid w:val="009448F6"/>
    <w:rsid w:val="00944CDC"/>
    <w:rsid w:val="00944D3D"/>
    <w:rsid w:val="009452CC"/>
    <w:rsid w:val="009456FB"/>
    <w:rsid w:val="00946604"/>
    <w:rsid w:val="009466A3"/>
    <w:rsid w:val="009469F0"/>
    <w:rsid w:val="00946A77"/>
    <w:rsid w:val="00946E28"/>
    <w:rsid w:val="009476C9"/>
    <w:rsid w:val="00947BBF"/>
    <w:rsid w:val="00947C57"/>
    <w:rsid w:val="00947DB6"/>
    <w:rsid w:val="009502FF"/>
    <w:rsid w:val="0095090B"/>
    <w:rsid w:val="009509F1"/>
    <w:rsid w:val="00950CC7"/>
    <w:rsid w:val="0095109C"/>
    <w:rsid w:val="009510A2"/>
    <w:rsid w:val="009510DB"/>
    <w:rsid w:val="0095176B"/>
    <w:rsid w:val="009518EE"/>
    <w:rsid w:val="00951970"/>
    <w:rsid w:val="009525A6"/>
    <w:rsid w:val="00952966"/>
    <w:rsid w:val="00952AD4"/>
    <w:rsid w:val="00952D43"/>
    <w:rsid w:val="00952E39"/>
    <w:rsid w:val="00953257"/>
    <w:rsid w:val="00953BFC"/>
    <w:rsid w:val="00953D95"/>
    <w:rsid w:val="00955325"/>
    <w:rsid w:val="00955778"/>
    <w:rsid w:val="00955AC0"/>
    <w:rsid w:val="00955DB3"/>
    <w:rsid w:val="00955F39"/>
    <w:rsid w:val="00956321"/>
    <w:rsid w:val="00956882"/>
    <w:rsid w:val="00957193"/>
    <w:rsid w:val="00957954"/>
    <w:rsid w:val="00957C3B"/>
    <w:rsid w:val="00957C90"/>
    <w:rsid w:val="00957DA5"/>
    <w:rsid w:val="00960D2C"/>
    <w:rsid w:val="00961465"/>
    <w:rsid w:val="00961F02"/>
    <w:rsid w:val="009621CE"/>
    <w:rsid w:val="0096242A"/>
    <w:rsid w:val="00962CB9"/>
    <w:rsid w:val="00962F98"/>
    <w:rsid w:val="00963F79"/>
    <w:rsid w:val="00964312"/>
    <w:rsid w:val="00964973"/>
    <w:rsid w:val="00965267"/>
    <w:rsid w:val="009655B7"/>
    <w:rsid w:val="0096575B"/>
    <w:rsid w:val="00965B8A"/>
    <w:rsid w:val="00966588"/>
    <w:rsid w:val="00966656"/>
    <w:rsid w:val="009668C3"/>
    <w:rsid w:val="00967A2B"/>
    <w:rsid w:val="00967BAC"/>
    <w:rsid w:val="00967F57"/>
    <w:rsid w:val="00970783"/>
    <w:rsid w:val="00970B6E"/>
    <w:rsid w:val="00971184"/>
    <w:rsid w:val="009715B0"/>
    <w:rsid w:val="009717AC"/>
    <w:rsid w:val="00971816"/>
    <w:rsid w:val="009719A8"/>
    <w:rsid w:val="0097212E"/>
    <w:rsid w:val="009726BF"/>
    <w:rsid w:val="0097338B"/>
    <w:rsid w:val="00973417"/>
    <w:rsid w:val="00973703"/>
    <w:rsid w:val="00973B05"/>
    <w:rsid w:val="00973B5B"/>
    <w:rsid w:val="00973ED9"/>
    <w:rsid w:val="00975001"/>
    <w:rsid w:val="0097517D"/>
    <w:rsid w:val="009756C9"/>
    <w:rsid w:val="00975713"/>
    <w:rsid w:val="009764C9"/>
    <w:rsid w:val="00976850"/>
    <w:rsid w:val="0097708A"/>
    <w:rsid w:val="009774E6"/>
    <w:rsid w:val="00977748"/>
    <w:rsid w:val="00977A2C"/>
    <w:rsid w:val="00980A80"/>
    <w:rsid w:val="00980EB0"/>
    <w:rsid w:val="009829AF"/>
    <w:rsid w:val="00982F78"/>
    <w:rsid w:val="00983C3A"/>
    <w:rsid w:val="00983E57"/>
    <w:rsid w:val="009840E2"/>
    <w:rsid w:val="0098425C"/>
    <w:rsid w:val="009843A5"/>
    <w:rsid w:val="009848F8"/>
    <w:rsid w:val="009849CE"/>
    <w:rsid w:val="00984A75"/>
    <w:rsid w:val="00984D09"/>
    <w:rsid w:val="00984D55"/>
    <w:rsid w:val="00984F7E"/>
    <w:rsid w:val="0098503D"/>
    <w:rsid w:val="00985905"/>
    <w:rsid w:val="00985AD9"/>
    <w:rsid w:val="00985C04"/>
    <w:rsid w:val="00985CDE"/>
    <w:rsid w:val="00985D0B"/>
    <w:rsid w:val="00985FE1"/>
    <w:rsid w:val="009861DB"/>
    <w:rsid w:val="009863D0"/>
    <w:rsid w:val="0098649C"/>
    <w:rsid w:val="0098675D"/>
    <w:rsid w:val="009869E2"/>
    <w:rsid w:val="00986EAA"/>
    <w:rsid w:val="00987281"/>
    <w:rsid w:val="009872E6"/>
    <w:rsid w:val="009875B0"/>
    <w:rsid w:val="0098786A"/>
    <w:rsid w:val="00987DAA"/>
    <w:rsid w:val="00987E40"/>
    <w:rsid w:val="00987F21"/>
    <w:rsid w:val="009900D0"/>
    <w:rsid w:val="009918C6"/>
    <w:rsid w:val="00991DF3"/>
    <w:rsid w:val="009921F0"/>
    <w:rsid w:val="0099237E"/>
    <w:rsid w:val="0099263F"/>
    <w:rsid w:val="00992958"/>
    <w:rsid w:val="009935D2"/>
    <w:rsid w:val="00993D13"/>
    <w:rsid w:val="009942BB"/>
    <w:rsid w:val="00994396"/>
    <w:rsid w:val="0099482F"/>
    <w:rsid w:val="009948A6"/>
    <w:rsid w:val="00994AB6"/>
    <w:rsid w:val="00996B1A"/>
    <w:rsid w:val="009970CC"/>
    <w:rsid w:val="009971B0"/>
    <w:rsid w:val="009971B5"/>
    <w:rsid w:val="00997709"/>
    <w:rsid w:val="0099771A"/>
    <w:rsid w:val="00997FC9"/>
    <w:rsid w:val="009A03C5"/>
    <w:rsid w:val="009A09AA"/>
    <w:rsid w:val="009A0D04"/>
    <w:rsid w:val="009A15FE"/>
    <w:rsid w:val="009A1BC1"/>
    <w:rsid w:val="009A2153"/>
    <w:rsid w:val="009A23E1"/>
    <w:rsid w:val="009A2C30"/>
    <w:rsid w:val="009A2C69"/>
    <w:rsid w:val="009A2F4A"/>
    <w:rsid w:val="009A3180"/>
    <w:rsid w:val="009A46A9"/>
    <w:rsid w:val="009A4BF3"/>
    <w:rsid w:val="009A5022"/>
    <w:rsid w:val="009A5165"/>
    <w:rsid w:val="009A532D"/>
    <w:rsid w:val="009A59BD"/>
    <w:rsid w:val="009A5CF7"/>
    <w:rsid w:val="009A5D15"/>
    <w:rsid w:val="009A5DA8"/>
    <w:rsid w:val="009A6770"/>
    <w:rsid w:val="009A6C80"/>
    <w:rsid w:val="009A70F3"/>
    <w:rsid w:val="009A7DD9"/>
    <w:rsid w:val="009A7EFE"/>
    <w:rsid w:val="009A7F10"/>
    <w:rsid w:val="009B028E"/>
    <w:rsid w:val="009B0A10"/>
    <w:rsid w:val="009B129E"/>
    <w:rsid w:val="009B16B8"/>
    <w:rsid w:val="009B19C6"/>
    <w:rsid w:val="009B1C42"/>
    <w:rsid w:val="009B2C4A"/>
    <w:rsid w:val="009B2CC3"/>
    <w:rsid w:val="009B2F6E"/>
    <w:rsid w:val="009B2FBC"/>
    <w:rsid w:val="009B31D8"/>
    <w:rsid w:val="009B37B6"/>
    <w:rsid w:val="009B3828"/>
    <w:rsid w:val="009B3DE9"/>
    <w:rsid w:val="009B3E26"/>
    <w:rsid w:val="009B3EFE"/>
    <w:rsid w:val="009B4BE8"/>
    <w:rsid w:val="009B5259"/>
    <w:rsid w:val="009B540E"/>
    <w:rsid w:val="009B61B6"/>
    <w:rsid w:val="009B650F"/>
    <w:rsid w:val="009B6EF8"/>
    <w:rsid w:val="009C0067"/>
    <w:rsid w:val="009C04C8"/>
    <w:rsid w:val="009C0DC7"/>
    <w:rsid w:val="009C116F"/>
    <w:rsid w:val="009C16F7"/>
    <w:rsid w:val="009C1FFF"/>
    <w:rsid w:val="009C2D9F"/>
    <w:rsid w:val="009C353E"/>
    <w:rsid w:val="009C3FCD"/>
    <w:rsid w:val="009C4139"/>
    <w:rsid w:val="009C4502"/>
    <w:rsid w:val="009C5026"/>
    <w:rsid w:val="009C5188"/>
    <w:rsid w:val="009C51C5"/>
    <w:rsid w:val="009C58CF"/>
    <w:rsid w:val="009C68DC"/>
    <w:rsid w:val="009C6CEA"/>
    <w:rsid w:val="009C6D81"/>
    <w:rsid w:val="009C6DB3"/>
    <w:rsid w:val="009C7189"/>
    <w:rsid w:val="009C774E"/>
    <w:rsid w:val="009C7B85"/>
    <w:rsid w:val="009D047B"/>
    <w:rsid w:val="009D0995"/>
    <w:rsid w:val="009D0A5D"/>
    <w:rsid w:val="009D10C4"/>
    <w:rsid w:val="009D14FE"/>
    <w:rsid w:val="009D1658"/>
    <w:rsid w:val="009D19BB"/>
    <w:rsid w:val="009D2523"/>
    <w:rsid w:val="009D2A42"/>
    <w:rsid w:val="009D2BCB"/>
    <w:rsid w:val="009D2C33"/>
    <w:rsid w:val="009D312E"/>
    <w:rsid w:val="009D325C"/>
    <w:rsid w:val="009D36DF"/>
    <w:rsid w:val="009D396B"/>
    <w:rsid w:val="009D3CF0"/>
    <w:rsid w:val="009D4006"/>
    <w:rsid w:val="009D4177"/>
    <w:rsid w:val="009D4DF6"/>
    <w:rsid w:val="009D52E7"/>
    <w:rsid w:val="009D593A"/>
    <w:rsid w:val="009D598A"/>
    <w:rsid w:val="009D5B91"/>
    <w:rsid w:val="009D792E"/>
    <w:rsid w:val="009E0DFE"/>
    <w:rsid w:val="009E0E65"/>
    <w:rsid w:val="009E112B"/>
    <w:rsid w:val="009E117D"/>
    <w:rsid w:val="009E17DF"/>
    <w:rsid w:val="009E2537"/>
    <w:rsid w:val="009E2F41"/>
    <w:rsid w:val="009E34B1"/>
    <w:rsid w:val="009E35D2"/>
    <w:rsid w:val="009E392F"/>
    <w:rsid w:val="009E49A8"/>
    <w:rsid w:val="009E4ABC"/>
    <w:rsid w:val="009E4C07"/>
    <w:rsid w:val="009E5013"/>
    <w:rsid w:val="009E5229"/>
    <w:rsid w:val="009E54C1"/>
    <w:rsid w:val="009E557D"/>
    <w:rsid w:val="009E612A"/>
    <w:rsid w:val="009E62BA"/>
    <w:rsid w:val="009E67DE"/>
    <w:rsid w:val="009E6A65"/>
    <w:rsid w:val="009E6F0A"/>
    <w:rsid w:val="009E700A"/>
    <w:rsid w:val="009F0722"/>
    <w:rsid w:val="009F0B1E"/>
    <w:rsid w:val="009F0C20"/>
    <w:rsid w:val="009F0F19"/>
    <w:rsid w:val="009F100C"/>
    <w:rsid w:val="009F11F6"/>
    <w:rsid w:val="009F1F04"/>
    <w:rsid w:val="009F1F30"/>
    <w:rsid w:val="009F22DC"/>
    <w:rsid w:val="009F22E5"/>
    <w:rsid w:val="009F2520"/>
    <w:rsid w:val="009F3ED6"/>
    <w:rsid w:val="009F4029"/>
    <w:rsid w:val="009F4565"/>
    <w:rsid w:val="009F46BB"/>
    <w:rsid w:val="009F4ED3"/>
    <w:rsid w:val="009F4FAC"/>
    <w:rsid w:val="009F5893"/>
    <w:rsid w:val="009F5E7C"/>
    <w:rsid w:val="009F6A42"/>
    <w:rsid w:val="009F6FBA"/>
    <w:rsid w:val="009F7B6D"/>
    <w:rsid w:val="009F7F85"/>
    <w:rsid w:val="00A004C6"/>
    <w:rsid w:val="00A01184"/>
    <w:rsid w:val="00A015CC"/>
    <w:rsid w:val="00A01E81"/>
    <w:rsid w:val="00A02561"/>
    <w:rsid w:val="00A02B36"/>
    <w:rsid w:val="00A033BA"/>
    <w:rsid w:val="00A0399D"/>
    <w:rsid w:val="00A03C81"/>
    <w:rsid w:val="00A03D43"/>
    <w:rsid w:val="00A04033"/>
    <w:rsid w:val="00A04188"/>
    <w:rsid w:val="00A0427B"/>
    <w:rsid w:val="00A04306"/>
    <w:rsid w:val="00A04380"/>
    <w:rsid w:val="00A04483"/>
    <w:rsid w:val="00A04515"/>
    <w:rsid w:val="00A04E70"/>
    <w:rsid w:val="00A05652"/>
    <w:rsid w:val="00A058D1"/>
    <w:rsid w:val="00A05907"/>
    <w:rsid w:val="00A05B1B"/>
    <w:rsid w:val="00A05B94"/>
    <w:rsid w:val="00A06325"/>
    <w:rsid w:val="00A065ED"/>
    <w:rsid w:val="00A06AF7"/>
    <w:rsid w:val="00A0734F"/>
    <w:rsid w:val="00A07360"/>
    <w:rsid w:val="00A07FE0"/>
    <w:rsid w:val="00A10584"/>
    <w:rsid w:val="00A10662"/>
    <w:rsid w:val="00A1071B"/>
    <w:rsid w:val="00A107FD"/>
    <w:rsid w:val="00A10ABC"/>
    <w:rsid w:val="00A10D54"/>
    <w:rsid w:val="00A10DD4"/>
    <w:rsid w:val="00A10F4E"/>
    <w:rsid w:val="00A10FCE"/>
    <w:rsid w:val="00A11046"/>
    <w:rsid w:val="00A11891"/>
    <w:rsid w:val="00A1193C"/>
    <w:rsid w:val="00A11CD0"/>
    <w:rsid w:val="00A12783"/>
    <w:rsid w:val="00A12AA0"/>
    <w:rsid w:val="00A12E12"/>
    <w:rsid w:val="00A12FFD"/>
    <w:rsid w:val="00A1374E"/>
    <w:rsid w:val="00A13948"/>
    <w:rsid w:val="00A13A95"/>
    <w:rsid w:val="00A1400F"/>
    <w:rsid w:val="00A140FB"/>
    <w:rsid w:val="00A14196"/>
    <w:rsid w:val="00A1422E"/>
    <w:rsid w:val="00A1555B"/>
    <w:rsid w:val="00A155C5"/>
    <w:rsid w:val="00A16542"/>
    <w:rsid w:val="00A16AC1"/>
    <w:rsid w:val="00A16AD8"/>
    <w:rsid w:val="00A16B13"/>
    <w:rsid w:val="00A16BAA"/>
    <w:rsid w:val="00A16BF9"/>
    <w:rsid w:val="00A16C8E"/>
    <w:rsid w:val="00A16D0D"/>
    <w:rsid w:val="00A173E9"/>
    <w:rsid w:val="00A1771C"/>
    <w:rsid w:val="00A17AA8"/>
    <w:rsid w:val="00A17B4D"/>
    <w:rsid w:val="00A17B91"/>
    <w:rsid w:val="00A20006"/>
    <w:rsid w:val="00A20C1D"/>
    <w:rsid w:val="00A20C2E"/>
    <w:rsid w:val="00A20F70"/>
    <w:rsid w:val="00A218CE"/>
    <w:rsid w:val="00A21CF3"/>
    <w:rsid w:val="00A221BD"/>
    <w:rsid w:val="00A22260"/>
    <w:rsid w:val="00A2226A"/>
    <w:rsid w:val="00A22425"/>
    <w:rsid w:val="00A2250E"/>
    <w:rsid w:val="00A22FA9"/>
    <w:rsid w:val="00A22FC1"/>
    <w:rsid w:val="00A230E8"/>
    <w:rsid w:val="00A23573"/>
    <w:rsid w:val="00A240C6"/>
    <w:rsid w:val="00A241D9"/>
    <w:rsid w:val="00A24342"/>
    <w:rsid w:val="00A24ECF"/>
    <w:rsid w:val="00A24F2E"/>
    <w:rsid w:val="00A2507E"/>
    <w:rsid w:val="00A25639"/>
    <w:rsid w:val="00A25B24"/>
    <w:rsid w:val="00A25F78"/>
    <w:rsid w:val="00A266B9"/>
    <w:rsid w:val="00A26791"/>
    <w:rsid w:val="00A26AF4"/>
    <w:rsid w:val="00A26E26"/>
    <w:rsid w:val="00A27AEC"/>
    <w:rsid w:val="00A302B3"/>
    <w:rsid w:val="00A304A6"/>
    <w:rsid w:val="00A30566"/>
    <w:rsid w:val="00A30964"/>
    <w:rsid w:val="00A31A1D"/>
    <w:rsid w:val="00A320DB"/>
    <w:rsid w:val="00A32135"/>
    <w:rsid w:val="00A327C1"/>
    <w:rsid w:val="00A33A8A"/>
    <w:rsid w:val="00A344D5"/>
    <w:rsid w:val="00A34A45"/>
    <w:rsid w:val="00A34D42"/>
    <w:rsid w:val="00A3519E"/>
    <w:rsid w:val="00A35ACD"/>
    <w:rsid w:val="00A35D16"/>
    <w:rsid w:val="00A3650D"/>
    <w:rsid w:val="00A36C72"/>
    <w:rsid w:val="00A3707B"/>
    <w:rsid w:val="00A37138"/>
    <w:rsid w:val="00A37233"/>
    <w:rsid w:val="00A37BCD"/>
    <w:rsid w:val="00A37D36"/>
    <w:rsid w:val="00A40891"/>
    <w:rsid w:val="00A40A33"/>
    <w:rsid w:val="00A40B07"/>
    <w:rsid w:val="00A4199C"/>
    <w:rsid w:val="00A41EB8"/>
    <w:rsid w:val="00A4215C"/>
    <w:rsid w:val="00A42329"/>
    <w:rsid w:val="00A42713"/>
    <w:rsid w:val="00A42757"/>
    <w:rsid w:val="00A42AD7"/>
    <w:rsid w:val="00A42D3F"/>
    <w:rsid w:val="00A42FB3"/>
    <w:rsid w:val="00A4339A"/>
    <w:rsid w:val="00A4356E"/>
    <w:rsid w:val="00A43C59"/>
    <w:rsid w:val="00A43C8B"/>
    <w:rsid w:val="00A440DC"/>
    <w:rsid w:val="00A44F42"/>
    <w:rsid w:val="00A46327"/>
    <w:rsid w:val="00A4653A"/>
    <w:rsid w:val="00A46B03"/>
    <w:rsid w:val="00A471A0"/>
    <w:rsid w:val="00A47230"/>
    <w:rsid w:val="00A476EF"/>
    <w:rsid w:val="00A47892"/>
    <w:rsid w:val="00A47B8A"/>
    <w:rsid w:val="00A50214"/>
    <w:rsid w:val="00A50602"/>
    <w:rsid w:val="00A50D3C"/>
    <w:rsid w:val="00A50ECD"/>
    <w:rsid w:val="00A518F3"/>
    <w:rsid w:val="00A51C8C"/>
    <w:rsid w:val="00A5267D"/>
    <w:rsid w:val="00A52729"/>
    <w:rsid w:val="00A528EF"/>
    <w:rsid w:val="00A52B13"/>
    <w:rsid w:val="00A52B9A"/>
    <w:rsid w:val="00A53675"/>
    <w:rsid w:val="00A539D1"/>
    <w:rsid w:val="00A53F2B"/>
    <w:rsid w:val="00A54495"/>
    <w:rsid w:val="00A54A80"/>
    <w:rsid w:val="00A54B98"/>
    <w:rsid w:val="00A551F7"/>
    <w:rsid w:val="00A557C1"/>
    <w:rsid w:val="00A55BBA"/>
    <w:rsid w:val="00A56037"/>
    <w:rsid w:val="00A564D7"/>
    <w:rsid w:val="00A5656A"/>
    <w:rsid w:val="00A56B6A"/>
    <w:rsid w:val="00A5771F"/>
    <w:rsid w:val="00A57855"/>
    <w:rsid w:val="00A578DC"/>
    <w:rsid w:val="00A60390"/>
    <w:rsid w:val="00A60615"/>
    <w:rsid w:val="00A607DD"/>
    <w:rsid w:val="00A607E0"/>
    <w:rsid w:val="00A608B6"/>
    <w:rsid w:val="00A60BF2"/>
    <w:rsid w:val="00A6112E"/>
    <w:rsid w:val="00A6144E"/>
    <w:rsid w:val="00A618D3"/>
    <w:rsid w:val="00A61CD6"/>
    <w:rsid w:val="00A62205"/>
    <w:rsid w:val="00A6240B"/>
    <w:rsid w:val="00A627D0"/>
    <w:rsid w:val="00A62828"/>
    <w:rsid w:val="00A62D79"/>
    <w:rsid w:val="00A63189"/>
    <w:rsid w:val="00A632CD"/>
    <w:rsid w:val="00A64456"/>
    <w:rsid w:val="00A6459E"/>
    <w:rsid w:val="00A64805"/>
    <w:rsid w:val="00A648E6"/>
    <w:rsid w:val="00A64D11"/>
    <w:rsid w:val="00A65AD6"/>
    <w:rsid w:val="00A662F4"/>
    <w:rsid w:val="00A6661A"/>
    <w:rsid w:val="00A666E3"/>
    <w:rsid w:val="00A667D4"/>
    <w:rsid w:val="00A66A86"/>
    <w:rsid w:val="00A671CE"/>
    <w:rsid w:val="00A6725B"/>
    <w:rsid w:val="00A672F0"/>
    <w:rsid w:val="00A673A3"/>
    <w:rsid w:val="00A67917"/>
    <w:rsid w:val="00A67C89"/>
    <w:rsid w:val="00A67F11"/>
    <w:rsid w:val="00A67F2E"/>
    <w:rsid w:val="00A70605"/>
    <w:rsid w:val="00A707B5"/>
    <w:rsid w:val="00A71BAA"/>
    <w:rsid w:val="00A71F50"/>
    <w:rsid w:val="00A72969"/>
    <w:rsid w:val="00A72B18"/>
    <w:rsid w:val="00A73134"/>
    <w:rsid w:val="00A73230"/>
    <w:rsid w:val="00A73361"/>
    <w:rsid w:val="00A73920"/>
    <w:rsid w:val="00A74516"/>
    <w:rsid w:val="00A74AAE"/>
    <w:rsid w:val="00A74E97"/>
    <w:rsid w:val="00A75023"/>
    <w:rsid w:val="00A75947"/>
    <w:rsid w:val="00A75D45"/>
    <w:rsid w:val="00A75DC4"/>
    <w:rsid w:val="00A76462"/>
    <w:rsid w:val="00A76A28"/>
    <w:rsid w:val="00A76D4E"/>
    <w:rsid w:val="00A775A4"/>
    <w:rsid w:val="00A77612"/>
    <w:rsid w:val="00A77658"/>
    <w:rsid w:val="00A777B2"/>
    <w:rsid w:val="00A77975"/>
    <w:rsid w:val="00A77A94"/>
    <w:rsid w:val="00A77AC6"/>
    <w:rsid w:val="00A77EC5"/>
    <w:rsid w:val="00A77F65"/>
    <w:rsid w:val="00A80631"/>
    <w:rsid w:val="00A80911"/>
    <w:rsid w:val="00A80D57"/>
    <w:rsid w:val="00A80FB9"/>
    <w:rsid w:val="00A813B4"/>
    <w:rsid w:val="00A814EC"/>
    <w:rsid w:val="00A81C5E"/>
    <w:rsid w:val="00A81E54"/>
    <w:rsid w:val="00A81E59"/>
    <w:rsid w:val="00A82065"/>
    <w:rsid w:val="00A8228E"/>
    <w:rsid w:val="00A82991"/>
    <w:rsid w:val="00A82EF0"/>
    <w:rsid w:val="00A83222"/>
    <w:rsid w:val="00A841CE"/>
    <w:rsid w:val="00A8463F"/>
    <w:rsid w:val="00A859E5"/>
    <w:rsid w:val="00A85CAE"/>
    <w:rsid w:val="00A862EC"/>
    <w:rsid w:val="00A868C5"/>
    <w:rsid w:val="00A86E8B"/>
    <w:rsid w:val="00A8714A"/>
    <w:rsid w:val="00A87164"/>
    <w:rsid w:val="00A87707"/>
    <w:rsid w:val="00A87892"/>
    <w:rsid w:val="00A878A3"/>
    <w:rsid w:val="00A87952"/>
    <w:rsid w:val="00A87986"/>
    <w:rsid w:val="00A87B14"/>
    <w:rsid w:val="00A90146"/>
    <w:rsid w:val="00A90B6D"/>
    <w:rsid w:val="00A90BDD"/>
    <w:rsid w:val="00A9146F"/>
    <w:rsid w:val="00A91987"/>
    <w:rsid w:val="00A920BD"/>
    <w:rsid w:val="00A92386"/>
    <w:rsid w:val="00A92584"/>
    <w:rsid w:val="00A929F8"/>
    <w:rsid w:val="00A93072"/>
    <w:rsid w:val="00A93289"/>
    <w:rsid w:val="00A9344B"/>
    <w:rsid w:val="00A937ED"/>
    <w:rsid w:val="00A938DF"/>
    <w:rsid w:val="00A93953"/>
    <w:rsid w:val="00A93C9D"/>
    <w:rsid w:val="00A93E6F"/>
    <w:rsid w:val="00A93EFC"/>
    <w:rsid w:val="00A94024"/>
    <w:rsid w:val="00A94BC4"/>
    <w:rsid w:val="00A9506E"/>
    <w:rsid w:val="00A9590F"/>
    <w:rsid w:val="00A959D8"/>
    <w:rsid w:val="00A9627A"/>
    <w:rsid w:val="00A9633F"/>
    <w:rsid w:val="00A96738"/>
    <w:rsid w:val="00A970A5"/>
    <w:rsid w:val="00AA00C9"/>
    <w:rsid w:val="00AA0405"/>
    <w:rsid w:val="00AA0A55"/>
    <w:rsid w:val="00AA0F73"/>
    <w:rsid w:val="00AA113D"/>
    <w:rsid w:val="00AA2066"/>
    <w:rsid w:val="00AA23A7"/>
    <w:rsid w:val="00AA281F"/>
    <w:rsid w:val="00AA2DC3"/>
    <w:rsid w:val="00AA36C6"/>
    <w:rsid w:val="00AA3907"/>
    <w:rsid w:val="00AA3AC9"/>
    <w:rsid w:val="00AA3B32"/>
    <w:rsid w:val="00AA3DF0"/>
    <w:rsid w:val="00AA47CC"/>
    <w:rsid w:val="00AA4F92"/>
    <w:rsid w:val="00AA5408"/>
    <w:rsid w:val="00AA585E"/>
    <w:rsid w:val="00AA5CD2"/>
    <w:rsid w:val="00AA5D8A"/>
    <w:rsid w:val="00AA65F1"/>
    <w:rsid w:val="00AA677F"/>
    <w:rsid w:val="00AA6872"/>
    <w:rsid w:val="00AA6B88"/>
    <w:rsid w:val="00AA6C7D"/>
    <w:rsid w:val="00AA6CB5"/>
    <w:rsid w:val="00AA780C"/>
    <w:rsid w:val="00AA7911"/>
    <w:rsid w:val="00AA7EC2"/>
    <w:rsid w:val="00AA7FD6"/>
    <w:rsid w:val="00AB029B"/>
    <w:rsid w:val="00AB042A"/>
    <w:rsid w:val="00AB07E0"/>
    <w:rsid w:val="00AB0CAA"/>
    <w:rsid w:val="00AB0D46"/>
    <w:rsid w:val="00AB11AB"/>
    <w:rsid w:val="00AB13DF"/>
    <w:rsid w:val="00AB159A"/>
    <w:rsid w:val="00AB1803"/>
    <w:rsid w:val="00AB188B"/>
    <w:rsid w:val="00AB1D5B"/>
    <w:rsid w:val="00AB2B56"/>
    <w:rsid w:val="00AB2D01"/>
    <w:rsid w:val="00AB2D34"/>
    <w:rsid w:val="00AB2E7E"/>
    <w:rsid w:val="00AB2FD5"/>
    <w:rsid w:val="00AB3312"/>
    <w:rsid w:val="00AB335D"/>
    <w:rsid w:val="00AB3430"/>
    <w:rsid w:val="00AB3545"/>
    <w:rsid w:val="00AB3B4F"/>
    <w:rsid w:val="00AB4AD1"/>
    <w:rsid w:val="00AB4BC1"/>
    <w:rsid w:val="00AB4C9D"/>
    <w:rsid w:val="00AB4D5D"/>
    <w:rsid w:val="00AB4F10"/>
    <w:rsid w:val="00AB51B8"/>
    <w:rsid w:val="00AB58E6"/>
    <w:rsid w:val="00AB5ACC"/>
    <w:rsid w:val="00AB5B00"/>
    <w:rsid w:val="00AB5BC9"/>
    <w:rsid w:val="00AB5E13"/>
    <w:rsid w:val="00AB61A0"/>
    <w:rsid w:val="00AB6254"/>
    <w:rsid w:val="00AB6564"/>
    <w:rsid w:val="00AB68B1"/>
    <w:rsid w:val="00AB7CFA"/>
    <w:rsid w:val="00AC0359"/>
    <w:rsid w:val="00AC041A"/>
    <w:rsid w:val="00AC06FE"/>
    <w:rsid w:val="00AC1564"/>
    <w:rsid w:val="00AC2105"/>
    <w:rsid w:val="00AC2CD8"/>
    <w:rsid w:val="00AC2D35"/>
    <w:rsid w:val="00AC30D3"/>
    <w:rsid w:val="00AC3407"/>
    <w:rsid w:val="00AC3AD0"/>
    <w:rsid w:val="00AC3DCE"/>
    <w:rsid w:val="00AC50B6"/>
    <w:rsid w:val="00AC5316"/>
    <w:rsid w:val="00AC5496"/>
    <w:rsid w:val="00AC5B48"/>
    <w:rsid w:val="00AC5D89"/>
    <w:rsid w:val="00AC61DB"/>
    <w:rsid w:val="00AC6228"/>
    <w:rsid w:val="00AC626A"/>
    <w:rsid w:val="00AC68FC"/>
    <w:rsid w:val="00AC6AD7"/>
    <w:rsid w:val="00AC7230"/>
    <w:rsid w:val="00AC7E30"/>
    <w:rsid w:val="00AD00A0"/>
    <w:rsid w:val="00AD0BF7"/>
    <w:rsid w:val="00AD11D0"/>
    <w:rsid w:val="00AD1232"/>
    <w:rsid w:val="00AD12B5"/>
    <w:rsid w:val="00AD14DC"/>
    <w:rsid w:val="00AD1683"/>
    <w:rsid w:val="00AD2226"/>
    <w:rsid w:val="00AD2966"/>
    <w:rsid w:val="00AD2B02"/>
    <w:rsid w:val="00AD2BF5"/>
    <w:rsid w:val="00AD3169"/>
    <w:rsid w:val="00AD3336"/>
    <w:rsid w:val="00AD46C3"/>
    <w:rsid w:val="00AD553F"/>
    <w:rsid w:val="00AD5FBD"/>
    <w:rsid w:val="00AD6070"/>
    <w:rsid w:val="00AD6080"/>
    <w:rsid w:val="00AD60A9"/>
    <w:rsid w:val="00AD60C2"/>
    <w:rsid w:val="00AD6502"/>
    <w:rsid w:val="00AD6601"/>
    <w:rsid w:val="00AD6785"/>
    <w:rsid w:val="00AD67D4"/>
    <w:rsid w:val="00AD6802"/>
    <w:rsid w:val="00AD6E1D"/>
    <w:rsid w:val="00AD6F6A"/>
    <w:rsid w:val="00AD70A7"/>
    <w:rsid w:val="00AD7389"/>
    <w:rsid w:val="00AD749E"/>
    <w:rsid w:val="00AD7776"/>
    <w:rsid w:val="00AD79B4"/>
    <w:rsid w:val="00AD7BB9"/>
    <w:rsid w:val="00AE0266"/>
    <w:rsid w:val="00AE03C9"/>
    <w:rsid w:val="00AE0492"/>
    <w:rsid w:val="00AE14C6"/>
    <w:rsid w:val="00AE1760"/>
    <w:rsid w:val="00AE188C"/>
    <w:rsid w:val="00AE1A15"/>
    <w:rsid w:val="00AE1D56"/>
    <w:rsid w:val="00AE2A17"/>
    <w:rsid w:val="00AE2A59"/>
    <w:rsid w:val="00AE2AF4"/>
    <w:rsid w:val="00AE2FDF"/>
    <w:rsid w:val="00AE3079"/>
    <w:rsid w:val="00AE30BF"/>
    <w:rsid w:val="00AE41C8"/>
    <w:rsid w:val="00AE491C"/>
    <w:rsid w:val="00AE4926"/>
    <w:rsid w:val="00AE4F65"/>
    <w:rsid w:val="00AE5A87"/>
    <w:rsid w:val="00AE604B"/>
    <w:rsid w:val="00AE607F"/>
    <w:rsid w:val="00AE616A"/>
    <w:rsid w:val="00AE6290"/>
    <w:rsid w:val="00AE6371"/>
    <w:rsid w:val="00AE667C"/>
    <w:rsid w:val="00AE6807"/>
    <w:rsid w:val="00AE68A4"/>
    <w:rsid w:val="00AE71FD"/>
    <w:rsid w:val="00AE73C4"/>
    <w:rsid w:val="00AE73F9"/>
    <w:rsid w:val="00AE7425"/>
    <w:rsid w:val="00AE752E"/>
    <w:rsid w:val="00AE7B35"/>
    <w:rsid w:val="00AE7ECC"/>
    <w:rsid w:val="00AF0F2D"/>
    <w:rsid w:val="00AF0F99"/>
    <w:rsid w:val="00AF10AB"/>
    <w:rsid w:val="00AF11B6"/>
    <w:rsid w:val="00AF1315"/>
    <w:rsid w:val="00AF13BE"/>
    <w:rsid w:val="00AF19BF"/>
    <w:rsid w:val="00AF232F"/>
    <w:rsid w:val="00AF2849"/>
    <w:rsid w:val="00AF2D60"/>
    <w:rsid w:val="00AF2DC3"/>
    <w:rsid w:val="00AF4322"/>
    <w:rsid w:val="00AF4927"/>
    <w:rsid w:val="00AF52D1"/>
    <w:rsid w:val="00AF5506"/>
    <w:rsid w:val="00AF5E04"/>
    <w:rsid w:val="00AF628B"/>
    <w:rsid w:val="00AF64B8"/>
    <w:rsid w:val="00AF66B7"/>
    <w:rsid w:val="00AF6A2C"/>
    <w:rsid w:val="00AF6C4D"/>
    <w:rsid w:val="00AF7230"/>
    <w:rsid w:val="00AF7953"/>
    <w:rsid w:val="00AF7E92"/>
    <w:rsid w:val="00B001DC"/>
    <w:rsid w:val="00B005A1"/>
    <w:rsid w:val="00B008DB"/>
    <w:rsid w:val="00B00926"/>
    <w:rsid w:val="00B00A70"/>
    <w:rsid w:val="00B00E61"/>
    <w:rsid w:val="00B00E68"/>
    <w:rsid w:val="00B014E9"/>
    <w:rsid w:val="00B015F9"/>
    <w:rsid w:val="00B01931"/>
    <w:rsid w:val="00B02208"/>
    <w:rsid w:val="00B02229"/>
    <w:rsid w:val="00B02623"/>
    <w:rsid w:val="00B026B3"/>
    <w:rsid w:val="00B026D7"/>
    <w:rsid w:val="00B03105"/>
    <w:rsid w:val="00B0317C"/>
    <w:rsid w:val="00B033E5"/>
    <w:rsid w:val="00B035C6"/>
    <w:rsid w:val="00B0385D"/>
    <w:rsid w:val="00B03A63"/>
    <w:rsid w:val="00B03DC0"/>
    <w:rsid w:val="00B04394"/>
    <w:rsid w:val="00B044BB"/>
    <w:rsid w:val="00B04552"/>
    <w:rsid w:val="00B047F4"/>
    <w:rsid w:val="00B04849"/>
    <w:rsid w:val="00B0485B"/>
    <w:rsid w:val="00B048EB"/>
    <w:rsid w:val="00B04D42"/>
    <w:rsid w:val="00B04DB1"/>
    <w:rsid w:val="00B0585D"/>
    <w:rsid w:val="00B05B83"/>
    <w:rsid w:val="00B05E2F"/>
    <w:rsid w:val="00B05E8F"/>
    <w:rsid w:val="00B06D9E"/>
    <w:rsid w:val="00B06ECE"/>
    <w:rsid w:val="00B071CD"/>
    <w:rsid w:val="00B10059"/>
    <w:rsid w:val="00B10269"/>
    <w:rsid w:val="00B106E1"/>
    <w:rsid w:val="00B10759"/>
    <w:rsid w:val="00B10988"/>
    <w:rsid w:val="00B10D30"/>
    <w:rsid w:val="00B10F88"/>
    <w:rsid w:val="00B114FE"/>
    <w:rsid w:val="00B117EB"/>
    <w:rsid w:val="00B11817"/>
    <w:rsid w:val="00B11DB3"/>
    <w:rsid w:val="00B120F6"/>
    <w:rsid w:val="00B12D20"/>
    <w:rsid w:val="00B12FC3"/>
    <w:rsid w:val="00B13603"/>
    <w:rsid w:val="00B13641"/>
    <w:rsid w:val="00B13852"/>
    <w:rsid w:val="00B13DBA"/>
    <w:rsid w:val="00B1476E"/>
    <w:rsid w:val="00B14904"/>
    <w:rsid w:val="00B14A79"/>
    <w:rsid w:val="00B14C32"/>
    <w:rsid w:val="00B1520E"/>
    <w:rsid w:val="00B1557A"/>
    <w:rsid w:val="00B15766"/>
    <w:rsid w:val="00B15907"/>
    <w:rsid w:val="00B15948"/>
    <w:rsid w:val="00B15BFF"/>
    <w:rsid w:val="00B15C63"/>
    <w:rsid w:val="00B15E95"/>
    <w:rsid w:val="00B162EB"/>
    <w:rsid w:val="00B162F0"/>
    <w:rsid w:val="00B163BF"/>
    <w:rsid w:val="00B16556"/>
    <w:rsid w:val="00B168A2"/>
    <w:rsid w:val="00B168D4"/>
    <w:rsid w:val="00B16A87"/>
    <w:rsid w:val="00B16B13"/>
    <w:rsid w:val="00B16C30"/>
    <w:rsid w:val="00B17023"/>
    <w:rsid w:val="00B177D8"/>
    <w:rsid w:val="00B17A7C"/>
    <w:rsid w:val="00B201A4"/>
    <w:rsid w:val="00B20263"/>
    <w:rsid w:val="00B204B7"/>
    <w:rsid w:val="00B211AC"/>
    <w:rsid w:val="00B213A6"/>
    <w:rsid w:val="00B213D0"/>
    <w:rsid w:val="00B21A23"/>
    <w:rsid w:val="00B21C9F"/>
    <w:rsid w:val="00B21F83"/>
    <w:rsid w:val="00B22E42"/>
    <w:rsid w:val="00B23115"/>
    <w:rsid w:val="00B232AF"/>
    <w:rsid w:val="00B234A9"/>
    <w:rsid w:val="00B235BB"/>
    <w:rsid w:val="00B23A44"/>
    <w:rsid w:val="00B24B15"/>
    <w:rsid w:val="00B24DF6"/>
    <w:rsid w:val="00B250A4"/>
    <w:rsid w:val="00B252C5"/>
    <w:rsid w:val="00B254AE"/>
    <w:rsid w:val="00B255A9"/>
    <w:rsid w:val="00B257C8"/>
    <w:rsid w:val="00B25930"/>
    <w:rsid w:val="00B25A2A"/>
    <w:rsid w:val="00B26644"/>
    <w:rsid w:val="00B266D5"/>
    <w:rsid w:val="00B26854"/>
    <w:rsid w:val="00B278BB"/>
    <w:rsid w:val="00B27B7B"/>
    <w:rsid w:val="00B27D75"/>
    <w:rsid w:val="00B30011"/>
    <w:rsid w:val="00B3028E"/>
    <w:rsid w:val="00B30595"/>
    <w:rsid w:val="00B30AF8"/>
    <w:rsid w:val="00B30D5D"/>
    <w:rsid w:val="00B31406"/>
    <w:rsid w:val="00B31832"/>
    <w:rsid w:val="00B32B97"/>
    <w:rsid w:val="00B32F9F"/>
    <w:rsid w:val="00B33D8D"/>
    <w:rsid w:val="00B342A0"/>
    <w:rsid w:val="00B34B0D"/>
    <w:rsid w:val="00B34E6F"/>
    <w:rsid w:val="00B34EBF"/>
    <w:rsid w:val="00B34F46"/>
    <w:rsid w:val="00B34FE2"/>
    <w:rsid w:val="00B3509D"/>
    <w:rsid w:val="00B353EC"/>
    <w:rsid w:val="00B355D4"/>
    <w:rsid w:val="00B356BD"/>
    <w:rsid w:val="00B357D8"/>
    <w:rsid w:val="00B35DE5"/>
    <w:rsid w:val="00B35DFD"/>
    <w:rsid w:val="00B35FC9"/>
    <w:rsid w:val="00B3609B"/>
    <w:rsid w:val="00B361F0"/>
    <w:rsid w:val="00B36553"/>
    <w:rsid w:val="00B36614"/>
    <w:rsid w:val="00B3693D"/>
    <w:rsid w:val="00B36BD1"/>
    <w:rsid w:val="00B36E15"/>
    <w:rsid w:val="00B376F2"/>
    <w:rsid w:val="00B37739"/>
    <w:rsid w:val="00B37AE3"/>
    <w:rsid w:val="00B37BFC"/>
    <w:rsid w:val="00B40358"/>
    <w:rsid w:val="00B4064C"/>
    <w:rsid w:val="00B409CA"/>
    <w:rsid w:val="00B40B8D"/>
    <w:rsid w:val="00B41614"/>
    <w:rsid w:val="00B41A9D"/>
    <w:rsid w:val="00B41CCC"/>
    <w:rsid w:val="00B42851"/>
    <w:rsid w:val="00B42861"/>
    <w:rsid w:val="00B42F80"/>
    <w:rsid w:val="00B435CB"/>
    <w:rsid w:val="00B43CAF"/>
    <w:rsid w:val="00B43FE7"/>
    <w:rsid w:val="00B44262"/>
    <w:rsid w:val="00B444C1"/>
    <w:rsid w:val="00B444FA"/>
    <w:rsid w:val="00B44924"/>
    <w:rsid w:val="00B44CEA"/>
    <w:rsid w:val="00B4528F"/>
    <w:rsid w:val="00B452AC"/>
    <w:rsid w:val="00B45EBB"/>
    <w:rsid w:val="00B45F62"/>
    <w:rsid w:val="00B46DBB"/>
    <w:rsid w:val="00B470EE"/>
    <w:rsid w:val="00B47C58"/>
    <w:rsid w:val="00B47D6B"/>
    <w:rsid w:val="00B47E21"/>
    <w:rsid w:val="00B47E27"/>
    <w:rsid w:val="00B5021A"/>
    <w:rsid w:val="00B5036C"/>
    <w:rsid w:val="00B505CA"/>
    <w:rsid w:val="00B50619"/>
    <w:rsid w:val="00B5075C"/>
    <w:rsid w:val="00B5083E"/>
    <w:rsid w:val="00B5096D"/>
    <w:rsid w:val="00B50A02"/>
    <w:rsid w:val="00B50DB8"/>
    <w:rsid w:val="00B51813"/>
    <w:rsid w:val="00B51BA4"/>
    <w:rsid w:val="00B520C2"/>
    <w:rsid w:val="00B52E68"/>
    <w:rsid w:val="00B53134"/>
    <w:rsid w:val="00B531CF"/>
    <w:rsid w:val="00B53471"/>
    <w:rsid w:val="00B53654"/>
    <w:rsid w:val="00B53905"/>
    <w:rsid w:val="00B53FA7"/>
    <w:rsid w:val="00B54B5B"/>
    <w:rsid w:val="00B5562E"/>
    <w:rsid w:val="00B558E6"/>
    <w:rsid w:val="00B5593F"/>
    <w:rsid w:val="00B55A0B"/>
    <w:rsid w:val="00B5667D"/>
    <w:rsid w:val="00B56EB0"/>
    <w:rsid w:val="00B57000"/>
    <w:rsid w:val="00B573A5"/>
    <w:rsid w:val="00B57643"/>
    <w:rsid w:val="00B60939"/>
    <w:rsid w:val="00B60AFD"/>
    <w:rsid w:val="00B610B2"/>
    <w:rsid w:val="00B612CC"/>
    <w:rsid w:val="00B6150E"/>
    <w:rsid w:val="00B61694"/>
    <w:rsid w:val="00B61C8B"/>
    <w:rsid w:val="00B61E28"/>
    <w:rsid w:val="00B622F5"/>
    <w:rsid w:val="00B62715"/>
    <w:rsid w:val="00B6277C"/>
    <w:rsid w:val="00B62F65"/>
    <w:rsid w:val="00B62FDA"/>
    <w:rsid w:val="00B63041"/>
    <w:rsid w:val="00B6330D"/>
    <w:rsid w:val="00B6447B"/>
    <w:rsid w:val="00B64487"/>
    <w:rsid w:val="00B648A4"/>
    <w:rsid w:val="00B6491A"/>
    <w:rsid w:val="00B649F2"/>
    <w:rsid w:val="00B64C09"/>
    <w:rsid w:val="00B651A7"/>
    <w:rsid w:val="00B651FE"/>
    <w:rsid w:val="00B65A2B"/>
    <w:rsid w:val="00B65A58"/>
    <w:rsid w:val="00B65D77"/>
    <w:rsid w:val="00B66C3E"/>
    <w:rsid w:val="00B66E7C"/>
    <w:rsid w:val="00B67E00"/>
    <w:rsid w:val="00B67E4E"/>
    <w:rsid w:val="00B707A6"/>
    <w:rsid w:val="00B70A59"/>
    <w:rsid w:val="00B70A96"/>
    <w:rsid w:val="00B70E9D"/>
    <w:rsid w:val="00B713DD"/>
    <w:rsid w:val="00B7140B"/>
    <w:rsid w:val="00B71A41"/>
    <w:rsid w:val="00B71B9C"/>
    <w:rsid w:val="00B72561"/>
    <w:rsid w:val="00B72859"/>
    <w:rsid w:val="00B72922"/>
    <w:rsid w:val="00B72BE9"/>
    <w:rsid w:val="00B73976"/>
    <w:rsid w:val="00B73984"/>
    <w:rsid w:val="00B74AE7"/>
    <w:rsid w:val="00B75320"/>
    <w:rsid w:val="00B755F9"/>
    <w:rsid w:val="00B75621"/>
    <w:rsid w:val="00B75E19"/>
    <w:rsid w:val="00B7620D"/>
    <w:rsid w:val="00B763DD"/>
    <w:rsid w:val="00B7670A"/>
    <w:rsid w:val="00B76936"/>
    <w:rsid w:val="00B7694E"/>
    <w:rsid w:val="00B76B53"/>
    <w:rsid w:val="00B76C34"/>
    <w:rsid w:val="00B76EC0"/>
    <w:rsid w:val="00B77174"/>
    <w:rsid w:val="00B775E7"/>
    <w:rsid w:val="00B77851"/>
    <w:rsid w:val="00B77AD9"/>
    <w:rsid w:val="00B80B58"/>
    <w:rsid w:val="00B80E14"/>
    <w:rsid w:val="00B80F91"/>
    <w:rsid w:val="00B80F9B"/>
    <w:rsid w:val="00B816C6"/>
    <w:rsid w:val="00B818A4"/>
    <w:rsid w:val="00B81AFF"/>
    <w:rsid w:val="00B81C65"/>
    <w:rsid w:val="00B822BE"/>
    <w:rsid w:val="00B82958"/>
    <w:rsid w:val="00B82B28"/>
    <w:rsid w:val="00B82BC5"/>
    <w:rsid w:val="00B82F49"/>
    <w:rsid w:val="00B8360B"/>
    <w:rsid w:val="00B83638"/>
    <w:rsid w:val="00B83655"/>
    <w:rsid w:val="00B84117"/>
    <w:rsid w:val="00B842BF"/>
    <w:rsid w:val="00B8460B"/>
    <w:rsid w:val="00B84688"/>
    <w:rsid w:val="00B849B5"/>
    <w:rsid w:val="00B84C4F"/>
    <w:rsid w:val="00B84C8E"/>
    <w:rsid w:val="00B84CFD"/>
    <w:rsid w:val="00B85688"/>
    <w:rsid w:val="00B85AA2"/>
    <w:rsid w:val="00B85AF3"/>
    <w:rsid w:val="00B86297"/>
    <w:rsid w:val="00B8649C"/>
    <w:rsid w:val="00B868D4"/>
    <w:rsid w:val="00B86BB4"/>
    <w:rsid w:val="00B86FCB"/>
    <w:rsid w:val="00B871AD"/>
    <w:rsid w:val="00B87705"/>
    <w:rsid w:val="00B87D6D"/>
    <w:rsid w:val="00B87F0A"/>
    <w:rsid w:val="00B90213"/>
    <w:rsid w:val="00B9115C"/>
    <w:rsid w:val="00B919E3"/>
    <w:rsid w:val="00B91CB2"/>
    <w:rsid w:val="00B91F1E"/>
    <w:rsid w:val="00B926C9"/>
    <w:rsid w:val="00B92D0B"/>
    <w:rsid w:val="00B92E71"/>
    <w:rsid w:val="00B92E90"/>
    <w:rsid w:val="00B92F6D"/>
    <w:rsid w:val="00B93095"/>
    <w:rsid w:val="00B936CF"/>
    <w:rsid w:val="00B9476F"/>
    <w:rsid w:val="00B94945"/>
    <w:rsid w:val="00B949BD"/>
    <w:rsid w:val="00B94EC6"/>
    <w:rsid w:val="00B951C1"/>
    <w:rsid w:val="00B951CA"/>
    <w:rsid w:val="00B9562F"/>
    <w:rsid w:val="00B9580F"/>
    <w:rsid w:val="00B95AC9"/>
    <w:rsid w:val="00B95B93"/>
    <w:rsid w:val="00B95DDB"/>
    <w:rsid w:val="00B96084"/>
    <w:rsid w:val="00B96555"/>
    <w:rsid w:val="00B9691A"/>
    <w:rsid w:val="00B96AE4"/>
    <w:rsid w:val="00B96FFD"/>
    <w:rsid w:val="00B970E1"/>
    <w:rsid w:val="00B97C89"/>
    <w:rsid w:val="00B97E80"/>
    <w:rsid w:val="00BA0912"/>
    <w:rsid w:val="00BA0CFF"/>
    <w:rsid w:val="00BA0D2D"/>
    <w:rsid w:val="00BA0F67"/>
    <w:rsid w:val="00BA0FA6"/>
    <w:rsid w:val="00BA1ADE"/>
    <w:rsid w:val="00BA206B"/>
    <w:rsid w:val="00BA31DD"/>
    <w:rsid w:val="00BA322D"/>
    <w:rsid w:val="00BA3720"/>
    <w:rsid w:val="00BA386E"/>
    <w:rsid w:val="00BA3984"/>
    <w:rsid w:val="00BA3A6C"/>
    <w:rsid w:val="00BA3EB7"/>
    <w:rsid w:val="00BA42B6"/>
    <w:rsid w:val="00BA4675"/>
    <w:rsid w:val="00BA4DF1"/>
    <w:rsid w:val="00BA4EDE"/>
    <w:rsid w:val="00BA52EE"/>
    <w:rsid w:val="00BA533D"/>
    <w:rsid w:val="00BA619C"/>
    <w:rsid w:val="00BA6724"/>
    <w:rsid w:val="00BA6A51"/>
    <w:rsid w:val="00BA781C"/>
    <w:rsid w:val="00BA7CF1"/>
    <w:rsid w:val="00BB0395"/>
    <w:rsid w:val="00BB03D0"/>
    <w:rsid w:val="00BB0A69"/>
    <w:rsid w:val="00BB0BDD"/>
    <w:rsid w:val="00BB0FD4"/>
    <w:rsid w:val="00BB108C"/>
    <w:rsid w:val="00BB10E2"/>
    <w:rsid w:val="00BB10F1"/>
    <w:rsid w:val="00BB136E"/>
    <w:rsid w:val="00BB15B6"/>
    <w:rsid w:val="00BB1BFE"/>
    <w:rsid w:val="00BB1C1E"/>
    <w:rsid w:val="00BB1E37"/>
    <w:rsid w:val="00BB22E1"/>
    <w:rsid w:val="00BB256C"/>
    <w:rsid w:val="00BB2A73"/>
    <w:rsid w:val="00BB2B2A"/>
    <w:rsid w:val="00BB2D0C"/>
    <w:rsid w:val="00BB2F30"/>
    <w:rsid w:val="00BB3300"/>
    <w:rsid w:val="00BB3ABD"/>
    <w:rsid w:val="00BB3E1E"/>
    <w:rsid w:val="00BB3F2F"/>
    <w:rsid w:val="00BB3FB1"/>
    <w:rsid w:val="00BB3FB6"/>
    <w:rsid w:val="00BB3FC3"/>
    <w:rsid w:val="00BB4139"/>
    <w:rsid w:val="00BB4252"/>
    <w:rsid w:val="00BB4A3A"/>
    <w:rsid w:val="00BB4ACC"/>
    <w:rsid w:val="00BB4CFD"/>
    <w:rsid w:val="00BB4DCD"/>
    <w:rsid w:val="00BB5004"/>
    <w:rsid w:val="00BB527E"/>
    <w:rsid w:val="00BB528E"/>
    <w:rsid w:val="00BB5330"/>
    <w:rsid w:val="00BB5B60"/>
    <w:rsid w:val="00BB60DB"/>
    <w:rsid w:val="00BB61CB"/>
    <w:rsid w:val="00BB642C"/>
    <w:rsid w:val="00BB65C0"/>
    <w:rsid w:val="00BB66C2"/>
    <w:rsid w:val="00BB6A4C"/>
    <w:rsid w:val="00BB6E96"/>
    <w:rsid w:val="00BB6E9E"/>
    <w:rsid w:val="00BB7023"/>
    <w:rsid w:val="00BB703E"/>
    <w:rsid w:val="00BB7205"/>
    <w:rsid w:val="00BB7405"/>
    <w:rsid w:val="00BB7766"/>
    <w:rsid w:val="00BB7ECC"/>
    <w:rsid w:val="00BB7F6B"/>
    <w:rsid w:val="00BB7FB4"/>
    <w:rsid w:val="00BC0092"/>
    <w:rsid w:val="00BC06B0"/>
    <w:rsid w:val="00BC0CBB"/>
    <w:rsid w:val="00BC10F0"/>
    <w:rsid w:val="00BC1297"/>
    <w:rsid w:val="00BC1B7C"/>
    <w:rsid w:val="00BC1DC0"/>
    <w:rsid w:val="00BC1EC6"/>
    <w:rsid w:val="00BC2A2E"/>
    <w:rsid w:val="00BC3015"/>
    <w:rsid w:val="00BC3631"/>
    <w:rsid w:val="00BC3632"/>
    <w:rsid w:val="00BC3720"/>
    <w:rsid w:val="00BC37CC"/>
    <w:rsid w:val="00BC3A49"/>
    <w:rsid w:val="00BC3AEF"/>
    <w:rsid w:val="00BC422D"/>
    <w:rsid w:val="00BC4B22"/>
    <w:rsid w:val="00BC4B29"/>
    <w:rsid w:val="00BC4E58"/>
    <w:rsid w:val="00BC5EFD"/>
    <w:rsid w:val="00BC5F6E"/>
    <w:rsid w:val="00BC612B"/>
    <w:rsid w:val="00BC65FB"/>
    <w:rsid w:val="00BC6A49"/>
    <w:rsid w:val="00BC6BBB"/>
    <w:rsid w:val="00BC6EDC"/>
    <w:rsid w:val="00BC78E1"/>
    <w:rsid w:val="00BC7CA3"/>
    <w:rsid w:val="00BD0684"/>
    <w:rsid w:val="00BD09A2"/>
    <w:rsid w:val="00BD0C36"/>
    <w:rsid w:val="00BD0DB8"/>
    <w:rsid w:val="00BD12DA"/>
    <w:rsid w:val="00BD140F"/>
    <w:rsid w:val="00BD1BA1"/>
    <w:rsid w:val="00BD1D4C"/>
    <w:rsid w:val="00BD2055"/>
    <w:rsid w:val="00BD2691"/>
    <w:rsid w:val="00BD2A46"/>
    <w:rsid w:val="00BD2D51"/>
    <w:rsid w:val="00BD3056"/>
    <w:rsid w:val="00BD3379"/>
    <w:rsid w:val="00BD34F0"/>
    <w:rsid w:val="00BD3EB1"/>
    <w:rsid w:val="00BD44FA"/>
    <w:rsid w:val="00BD4DDB"/>
    <w:rsid w:val="00BD5032"/>
    <w:rsid w:val="00BD596D"/>
    <w:rsid w:val="00BD5E05"/>
    <w:rsid w:val="00BD5FA9"/>
    <w:rsid w:val="00BD6035"/>
    <w:rsid w:val="00BD6393"/>
    <w:rsid w:val="00BD6430"/>
    <w:rsid w:val="00BD66F5"/>
    <w:rsid w:val="00BD6716"/>
    <w:rsid w:val="00BD6718"/>
    <w:rsid w:val="00BD678F"/>
    <w:rsid w:val="00BD68A3"/>
    <w:rsid w:val="00BD6903"/>
    <w:rsid w:val="00BD6938"/>
    <w:rsid w:val="00BD6CF3"/>
    <w:rsid w:val="00BD6FD2"/>
    <w:rsid w:val="00BD7A2D"/>
    <w:rsid w:val="00BD7D14"/>
    <w:rsid w:val="00BE01FF"/>
    <w:rsid w:val="00BE0D72"/>
    <w:rsid w:val="00BE0F3D"/>
    <w:rsid w:val="00BE10B3"/>
    <w:rsid w:val="00BE1197"/>
    <w:rsid w:val="00BE11CF"/>
    <w:rsid w:val="00BE1458"/>
    <w:rsid w:val="00BE2129"/>
    <w:rsid w:val="00BE2180"/>
    <w:rsid w:val="00BE21F2"/>
    <w:rsid w:val="00BE233B"/>
    <w:rsid w:val="00BE24D7"/>
    <w:rsid w:val="00BE25F8"/>
    <w:rsid w:val="00BE2DA9"/>
    <w:rsid w:val="00BE3377"/>
    <w:rsid w:val="00BE3405"/>
    <w:rsid w:val="00BE412E"/>
    <w:rsid w:val="00BE4275"/>
    <w:rsid w:val="00BE441E"/>
    <w:rsid w:val="00BE49ED"/>
    <w:rsid w:val="00BE4F30"/>
    <w:rsid w:val="00BE59A6"/>
    <w:rsid w:val="00BE5E3F"/>
    <w:rsid w:val="00BE6244"/>
    <w:rsid w:val="00BE6519"/>
    <w:rsid w:val="00BE65D5"/>
    <w:rsid w:val="00BE6D47"/>
    <w:rsid w:val="00BE6D95"/>
    <w:rsid w:val="00BE77C7"/>
    <w:rsid w:val="00BE7886"/>
    <w:rsid w:val="00BE7987"/>
    <w:rsid w:val="00BE7B83"/>
    <w:rsid w:val="00BF090E"/>
    <w:rsid w:val="00BF0F95"/>
    <w:rsid w:val="00BF1A53"/>
    <w:rsid w:val="00BF1C55"/>
    <w:rsid w:val="00BF1DBB"/>
    <w:rsid w:val="00BF1FF5"/>
    <w:rsid w:val="00BF2433"/>
    <w:rsid w:val="00BF27A2"/>
    <w:rsid w:val="00BF2DD8"/>
    <w:rsid w:val="00BF2E56"/>
    <w:rsid w:val="00BF4284"/>
    <w:rsid w:val="00BF42AD"/>
    <w:rsid w:val="00BF4478"/>
    <w:rsid w:val="00BF4707"/>
    <w:rsid w:val="00BF4964"/>
    <w:rsid w:val="00BF4DE0"/>
    <w:rsid w:val="00BF520F"/>
    <w:rsid w:val="00BF58DD"/>
    <w:rsid w:val="00BF59C1"/>
    <w:rsid w:val="00BF61C9"/>
    <w:rsid w:val="00BF6A00"/>
    <w:rsid w:val="00BF6BA9"/>
    <w:rsid w:val="00BF6C94"/>
    <w:rsid w:val="00BF6D50"/>
    <w:rsid w:val="00BF70A8"/>
    <w:rsid w:val="00BF7469"/>
    <w:rsid w:val="00BF7EC0"/>
    <w:rsid w:val="00BF7EC2"/>
    <w:rsid w:val="00BF7ED3"/>
    <w:rsid w:val="00C00424"/>
    <w:rsid w:val="00C0069A"/>
    <w:rsid w:val="00C008AD"/>
    <w:rsid w:val="00C00FC4"/>
    <w:rsid w:val="00C01156"/>
    <w:rsid w:val="00C01543"/>
    <w:rsid w:val="00C015FB"/>
    <w:rsid w:val="00C01A63"/>
    <w:rsid w:val="00C01B1F"/>
    <w:rsid w:val="00C01B45"/>
    <w:rsid w:val="00C02014"/>
    <w:rsid w:val="00C02446"/>
    <w:rsid w:val="00C025D6"/>
    <w:rsid w:val="00C02635"/>
    <w:rsid w:val="00C02B68"/>
    <w:rsid w:val="00C02BAD"/>
    <w:rsid w:val="00C037F3"/>
    <w:rsid w:val="00C03B4B"/>
    <w:rsid w:val="00C04263"/>
    <w:rsid w:val="00C04487"/>
    <w:rsid w:val="00C044E4"/>
    <w:rsid w:val="00C04550"/>
    <w:rsid w:val="00C04A35"/>
    <w:rsid w:val="00C04A54"/>
    <w:rsid w:val="00C04AB2"/>
    <w:rsid w:val="00C055D9"/>
    <w:rsid w:val="00C05B6A"/>
    <w:rsid w:val="00C05D6C"/>
    <w:rsid w:val="00C06092"/>
    <w:rsid w:val="00C06176"/>
    <w:rsid w:val="00C06687"/>
    <w:rsid w:val="00C067A4"/>
    <w:rsid w:val="00C068FF"/>
    <w:rsid w:val="00C0792B"/>
    <w:rsid w:val="00C07983"/>
    <w:rsid w:val="00C07BE5"/>
    <w:rsid w:val="00C07E39"/>
    <w:rsid w:val="00C07FD6"/>
    <w:rsid w:val="00C100B9"/>
    <w:rsid w:val="00C1019B"/>
    <w:rsid w:val="00C1025E"/>
    <w:rsid w:val="00C110E9"/>
    <w:rsid w:val="00C11247"/>
    <w:rsid w:val="00C11307"/>
    <w:rsid w:val="00C116F0"/>
    <w:rsid w:val="00C11C1E"/>
    <w:rsid w:val="00C11C4B"/>
    <w:rsid w:val="00C11D9D"/>
    <w:rsid w:val="00C12129"/>
    <w:rsid w:val="00C121EE"/>
    <w:rsid w:val="00C12232"/>
    <w:rsid w:val="00C12C14"/>
    <w:rsid w:val="00C12E69"/>
    <w:rsid w:val="00C13165"/>
    <w:rsid w:val="00C13B92"/>
    <w:rsid w:val="00C13C8F"/>
    <w:rsid w:val="00C145CF"/>
    <w:rsid w:val="00C146F9"/>
    <w:rsid w:val="00C159F5"/>
    <w:rsid w:val="00C16668"/>
    <w:rsid w:val="00C169E8"/>
    <w:rsid w:val="00C170DD"/>
    <w:rsid w:val="00C1762C"/>
    <w:rsid w:val="00C17D0F"/>
    <w:rsid w:val="00C17FB7"/>
    <w:rsid w:val="00C200AA"/>
    <w:rsid w:val="00C205E3"/>
    <w:rsid w:val="00C20BBA"/>
    <w:rsid w:val="00C20BE0"/>
    <w:rsid w:val="00C2118D"/>
    <w:rsid w:val="00C21A77"/>
    <w:rsid w:val="00C21C0C"/>
    <w:rsid w:val="00C21E5D"/>
    <w:rsid w:val="00C21F01"/>
    <w:rsid w:val="00C220FE"/>
    <w:rsid w:val="00C221AC"/>
    <w:rsid w:val="00C22560"/>
    <w:rsid w:val="00C22A6C"/>
    <w:rsid w:val="00C22C49"/>
    <w:rsid w:val="00C22D43"/>
    <w:rsid w:val="00C237ED"/>
    <w:rsid w:val="00C2410F"/>
    <w:rsid w:val="00C2454B"/>
    <w:rsid w:val="00C24632"/>
    <w:rsid w:val="00C247AB"/>
    <w:rsid w:val="00C24976"/>
    <w:rsid w:val="00C24A89"/>
    <w:rsid w:val="00C24F09"/>
    <w:rsid w:val="00C25418"/>
    <w:rsid w:val="00C25B9F"/>
    <w:rsid w:val="00C25C24"/>
    <w:rsid w:val="00C25D9C"/>
    <w:rsid w:val="00C25E7A"/>
    <w:rsid w:val="00C26405"/>
    <w:rsid w:val="00C2656A"/>
    <w:rsid w:val="00C268E8"/>
    <w:rsid w:val="00C27076"/>
    <w:rsid w:val="00C27176"/>
    <w:rsid w:val="00C272A6"/>
    <w:rsid w:val="00C27428"/>
    <w:rsid w:val="00C27438"/>
    <w:rsid w:val="00C2778B"/>
    <w:rsid w:val="00C2798E"/>
    <w:rsid w:val="00C27C48"/>
    <w:rsid w:val="00C27C4B"/>
    <w:rsid w:val="00C27D1E"/>
    <w:rsid w:val="00C3004E"/>
    <w:rsid w:val="00C30197"/>
    <w:rsid w:val="00C3032B"/>
    <w:rsid w:val="00C30330"/>
    <w:rsid w:val="00C3059A"/>
    <w:rsid w:val="00C30946"/>
    <w:rsid w:val="00C31649"/>
    <w:rsid w:val="00C323D5"/>
    <w:rsid w:val="00C32545"/>
    <w:rsid w:val="00C326F0"/>
    <w:rsid w:val="00C32C9E"/>
    <w:rsid w:val="00C32D0D"/>
    <w:rsid w:val="00C32F48"/>
    <w:rsid w:val="00C3330A"/>
    <w:rsid w:val="00C335BD"/>
    <w:rsid w:val="00C33C21"/>
    <w:rsid w:val="00C33F4C"/>
    <w:rsid w:val="00C3402E"/>
    <w:rsid w:val="00C3516F"/>
    <w:rsid w:val="00C352C8"/>
    <w:rsid w:val="00C353BF"/>
    <w:rsid w:val="00C355EF"/>
    <w:rsid w:val="00C35601"/>
    <w:rsid w:val="00C35F69"/>
    <w:rsid w:val="00C36E82"/>
    <w:rsid w:val="00C36FDF"/>
    <w:rsid w:val="00C37397"/>
    <w:rsid w:val="00C37550"/>
    <w:rsid w:val="00C37A4A"/>
    <w:rsid w:val="00C37B17"/>
    <w:rsid w:val="00C37CA8"/>
    <w:rsid w:val="00C37E48"/>
    <w:rsid w:val="00C40385"/>
    <w:rsid w:val="00C404D5"/>
    <w:rsid w:val="00C405E2"/>
    <w:rsid w:val="00C4096B"/>
    <w:rsid w:val="00C40B81"/>
    <w:rsid w:val="00C40F86"/>
    <w:rsid w:val="00C415F2"/>
    <w:rsid w:val="00C42D13"/>
    <w:rsid w:val="00C439A2"/>
    <w:rsid w:val="00C43B02"/>
    <w:rsid w:val="00C43C11"/>
    <w:rsid w:val="00C43D23"/>
    <w:rsid w:val="00C441D7"/>
    <w:rsid w:val="00C44B4D"/>
    <w:rsid w:val="00C45AC1"/>
    <w:rsid w:val="00C46F3A"/>
    <w:rsid w:val="00C4715E"/>
    <w:rsid w:val="00C475AA"/>
    <w:rsid w:val="00C47B92"/>
    <w:rsid w:val="00C5008B"/>
    <w:rsid w:val="00C507E5"/>
    <w:rsid w:val="00C50EE0"/>
    <w:rsid w:val="00C5164B"/>
    <w:rsid w:val="00C51AE2"/>
    <w:rsid w:val="00C51B07"/>
    <w:rsid w:val="00C51F8C"/>
    <w:rsid w:val="00C526C3"/>
    <w:rsid w:val="00C52894"/>
    <w:rsid w:val="00C5299B"/>
    <w:rsid w:val="00C52E56"/>
    <w:rsid w:val="00C5368F"/>
    <w:rsid w:val="00C53766"/>
    <w:rsid w:val="00C53B19"/>
    <w:rsid w:val="00C54595"/>
    <w:rsid w:val="00C54643"/>
    <w:rsid w:val="00C546C1"/>
    <w:rsid w:val="00C54941"/>
    <w:rsid w:val="00C54F57"/>
    <w:rsid w:val="00C551EC"/>
    <w:rsid w:val="00C553F9"/>
    <w:rsid w:val="00C554DB"/>
    <w:rsid w:val="00C55D9D"/>
    <w:rsid w:val="00C56186"/>
    <w:rsid w:val="00C56353"/>
    <w:rsid w:val="00C568DD"/>
    <w:rsid w:val="00C56918"/>
    <w:rsid w:val="00C56A11"/>
    <w:rsid w:val="00C56D92"/>
    <w:rsid w:val="00C57071"/>
    <w:rsid w:val="00C5789A"/>
    <w:rsid w:val="00C57A29"/>
    <w:rsid w:val="00C57C0D"/>
    <w:rsid w:val="00C57F54"/>
    <w:rsid w:val="00C60305"/>
    <w:rsid w:val="00C60870"/>
    <w:rsid w:val="00C61633"/>
    <w:rsid w:val="00C61A91"/>
    <w:rsid w:val="00C61D53"/>
    <w:rsid w:val="00C62352"/>
    <w:rsid w:val="00C629BB"/>
    <w:rsid w:val="00C62BC5"/>
    <w:rsid w:val="00C62D2C"/>
    <w:rsid w:val="00C62D7F"/>
    <w:rsid w:val="00C62E74"/>
    <w:rsid w:val="00C6310C"/>
    <w:rsid w:val="00C63E1E"/>
    <w:rsid w:val="00C63E1F"/>
    <w:rsid w:val="00C64171"/>
    <w:rsid w:val="00C6425A"/>
    <w:rsid w:val="00C65576"/>
    <w:rsid w:val="00C65843"/>
    <w:rsid w:val="00C65A12"/>
    <w:rsid w:val="00C66165"/>
    <w:rsid w:val="00C66D38"/>
    <w:rsid w:val="00C66D40"/>
    <w:rsid w:val="00C66E35"/>
    <w:rsid w:val="00C674F0"/>
    <w:rsid w:val="00C67948"/>
    <w:rsid w:val="00C702B4"/>
    <w:rsid w:val="00C70DD8"/>
    <w:rsid w:val="00C7151A"/>
    <w:rsid w:val="00C71E61"/>
    <w:rsid w:val="00C71F60"/>
    <w:rsid w:val="00C71F6B"/>
    <w:rsid w:val="00C72241"/>
    <w:rsid w:val="00C725E4"/>
    <w:rsid w:val="00C72EF3"/>
    <w:rsid w:val="00C73D35"/>
    <w:rsid w:val="00C741F3"/>
    <w:rsid w:val="00C742A8"/>
    <w:rsid w:val="00C74305"/>
    <w:rsid w:val="00C74814"/>
    <w:rsid w:val="00C74CC1"/>
    <w:rsid w:val="00C750C8"/>
    <w:rsid w:val="00C751E7"/>
    <w:rsid w:val="00C7522A"/>
    <w:rsid w:val="00C7560F"/>
    <w:rsid w:val="00C75BA5"/>
    <w:rsid w:val="00C75BD4"/>
    <w:rsid w:val="00C75C02"/>
    <w:rsid w:val="00C76BD3"/>
    <w:rsid w:val="00C770E6"/>
    <w:rsid w:val="00C77306"/>
    <w:rsid w:val="00C7747B"/>
    <w:rsid w:val="00C77493"/>
    <w:rsid w:val="00C7749D"/>
    <w:rsid w:val="00C77657"/>
    <w:rsid w:val="00C776CA"/>
    <w:rsid w:val="00C77C29"/>
    <w:rsid w:val="00C8027A"/>
    <w:rsid w:val="00C802A4"/>
    <w:rsid w:val="00C80A0E"/>
    <w:rsid w:val="00C80C5A"/>
    <w:rsid w:val="00C81504"/>
    <w:rsid w:val="00C8213F"/>
    <w:rsid w:val="00C822B3"/>
    <w:rsid w:val="00C82591"/>
    <w:rsid w:val="00C82BC1"/>
    <w:rsid w:val="00C82E62"/>
    <w:rsid w:val="00C83469"/>
    <w:rsid w:val="00C845FB"/>
    <w:rsid w:val="00C85275"/>
    <w:rsid w:val="00C852C3"/>
    <w:rsid w:val="00C85517"/>
    <w:rsid w:val="00C85782"/>
    <w:rsid w:val="00C857D4"/>
    <w:rsid w:val="00C85C05"/>
    <w:rsid w:val="00C85EEE"/>
    <w:rsid w:val="00C867E1"/>
    <w:rsid w:val="00C86996"/>
    <w:rsid w:val="00C86B66"/>
    <w:rsid w:val="00C87226"/>
    <w:rsid w:val="00C87663"/>
    <w:rsid w:val="00C8789C"/>
    <w:rsid w:val="00C8797A"/>
    <w:rsid w:val="00C900B8"/>
    <w:rsid w:val="00C905F1"/>
    <w:rsid w:val="00C90C71"/>
    <w:rsid w:val="00C922BA"/>
    <w:rsid w:val="00C9239A"/>
    <w:rsid w:val="00C92707"/>
    <w:rsid w:val="00C92888"/>
    <w:rsid w:val="00C92B43"/>
    <w:rsid w:val="00C92FBC"/>
    <w:rsid w:val="00C931CF"/>
    <w:rsid w:val="00C933CB"/>
    <w:rsid w:val="00C938CF"/>
    <w:rsid w:val="00C93E0A"/>
    <w:rsid w:val="00C9445D"/>
    <w:rsid w:val="00C959A0"/>
    <w:rsid w:val="00C95C48"/>
    <w:rsid w:val="00C95C6D"/>
    <w:rsid w:val="00C95DC0"/>
    <w:rsid w:val="00C95DD4"/>
    <w:rsid w:val="00C95F31"/>
    <w:rsid w:val="00C96088"/>
    <w:rsid w:val="00C960B9"/>
    <w:rsid w:val="00C961A8"/>
    <w:rsid w:val="00C9624D"/>
    <w:rsid w:val="00C96790"/>
    <w:rsid w:val="00C969DA"/>
    <w:rsid w:val="00C96C3C"/>
    <w:rsid w:val="00C96ED1"/>
    <w:rsid w:val="00C9727B"/>
    <w:rsid w:val="00C97C59"/>
    <w:rsid w:val="00CA03ED"/>
    <w:rsid w:val="00CA05B5"/>
    <w:rsid w:val="00CA0A61"/>
    <w:rsid w:val="00CA0E9D"/>
    <w:rsid w:val="00CA1100"/>
    <w:rsid w:val="00CA11B2"/>
    <w:rsid w:val="00CA1A57"/>
    <w:rsid w:val="00CA1B5A"/>
    <w:rsid w:val="00CA1DBD"/>
    <w:rsid w:val="00CA1E44"/>
    <w:rsid w:val="00CA2082"/>
    <w:rsid w:val="00CA21C6"/>
    <w:rsid w:val="00CA24AF"/>
    <w:rsid w:val="00CA29BC"/>
    <w:rsid w:val="00CA2B26"/>
    <w:rsid w:val="00CA2C77"/>
    <w:rsid w:val="00CA3409"/>
    <w:rsid w:val="00CA34C2"/>
    <w:rsid w:val="00CA4126"/>
    <w:rsid w:val="00CA444F"/>
    <w:rsid w:val="00CA4AB8"/>
    <w:rsid w:val="00CA4D00"/>
    <w:rsid w:val="00CA4DF2"/>
    <w:rsid w:val="00CA4E4C"/>
    <w:rsid w:val="00CA5045"/>
    <w:rsid w:val="00CA5245"/>
    <w:rsid w:val="00CA5BAC"/>
    <w:rsid w:val="00CA67C4"/>
    <w:rsid w:val="00CA6C7C"/>
    <w:rsid w:val="00CA71F4"/>
    <w:rsid w:val="00CA720F"/>
    <w:rsid w:val="00CA7A35"/>
    <w:rsid w:val="00CA7B09"/>
    <w:rsid w:val="00CA7CA3"/>
    <w:rsid w:val="00CB05FA"/>
    <w:rsid w:val="00CB0633"/>
    <w:rsid w:val="00CB0837"/>
    <w:rsid w:val="00CB098A"/>
    <w:rsid w:val="00CB0EF7"/>
    <w:rsid w:val="00CB2061"/>
    <w:rsid w:val="00CB2180"/>
    <w:rsid w:val="00CB2705"/>
    <w:rsid w:val="00CB2900"/>
    <w:rsid w:val="00CB2DEC"/>
    <w:rsid w:val="00CB2F2A"/>
    <w:rsid w:val="00CB2F9C"/>
    <w:rsid w:val="00CB318E"/>
    <w:rsid w:val="00CB342D"/>
    <w:rsid w:val="00CB36FF"/>
    <w:rsid w:val="00CB3B41"/>
    <w:rsid w:val="00CB4479"/>
    <w:rsid w:val="00CB4926"/>
    <w:rsid w:val="00CB4A8F"/>
    <w:rsid w:val="00CB4AA1"/>
    <w:rsid w:val="00CB4DDB"/>
    <w:rsid w:val="00CB519F"/>
    <w:rsid w:val="00CB5252"/>
    <w:rsid w:val="00CB52D6"/>
    <w:rsid w:val="00CB544F"/>
    <w:rsid w:val="00CB54F5"/>
    <w:rsid w:val="00CB5A62"/>
    <w:rsid w:val="00CB5B1A"/>
    <w:rsid w:val="00CB6192"/>
    <w:rsid w:val="00CB64E7"/>
    <w:rsid w:val="00CB6B22"/>
    <w:rsid w:val="00CB6E55"/>
    <w:rsid w:val="00CB700E"/>
    <w:rsid w:val="00CB7133"/>
    <w:rsid w:val="00CB746E"/>
    <w:rsid w:val="00CB74A4"/>
    <w:rsid w:val="00CB7BAC"/>
    <w:rsid w:val="00CB7F12"/>
    <w:rsid w:val="00CB7F5F"/>
    <w:rsid w:val="00CC07DB"/>
    <w:rsid w:val="00CC0D2C"/>
    <w:rsid w:val="00CC1622"/>
    <w:rsid w:val="00CC1B39"/>
    <w:rsid w:val="00CC1E6D"/>
    <w:rsid w:val="00CC2497"/>
    <w:rsid w:val="00CC2570"/>
    <w:rsid w:val="00CC2578"/>
    <w:rsid w:val="00CC2AE4"/>
    <w:rsid w:val="00CC2D90"/>
    <w:rsid w:val="00CC2E2D"/>
    <w:rsid w:val="00CC3557"/>
    <w:rsid w:val="00CC3576"/>
    <w:rsid w:val="00CC35F7"/>
    <w:rsid w:val="00CC38DC"/>
    <w:rsid w:val="00CC3B00"/>
    <w:rsid w:val="00CC3F68"/>
    <w:rsid w:val="00CC4334"/>
    <w:rsid w:val="00CC48A6"/>
    <w:rsid w:val="00CC4ACA"/>
    <w:rsid w:val="00CC4C4E"/>
    <w:rsid w:val="00CC502E"/>
    <w:rsid w:val="00CC51A5"/>
    <w:rsid w:val="00CC61C3"/>
    <w:rsid w:val="00CC6497"/>
    <w:rsid w:val="00CC69DF"/>
    <w:rsid w:val="00CC6A32"/>
    <w:rsid w:val="00CC6F7A"/>
    <w:rsid w:val="00CC79B4"/>
    <w:rsid w:val="00CC79FD"/>
    <w:rsid w:val="00CC7B4E"/>
    <w:rsid w:val="00CD0148"/>
    <w:rsid w:val="00CD08F5"/>
    <w:rsid w:val="00CD10BB"/>
    <w:rsid w:val="00CD1198"/>
    <w:rsid w:val="00CD1287"/>
    <w:rsid w:val="00CD1A23"/>
    <w:rsid w:val="00CD1AB5"/>
    <w:rsid w:val="00CD1B6E"/>
    <w:rsid w:val="00CD29CD"/>
    <w:rsid w:val="00CD2DD8"/>
    <w:rsid w:val="00CD30B7"/>
    <w:rsid w:val="00CD335D"/>
    <w:rsid w:val="00CD3659"/>
    <w:rsid w:val="00CD3C91"/>
    <w:rsid w:val="00CD406E"/>
    <w:rsid w:val="00CD4101"/>
    <w:rsid w:val="00CD43AC"/>
    <w:rsid w:val="00CD4917"/>
    <w:rsid w:val="00CD4C83"/>
    <w:rsid w:val="00CD518D"/>
    <w:rsid w:val="00CD5352"/>
    <w:rsid w:val="00CD5BBA"/>
    <w:rsid w:val="00CD5D82"/>
    <w:rsid w:val="00CD5E34"/>
    <w:rsid w:val="00CD5F75"/>
    <w:rsid w:val="00CD635A"/>
    <w:rsid w:val="00CD6ADC"/>
    <w:rsid w:val="00CD72E5"/>
    <w:rsid w:val="00CD7F38"/>
    <w:rsid w:val="00CE04F2"/>
    <w:rsid w:val="00CE0C75"/>
    <w:rsid w:val="00CE15F0"/>
    <w:rsid w:val="00CE16E5"/>
    <w:rsid w:val="00CE1AC9"/>
    <w:rsid w:val="00CE1D93"/>
    <w:rsid w:val="00CE22A9"/>
    <w:rsid w:val="00CE237D"/>
    <w:rsid w:val="00CE25C8"/>
    <w:rsid w:val="00CE25CC"/>
    <w:rsid w:val="00CE2CE5"/>
    <w:rsid w:val="00CE2DFA"/>
    <w:rsid w:val="00CE3068"/>
    <w:rsid w:val="00CE4657"/>
    <w:rsid w:val="00CE4709"/>
    <w:rsid w:val="00CE4B3F"/>
    <w:rsid w:val="00CE503A"/>
    <w:rsid w:val="00CE5520"/>
    <w:rsid w:val="00CE5525"/>
    <w:rsid w:val="00CE60A5"/>
    <w:rsid w:val="00CE60A9"/>
    <w:rsid w:val="00CE6274"/>
    <w:rsid w:val="00CE64D2"/>
    <w:rsid w:val="00CE6732"/>
    <w:rsid w:val="00CE6DC8"/>
    <w:rsid w:val="00CE7185"/>
    <w:rsid w:val="00CE7932"/>
    <w:rsid w:val="00CE7AB3"/>
    <w:rsid w:val="00CE7CB1"/>
    <w:rsid w:val="00CF0C48"/>
    <w:rsid w:val="00CF10C9"/>
    <w:rsid w:val="00CF1159"/>
    <w:rsid w:val="00CF15A4"/>
    <w:rsid w:val="00CF1870"/>
    <w:rsid w:val="00CF195B"/>
    <w:rsid w:val="00CF1BED"/>
    <w:rsid w:val="00CF24C3"/>
    <w:rsid w:val="00CF26BE"/>
    <w:rsid w:val="00CF28BC"/>
    <w:rsid w:val="00CF2B8D"/>
    <w:rsid w:val="00CF355C"/>
    <w:rsid w:val="00CF3BE2"/>
    <w:rsid w:val="00CF404D"/>
    <w:rsid w:val="00CF4061"/>
    <w:rsid w:val="00CF40DA"/>
    <w:rsid w:val="00CF456B"/>
    <w:rsid w:val="00CF46B0"/>
    <w:rsid w:val="00CF4BF0"/>
    <w:rsid w:val="00CF5149"/>
    <w:rsid w:val="00CF51F7"/>
    <w:rsid w:val="00CF54E2"/>
    <w:rsid w:val="00CF5A22"/>
    <w:rsid w:val="00CF5B7D"/>
    <w:rsid w:val="00CF5BD9"/>
    <w:rsid w:val="00CF5BFA"/>
    <w:rsid w:val="00CF5CDD"/>
    <w:rsid w:val="00CF6413"/>
    <w:rsid w:val="00CF6436"/>
    <w:rsid w:val="00CF6C91"/>
    <w:rsid w:val="00CF729D"/>
    <w:rsid w:val="00CF79B8"/>
    <w:rsid w:val="00D00D54"/>
    <w:rsid w:val="00D0169B"/>
    <w:rsid w:val="00D020B8"/>
    <w:rsid w:val="00D022FA"/>
    <w:rsid w:val="00D0262E"/>
    <w:rsid w:val="00D02BCE"/>
    <w:rsid w:val="00D02EB2"/>
    <w:rsid w:val="00D034C0"/>
    <w:rsid w:val="00D038E3"/>
    <w:rsid w:val="00D05B3E"/>
    <w:rsid w:val="00D06706"/>
    <w:rsid w:val="00D068A6"/>
    <w:rsid w:val="00D072D3"/>
    <w:rsid w:val="00D10657"/>
    <w:rsid w:val="00D10CAD"/>
    <w:rsid w:val="00D10FE4"/>
    <w:rsid w:val="00D110BD"/>
    <w:rsid w:val="00D1165C"/>
    <w:rsid w:val="00D118B6"/>
    <w:rsid w:val="00D11CFD"/>
    <w:rsid w:val="00D11E10"/>
    <w:rsid w:val="00D121E8"/>
    <w:rsid w:val="00D1235D"/>
    <w:rsid w:val="00D1270F"/>
    <w:rsid w:val="00D127CA"/>
    <w:rsid w:val="00D12A12"/>
    <w:rsid w:val="00D12C40"/>
    <w:rsid w:val="00D13675"/>
    <w:rsid w:val="00D13A7F"/>
    <w:rsid w:val="00D13A88"/>
    <w:rsid w:val="00D13DE9"/>
    <w:rsid w:val="00D1401F"/>
    <w:rsid w:val="00D14061"/>
    <w:rsid w:val="00D1417D"/>
    <w:rsid w:val="00D141E1"/>
    <w:rsid w:val="00D142C7"/>
    <w:rsid w:val="00D14355"/>
    <w:rsid w:val="00D14DDE"/>
    <w:rsid w:val="00D159FB"/>
    <w:rsid w:val="00D1651C"/>
    <w:rsid w:val="00D16813"/>
    <w:rsid w:val="00D16AB3"/>
    <w:rsid w:val="00D16FE0"/>
    <w:rsid w:val="00D1707F"/>
    <w:rsid w:val="00D17909"/>
    <w:rsid w:val="00D17C64"/>
    <w:rsid w:val="00D17D6C"/>
    <w:rsid w:val="00D2025A"/>
    <w:rsid w:val="00D20611"/>
    <w:rsid w:val="00D2062B"/>
    <w:rsid w:val="00D2062D"/>
    <w:rsid w:val="00D20C5A"/>
    <w:rsid w:val="00D20DC8"/>
    <w:rsid w:val="00D20F18"/>
    <w:rsid w:val="00D22964"/>
    <w:rsid w:val="00D2301D"/>
    <w:rsid w:val="00D2303B"/>
    <w:rsid w:val="00D230F8"/>
    <w:rsid w:val="00D232A4"/>
    <w:rsid w:val="00D232AD"/>
    <w:rsid w:val="00D23848"/>
    <w:rsid w:val="00D23C32"/>
    <w:rsid w:val="00D24643"/>
    <w:rsid w:val="00D24BD4"/>
    <w:rsid w:val="00D2754D"/>
    <w:rsid w:val="00D27B22"/>
    <w:rsid w:val="00D27B27"/>
    <w:rsid w:val="00D27C58"/>
    <w:rsid w:val="00D27E04"/>
    <w:rsid w:val="00D27F13"/>
    <w:rsid w:val="00D3065B"/>
    <w:rsid w:val="00D3086A"/>
    <w:rsid w:val="00D30882"/>
    <w:rsid w:val="00D309B4"/>
    <w:rsid w:val="00D309BE"/>
    <w:rsid w:val="00D3197F"/>
    <w:rsid w:val="00D32267"/>
    <w:rsid w:val="00D32714"/>
    <w:rsid w:val="00D328A8"/>
    <w:rsid w:val="00D329DC"/>
    <w:rsid w:val="00D32C87"/>
    <w:rsid w:val="00D32F76"/>
    <w:rsid w:val="00D334E4"/>
    <w:rsid w:val="00D33BE9"/>
    <w:rsid w:val="00D33CA4"/>
    <w:rsid w:val="00D342D7"/>
    <w:rsid w:val="00D34390"/>
    <w:rsid w:val="00D354F7"/>
    <w:rsid w:val="00D355ED"/>
    <w:rsid w:val="00D357FF"/>
    <w:rsid w:val="00D359CF"/>
    <w:rsid w:val="00D35E7B"/>
    <w:rsid w:val="00D36044"/>
    <w:rsid w:val="00D36385"/>
    <w:rsid w:val="00D36805"/>
    <w:rsid w:val="00D36A6E"/>
    <w:rsid w:val="00D36F9D"/>
    <w:rsid w:val="00D3727B"/>
    <w:rsid w:val="00D37984"/>
    <w:rsid w:val="00D37A9E"/>
    <w:rsid w:val="00D37F11"/>
    <w:rsid w:val="00D407A6"/>
    <w:rsid w:val="00D408A2"/>
    <w:rsid w:val="00D40B6F"/>
    <w:rsid w:val="00D41367"/>
    <w:rsid w:val="00D41EE1"/>
    <w:rsid w:val="00D41FBA"/>
    <w:rsid w:val="00D4214A"/>
    <w:rsid w:val="00D42331"/>
    <w:rsid w:val="00D424C7"/>
    <w:rsid w:val="00D42586"/>
    <w:rsid w:val="00D428BC"/>
    <w:rsid w:val="00D42ECE"/>
    <w:rsid w:val="00D430B7"/>
    <w:rsid w:val="00D4352D"/>
    <w:rsid w:val="00D435BA"/>
    <w:rsid w:val="00D435C3"/>
    <w:rsid w:val="00D438A7"/>
    <w:rsid w:val="00D439FD"/>
    <w:rsid w:val="00D43A02"/>
    <w:rsid w:val="00D43B2A"/>
    <w:rsid w:val="00D43DE8"/>
    <w:rsid w:val="00D43E43"/>
    <w:rsid w:val="00D44A8D"/>
    <w:rsid w:val="00D45424"/>
    <w:rsid w:val="00D45465"/>
    <w:rsid w:val="00D455F0"/>
    <w:rsid w:val="00D4581C"/>
    <w:rsid w:val="00D45EF6"/>
    <w:rsid w:val="00D460A8"/>
    <w:rsid w:val="00D462D1"/>
    <w:rsid w:val="00D465E8"/>
    <w:rsid w:val="00D465FD"/>
    <w:rsid w:val="00D46752"/>
    <w:rsid w:val="00D467FF"/>
    <w:rsid w:val="00D46DDC"/>
    <w:rsid w:val="00D46F80"/>
    <w:rsid w:val="00D47539"/>
    <w:rsid w:val="00D47575"/>
    <w:rsid w:val="00D4762F"/>
    <w:rsid w:val="00D47D0B"/>
    <w:rsid w:val="00D500FE"/>
    <w:rsid w:val="00D501F3"/>
    <w:rsid w:val="00D5020D"/>
    <w:rsid w:val="00D50E53"/>
    <w:rsid w:val="00D512BC"/>
    <w:rsid w:val="00D51685"/>
    <w:rsid w:val="00D5169E"/>
    <w:rsid w:val="00D52422"/>
    <w:rsid w:val="00D52A81"/>
    <w:rsid w:val="00D53393"/>
    <w:rsid w:val="00D53519"/>
    <w:rsid w:val="00D53924"/>
    <w:rsid w:val="00D53E2C"/>
    <w:rsid w:val="00D53E93"/>
    <w:rsid w:val="00D5449F"/>
    <w:rsid w:val="00D54A49"/>
    <w:rsid w:val="00D54BB9"/>
    <w:rsid w:val="00D54DFA"/>
    <w:rsid w:val="00D5581F"/>
    <w:rsid w:val="00D558EC"/>
    <w:rsid w:val="00D55E3E"/>
    <w:rsid w:val="00D56C7F"/>
    <w:rsid w:val="00D56CE7"/>
    <w:rsid w:val="00D56E62"/>
    <w:rsid w:val="00D57663"/>
    <w:rsid w:val="00D57DD5"/>
    <w:rsid w:val="00D57DE5"/>
    <w:rsid w:val="00D57E2B"/>
    <w:rsid w:val="00D60341"/>
    <w:rsid w:val="00D60A06"/>
    <w:rsid w:val="00D61009"/>
    <w:rsid w:val="00D613A3"/>
    <w:rsid w:val="00D613BA"/>
    <w:rsid w:val="00D61695"/>
    <w:rsid w:val="00D616C6"/>
    <w:rsid w:val="00D61745"/>
    <w:rsid w:val="00D61822"/>
    <w:rsid w:val="00D61A20"/>
    <w:rsid w:val="00D6216A"/>
    <w:rsid w:val="00D62420"/>
    <w:rsid w:val="00D62907"/>
    <w:rsid w:val="00D62A3B"/>
    <w:rsid w:val="00D62B0C"/>
    <w:rsid w:val="00D62B4D"/>
    <w:rsid w:val="00D62F9E"/>
    <w:rsid w:val="00D631BA"/>
    <w:rsid w:val="00D632E7"/>
    <w:rsid w:val="00D6432A"/>
    <w:rsid w:val="00D645F4"/>
    <w:rsid w:val="00D64CCD"/>
    <w:rsid w:val="00D652B0"/>
    <w:rsid w:val="00D655EE"/>
    <w:rsid w:val="00D65A20"/>
    <w:rsid w:val="00D65B54"/>
    <w:rsid w:val="00D660AC"/>
    <w:rsid w:val="00D66289"/>
    <w:rsid w:val="00D66A3D"/>
    <w:rsid w:val="00D66AF5"/>
    <w:rsid w:val="00D66B86"/>
    <w:rsid w:val="00D66DF0"/>
    <w:rsid w:val="00D6713D"/>
    <w:rsid w:val="00D67371"/>
    <w:rsid w:val="00D674B2"/>
    <w:rsid w:val="00D675BB"/>
    <w:rsid w:val="00D70F16"/>
    <w:rsid w:val="00D70F5C"/>
    <w:rsid w:val="00D7198C"/>
    <w:rsid w:val="00D7235D"/>
    <w:rsid w:val="00D7238F"/>
    <w:rsid w:val="00D7259C"/>
    <w:rsid w:val="00D726F4"/>
    <w:rsid w:val="00D728F7"/>
    <w:rsid w:val="00D72965"/>
    <w:rsid w:val="00D72CA6"/>
    <w:rsid w:val="00D73289"/>
    <w:rsid w:val="00D7363B"/>
    <w:rsid w:val="00D73792"/>
    <w:rsid w:val="00D73B9A"/>
    <w:rsid w:val="00D7415F"/>
    <w:rsid w:val="00D742DB"/>
    <w:rsid w:val="00D74857"/>
    <w:rsid w:val="00D7485D"/>
    <w:rsid w:val="00D74B5A"/>
    <w:rsid w:val="00D74B92"/>
    <w:rsid w:val="00D750CE"/>
    <w:rsid w:val="00D75559"/>
    <w:rsid w:val="00D75B25"/>
    <w:rsid w:val="00D75B96"/>
    <w:rsid w:val="00D767D8"/>
    <w:rsid w:val="00D76A44"/>
    <w:rsid w:val="00D76C62"/>
    <w:rsid w:val="00D76D55"/>
    <w:rsid w:val="00D76DDC"/>
    <w:rsid w:val="00D77C28"/>
    <w:rsid w:val="00D77CF4"/>
    <w:rsid w:val="00D8041C"/>
    <w:rsid w:val="00D80425"/>
    <w:rsid w:val="00D806F2"/>
    <w:rsid w:val="00D80E2E"/>
    <w:rsid w:val="00D80E9C"/>
    <w:rsid w:val="00D813F6"/>
    <w:rsid w:val="00D815EF"/>
    <w:rsid w:val="00D81681"/>
    <w:rsid w:val="00D8185E"/>
    <w:rsid w:val="00D81DC0"/>
    <w:rsid w:val="00D81ED8"/>
    <w:rsid w:val="00D8251C"/>
    <w:rsid w:val="00D82774"/>
    <w:rsid w:val="00D82B04"/>
    <w:rsid w:val="00D82C0A"/>
    <w:rsid w:val="00D82C15"/>
    <w:rsid w:val="00D82F8E"/>
    <w:rsid w:val="00D83365"/>
    <w:rsid w:val="00D83436"/>
    <w:rsid w:val="00D83795"/>
    <w:rsid w:val="00D83DBE"/>
    <w:rsid w:val="00D83FEB"/>
    <w:rsid w:val="00D8452A"/>
    <w:rsid w:val="00D84636"/>
    <w:rsid w:val="00D84835"/>
    <w:rsid w:val="00D84B36"/>
    <w:rsid w:val="00D84E7D"/>
    <w:rsid w:val="00D85577"/>
    <w:rsid w:val="00D855F4"/>
    <w:rsid w:val="00D85A3D"/>
    <w:rsid w:val="00D85B55"/>
    <w:rsid w:val="00D86218"/>
    <w:rsid w:val="00D8663A"/>
    <w:rsid w:val="00D86A38"/>
    <w:rsid w:val="00D86C14"/>
    <w:rsid w:val="00D87C27"/>
    <w:rsid w:val="00D87E02"/>
    <w:rsid w:val="00D901CD"/>
    <w:rsid w:val="00D90705"/>
    <w:rsid w:val="00D90D2B"/>
    <w:rsid w:val="00D913A7"/>
    <w:rsid w:val="00D916B1"/>
    <w:rsid w:val="00D91711"/>
    <w:rsid w:val="00D91715"/>
    <w:rsid w:val="00D91923"/>
    <w:rsid w:val="00D92522"/>
    <w:rsid w:val="00D92A07"/>
    <w:rsid w:val="00D92A4D"/>
    <w:rsid w:val="00D92D67"/>
    <w:rsid w:val="00D9371F"/>
    <w:rsid w:val="00D93753"/>
    <w:rsid w:val="00D93A3D"/>
    <w:rsid w:val="00D93B8B"/>
    <w:rsid w:val="00D93EDC"/>
    <w:rsid w:val="00D943AF"/>
    <w:rsid w:val="00D94608"/>
    <w:rsid w:val="00D94832"/>
    <w:rsid w:val="00D94F7B"/>
    <w:rsid w:val="00D95466"/>
    <w:rsid w:val="00D95617"/>
    <w:rsid w:val="00D95737"/>
    <w:rsid w:val="00D95DD7"/>
    <w:rsid w:val="00D96084"/>
    <w:rsid w:val="00D965D3"/>
    <w:rsid w:val="00D96715"/>
    <w:rsid w:val="00D96880"/>
    <w:rsid w:val="00D97342"/>
    <w:rsid w:val="00D973F9"/>
    <w:rsid w:val="00D9740C"/>
    <w:rsid w:val="00D97410"/>
    <w:rsid w:val="00D978D5"/>
    <w:rsid w:val="00D97CC4"/>
    <w:rsid w:val="00D97EB6"/>
    <w:rsid w:val="00DA0373"/>
    <w:rsid w:val="00DA03F5"/>
    <w:rsid w:val="00DA0567"/>
    <w:rsid w:val="00DA09F9"/>
    <w:rsid w:val="00DA0B34"/>
    <w:rsid w:val="00DA1332"/>
    <w:rsid w:val="00DA13E2"/>
    <w:rsid w:val="00DA1A92"/>
    <w:rsid w:val="00DA1C14"/>
    <w:rsid w:val="00DA2267"/>
    <w:rsid w:val="00DA2733"/>
    <w:rsid w:val="00DA3167"/>
    <w:rsid w:val="00DA346D"/>
    <w:rsid w:val="00DA3553"/>
    <w:rsid w:val="00DA3AD6"/>
    <w:rsid w:val="00DA3F53"/>
    <w:rsid w:val="00DA47D7"/>
    <w:rsid w:val="00DA4930"/>
    <w:rsid w:val="00DA4DC3"/>
    <w:rsid w:val="00DA5588"/>
    <w:rsid w:val="00DA580D"/>
    <w:rsid w:val="00DA5D79"/>
    <w:rsid w:val="00DA6677"/>
    <w:rsid w:val="00DA6B24"/>
    <w:rsid w:val="00DA6CD1"/>
    <w:rsid w:val="00DA6F67"/>
    <w:rsid w:val="00DA6F76"/>
    <w:rsid w:val="00DA76CD"/>
    <w:rsid w:val="00DA77A5"/>
    <w:rsid w:val="00DA7A4F"/>
    <w:rsid w:val="00DA7AEA"/>
    <w:rsid w:val="00DB06B4"/>
    <w:rsid w:val="00DB15A2"/>
    <w:rsid w:val="00DB1B4C"/>
    <w:rsid w:val="00DB2081"/>
    <w:rsid w:val="00DB2362"/>
    <w:rsid w:val="00DB2674"/>
    <w:rsid w:val="00DB2CD7"/>
    <w:rsid w:val="00DB36F1"/>
    <w:rsid w:val="00DB40DC"/>
    <w:rsid w:val="00DB415C"/>
    <w:rsid w:val="00DB415F"/>
    <w:rsid w:val="00DB41F4"/>
    <w:rsid w:val="00DB4590"/>
    <w:rsid w:val="00DB473A"/>
    <w:rsid w:val="00DB484F"/>
    <w:rsid w:val="00DB4D9A"/>
    <w:rsid w:val="00DB4DA7"/>
    <w:rsid w:val="00DB4F6C"/>
    <w:rsid w:val="00DB5A91"/>
    <w:rsid w:val="00DB5C45"/>
    <w:rsid w:val="00DB5D94"/>
    <w:rsid w:val="00DB5FC8"/>
    <w:rsid w:val="00DB6438"/>
    <w:rsid w:val="00DB6B9E"/>
    <w:rsid w:val="00DB6D37"/>
    <w:rsid w:val="00DB6DA9"/>
    <w:rsid w:val="00DB6F24"/>
    <w:rsid w:val="00DC0176"/>
    <w:rsid w:val="00DC0480"/>
    <w:rsid w:val="00DC04F6"/>
    <w:rsid w:val="00DC078D"/>
    <w:rsid w:val="00DC0A27"/>
    <w:rsid w:val="00DC0AB6"/>
    <w:rsid w:val="00DC1160"/>
    <w:rsid w:val="00DC158F"/>
    <w:rsid w:val="00DC1F75"/>
    <w:rsid w:val="00DC2097"/>
    <w:rsid w:val="00DC2127"/>
    <w:rsid w:val="00DC22D2"/>
    <w:rsid w:val="00DC30DC"/>
    <w:rsid w:val="00DC3463"/>
    <w:rsid w:val="00DC35FB"/>
    <w:rsid w:val="00DC380F"/>
    <w:rsid w:val="00DC3833"/>
    <w:rsid w:val="00DC3914"/>
    <w:rsid w:val="00DC3A8A"/>
    <w:rsid w:val="00DC3AD3"/>
    <w:rsid w:val="00DC3B5A"/>
    <w:rsid w:val="00DC3C57"/>
    <w:rsid w:val="00DC3FF5"/>
    <w:rsid w:val="00DC4A1D"/>
    <w:rsid w:val="00DC54CB"/>
    <w:rsid w:val="00DC5501"/>
    <w:rsid w:val="00DC5882"/>
    <w:rsid w:val="00DC5EDF"/>
    <w:rsid w:val="00DC60DA"/>
    <w:rsid w:val="00DC66FC"/>
    <w:rsid w:val="00DC691C"/>
    <w:rsid w:val="00DC6E57"/>
    <w:rsid w:val="00DC76B2"/>
    <w:rsid w:val="00DC773E"/>
    <w:rsid w:val="00DC797E"/>
    <w:rsid w:val="00DC7F71"/>
    <w:rsid w:val="00DD0098"/>
    <w:rsid w:val="00DD03FC"/>
    <w:rsid w:val="00DD09F8"/>
    <w:rsid w:val="00DD0E5F"/>
    <w:rsid w:val="00DD0F8B"/>
    <w:rsid w:val="00DD1C14"/>
    <w:rsid w:val="00DD1CCA"/>
    <w:rsid w:val="00DD1D90"/>
    <w:rsid w:val="00DD1E4C"/>
    <w:rsid w:val="00DD2541"/>
    <w:rsid w:val="00DD273C"/>
    <w:rsid w:val="00DD2BFE"/>
    <w:rsid w:val="00DD3048"/>
    <w:rsid w:val="00DD3223"/>
    <w:rsid w:val="00DD33B7"/>
    <w:rsid w:val="00DD3671"/>
    <w:rsid w:val="00DD38F3"/>
    <w:rsid w:val="00DD3993"/>
    <w:rsid w:val="00DD3F28"/>
    <w:rsid w:val="00DD4220"/>
    <w:rsid w:val="00DD4537"/>
    <w:rsid w:val="00DD45F0"/>
    <w:rsid w:val="00DD48F4"/>
    <w:rsid w:val="00DD4E15"/>
    <w:rsid w:val="00DD5438"/>
    <w:rsid w:val="00DD5551"/>
    <w:rsid w:val="00DD56FB"/>
    <w:rsid w:val="00DD5851"/>
    <w:rsid w:val="00DD6309"/>
    <w:rsid w:val="00DD7443"/>
    <w:rsid w:val="00DD7A5C"/>
    <w:rsid w:val="00DE004C"/>
    <w:rsid w:val="00DE009F"/>
    <w:rsid w:val="00DE00C5"/>
    <w:rsid w:val="00DE04B9"/>
    <w:rsid w:val="00DE06FC"/>
    <w:rsid w:val="00DE08C5"/>
    <w:rsid w:val="00DE0A76"/>
    <w:rsid w:val="00DE0CE0"/>
    <w:rsid w:val="00DE0E95"/>
    <w:rsid w:val="00DE0F6E"/>
    <w:rsid w:val="00DE16E8"/>
    <w:rsid w:val="00DE187A"/>
    <w:rsid w:val="00DE1AA1"/>
    <w:rsid w:val="00DE26BF"/>
    <w:rsid w:val="00DE2E90"/>
    <w:rsid w:val="00DE2F54"/>
    <w:rsid w:val="00DE3138"/>
    <w:rsid w:val="00DE31EA"/>
    <w:rsid w:val="00DE3799"/>
    <w:rsid w:val="00DE37F8"/>
    <w:rsid w:val="00DE3A60"/>
    <w:rsid w:val="00DE3A91"/>
    <w:rsid w:val="00DE3DE6"/>
    <w:rsid w:val="00DE3F48"/>
    <w:rsid w:val="00DE4174"/>
    <w:rsid w:val="00DE4679"/>
    <w:rsid w:val="00DE4816"/>
    <w:rsid w:val="00DE4FA8"/>
    <w:rsid w:val="00DE4FCB"/>
    <w:rsid w:val="00DE5396"/>
    <w:rsid w:val="00DE5C97"/>
    <w:rsid w:val="00DE5D76"/>
    <w:rsid w:val="00DE5E2F"/>
    <w:rsid w:val="00DE63F4"/>
    <w:rsid w:val="00DE67C6"/>
    <w:rsid w:val="00DE69CD"/>
    <w:rsid w:val="00DE6A84"/>
    <w:rsid w:val="00DE7832"/>
    <w:rsid w:val="00DE7C87"/>
    <w:rsid w:val="00DE7E9C"/>
    <w:rsid w:val="00DF02A0"/>
    <w:rsid w:val="00DF07C4"/>
    <w:rsid w:val="00DF0BE1"/>
    <w:rsid w:val="00DF12BF"/>
    <w:rsid w:val="00DF15DE"/>
    <w:rsid w:val="00DF18FC"/>
    <w:rsid w:val="00DF1D6B"/>
    <w:rsid w:val="00DF238B"/>
    <w:rsid w:val="00DF2F79"/>
    <w:rsid w:val="00DF3199"/>
    <w:rsid w:val="00DF3729"/>
    <w:rsid w:val="00DF3A09"/>
    <w:rsid w:val="00DF3A27"/>
    <w:rsid w:val="00DF3E15"/>
    <w:rsid w:val="00DF3FC0"/>
    <w:rsid w:val="00DF40C9"/>
    <w:rsid w:val="00DF4650"/>
    <w:rsid w:val="00DF46EF"/>
    <w:rsid w:val="00DF4BC4"/>
    <w:rsid w:val="00DF4C62"/>
    <w:rsid w:val="00DF55B4"/>
    <w:rsid w:val="00DF5731"/>
    <w:rsid w:val="00DF57C1"/>
    <w:rsid w:val="00DF589F"/>
    <w:rsid w:val="00DF5D2B"/>
    <w:rsid w:val="00DF5F57"/>
    <w:rsid w:val="00DF63F7"/>
    <w:rsid w:val="00DF6592"/>
    <w:rsid w:val="00DF65DA"/>
    <w:rsid w:val="00DF6870"/>
    <w:rsid w:val="00DF7033"/>
    <w:rsid w:val="00DF75C0"/>
    <w:rsid w:val="00E00512"/>
    <w:rsid w:val="00E00681"/>
    <w:rsid w:val="00E00959"/>
    <w:rsid w:val="00E00E8E"/>
    <w:rsid w:val="00E01125"/>
    <w:rsid w:val="00E01695"/>
    <w:rsid w:val="00E01723"/>
    <w:rsid w:val="00E019D5"/>
    <w:rsid w:val="00E02268"/>
    <w:rsid w:val="00E03E7F"/>
    <w:rsid w:val="00E03ED9"/>
    <w:rsid w:val="00E0423B"/>
    <w:rsid w:val="00E05630"/>
    <w:rsid w:val="00E05B07"/>
    <w:rsid w:val="00E05B6E"/>
    <w:rsid w:val="00E05E74"/>
    <w:rsid w:val="00E06288"/>
    <w:rsid w:val="00E06646"/>
    <w:rsid w:val="00E06B0C"/>
    <w:rsid w:val="00E06C3A"/>
    <w:rsid w:val="00E06DBB"/>
    <w:rsid w:val="00E07CB4"/>
    <w:rsid w:val="00E10149"/>
    <w:rsid w:val="00E1077E"/>
    <w:rsid w:val="00E10AF1"/>
    <w:rsid w:val="00E10BC0"/>
    <w:rsid w:val="00E10E65"/>
    <w:rsid w:val="00E10EC8"/>
    <w:rsid w:val="00E11084"/>
    <w:rsid w:val="00E111FB"/>
    <w:rsid w:val="00E11462"/>
    <w:rsid w:val="00E12F50"/>
    <w:rsid w:val="00E12F5A"/>
    <w:rsid w:val="00E12FAE"/>
    <w:rsid w:val="00E13176"/>
    <w:rsid w:val="00E133CF"/>
    <w:rsid w:val="00E13435"/>
    <w:rsid w:val="00E13A03"/>
    <w:rsid w:val="00E13EC2"/>
    <w:rsid w:val="00E142DB"/>
    <w:rsid w:val="00E14C38"/>
    <w:rsid w:val="00E15371"/>
    <w:rsid w:val="00E15994"/>
    <w:rsid w:val="00E16372"/>
    <w:rsid w:val="00E16580"/>
    <w:rsid w:val="00E1661F"/>
    <w:rsid w:val="00E16B91"/>
    <w:rsid w:val="00E173D6"/>
    <w:rsid w:val="00E176BD"/>
    <w:rsid w:val="00E17F23"/>
    <w:rsid w:val="00E20C03"/>
    <w:rsid w:val="00E20DCE"/>
    <w:rsid w:val="00E20E4D"/>
    <w:rsid w:val="00E20EA7"/>
    <w:rsid w:val="00E20ED6"/>
    <w:rsid w:val="00E21205"/>
    <w:rsid w:val="00E2121F"/>
    <w:rsid w:val="00E21358"/>
    <w:rsid w:val="00E21A36"/>
    <w:rsid w:val="00E21C53"/>
    <w:rsid w:val="00E2249B"/>
    <w:rsid w:val="00E22A0D"/>
    <w:rsid w:val="00E22B32"/>
    <w:rsid w:val="00E231A3"/>
    <w:rsid w:val="00E231FB"/>
    <w:rsid w:val="00E234BD"/>
    <w:rsid w:val="00E23B6B"/>
    <w:rsid w:val="00E23E4D"/>
    <w:rsid w:val="00E23F18"/>
    <w:rsid w:val="00E243A4"/>
    <w:rsid w:val="00E2538C"/>
    <w:rsid w:val="00E25448"/>
    <w:rsid w:val="00E25CFE"/>
    <w:rsid w:val="00E25E0B"/>
    <w:rsid w:val="00E2628B"/>
    <w:rsid w:val="00E26573"/>
    <w:rsid w:val="00E26610"/>
    <w:rsid w:val="00E267AB"/>
    <w:rsid w:val="00E26DA7"/>
    <w:rsid w:val="00E26F14"/>
    <w:rsid w:val="00E27150"/>
    <w:rsid w:val="00E2771E"/>
    <w:rsid w:val="00E27757"/>
    <w:rsid w:val="00E277C8"/>
    <w:rsid w:val="00E279BA"/>
    <w:rsid w:val="00E301A0"/>
    <w:rsid w:val="00E30487"/>
    <w:rsid w:val="00E31F27"/>
    <w:rsid w:val="00E323D0"/>
    <w:rsid w:val="00E3258F"/>
    <w:rsid w:val="00E32961"/>
    <w:rsid w:val="00E32A5E"/>
    <w:rsid w:val="00E330F9"/>
    <w:rsid w:val="00E33C6F"/>
    <w:rsid w:val="00E34621"/>
    <w:rsid w:val="00E34948"/>
    <w:rsid w:val="00E34FA1"/>
    <w:rsid w:val="00E353FD"/>
    <w:rsid w:val="00E3564E"/>
    <w:rsid w:val="00E359D7"/>
    <w:rsid w:val="00E35B26"/>
    <w:rsid w:val="00E362E3"/>
    <w:rsid w:val="00E36EDF"/>
    <w:rsid w:val="00E372C3"/>
    <w:rsid w:val="00E37569"/>
    <w:rsid w:val="00E37619"/>
    <w:rsid w:val="00E37949"/>
    <w:rsid w:val="00E405FA"/>
    <w:rsid w:val="00E4063E"/>
    <w:rsid w:val="00E40649"/>
    <w:rsid w:val="00E40961"/>
    <w:rsid w:val="00E409FC"/>
    <w:rsid w:val="00E415EF"/>
    <w:rsid w:val="00E4173F"/>
    <w:rsid w:val="00E417BA"/>
    <w:rsid w:val="00E418D9"/>
    <w:rsid w:val="00E41E30"/>
    <w:rsid w:val="00E42618"/>
    <w:rsid w:val="00E42824"/>
    <w:rsid w:val="00E4295F"/>
    <w:rsid w:val="00E42CD6"/>
    <w:rsid w:val="00E437EF"/>
    <w:rsid w:val="00E43D70"/>
    <w:rsid w:val="00E4484A"/>
    <w:rsid w:val="00E44A3F"/>
    <w:rsid w:val="00E4503F"/>
    <w:rsid w:val="00E45622"/>
    <w:rsid w:val="00E45754"/>
    <w:rsid w:val="00E45842"/>
    <w:rsid w:val="00E46029"/>
    <w:rsid w:val="00E46406"/>
    <w:rsid w:val="00E466F3"/>
    <w:rsid w:val="00E46CAB"/>
    <w:rsid w:val="00E46D5E"/>
    <w:rsid w:val="00E47267"/>
    <w:rsid w:val="00E4740F"/>
    <w:rsid w:val="00E478CF"/>
    <w:rsid w:val="00E47B2C"/>
    <w:rsid w:val="00E47E60"/>
    <w:rsid w:val="00E50204"/>
    <w:rsid w:val="00E50E05"/>
    <w:rsid w:val="00E514DE"/>
    <w:rsid w:val="00E51560"/>
    <w:rsid w:val="00E51594"/>
    <w:rsid w:val="00E51B44"/>
    <w:rsid w:val="00E51C3F"/>
    <w:rsid w:val="00E51F7D"/>
    <w:rsid w:val="00E52DA1"/>
    <w:rsid w:val="00E53C72"/>
    <w:rsid w:val="00E53D72"/>
    <w:rsid w:val="00E54262"/>
    <w:rsid w:val="00E542EC"/>
    <w:rsid w:val="00E54347"/>
    <w:rsid w:val="00E5495D"/>
    <w:rsid w:val="00E549FA"/>
    <w:rsid w:val="00E54CAD"/>
    <w:rsid w:val="00E55249"/>
    <w:rsid w:val="00E55424"/>
    <w:rsid w:val="00E554A7"/>
    <w:rsid w:val="00E55BB5"/>
    <w:rsid w:val="00E55E82"/>
    <w:rsid w:val="00E56382"/>
    <w:rsid w:val="00E56C04"/>
    <w:rsid w:val="00E56C23"/>
    <w:rsid w:val="00E57C5E"/>
    <w:rsid w:val="00E609D6"/>
    <w:rsid w:val="00E60DFE"/>
    <w:rsid w:val="00E60ED3"/>
    <w:rsid w:val="00E60F3A"/>
    <w:rsid w:val="00E6146F"/>
    <w:rsid w:val="00E61725"/>
    <w:rsid w:val="00E617A9"/>
    <w:rsid w:val="00E61FC9"/>
    <w:rsid w:val="00E62AD6"/>
    <w:rsid w:val="00E632D7"/>
    <w:rsid w:val="00E63338"/>
    <w:rsid w:val="00E6334A"/>
    <w:rsid w:val="00E63B7D"/>
    <w:rsid w:val="00E63F90"/>
    <w:rsid w:val="00E6471D"/>
    <w:rsid w:val="00E648A4"/>
    <w:rsid w:val="00E6506B"/>
    <w:rsid w:val="00E65634"/>
    <w:rsid w:val="00E65A51"/>
    <w:rsid w:val="00E65E79"/>
    <w:rsid w:val="00E666BD"/>
    <w:rsid w:val="00E66BA2"/>
    <w:rsid w:val="00E67416"/>
    <w:rsid w:val="00E67DF2"/>
    <w:rsid w:val="00E67E63"/>
    <w:rsid w:val="00E67F79"/>
    <w:rsid w:val="00E70143"/>
    <w:rsid w:val="00E70C5A"/>
    <w:rsid w:val="00E70CEE"/>
    <w:rsid w:val="00E7158C"/>
    <w:rsid w:val="00E71790"/>
    <w:rsid w:val="00E718B6"/>
    <w:rsid w:val="00E71D0C"/>
    <w:rsid w:val="00E71F07"/>
    <w:rsid w:val="00E7212B"/>
    <w:rsid w:val="00E723BA"/>
    <w:rsid w:val="00E72999"/>
    <w:rsid w:val="00E72A40"/>
    <w:rsid w:val="00E72DE8"/>
    <w:rsid w:val="00E72E31"/>
    <w:rsid w:val="00E72FE2"/>
    <w:rsid w:val="00E731EE"/>
    <w:rsid w:val="00E73332"/>
    <w:rsid w:val="00E73581"/>
    <w:rsid w:val="00E73B44"/>
    <w:rsid w:val="00E73B6B"/>
    <w:rsid w:val="00E73DF0"/>
    <w:rsid w:val="00E73FD4"/>
    <w:rsid w:val="00E74641"/>
    <w:rsid w:val="00E7482F"/>
    <w:rsid w:val="00E74905"/>
    <w:rsid w:val="00E7568D"/>
    <w:rsid w:val="00E75750"/>
    <w:rsid w:val="00E7596F"/>
    <w:rsid w:val="00E759EF"/>
    <w:rsid w:val="00E75A99"/>
    <w:rsid w:val="00E7648A"/>
    <w:rsid w:val="00E767CD"/>
    <w:rsid w:val="00E76A5E"/>
    <w:rsid w:val="00E77310"/>
    <w:rsid w:val="00E77348"/>
    <w:rsid w:val="00E7758A"/>
    <w:rsid w:val="00E77D4A"/>
    <w:rsid w:val="00E77F19"/>
    <w:rsid w:val="00E77FC8"/>
    <w:rsid w:val="00E8068A"/>
    <w:rsid w:val="00E80815"/>
    <w:rsid w:val="00E80DFE"/>
    <w:rsid w:val="00E80EE2"/>
    <w:rsid w:val="00E8129F"/>
    <w:rsid w:val="00E81379"/>
    <w:rsid w:val="00E81471"/>
    <w:rsid w:val="00E816FE"/>
    <w:rsid w:val="00E8188D"/>
    <w:rsid w:val="00E8194E"/>
    <w:rsid w:val="00E81A21"/>
    <w:rsid w:val="00E81C1B"/>
    <w:rsid w:val="00E81DCE"/>
    <w:rsid w:val="00E81FA5"/>
    <w:rsid w:val="00E81FCC"/>
    <w:rsid w:val="00E8200B"/>
    <w:rsid w:val="00E8213C"/>
    <w:rsid w:val="00E828E1"/>
    <w:rsid w:val="00E828E4"/>
    <w:rsid w:val="00E82CE0"/>
    <w:rsid w:val="00E8315F"/>
    <w:rsid w:val="00E833F7"/>
    <w:rsid w:val="00E8352F"/>
    <w:rsid w:val="00E83BDF"/>
    <w:rsid w:val="00E83E77"/>
    <w:rsid w:val="00E83FE1"/>
    <w:rsid w:val="00E84021"/>
    <w:rsid w:val="00E8456B"/>
    <w:rsid w:val="00E84840"/>
    <w:rsid w:val="00E849F7"/>
    <w:rsid w:val="00E850DB"/>
    <w:rsid w:val="00E8577E"/>
    <w:rsid w:val="00E857F8"/>
    <w:rsid w:val="00E85E7F"/>
    <w:rsid w:val="00E85F94"/>
    <w:rsid w:val="00E86646"/>
    <w:rsid w:val="00E8699D"/>
    <w:rsid w:val="00E8714D"/>
    <w:rsid w:val="00E873A2"/>
    <w:rsid w:val="00E873BE"/>
    <w:rsid w:val="00E876BA"/>
    <w:rsid w:val="00E87980"/>
    <w:rsid w:val="00E87A12"/>
    <w:rsid w:val="00E87A1D"/>
    <w:rsid w:val="00E87BC9"/>
    <w:rsid w:val="00E904EC"/>
    <w:rsid w:val="00E90D6D"/>
    <w:rsid w:val="00E92217"/>
    <w:rsid w:val="00E924E4"/>
    <w:rsid w:val="00E926A5"/>
    <w:rsid w:val="00E93000"/>
    <w:rsid w:val="00E93594"/>
    <w:rsid w:val="00E93DAF"/>
    <w:rsid w:val="00E93ED5"/>
    <w:rsid w:val="00E942BE"/>
    <w:rsid w:val="00E94DB2"/>
    <w:rsid w:val="00E94F1F"/>
    <w:rsid w:val="00E95103"/>
    <w:rsid w:val="00E95B66"/>
    <w:rsid w:val="00E960F1"/>
    <w:rsid w:val="00E96469"/>
    <w:rsid w:val="00E96A16"/>
    <w:rsid w:val="00E96C89"/>
    <w:rsid w:val="00E97344"/>
    <w:rsid w:val="00E9771B"/>
    <w:rsid w:val="00EA154C"/>
    <w:rsid w:val="00EA17C3"/>
    <w:rsid w:val="00EA1B43"/>
    <w:rsid w:val="00EA1F88"/>
    <w:rsid w:val="00EA208C"/>
    <w:rsid w:val="00EA240D"/>
    <w:rsid w:val="00EA2715"/>
    <w:rsid w:val="00EA297E"/>
    <w:rsid w:val="00EA2B7C"/>
    <w:rsid w:val="00EA2CAA"/>
    <w:rsid w:val="00EA2FDD"/>
    <w:rsid w:val="00EA381B"/>
    <w:rsid w:val="00EA3864"/>
    <w:rsid w:val="00EA3F7B"/>
    <w:rsid w:val="00EA42B0"/>
    <w:rsid w:val="00EA4816"/>
    <w:rsid w:val="00EA4D3B"/>
    <w:rsid w:val="00EA4DE5"/>
    <w:rsid w:val="00EA4FE5"/>
    <w:rsid w:val="00EA59EA"/>
    <w:rsid w:val="00EA5AEF"/>
    <w:rsid w:val="00EA6518"/>
    <w:rsid w:val="00EA6DE8"/>
    <w:rsid w:val="00EA6EED"/>
    <w:rsid w:val="00EA7386"/>
    <w:rsid w:val="00EA74C9"/>
    <w:rsid w:val="00EA7558"/>
    <w:rsid w:val="00EA789C"/>
    <w:rsid w:val="00EA7B60"/>
    <w:rsid w:val="00EB0373"/>
    <w:rsid w:val="00EB048A"/>
    <w:rsid w:val="00EB08A6"/>
    <w:rsid w:val="00EB0D57"/>
    <w:rsid w:val="00EB0F54"/>
    <w:rsid w:val="00EB1257"/>
    <w:rsid w:val="00EB1272"/>
    <w:rsid w:val="00EB15B6"/>
    <w:rsid w:val="00EB1A2C"/>
    <w:rsid w:val="00EB228F"/>
    <w:rsid w:val="00EB23BE"/>
    <w:rsid w:val="00EB270C"/>
    <w:rsid w:val="00EB2B50"/>
    <w:rsid w:val="00EB2E5A"/>
    <w:rsid w:val="00EB3054"/>
    <w:rsid w:val="00EB33E7"/>
    <w:rsid w:val="00EB37AF"/>
    <w:rsid w:val="00EB38E4"/>
    <w:rsid w:val="00EB3B2F"/>
    <w:rsid w:val="00EB3CEA"/>
    <w:rsid w:val="00EB4124"/>
    <w:rsid w:val="00EB412C"/>
    <w:rsid w:val="00EB46BC"/>
    <w:rsid w:val="00EB47DB"/>
    <w:rsid w:val="00EB4896"/>
    <w:rsid w:val="00EB4916"/>
    <w:rsid w:val="00EB5B0D"/>
    <w:rsid w:val="00EB5BB1"/>
    <w:rsid w:val="00EB683B"/>
    <w:rsid w:val="00EB70F5"/>
    <w:rsid w:val="00EB722E"/>
    <w:rsid w:val="00EB7561"/>
    <w:rsid w:val="00EB758D"/>
    <w:rsid w:val="00EB77EB"/>
    <w:rsid w:val="00EC00C9"/>
    <w:rsid w:val="00EC06BA"/>
    <w:rsid w:val="00EC0A26"/>
    <w:rsid w:val="00EC0DD7"/>
    <w:rsid w:val="00EC164D"/>
    <w:rsid w:val="00EC1C9B"/>
    <w:rsid w:val="00EC206C"/>
    <w:rsid w:val="00EC2406"/>
    <w:rsid w:val="00EC25CE"/>
    <w:rsid w:val="00EC2649"/>
    <w:rsid w:val="00EC2BC2"/>
    <w:rsid w:val="00EC2CEE"/>
    <w:rsid w:val="00EC2E67"/>
    <w:rsid w:val="00EC2E78"/>
    <w:rsid w:val="00EC325E"/>
    <w:rsid w:val="00EC3337"/>
    <w:rsid w:val="00EC34C2"/>
    <w:rsid w:val="00EC428F"/>
    <w:rsid w:val="00EC4358"/>
    <w:rsid w:val="00EC4590"/>
    <w:rsid w:val="00EC4A71"/>
    <w:rsid w:val="00EC588C"/>
    <w:rsid w:val="00EC5AA7"/>
    <w:rsid w:val="00EC5BED"/>
    <w:rsid w:val="00EC5DAE"/>
    <w:rsid w:val="00EC641E"/>
    <w:rsid w:val="00EC66D6"/>
    <w:rsid w:val="00EC6D8A"/>
    <w:rsid w:val="00EC6F01"/>
    <w:rsid w:val="00EC728C"/>
    <w:rsid w:val="00EC7731"/>
    <w:rsid w:val="00EC7A09"/>
    <w:rsid w:val="00EC7AA6"/>
    <w:rsid w:val="00EC7BAF"/>
    <w:rsid w:val="00ED02AA"/>
    <w:rsid w:val="00ED0589"/>
    <w:rsid w:val="00ED0904"/>
    <w:rsid w:val="00ED0CD2"/>
    <w:rsid w:val="00ED1763"/>
    <w:rsid w:val="00ED1ACD"/>
    <w:rsid w:val="00ED1E98"/>
    <w:rsid w:val="00ED270D"/>
    <w:rsid w:val="00ED2789"/>
    <w:rsid w:val="00ED29F1"/>
    <w:rsid w:val="00ED2B35"/>
    <w:rsid w:val="00ED304A"/>
    <w:rsid w:val="00ED30FB"/>
    <w:rsid w:val="00ED3382"/>
    <w:rsid w:val="00ED36F5"/>
    <w:rsid w:val="00ED3FE2"/>
    <w:rsid w:val="00ED431E"/>
    <w:rsid w:val="00ED4529"/>
    <w:rsid w:val="00ED4D52"/>
    <w:rsid w:val="00ED5068"/>
    <w:rsid w:val="00ED50B2"/>
    <w:rsid w:val="00ED50D6"/>
    <w:rsid w:val="00ED5168"/>
    <w:rsid w:val="00ED52C9"/>
    <w:rsid w:val="00ED56DF"/>
    <w:rsid w:val="00ED577E"/>
    <w:rsid w:val="00ED57EA"/>
    <w:rsid w:val="00ED5DE6"/>
    <w:rsid w:val="00ED63BE"/>
    <w:rsid w:val="00ED6949"/>
    <w:rsid w:val="00ED6D10"/>
    <w:rsid w:val="00ED767F"/>
    <w:rsid w:val="00ED7ACF"/>
    <w:rsid w:val="00EE05FA"/>
    <w:rsid w:val="00EE07D3"/>
    <w:rsid w:val="00EE0EF6"/>
    <w:rsid w:val="00EE1302"/>
    <w:rsid w:val="00EE16D1"/>
    <w:rsid w:val="00EE1E25"/>
    <w:rsid w:val="00EE2038"/>
    <w:rsid w:val="00EE20F6"/>
    <w:rsid w:val="00EE22AF"/>
    <w:rsid w:val="00EE2BB6"/>
    <w:rsid w:val="00EE325C"/>
    <w:rsid w:val="00EE3474"/>
    <w:rsid w:val="00EE3713"/>
    <w:rsid w:val="00EE3714"/>
    <w:rsid w:val="00EE43D6"/>
    <w:rsid w:val="00EE457E"/>
    <w:rsid w:val="00EE45B3"/>
    <w:rsid w:val="00EE45B8"/>
    <w:rsid w:val="00EE4B9A"/>
    <w:rsid w:val="00EE51EE"/>
    <w:rsid w:val="00EE5523"/>
    <w:rsid w:val="00EE554A"/>
    <w:rsid w:val="00EE55BE"/>
    <w:rsid w:val="00EE5AE1"/>
    <w:rsid w:val="00EE5B1A"/>
    <w:rsid w:val="00EE5C21"/>
    <w:rsid w:val="00EE5D94"/>
    <w:rsid w:val="00EE5DBC"/>
    <w:rsid w:val="00EE6624"/>
    <w:rsid w:val="00EE6966"/>
    <w:rsid w:val="00EE6AEF"/>
    <w:rsid w:val="00EE6D38"/>
    <w:rsid w:val="00EE7980"/>
    <w:rsid w:val="00EE7ECA"/>
    <w:rsid w:val="00EF0171"/>
    <w:rsid w:val="00EF0480"/>
    <w:rsid w:val="00EF05BB"/>
    <w:rsid w:val="00EF05FF"/>
    <w:rsid w:val="00EF09A7"/>
    <w:rsid w:val="00EF0BED"/>
    <w:rsid w:val="00EF1824"/>
    <w:rsid w:val="00EF1B25"/>
    <w:rsid w:val="00EF1F1A"/>
    <w:rsid w:val="00EF211E"/>
    <w:rsid w:val="00EF2960"/>
    <w:rsid w:val="00EF2E1A"/>
    <w:rsid w:val="00EF310E"/>
    <w:rsid w:val="00EF3486"/>
    <w:rsid w:val="00EF3C60"/>
    <w:rsid w:val="00EF46B4"/>
    <w:rsid w:val="00EF4747"/>
    <w:rsid w:val="00EF4A5B"/>
    <w:rsid w:val="00EF4ADC"/>
    <w:rsid w:val="00EF4BF8"/>
    <w:rsid w:val="00EF4C7A"/>
    <w:rsid w:val="00EF52EF"/>
    <w:rsid w:val="00EF6084"/>
    <w:rsid w:val="00EF61FC"/>
    <w:rsid w:val="00EF63D0"/>
    <w:rsid w:val="00EF6794"/>
    <w:rsid w:val="00EF6C40"/>
    <w:rsid w:val="00EF6DC6"/>
    <w:rsid w:val="00EF7003"/>
    <w:rsid w:val="00EF701C"/>
    <w:rsid w:val="00EF768F"/>
    <w:rsid w:val="00EF79AF"/>
    <w:rsid w:val="00EF7B12"/>
    <w:rsid w:val="00EF7E9C"/>
    <w:rsid w:val="00F00235"/>
    <w:rsid w:val="00F00FF6"/>
    <w:rsid w:val="00F016D5"/>
    <w:rsid w:val="00F01867"/>
    <w:rsid w:val="00F01AE8"/>
    <w:rsid w:val="00F01E73"/>
    <w:rsid w:val="00F01FEE"/>
    <w:rsid w:val="00F02253"/>
    <w:rsid w:val="00F02331"/>
    <w:rsid w:val="00F02340"/>
    <w:rsid w:val="00F02398"/>
    <w:rsid w:val="00F024AE"/>
    <w:rsid w:val="00F02B7A"/>
    <w:rsid w:val="00F02C78"/>
    <w:rsid w:val="00F03602"/>
    <w:rsid w:val="00F03C2E"/>
    <w:rsid w:val="00F04584"/>
    <w:rsid w:val="00F0458D"/>
    <w:rsid w:val="00F0478E"/>
    <w:rsid w:val="00F04819"/>
    <w:rsid w:val="00F048F7"/>
    <w:rsid w:val="00F04A66"/>
    <w:rsid w:val="00F0516C"/>
    <w:rsid w:val="00F05985"/>
    <w:rsid w:val="00F0657E"/>
    <w:rsid w:val="00F067A2"/>
    <w:rsid w:val="00F06B6A"/>
    <w:rsid w:val="00F06EC9"/>
    <w:rsid w:val="00F07450"/>
    <w:rsid w:val="00F077F4"/>
    <w:rsid w:val="00F103ED"/>
    <w:rsid w:val="00F10A60"/>
    <w:rsid w:val="00F10D97"/>
    <w:rsid w:val="00F11456"/>
    <w:rsid w:val="00F116E6"/>
    <w:rsid w:val="00F11B79"/>
    <w:rsid w:val="00F11BE4"/>
    <w:rsid w:val="00F1263A"/>
    <w:rsid w:val="00F127BE"/>
    <w:rsid w:val="00F12B27"/>
    <w:rsid w:val="00F13C21"/>
    <w:rsid w:val="00F14289"/>
    <w:rsid w:val="00F14844"/>
    <w:rsid w:val="00F156D3"/>
    <w:rsid w:val="00F15F97"/>
    <w:rsid w:val="00F16D42"/>
    <w:rsid w:val="00F17179"/>
    <w:rsid w:val="00F171CA"/>
    <w:rsid w:val="00F173C4"/>
    <w:rsid w:val="00F17401"/>
    <w:rsid w:val="00F17B33"/>
    <w:rsid w:val="00F20F72"/>
    <w:rsid w:val="00F21199"/>
    <w:rsid w:val="00F211CF"/>
    <w:rsid w:val="00F21243"/>
    <w:rsid w:val="00F215BC"/>
    <w:rsid w:val="00F21804"/>
    <w:rsid w:val="00F220D6"/>
    <w:rsid w:val="00F22F62"/>
    <w:rsid w:val="00F230F9"/>
    <w:rsid w:val="00F238B2"/>
    <w:rsid w:val="00F23A37"/>
    <w:rsid w:val="00F23B8B"/>
    <w:rsid w:val="00F23E8D"/>
    <w:rsid w:val="00F245BF"/>
    <w:rsid w:val="00F24837"/>
    <w:rsid w:val="00F2508E"/>
    <w:rsid w:val="00F250F4"/>
    <w:rsid w:val="00F2575F"/>
    <w:rsid w:val="00F25F75"/>
    <w:rsid w:val="00F263A7"/>
    <w:rsid w:val="00F2733A"/>
    <w:rsid w:val="00F274C4"/>
    <w:rsid w:val="00F27518"/>
    <w:rsid w:val="00F27565"/>
    <w:rsid w:val="00F276C3"/>
    <w:rsid w:val="00F277BE"/>
    <w:rsid w:val="00F277C5"/>
    <w:rsid w:val="00F3044C"/>
    <w:rsid w:val="00F30A18"/>
    <w:rsid w:val="00F30BE1"/>
    <w:rsid w:val="00F30C22"/>
    <w:rsid w:val="00F310D4"/>
    <w:rsid w:val="00F31106"/>
    <w:rsid w:val="00F316D2"/>
    <w:rsid w:val="00F31826"/>
    <w:rsid w:val="00F31D5A"/>
    <w:rsid w:val="00F32ECF"/>
    <w:rsid w:val="00F330C7"/>
    <w:rsid w:val="00F33B2E"/>
    <w:rsid w:val="00F33DE9"/>
    <w:rsid w:val="00F33DF9"/>
    <w:rsid w:val="00F33F34"/>
    <w:rsid w:val="00F34299"/>
    <w:rsid w:val="00F346AE"/>
    <w:rsid w:val="00F3497E"/>
    <w:rsid w:val="00F34F5B"/>
    <w:rsid w:val="00F35800"/>
    <w:rsid w:val="00F35A46"/>
    <w:rsid w:val="00F3603F"/>
    <w:rsid w:val="00F3619A"/>
    <w:rsid w:val="00F36AA1"/>
    <w:rsid w:val="00F37462"/>
    <w:rsid w:val="00F37C09"/>
    <w:rsid w:val="00F37F98"/>
    <w:rsid w:val="00F37FF0"/>
    <w:rsid w:val="00F401ED"/>
    <w:rsid w:val="00F40442"/>
    <w:rsid w:val="00F40AAA"/>
    <w:rsid w:val="00F40BA7"/>
    <w:rsid w:val="00F4172E"/>
    <w:rsid w:val="00F4178C"/>
    <w:rsid w:val="00F41919"/>
    <w:rsid w:val="00F41B6B"/>
    <w:rsid w:val="00F41FCB"/>
    <w:rsid w:val="00F42074"/>
    <w:rsid w:val="00F42391"/>
    <w:rsid w:val="00F42CAD"/>
    <w:rsid w:val="00F42F86"/>
    <w:rsid w:val="00F4308C"/>
    <w:rsid w:val="00F434D5"/>
    <w:rsid w:val="00F437B7"/>
    <w:rsid w:val="00F43AC9"/>
    <w:rsid w:val="00F43EBC"/>
    <w:rsid w:val="00F43F47"/>
    <w:rsid w:val="00F441DE"/>
    <w:rsid w:val="00F4505F"/>
    <w:rsid w:val="00F452B8"/>
    <w:rsid w:val="00F452C4"/>
    <w:rsid w:val="00F453A2"/>
    <w:rsid w:val="00F45AF8"/>
    <w:rsid w:val="00F45B71"/>
    <w:rsid w:val="00F45E89"/>
    <w:rsid w:val="00F463C9"/>
    <w:rsid w:val="00F46794"/>
    <w:rsid w:val="00F467B3"/>
    <w:rsid w:val="00F469FC"/>
    <w:rsid w:val="00F46BC8"/>
    <w:rsid w:val="00F46C9E"/>
    <w:rsid w:val="00F46CB6"/>
    <w:rsid w:val="00F46D39"/>
    <w:rsid w:val="00F46EC9"/>
    <w:rsid w:val="00F471D6"/>
    <w:rsid w:val="00F47742"/>
    <w:rsid w:val="00F477A5"/>
    <w:rsid w:val="00F47958"/>
    <w:rsid w:val="00F47DE8"/>
    <w:rsid w:val="00F47E92"/>
    <w:rsid w:val="00F47EDD"/>
    <w:rsid w:val="00F502B3"/>
    <w:rsid w:val="00F50924"/>
    <w:rsid w:val="00F50C42"/>
    <w:rsid w:val="00F51430"/>
    <w:rsid w:val="00F51830"/>
    <w:rsid w:val="00F51E7C"/>
    <w:rsid w:val="00F52296"/>
    <w:rsid w:val="00F522AD"/>
    <w:rsid w:val="00F528CC"/>
    <w:rsid w:val="00F52909"/>
    <w:rsid w:val="00F53272"/>
    <w:rsid w:val="00F53415"/>
    <w:rsid w:val="00F542C1"/>
    <w:rsid w:val="00F54B02"/>
    <w:rsid w:val="00F54F50"/>
    <w:rsid w:val="00F55373"/>
    <w:rsid w:val="00F5555C"/>
    <w:rsid w:val="00F55C59"/>
    <w:rsid w:val="00F55E73"/>
    <w:rsid w:val="00F55EDA"/>
    <w:rsid w:val="00F562CD"/>
    <w:rsid w:val="00F5672B"/>
    <w:rsid w:val="00F56D70"/>
    <w:rsid w:val="00F5771B"/>
    <w:rsid w:val="00F57FC4"/>
    <w:rsid w:val="00F60047"/>
    <w:rsid w:val="00F60092"/>
    <w:rsid w:val="00F605AB"/>
    <w:rsid w:val="00F608C9"/>
    <w:rsid w:val="00F608DA"/>
    <w:rsid w:val="00F60F51"/>
    <w:rsid w:val="00F61912"/>
    <w:rsid w:val="00F61929"/>
    <w:rsid w:val="00F61A0E"/>
    <w:rsid w:val="00F61D42"/>
    <w:rsid w:val="00F61E13"/>
    <w:rsid w:val="00F62365"/>
    <w:rsid w:val="00F62710"/>
    <w:rsid w:val="00F628D2"/>
    <w:rsid w:val="00F633BD"/>
    <w:rsid w:val="00F63486"/>
    <w:rsid w:val="00F63866"/>
    <w:rsid w:val="00F64546"/>
    <w:rsid w:val="00F6475F"/>
    <w:rsid w:val="00F647A4"/>
    <w:rsid w:val="00F650A0"/>
    <w:rsid w:val="00F65205"/>
    <w:rsid w:val="00F6555F"/>
    <w:rsid w:val="00F65F4B"/>
    <w:rsid w:val="00F66160"/>
    <w:rsid w:val="00F668FB"/>
    <w:rsid w:val="00F67123"/>
    <w:rsid w:val="00F671C0"/>
    <w:rsid w:val="00F679DE"/>
    <w:rsid w:val="00F7012A"/>
    <w:rsid w:val="00F7071B"/>
    <w:rsid w:val="00F707FC"/>
    <w:rsid w:val="00F70C9D"/>
    <w:rsid w:val="00F70DAB"/>
    <w:rsid w:val="00F70E6D"/>
    <w:rsid w:val="00F7158A"/>
    <w:rsid w:val="00F71CEF"/>
    <w:rsid w:val="00F71D9D"/>
    <w:rsid w:val="00F7232C"/>
    <w:rsid w:val="00F72350"/>
    <w:rsid w:val="00F724BC"/>
    <w:rsid w:val="00F7348E"/>
    <w:rsid w:val="00F739D2"/>
    <w:rsid w:val="00F73B4A"/>
    <w:rsid w:val="00F74492"/>
    <w:rsid w:val="00F748F0"/>
    <w:rsid w:val="00F74CD9"/>
    <w:rsid w:val="00F75126"/>
    <w:rsid w:val="00F754D5"/>
    <w:rsid w:val="00F754F5"/>
    <w:rsid w:val="00F75E9C"/>
    <w:rsid w:val="00F77058"/>
    <w:rsid w:val="00F8010A"/>
    <w:rsid w:val="00F8024A"/>
    <w:rsid w:val="00F804B0"/>
    <w:rsid w:val="00F80A7B"/>
    <w:rsid w:val="00F80CE3"/>
    <w:rsid w:val="00F80E5D"/>
    <w:rsid w:val="00F81010"/>
    <w:rsid w:val="00F81553"/>
    <w:rsid w:val="00F81906"/>
    <w:rsid w:val="00F81D22"/>
    <w:rsid w:val="00F81DBD"/>
    <w:rsid w:val="00F82CC2"/>
    <w:rsid w:val="00F8312E"/>
    <w:rsid w:val="00F83723"/>
    <w:rsid w:val="00F83AFD"/>
    <w:rsid w:val="00F83FF1"/>
    <w:rsid w:val="00F8433C"/>
    <w:rsid w:val="00F84397"/>
    <w:rsid w:val="00F8441E"/>
    <w:rsid w:val="00F851CE"/>
    <w:rsid w:val="00F851DC"/>
    <w:rsid w:val="00F859AF"/>
    <w:rsid w:val="00F85AD7"/>
    <w:rsid w:val="00F85C6B"/>
    <w:rsid w:val="00F860D4"/>
    <w:rsid w:val="00F86516"/>
    <w:rsid w:val="00F865C2"/>
    <w:rsid w:val="00F867F1"/>
    <w:rsid w:val="00F8768F"/>
    <w:rsid w:val="00F8787A"/>
    <w:rsid w:val="00F87BDF"/>
    <w:rsid w:val="00F87CBA"/>
    <w:rsid w:val="00F90586"/>
    <w:rsid w:val="00F90B7B"/>
    <w:rsid w:val="00F90CE5"/>
    <w:rsid w:val="00F90D3C"/>
    <w:rsid w:val="00F90EA5"/>
    <w:rsid w:val="00F91219"/>
    <w:rsid w:val="00F9167D"/>
    <w:rsid w:val="00F91886"/>
    <w:rsid w:val="00F9217A"/>
    <w:rsid w:val="00F92879"/>
    <w:rsid w:val="00F930AE"/>
    <w:rsid w:val="00F931B9"/>
    <w:rsid w:val="00F93327"/>
    <w:rsid w:val="00F934A7"/>
    <w:rsid w:val="00F938FA"/>
    <w:rsid w:val="00F93B9C"/>
    <w:rsid w:val="00F93C10"/>
    <w:rsid w:val="00F940A2"/>
    <w:rsid w:val="00F948C8"/>
    <w:rsid w:val="00F94F75"/>
    <w:rsid w:val="00F95068"/>
    <w:rsid w:val="00F959BB"/>
    <w:rsid w:val="00F959F3"/>
    <w:rsid w:val="00F95D3C"/>
    <w:rsid w:val="00F95F42"/>
    <w:rsid w:val="00F96C5D"/>
    <w:rsid w:val="00F96D00"/>
    <w:rsid w:val="00F97205"/>
    <w:rsid w:val="00F9735E"/>
    <w:rsid w:val="00F97484"/>
    <w:rsid w:val="00F97569"/>
    <w:rsid w:val="00F97A78"/>
    <w:rsid w:val="00F97CBC"/>
    <w:rsid w:val="00FA009A"/>
    <w:rsid w:val="00FA0334"/>
    <w:rsid w:val="00FA081F"/>
    <w:rsid w:val="00FA0B20"/>
    <w:rsid w:val="00FA0E4B"/>
    <w:rsid w:val="00FA12AB"/>
    <w:rsid w:val="00FA19A2"/>
    <w:rsid w:val="00FA2019"/>
    <w:rsid w:val="00FA211E"/>
    <w:rsid w:val="00FA23BF"/>
    <w:rsid w:val="00FA24E7"/>
    <w:rsid w:val="00FA2578"/>
    <w:rsid w:val="00FA28BB"/>
    <w:rsid w:val="00FA3148"/>
    <w:rsid w:val="00FA3156"/>
    <w:rsid w:val="00FA3343"/>
    <w:rsid w:val="00FA3633"/>
    <w:rsid w:val="00FA3A48"/>
    <w:rsid w:val="00FA4AB8"/>
    <w:rsid w:val="00FA4B58"/>
    <w:rsid w:val="00FA5206"/>
    <w:rsid w:val="00FA54C9"/>
    <w:rsid w:val="00FA55BD"/>
    <w:rsid w:val="00FA55D6"/>
    <w:rsid w:val="00FA6507"/>
    <w:rsid w:val="00FA661C"/>
    <w:rsid w:val="00FA6630"/>
    <w:rsid w:val="00FA67DA"/>
    <w:rsid w:val="00FA6AFE"/>
    <w:rsid w:val="00FA7050"/>
    <w:rsid w:val="00FA713B"/>
    <w:rsid w:val="00FA7245"/>
    <w:rsid w:val="00FA752F"/>
    <w:rsid w:val="00FA76E8"/>
    <w:rsid w:val="00FA77D7"/>
    <w:rsid w:val="00FA7A08"/>
    <w:rsid w:val="00FA7A19"/>
    <w:rsid w:val="00FA7E90"/>
    <w:rsid w:val="00FB090B"/>
    <w:rsid w:val="00FB0942"/>
    <w:rsid w:val="00FB12FD"/>
    <w:rsid w:val="00FB132B"/>
    <w:rsid w:val="00FB1465"/>
    <w:rsid w:val="00FB14F9"/>
    <w:rsid w:val="00FB15DF"/>
    <w:rsid w:val="00FB1B8D"/>
    <w:rsid w:val="00FB2899"/>
    <w:rsid w:val="00FB2DC8"/>
    <w:rsid w:val="00FB2F60"/>
    <w:rsid w:val="00FB2FCB"/>
    <w:rsid w:val="00FB3486"/>
    <w:rsid w:val="00FB35FF"/>
    <w:rsid w:val="00FB3ABC"/>
    <w:rsid w:val="00FB3E4E"/>
    <w:rsid w:val="00FB49FF"/>
    <w:rsid w:val="00FB4D88"/>
    <w:rsid w:val="00FB4E5F"/>
    <w:rsid w:val="00FB52FF"/>
    <w:rsid w:val="00FB5622"/>
    <w:rsid w:val="00FB585C"/>
    <w:rsid w:val="00FB5C76"/>
    <w:rsid w:val="00FB5DFD"/>
    <w:rsid w:val="00FB6006"/>
    <w:rsid w:val="00FB660D"/>
    <w:rsid w:val="00FB690C"/>
    <w:rsid w:val="00FB6BDA"/>
    <w:rsid w:val="00FB734D"/>
    <w:rsid w:val="00FB7BBA"/>
    <w:rsid w:val="00FB7F56"/>
    <w:rsid w:val="00FC0099"/>
    <w:rsid w:val="00FC04AA"/>
    <w:rsid w:val="00FC0B52"/>
    <w:rsid w:val="00FC1074"/>
    <w:rsid w:val="00FC184E"/>
    <w:rsid w:val="00FC1884"/>
    <w:rsid w:val="00FC1B41"/>
    <w:rsid w:val="00FC29BC"/>
    <w:rsid w:val="00FC371D"/>
    <w:rsid w:val="00FC3898"/>
    <w:rsid w:val="00FC38C2"/>
    <w:rsid w:val="00FC3904"/>
    <w:rsid w:val="00FC3A56"/>
    <w:rsid w:val="00FC3C5C"/>
    <w:rsid w:val="00FC4007"/>
    <w:rsid w:val="00FC40B6"/>
    <w:rsid w:val="00FC4F3C"/>
    <w:rsid w:val="00FC5704"/>
    <w:rsid w:val="00FC5F0B"/>
    <w:rsid w:val="00FC6C5B"/>
    <w:rsid w:val="00FC6DB7"/>
    <w:rsid w:val="00FC6E05"/>
    <w:rsid w:val="00FC6FC5"/>
    <w:rsid w:val="00FC732B"/>
    <w:rsid w:val="00FC78B6"/>
    <w:rsid w:val="00FC7EDC"/>
    <w:rsid w:val="00FD034E"/>
    <w:rsid w:val="00FD1210"/>
    <w:rsid w:val="00FD123E"/>
    <w:rsid w:val="00FD18A4"/>
    <w:rsid w:val="00FD18DA"/>
    <w:rsid w:val="00FD1B6F"/>
    <w:rsid w:val="00FD1F49"/>
    <w:rsid w:val="00FD201A"/>
    <w:rsid w:val="00FD2100"/>
    <w:rsid w:val="00FD23E5"/>
    <w:rsid w:val="00FD27D9"/>
    <w:rsid w:val="00FD280F"/>
    <w:rsid w:val="00FD282E"/>
    <w:rsid w:val="00FD2B5C"/>
    <w:rsid w:val="00FD2C0A"/>
    <w:rsid w:val="00FD2FE6"/>
    <w:rsid w:val="00FD436C"/>
    <w:rsid w:val="00FD446D"/>
    <w:rsid w:val="00FD4F4C"/>
    <w:rsid w:val="00FD4FF2"/>
    <w:rsid w:val="00FD51CB"/>
    <w:rsid w:val="00FD5A41"/>
    <w:rsid w:val="00FD5B91"/>
    <w:rsid w:val="00FD6394"/>
    <w:rsid w:val="00FD6812"/>
    <w:rsid w:val="00FD6E09"/>
    <w:rsid w:val="00FD72E1"/>
    <w:rsid w:val="00FD7449"/>
    <w:rsid w:val="00FD7573"/>
    <w:rsid w:val="00FD7676"/>
    <w:rsid w:val="00FD77ED"/>
    <w:rsid w:val="00FD7855"/>
    <w:rsid w:val="00FD78F4"/>
    <w:rsid w:val="00FD7910"/>
    <w:rsid w:val="00FD7C09"/>
    <w:rsid w:val="00FD7D35"/>
    <w:rsid w:val="00FE04CD"/>
    <w:rsid w:val="00FE072A"/>
    <w:rsid w:val="00FE0BC8"/>
    <w:rsid w:val="00FE0DAA"/>
    <w:rsid w:val="00FE0E6C"/>
    <w:rsid w:val="00FE0FA8"/>
    <w:rsid w:val="00FE1149"/>
    <w:rsid w:val="00FE2BEA"/>
    <w:rsid w:val="00FE4483"/>
    <w:rsid w:val="00FE4559"/>
    <w:rsid w:val="00FE466F"/>
    <w:rsid w:val="00FE46A4"/>
    <w:rsid w:val="00FE46CD"/>
    <w:rsid w:val="00FE4714"/>
    <w:rsid w:val="00FE4DDB"/>
    <w:rsid w:val="00FE514E"/>
    <w:rsid w:val="00FE51E7"/>
    <w:rsid w:val="00FE5523"/>
    <w:rsid w:val="00FE59E0"/>
    <w:rsid w:val="00FE5FC7"/>
    <w:rsid w:val="00FE62C0"/>
    <w:rsid w:val="00FE68AD"/>
    <w:rsid w:val="00FE6A92"/>
    <w:rsid w:val="00FE6BD1"/>
    <w:rsid w:val="00FE6F6F"/>
    <w:rsid w:val="00FE70C3"/>
    <w:rsid w:val="00FE7894"/>
    <w:rsid w:val="00FE790C"/>
    <w:rsid w:val="00FE7E8F"/>
    <w:rsid w:val="00FE7F38"/>
    <w:rsid w:val="00FF0152"/>
    <w:rsid w:val="00FF037A"/>
    <w:rsid w:val="00FF03C1"/>
    <w:rsid w:val="00FF0BFA"/>
    <w:rsid w:val="00FF0C67"/>
    <w:rsid w:val="00FF0D17"/>
    <w:rsid w:val="00FF13C2"/>
    <w:rsid w:val="00FF184B"/>
    <w:rsid w:val="00FF1B25"/>
    <w:rsid w:val="00FF2157"/>
    <w:rsid w:val="00FF2884"/>
    <w:rsid w:val="00FF2C1E"/>
    <w:rsid w:val="00FF3994"/>
    <w:rsid w:val="00FF3B11"/>
    <w:rsid w:val="00FF3D2E"/>
    <w:rsid w:val="00FF3DCF"/>
    <w:rsid w:val="00FF3DF9"/>
    <w:rsid w:val="00FF45EA"/>
    <w:rsid w:val="00FF465D"/>
    <w:rsid w:val="00FF492C"/>
    <w:rsid w:val="00FF49A6"/>
    <w:rsid w:val="00FF4A21"/>
    <w:rsid w:val="00FF4CFD"/>
    <w:rsid w:val="00FF545A"/>
    <w:rsid w:val="00FF56C2"/>
    <w:rsid w:val="00FF5A64"/>
    <w:rsid w:val="00FF5AA3"/>
    <w:rsid w:val="00FF5AD8"/>
    <w:rsid w:val="00FF628B"/>
    <w:rsid w:val="00FF6DED"/>
    <w:rsid w:val="00FF78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1EE1"/>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4D54CA"/>
    <w:pPr>
      <w:ind w:left="720" w:hanging="720"/>
      <w:jc w:val="left"/>
      <w:outlineLvl w:val="0"/>
    </w:pPr>
    <w:rPr>
      <w:b/>
      <w:caps/>
      <w:sz w:val="32"/>
    </w:rPr>
  </w:style>
  <w:style w:type="paragraph" w:styleId="Heading2">
    <w:name w:val="heading 2"/>
    <w:basedOn w:val="Normal"/>
    <w:next w:val="Normal"/>
    <w:link w:val="Heading2Char"/>
    <w:qFormat/>
    <w:rsid w:val="00952E39"/>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52E3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PRIMA,Caption SYNEVi,Bayer Caption,IB Caption,Medical Caption,Char,CSR Caption,Caption Char1,Caption Char Char,Char Char Char,Char Char1,Char1,Table caption,Caption 3,c,appendix,Figure caption,Figure caption1 Char Char,Baye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4.1 Char,Caption PRIMA Char,Caption SYNEVi Char,Bayer Caption Char,IB Caption Char,Medical Caption Char,Char Char,CSR Caption Char,Caption Char1 Char,Caption Char Char Char,Char Char Char Char,Char Char1 Char,Char1 Char,Caption 3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42329"/>
    <w:pPr>
      <w:numPr>
        <w:numId w:val="3"/>
      </w:numPr>
      <w:spacing w:after="120"/>
      <w:ind w:left="7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40020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0020C"/>
    <w:rPr>
      <w:rFonts w:asciiTheme="minorHAnsi" w:eastAsiaTheme="minorHAnsi" w:hAnsiTheme="minorHAnsi" w:cstheme="minorBidi"/>
      <w:color w:val="4BACC6" w:themeColor="accent5"/>
      <w:sz w:val="24"/>
      <w:szCs w:val="22"/>
      <w:lang w:eastAsia="en-US"/>
    </w:rPr>
  </w:style>
  <w:style w:type="table" w:customStyle="1" w:styleId="TableGridLight111">
    <w:name w:val="Table Grid Light111"/>
    <w:basedOn w:val="TableNormal"/>
    <w:uiPriority w:val="40"/>
    <w:rsid w:val="00E9510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59"/>
    <w:rsid w:val="00B014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qFormat/>
    <w:rsid w:val="005D4779"/>
    <w:pPr>
      <w:widowControl/>
      <w:spacing w:after="200"/>
      <w:jc w:val="left"/>
    </w:pPr>
    <w:rPr>
      <w:rFonts w:ascii="Arial" w:eastAsiaTheme="minorHAnsi" w:hAnsi="Arial" w:cstheme="minorBidi"/>
      <w:snapToGrid/>
      <w:sz w:val="16"/>
    </w:rPr>
  </w:style>
  <w:style w:type="paragraph" w:customStyle="1" w:styleId="TableText0">
    <w:name w:val="Table Text"/>
    <w:basedOn w:val="Normal"/>
    <w:link w:val="TableTextChar0"/>
    <w:qFormat/>
    <w:rsid w:val="0022493A"/>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22493A"/>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22493A"/>
    <w:rPr>
      <w:rFonts w:asciiTheme="minorHAnsi" w:eastAsiaTheme="minorHAnsi" w:hAnsiTheme="minorHAnsi" w:cstheme="minorBidi"/>
      <w:sz w:val="18"/>
      <w:lang w:eastAsia="en-US"/>
    </w:rPr>
  </w:style>
  <w:style w:type="paragraph" w:customStyle="1" w:styleId="TableHeading0">
    <w:name w:val="Table Heading"/>
    <w:basedOn w:val="Normal"/>
    <w:qFormat/>
    <w:rsid w:val="00E81C1B"/>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basedOn w:val="DefaultParagraphFont"/>
    <w:link w:val="TableText0"/>
    <w:rsid w:val="00D068A6"/>
    <w:rPr>
      <w:rFonts w:ascii="Arial Narrow" w:eastAsiaTheme="minorHAnsi" w:hAnsi="Arial Narrow" w:cstheme="minorBidi"/>
      <w:szCs w:val="22"/>
      <w:lang w:eastAsia="en-US"/>
    </w:rPr>
  </w:style>
  <w:style w:type="character" w:styleId="PlaceholderText">
    <w:name w:val="Placeholder Text"/>
    <w:basedOn w:val="DefaultParagraphFont"/>
    <w:uiPriority w:val="99"/>
    <w:semiHidden/>
    <w:rsid w:val="00B71B9C"/>
    <w:rPr>
      <w:color w:val="808080"/>
    </w:rPr>
  </w:style>
  <w:style w:type="character" w:styleId="FootnoteReference">
    <w:name w:val="footnote reference"/>
    <w:basedOn w:val="DefaultParagraphFont"/>
    <w:uiPriority w:val="99"/>
    <w:unhideWhenUsed/>
    <w:rsid w:val="00EE45B3"/>
    <w:rPr>
      <w:vertAlign w:val="superscript"/>
    </w:rPr>
  </w:style>
  <w:style w:type="paragraph" w:customStyle="1" w:styleId="Bullet2">
    <w:name w:val="Bullet 2"/>
    <w:basedOn w:val="Normal"/>
    <w:next w:val="Normal"/>
    <w:qFormat/>
    <w:rsid w:val="00B168A2"/>
    <w:pPr>
      <w:widowControl/>
      <w:numPr>
        <w:ilvl w:val="1"/>
        <w:numId w:val="12"/>
      </w:numPr>
      <w:tabs>
        <w:tab w:val="clear" w:pos="1440"/>
        <w:tab w:val="num" w:pos="993"/>
      </w:tabs>
      <w:spacing w:before="40" w:after="40" w:line="360" w:lineRule="auto"/>
    </w:pPr>
    <w:rPr>
      <w:rFonts w:ascii="Arial" w:hAnsi="Arial" w:cs="Times New Roman"/>
      <w:snapToGrid/>
      <w:sz w:val="20"/>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8251A"/>
    <w:pPr>
      <w:widowControl/>
      <w:spacing w:after="160" w:line="240" w:lineRule="exact"/>
      <w:jc w:val="left"/>
    </w:pPr>
    <w:rPr>
      <w:rFonts w:ascii="Verdana" w:eastAsia="MS Mincho" w:hAnsi="Verdana" w:cs="Verdana"/>
      <w:snapToGrid/>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1EE1"/>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4D54CA"/>
    <w:pPr>
      <w:ind w:left="720" w:hanging="720"/>
      <w:jc w:val="left"/>
      <w:outlineLvl w:val="0"/>
    </w:pPr>
    <w:rPr>
      <w:b/>
      <w:caps/>
      <w:sz w:val="32"/>
    </w:rPr>
  </w:style>
  <w:style w:type="paragraph" w:styleId="Heading2">
    <w:name w:val="heading 2"/>
    <w:basedOn w:val="Normal"/>
    <w:next w:val="Normal"/>
    <w:link w:val="Heading2Char"/>
    <w:qFormat/>
    <w:rsid w:val="00952E39"/>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52E3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PRIMA,Caption SYNEVi,Bayer Caption,IB Caption,Medical Caption,Char,CSR Caption,Caption Char1,Caption Char Char,Char Char Char,Char Char1,Char1,Table caption,Caption 3,c,appendix,Figure caption,Figure caption1 Char Char,Baye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4.1 Char,Caption PRIMA Char,Caption SYNEVi Char,Bayer Caption Char,IB Caption Char,Medical Caption Char,Char Char,CSR Caption Char,Caption Char1 Char,Caption Char Char Char,Char Char Char Char,Char Char1 Char,Char1 Char,Caption 3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42329"/>
    <w:pPr>
      <w:numPr>
        <w:numId w:val="3"/>
      </w:numPr>
      <w:spacing w:after="120"/>
      <w:ind w:left="7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40020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0020C"/>
    <w:rPr>
      <w:rFonts w:asciiTheme="minorHAnsi" w:eastAsiaTheme="minorHAnsi" w:hAnsiTheme="minorHAnsi" w:cstheme="minorBidi"/>
      <w:color w:val="4BACC6" w:themeColor="accent5"/>
      <w:sz w:val="24"/>
      <w:szCs w:val="22"/>
      <w:lang w:eastAsia="en-US"/>
    </w:rPr>
  </w:style>
  <w:style w:type="table" w:customStyle="1" w:styleId="TableGridLight111">
    <w:name w:val="Table Grid Light111"/>
    <w:basedOn w:val="TableNormal"/>
    <w:uiPriority w:val="40"/>
    <w:rsid w:val="00E9510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59"/>
    <w:rsid w:val="00B014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qFormat/>
    <w:rsid w:val="005D4779"/>
    <w:pPr>
      <w:widowControl/>
      <w:spacing w:after="200"/>
      <w:jc w:val="left"/>
    </w:pPr>
    <w:rPr>
      <w:rFonts w:ascii="Arial" w:eastAsiaTheme="minorHAnsi" w:hAnsi="Arial" w:cstheme="minorBidi"/>
      <w:snapToGrid/>
      <w:sz w:val="16"/>
    </w:rPr>
  </w:style>
  <w:style w:type="paragraph" w:customStyle="1" w:styleId="TableText0">
    <w:name w:val="Table Text"/>
    <w:basedOn w:val="Normal"/>
    <w:link w:val="TableTextChar0"/>
    <w:qFormat/>
    <w:rsid w:val="0022493A"/>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22493A"/>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22493A"/>
    <w:rPr>
      <w:rFonts w:asciiTheme="minorHAnsi" w:eastAsiaTheme="minorHAnsi" w:hAnsiTheme="minorHAnsi" w:cstheme="minorBidi"/>
      <w:sz w:val="18"/>
      <w:lang w:eastAsia="en-US"/>
    </w:rPr>
  </w:style>
  <w:style w:type="paragraph" w:customStyle="1" w:styleId="TableHeading0">
    <w:name w:val="Table Heading"/>
    <w:basedOn w:val="Normal"/>
    <w:qFormat/>
    <w:rsid w:val="00E81C1B"/>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basedOn w:val="DefaultParagraphFont"/>
    <w:link w:val="TableText0"/>
    <w:rsid w:val="00D068A6"/>
    <w:rPr>
      <w:rFonts w:ascii="Arial Narrow" w:eastAsiaTheme="minorHAnsi" w:hAnsi="Arial Narrow" w:cstheme="minorBidi"/>
      <w:szCs w:val="22"/>
      <w:lang w:eastAsia="en-US"/>
    </w:rPr>
  </w:style>
  <w:style w:type="character" w:styleId="PlaceholderText">
    <w:name w:val="Placeholder Text"/>
    <w:basedOn w:val="DefaultParagraphFont"/>
    <w:uiPriority w:val="99"/>
    <w:semiHidden/>
    <w:rsid w:val="00B71B9C"/>
    <w:rPr>
      <w:color w:val="808080"/>
    </w:rPr>
  </w:style>
  <w:style w:type="character" w:styleId="FootnoteReference">
    <w:name w:val="footnote reference"/>
    <w:basedOn w:val="DefaultParagraphFont"/>
    <w:uiPriority w:val="99"/>
    <w:unhideWhenUsed/>
    <w:rsid w:val="00EE45B3"/>
    <w:rPr>
      <w:vertAlign w:val="superscript"/>
    </w:rPr>
  </w:style>
  <w:style w:type="paragraph" w:customStyle="1" w:styleId="Bullet2">
    <w:name w:val="Bullet 2"/>
    <w:basedOn w:val="Normal"/>
    <w:next w:val="Normal"/>
    <w:qFormat/>
    <w:rsid w:val="00B168A2"/>
    <w:pPr>
      <w:widowControl/>
      <w:numPr>
        <w:ilvl w:val="1"/>
        <w:numId w:val="12"/>
      </w:numPr>
      <w:tabs>
        <w:tab w:val="clear" w:pos="1440"/>
        <w:tab w:val="num" w:pos="993"/>
      </w:tabs>
      <w:spacing w:before="40" w:after="40" w:line="360" w:lineRule="auto"/>
    </w:pPr>
    <w:rPr>
      <w:rFonts w:ascii="Arial" w:hAnsi="Arial" w:cs="Times New Roman"/>
      <w:snapToGrid/>
      <w:sz w:val="20"/>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8251A"/>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563">
      <w:bodyDiv w:val="1"/>
      <w:marLeft w:val="0"/>
      <w:marRight w:val="0"/>
      <w:marTop w:val="0"/>
      <w:marBottom w:val="0"/>
      <w:divBdr>
        <w:top w:val="none" w:sz="0" w:space="0" w:color="auto"/>
        <w:left w:val="none" w:sz="0" w:space="0" w:color="auto"/>
        <w:bottom w:val="none" w:sz="0" w:space="0" w:color="auto"/>
        <w:right w:val="none" w:sz="0" w:space="0" w:color="auto"/>
      </w:divBdr>
    </w:div>
    <w:div w:id="186723585">
      <w:bodyDiv w:val="1"/>
      <w:marLeft w:val="0"/>
      <w:marRight w:val="0"/>
      <w:marTop w:val="0"/>
      <w:marBottom w:val="0"/>
      <w:divBdr>
        <w:top w:val="none" w:sz="0" w:space="0" w:color="auto"/>
        <w:left w:val="none" w:sz="0" w:space="0" w:color="auto"/>
        <w:bottom w:val="none" w:sz="0" w:space="0" w:color="auto"/>
        <w:right w:val="none" w:sz="0" w:space="0" w:color="auto"/>
      </w:divBdr>
    </w:div>
    <w:div w:id="580529933">
      <w:bodyDiv w:val="1"/>
      <w:marLeft w:val="0"/>
      <w:marRight w:val="0"/>
      <w:marTop w:val="0"/>
      <w:marBottom w:val="0"/>
      <w:divBdr>
        <w:top w:val="none" w:sz="0" w:space="0" w:color="auto"/>
        <w:left w:val="none" w:sz="0" w:space="0" w:color="auto"/>
        <w:bottom w:val="none" w:sz="0" w:space="0" w:color="auto"/>
        <w:right w:val="none" w:sz="0" w:space="0" w:color="auto"/>
      </w:divBdr>
    </w:div>
    <w:div w:id="675765005">
      <w:bodyDiv w:val="1"/>
      <w:marLeft w:val="0"/>
      <w:marRight w:val="0"/>
      <w:marTop w:val="0"/>
      <w:marBottom w:val="0"/>
      <w:divBdr>
        <w:top w:val="none" w:sz="0" w:space="0" w:color="auto"/>
        <w:left w:val="none" w:sz="0" w:space="0" w:color="auto"/>
        <w:bottom w:val="none" w:sz="0" w:space="0" w:color="auto"/>
        <w:right w:val="none" w:sz="0" w:space="0" w:color="auto"/>
      </w:divBdr>
    </w:div>
    <w:div w:id="1028336881">
      <w:bodyDiv w:val="1"/>
      <w:marLeft w:val="0"/>
      <w:marRight w:val="0"/>
      <w:marTop w:val="0"/>
      <w:marBottom w:val="0"/>
      <w:divBdr>
        <w:top w:val="none" w:sz="0" w:space="0" w:color="auto"/>
        <w:left w:val="none" w:sz="0" w:space="0" w:color="auto"/>
        <w:bottom w:val="none" w:sz="0" w:space="0" w:color="auto"/>
        <w:right w:val="none" w:sz="0" w:space="0" w:color="auto"/>
      </w:divBdr>
    </w:div>
    <w:div w:id="1726292522">
      <w:bodyDiv w:val="1"/>
      <w:marLeft w:val="0"/>
      <w:marRight w:val="0"/>
      <w:marTop w:val="0"/>
      <w:marBottom w:val="0"/>
      <w:divBdr>
        <w:top w:val="none" w:sz="0" w:space="0" w:color="auto"/>
        <w:left w:val="none" w:sz="0" w:space="0" w:color="auto"/>
        <w:bottom w:val="none" w:sz="0" w:space="0" w:color="auto"/>
        <w:right w:val="none" w:sz="0" w:space="0" w:color="auto"/>
      </w:divBdr>
    </w:div>
    <w:div w:id="17461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reviews/biologics-review-public-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95A4-AD70-4622-976F-5B8BFF11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18239</Words>
  <Characters>100977</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2018-10-07T02:51:00Z</dcterms:created>
  <dcterms:modified xsi:type="dcterms:W3CDTF">2018-10-18T03:29:00Z</dcterms:modified>
</cp:coreProperties>
</file>