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E" w:rsidRPr="006B1802" w:rsidRDefault="00566BCE" w:rsidP="00B93A10">
      <w:pPr>
        <w:contextualSpacing/>
        <w:jc w:val="both"/>
        <w:rPr>
          <w:rFonts w:ascii="Calibri" w:hAnsi="Calibri" w:cs="Arial"/>
          <w:b/>
        </w:rPr>
      </w:pPr>
      <w:bookmarkStart w:id="0" w:name="_GoBack"/>
      <w:bookmarkEnd w:id="0"/>
    </w:p>
    <w:p w:rsidR="00A445C2" w:rsidRPr="006B1802" w:rsidRDefault="0039366D" w:rsidP="00B93A10">
      <w:pPr>
        <w:pStyle w:val="Title"/>
        <w:spacing w:after="0"/>
        <w:ind w:left="720" w:hanging="720"/>
        <w:rPr>
          <w:rFonts w:asciiTheme="minorHAnsi" w:hAnsiTheme="minorHAnsi"/>
          <w:sz w:val="36"/>
          <w:szCs w:val="36"/>
        </w:rPr>
      </w:pPr>
      <w:r w:rsidRPr="006B1802">
        <w:rPr>
          <w:rFonts w:asciiTheme="minorHAnsi" w:hAnsiTheme="minorHAnsi"/>
          <w:sz w:val="36"/>
          <w:szCs w:val="36"/>
        </w:rPr>
        <w:t>7.18</w:t>
      </w:r>
      <w:r w:rsidR="006D6493" w:rsidRPr="006B1802">
        <w:rPr>
          <w:rFonts w:asciiTheme="minorHAnsi" w:hAnsiTheme="minorHAnsi"/>
          <w:sz w:val="36"/>
          <w:szCs w:val="36"/>
        </w:rPr>
        <w:tab/>
      </w:r>
      <w:r w:rsidRPr="006B1802">
        <w:rPr>
          <w:rFonts w:asciiTheme="minorHAnsi" w:hAnsiTheme="minorHAnsi"/>
          <w:sz w:val="36"/>
          <w:szCs w:val="36"/>
        </w:rPr>
        <w:t>TOLVAPTAN</w:t>
      </w:r>
      <w:bookmarkStart w:id="1" w:name="_Toc341702017"/>
      <w:r w:rsidR="00A445C2" w:rsidRPr="006B1802">
        <w:rPr>
          <w:rFonts w:asciiTheme="minorHAnsi" w:hAnsiTheme="minorHAnsi"/>
          <w:sz w:val="36"/>
          <w:szCs w:val="36"/>
        </w:rPr>
        <w:t xml:space="preserve"> </w:t>
      </w:r>
    </w:p>
    <w:p w:rsidR="00A445C2" w:rsidRPr="006B1802" w:rsidRDefault="00A445C2" w:rsidP="00B93A10">
      <w:pPr>
        <w:ind w:left="720"/>
        <w:rPr>
          <w:rFonts w:asciiTheme="minorHAnsi" w:hAnsiTheme="minorHAnsi"/>
          <w:b/>
          <w:sz w:val="36"/>
          <w:szCs w:val="36"/>
        </w:rPr>
      </w:pPr>
      <w:r w:rsidRPr="006B1802">
        <w:rPr>
          <w:rFonts w:asciiTheme="minorHAnsi" w:hAnsiTheme="minorHAnsi"/>
          <w:b/>
          <w:sz w:val="36"/>
          <w:szCs w:val="36"/>
        </w:rPr>
        <w:t xml:space="preserve">Pack containing 28 tablets 15 mg and 28 tablets 45 mg, </w:t>
      </w:r>
    </w:p>
    <w:p w:rsidR="00A445C2" w:rsidRPr="006B1802" w:rsidRDefault="00A445C2" w:rsidP="00B93A10">
      <w:pPr>
        <w:ind w:left="720"/>
        <w:rPr>
          <w:rFonts w:asciiTheme="minorHAnsi" w:hAnsiTheme="minorHAnsi"/>
          <w:b/>
          <w:sz w:val="36"/>
          <w:szCs w:val="36"/>
        </w:rPr>
      </w:pPr>
      <w:r w:rsidRPr="006B1802">
        <w:rPr>
          <w:rFonts w:asciiTheme="minorHAnsi" w:hAnsiTheme="minorHAnsi"/>
          <w:b/>
          <w:sz w:val="36"/>
          <w:szCs w:val="36"/>
        </w:rPr>
        <w:t xml:space="preserve">Pack containing 28 tablets 30 mg and 28 tablets 60 mg, </w:t>
      </w:r>
    </w:p>
    <w:p w:rsidR="00A445C2" w:rsidRPr="006B1802" w:rsidRDefault="00A445C2" w:rsidP="00B93A10">
      <w:pPr>
        <w:ind w:left="720"/>
        <w:rPr>
          <w:rFonts w:asciiTheme="minorHAnsi" w:hAnsiTheme="minorHAnsi"/>
          <w:b/>
          <w:sz w:val="36"/>
          <w:szCs w:val="36"/>
        </w:rPr>
      </w:pPr>
      <w:r w:rsidRPr="006B1802">
        <w:rPr>
          <w:rFonts w:asciiTheme="minorHAnsi" w:hAnsiTheme="minorHAnsi"/>
          <w:b/>
          <w:sz w:val="36"/>
          <w:szCs w:val="36"/>
        </w:rPr>
        <w:t>Pack containing 28 tablets 30 mg and 28 tablets 90 mg,</w:t>
      </w:r>
    </w:p>
    <w:p w:rsidR="00A445C2" w:rsidRPr="006B1802" w:rsidRDefault="00A445C2" w:rsidP="00B93A10">
      <w:pPr>
        <w:ind w:left="720"/>
        <w:rPr>
          <w:rFonts w:asciiTheme="minorHAnsi" w:hAnsiTheme="minorHAnsi"/>
          <w:b/>
          <w:sz w:val="36"/>
          <w:szCs w:val="36"/>
        </w:rPr>
      </w:pPr>
      <w:r w:rsidRPr="006B1802">
        <w:rPr>
          <w:rFonts w:asciiTheme="minorHAnsi" w:hAnsiTheme="minorHAnsi"/>
          <w:b/>
          <w:sz w:val="36"/>
          <w:szCs w:val="36"/>
        </w:rPr>
        <w:t>JINARC</w:t>
      </w:r>
      <w:r w:rsidRPr="006B1802">
        <w:rPr>
          <w:rFonts w:asciiTheme="minorHAnsi" w:hAnsiTheme="minorHAnsi"/>
          <w:b/>
          <w:sz w:val="36"/>
          <w:szCs w:val="36"/>
          <w:vertAlign w:val="superscript"/>
        </w:rPr>
        <w:t>®</w:t>
      </w:r>
      <w:r w:rsidRPr="006B1802">
        <w:rPr>
          <w:rFonts w:asciiTheme="minorHAnsi" w:hAnsiTheme="minorHAnsi"/>
          <w:b/>
          <w:sz w:val="36"/>
          <w:szCs w:val="36"/>
        </w:rPr>
        <w:t>, Otsuka Australia Pharmaceutical P/L</w:t>
      </w:r>
    </w:p>
    <w:bookmarkEnd w:id="1"/>
    <w:p w:rsidR="008A50F1" w:rsidRPr="006B1802" w:rsidRDefault="00CE10C4" w:rsidP="00B93A10">
      <w:pPr>
        <w:pStyle w:val="PBACHeading1"/>
        <w:spacing w:before="240" w:after="120"/>
        <w:ind w:left="709" w:hanging="709"/>
        <w:rPr>
          <w:rFonts w:asciiTheme="minorHAnsi" w:hAnsiTheme="minorHAnsi"/>
          <w:sz w:val="32"/>
          <w:szCs w:val="32"/>
        </w:rPr>
      </w:pPr>
      <w:r w:rsidRPr="006B1802">
        <w:rPr>
          <w:rFonts w:asciiTheme="minorHAnsi" w:hAnsiTheme="minorHAnsi"/>
          <w:sz w:val="32"/>
          <w:szCs w:val="32"/>
        </w:rPr>
        <w:t xml:space="preserve">Purpose of </w:t>
      </w:r>
      <w:r w:rsidR="0004240E" w:rsidRPr="006B1802">
        <w:rPr>
          <w:rFonts w:asciiTheme="minorHAnsi" w:hAnsiTheme="minorHAnsi"/>
          <w:sz w:val="32"/>
          <w:szCs w:val="32"/>
        </w:rPr>
        <w:t>Application</w:t>
      </w:r>
    </w:p>
    <w:p w:rsidR="006A12A5" w:rsidRPr="006B1802" w:rsidRDefault="00EF44A0" w:rsidP="00B93A10">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6B1802">
        <w:rPr>
          <w:rFonts w:asciiTheme="minorHAnsi" w:eastAsiaTheme="minorHAnsi" w:hAnsiTheme="minorHAnsi" w:cstheme="minorBidi"/>
          <w:snapToGrid/>
          <w:sz w:val="24"/>
          <w:szCs w:val="22"/>
        </w:rPr>
        <w:t>The mi</w:t>
      </w:r>
      <w:r w:rsidR="00FF2801" w:rsidRPr="006B1802">
        <w:rPr>
          <w:rFonts w:asciiTheme="minorHAnsi" w:eastAsiaTheme="minorHAnsi" w:hAnsiTheme="minorHAnsi" w:cstheme="minorBidi"/>
          <w:snapToGrid/>
          <w:sz w:val="24"/>
          <w:szCs w:val="22"/>
        </w:rPr>
        <w:t xml:space="preserve">nor </w:t>
      </w:r>
      <w:r w:rsidR="00531402" w:rsidRPr="006B1802">
        <w:rPr>
          <w:rFonts w:asciiTheme="minorHAnsi" w:eastAsiaTheme="minorHAnsi" w:hAnsiTheme="minorHAnsi" w:cstheme="minorBidi"/>
          <w:snapToGrid/>
          <w:sz w:val="24"/>
          <w:szCs w:val="22"/>
        </w:rPr>
        <w:t>re</w:t>
      </w:r>
      <w:r w:rsidR="00FF2801" w:rsidRPr="006B1802">
        <w:rPr>
          <w:rFonts w:asciiTheme="minorHAnsi" w:eastAsiaTheme="minorHAnsi" w:hAnsiTheme="minorHAnsi" w:cstheme="minorBidi"/>
          <w:snapToGrid/>
          <w:sz w:val="24"/>
          <w:szCs w:val="22"/>
        </w:rPr>
        <w:t xml:space="preserve">submission </w:t>
      </w:r>
      <w:r w:rsidR="00A445C2" w:rsidRPr="006B1802">
        <w:rPr>
          <w:rFonts w:asciiTheme="minorHAnsi" w:eastAsiaTheme="minorHAnsi" w:hAnsiTheme="minorHAnsi" w:cstheme="minorBidi"/>
          <w:snapToGrid/>
          <w:sz w:val="24"/>
          <w:szCs w:val="22"/>
        </w:rPr>
        <w:t xml:space="preserve">requested a Section 85 Authority Required (telephone) PBS listing for initiation of tolvaptan and an Authority Required (Streamlined) listing for continuing treatment of autosomal dominant polycystic kidney disease (ADPKD). The resubmission </w:t>
      </w:r>
      <w:r w:rsidR="00531402" w:rsidRPr="006B1802">
        <w:rPr>
          <w:rFonts w:asciiTheme="minorHAnsi" w:eastAsiaTheme="minorHAnsi" w:hAnsiTheme="minorHAnsi" w:cstheme="minorBidi"/>
          <w:snapToGrid/>
          <w:sz w:val="24"/>
          <w:szCs w:val="22"/>
        </w:rPr>
        <w:t xml:space="preserve">offered a revised price and risk share arrangement (RSA) to offset the uncertain clinical </w:t>
      </w:r>
      <w:r w:rsidR="00D052EF" w:rsidRPr="006B1802">
        <w:rPr>
          <w:rFonts w:asciiTheme="minorHAnsi" w:eastAsiaTheme="minorHAnsi" w:hAnsiTheme="minorHAnsi" w:cstheme="minorBidi"/>
          <w:snapToGrid/>
          <w:sz w:val="24"/>
          <w:szCs w:val="22"/>
        </w:rPr>
        <w:t xml:space="preserve">benefit </w:t>
      </w:r>
      <w:r w:rsidR="00531402" w:rsidRPr="006B1802">
        <w:rPr>
          <w:rFonts w:asciiTheme="minorHAnsi" w:eastAsiaTheme="minorHAnsi" w:hAnsiTheme="minorHAnsi" w:cstheme="minorBidi"/>
          <w:snapToGrid/>
          <w:sz w:val="24"/>
          <w:szCs w:val="22"/>
        </w:rPr>
        <w:t xml:space="preserve">and cost-effectiveness considered by PBAC </w:t>
      </w:r>
      <w:r w:rsidR="004D1D5B" w:rsidRPr="006B1802">
        <w:rPr>
          <w:rFonts w:asciiTheme="minorHAnsi" w:eastAsiaTheme="minorHAnsi" w:hAnsiTheme="minorHAnsi" w:cstheme="minorBidi"/>
          <w:snapToGrid/>
          <w:sz w:val="24"/>
          <w:szCs w:val="22"/>
        </w:rPr>
        <w:t xml:space="preserve">in </w:t>
      </w:r>
      <w:r w:rsidR="00531402" w:rsidRPr="006B1802">
        <w:rPr>
          <w:rFonts w:asciiTheme="minorHAnsi" w:eastAsiaTheme="minorHAnsi" w:hAnsiTheme="minorHAnsi" w:cstheme="minorBidi"/>
          <w:snapToGrid/>
          <w:sz w:val="24"/>
          <w:szCs w:val="22"/>
        </w:rPr>
        <w:t>the March 2018 major submission</w:t>
      </w:r>
      <w:r w:rsidR="0048482A" w:rsidRPr="006B1802">
        <w:rPr>
          <w:rFonts w:asciiTheme="minorHAnsi" w:eastAsiaTheme="minorHAnsi" w:hAnsiTheme="minorHAnsi" w:cstheme="minorBidi"/>
          <w:snapToGrid/>
          <w:sz w:val="24"/>
          <w:szCs w:val="22"/>
        </w:rPr>
        <w:t>.</w:t>
      </w:r>
      <w:r w:rsidR="00D052EF" w:rsidRPr="006B1802">
        <w:rPr>
          <w:rFonts w:asciiTheme="minorHAnsi" w:eastAsiaTheme="minorHAnsi" w:hAnsiTheme="minorHAnsi" w:cstheme="minorBidi"/>
          <w:snapToGrid/>
          <w:sz w:val="24"/>
          <w:szCs w:val="22"/>
        </w:rPr>
        <w:t xml:space="preserve"> The revised price offer is a 16.7% price </w:t>
      </w:r>
      <w:r w:rsidR="002836DB" w:rsidRPr="006B1802">
        <w:rPr>
          <w:rFonts w:asciiTheme="minorHAnsi" w:eastAsiaTheme="minorHAnsi" w:hAnsiTheme="minorHAnsi" w:cstheme="minorBidi"/>
          <w:snapToGrid/>
          <w:sz w:val="24"/>
          <w:szCs w:val="22"/>
        </w:rPr>
        <w:t>reduction (ex-manufacturer)</w:t>
      </w:r>
      <w:r w:rsidR="00830CA8" w:rsidRPr="006B1802">
        <w:rPr>
          <w:rFonts w:asciiTheme="minorHAnsi" w:eastAsiaTheme="minorHAnsi" w:hAnsiTheme="minorHAnsi" w:cstheme="minorBidi"/>
          <w:snapToGrid/>
          <w:sz w:val="24"/>
          <w:szCs w:val="22"/>
        </w:rPr>
        <w:t xml:space="preserve"> and</w:t>
      </w:r>
      <w:r w:rsidR="002836DB" w:rsidRPr="006B1802">
        <w:rPr>
          <w:rFonts w:asciiTheme="minorHAnsi" w:eastAsiaTheme="minorHAnsi" w:hAnsiTheme="minorHAnsi" w:cstheme="minorBidi"/>
          <w:snapToGrid/>
          <w:sz w:val="24"/>
          <w:szCs w:val="22"/>
        </w:rPr>
        <w:t xml:space="preserve"> the proposed RSA offers a hard financial cap.</w:t>
      </w:r>
      <w:r w:rsidR="00D052EF" w:rsidRPr="006B1802">
        <w:rPr>
          <w:rFonts w:asciiTheme="minorHAnsi" w:eastAsiaTheme="minorHAnsi" w:hAnsiTheme="minorHAnsi" w:cstheme="minorBidi"/>
          <w:snapToGrid/>
          <w:sz w:val="24"/>
          <w:szCs w:val="22"/>
        </w:rPr>
        <w:t xml:space="preserve"> </w:t>
      </w:r>
    </w:p>
    <w:p w:rsidR="006A12A5" w:rsidRPr="006B1802" w:rsidRDefault="006A12A5" w:rsidP="00B93A10">
      <w:pPr>
        <w:pStyle w:val="PBACHeading1"/>
        <w:spacing w:before="240" w:after="120"/>
        <w:ind w:left="709" w:hanging="709"/>
        <w:rPr>
          <w:rFonts w:asciiTheme="minorHAnsi" w:hAnsiTheme="minorHAnsi"/>
          <w:sz w:val="32"/>
          <w:szCs w:val="32"/>
        </w:rPr>
      </w:pPr>
      <w:r w:rsidRPr="006B1802">
        <w:rPr>
          <w:rFonts w:asciiTheme="minorHAnsi" w:hAnsiTheme="minorHAnsi"/>
          <w:sz w:val="32"/>
          <w:szCs w:val="32"/>
        </w:rPr>
        <w:t>Requested listing</w:t>
      </w:r>
    </w:p>
    <w:p w:rsidR="00826F6D" w:rsidRPr="006B1802" w:rsidRDefault="00531402" w:rsidP="00B93A1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B1802">
        <w:rPr>
          <w:rFonts w:asciiTheme="minorHAnsi" w:eastAsiaTheme="minorHAnsi" w:hAnsiTheme="minorHAnsi" w:cstheme="minorBidi"/>
          <w:snapToGrid/>
          <w:sz w:val="24"/>
          <w:szCs w:val="24"/>
        </w:rPr>
        <w:t>In March 2018</w:t>
      </w:r>
      <w:r w:rsidR="004D1D5B" w:rsidRPr="006B1802">
        <w:rPr>
          <w:rFonts w:asciiTheme="minorHAnsi" w:eastAsiaTheme="minorHAnsi" w:hAnsiTheme="minorHAnsi" w:cstheme="minorBidi"/>
          <w:snapToGrid/>
          <w:sz w:val="24"/>
          <w:szCs w:val="24"/>
        </w:rPr>
        <w:t>, the PBAC considered the proposed</w:t>
      </w:r>
      <w:r w:rsidRPr="006B1802">
        <w:rPr>
          <w:rFonts w:asciiTheme="minorHAnsi" w:eastAsiaTheme="minorHAnsi" w:hAnsiTheme="minorHAnsi" w:cstheme="minorBidi"/>
          <w:snapToGrid/>
          <w:sz w:val="24"/>
          <w:szCs w:val="24"/>
        </w:rPr>
        <w:t xml:space="preserve"> </w:t>
      </w:r>
      <w:r w:rsidR="004D1D5B" w:rsidRPr="006B1802">
        <w:rPr>
          <w:rFonts w:asciiTheme="minorHAnsi" w:eastAsiaTheme="minorHAnsi" w:hAnsiTheme="minorHAnsi" w:cstheme="minorBidi"/>
          <w:snapToGrid/>
          <w:sz w:val="24"/>
          <w:szCs w:val="24"/>
        </w:rPr>
        <w:t xml:space="preserve">restriction which included </w:t>
      </w:r>
      <w:r w:rsidR="004D1D5B" w:rsidRPr="006B1802">
        <w:rPr>
          <w:rFonts w:asciiTheme="minorHAnsi" w:hAnsiTheme="minorHAnsi"/>
          <w:bCs/>
          <w:sz w:val="24"/>
          <w:szCs w:val="24"/>
        </w:rPr>
        <w:t xml:space="preserve">patients with evidence of rapid disease progression </w:t>
      </w:r>
      <w:r w:rsidR="004D1D5B" w:rsidRPr="006B1802">
        <w:rPr>
          <w:rFonts w:asciiTheme="minorHAnsi" w:eastAsiaTheme="minorHAnsi" w:hAnsiTheme="minorHAnsi" w:cstheme="minorBidi"/>
          <w:snapToGrid/>
          <w:sz w:val="24"/>
          <w:szCs w:val="24"/>
        </w:rPr>
        <w:t xml:space="preserve">would be difficult to implement in practice. </w:t>
      </w:r>
      <w:r w:rsidR="004D1D5B" w:rsidRPr="006B1802">
        <w:rPr>
          <w:rFonts w:asciiTheme="minorHAnsi" w:hAnsiTheme="minorHAnsi"/>
          <w:bCs/>
          <w:sz w:val="24"/>
          <w:szCs w:val="24"/>
        </w:rPr>
        <w:t>Overall, the PBAC considered the proposed restriction would not adequately contain use to the most high need patients who may potentially achieve a clinically meaningful benefit. Residual issues with narrowing the eligible patient population would need to be addressed with a price reduction, revised estimates and RSA</w:t>
      </w:r>
      <w:r w:rsidR="00842332" w:rsidRPr="006B1802">
        <w:rPr>
          <w:rFonts w:asciiTheme="minorHAnsi" w:hAnsiTheme="minorHAnsi"/>
          <w:bCs/>
          <w:sz w:val="24"/>
          <w:szCs w:val="24"/>
        </w:rPr>
        <w:t xml:space="preserve"> (</w:t>
      </w:r>
      <w:r w:rsidR="00621175">
        <w:rPr>
          <w:rFonts w:asciiTheme="minorHAnsi" w:hAnsiTheme="minorHAnsi"/>
          <w:bCs/>
          <w:sz w:val="24"/>
          <w:szCs w:val="24"/>
        </w:rPr>
        <w:t xml:space="preserve">Paragraph 7.3, </w:t>
      </w:r>
      <w:r w:rsidR="00EC799F" w:rsidRPr="006B1802">
        <w:rPr>
          <w:rFonts w:asciiTheme="minorHAnsi" w:hAnsiTheme="minorHAnsi"/>
          <w:bCs/>
          <w:sz w:val="24"/>
          <w:szCs w:val="24"/>
        </w:rPr>
        <w:t xml:space="preserve">Tolvaptan </w:t>
      </w:r>
      <w:r w:rsidR="00621175">
        <w:rPr>
          <w:rFonts w:asciiTheme="minorHAnsi" w:hAnsiTheme="minorHAnsi"/>
          <w:bCs/>
          <w:sz w:val="24"/>
          <w:szCs w:val="24"/>
        </w:rPr>
        <w:t>Public Summary Document (PSD)</w:t>
      </w:r>
      <w:r w:rsidR="00EC799F" w:rsidRPr="006B1802">
        <w:rPr>
          <w:rFonts w:asciiTheme="minorHAnsi" w:hAnsiTheme="minorHAnsi"/>
          <w:bCs/>
          <w:sz w:val="24"/>
          <w:szCs w:val="24"/>
        </w:rPr>
        <w:t xml:space="preserve">, </w:t>
      </w:r>
      <w:proofErr w:type="gramStart"/>
      <w:r w:rsidR="00EC799F" w:rsidRPr="006B1802">
        <w:rPr>
          <w:rFonts w:asciiTheme="minorHAnsi" w:hAnsiTheme="minorHAnsi"/>
          <w:bCs/>
          <w:sz w:val="24"/>
          <w:szCs w:val="24"/>
        </w:rPr>
        <w:t>March</w:t>
      </w:r>
      <w:proofErr w:type="gramEnd"/>
      <w:r w:rsidR="00EC799F" w:rsidRPr="006B1802">
        <w:rPr>
          <w:rFonts w:asciiTheme="minorHAnsi" w:hAnsiTheme="minorHAnsi"/>
          <w:bCs/>
          <w:sz w:val="24"/>
          <w:szCs w:val="24"/>
        </w:rPr>
        <w:t xml:space="preserve"> 2018).</w:t>
      </w:r>
      <w:r w:rsidR="004D1D5B" w:rsidRPr="006B1802">
        <w:rPr>
          <w:rFonts w:asciiTheme="minorHAnsi" w:eastAsiaTheme="minorHAnsi" w:hAnsiTheme="minorHAnsi" w:cstheme="minorBidi"/>
          <w:snapToGrid/>
          <w:sz w:val="24"/>
          <w:szCs w:val="24"/>
        </w:rPr>
        <w:t xml:space="preserve"> </w:t>
      </w:r>
      <w:r w:rsidR="00EF44A0" w:rsidRPr="006B1802">
        <w:rPr>
          <w:rFonts w:asciiTheme="minorHAnsi" w:eastAsiaTheme="minorHAnsi" w:hAnsiTheme="minorHAnsi" w:cstheme="minorBidi"/>
          <w:snapToGrid/>
          <w:sz w:val="24"/>
          <w:szCs w:val="24"/>
        </w:rPr>
        <w:t>Th</w:t>
      </w:r>
      <w:r w:rsidR="00D052EF" w:rsidRPr="006B1802">
        <w:rPr>
          <w:rFonts w:asciiTheme="minorHAnsi" w:eastAsiaTheme="minorHAnsi" w:hAnsiTheme="minorHAnsi" w:cstheme="minorBidi"/>
          <w:snapToGrid/>
          <w:sz w:val="24"/>
          <w:szCs w:val="24"/>
        </w:rPr>
        <w:t>is</w:t>
      </w:r>
      <w:r w:rsidR="00EF44A0" w:rsidRPr="006B1802">
        <w:rPr>
          <w:rFonts w:asciiTheme="minorHAnsi" w:eastAsiaTheme="minorHAnsi" w:hAnsiTheme="minorHAnsi" w:cstheme="minorBidi"/>
          <w:snapToGrid/>
          <w:sz w:val="24"/>
          <w:szCs w:val="24"/>
        </w:rPr>
        <w:t xml:space="preserve"> </w:t>
      </w:r>
      <w:r w:rsidR="00D052EF" w:rsidRPr="006B1802">
        <w:rPr>
          <w:rFonts w:asciiTheme="minorHAnsi" w:eastAsiaTheme="minorHAnsi" w:hAnsiTheme="minorHAnsi" w:cstheme="minorBidi"/>
          <w:snapToGrid/>
          <w:sz w:val="24"/>
          <w:szCs w:val="24"/>
        </w:rPr>
        <w:t>re</w:t>
      </w:r>
      <w:r w:rsidR="00EF44A0" w:rsidRPr="006B1802">
        <w:rPr>
          <w:rFonts w:asciiTheme="minorHAnsi" w:eastAsiaTheme="minorHAnsi" w:hAnsiTheme="minorHAnsi" w:cstheme="minorBidi"/>
          <w:snapToGrid/>
          <w:sz w:val="24"/>
          <w:szCs w:val="24"/>
        </w:rPr>
        <w:t xml:space="preserve">submission </w:t>
      </w:r>
      <w:r w:rsidR="00FF2801" w:rsidRPr="006B1802">
        <w:rPr>
          <w:rFonts w:asciiTheme="minorHAnsi" w:eastAsiaTheme="minorHAnsi" w:hAnsiTheme="minorHAnsi" w:cstheme="minorBidi"/>
          <w:snapToGrid/>
          <w:sz w:val="24"/>
          <w:szCs w:val="24"/>
        </w:rPr>
        <w:t>requested</w:t>
      </w:r>
      <w:r w:rsidR="00EF44A0" w:rsidRPr="006B1802">
        <w:rPr>
          <w:rFonts w:asciiTheme="minorHAnsi" w:eastAsiaTheme="minorHAnsi" w:hAnsiTheme="minorHAnsi" w:cstheme="minorBidi"/>
          <w:snapToGrid/>
          <w:sz w:val="24"/>
          <w:szCs w:val="24"/>
        </w:rPr>
        <w:t xml:space="preserve"> the </w:t>
      </w:r>
      <w:r w:rsidRPr="006B1802">
        <w:rPr>
          <w:rFonts w:asciiTheme="minorHAnsi" w:eastAsiaTheme="minorHAnsi" w:hAnsiTheme="minorHAnsi" w:cstheme="minorBidi"/>
          <w:snapToGrid/>
          <w:sz w:val="24"/>
          <w:szCs w:val="24"/>
        </w:rPr>
        <w:t xml:space="preserve">simplified </w:t>
      </w:r>
      <w:r w:rsidR="00EC799F" w:rsidRPr="006B1802">
        <w:rPr>
          <w:rFonts w:asciiTheme="minorHAnsi" w:eastAsiaTheme="minorHAnsi" w:hAnsiTheme="minorHAnsi" w:cstheme="minorBidi"/>
          <w:snapToGrid/>
          <w:sz w:val="24"/>
          <w:szCs w:val="24"/>
        </w:rPr>
        <w:t>restriction below</w:t>
      </w:r>
      <w:r w:rsidR="00D052EF" w:rsidRPr="006B1802">
        <w:rPr>
          <w:rFonts w:asciiTheme="minorHAnsi" w:eastAsiaTheme="minorHAnsi" w:hAnsiTheme="minorHAnsi" w:cstheme="minorBidi"/>
          <w:snapToGrid/>
          <w:sz w:val="24"/>
          <w:szCs w:val="24"/>
        </w:rPr>
        <w:t>, for patients with stage 2–3 chronic kidney disease (CKD)</w:t>
      </w:r>
      <w:r w:rsidR="007A3559" w:rsidRPr="006B1802">
        <w:rPr>
          <w:rFonts w:asciiTheme="minorHAnsi" w:eastAsiaTheme="minorHAnsi" w:hAnsiTheme="minorHAnsi" w:cstheme="minorBidi"/>
          <w:snapToGrid/>
          <w:sz w:val="24"/>
          <w:szCs w:val="24"/>
        </w:rPr>
        <w:t xml:space="preserve"> and rapid disease</w:t>
      </w:r>
      <w:r w:rsidR="007A3559" w:rsidRPr="006B1802">
        <w:rPr>
          <w:rFonts w:asciiTheme="minorHAnsi" w:eastAsiaTheme="minorHAnsi" w:hAnsiTheme="minorHAnsi" w:cstheme="minorBidi"/>
          <w:snapToGrid/>
          <w:sz w:val="24"/>
          <w:szCs w:val="22"/>
        </w:rPr>
        <w:t xml:space="preserve"> progression</w:t>
      </w:r>
      <w:r w:rsidR="00EC799F" w:rsidRPr="006B1802">
        <w:rPr>
          <w:rFonts w:asciiTheme="minorHAnsi" w:eastAsiaTheme="minorHAnsi" w:hAnsiTheme="minorHAnsi" w:cstheme="minorBidi"/>
          <w:snapToGrid/>
          <w:sz w:val="24"/>
          <w:szCs w:val="22"/>
        </w:rPr>
        <w:t>.</w:t>
      </w:r>
    </w:p>
    <w:tbl>
      <w:tblPr>
        <w:tblW w:w="4915" w:type="pct"/>
        <w:tblLook w:val="0000" w:firstRow="0" w:lastRow="0" w:firstColumn="0" w:lastColumn="0" w:noHBand="0" w:noVBand="0"/>
      </w:tblPr>
      <w:tblGrid>
        <w:gridCol w:w="1977"/>
        <w:gridCol w:w="1395"/>
        <w:gridCol w:w="761"/>
        <w:gridCol w:w="914"/>
        <w:gridCol w:w="1652"/>
        <w:gridCol w:w="776"/>
        <w:gridCol w:w="1597"/>
        <w:gridCol w:w="13"/>
      </w:tblGrid>
      <w:tr w:rsidR="00473C0C" w:rsidRPr="006B1802" w:rsidTr="002302AA">
        <w:trPr>
          <w:cantSplit/>
          <w:trHeight w:val="465"/>
        </w:trPr>
        <w:tc>
          <w:tcPr>
            <w:tcW w:w="1856" w:type="pct"/>
            <w:gridSpan w:val="2"/>
            <w:tcBorders>
              <w:bottom w:val="single" w:sz="4" w:space="0" w:color="auto"/>
            </w:tcBorders>
          </w:tcPr>
          <w:p w:rsidR="00826F6D" w:rsidRPr="006B1802" w:rsidRDefault="00826F6D"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Name, Restriction,</w:t>
            </w:r>
          </w:p>
          <w:p w:rsidR="00826F6D" w:rsidRPr="006B1802" w:rsidRDefault="00826F6D"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Manner of administration and form</w:t>
            </w:r>
          </w:p>
        </w:tc>
        <w:tc>
          <w:tcPr>
            <w:tcW w:w="419" w:type="pct"/>
            <w:tcBorders>
              <w:bottom w:val="single" w:sz="4" w:space="0" w:color="auto"/>
            </w:tcBorders>
          </w:tcPr>
          <w:p w:rsidR="00826F6D" w:rsidRPr="006B1802" w:rsidRDefault="00826F6D"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Max.</w:t>
            </w:r>
          </w:p>
          <w:p w:rsidR="00826F6D" w:rsidRPr="006B1802" w:rsidRDefault="00826F6D"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Qty</w:t>
            </w:r>
          </w:p>
        </w:tc>
        <w:tc>
          <w:tcPr>
            <w:tcW w:w="503" w:type="pct"/>
            <w:tcBorders>
              <w:bottom w:val="single" w:sz="4" w:space="0" w:color="auto"/>
            </w:tcBorders>
          </w:tcPr>
          <w:p w:rsidR="00826F6D" w:rsidRPr="006B1802" w:rsidRDefault="00826F6D"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№.of</w:t>
            </w:r>
          </w:p>
          <w:p w:rsidR="00826F6D" w:rsidRPr="006B1802" w:rsidRDefault="00826F6D"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Rpts</w:t>
            </w:r>
          </w:p>
        </w:tc>
        <w:tc>
          <w:tcPr>
            <w:tcW w:w="909" w:type="pct"/>
            <w:tcBorders>
              <w:bottom w:val="single" w:sz="4" w:space="0" w:color="auto"/>
            </w:tcBorders>
          </w:tcPr>
          <w:p w:rsidR="00826F6D" w:rsidRPr="006B1802" w:rsidRDefault="00826F6D"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Dispensed Price for Max. Qty</w:t>
            </w:r>
          </w:p>
        </w:tc>
        <w:tc>
          <w:tcPr>
            <w:tcW w:w="1313" w:type="pct"/>
            <w:gridSpan w:val="3"/>
            <w:tcBorders>
              <w:bottom w:val="single" w:sz="4" w:space="0" w:color="auto"/>
            </w:tcBorders>
          </w:tcPr>
          <w:p w:rsidR="00826F6D" w:rsidRPr="006B1802" w:rsidRDefault="00826F6D"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Proprietary Name and Manufacturer</w:t>
            </w:r>
          </w:p>
        </w:tc>
      </w:tr>
      <w:tr w:rsidR="00473C0C" w:rsidRPr="006B1802" w:rsidTr="002302AA">
        <w:trPr>
          <w:cantSplit/>
          <w:trHeight w:val="567"/>
        </w:trPr>
        <w:tc>
          <w:tcPr>
            <w:tcW w:w="1856" w:type="pct"/>
            <w:gridSpan w:val="2"/>
          </w:tcPr>
          <w:p w:rsidR="00826F6D" w:rsidRPr="006B1802" w:rsidRDefault="00F32926" w:rsidP="00B93A10">
            <w:pPr>
              <w:keepNext/>
              <w:spacing w:before="40" w:after="40"/>
              <w:jc w:val="both"/>
              <w:rPr>
                <w:rFonts w:ascii="Arial Narrow" w:hAnsi="Arial Narrow" w:cs="Arial"/>
                <w:sz w:val="20"/>
                <w:szCs w:val="20"/>
              </w:rPr>
            </w:pPr>
            <w:r w:rsidRPr="006B1802">
              <w:rPr>
                <w:rFonts w:ascii="Arial Narrow" w:hAnsi="Arial Narrow" w:cs="Arial"/>
                <w:smallCaps/>
                <w:sz w:val="20"/>
                <w:szCs w:val="20"/>
              </w:rPr>
              <w:t>TOLVAPTAN</w:t>
            </w:r>
          </w:p>
          <w:p w:rsidR="00473C0C" w:rsidRPr="006B1802" w:rsidRDefault="00F32926" w:rsidP="00B93A10">
            <w:pPr>
              <w:keepNext/>
              <w:spacing w:before="40" w:after="40"/>
              <w:jc w:val="both"/>
              <w:rPr>
                <w:rFonts w:ascii="Arial Narrow" w:hAnsi="Arial Narrow" w:cs="Arial"/>
                <w:sz w:val="20"/>
                <w:szCs w:val="20"/>
              </w:rPr>
            </w:pPr>
            <w:r w:rsidRPr="006B1802">
              <w:rPr>
                <w:rFonts w:ascii="Arial Narrow" w:hAnsi="Arial Narrow" w:cs="Arial"/>
                <w:sz w:val="20"/>
                <w:szCs w:val="20"/>
              </w:rPr>
              <w:t>15mg + 45mg oral tablets</w:t>
            </w:r>
          </w:p>
          <w:p w:rsidR="00F32926" w:rsidRPr="006B1802" w:rsidRDefault="00473C0C" w:rsidP="00B93A10">
            <w:pPr>
              <w:keepNext/>
              <w:spacing w:before="40" w:after="40"/>
              <w:jc w:val="both"/>
              <w:rPr>
                <w:rFonts w:ascii="Arial Narrow" w:hAnsi="Arial Narrow" w:cs="Arial"/>
                <w:sz w:val="20"/>
                <w:szCs w:val="20"/>
              </w:rPr>
            </w:pPr>
            <w:r w:rsidRPr="006B1802">
              <w:rPr>
                <w:rFonts w:ascii="Arial Narrow" w:hAnsi="Arial Narrow" w:cs="Arial"/>
                <w:sz w:val="20"/>
                <w:szCs w:val="20"/>
              </w:rPr>
              <w:t>30mg +</w:t>
            </w:r>
            <w:r w:rsidR="00830CA8" w:rsidRPr="006B1802">
              <w:rPr>
                <w:rFonts w:ascii="Arial Narrow" w:hAnsi="Arial Narrow" w:cs="Arial"/>
                <w:sz w:val="20"/>
                <w:szCs w:val="20"/>
              </w:rPr>
              <w:t xml:space="preserve"> </w:t>
            </w:r>
            <w:r w:rsidRPr="006B1802">
              <w:rPr>
                <w:rFonts w:ascii="Arial Narrow" w:hAnsi="Arial Narrow" w:cs="Arial"/>
                <w:sz w:val="20"/>
                <w:szCs w:val="20"/>
              </w:rPr>
              <w:t>60</w:t>
            </w:r>
            <w:r w:rsidR="00F32926" w:rsidRPr="006B1802">
              <w:rPr>
                <w:rFonts w:ascii="Arial Narrow" w:hAnsi="Arial Narrow" w:cs="Arial"/>
                <w:sz w:val="20"/>
                <w:szCs w:val="20"/>
              </w:rPr>
              <w:t>mg oral tablets</w:t>
            </w:r>
          </w:p>
          <w:p w:rsidR="00F32926" w:rsidRPr="006B1802" w:rsidRDefault="00473C0C" w:rsidP="00B93A10">
            <w:pPr>
              <w:keepNext/>
              <w:spacing w:before="40" w:after="40"/>
              <w:jc w:val="both"/>
              <w:rPr>
                <w:rFonts w:ascii="Arial Narrow" w:hAnsi="Arial Narrow" w:cs="Arial"/>
                <w:sz w:val="20"/>
                <w:szCs w:val="20"/>
              </w:rPr>
            </w:pPr>
            <w:r w:rsidRPr="006B1802">
              <w:rPr>
                <w:rFonts w:ascii="Arial Narrow" w:hAnsi="Arial Narrow" w:cs="Arial"/>
                <w:sz w:val="20"/>
                <w:szCs w:val="20"/>
              </w:rPr>
              <w:t>30mg + 90</w:t>
            </w:r>
            <w:r w:rsidR="00F32926" w:rsidRPr="006B1802">
              <w:rPr>
                <w:rFonts w:ascii="Arial Narrow" w:hAnsi="Arial Narrow" w:cs="Arial"/>
                <w:sz w:val="20"/>
                <w:szCs w:val="20"/>
              </w:rPr>
              <w:t>mg oral tablets</w:t>
            </w:r>
          </w:p>
        </w:tc>
        <w:tc>
          <w:tcPr>
            <w:tcW w:w="419" w:type="pct"/>
          </w:tcPr>
          <w:p w:rsidR="00826F6D" w:rsidRPr="006B1802" w:rsidRDefault="00826F6D" w:rsidP="00B93A10">
            <w:pPr>
              <w:keepNext/>
              <w:spacing w:before="40" w:after="40"/>
              <w:jc w:val="both"/>
              <w:rPr>
                <w:rFonts w:ascii="Arial Narrow" w:hAnsi="Arial Narrow" w:cs="Arial"/>
                <w:sz w:val="20"/>
                <w:szCs w:val="20"/>
              </w:rPr>
            </w:pPr>
          </w:p>
          <w:p w:rsidR="00826F6D" w:rsidRPr="006B1802" w:rsidRDefault="00473C0C" w:rsidP="00B93A10">
            <w:pPr>
              <w:keepNext/>
              <w:spacing w:before="40" w:after="40"/>
              <w:jc w:val="both"/>
              <w:rPr>
                <w:rFonts w:ascii="Arial Narrow" w:hAnsi="Arial Narrow" w:cs="Arial"/>
                <w:sz w:val="20"/>
                <w:szCs w:val="20"/>
              </w:rPr>
            </w:pPr>
            <w:r w:rsidRPr="006B1802">
              <w:rPr>
                <w:rFonts w:ascii="Arial Narrow" w:hAnsi="Arial Narrow" w:cs="Arial"/>
                <w:sz w:val="20"/>
                <w:szCs w:val="20"/>
              </w:rPr>
              <w:t>56</w:t>
            </w:r>
          </w:p>
        </w:tc>
        <w:tc>
          <w:tcPr>
            <w:tcW w:w="503" w:type="pct"/>
          </w:tcPr>
          <w:p w:rsidR="00826F6D" w:rsidRPr="006B1802" w:rsidRDefault="00826F6D" w:rsidP="00B93A10">
            <w:pPr>
              <w:keepNext/>
              <w:spacing w:before="40" w:after="40"/>
              <w:jc w:val="both"/>
              <w:rPr>
                <w:rFonts w:ascii="Arial Narrow" w:hAnsi="Arial Narrow" w:cs="Arial"/>
                <w:sz w:val="20"/>
                <w:szCs w:val="20"/>
              </w:rPr>
            </w:pPr>
          </w:p>
          <w:p w:rsidR="00826F6D" w:rsidRPr="006B1802" w:rsidRDefault="00473C0C" w:rsidP="00B93A10">
            <w:pPr>
              <w:keepNext/>
              <w:spacing w:before="40" w:after="40"/>
              <w:jc w:val="both"/>
              <w:rPr>
                <w:rFonts w:ascii="Arial Narrow" w:hAnsi="Arial Narrow" w:cs="Arial"/>
                <w:sz w:val="20"/>
                <w:szCs w:val="20"/>
              </w:rPr>
            </w:pPr>
            <w:r w:rsidRPr="006B1802">
              <w:rPr>
                <w:rFonts w:ascii="Arial Narrow" w:hAnsi="Arial Narrow" w:cs="Arial"/>
                <w:sz w:val="20"/>
                <w:szCs w:val="20"/>
              </w:rPr>
              <w:t>5</w:t>
            </w:r>
          </w:p>
        </w:tc>
        <w:tc>
          <w:tcPr>
            <w:tcW w:w="909" w:type="pct"/>
          </w:tcPr>
          <w:p w:rsidR="00826F6D" w:rsidRPr="006B1802" w:rsidRDefault="00826F6D" w:rsidP="00B93A10">
            <w:pPr>
              <w:keepNext/>
              <w:spacing w:before="40" w:after="40"/>
              <w:jc w:val="both"/>
              <w:rPr>
                <w:rFonts w:ascii="Arial Narrow" w:hAnsi="Arial Narrow" w:cs="Arial"/>
                <w:sz w:val="20"/>
                <w:szCs w:val="20"/>
              </w:rPr>
            </w:pPr>
          </w:p>
          <w:p w:rsidR="00826F6D" w:rsidRPr="006B1802" w:rsidRDefault="00826F6D" w:rsidP="00B93A10">
            <w:pPr>
              <w:keepNext/>
              <w:spacing w:before="40" w:after="40"/>
              <w:jc w:val="both"/>
              <w:rPr>
                <w:rFonts w:ascii="Arial Narrow" w:hAnsi="Arial Narrow" w:cs="Arial"/>
                <w:sz w:val="20"/>
                <w:szCs w:val="20"/>
              </w:rPr>
            </w:pPr>
            <w:r w:rsidRPr="006B1802">
              <w:rPr>
                <w:rFonts w:ascii="Arial Narrow" w:hAnsi="Arial Narrow" w:cs="Arial"/>
                <w:sz w:val="20"/>
                <w:szCs w:val="20"/>
              </w:rPr>
              <w:t>$</w:t>
            </w:r>
            <w:r w:rsidR="0048521A" w:rsidRPr="006B1802">
              <w:rPr>
                <w:rFonts w:ascii="Arial Narrow" w:hAnsi="Arial Narrow" w:cs="Arial"/>
                <w:sz w:val="20"/>
                <w:szCs w:val="20"/>
              </w:rPr>
              <w:t>1,815.98 (published)</w:t>
            </w:r>
          </w:p>
          <w:p w:rsidR="0048521A" w:rsidRPr="006B1802" w:rsidRDefault="0048521A" w:rsidP="00B93A10">
            <w:pPr>
              <w:keepNext/>
              <w:spacing w:before="40" w:after="40"/>
              <w:jc w:val="both"/>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p w:rsidR="0048521A" w:rsidRPr="006B1802" w:rsidRDefault="0048521A" w:rsidP="00B93A10">
            <w:pPr>
              <w:keepNext/>
              <w:spacing w:before="40" w:after="40"/>
              <w:jc w:val="both"/>
              <w:rPr>
                <w:rFonts w:ascii="Arial Narrow" w:hAnsi="Arial Narrow" w:cs="Arial"/>
                <w:sz w:val="20"/>
                <w:szCs w:val="20"/>
              </w:rPr>
            </w:pPr>
            <w:r w:rsidRPr="006B1802">
              <w:rPr>
                <w:rFonts w:ascii="Arial Narrow" w:hAnsi="Arial Narrow" w:cs="Arial"/>
                <w:sz w:val="20"/>
                <w:szCs w:val="20"/>
              </w:rPr>
              <w:t>(effective)</w:t>
            </w:r>
          </w:p>
        </w:tc>
        <w:tc>
          <w:tcPr>
            <w:tcW w:w="427" w:type="pct"/>
          </w:tcPr>
          <w:p w:rsidR="00C27B58" w:rsidRPr="006B1802" w:rsidRDefault="00C27B58" w:rsidP="00B93A10">
            <w:pPr>
              <w:keepNext/>
              <w:spacing w:before="40" w:after="40"/>
              <w:jc w:val="both"/>
              <w:rPr>
                <w:rFonts w:ascii="Arial Narrow" w:hAnsi="Arial Narrow" w:cs="Arial"/>
                <w:sz w:val="20"/>
                <w:szCs w:val="20"/>
              </w:rPr>
            </w:pPr>
          </w:p>
          <w:p w:rsidR="00826F6D" w:rsidRPr="006B1802" w:rsidRDefault="00473C0C" w:rsidP="00B93A10">
            <w:pPr>
              <w:keepNext/>
              <w:spacing w:before="40" w:after="40"/>
              <w:jc w:val="both"/>
              <w:rPr>
                <w:rFonts w:ascii="Arial Narrow" w:hAnsi="Arial Narrow" w:cs="Arial"/>
                <w:sz w:val="20"/>
                <w:szCs w:val="20"/>
              </w:rPr>
            </w:pP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w:t>
            </w:r>
          </w:p>
        </w:tc>
        <w:tc>
          <w:tcPr>
            <w:tcW w:w="886" w:type="pct"/>
            <w:gridSpan w:val="2"/>
          </w:tcPr>
          <w:p w:rsidR="00C27B58" w:rsidRPr="006B1802" w:rsidRDefault="00C27B58" w:rsidP="00B93A10">
            <w:pPr>
              <w:keepNext/>
              <w:spacing w:before="40" w:after="40"/>
              <w:jc w:val="both"/>
              <w:rPr>
                <w:rFonts w:ascii="Arial Narrow" w:hAnsi="Arial Narrow" w:cs="Arial"/>
                <w:sz w:val="20"/>
                <w:szCs w:val="20"/>
              </w:rPr>
            </w:pPr>
          </w:p>
          <w:p w:rsidR="00826F6D" w:rsidRPr="006B1802" w:rsidRDefault="00473C0C" w:rsidP="00B93A10">
            <w:pPr>
              <w:keepNext/>
              <w:spacing w:before="40" w:after="40"/>
              <w:jc w:val="both"/>
              <w:rPr>
                <w:rFonts w:ascii="Arial Narrow" w:hAnsi="Arial Narrow" w:cs="Arial"/>
                <w:sz w:val="20"/>
                <w:szCs w:val="20"/>
              </w:rPr>
            </w:pPr>
            <w:r w:rsidRPr="006B1802">
              <w:rPr>
                <w:rFonts w:ascii="Arial Narrow" w:hAnsi="Arial Narrow" w:cs="Arial"/>
                <w:sz w:val="20"/>
                <w:szCs w:val="20"/>
              </w:rPr>
              <w:t>Otsuka Australia Pharmaceutical P/L</w:t>
            </w:r>
          </w:p>
        </w:tc>
      </w:tr>
      <w:tr w:rsidR="00826F6D" w:rsidRPr="006B1802" w:rsidTr="00414990">
        <w:trPr>
          <w:gridAfter w:val="1"/>
          <w:wAfter w:w="7" w:type="pct"/>
          <w:cantSplit/>
          <w:trHeight w:val="360"/>
        </w:trPr>
        <w:tc>
          <w:tcPr>
            <w:tcW w:w="4993" w:type="pct"/>
            <w:gridSpan w:val="7"/>
            <w:tcBorders>
              <w:bottom w:val="single" w:sz="4" w:space="0" w:color="auto"/>
            </w:tcBorders>
          </w:tcPr>
          <w:p w:rsidR="00826F6D" w:rsidRPr="006B1802" w:rsidRDefault="00826F6D" w:rsidP="00B93A10">
            <w:pPr>
              <w:spacing w:before="40" w:after="40"/>
              <w:jc w:val="both"/>
              <w:rPr>
                <w:rFonts w:ascii="Arial Narrow" w:hAnsi="Arial Narrow" w:cs="Arial"/>
                <w:sz w:val="20"/>
                <w:szCs w:val="20"/>
              </w:rPr>
            </w:pP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 xml:space="preserve">Category / </w:t>
            </w:r>
          </w:p>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Program</w:t>
            </w:r>
          </w:p>
        </w:tc>
        <w:tc>
          <w:tcPr>
            <w:tcW w:w="3905" w:type="pct"/>
            <w:gridSpan w:val="6"/>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rPr>
                <w:rFonts w:ascii="Arial Narrow" w:hAnsi="Arial Narrow" w:cs="Arial"/>
                <w:sz w:val="20"/>
                <w:szCs w:val="20"/>
              </w:rPr>
            </w:pPr>
            <w:r w:rsidRPr="006B1802">
              <w:rPr>
                <w:rFonts w:ascii="Arial Narrow" w:hAnsi="Arial Narrow" w:cs="Arial"/>
                <w:sz w:val="20"/>
                <w:szCs w:val="20"/>
              </w:rPr>
              <w:t>GENERAL – General Schedule (Code GE)</w:t>
            </w:r>
          </w:p>
          <w:p w:rsidR="00826F6D" w:rsidRPr="006B1802" w:rsidRDefault="00826F6D" w:rsidP="00B93A10">
            <w:pPr>
              <w:spacing w:before="40" w:after="40"/>
              <w:rPr>
                <w:rFonts w:ascii="Arial Narrow" w:hAnsi="Arial Narrow" w:cs="Arial"/>
                <w:sz w:val="20"/>
                <w:szCs w:val="20"/>
              </w:rPr>
            </w:pP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Prescriber type:</w:t>
            </w:r>
          </w:p>
        </w:tc>
        <w:tc>
          <w:tcPr>
            <w:tcW w:w="3905" w:type="pct"/>
            <w:gridSpan w:val="6"/>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1"/>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Dental  </w:t>
            </w:r>
            <w:r w:rsidR="002302AA" w:rsidRPr="006B1802">
              <w:rPr>
                <w:rFonts w:ascii="Arial Narrow" w:hAnsi="Arial Narrow" w:cs="Arial"/>
                <w:sz w:val="20"/>
                <w:szCs w:val="20"/>
              </w:rPr>
              <w:fldChar w:fldCharType="begin">
                <w:ffData>
                  <w:name w:val=""/>
                  <w:enabled/>
                  <w:calcOnExit w:val="0"/>
                  <w:checkBox>
                    <w:sizeAuto/>
                    <w:default w:val="1"/>
                  </w:checkBox>
                </w:ffData>
              </w:fldChar>
            </w:r>
            <w:r w:rsidR="002302AA"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002302AA" w:rsidRPr="006B1802">
              <w:rPr>
                <w:rFonts w:ascii="Arial Narrow" w:hAnsi="Arial Narrow" w:cs="Arial"/>
                <w:sz w:val="20"/>
                <w:szCs w:val="20"/>
              </w:rPr>
              <w:fldChar w:fldCharType="end"/>
            </w:r>
            <w:r w:rsidRPr="006B1802">
              <w:rPr>
                <w:rFonts w:ascii="Arial Narrow" w:hAnsi="Arial Narrow" w:cs="Arial"/>
                <w:sz w:val="20"/>
                <w:szCs w:val="20"/>
              </w:rPr>
              <w:t xml:space="preserve">Medical Practitioners  </w:t>
            </w:r>
            <w:r w:rsidRPr="006B1802">
              <w:rPr>
                <w:rFonts w:ascii="Arial Narrow" w:hAnsi="Arial Narrow" w:cs="Arial"/>
                <w:sz w:val="20"/>
                <w:szCs w:val="20"/>
              </w:rPr>
              <w:fldChar w:fldCharType="begin">
                <w:ffData>
                  <w:name w:val="Check3"/>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Nurse practitioners  </w:t>
            </w: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Optometrists</w:t>
            </w:r>
          </w:p>
          <w:p w:rsidR="00826F6D" w:rsidRPr="006B1802" w:rsidRDefault="00826F6D"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5"/>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Midwives</w:t>
            </w:r>
          </w:p>
        </w:tc>
      </w:tr>
      <w:tr w:rsidR="002302AA"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2302AA" w:rsidRPr="006B1802" w:rsidRDefault="002302AA" w:rsidP="00B93A10">
            <w:pPr>
              <w:spacing w:before="40" w:after="40"/>
              <w:jc w:val="both"/>
              <w:rPr>
                <w:rFonts w:ascii="Arial Narrow" w:hAnsi="Arial Narrow" w:cs="Arial"/>
                <w:b/>
                <w:sz w:val="20"/>
                <w:szCs w:val="20"/>
              </w:rPr>
            </w:pPr>
            <w:r w:rsidRPr="006B1802">
              <w:rPr>
                <w:rFonts w:ascii="Arial Narrow" w:hAnsi="Arial Narrow" w:cs="Arial"/>
                <w:b/>
                <w:sz w:val="20"/>
                <w:szCs w:val="20"/>
              </w:rPr>
              <w:t>Episodicity:</w:t>
            </w:r>
          </w:p>
        </w:tc>
        <w:tc>
          <w:tcPr>
            <w:tcW w:w="3905" w:type="pct"/>
            <w:gridSpan w:val="6"/>
            <w:tcBorders>
              <w:top w:val="single" w:sz="4" w:space="0" w:color="auto"/>
              <w:left w:val="single" w:sz="4" w:space="0" w:color="auto"/>
              <w:bottom w:val="single" w:sz="4" w:space="0" w:color="auto"/>
              <w:right w:val="single" w:sz="4" w:space="0" w:color="auto"/>
            </w:tcBorders>
          </w:tcPr>
          <w:p w:rsidR="002302AA" w:rsidRPr="006B1802" w:rsidRDefault="002302AA" w:rsidP="00B93A10">
            <w:pPr>
              <w:spacing w:before="40" w:after="40"/>
            </w:pPr>
            <w:r w:rsidRPr="006B1802">
              <w:rPr>
                <w:rFonts w:ascii="Arial Narrow" w:hAnsi="Arial Narrow" w:cs="Arial"/>
                <w:sz w:val="20"/>
                <w:szCs w:val="20"/>
              </w:rPr>
              <w:t>Chronic</w:t>
            </w:r>
          </w:p>
        </w:tc>
      </w:tr>
      <w:tr w:rsidR="002302AA"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2302AA" w:rsidRPr="006B1802" w:rsidRDefault="002302AA" w:rsidP="00B93A10">
            <w:pPr>
              <w:spacing w:before="40" w:after="40"/>
              <w:jc w:val="both"/>
              <w:rPr>
                <w:rFonts w:ascii="Arial Narrow" w:hAnsi="Arial Narrow" w:cs="Arial"/>
                <w:b/>
                <w:sz w:val="20"/>
                <w:szCs w:val="20"/>
              </w:rPr>
            </w:pPr>
            <w:r w:rsidRPr="006B1802">
              <w:rPr>
                <w:rFonts w:ascii="Arial Narrow" w:hAnsi="Arial Narrow" w:cs="Arial"/>
                <w:b/>
                <w:sz w:val="20"/>
                <w:szCs w:val="20"/>
              </w:rPr>
              <w:t>Severity:</w:t>
            </w:r>
          </w:p>
        </w:tc>
        <w:tc>
          <w:tcPr>
            <w:tcW w:w="3905" w:type="pct"/>
            <w:gridSpan w:val="6"/>
            <w:tcBorders>
              <w:top w:val="single" w:sz="4" w:space="0" w:color="auto"/>
              <w:left w:val="single" w:sz="4" w:space="0" w:color="auto"/>
              <w:bottom w:val="single" w:sz="4" w:space="0" w:color="auto"/>
              <w:right w:val="single" w:sz="4" w:space="0" w:color="auto"/>
            </w:tcBorders>
          </w:tcPr>
          <w:p w:rsidR="002302AA"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N/A</w:t>
            </w:r>
          </w:p>
        </w:tc>
      </w:tr>
      <w:tr w:rsidR="002302AA"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2302AA" w:rsidRPr="006B1802" w:rsidRDefault="002302AA" w:rsidP="00B93A10">
            <w:pPr>
              <w:spacing w:before="40" w:after="40"/>
              <w:jc w:val="both"/>
              <w:rPr>
                <w:rFonts w:ascii="Arial Narrow" w:hAnsi="Arial Narrow" w:cs="Arial"/>
                <w:b/>
                <w:sz w:val="20"/>
                <w:szCs w:val="20"/>
              </w:rPr>
            </w:pPr>
            <w:r w:rsidRPr="006B1802">
              <w:rPr>
                <w:rFonts w:ascii="Arial Narrow" w:hAnsi="Arial Narrow" w:cs="Arial"/>
                <w:b/>
                <w:sz w:val="20"/>
                <w:szCs w:val="20"/>
              </w:rPr>
              <w:lastRenderedPageBreak/>
              <w:t>Condition:</w:t>
            </w:r>
          </w:p>
        </w:tc>
        <w:tc>
          <w:tcPr>
            <w:tcW w:w="3905" w:type="pct"/>
            <w:gridSpan w:val="6"/>
            <w:tcBorders>
              <w:top w:val="single" w:sz="4" w:space="0" w:color="auto"/>
              <w:left w:val="single" w:sz="4" w:space="0" w:color="auto"/>
              <w:bottom w:val="single" w:sz="4" w:space="0" w:color="auto"/>
              <w:right w:val="single" w:sz="4" w:space="0" w:color="auto"/>
            </w:tcBorders>
          </w:tcPr>
          <w:p w:rsidR="002302AA" w:rsidRPr="006B1802" w:rsidRDefault="002302AA" w:rsidP="00B93A10">
            <w:pPr>
              <w:spacing w:before="40" w:after="40"/>
              <w:rPr>
                <w:rFonts w:ascii="Arial Narrow" w:hAnsi="Arial Narrow" w:cs="Arial"/>
                <w:sz w:val="20"/>
                <w:szCs w:val="20"/>
              </w:rPr>
            </w:pPr>
            <w:r w:rsidRPr="006B1802">
              <w:rPr>
                <w:rFonts w:ascii="Arial Narrow" w:hAnsi="Arial Narrow" w:cs="Arial"/>
                <w:sz w:val="20"/>
                <w:szCs w:val="20"/>
              </w:rPr>
              <w:t>Autosomal dominant polycystic kidney disease (ADPKD)</w:t>
            </w:r>
          </w:p>
        </w:tc>
      </w:tr>
      <w:tr w:rsidR="002302AA"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2302AA" w:rsidRPr="006B1802" w:rsidRDefault="002302AA" w:rsidP="00B93A10">
            <w:pPr>
              <w:spacing w:before="40" w:after="40"/>
              <w:jc w:val="both"/>
              <w:rPr>
                <w:rFonts w:ascii="Arial Narrow" w:hAnsi="Arial Narrow" w:cs="Arial"/>
                <w:b/>
                <w:sz w:val="20"/>
                <w:szCs w:val="20"/>
              </w:rPr>
            </w:pPr>
            <w:r w:rsidRPr="006B1802">
              <w:rPr>
                <w:rFonts w:ascii="Arial Narrow" w:hAnsi="Arial Narrow" w:cs="Arial"/>
                <w:b/>
                <w:sz w:val="20"/>
                <w:szCs w:val="20"/>
              </w:rPr>
              <w:t>PBS Indication:</w:t>
            </w:r>
          </w:p>
        </w:tc>
        <w:tc>
          <w:tcPr>
            <w:tcW w:w="3905" w:type="pct"/>
            <w:gridSpan w:val="6"/>
            <w:tcBorders>
              <w:top w:val="single" w:sz="4" w:space="0" w:color="auto"/>
              <w:left w:val="single" w:sz="4" w:space="0" w:color="auto"/>
              <w:bottom w:val="single" w:sz="4" w:space="0" w:color="auto"/>
              <w:right w:val="single" w:sz="4" w:space="0" w:color="auto"/>
            </w:tcBorders>
          </w:tcPr>
          <w:p w:rsidR="002302AA" w:rsidRPr="006B1802" w:rsidRDefault="002302AA" w:rsidP="00B93A10">
            <w:pPr>
              <w:spacing w:before="40" w:after="40"/>
              <w:rPr>
                <w:rFonts w:ascii="Arial Narrow" w:hAnsi="Arial Narrow" w:cs="Arial"/>
                <w:sz w:val="20"/>
                <w:szCs w:val="20"/>
              </w:rPr>
            </w:pPr>
            <w:r w:rsidRPr="006B1802">
              <w:rPr>
                <w:rFonts w:ascii="Arial Narrow" w:hAnsi="Arial Narrow" w:cs="Arial"/>
                <w:sz w:val="20"/>
                <w:szCs w:val="20"/>
              </w:rPr>
              <w:t>Autosomal dominant polycystic kidney disease (ADPKD)</w:t>
            </w:r>
          </w:p>
        </w:tc>
      </w:tr>
      <w:tr w:rsidR="002302AA"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2302AA" w:rsidRPr="006B1802" w:rsidRDefault="002302AA" w:rsidP="00B93A10">
            <w:pPr>
              <w:spacing w:before="40" w:after="40"/>
              <w:jc w:val="both"/>
              <w:rPr>
                <w:rFonts w:ascii="Arial Narrow" w:hAnsi="Arial Narrow" w:cs="Arial"/>
                <w:b/>
                <w:sz w:val="20"/>
                <w:szCs w:val="20"/>
              </w:rPr>
            </w:pPr>
            <w:r w:rsidRPr="006B1802">
              <w:rPr>
                <w:rFonts w:ascii="Arial Narrow" w:hAnsi="Arial Narrow" w:cs="Arial"/>
                <w:b/>
                <w:sz w:val="20"/>
                <w:szCs w:val="20"/>
              </w:rPr>
              <w:t>Treatment phase:</w:t>
            </w:r>
          </w:p>
          <w:p w:rsidR="002302AA" w:rsidRPr="006B1802" w:rsidRDefault="002302AA" w:rsidP="00B93A10">
            <w:pPr>
              <w:spacing w:before="40" w:after="40"/>
              <w:jc w:val="both"/>
              <w:rPr>
                <w:rFonts w:ascii="Arial Narrow" w:hAnsi="Arial Narrow" w:cs="Arial"/>
                <w:i/>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2302AA" w:rsidRPr="006B1802" w:rsidRDefault="002302AA" w:rsidP="00B93A10">
            <w:pPr>
              <w:spacing w:before="40" w:after="40"/>
              <w:rPr>
                <w:rFonts w:ascii="Arial Narrow" w:hAnsi="Arial Narrow" w:cs="Arial"/>
                <w:sz w:val="20"/>
                <w:szCs w:val="20"/>
              </w:rPr>
            </w:pPr>
            <w:r w:rsidRPr="006B1802">
              <w:rPr>
                <w:rFonts w:ascii="Arial Narrow" w:hAnsi="Arial Narrow" w:cs="Arial"/>
                <w:sz w:val="20"/>
                <w:szCs w:val="20"/>
              </w:rPr>
              <w:t>Initial</w:t>
            </w: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Restriction Level / Method:</w:t>
            </w:r>
          </w:p>
          <w:p w:rsidR="00826F6D" w:rsidRPr="006B1802" w:rsidRDefault="00826F6D" w:rsidP="00B93A10">
            <w:pPr>
              <w:spacing w:before="40" w:after="40"/>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826F6D" w:rsidRPr="006B1802" w:rsidRDefault="00A445C2"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1"/>
                  <w:enabled/>
                  <w:calcOnExit w:val="0"/>
                  <w:checkBox>
                    <w:sizeAuto/>
                    <w:default w:val="0"/>
                  </w:checkBox>
                </w:ffData>
              </w:fldChar>
            </w:r>
            <w:bookmarkStart w:id="2" w:name="Check1"/>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bookmarkEnd w:id="2"/>
            <w:r w:rsidR="00826F6D" w:rsidRPr="006B1802">
              <w:rPr>
                <w:rFonts w:ascii="Arial Narrow" w:hAnsi="Arial Narrow" w:cs="Arial"/>
                <w:sz w:val="20"/>
                <w:szCs w:val="20"/>
              </w:rPr>
              <w:t>Restricted benefit</w:t>
            </w:r>
          </w:p>
          <w:p w:rsidR="00826F6D" w:rsidRPr="006B1802" w:rsidRDefault="002302AA"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1"/>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00826F6D" w:rsidRPr="006B1802">
              <w:rPr>
                <w:rFonts w:ascii="Arial Narrow" w:hAnsi="Arial Narrow" w:cs="Arial"/>
                <w:sz w:val="20"/>
                <w:szCs w:val="20"/>
              </w:rPr>
              <w:t>Authority Required - In Writing</w:t>
            </w:r>
          </w:p>
          <w:p w:rsidR="00826F6D" w:rsidRPr="006B1802" w:rsidRDefault="002302AA"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3"/>
                  <w:enabled/>
                  <w:calcOnExit w:val="0"/>
                  <w:checkBox>
                    <w:sizeAuto/>
                    <w:default w:val="1"/>
                  </w:checkBox>
                </w:ffData>
              </w:fldChar>
            </w:r>
            <w:bookmarkStart w:id="3" w:name="Check3"/>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bookmarkEnd w:id="3"/>
            <w:r w:rsidR="00826F6D" w:rsidRPr="006B1802">
              <w:rPr>
                <w:rFonts w:ascii="Arial Narrow" w:hAnsi="Arial Narrow" w:cs="Arial"/>
                <w:sz w:val="20"/>
                <w:szCs w:val="20"/>
              </w:rPr>
              <w:t>Authority Required - Telephone</w:t>
            </w:r>
          </w:p>
          <w:p w:rsidR="00826F6D" w:rsidRPr="006B1802" w:rsidRDefault="00826F6D"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Authority Required – Emergency</w:t>
            </w:r>
          </w:p>
          <w:p w:rsidR="00826F6D" w:rsidRPr="006B1802" w:rsidRDefault="0001500E"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5"/>
                  <w:enabled/>
                  <w:calcOnExit w:val="0"/>
                  <w:checkBox>
                    <w:sizeAuto/>
                    <w:default w:val="1"/>
                  </w:checkBox>
                </w:ffData>
              </w:fldChar>
            </w:r>
            <w:bookmarkStart w:id="4" w:name="Check5"/>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bookmarkEnd w:id="4"/>
            <w:r w:rsidR="00826F6D" w:rsidRPr="006B1802">
              <w:rPr>
                <w:rFonts w:ascii="Arial Narrow" w:hAnsi="Arial Narrow" w:cs="Arial"/>
                <w:sz w:val="20"/>
                <w:szCs w:val="20"/>
              </w:rPr>
              <w:t>Authority Required - Electronic</w:t>
            </w:r>
          </w:p>
          <w:p w:rsidR="00826F6D" w:rsidRPr="006B1802" w:rsidRDefault="00826F6D"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5"/>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Streamlined</w:t>
            </w: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rPr>
                <w:rFonts w:ascii="Arial Narrow" w:hAnsi="Arial Narrow" w:cs="Arial"/>
                <w:b/>
                <w:sz w:val="20"/>
                <w:szCs w:val="20"/>
              </w:rPr>
            </w:pPr>
            <w:r w:rsidRPr="006B1802">
              <w:rPr>
                <w:rFonts w:ascii="Arial Narrow" w:hAnsi="Arial Narrow" w:cs="Arial"/>
                <w:b/>
                <w:sz w:val="20"/>
                <w:szCs w:val="20"/>
              </w:rPr>
              <w:t>Treatment criteria:</w:t>
            </w:r>
          </w:p>
          <w:p w:rsidR="00826F6D" w:rsidRPr="006B1802" w:rsidRDefault="00826F6D" w:rsidP="00B93A10">
            <w:pPr>
              <w:spacing w:before="40" w:after="40"/>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826F6D"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Prescriber must be a specialist who has undergone tolvaptan prescriber training</w:t>
            </w: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Clinical criteria:</w:t>
            </w:r>
          </w:p>
          <w:p w:rsidR="00826F6D" w:rsidRPr="006B1802" w:rsidRDefault="00826F6D" w:rsidP="00B93A10">
            <w:pPr>
              <w:spacing w:before="40" w:after="40"/>
              <w:jc w:val="both"/>
              <w:rPr>
                <w:rFonts w:ascii="Arial Narrow" w:hAnsi="Arial Narrow" w:cs="Arial"/>
                <w:i/>
                <w:sz w:val="20"/>
                <w:szCs w:val="20"/>
              </w:rPr>
            </w:pPr>
          </w:p>
          <w:p w:rsidR="00826F6D" w:rsidRPr="006B1802" w:rsidRDefault="00826F6D" w:rsidP="00B93A10">
            <w:pPr>
              <w:spacing w:before="40" w:after="40"/>
              <w:jc w:val="both"/>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5549A7"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The condition must be a confirmed diagnosis of ADPKD</w:t>
            </w:r>
          </w:p>
          <w:p w:rsidR="005549A7"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 xml:space="preserve">AND </w:t>
            </w:r>
          </w:p>
          <w:p w:rsidR="005549A7"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The patient must have an eGFR between 30 and 89 mL/min 1.73 m</w:t>
            </w:r>
            <w:r w:rsidRPr="006B1802">
              <w:rPr>
                <w:rFonts w:ascii="Arial Narrow" w:hAnsi="Arial Narrow" w:cs="Arial"/>
                <w:sz w:val="20"/>
                <w:szCs w:val="20"/>
                <w:vertAlign w:val="superscript"/>
              </w:rPr>
              <w:t>2</w:t>
            </w:r>
            <w:r w:rsidRPr="006B1802">
              <w:rPr>
                <w:rFonts w:ascii="Arial Narrow" w:hAnsi="Arial Narrow" w:cs="Arial"/>
                <w:sz w:val="20"/>
                <w:szCs w:val="20"/>
              </w:rPr>
              <w:t xml:space="preserve"> at the initiation of treatment.</w:t>
            </w:r>
          </w:p>
          <w:p w:rsidR="005549A7"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AND</w:t>
            </w:r>
          </w:p>
          <w:p w:rsidR="00826F6D"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The patient must have rapidly progressing disease.</w:t>
            </w:r>
          </w:p>
          <w:p w:rsidR="00826F6D" w:rsidRPr="006B1802" w:rsidRDefault="00826F6D" w:rsidP="00B93A10">
            <w:pPr>
              <w:spacing w:before="40" w:after="40"/>
              <w:jc w:val="both"/>
              <w:rPr>
                <w:rFonts w:ascii="Arial Narrow" w:hAnsi="Arial Narrow" w:cs="Arial"/>
                <w:sz w:val="20"/>
                <w:szCs w:val="20"/>
              </w:rPr>
            </w:pP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Population criteria:</w:t>
            </w:r>
          </w:p>
          <w:p w:rsidR="00826F6D" w:rsidRPr="006B1802" w:rsidRDefault="00826F6D" w:rsidP="00B93A10">
            <w:pPr>
              <w:spacing w:before="40" w:after="40"/>
              <w:jc w:val="both"/>
              <w:rPr>
                <w:rFonts w:ascii="Arial Narrow" w:hAnsi="Arial Narrow" w:cs="Arial"/>
                <w:i/>
                <w:sz w:val="20"/>
                <w:szCs w:val="20"/>
              </w:rPr>
            </w:pPr>
          </w:p>
          <w:p w:rsidR="00826F6D" w:rsidRPr="006B1802" w:rsidRDefault="00826F6D" w:rsidP="00B93A10">
            <w:pPr>
              <w:spacing w:before="40" w:after="40"/>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826F6D"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N/A</w:t>
            </w: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Foreword</w:t>
            </w:r>
          </w:p>
          <w:p w:rsidR="00826F6D" w:rsidRPr="006B1802" w:rsidRDefault="00826F6D" w:rsidP="00B93A10">
            <w:pPr>
              <w:spacing w:before="40" w:after="40"/>
              <w:jc w:val="both"/>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826F6D"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N/A</w:t>
            </w: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Definitions</w:t>
            </w:r>
          </w:p>
          <w:p w:rsidR="00826F6D" w:rsidRPr="006B1802" w:rsidRDefault="00826F6D" w:rsidP="00B93A10">
            <w:pPr>
              <w:spacing w:before="40" w:after="40"/>
              <w:jc w:val="both"/>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5549A7"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Rapidly progressing disease is defined as either of the following conditions:</w:t>
            </w:r>
          </w:p>
          <w:p w:rsidR="00826F6D"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A decline in eGFR ≥5 mL/min/1.73 m</w:t>
            </w:r>
            <w:r w:rsidRPr="006B1802">
              <w:rPr>
                <w:rFonts w:ascii="Arial Narrow" w:hAnsi="Arial Narrow" w:cs="Arial"/>
                <w:sz w:val="20"/>
                <w:szCs w:val="20"/>
                <w:vertAlign w:val="superscript"/>
              </w:rPr>
              <w:t>2</w:t>
            </w:r>
            <w:r w:rsidRPr="006B1802">
              <w:rPr>
                <w:rFonts w:ascii="Arial Narrow" w:hAnsi="Arial Narrow" w:cs="Arial"/>
                <w:sz w:val="20"/>
                <w:szCs w:val="20"/>
              </w:rPr>
              <w:t xml:space="preserve"> within one year OR an average decline in eGFR ≥2.5 mL/min/1.73 m</w:t>
            </w:r>
            <w:r w:rsidRPr="006B1802">
              <w:rPr>
                <w:rFonts w:ascii="Arial Narrow" w:hAnsi="Arial Narrow" w:cs="Arial"/>
                <w:sz w:val="20"/>
                <w:szCs w:val="20"/>
                <w:vertAlign w:val="superscript"/>
              </w:rPr>
              <w:t>2</w:t>
            </w:r>
            <w:r w:rsidRPr="006B1802">
              <w:rPr>
                <w:rFonts w:ascii="Arial Narrow" w:hAnsi="Arial Narrow" w:cs="Arial"/>
                <w:sz w:val="20"/>
                <w:szCs w:val="20"/>
              </w:rPr>
              <w:t xml:space="preserve"> per year over a five year period</w:t>
            </w: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Prescriber Instructions</w:t>
            </w:r>
          </w:p>
          <w:p w:rsidR="00826F6D" w:rsidRPr="006B1802" w:rsidRDefault="00826F6D" w:rsidP="00B93A10">
            <w:pPr>
              <w:spacing w:before="40" w:after="40"/>
              <w:jc w:val="both"/>
              <w:rPr>
                <w:rFonts w:ascii="Arial Narrow" w:hAnsi="Arial Narrow" w:cs="Arial"/>
                <w:i/>
                <w:sz w:val="20"/>
                <w:szCs w:val="20"/>
              </w:rPr>
            </w:pPr>
          </w:p>
          <w:p w:rsidR="00826F6D" w:rsidRPr="006B1802" w:rsidRDefault="00826F6D" w:rsidP="00B93A10">
            <w:pPr>
              <w:spacing w:before="40" w:after="40"/>
              <w:jc w:val="both"/>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5549A7"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Details of tolvaptan prescriber training requirements</w:t>
            </w:r>
          </w:p>
          <w:p w:rsidR="005549A7"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 xml:space="preserve">Otsuka has committed to ensuring that in Australia all the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xml:space="preserve"> prescribers are educated on the use of the drug and that a liver function monitoring program is implemented to minimise the risk of hepatic injury.</w:t>
            </w:r>
          </w:p>
          <w:p w:rsidR="00826F6D"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 xml:space="preserve">The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xml:space="preserve"> Monitoring and Distribution Program (www.jinarc.com.au) has been set up to host the training material and prescriber certification and to support long-term liver monitoring and safety. All prescribers and patients must take part in the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xml:space="preserve"> Monitoring and Distribution Program in order to prescribe/receive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xml:space="preserve"> in Australia.</w:t>
            </w: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Administrative Advice</w:t>
            </w:r>
          </w:p>
          <w:p w:rsidR="00826F6D" w:rsidRPr="006B1802" w:rsidRDefault="00826F6D" w:rsidP="00B93A10">
            <w:pPr>
              <w:spacing w:before="40" w:after="40"/>
              <w:jc w:val="both"/>
              <w:rPr>
                <w:rFonts w:ascii="Arial Narrow" w:hAnsi="Arial Narrow" w:cs="Arial"/>
                <w:i/>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826F6D"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N/A</w:t>
            </w:r>
          </w:p>
        </w:tc>
      </w:tr>
      <w:tr w:rsidR="00826F6D" w:rsidRPr="006B1802" w:rsidTr="002302AA">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6B1802" w:rsidRDefault="00826F6D" w:rsidP="00B93A10">
            <w:pPr>
              <w:spacing w:before="40" w:after="40"/>
              <w:jc w:val="both"/>
              <w:rPr>
                <w:rFonts w:ascii="Arial Narrow" w:hAnsi="Arial Narrow" w:cs="Arial"/>
                <w:b/>
                <w:sz w:val="20"/>
                <w:szCs w:val="20"/>
              </w:rPr>
            </w:pPr>
            <w:r w:rsidRPr="006B1802">
              <w:rPr>
                <w:rFonts w:ascii="Arial Narrow" w:hAnsi="Arial Narrow" w:cs="Arial"/>
                <w:b/>
                <w:sz w:val="20"/>
                <w:szCs w:val="20"/>
              </w:rPr>
              <w:t>Cautions</w:t>
            </w:r>
          </w:p>
          <w:p w:rsidR="00826F6D" w:rsidRPr="006B1802" w:rsidRDefault="00826F6D" w:rsidP="00B93A10">
            <w:pPr>
              <w:spacing w:before="40" w:after="40"/>
              <w:jc w:val="both"/>
              <w:rPr>
                <w:rFonts w:ascii="Arial Narrow" w:hAnsi="Arial Narrow" w:cs="Arial"/>
                <w:i/>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5549A7"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Recommendations for the management of potential hepatic toxicity</w:t>
            </w:r>
          </w:p>
          <w:p w:rsidR="00826F6D" w:rsidRPr="006B1802" w:rsidRDefault="005549A7" w:rsidP="00B93A10">
            <w:pPr>
              <w:spacing w:before="40" w:after="40"/>
              <w:rPr>
                <w:rFonts w:ascii="Arial Narrow" w:hAnsi="Arial Narrow" w:cs="Arial"/>
                <w:sz w:val="20"/>
                <w:szCs w:val="20"/>
              </w:rPr>
            </w:pPr>
            <w:r w:rsidRPr="006B1802">
              <w:rPr>
                <w:rFonts w:ascii="Arial Narrow" w:hAnsi="Arial Narrow" w:cs="Arial"/>
                <w:sz w:val="20"/>
                <w:szCs w:val="20"/>
              </w:rPr>
              <w:t xml:space="preserve">To mitigate the risk of significant and/or irreversible liver injury, blood testing for hepatic transaminases and bilirubin is required prior to initiation of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continuing monthly for 18 months and at regular 3 monthly intervals thereafter. Concurrent monitoring for symptoms that may indicate liver injury (such as fatigue, anorexia, nausea, right upper abdominal discomfort, vomiting, fever, rash, pruritus, dark urine or jaundice) is recommended.</w:t>
            </w:r>
          </w:p>
        </w:tc>
      </w:tr>
      <w:tr w:rsidR="00BB51E5" w:rsidRPr="006B1802" w:rsidTr="00414990">
        <w:trPr>
          <w:gridAfter w:val="1"/>
          <w:wAfter w:w="7" w:type="pct"/>
          <w:cantSplit/>
          <w:trHeight w:val="360"/>
        </w:trPr>
        <w:tc>
          <w:tcPr>
            <w:tcW w:w="4993" w:type="pct"/>
            <w:gridSpan w:val="7"/>
            <w:tcBorders>
              <w:bottom w:val="single" w:sz="4" w:space="0" w:color="auto"/>
            </w:tcBorders>
          </w:tcPr>
          <w:p w:rsidR="00BB51E5" w:rsidRPr="006B1802" w:rsidRDefault="00BB51E5" w:rsidP="00B93A10">
            <w:pPr>
              <w:rPr>
                <w:szCs w:val="22"/>
              </w:rPr>
            </w:pP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 xml:space="preserve">Category / </w:t>
            </w:r>
          </w:p>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Program</w:t>
            </w: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GENERAL – General Schedule (Code GE)</w:t>
            </w:r>
          </w:p>
          <w:p w:rsidR="00BB51E5" w:rsidRPr="006B1802" w:rsidRDefault="00BB51E5" w:rsidP="00B93A10">
            <w:pPr>
              <w:spacing w:before="40" w:after="40"/>
              <w:rPr>
                <w:rFonts w:ascii="Arial Narrow" w:hAnsi="Arial Narrow" w:cs="Arial"/>
                <w:sz w:val="20"/>
                <w:szCs w:val="20"/>
              </w:rPr>
            </w:pP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lastRenderedPageBreak/>
              <w:t>Prescriber type:</w:t>
            </w: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1"/>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Dental  </w:t>
            </w:r>
            <w:r w:rsidRPr="006B1802">
              <w:rPr>
                <w:rFonts w:ascii="Arial Narrow" w:hAnsi="Arial Narrow" w:cs="Arial"/>
                <w:sz w:val="20"/>
                <w:szCs w:val="20"/>
              </w:rPr>
              <w:fldChar w:fldCharType="begin">
                <w:ffData>
                  <w:name w:val=""/>
                  <w:enabled/>
                  <w:calcOnExit w:val="0"/>
                  <w:checkBox>
                    <w:sizeAuto/>
                    <w:default w:val="1"/>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Medical Practitioners  </w:t>
            </w:r>
            <w:r w:rsidRPr="006B1802">
              <w:rPr>
                <w:rFonts w:ascii="Arial Narrow" w:hAnsi="Arial Narrow" w:cs="Arial"/>
                <w:sz w:val="20"/>
                <w:szCs w:val="20"/>
              </w:rPr>
              <w:fldChar w:fldCharType="begin">
                <w:ffData>
                  <w:name w:val="Check3"/>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Nurse practitioners  </w:t>
            </w: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Optometrists</w:t>
            </w:r>
          </w:p>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5"/>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Midwives</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Episodicity:</w:t>
            </w: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Chronic</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Severity:</w:t>
            </w: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N/A</w:t>
            </w:r>
          </w:p>
        </w:tc>
      </w:tr>
      <w:tr w:rsidR="00BB51E5" w:rsidRPr="006B1802" w:rsidTr="005E0AAC">
        <w:trPr>
          <w:gridAfter w:val="1"/>
          <w:wAfter w:w="7" w:type="pct"/>
          <w:cantSplit/>
          <w:trHeight w:val="48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Condition:</w:t>
            </w: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Autosomal dominant polycystic kidney disease (ADPKD)</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PBS Indication:</w:t>
            </w: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Autosomal dominant polycystic kidney disease (ADPKD)</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Treatment phase:</w:t>
            </w:r>
          </w:p>
          <w:p w:rsidR="00BB51E5" w:rsidRPr="006B1802" w:rsidRDefault="00BB51E5" w:rsidP="00B93A10">
            <w:pPr>
              <w:spacing w:before="40" w:after="40"/>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935768" w:rsidP="00B93A10">
            <w:pPr>
              <w:spacing w:before="40" w:after="40"/>
              <w:rPr>
                <w:rFonts w:ascii="Arial Narrow" w:hAnsi="Arial Narrow" w:cs="Arial"/>
                <w:sz w:val="20"/>
                <w:szCs w:val="20"/>
              </w:rPr>
            </w:pPr>
            <w:r w:rsidRPr="006B1802">
              <w:rPr>
                <w:rFonts w:ascii="Arial Narrow" w:hAnsi="Arial Narrow" w:cs="Arial"/>
                <w:sz w:val="20"/>
                <w:szCs w:val="20"/>
              </w:rPr>
              <w:t>Continuing</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Restriction Level / Method:</w:t>
            </w:r>
          </w:p>
          <w:p w:rsidR="00BB51E5" w:rsidRPr="006B1802" w:rsidRDefault="00BB51E5" w:rsidP="00B93A10">
            <w:pPr>
              <w:spacing w:before="40" w:after="40"/>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935768"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00BB51E5" w:rsidRPr="006B1802">
              <w:rPr>
                <w:rFonts w:ascii="Arial Narrow" w:hAnsi="Arial Narrow" w:cs="Arial"/>
                <w:sz w:val="20"/>
                <w:szCs w:val="20"/>
              </w:rPr>
              <w:t>Restricted benefit</w:t>
            </w:r>
          </w:p>
          <w:p w:rsidR="00BB51E5" w:rsidRPr="006B1802" w:rsidRDefault="00935768"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00BB51E5" w:rsidRPr="006B1802">
              <w:rPr>
                <w:rFonts w:ascii="Arial Narrow" w:hAnsi="Arial Narrow" w:cs="Arial"/>
                <w:sz w:val="20"/>
                <w:szCs w:val="20"/>
              </w:rPr>
              <w:t>Authority Required - In Writing</w:t>
            </w:r>
          </w:p>
          <w:p w:rsidR="00BB51E5" w:rsidRPr="006B1802" w:rsidRDefault="00935768"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00BB51E5" w:rsidRPr="006B1802">
              <w:rPr>
                <w:rFonts w:ascii="Arial Narrow" w:hAnsi="Arial Narrow" w:cs="Arial"/>
                <w:sz w:val="20"/>
                <w:szCs w:val="20"/>
              </w:rPr>
              <w:t>Authority Required - Telephone</w:t>
            </w:r>
          </w:p>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Authority Required – Emergency</w:t>
            </w:r>
          </w:p>
          <w:p w:rsidR="00BB51E5" w:rsidRPr="006B1802" w:rsidRDefault="00935768"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00BB51E5" w:rsidRPr="006B1802">
              <w:rPr>
                <w:rFonts w:ascii="Arial Narrow" w:hAnsi="Arial Narrow" w:cs="Arial"/>
                <w:sz w:val="20"/>
                <w:szCs w:val="20"/>
              </w:rPr>
              <w:t>Authority Required - Electronic</w:t>
            </w:r>
          </w:p>
          <w:p w:rsidR="00BB51E5" w:rsidRPr="006B1802" w:rsidRDefault="00935768"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1"/>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00BB51E5" w:rsidRPr="006B1802">
              <w:rPr>
                <w:rFonts w:ascii="Arial Narrow" w:hAnsi="Arial Narrow" w:cs="Arial"/>
                <w:sz w:val="20"/>
                <w:szCs w:val="20"/>
              </w:rPr>
              <w:t>Streamlined</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Treatment criteria:</w:t>
            </w:r>
          </w:p>
          <w:p w:rsidR="00BB51E5" w:rsidRPr="006B1802" w:rsidRDefault="00BB51E5" w:rsidP="00B93A10">
            <w:pPr>
              <w:spacing w:before="40" w:after="40"/>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szCs w:val="22"/>
              </w:rPr>
            </w:pPr>
            <w:r w:rsidRPr="006B1802">
              <w:rPr>
                <w:rFonts w:ascii="Arial Narrow" w:hAnsi="Arial Narrow" w:cs="Arial"/>
                <w:sz w:val="20"/>
                <w:szCs w:val="20"/>
              </w:rPr>
              <w:t xml:space="preserve">Prescriber must be a specialist who has undergone tolvaptan prescriber training </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Clinical criteria:</w:t>
            </w:r>
          </w:p>
          <w:p w:rsidR="00BB51E5" w:rsidRPr="006B1802" w:rsidRDefault="00BB51E5" w:rsidP="00B93A10">
            <w:pPr>
              <w:spacing w:before="40" w:after="40"/>
              <w:rPr>
                <w:rFonts w:ascii="Arial Narrow" w:hAnsi="Arial Narrow" w:cs="Arial"/>
                <w:sz w:val="20"/>
                <w:szCs w:val="20"/>
              </w:rPr>
            </w:pPr>
          </w:p>
          <w:p w:rsidR="00BB51E5" w:rsidRPr="006B1802" w:rsidRDefault="00BB51E5" w:rsidP="00B93A10">
            <w:pPr>
              <w:spacing w:before="40" w:after="40"/>
              <w:rPr>
                <w:rFonts w:ascii="Arial Narrow" w:hAnsi="Arial Narrow" w:cs="Arial"/>
                <w:sz w:val="20"/>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1533A5" w:rsidRPr="006B1802" w:rsidRDefault="001533A5" w:rsidP="00B93A10">
            <w:pPr>
              <w:spacing w:before="40" w:after="40"/>
              <w:rPr>
                <w:rFonts w:ascii="Arial Narrow" w:hAnsi="Arial Narrow" w:cs="Arial"/>
                <w:sz w:val="20"/>
                <w:szCs w:val="20"/>
              </w:rPr>
            </w:pPr>
            <w:r w:rsidRPr="006B1802">
              <w:rPr>
                <w:rFonts w:ascii="Arial Narrow" w:hAnsi="Arial Narrow" w:cs="Arial"/>
                <w:sz w:val="20"/>
                <w:szCs w:val="20"/>
              </w:rPr>
              <w:t>The condition must be a confirmed diagnosis of ADPKD</w:t>
            </w:r>
          </w:p>
          <w:p w:rsidR="001533A5" w:rsidRPr="006B1802" w:rsidRDefault="001533A5" w:rsidP="00B93A10">
            <w:pPr>
              <w:spacing w:before="40" w:after="40"/>
              <w:rPr>
                <w:rFonts w:ascii="Arial Narrow" w:hAnsi="Arial Narrow" w:cs="Arial"/>
                <w:sz w:val="20"/>
                <w:szCs w:val="20"/>
              </w:rPr>
            </w:pPr>
            <w:r w:rsidRPr="006B1802">
              <w:rPr>
                <w:rFonts w:ascii="Arial Narrow" w:hAnsi="Arial Narrow" w:cs="Arial"/>
                <w:sz w:val="20"/>
                <w:szCs w:val="20"/>
              </w:rPr>
              <w:t>AND</w:t>
            </w:r>
          </w:p>
          <w:p w:rsidR="001533A5" w:rsidRPr="006B1802" w:rsidRDefault="001533A5" w:rsidP="00B93A10">
            <w:pPr>
              <w:spacing w:before="40" w:after="40"/>
              <w:rPr>
                <w:rFonts w:ascii="Arial Narrow" w:hAnsi="Arial Narrow" w:cs="Arial"/>
                <w:sz w:val="20"/>
                <w:szCs w:val="20"/>
              </w:rPr>
            </w:pPr>
            <w:r w:rsidRPr="006B1802">
              <w:rPr>
                <w:rFonts w:ascii="Arial Narrow" w:hAnsi="Arial Narrow" w:cs="Arial"/>
                <w:sz w:val="20"/>
                <w:szCs w:val="20"/>
              </w:rPr>
              <w:t>Patient must have previously been issued with an authority prescription for this drug for this condition</w:t>
            </w:r>
          </w:p>
          <w:p w:rsidR="001533A5" w:rsidRPr="006B1802" w:rsidRDefault="001533A5" w:rsidP="00B93A10">
            <w:pPr>
              <w:spacing w:before="40" w:after="40"/>
              <w:rPr>
                <w:rFonts w:ascii="Arial Narrow" w:hAnsi="Arial Narrow" w:cs="Arial"/>
                <w:sz w:val="20"/>
                <w:szCs w:val="20"/>
              </w:rPr>
            </w:pPr>
            <w:r w:rsidRPr="006B1802">
              <w:rPr>
                <w:rFonts w:ascii="Arial Narrow" w:hAnsi="Arial Narrow" w:cs="Arial"/>
                <w:sz w:val="20"/>
                <w:szCs w:val="20"/>
              </w:rPr>
              <w:t>AND</w:t>
            </w:r>
          </w:p>
          <w:p w:rsidR="00BB51E5" w:rsidRPr="006B1802" w:rsidRDefault="001533A5" w:rsidP="00B93A10">
            <w:pPr>
              <w:spacing w:before="40" w:after="40"/>
              <w:rPr>
                <w:rFonts w:ascii="Arial Narrow" w:hAnsi="Arial Narrow" w:cs="Arial"/>
                <w:sz w:val="20"/>
                <w:szCs w:val="20"/>
              </w:rPr>
            </w:pPr>
            <w:r w:rsidRPr="006B1802">
              <w:rPr>
                <w:rFonts w:ascii="Arial Narrow" w:hAnsi="Arial Narrow" w:cs="Arial"/>
                <w:sz w:val="20"/>
                <w:szCs w:val="20"/>
              </w:rPr>
              <w:t>The patient must not have reached end-stage renal disease (eGFR&lt;15 mL/min/1.73m</w:t>
            </w:r>
            <w:r w:rsidRPr="006B1802">
              <w:rPr>
                <w:rFonts w:ascii="Arial Narrow" w:hAnsi="Arial Narrow" w:cs="Arial"/>
                <w:sz w:val="20"/>
                <w:szCs w:val="20"/>
                <w:vertAlign w:val="superscript"/>
              </w:rPr>
              <w:t>2</w:t>
            </w:r>
            <w:r w:rsidRPr="006B1802">
              <w:rPr>
                <w:rFonts w:ascii="Arial Narrow" w:hAnsi="Arial Narrow" w:cs="Arial"/>
                <w:sz w:val="20"/>
                <w:szCs w:val="20"/>
              </w:rPr>
              <w:t>) or undergone a kidney transplant.</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18"/>
                <w:szCs w:val="20"/>
              </w:rPr>
            </w:pPr>
            <w:r w:rsidRPr="006B1802">
              <w:rPr>
                <w:rFonts w:ascii="Arial Narrow" w:hAnsi="Arial Narrow" w:cs="Arial"/>
                <w:sz w:val="18"/>
                <w:szCs w:val="20"/>
              </w:rPr>
              <w:t>Population criteria:</w:t>
            </w:r>
          </w:p>
          <w:p w:rsidR="00BB51E5" w:rsidRPr="006B1802" w:rsidRDefault="00BB51E5" w:rsidP="00B93A10">
            <w:pPr>
              <w:spacing w:before="40" w:after="40"/>
              <w:rPr>
                <w:rFonts w:ascii="Arial Narrow" w:hAnsi="Arial Narrow" w:cs="Arial"/>
                <w:sz w:val="18"/>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N/A</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18"/>
                <w:szCs w:val="20"/>
              </w:rPr>
            </w:pPr>
            <w:r w:rsidRPr="006B1802">
              <w:rPr>
                <w:rFonts w:ascii="Arial Narrow" w:hAnsi="Arial Narrow" w:cs="Arial"/>
                <w:sz w:val="18"/>
                <w:szCs w:val="20"/>
              </w:rPr>
              <w:t>Foreword</w:t>
            </w:r>
          </w:p>
          <w:p w:rsidR="00BB51E5" w:rsidRPr="006B1802" w:rsidRDefault="00BB51E5" w:rsidP="00B93A10">
            <w:pPr>
              <w:spacing w:before="40" w:after="40"/>
              <w:rPr>
                <w:rFonts w:ascii="Arial Narrow" w:hAnsi="Arial Narrow" w:cs="Arial"/>
                <w:sz w:val="18"/>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N/A</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18"/>
                <w:szCs w:val="20"/>
              </w:rPr>
            </w:pPr>
            <w:r w:rsidRPr="006B1802">
              <w:rPr>
                <w:rFonts w:ascii="Arial Narrow" w:hAnsi="Arial Narrow" w:cs="Arial"/>
                <w:sz w:val="18"/>
                <w:szCs w:val="20"/>
              </w:rPr>
              <w:t>Definitions</w:t>
            </w:r>
          </w:p>
          <w:p w:rsidR="00BB51E5" w:rsidRPr="006B1802" w:rsidRDefault="00BB51E5" w:rsidP="00B93A10">
            <w:pPr>
              <w:spacing w:before="40" w:after="40"/>
              <w:rPr>
                <w:rFonts w:ascii="Arial Narrow" w:hAnsi="Arial Narrow" w:cs="Arial"/>
                <w:sz w:val="18"/>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1533A5" w:rsidP="00B93A10">
            <w:pPr>
              <w:spacing w:before="40" w:after="40"/>
              <w:rPr>
                <w:rFonts w:ascii="Arial Narrow" w:hAnsi="Arial Narrow" w:cs="Arial"/>
                <w:sz w:val="20"/>
                <w:szCs w:val="20"/>
              </w:rPr>
            </w:pPr>
            <w:r w:rsidRPr="006B1802">
              <w:rPr>
                <w:rFonts w:ascii="Arial Narrow" w:hAnsi="Arial Narrow" w:cs="Arial"/>
                <w:sz w:val="20"/>
                <w:szCs w:val="20"/>
              </w:rPr>
              <w:t>N/A</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18"/>
                <w:szCs w:val="20"/>
              </w:rPr>
            </w:pPr>
            <w:r w:rsidRPr="006B1802">
              <w:rPr>
                <w:rFonts w:ascii="Arial Narrow" w:hAnsi="Arial Narrow" w:cs="Arial"/>
                <w:sz w:val="18"/>
                <w:szCs w:val="20"/>
              </w:rPr>
              <w:t>Prescriber Instructions</w:t>
            </w:r>
          </w:p>
          <w:p w:rsidR="00BB51E5" w:rsidRPr="006B1802" w:rsidRDefault="00BB51E5" w:rsidP="00B93A10">
            <w:pPr>
              <w:spacing w:before="40" w:after="40"/>
              <w:rPr>
                <w:rFonts w:ascii="Arial Narrow" w:hAnsi="Arial Narrow" w:cs="Arial"/>
                <w:sz w:val="18"/>
                <w:szCs w:val="20"/>
              </w:rPr>
            </w:pPr>
          </w:p>
          <w:p w:rsidR="00BB51E5" w:rsidRPr="006B1802" w:rsidRDefault="00BB51E5" w:rsidP="00B93A10">
            <w:pPr>
              <w:spacing w:before="40" w:after="40"/>
              <w:rPr>
                <w:rFonts w:ascii="Arial Narrow" w:hAnsi="Arial Narrow" w:cs="Arial"/>
                <w:sz w:val="18"/>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Details of tolvaptan prescriber training requirements</w:t>
            </w:r>
          </w:p>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 xml:space="preserve">Otsuka has committed to ensuring that in Australia all the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xml:space="preserve"> prescribers are educated on the use of the drug and that a liver function monitoring program is implemented to minimise the risk of hepatic injury.</w:t>
            </w:r>
          </w:p>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 xml:space="preserve">The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xml:space="preserve"> Monitoring and Distribution Program (www.jinarc.com.au) has been set up to host the training material and prescriber certification and to support long-term liver monitoring and safety. All prescribers and patients must take part in the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xml:space="preserve"> Monitoring and Distribution Program in order to prescribe/receive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xml:space="preserve"> in Australia.</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18"/>
                <w:szCs w:val="20"/>
              </w:rPr>
            </w:pPr>
            <w:r w:rsidRPr="006B1802">
              <w:rPr>
                <w:rFonts w:ascii="Arial Narrow" w:hAnsi="Arial Narrow" w:cs="Arial"/>
                <w:sz w:val="18"/>
                <w:szCs w:val="20"/>
              </w:rPr>
              <w:t>Administrative Advice</w:t>
            </w:r>
          </w:p>
          <w:p w:rsidR="00BB51E5" w:rsidRPr="006B1802" w:rsidRDefault="00BB51E5" w:rsidP="00B93A10">
            <w:pPr>
              <w:spacing w:before="40" w:after="40"/>
              <w:rPr>
                <w:rFonts w:ascii="Arial Narrow" w:hAnsi="Arial Narrow" w:cs="Arial"/>
                <w:sz w:val="18"/>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N/A</w:t>
            </w:r>
          </w:p>
        </w:tc>
      </w:tr>
      <w:tr w:rsidR="00BB51E5" w:rsidRPr="006B1802" w:rsidTr="00935768">
        <w:trPr>
          <w:gridAfter w:val="1"/>
          <w:wAfter w:w="7"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18"/>
                <w:szCs w:val="20"/>
              </w:rPr>
            </w:pPr>
            <w:r w:rsidRPr="006B1802">
              <w:rPr>
                <w:rFonts w:ascii="Arial Narrow" w:hAnsi="Arial Narrow" w:cs="Arial"/>
                <w:sz w:val="18"/>
                <w:szCs w:val="20"/>
              </w:rPr>
              <w:t>Cautions</w:t>
            </w:r>
          </w:p>
          <w:p w:rsidR="00BB51E5" w:rsidRPr="006B1802" w:rsidRDefault="00BB51E5" w:rsidP="00B93A10">
            <w:pPr>
              <w:spacing w:before="40" w:after="40"/>
              <w:rPr>
                <w:rFonts w:ascii="Arial Narrow" w:hAnsi="Arial Narrow" w:cs="Arial"/>
                <w:sz w:val="18"/>
                <w:szCs w:val="20"/>
              </w:rPr>
            </w:pPr>
          </w:p>
        </w:tc>
        <w:tc>
          <w:tcPr>
            <w:tcW w:w="3905" w:type="pct"/>
            <w:gridSpan w:val="6"/>
            <w:tcBorders>
              <w:top w:val="single" w:sz="4" w:space="0" w:color="auto"/>
              <w:left w:val="single" w:sz="4" w:space="0" w:color="auto"/>
              <w:bottom w:val="single" w:sz="4" w:space="0" w:color="auto"/>
              <w:right w:val="single" w:sz="4" w:space="0" w:color="auto"/>
            </w:tcBorders>
          </w:tcPr>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Recommendations for the management of potential hepatic toxicity</w:t>
            </w:r>
          </w:p>
          <w:p w:rsidR="00BB51E5" w:rsidRPr="006B1802" w:rsidRDefault="00BB51E5" w:rsidP="00B93A10">
            <w:pPr>
              <w:spacing w:before="40" w:after="40"/>
              <w:rPr>
                <w:rFonts w:ascii="Arial Narrow" w:hAnsi="Arial Narrow" w:cs="Arial"/>
                <w:sz w:val="20"/>
                <w:szCs w:val="20"/>
              </w:rPr>
            </w:pPr>
            <w:r w:rsidRPr="006B1802">
              <w:rPr>
                <w:rFonts w:ascii="Arial Narrow" w:hAnsi="Arial Narrow" w:cs="Arial"/>
                <w:sz w:val="20"/>
                <w:szCs w:val="20"/>
              </w:rPr>
              <w:t xml:space="preserve">To mitigate the risk of significant and/or irreversible liver injury, blood testing for hepatic transaminases and bilirubin is required prior to initiation of </w:t>
            </w: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 continuing monthly for 18 months and at regular 3 monthly intervals thereafter. Concurrent monitoring for symptoms that may indicate liver injury (such as fatigue, anorexia, nausea, right upper abdominal discomfort, vomiting, fever, rash, pruritus, dark urine or jaundice) is recommended.</w:t>
            </w:r>
          </w:p>
        </w:tc>
      </w:tr>
    </w:tbl>
    <w:p w:rsidR="00BB51E5" w:rsidRPr="006B1802" w:rsidRDefault="00BB51E5" w:rsidP="00B93A10">
      <w:pPr>
        <w:rPr>
          <w:szCs w:val="22"/>
        </w:rPr>
      </w:pPr>
    </w:p>
    <w:p w:rsidR="00E012CD" w:rsidRPr="006B1802" w:rsidRDefault="00E012CD" w:rsidP="00B93A10">
      <w:pPr>
        <w:pStyle w:val="ListParagraph"/>
        <w:widowControl/>
        <w:numPr>
          <w:ilvl w:val="1"/>
          <w:numId w:val="14"/>
        </w:numPr>
        <w:contextualSpacing w:val="0"/>
        <w:rPr>
          <w:rFonts w:asciiTheme="minorHAnsi" w:hAnsiTheme="minorHAnsi"/>
          <w:sz w:val="24"/>
          <w:szCs w:val="24"/>
        </w:rPr>
      </w:pPr>
      <w:r w:rsidRPr="006B1802">
        <w:rPr>
          <w:rFonts w:asciiTheme="minorHAnsi" w:hAnsiTheme="minorHAnsi"/>
          <w:sz w:val="24"/>
          <w:szCs w:val="24"/>
        </w:rPr>
        <w:lastRenderedPageBreak/>
        <w:t xml:space="preserve">The Pre-PBAC response stated that Otsuka postponed the patient familiarisation program following the March 2018 PBAC deferral decision, however, </w:t>
      </w:r>
      <w:r w:rsidR="00174DFE" w:rsidRPr="006B1802">
        <w:rPr>
          <w:rFonts w:asciiTheme="minorHAnsi" w:hAnsiTheme="minorHAnsi"/>
          <w:sz w:val="24"/>
          <w:szCs w:val="24"/>
        </w:rPr>
        <w:t>the sponsor</w:t>
      </w:r>
      <w:r w:rsidRPr="006B1802">
        <w:rPr>
          <w:rFonts w:asciiTheme="minorHAnsi" w:hAnsiTheme="minorHAnsi"/>
          <w:sz w:val="24"/>
          <w:szCs w:val="24"/>
        </w:rPr>
        <w:t xml:space="preserve"> suggested a </w:t>
      </w:r>
      <w:r w:rsidRPr="006B1802">
        <w:rPr>
          <w:rFonts w:asciiTheme="minorHAnsi" w:eastAsiaTheme="minorHAnsi" w:hAnsiTheme="minorHAnsi" w:cstheme="minorBidi"/>
          <w:snapToGrid/>
          <w:sz w:val="24"/>
          <w:szCs w:val="24"/>
        </w:rPr>
        <w:t>grandfathering</w:t>
      </w:r>
      <w:r w:rsidRPr="006B1802">
        <w:rPr>
          <w:rFonts w:asciiTheme="minorHAnsi" w:hAnsiTheme="minorHAnsi"/>
          <w:sz w:val="24"/>
          <w:szCs w:val="24"/>
        </w:rPr>
        <w:t xml:space="preserve"> clause may still be appropriate for the 50 patients who previously participated in ADPKD clinical trials and continue to receive tolvaptan treatment in Australia.</w:t>
      </w:r>
    </w:p>
    <w:p w:rsidR="0056324B" w:rsidRPr="006B1802" w:rsidRDefault="0056324B" w:rsidP="00B93A10">
      <w:pPr>
        <w:jc w:val="both"/>
        <w:rPr>
          <w:rFonts w:asciiTheme="minorHAnsi" w:hAnsiTheme="minorHAnsi"/>
          <w:i/>
        </w:rPr>
      </w:pPr>
      <w:r w:rsidRPr="006B1802">
        <w:rPr>
          <w:rFonts w:asciiTheme="minorHAnsi" w:hAnsiTheme="minorHAnsi"/>
          <w:i/>
        </w:rPr>
        <w:t>For more deta</w:t>
      </w:r>
      <w:r w:rsidR="00294C7B" w:rsidRPr="006B1802">
        <w:rPr>
          <w:rFonts w:asciiTheme="minorHAnsi" w:hAnsiTheme="minorHAnsi"/>
          <w:i/>
        </w:rPr>
        <w:t>il on PBAC’s view, see section 5</w:t>
      </w:r>
      <w:r w:rsidRPr="006B1802">
        <w:rPr>
          <w:rFonts w:asciiTheme="minorHAnsi" w:hAnsiTheme="minorHAnsi"/>
          <w:i/>
        </w:rPr>
        <w:t xml:space="preserve"> PBAC outcome.</w:t>
      </w:r>
    </w:p>
    <w:p w:rsidR="00C603D4" w:rsidRPr="006B1802" w:rsidRDefault="00CE10C4" w:rsidP="00B93A10">
      <w:pPr>
        <w:pStyle w:val="PBACHeading1"/>
        <w:spacing w:before="240" w:after="120"/>
        <w:ind w:left="709" w:hanging="709"/>
        <w:rPr>
          <w:rFonts w:asciiTheme="minorHAnsi" w:hAnsiTheme="minorHAnsi"/>
          <w:sz w:val="32"/>
          <w:szCs w:val="32"/>
        </w:rPr>
      </w:pPr>
      <w:r w:rsidRPr="006B1802">
        <w:rPr>
          <w:rFonts w:asciiTheme="minorHAnsi" w:hAnsiTheme="minorHAnsi"/>
          <w:sz w:val="32"/>
          <w:szCs w:val="32"/>
        </w:rPr>
        <w:t>Background</w:t>
      </w:r>
    </w:p>
    <w:p w:rsidR="006B0D94" w:rsidRPr="006B1802" w:rsidRDefault="00104F2A" w:rsidP="00B93A10">
      <w:pPr>
        <w:pStyle w:val="ListParagraph"/>
        <w:widowControl/>
        <w:numPr>
          <w:ilvl w:val="1"/>
          <w:numId w:val="14"/>
        </w:numPr>
        <w:contextualSpacing w:val="0"/>
        <w:rPr>
          <w:rFonts w:asciiTheme="minorHAnsi" w:eastAsiaTheme="minorHAnsi" w:hAnsiTheme="minorHAnsi" w:cstheme="minorBidi"/>
          <w:snapToGrid/>
          <w:sz w:val="24"/>
          <w:szCs w:val="22"/>
        </w:rPr>
      </w:pPr>
      <w:r w:rsidRPr="006B1802">
        <w:rPr>
          <w:rFonts w:asciiTheme="minorHAnsi" w:eastAsiaTheme="minorHAnsi" w:hAnsiTheme="minorHAnsi" w:cstheme="minorBidi"/>
          <w:snapToGrid/>
          <w:sz w:val="24"/>
          <w:szCs w:val="22"/>
        </w:rPr>
        <w:t>Tolvaptan was</w:t>
      </w:r>
      <w:r w:rsidR="00476245" w:rsidRPr="006B1802">
        <w:rPr>
          <w:rFonts w:asciiTheme="minorHAnsi" w:eastAsiaTheme="minorHAnsi" w:hAnsiTheme="minorHAnsi" w:cstheme="minorBidi"/>
          <w:snapToGrid/>
          <w:sz w:val="24"/>
          <w:szCs w:val="22"/>
        </w:rPr>
        <w:t xml:space="preserve"> TGA registered </w:t>
      </w:r>
      <w:r w:rsidRPr="006B1802">
        <w:rPr>
          <w:rFonts w:asciiTheme="minorHAnsi" w:eastAsiaTheme="minorHAnsi" w:hAnsiTheme="minorHAnsi" w:cstheme="minorBidi"/>
          <w:snapToGrid/>
          <w:sz w:val="24"/>
          <w:szCs w:val="22"/>
        </w:rPr>
        <w:t>on 24 March 2017 to slow the progression of cyst development and renal insufficiency of ADPKD in adults with chronic kidney disease (CKD) stage 1-3 at initiation of treatment with evidence of rapidly progressing disease.</w:t>
      </w:r>
      <w:r w:rsidR="002B1AE6" w:rsidRPr="006B1802">
        <w:rPr>
          <w:rFonts w:asciiTheme="minorHAnsi" w:eastAsiaTheme="minorHAnsi" w:hAnsiTheme="minorHAnsi" w:cstheme="minorBidi"/>
          <w:snapToGrid/>
          <w:sz w:val="24"/>
          <w:szCs w:val="22"/>
        </w:rPr>
        <w:t xml:space="preserve"> </w:t>
      </w:r>
    </w:p>
    <w:p w:rsidR="00104F2A" w:rsidRPr="006B1802" w:rsidRDefault="00104F2A" w:rsidP="00B93A10">
      <w:pPr>
        <w:pStyle w:val="ListParagraph"/>
        <w:widowControl/>
        <w:numPr>
          <w:ilvl w:val="1"/>
          <w:numId w:val="14"/>
        </w:numPr>
        <w:contextualSpacing w:val="0"/>
        <w:rPr>
          <w:rFonts w:asciiTheme="minorHAnsi" w:eastAsiaTheme="minorHAnsi" w:hAnsiTheme="minorHAnsi" w:cstheme="minorBidi"/>
          <w:snapToGrid/>
          <w:sz w:val="24"/>
          <w:szCs w:val="22"/>
        </w:rPr>
      </w:pPr>
      <w:r w:rsidRPr="006B1802">
        <w:rPr>
          <w:rFonts w:asciiTheme="minorHAnsi" w:eastAsiaTheme="minorHAnsi" w:hAnsiTheme="minorHAnsi" w:cstheme="minorBidi"/>
          <w:snapToGrid/>
          <w:sz w:val="24"/>
          <w:szCs w:val="22"/>
        </w:rPr>
        <w:t>Tolvaptan has been considered by the PBAC on two p</w:t>
      </w:r>
      <w:r w:rsidR="00614159" w:rsidRPr="006B1802">
        <w:rPr>
          <w:rFonts w:asciiTheme="minorHAnsi" w:eastAsiaTheme="minorHAnsi" w:hAnsiTheme="minorHAnsi" w:cstheme="minorBidi"/>
          <w:snapToGrid/>
          <w:sz w:val="24"/>
          <w:szCs w:val="22"/>
        </w:rPr>
        <w:t xml:space="preserve">revious </w:t>
      </w:r>
      <w:r w:rsidRPr="006B1802">
        <w:rPr>
          <w:rFonts w:asciiTheme="minorHAnsi" w:eastAsiaTheme="minorHAnsi" w:hAnsiTheme="minorHAnsi" w:cstheme="minorBidi"/>
          <w:snapToGrid/>
          <w:sz w:val="24"/>
          <w:szCs w:val="22"/>
        </w:rPr>
        <w:t xml:space="preserve">occasions. </w:t>
      </w:r>
    </w:p>
    <w:p w:rsidR="00BC0987" w:rsidRPr="006B1802" w:rsidRDefault="00C97FED" w:rsidP="00B93A10">
      <w:pPr>
        <w:pStyle w:val="ListParagraph"/>
        <w:widowControl/>
        <w:numPr>
          <w:ilvl w:val="1"/>
          <w:numId w:val="14"/>
        </w:numPr>
        <w:contextualSpacing w:val="0"/>
        <w:rPr>
          <w:rFonts w:asciiTheme="minorHAnsi" w:eastAsiaTheme="minorHAnsi" w:hAnsiTheme="minorHAnsi" w:cstheme="minorBidi"/>
          <w:snapToGrid/>
          <w:sz w:val="24"/>
          <w:szCs w:val="24"/>
        </w:rPr>
      </w:pPr>
      <w:r w:rsidRPr="006B1802">
        <w:rPr>
          <w:rFonts w:asciiTheme="minorHAnsi" w:hAnsiTheme="minorHAnsi"/>
          <w:sz w:val="24"/>
          <w:szCs w:val="24"/>
        </w:rPr>
        <w:t>In the March 2017 submission</w:t>
      </w:r>
      <w:r w:rsidR="00BC0987" w:rsidRPr="006B1802">
        <w:rPr>
          <w:rFonts w:asciiTheme="minorHAnsi" w:hAnsiTheme="minorHAnsi"/>
          <w:sz w:val="24"/>
          <w:szCs w:val="24"/>
        </w:rPr>
        <w:t xml:space="preserve">, the PBAC rejected the submission on the basis that it was uncertain about the long-term clinical benefit </w:t>
      </w:r>
      <w:r w:rsidR="000F7B68" w:rsidRPr="006B1802">
        <w:rPr>
          <w:rFonts w:asciiTheme="minorHAnsi" w:hAnsiTheme="minorHAnsi"/>
          <w:sz w:val="24"/>
          <w:szCs w:val="24"/>
        </w:rPr>
        <w:t xml:space="preserve">and </w:t>
      </w:r>
      <w:r w:rsidR="00BC0987" w:rsidRPr="006B1802">
        <w:rPr>
          <w:rFonts w:asciiTheme="minorHAnsi" w:hAnsiTheme="minorHAnsi"/>
          <w:sz w:val="24"/>
          <w:szCs w:val="24"/>
        </w:rPr>
        <w:t>it was concerned about the potential for substantial liver toxicity. In this context, the PBAC considered that the incremental cost-effectiveness was very high and unclear and the likelihood of high overall costs to government was unacceptable.</w:t>
      </w:r>
    </w:p>
    <w:p w:rsidR="00BC0987" w:rsidRPr="006B1802" w:rsidRDefault="00BC0987" w:rsidP="00B93A10">
      <w:pPr>
        <w:pStyle w:val="ListParagraph"/>
        <w:widowControl/>
        <w:numPr>
          <w:ilvl w:val="1"/>
          <w:numId w:val="14"/>
        </w:numPr>
        <w:contextualSpacing w:val="0"/>
        <w:rPr>
          <w:rFonts w:asciiTheme="minorHAnsi" w:eastAsiaTheme="minorHAnsi" w:hAnsiTheme="minorHAnsi" w:cstheme="minorBidi"/>
          <w:snapToGrid/>
          <w:sz w:val="24"/>
          <w:szCs w:val="24"/>
        </w:rPr>
      </w:pPr>
      <w:r w:rsidRPr="006B1802">
        <w:rPr>
          <w:rFonts w:asciiTheme="minorHAnsi" w:eastAsiaTheme="minorHAnsi" w:hAnsiTheme="minorHAnsi" w:cstheme="minorBidi"/>
          <w:snapToGrid/>
          <w:sz w:val="24"/>
          <w:szCs w:val="24"/>
        </w:rPr>
        <w:t>In the March 2018 resubmission, the PBAC deferred making a decision reg</w:t>
      </w:r>
      <w:r w:rsidR="000F7B68" w:rsidRPr="006B1802">
        <w:rPr>
          <w:rFonts w:asciiTheme="minorHAnsi" w:eastAsiaTheme="minorHAnsi" w:hAnsiTheme="minorHAnsi" w:cstheme="minorBidi"/>
          <w:snapToGrid/>
          <w:sz w:val="24"/>
          <w:szCs w:val="24"/>
        </w:rPr>
        <w:t>arding the submission as it considered</w:t>
      </w:r>
      <w:r w:rsidRPr="006B1802">
        <w:rPr>
          <w:rFonts w:asciiTheme="minorHAnsi" w:eastAsiaTheme="minorHAnsi" w:hAnsiTheme="minorHAnsi" w:cstheme="minorBidi"/>
          <w:snapToGrid/>
          <w:sz w:val="24"/>
          <w:szCs w:val="24"/>
        </w:rPr>
        <w:t xml:space="preserve"> the clinical benefit of tolvaptan treatment was u</w:t>
      </w:r>
      <w:r w:rsidR="0081050B" w:rsidRPr="006B1802">
        <w:rPr>
          <w:rFonts w:asciiTheme="minorHAnsi" w:eastAsiaTheme="minorHAnsi" w:hAnsiTheme="minorHAnsi" w:cstheme="minorBidi"/>
          <w:snapToGrid/>
          <w:sz w:val="24"/>
          <w:szCs w:val="24"/>
        </w:rPr>
        <w:t xml:space="preserve">ncertain and at best very </w:t>
      </w:r>
      <w:r w:rsidR="000F7B68" w:rsidRPr="006B1802">
        <w:rPr>
          <w:rFonts w:asciiTheme="minorHAnsi" w:eastAsiaTheme="minorHAnsi" w:hAnsiTheme="minorHAnsi" w:cstheme="minorBidi"/>
          <w:snapToGrid/>
          <w:sz w:val="24"/>
          <w:szCs w:val="24"/>
        </w:rPr>
        <w:t>small. In this context the PBAC considered</w:t>
      </w:r>
      <w:r w:rsidR="0081050B" w:rsidRPr="006B1802">
        <w:rPr>
          <w:rFonts w:asciiTheme="minorHAnsi" w:eastAsiaTheme="minorHAnsi" w:hAnsiTheme="minorHAnsi" w:cstheme="minorBidi"/>
          <w:snapToGrid/>
          <w:sz w:val="24"/>
          <w:szCs w:val="24"/>
        </w:rPr>
        <w:t xml:space="preserve"> n</w:t>
      </w:r>
      <w:r w:rsidRPr="006B1802">
        <w:rPr>
          <w:rFonts w:asciiTheme="minorHAnsi" w:eastAsiaTheme="minorHAnsi" w:hAnsiTheme="minorHAnsi" w:cstheme="minorBidi"/>
          <w:snapToGrid/>
          <w:sz w:val="24"/>
          <w:szCs w:val="24"/>
        </w:rPr>
        <w:t xml:space="preserve">o new trial data is anticipated that could resolve this issue. Treatment is also expected to be long-term; over 40-50 years. </w:t>
      </w:r>
      <w:r w:rsidR="00361ADC" w:rsidRPr="006B1802">
        <w:rPr>
          <w:rFonts w:asciiTheme="minorHAnsi" w:eastAsiaTheme="minorHAnsi" w:hAnsiTheme="minorHAnsi" w:cstheme="minorBidi"/>
          <w:snapToGrid/>
          <w:sz w:val="24"/>
          <w:szCs w:val="24"/>
        </w:rPr>
        <w:t>It was determined a</w:t>
      </w:r>
      <w:r w:rsidRPr="006B1802">
        <w:rPr>
          <w:rFonts w:asciiTheme="minorHAnsi" w:eastAsiaTheme="minorHAnsi" w:hAnsiTheme="minorHAnsi" w:cstheme="minorBidi"/>
          <w:snapToGrid/>
          <w:sz w:val="24"/>
          <w:szCs w:val="24"/>
        </w:rPr>
        <w:t xml:space="preserve"> further submission for PBS listing would need to consider resolving issues of uncertain clinical benefit and duration of therapy by adjusting the optimistic assumptions in the economic evaluation. The price would also need to be substantially lower to reduce the incremental cost effectiveness ratio (ICER). Further work on the proposed PBS restriction would be required to identify a more severely affected patient group. PBS listing would also require a tight risk share arrangement to limit subsidy to this more severely affected population.  </w:t>
      </w:r>
    </w:p>
    <w:p w:rsidR="0056324B" w:rsidRPr="006B1802" w:rsidRDefault="0056324B" w:rsidP="00B93A10">
      <w:pPr>
        <w:pStyle w:val="ListParagraph"/>
        <w:widowControl/>
        <w:contextualSpacing w:val="0"/>
        <w:rPr>
          <w:rFonts w:asciiTheme="minorHAnsi" w:eastAsiaTheme="minorHAnsi" w:hAnsiTheme="minorHAnsi" w:cstheme="minorBidi"/>
          <w:i/>
          <w:snapToGrid/>
          <w:sz w:val="24"/>
          <w:szCs w:val="24"/>
        </w:rPr>
      </w:pPr>
      <w:r w:rsidRPr="006B1802">
        <w:rPr>
          <w:rFonts w:asciiTheme="minorHAnsi" w:eastAsiaTheme="minorHAnsi" w:hAnsiTheme="minorHAnsi" w:cstheme="minorBidi"/>
          <w:i/>
          <w:snapToGrid/>
          <w:sz w:val="24"/>
          <w:szCs w:val="24"/>
        </w:rPr>
        <w:t xml:space="preserve">For more detail on PBAC’s view, see section </w:t>
      </w:r>
      <w:r w:rsidR="00294C7B" w:rsidRPr="006B1802">
        <w:rPr>
          <w:rFonts w:asciiTheme="minorHAnsi" w:eastAsiaTheme="minorHAnsi" w:hAnsiTheme="minorHAnsi" w:cstheme="minorBidi"/>
          <w:i/>
          <w:snapToGrid/>
          <w:sz w:val="24"/>
          <w:szCs w:val="24"/>
        </w:rPr>
        <w:t>5</w:t>
      </w:r>
      <w:r w:rsidRPr="006B1802">
        <w:rPr>
          <w:rFonts w:asciiTheme="minorHAnsi" w:eastAsiaTheme="minorHAnsi" w:hAnsiTheme="minorHAnsi" w:cstheme="minorBidi"/>
          <w:i/>
          <w:snapToGrid/>
          <w:sz w:val="24"/>
          <w:szCs w:val="24"/>
        </w:rPr>
        <w:t xml:space="preserve"> PBAC outcome.</w:t>
      </w:r>
    </w:p>
    <w:p w:rsidR="000B558D" w:rsidRPr="006B1802" w:rsidRDefault="008D7A41" w:rsidP="00B93A10">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6B1802">
        <w:rPr>
          <w:rFonts w:asciiTheme="minorHAnsi" w:hAnsiTheme="minorHAnsi"/>
          <w:sz w:val="32"/>
          <w:szCs w:val="32"/>
        </w:rPr>
        <w:t>C</w:t>
      </w:r>
      <w:r w:rsidR="00D84934" w:rsidRPr="006B1802">
        <w:rPr>
          <w:rFonts w:asciiTheme="minorHAnsi" w:hAnsiTheme="minorHAnsi"/>
          <w:sz w:val="32"/>
          <w:szCs w:val="32"/>
        </w:rPr>
        <w:t>onsideration of the evidence</w:t>
      </w:r>
    </w:p>
    <w:p w:rsidR="00836932" w:rsidRPr="006B1802" w:rsidRDefault="00836932" w:rsidP="00B93A10">
      <w:pPr>
        <w:pStyle w:val="Heading2"/>
        <w:keepLines/>
        <w:spacing w:before="240" w:after="120"/>
        <w:rPr>
          <w:rFonts w:asciiTheme="minorHAnsi" w:eastAsiaTheme="majorEastAsia" w:hAnsiTheme="minorHAnsi" w:cstheme="majorBidi"/>
          <w:sz w:val="28"/>
          <w:szCs w:val="28"/>
          <w:lang w:eastAsia="en-US"/>
        </w:rPr>
      </w:pPr>
      <w:r w:rsidRPr="006B1802">
        <w:rPr>
          <w:rFonts w:asciiTheme="minorHAnsi" w:eastAsiaTheme="majorEastAsia" w:hAnsiTheme="minorHAnsi" w:cstheme="majorBidi"/>
          <w:sz w:val="28"/>
          <w:szCs w:val="28"/>
          <w:lang w:eastAsia="en-US"/>
        </w:rPr>
        <w:t>Sponsor hearing</w:t>
      </w:r>
    </w:p>
    <w:p w:rsidR="00836932" w:rsidRPr="00B93A10" w:rsidRDefault="00836932" w:rsidP="00B93A10">
      <w:pPr>
        <w:numPr>
          <w:ilvl w:val="1"/>
          <w:numId w:val="5"/>
        </w:numPr>
        <w:jc w:val="both"/>
        <w:rPr>
          <w:rFonts w:ascii="Calibri" w:hAnsi="Calibri" w:cs="Arial"/>
          <w:bCs/>
          <w:snapToGrid w:val="0"/>
          <w:szCs w:val="22"/>
          <w:lang w:eastAsia="en-US"/>
        </w:rPr>
      </w:pPr>
      <w:r w:rsidRPr="00B93A10">
        <w:rPr>
          <w:rFonts w:ascii="Calibri" w:hAnsi="Calibri" w:cs="Arial"/>
          <w:bCs/>
          <w:snapToGrid w:val="0"/>
          <w:szCs w:val="22"/>
          <w:lang w:eastAsia="en-US"/>
        </w:rPr>
        <w:t>There was no hearing for this item as it was a minor submission.</w:t>
      </w:r>
    </w:p>
    <w:p w:rsidR="00836932" w:rsidRPr="006B1802" w:rsidRDefault="00836932" w:rsidP="00B93A10">
      <w:pPr>
        <w:pStyle w:val="Heading2"/>
        <w:keepLines/>
        <w:spacing w:before="240" w:after="120"/>
        <w:rPr>
          <w:rFonts w:asciiTheme="minorHAnsi" w:eastAsiaTheme="majorEastAsia" w:hAnsiTheme="minorHAnsi" w:cstheme="majorBidi"/>
          <w:sz w:val="28"/>
          <w:szCs w:val="28"/>
          <w:lang w:eastAsia="en-US"/>
        </w:rPr>
      </w:pPr>
      <w:r w:rsidRPr="006B1802">
        <w:rPr>
          <w:rFonts w:asciiTheme="minorHAnsi" w:eastAsiaTheme="majorEastAsia" w:hAnsiTheme="minorHAnsi" w:cstheme="majorBidi"/>
          <w:sz w:val="28"/>
          <w:szCs w:val="28"/>
          <w:lang w:eastAsia="en-US"/>
        </w:rPr>
        <w:t>Consumer comments</w:t>
      </w:r>
    </w:p>
    <w:p w:rsidR="001638C8" w:rsidRPr="006B1802" w:rsidRDefault="001638C8" w:rsidP="00B93A10">
      <w:pPr>
        <w:numPr>
          <w:ilvl w:val="1"/>
          <w:numId w:val="5"/>
        </w:numPr>
        <w:jc w:val="both"/>
        <w:rPr>
          <w:rFonts w:ascii="Calibri" w:hAnsi="Calibri" w:cs="Arial"/>
          <w:bCs/>
          <w:snapToGrid w:val="0"/>
          <w:szCs w:val="22"/>
          <w:lang w:eastAsia="en-US"/>
        </w:rPr>
      </w:pPr>
      <w:r w:rsidRPr="006B1802">
        <w:rPr>
          <w:rFonts w:ascii="Calibri" w:hAnsi="Calibri" w:cs="Arial"/>
          <w:bCs/>
          <w:snapToGrid w:val="0"/>
          <w:szCs w:val="22"/>
          <w:lang w:eastAsia="en-US"/>
        </w:rPr>
        <w:t>The PBAC noted and welcomed the input from individuals (17) and organisations (2) via the Consumer Comments facility on the PBS website</w:t>
      </w:r>
      <w:r w:rsidR="00756117" w:rsidRPr="006B1802">
        <w:rPr>
          <w:rFonts w:ascii="Calibri" w:hAnsi="Calibri" w:cs="Arial"/>
          <w:bCs/>
          <w:snapToGrid w:val="0"/>
          <w:szCs w:val="22"/>
          <w:lang w:eastAsia="en-US"/>
        </w:rPr>
        <w:t xml:space="preserve"> that were in keeping with comments received at</w:t>
      </w:r>
      <w:r w:rsidR="00756117" w:rsidRPr="006B1802">
        <w:rPr>
          <w:rFonts w:ascii="Calibri" w:hAnsi="Calibri" w:cs="Arial"/>
          <w:bCs/>
          <w:i/>
          <w:snapToGrid w:val="0"/>
          <w:szCs w:val="22"/>
          <w:lang w:eastAsia="en-US"/>
        </w:rPr>
        <w:t xml:space="preserve"> </w:t>
      </w:r>
      <w:r w:rsidR="00756117" w:rsidRPr="006B1802">
        <w:rPr>
          <w:rFonts w:ascii="Calibri" w:hAnsi="Calibri" w:cs="Arial"/>
          <w:bCs/>
          <w:snapToGrid w:val="0"/>
          <w:szCs w:val="22"/>
          <w:lang w:eastAsia="en-US"/>
        </w:rPr>
        <w:t>the March 2018 PBAC meeting, including</w:t>
      </w:r>
      <w:r w:rsidRPr="006B1802">
        <w:rPr>
          <w:rFonts w:ascii="Calibri" w:hAnsi="Calibri" w:cs="Arial"/>
          <w:bCs/>
          <w:snapToGrid w:val="0"/>
          <w:szCs w:val="22"/>
          <w:lang w:eastAsia="en-US"/>
        </w:rPr>
        <w:t xml:space="preserve"> a range of </w:t>
      </w:r>
      <w:r w:rsidRPr="006B1802">
        <w:rPr>
          <w:rFonts w:ascii="Calibri" w:hAnsi="Calibri" w:cs="Arial"/>
          <w:bCs/>
          <w:snapToGrid w:val="0"/>
          <w:szCs w:val="22"/>
          <w:lang w:eastAsia="en-US"/>
        </w:rPr>
        <w:lastRenderedPageBreak/>
        <w:t xml:space="preserve">anticipated benefits of treatment with tolvaptan including delayed disease progression, prolonging life, reduced pain, improved quality of life, avoidance of dialysis and transplantation, and employment opportunities. </w:t>
      </w:r>
    </w:p>
    <w:p w:rsidR="001638C8" w:rsidRPr="006B1802" w:rsidRDefault="001638C8" w:rsidP="00B93A10">
      <w:pPr>
        <w:ind w:left="720"/>
        <w:jc w:val="both"/>
        <w:rPr>
          <w:rFonts w:ascii="Calibri" w:hAnsi="Calibri" w:cs="Arial"/>
          <w:bCs/>
          <w:snapToGrid w:val="0"/>
          <w:szCs w:val="22"/>
          <w:lang w:eastAsia="en-US"/>
        </w:rPr>
      </w:pPr>
    </w:p>
    <w:p w:rsidR="001638C8" w:rsidRPr="006B1802" w:rsidRDefault="001638C8" w:rsidP="00B93A10">
      <w:pPr>
        <w:numPr>
          <w:ilvl w:val="1"/>
          <w:numId w:val="5"/>
        </w:numPr>
        <w:spacing w:after="120"/>
        <w:jc w:val="both"/>
        <w:rPr>
          <w:rFonts w:asciiTheme="minorHAnsi" w:hAnsiTheme="minorHAnsi" w:cs="Arial"/>
          <w:bCs/>
          <w:snapToGrid w:val="0"/>
          <w:szCs w:val="22"/>
          <w:lang w:eastAsia="en-US"/>
        </w:rPr>
      </w:pPr>
      <w:r w:rsidRPr="006B1802">
        <w:rPr>
          <w:rFonts w:asciiTheme="minorHAnsi" w:hAnsiTheme="minorHAnsi" w:cs="Arial"/>
          <w:bCs/>
          <w:snapToGrid w:val="0"/>
          <w:szCs w:val="22"/>
          <w:lang w:eastAsia="en-US"/>
        </w:rPr>
        <w:t>The PBAC noted the comments from Kidney Health</w:t>
      </w:r>
      <w:r w:rsidR="000325AF" w:rsidRPr="006B1802">
        <w:rPr>
          <w:rFonts w:asciiTheme="minorHAnsi" w:hAnsiTheme="minorHAnsi" w:cs="Arial"/>
          <w:bCs/>
          <w:snapToGrid w:val="0"/>
          <w:szCs w:val="22"/>
          <w:lang w:eastAsia="en-US"/>
        </w:rPr>
        <w:t xml:space="preserve"> and </w:t>
      </w:r>
      <w:r w:rsidR="00756117" w:rsidRPr="006B1802">
        <w:rPr>
          <w:rFonts w:asciiTheme="minorHAnsi" w:hAnsiTheme="minorHAnsi" w:cs="Arial"/>
          <w:bCs/>
          <w:snapToGrid w:val="0"/>
          <w:szCs w:val="22"/>
          <w:lang w:eastAsia="en-US"/>
        </w:rPr>
        <w:t>PKD Foundation</w:t>
      </w:r>
      <w:r w:rsidRPr="006B1802">
        <w:rPr>
          <w:rFonts w:asciiTheme="minorHAnsi" w:hAnsiTheme="minorHAnsi" w:cs="Arial"/>
          <w:bCs/>
          <w:snapToGrid w:val="0"/>
          <w:szCs w:val="22"/>
          <w:lang w:eastAsia="en-US"/>
        </w:rPr>
        <w:t xml:space="preserve"> Australia</w:t>
      </w:r>
      <w:r w:rsidR="00756117" w:rsidRPr="006B1802">
        <w:rPr>
          <w:rFonts w:asciiTheme="minorHAnsi" w:hAnsiTheme="minorHAnsi" w:cs="Arial"/>
          <w:bCs/>
          <w:snapToGrid w:val="0"/>
          <w:szCs w:val="22"/>
          <w:lang w:eastAsia="en-US"/>
        </w:rPr>
        <w:t xml:space="preserve"> and </w:t>
      </w:r>
      <w:r w:rsidRPr="006B1802">
        <w:rPr>
          <w:rFonts w:asciiTheme="minorHAnsi" w:hAnsiTheme="minorHAnsi" w:cs="Arial"/>
          <w:bCs/>
          <w:snapToGrid w:val="0"/>
          <w:szCs w:val="22"/>
          <w:lang w:eastAsia="en-US"/>
        </w:rPr>
        <w:t xml:space="preserve">acknowledged the ongoing emotional stress on patients affected by ADPKD. </w:t>
      </w:r>
    </w:p>
    <w:p w:rsidR="005A3173" w:rsidRPr="006B1802" w:rsidRDefault="005A3173" w:rsidP="00B93A10">
      <w:pPr>
        <w:pStyle w:val="Heading2"/>
        <w:keepLines/>
        <w:spacing w:before="240" w:after="120"/>
        <w:rPr>
          <w:rFonts w:asciiTheme="minorHAnsi" w:eastAsiaTheme="majorEastAsia" w:hAnsiTheme="minorHAnsi" w:cstheme="majorBidi"/>
          <w:sz w:val="28"/>
          <w:szCs w:val="28"/>
          <w:lang w:eastAsia="en-US"/>
        </w:rPr>
      </w:pPr>
      <w:r w:rsidRPr="006B1802">
        <w:rPr>
          <w:rFonts w:asciiTheme="minorHAnsi" w:eastAsiaTheme="majorEastAsia" w:hAnsiTheme="minorHAnsi" w:cstheme="majorBidi"/>
          <w:sz w:val="28"/>
          <w:szCs w:val="28"/>
          <w:lang w:eastAsia="en-US"/>
        </w:rPr>
        <w:t>Economic analysis</w:t>
      </w:r>
    </w:p>
    <w:p w:rsidR="002B3B49" w:rsidRPr="006B1802" w:rsidRDefault="00D845AE" w:rsidP="00B93A10">
      <w:pPr>
        <w:numPr>
          <w:ilvl w:val="1"/>
          <w:numId w:val="5"/>
        </w:numPr>
        <w:spacing w:after="120"/>
        <w:jc w:val="both"/>
        <w:rPr>
          <w:rFonts w:asciiTheme="minorHAnsi" w:hAnsiTheme="minorHAnsi"/>
        </w:rPr>
      </w:pPr>
      <w:r w:rsidRPr="006B1802">
        <w:rPr>
          <w:rFonts w:asciiTheme="minorHAnsi" w:hAnsiTheme="minorHAnsi"/>
        </w:rPr>
        <w:t>Table 1</w:t>
      </w:r>
      <w:r w:rsidR="002B3B49" w:rsidRPr="006B1802">
        <w:rPr>
          <w:rFonts w:asciiTheme="minorHAnsi" w:hAnsiTheme="minorHAnsi"/>
        </w:rPr>
        <w:t xml:space="preserve"> outlines the PBAC’s previous key concerns with the economic evaluation and how these were addressed in the minor resubmission. </w:t>
      </w:r>
    </w:p>
    <w:p w:rsidR="002B3B49" w:rsidRPr="006B1802" w:rsidRDefault="002B3B49" w:rsidP="00414990">
      <w:pPr>
        <w:keepNext/>
        <w:keepLines/>
        <w:rPr>
          <w:rFonts w:ascii="Arial Narrow" w:hAnsi="Arial Narrow"/>
          <w:b/>
          <w:sz w:val="20"/>
          <w:szCs w:val="20"/>
        </w:rPr>
      </w:pPr>
      <w:r w:rsidRPr="006B1802">
        <w:rPr>
          <w:rFonts w:ascii="Arial Narrow" w:hAnsi="Arial Narrow"/>
          <w:b/>
          <w:sz w:val="20"/>
          <w:szCs w:val="20"/>
        </w:rPr>
        <w:lastRenderedPageBreak/>
        <w:t xml:space="preserve">Table </w:t>
      </w:r>
      <w:r w:rsidR="00D845AE" w:rsidRPr="006B1802">
        <w:rPr>
          <w:rFonts w:ascii="Arial Narrow" w:hAnsi="Arial Narrow"/>
          <w:b/>
          <w:sz w:val="20"/>
          <w:szCs w:val="20"/>
        </w:rPr>
        <w:t>1</w:t>
      </w:r>
      <w:r w:rsidRPr="006B1802">
        <w:rPr>
          <w:rFonts w:ascii="Arial Narrow" w:hAnsi="Arial Narrow"/>
          <w:b/>
          <w:sz w:val="20"/>
          <w:szCs w:val="20"/>
        </w:rPr>
        <w:t>: Summary of outstanding matters of concern with the economic evaluation from March 2018</w:t>
      </w:r>
    </w:p>
    <w:tbl>
      <w:tblPr>
        <w:tblStyle w:val="TableGrid"/>
        <w:tblW w:w="0" w:type="auto"/>
        <w:tblLayout w:type="fixed"/>
        <w:tblLook w:val="04A0" w:firstRow="1" w:lastRow="0" w:firstColumn="1" w:lastColumn="0" w:noHBand="0" w:noVBand="1"/>
        <w:tblCaption w:val="Table 1: Summary of outstanding matters of concern with the economic evaluation from March 2018"/>
      </w:tblPr>
      <w:tblGrid>
        <w:gridCol w:w="2830"/>
        <w:gridCol w:w="6096"/>
      </w:tblGrid>
      <w:tr w:rsidR="002B3B49" w:rsidRPr="006B1802" w:rsidTr="008551C4">
        <w:trPr>
          <w:tblHeader/>
        </w:trPr>
        <w:tc>
          <w:tcPr>
            <w:tcW w:w="2830" w:type="dxa"/>
          </w:tcPr>
          <w:p w:rsidR="002B3B49" w:rsidRPr="006B1802" w:rsidRDefault="002B3B49" w:rsidP="00414990">
            <w:pPr>
              <w:keepNext/>
              <w:keepLines/>
              <w:rPr>
                <w:rFonts w:ascii="Arial Narrow" w:hAnsi="Arial Narrow"/>
                <w:b/>
                <w:i/>
                <w:sz w:val="20"/>
                <w:szCs w:val="20"/>
              </w:rPr>
            </w:pPr>
            <w:r w:rsidRPr="006B1802">
              <w:rPr>
                <w:rFonts w:ascii="Arial Narrow" w:hAnsi="Arial Narrow"/>
                <w:b/>
                <w:i/>
                <w:sz w:val="20"/>
                <w:szCs w:val="20"/>
              </w:rPr>
              <w:t xml:space="preserve">Previous PBAC concern </w:t>
            </w:r>
          </w:p>
        </w:tc>
        <w:tc>
          <w:tcPr>
            <w:tcW w:w="6096" w:type="dxa"/>
          </w:tcPr>
          <w:p w:rsidR="002B3B49" w:rsidRPr="006B1802" w:rsidRDefault="002B3B49" w:rsidP="00414990">
            <w:pPr>
              <w:keepNext/>
              <w:keepLines/>
              <w:rPr>
                <w:rFonts w:ascii="Arial Narrow" w:hAnsi="Arial Narrow"/>
                <w:b/>
                <w:i/>
                <w:sz w:val="20"/>
                <w:szCs w:val="20"/>
              </w:rPr>
            </w:pPr>
            <w:r w:rsidRPr="006B1802">
              <w:rPr>
                <w:rFonts w:ascii="Arial Narrow" w:hAnsi="Arial Narrow"/>
                <w:b/>
                <w:i/>
                <w:sz w:val="20"/>
                <w:szCs w:val="20"/>
              </w:rPr>
              <w:t>How addressed in minor resubmission</w:t>
            </w:r>
          </w:p>
        </w:tc>
      </w:tr>
      <w:tr w:rsidR="002B3B49" w:rsidRPr="006B1802" w:rsidTr="0014764A">
        <w:tc>
          <w:tcPr>
            <w:tcW w:w="2830" w:type="dxa"/>
          </w:tcPr>
          <w:p w:rsidR="002B3B49" w:rsidRPr="006B1802" w:rsidRDefault="002B3B49" w:rsidP="00414990">
            <w:pPr>
              <w:keepNext/>
              <w:keepLines/>
              <w:spacing w:after="160"/>
              <w:rPr>
                <w:rFonts w:ascii="Arial Narrow" w:hAnsi="Arial Narrow"/>
                <w:i/>
                <w:sz w:val="20"/>
                <w:szCs w:val="20"/>
              </w:rPr>
            </w:pPr>
            <w:r w:rsidRPr="006B1802">
              <w:rPr>
                <w:rFonts w:ascii="Arial Narrow" w:hAnsi="Arial Narrow"/>
                <w:bCs/>
                <w:sz w:val="20"/>
                <w:szCs w:val="20"/>
              </w:rPr>
              <w:t xml:space="preserve">Reliance on optimistic estimates of long-term treatment effects where delayed renal replacement therapy is the primary source of health benefit </w:t>
            </w:r>
            <w:r w:rsidRPr="006B1802">
              <w:rPr>
                <w:rFonts w:ascii="Arial Narrow" w:hAnsi="Arial Narrow"/>
                <w:sz w:val="20"/>
                <w:szCs w:val="20"/>
              </w:rPr>
              <w:t>(Para 7.11).</w:t>
            </w:r>
          </w:p>
        </w:tc>
        <w:tc>
          <w:tcPr>
            <w:tcW w:w="6096" w:type="dxa"/>
          </w:tcPr>
          <w:p w:rsidR="002B3B49" w:rsidRPr="006B1802" w:rsidRDefault="002B3B49" w:rsidP="00414990">
            <w:pPr>
              <w:keepNext/>
              <w:keepLines/>
              <w:rPr>
                <w:rFonts w:ascii="Arial Narrow" w:hAnsi="Arial Narrow"/>
                <w:sz w:val="20"/>
                <w:szCs w:val="20"/>
              </w:rPr>
            </w:pPr>
            <w:bookmarkStart w:id="5" w:name="_Hlk515858042"/>
            <w:r w:rsidRPr="006B1802">
              <w:rPr>
                <w:rFonts w:ascii="Arial Narrow" w:hAnsi="Arial Narrow"/>
                <w:sz w:val="20"/>
                <w:szCs w:val="20"/>
              </w:rPr>
              <w:t xml:space="preserve">A sensitivity analysis was provided wherein the tolvaptan treatment effect was reduced (halved) after 5 or 10 years of treatment. This sensitivity analysis did not reliably address the long-term treatment effect as the </w:t>
            </w:r>
            <w:r w:rsidR="008551C4" w:rsidRPr="006B1802">
              <w:rPr>
                <w:rFonts w:ascii="Arial Narrow" w:hAnsi="Arial Narrow"/>
                <w:sz w:val="20"/>
                <w:szCs w:val="20"/>
              </w:rPr>
              <w:t xml:space="preserve">proportion of patients still on treatment at 10 years in the model was 38% in TEMPO 3:4 and 16% in REPRISE (at 5 years, 66% and 53% of patients were still on treatment in TEMPO 3:4 and REPRISE, respectively). </w:t>
            </w:r>
            <w:r w:rsidRPr="006B1802">
              <w:rPr>
                <w:rFonts w:ascii="Arial Narrow" w:hAnsi="Arial Narrow"/>
                <w:sz w:val="20"/>
                <w:szCs w:val="20"/>
              </w:rPr>
              <w:t xml:space="preserve">Thus, the treatment effect was </w:t>
            </w:r>
            <w:r w:rsidR="00830CA8" w:rsidRPr="006B1802">
              <w:rPr>
                <w:rFonts w:ascii="Arial Narrow" w:hAnsi="Arial Narrow"/>
                <w:sz w:val="20"/>
                <w:szCs w:val="20"/>
              </w:rPr>
              <w:t xml:space="preserve">reduced </w:t>
            </w:r>
            <w:r w:rsidRPr="006B1802">
              <w:rPr>
                <w:rFonts w:ascii="Arial Narrow" w:hAnsi="Arial Narrow"/>
                <w:sz w:val="20"/>
                <w:szCs w:val="20"/>
              </w:rPr>
              <w:t xml:space="preserve">when </w:t>
            </w:r>
            <w:r w:rsidR="008551C4" w:rsidRPr="006B1802">
              <w:rPr>
                <w:rFonts w:ascii="Arial Narrow" w:hAnsi="Arial Narrow"/>
                <w:sz w:val="20"/>
                <w:szCs w:val="20"/>
              </w:rPr>
              <w:t>a large proportion</w:t>
            </w:r>
            <w:r w:rsidRPr="006B1802">
              <w:rPr>
                <w:rFonts w:ascii="Arial Narrow" w:hAnsi="Arial Narrow"/>
                <w:sz w:val="20"/>
                <w:szCs w:val="20"/>
              </w:rPr>
              <w:t xml:space="preserve"> of patients were off-treatment with tolvaptan (and assumed to be on best supportive care). </w:t>
            </w:r>
            <w:bookmarkEnd w:id="5"/>
          </w:p>
        </w:tc>
      </w:tr>
      <w:tr w:rsidR="002B3B49" w:rsidRPr="006B1802" w:rsidTr="0014764A">
        <w:tc>
          <w:tcPr>
            <w:tcW w:w="2830" w:type="dxa"/>
          </w:tcPr>
          <w:p w:rsidR="002B3B49" w:rsidRPr="006B1802" w:rsidRDefault="002B3B49" w:rsidP="00414990">
            <w:pPr>
              <w:keepNext/>
              <w:keepLines/>
              <w:spacing w:after="160"/>
              <w:rPr>
                <w:rFonts w:ascii="Arial Narrow" w:hAnsi="Arial Narrow"/>
                <w:bCs/>
                <w:sz w:val="20"/>
                <w:szCs w:val="20"/>
              </w:rPr>
            </w:pPr>
            <w:r w:rsidRPr="006B1802">
              <w:rPr>
                <w:rFonts w:ascii="Arial Narrow" w:hAnsi="Arial Narrow"/>
                <w:bCs/>
                <w:sz w:val="20"/>
                <w:szCs w:val="20"/>
              </w:rPr>
              <w:t>Uncertain clinical benefit applied in the economic model (paras 7.1, 7.9); The PBAC considered that a substantial price reduction would be required to account for the uncertain clinical benefit, even in a highly selected population</w:t>
            </w:r>
            <w:r w:rsidRPr="006B1802">
              <w:rPr>
                <w:rFonts w:ascii="Arial Narrow" w:hAnsi="Arial Narrow"/>
                <w:sz w:val="20"/>
                <w:szCs w:val="20"/>
              </w:rPr>
              <w:t xml:space="preserve"> (Para 7.11).</w:t>
            </w:r>
          </w:p>
        </w:tc>
        <w:tc>
          <w:tcPr>
            <w:tcW w:w="6096" w:type="dxa"/>
          </w:tcPr>
          <w:p w:rsidR="002B3B49" w:rsidRPr="006B1802" w:rsidRDefault="002B3B49" w:rsidP="00414990">
            <w:pPr>
              <w:keepNext/>
              <w:keepLines/>
              <w:rPr>
                <w:rFonts w:ascii="Arial Narrow" w:hAnsi="Arial Narrow"/>
                <w:sz w:val="20"/>
                <w:szCs w:val="20"/>
              </w:rPr>
            </w:pPr>
            <w:r w:rsidRPr="006B1802">
              <w:rPr>
                <w:rFonts w:ascii="Arial Narrow" w:hAnsi="Arial Narrow"/>
                <w:sz w:val="20"/>
                <w:szCs w:val="20"/>
              </w:rPr>
              <w:t>Clinical benefit not adjusted for in the resubmission’s base case model. Sensitivity analyses were conducted during preparation of the minor overview.</w:t>
            </w:r>
          </w:p>
        </w:tc>
      </w:tr>
      <w:tr w:rsidR="002B3B49" w:rsidRPr="006B1802" w:rsidTr="0014764A">
        <w:trPr>
          <w:trHeight w:val="760"/>
        </w:trPr>
        <w:tc>
          <w:tcPr>
            <w:tcW w:w="2830" w:type="dxa"/>
          </w:tcPr>
          <w:p w:rsidR="002B3B49" w:rsidRPr="006B1802" w:rsidRDefault="002B3B49" w:rsidP="00414990">
            <w:pPr>
              <w:keepNext/>
              <w:keepLines/>
              <w:spacing w:after="160"/>
              <w:ind w:left="-11"/>
              <w:rPr>
                <w:rFonts w:ascii="Arial Narrow" w:hAnsi="Arial Narrow"/>
                <w:i/>
                <w:sz w:val="20"/>
                <w:szCs w:val="20"/>
              </w:rPr>
            </w:pPr>
            <w:r w:rsidRPr="006B1802">
              <w:rPr>
                <w:rFonts w:ascii="Arial Narrow" w:hAnsi="Arial Narrow"/>
                <w:bCs/>
                <w:sz w:val="20"/>
                <w:szCs w:val="20"/>
              </w:rPr>
              <w:t xml:space="preserve">No </w:t>
            </w:r>
            <w:r w:rsidRPr="006B1802">
              <w:rPr>
                <w:rFonts w:ascii="Arial Narrow" w:hAnsi="Arial Narrow"/>
                <w:sz w:val="20"/>
                <w:szCs w:val="20"/>
              </w:rPr>
              <w:t>accounting for the acute hemodynamic effects associated with tolvaptan treatment (5-10% reduction in eGFR) (Para 7.11)</w:t>
            </w:r>
          </w:p>
        </w:tc>
        <w:tc>
          <w:tcPr>
            <w:tcW w:w="6096" w:type="dxa"/>
          </w:tcPr>
          <w:p w:rsidR="002B3B49" w:rsidRPr="006B1802" w:rsidRDefault="002B3B49" w:rsidP="00414990">
            <w:pPr>
              <w:keepNext/>
              <w:keepLines/>
              <w:rPr>
                <w:rFonts w:ascii="Arial Narrow" w:hAnsi="Arial Narrow"/>
                <w:sz w:val="20"/>
                <w:szCs w:val="20"/>
              </w:rPr>
            </w:pPr>
            <w:r w:rsidRPr="006B1802">
              <w:rPr>
                <w:rFonts w:ascii="Arial Narrow" w:hAnsi="Arial Narrow"/>
                <w:sz w:val="20"/>
                <w:szCs w:val="20"/>
              </w:rPr>
              <w:t>The resubmission stated that the price reduction (16.7%) “</w:t>
            </w:r>
            <w:proofErr w:type="gramStart"/>
            <w:r w:rsidRPr="006B1802">
              <w:rPr>
                <w:rFonts w:ascii="Arial Narrow" w:hAnsi="Arial Narrow"/>
                <w:sz w:val="20"/>
                <w:szCs w:val="20"/>
              </w:rPr>
              <w:t>should</w:t>
            </w:r>
            <w:proofErr w:type="gramEnd"/>
            <w:r w:rsidRPr="006B1802">
              <w:rPr>
                <w:rFonts w:ascii="Arial Narrow" w:hAnsi="Arial Narrow"/>
                <w:sz w:val="20"/>
                <w:szCs w:val="20"/>
              </w:rPr>
              <w:t xml:space="preserve"> account for any residual uncertainty associated with any potential acute hemodynamic effects”.  No other adjustments were made in the economic model to </w:t>
            </w:r>
            <w:r w:rsidR="00932294" w:rsidRPr="006B1802">
              <w:rPr>
                <w:rFonts w:ascii="Arial Narrow" w:hAnsi="Arial Narrow"/>
                <w:sz w:val="20"/>
                <w:szCs w:val="20"/>
              </w:rPr>
              <w:t xml:space="preserve">account </w:t>
            </w:r>
            <w:r w:rsidRPr="006B1802">
              <w:rPr>
                <w:rFonts w:ascii="Arial Narrow" w:hAnsi="Arial Narrow"/>
                <w:sz w:val="20"/>
                <w:szCs w:val="20"/>
              </w:rPr>
              <w:t>for this.</w:t>
            </w:r>
          </w:p>
        </w:tc>
      </w:tr>
      <w:tr w:rsidR="002B3B49" w:rsidRPr="006B1802" w:rsidTr="0014764A">
        <w:tc>
          <w:tcPr>
            <w:tcW w:w="2830" w:type="dxa"/>
          </w:tcPr>
          <w:p w:rsidR="002B3B49" w:rsidRPr="006B1802" w:rsidRDefault="002B3B49" w:rsidP="00414990">
            <w:pPr>
              <w:keepNext/>
              <w:keepLines/>
              <w:spacing w:after="160"/>
              <w:rPr>
                <w:rFonts w:ascii="Arial Narrow" w:hAnsi="Arial Narrow"/>
                <w:sz w:val="20"/>
                <w:szCs w:val="20"/>
              </w:rPr>
            </w:pPr>
            <w:r w:rsidRPr="006B1802">
              <w:rPr>
                <w:rFonts w:ascii="Arial Narrow" w:hAnsi="Arial Narrow"/>
                <w:sz w:val="20"/>
                <w:szCs w:val="20"/>
              </w:rPr>
              <w:t xml:space="preserve">The </w:t>
            </w:r>
            <w:r w:rsidRPr="006B1802">
              <w:rPr>
                <w:rFonts w:ascii="Arial Narrow" w:hAnsi="Arial Narrow"/>
                <w:bCs/>
                <w:sz w:val="20"/>
                <w:szCs w:val="20"/>
              </w:rPr>
              <w:t xml:space="preserve">assumption of rapid disease progression </w:t>
            </w:r>
            <w:r w:rsidRPr="006B1802">
              <w:rPr>
                <w:rFonts w:ascii="Arial Narrow" w:hAnsi="Arial Narrow"/>
                <w:sz w:val="20"/>
                <w:szCs w:val="20"/>
              </w:rPr>
              <w:t>(Para 7.11)</w:t>
            </w:r>
          </w:p>
          <w:p w:rsidR="002B3B49" w:rsidRPr="006B1802" w:rsidRDefault="002B3B49" w:rsidP="00414990">
            <w:pPr>
              <w:keepNext/>
              <w:keepLines/>
              <w:spacing w:after="160"/>
              <w:rPr>
                <w:rFonts w:ascii="Arial Narrow" w:hAnsi="Arial Narrow"/>
                <w:i/>
                <w:sz w:val="20"/>
                <w:szCs w:val="20"/>
              </w:rPr>
            </w:pPr>
            <w:r w:rsidRPr="006B1802">
              <w:rPr>
                <w:rFonts w:ascii="Arial Narrow" w:hAnsi="Arial Narrow"/>
                <w:bCs/>
                <w:sz w:val="20"/>
                <w:szCs w:val="20"/>
              </w:rPr>
              <w:t>Significant variability between the inclusion criteria of REPRISE and TEMPO 3:4; unclear how the trial populations were applicable to the proposed PBS eligible Australian population. The PBAC noted that the resubmission base case ICERs from Tempo 3:4 and REPRISE were based upon effectiveness from sub-populations in the trials, as opposed to the ITT populations, (Para 7.10)</w:t>
            </w:r>
          </w:p>
        </w:tc>
        <w:tc>
          <w:tcPr>
            <w:tcW w:w="6096" w:type="dxa"/>
          </w:tcPr>
          <w:p w:rsidR="002B3B49" w:rsidRPr="006B1802" w:rsidRDefault="002B3B49" w:rsidP="00414990">
            <w:pPr>
              <w:keepNext/>
              <w:keepLines/>
              <w:rPr>
                <w:rFonts w:ascii="Arial Narrow" w:hAnsi="Arial Narrow"/>
                <w:sz w:val="20"/>
                <w:szCs w:val="20"/>
              </w:rPr>
            </w:pPr>
            <w:r w:rsidRPr="006B1802">
              <w:rPr>
                <w:rFonts w:ascii="Arial Narrow" w:hAnsi="Arial Narrow"/>
                <w:sz w:val="20"/>
                <w:szCs w:val="20"/>
              </w:rPr>
              <w:t xml:space="preserve">Not adjusted for in the resubmission’s model. </w:t>
            </w:r>
            <w:bookmarkStart w:id="6" w:name="_Hlk515858300"/>
            <w:r w:rsidRPr="006B1802">
              <w:rPr>
                <w:rFonts w:ascii="Arial Narrow" w:hAnsi="Arial Narrow"/>
                <w:sz w:val="20"/>
                <w:szCs w:val="20"/>
              </w:rPr>
              <w:t>The resubmission acknowledged the modelled population was not aligned with the proposed PBS restriction, but considered that this issue was addressed through the proposed RSA with a hard financial cap based on the resubmission’s estimate of 15% of the ADPKD population. The resubmission stated that, given that half the ADPKD will experience end stage kidney disease by the age of 60, the population being funded on the PBS does have rapid disease progression”.</w:t>
            </w:r>
            <w:bookmarkEnd w:id="6"/>
          </w:p>
          <w:p w:rsidR="002B3B49" w:rsidRPr="006B1802" w:rsidRDefault="002B3B49" w:rsidP="00414990">
            <w:pPr>
              <w:keepNext/>
              <w:keepLines/>
              <w:snapToGrid w:val="0"/>
              <w:rPr>
                <w:rFonts w:ascii="Arial Narrow" w:hAnsi="Arial Narrow"/>
                <w:i/>
                <w:sz w:val="20"/>
                <w:szCs w:val="20"/>
              </w:rPr>
            </w:pPr>
            <w:r w:rsidRPr="006B1802">
              <w:rPr>
                <w:rFonts w:ascii="Arial Narrow" w:hAnsi="Arial Narrow"/>
                <w:sz w:val="20"/>
                <w:szCs w:val="20"/>
              </w:rPr>
              <w:t>The strict definition of rapid disease progression applied in the model (annualised eGFR decline of ≥2.5 mL/min/1.73 m</w:t>
            </w:r>
            <w:r w:rsidRPr="006B1802">
              <w:rPr>
                <w:rFonts w:ascii="Arial Narrow" w:hAnsi="Arial Narrow"/>
                <w:sz w:val="20"/>
                <w:szCs w:val="20"/>
                <w:vertAlign w:val="superscript"/>
              </w:rPr>
              <w:t>2</w:t>
            </w:r>
            <w:r w:rsidRPr="006B1802">
              <w:rPr>
                <w:rFonts w:ascii="Arial Narrow" w:hAnsi="Arial Narrow"/>
                <w:sz w:val="20"/>
                <w:szCs w:val="20"/>
              </w:rPr>
              <w:t>/year over the maximum period of available data for each patient) is likely to exclude patients who would qualify for treatment under the requested restriction and favours tolvaptan. The definition was applied through using sub-populations of the trials, rather than the ITT populations, which was tested in sensitivity analyses during preparation of the minor overview.</w:t>
            </w:r>
            <w:r w:rsidRPr="006B1802">
              <w:rPr>
                <w:rFonts w:ascii="Arial Narrow" w:hAnsi="Arial Narrow"/>
                <w:i/>
                <w:sz w:val="20"/>
                <w:szCs w:val="20"/>
              </w:rPr>
              <w:t xml:space="preserve"> </w:t>
            </w:r>
          </w:p>
        </w:tc>
      </w:tr>
      <w:tr w:rsidR="002B3B49" w:rsidRPr="006B1802" w:rsidTr="0014764A">
        <w:tc>
          <w:tcPr>
            <w:tcW w:w="2830" w:type="dxa"/>
          </w:tcPr>
          <w:p w:rsidR="002B3B49" w:rsidRPr="006B1802" w:rsidRDefault="002B3B49" w:rsidP="00414990">
            <w:pPr>
              <w:keepNext/>
              <w:keepLines/>
              <w:spacing w:after="160"/>
              <w:rPr>
                <w:rFonts w:ascii="Arial Narrow" w:hAnsi="Arial Narrow"/>
                <w:i/>
                <w:sz w:val="20"/>
                <w:szCs w:val="20"/>
              </w:rPr>
            </w:pPr>
            <w:r w:rsidRPr="006B1802">
              <w:rPr>
                <w:rFonts w:ascii="Arial Narrow" w:hAnsi="Arial Narrow"/>
                <w:bCs/>
                <w:sz w:val="20"/>
                <w:szCs w:val="20"/>
              </w:rPr>
              <w:t xml:space="preserve">No utility decrement for a drug that has appreciable side effects. </w:t>
            </w:r>
            <w:r w:rsidRPr="006B1802">
              <w:rPr>
                <w:rFonts w:ascii="Arial Narrow" w:hAnsi="Arial Narrow"/>
                <w:sz w:val="20"/>
                <w:szCs w:val="20"/>
              </w:rPr>
              <w:t>(Para 7.11)</w:t>
            </w:r>
          </w:p>
        </w:tc>
        <w:tc>
          <w:tcPr>
            <w:tcW w:w="6096" w:type="dxa"/>
          </w:tcPr>
          <w:p w:rsidR="002B3B49" w:rsidRPr="006B1802" w:rsidRDefault="002B3B49" w:rsidP="00414990">
            <w:pPr>
              <w:keepNext/>
              <w:keepLines/>
              <w:rPr>
                <w:rFonts w:ascii="Arial Narrow" w:hAnsi="Arial Narrow"/>
                <w:sz w:val="20"/>
                <w:szCs w:val="20"/>
              </w:rPr>
            </w:pPr>
            <w:r w:rsidRPr="006B1802">
              <w:rPr>
                <w:rFonts w:ascii="Arial Narrow" w:hAnsi="Arial Narrow"/>
                <w:sz w:val="20"/>
                <w:szCs w:val="20"/>
              </w:rPr>
              <w:t>A disutility of 0.0123 was applied to 33% of patients for the duration of treatment on tolvaptan. This was based on Sullivan et al 2011 “Catalogue of EQ-5D Scores for the United Kingdom” for the disutility associated with the condition of “other endocrine disorders”. The resubmission stated this was applied to account for thirst and polyuria. The resubmission stated that this was conservative</w:t>
            </w:r>
            <w:r w:rsidR="00932294" w:rsidRPr="006B1802">
              <w:rPr>
                <w:rFonts w:ascii="Arial Narrow" w:hAnsi="Arial Narrow"/>
                <w:sz w:val="20"/>
                <w:szCs w:val="20"/>
              </w:rPr>
              <w:t xml:space="preserve"> (biased the analysis against tolvaptan)</w:t>
            </w:r>
            <w:r w:rsidRPr="006B1802">
              <w:rPr>
                <w:rFonts w:ascii="Arial Narrow" w:hAnsi="Arial Narrow"/>
                <w:sz w:val="20"/>
                <w:szCs w:val="20"/>
              </w:rPr>
              <w:t xml:space="preserve"> as these adverse events are likely to be transient.</w:t>
            </w:r>
            <w:r w:rsidR="00D14CEA" w:rsidRPr="006B1802">
              <w:rPr>
                <w:rFonts w:ascii="Arial Narrow" w:hAnsi="Arial Narrow"/>
                <w:sz w:val="20"/>
                <w:szCs w:val="20"/>
              </w:rPr>
              <w:t xml:space="preserve"> However this may not have been conservative as it may not adequately account for long-term safety; in its previous consideration, the PBAC and noted the TGA had imposed a black box warning in the product information regarding hepatic impairment (Para 7.8).</w:t>
            </w:r>
          </w:p>
        </w:tc>
      </w:tr>
    </w:tbl>
    <w:p w:rsidR="002B3B49" w:rsidRPr="006B1802" w:rsidRDefault="002B3B49" w:rsidP="00414990">
      <w:pPr>
        <w:keepNext/>
        <w:keepLines/>
        <w:rPr>
          <w:rFonts w:ascii="Arial Narrow" w:hAnsi="Arial Narrow"/>
          <w:sz w:val="18"/>
          <w:szCs w:val="18"/>
        </w:rPr>
      </w:pPr>
      <w:r w:rsidRPr="006B1802">
        <w:rPr>
          <w:rFonts w:ascii="Arial Narrow" w:hAnsi="Arial Narrow"/>
          <w:sz w:val="18"/>
          <w:szCs w:val="18"/>
        </w:rPr>
        <w:t xml:space="preserve">Source: Compiled during preparation of the minor overview based on Section 3 of the minor resubmission. </w:t>
      </w:r>
    </w:p>
    <w:p w:rsidR="002B3B49" w:rsidRPr="006B1802" w:rsidRDefault="002B3B49" w:rsidP="00414990">
      <w:pPr>
        <w:keepNext/>
        <w:keepLines/>
        <w:spacing w:after="160"/>
        <w:rPr>
          <w:rFonts w:ascii="Arial Narrow" w:hAnsi="Arial Narrow"/>
          <w:sz w:val="18"/>
          <w:szCs w:val="18"/>
        </w:rPr>
      </w:pPr>
      <w:r w:rsidRPr="006B1802">
        <w:rPr>
          <w:rFonts w:ascii="Arial Narrow" w:hAnsi="Arial Narrow"/>
          <w:sz w:val="18"/>
          <w:szCs w:val="18"/>
        </w:rPr>
        <w:t>Abbreviations: CKD, chronic kidney disease; ITT, intention-to-treat; QALY, quality-adjusted life year</w:t>
      </w:r>
    </w:p>
    <w:p w:rsidR="002B3B49" w:rsidRPr="006B1802" w:rsidRDefault="002B3B49" w:rsidP="00B93A10">
      <w:pPr>
        <w:numPr>
          <w:ilvl w:val="1"/>
          <w:numId w:val="5"/>
        </w:numPr>
        <w:spacing w:after="120"/>
        <w:jc w:val="both"/>
        <w:rPr>
          <w:rFonts w:asciiTheme="minorHAnsi" w:hAnsiTheme="minorHAnsi"/>
        </w:rPr>
      </w:pPr>
      <w:r w:rsidRPr="006B1802">
        <w:rPr>
          <w:rFonts w:asciiTheme="minorHAnsi" w:hAnsiTheme="minorHAnsi"/>
        </w:rPr>
        <w:t>The minor resubmission made two changes to the economic model:</w:t>
      </w:r>
    </w:p>
    <w:p w:rsidR="002B3B49" w:rsidRPr="006B1802" w:rsidRDefault="002B3B49" w:rsidP="00B93A10">
      <w:pPr>
        <w:pStyle w:val="ListParagraph"/>
        <w:widowControl/>
        <w:numPr>
          <w:ilvl w:val="0"/>
          <w:numId w:val="22"/>
        </w:numPr>
        <w:ind w:left="1134" w:hanging="283"/>
        <w:rPr>
          <w:rFonts w:asciiTheme="minorHAnsi" w:hAnsiTheme="minorHAnsi"/>
          <w:sz w:val="24"/>
          <w:szCs w:val="24"/>
        </w:rPr>
      </w:pPr>
      <w:r w:rsidRPr="006B1802">
        <w:rPr>
          <w:rFonts w:asciiTheme="minorHAnsi" w:hAnsiTheme="minorHAnsi"/>
          <w:sz w:val="24"/>
          <w:szCs w:val="24"/>
        </w:rPr>
        <w:t xml:space="preserve">the price was reduced by </w:t>
      </w:r>
      <w:r w:rsidR="00B912EA">
        <w:rPr>
          <w:rFonts w:asciiTheme="minorHAnsi" w:hAnsiTheme="minorHAnsi"/>
          <w:noProof/>
          <w:color w:val="000000"/>
          <w:sz w:val="24"/>
          <w:szCs w:val="24"/>
          <w:highlight w:val="black"/>
        </w:rPr>
        <w:t>'''''''''</w:t>
      </w:r>
      <w:r w:rsidR="00F065A2" w:rsidRPr="006B1802">
        <w:rPr>
          <w:rFonts w:asciiTheme="minorHAnsi" w:hAnsiTheme="minorHAnsi"/>
          <w:sz w:val="24"/>
          <w:szCs w:val="24"/>
        </w:rPr>
        <w:t>%</w:t>
      </w:r>
      <w:r w:rsidRPr="006B1802">
        <w:rPr>
          <w:rFonts w:asciiTheme="minorHAnsi" w:hAnsiTheme="minorHAnsi"/>
          <w:sz w:val="24"/>
          <w:szCs w:val="24"/>
        </w:rPr>
        <w:t xml:space="preserve"> from $</w:t>
      </w:r>
      <w:r w:rsidR="00B912EA">
        <w:rPr>
          <w:rFonts w:asciiTheme="minorHAnsi" w:hAnsiTheme="minorHAnsi"/>
          <w:noProof/>
          <w:color w:val="000000"/>
          <w:sz w:val="24"/>
          <w:szCs w:val="24"/>
          <w:highlight w:val="black"/>
        </w:rPr>
        <w:t>''''''''''''''</w:t>
      </w:r>
      <w:r w:rsidRPr="006B1802">
        <w:rPr>
          <w:rFonts w:asciiTheme="minorHAnsi" w:hAnsiTheme="minorHAnsi"/>
          <w:sz w:val="24"/>
          <w:szCs w:val="24"/>
        </w:rPr>
        <w:t xml:space="preserve"> to $</w:t>
      </w:r>
      <w:r w:rsidR="00B912EA">
        <w:rPr>
          <w:rFonts w:asciiTheme="minorHAnsi" w:hAnsiTheme="minorHAnsi"/>
          <w:noProof/>
          <w:color w:val="000000"/>
          <w:sz w:val="24"/>
          <w:szCs w:val="24"/>
          <w:highlight w:val="black"/>
        </w:rPr>
        <w:t>''''''''''''''</w:t>
      </w:r>
      <w:r w:rsidRPr="006B1802">
        <w:rPr>
          <w:rFonts w:asciiTheme="minorHAnsi" w:hAnsiTheme="minorHAnsi"/>
          <w:sz w:val="24"/>
          <w:szCs w:val="24"/>
        </w:rPr>
        <w:t xml:space="preserve"> (effective DPMQ); and</w:t>
      </w:r>
    </w:p>
    <w:p w:rsidR="002B3B49" w:rsidRPr="006B1802" w:rsidRDefault="002B3B49" w:rsidP="00B93A10">
      <w:pPr>
        <w:pStyle w:val="ListParagraph"/>
        <w:widowControl/>
        <w:numPr>
          <w:ilvl w:val="0"/>
          <w:numId w:val="22"/>
        </w:numPr>
        <w:ind w:left="1134" w:hanging="283"/>
        <w:rPr>
          <w:rFonts w:asciiTheme="minorHAnsi" w:hAnsiTheme="minorHAnsi"/>
          <w:sz w:val="24"/>
          <w:szCs w:val="24"/>
        </w:rPr>
      </w:pPr>
      <w:proofErr w:type="gramStart"/>
      <w:r w:rsidRPr="006B1802">
        <w:rPr>
          <w:rFonts w:asciiTheme="minorHAnsi" w:hAnsiTheme="minorHAnsi"/>
          <w:sz w:val="24"/>
          <w:szCs w:val="24"/>
        </w:rPr>
        <w:lastRenderedPageBreak/>
        <w:t>a</w:t>
      </w:r>
      <w:proofErr w:type="gramEnd"/>
      <w:r w:rsidRPr="006B1802">
        <w:rPr>
          <w:rFonts w:asciiTheme="minorHAnsi" w:hAnsiTheme="minorHAnsi"/>
          <w:sz w:val="24"/>
          <w:szCs w:val="24"/>
        </w:rPr>
        <w:t xml:space="preserve"> disutility of 0.0123 was applied to account for thirst and polyuria associated with tolvaptan treatment. This was applied to one-third of patients for the entire duration of their tolvaptan treatment. </w:t>
      </w:r>
    </w:p>
    <w:p w:rsidR="002B3B49" w:rsidRPr="006B1802" w:rsidRDefault="002B3B49" w:rsidP="00B93A10">
      <w:pPr>
        <w:numPr>
          <w:ilvl w:val="1"/>
          <w:numId w:val="5"/>
        </w:numPr>
        <w:spacing w:after="120"/>
        <w:jc w:val="both"/>
        <w:rPr>
          <w:rFonts w:asciiTheme="minorHAnsi" w:hAnsiTheme="minorHAnsi"/>
        </w:rPr>
      </w:pPr>
      <w:r w:rsidRPr="006B1802">
        <w:rPr>
          <w:rFonts w:asciiTheme="minorHAnsi" w:hAnsiTheme="minorHAnsi"/>
        </w:rPr>
        <w:t>For the TEMPO 3:4 sub-population, the ICER changed from $</w:t>
      </w:r>
      <w:r w:rsidR="00297CB0">
        <w:rPr>
          <w:rFonts w:asciiTheme="minorHAnsi" w:hAnsiTheme="minorHAnsi"/>
        </w:rPr>
        <w:t>15,000</w:t>
      </w:r>
      <w:r w:rsidRPr="006B1802">
        <w:rPr>
          <w:rFonts w:asciiTheme="minorHAnsi" w:hAnsiTheme="minorHAnsi"/>
        </w:rPr>
        <w:t>/QALY</w:t>
      </w:r>
      <w:r w:rsidR="00297CB0">
        <w:rPr>
          <w:rFonts w:asciiTheme="minorHAnsi" w:hAnsiTheme="minorHAnsi"/>
        </w:rPr>
        <w:t xml:space="preserve"> - $45,000/QALY</w:t>
      </w:r>
      <w:r w:rsidRPr="006B1802">
        <w:rPr>
          <w:rFonts w:asciiTheme="minorHAnsi" w:hAnsiTheme="minorHAnsi"/>
        </w:rPr>
        <w:t xml:space="preserve"> (previous submission) to $</w:t>
      </w:r>
      <w:r w:rsidR="00297CB0">
        <w:rPr>
          <w:rFonts w:asciiTheme="minorHAnsi" w:hAnsiTheme="minorHAnsi"/>
        </w:rPr>
        <w:t>15,000</w:t>
      </w:r>
      <w:r w:rsidRPr="006B1802">
        <w:rPr>
          <w:rFonts w:asciiTheme="minorHAnsi" w:hAnsiTheme="minorHAnsi"/>
        </w:rPr>
        <w:t>/QALY</w:t>
      </w:r>
      <w:r w:rsidR="00297CB0">
        <w:rPr>
          <w:rFonts w:asciiTheme="minorHAnsi" w:hAnsiTheme="minorHAnsi"/>
        </w:rPr>
        <w:t xml:space="preserve"> - $45,000/QALY</w:t>
      </w:r>
      <w:r w:rsidRPr="006B1802">
        <w:rPr>
          <w:rFonts w:asciiTheme="minorHAnsi" w:hAnsiTheme="minorHAnsi"/>
        </w:rPr>
        <w:t xml:space="preserve"> with the application of the lower price; then to $</w:t>
      </w:r>
      <w:r w:rsidR="00297CB0">
        <w:rPr>
          <w:rFonts w:asciiTheme="minorHAnsi" w:hAnsiTheme="minorHAnsi"/>
        </w:rPr>
        <w:t>15,000</w:t>
      </w:r>
      <w:r w:rsidRPr="006B1802">
        <w:rPr>
          <w:rFonts w:asciiTheme="minorHAnsi" w:hAnsiTheme="minorHAnsi"/>
        </w:rPr>
        <w:t>/QALY</w:t>
      </w:r>
      <w:r w:rsidR="00297CB0">
        <w:rPr>
          <w:rFonts w:asciiTheme="minorHAnsi" w:hAnsiTheme="minorHAnsi"/>
        </w:rPr>
        <w:t xml:space="preserve"> - $45,000/</w:t>
      </w:r>
      <w:r w:rsidR="00B912EA">
        <w:rPr>
          <w:rFonts w:asciiTheme="minorHAnsi" w:hAnsiTheme="minorHAnsi"/>
          <w:noProof/>
          <w:color w:val="000000"/>
          <w:highlight w:val="black"/>
        </w:rPr>
        <w:t xml:space="preserve">'''''''''' </w:t>
      </w:r>
      <w:r w:rsidRPr="006B1802">
        <w:rPr>
          <w:rFonts w:asciiTheme="minorHAnsi" w:hAnsiTheme="minorHAnsi"/>
        </w:rPr>
        <w:t xml:space="preserve">with the application of adverse event </w:t>
      </w:r>
      <w:proofErr w:type="spellStart"/>
      <w:r w:rsidRPr="006B1802">
        <w:rPr>
          <w:rFonts w:asciiTheme="minorHAnsi" w:hAnsiTheme="minorHAnsi"/>
        </w:rPr>
        <w:t>disutilities</w:t>
      </w:r>
      <w:proofErr w:type="spellEnd"/>
      <w:r w:rsidRPr="006B1802">
        <w:rPr>
          <w:rFonts w:asciiTheme="minorHAnsi" w:hAnsiTheme="minorHAnsi"/>
        </w:rPr>
        <w:t xml:space="preserve">. For the REPRISE subpopulation, the ICER remained dominant when these changes were applied. The resulting weighted ICER is presented in Table </w:t>
      </w:r>
      <w:r w:rsidR="00CC525E" w:rsidRPr="006B1802">
        <w:rPr>
          <w:rFonts w:asciiTheme="minorHAnsi" w:hAnsiTheme="minorHAnsi"/>
        </w:rPr>
        <w:t>2</w:t>
      </w:r>
      <w:r w:rsidRPr="006B1802">
        <w:rPr>
          <w:rFonts w:asciiTheme="minorHAnsi" w:hAnsiTheme="minorHAnsi"/>
        </w:rPr>
        <w:t xml:space="preserve"> below. During preparation of the minor overview, the ICERs were also calculated based on the ITT of the trials (using both the overall trial population characteristics and efficacy) rather than the sub-populations. </w:t>
      </w:r>
    </w:p>
    <w:p w:rsidR="00F065A2" w:rsidRPr="006B1802" w:rsidRDefault="00F065A2" w:rsidP="00B93A10">
      <w:pPr>
        <w:pStyle w:val="ListParagraph"/>
        <w:widowControl/>
        <w:rPr>
          <w:rFonts w:asciiTheme="minorHAnsi" w:hAnsiTheme="minorHAnsi"/>
          <w:i/>
          <w:sz w:val="24"/>
          <w:szCs w:val="24"/>
        </w:rPr>
      </w:pPr>
    </w:p>
    <w:p w:rsidR="00F065A2" w:rsidRPr="006B1802" w:rsidRDefault="00F065A2" w:rsidP="00B93A10">
      <w:pPr>
        <w:keepNext/>
        <w:jc w:val="both"/>
        <w:rPr>
          <w:rFonts w:ascii="Calibri" w:hAnsi="Calibri" w:cs="Arial"/>
          <w:snapToGrid w:val="0"/>
          <w:szCs w:val="22"/>
          <w:lang w:eastAsia="en-US"/>
        </w:rPr>
      </w:pPr>
      <w:r w:rsidRPr="006B1802">
        <w:rPr>
          <w:rFonts w:ascii="Arial Narrow" w:hAnsi="Arial Narrow" w:cs="Arial"/>
          <w:b/>
          <w:snapToGrid w:val="0"/>
          <w:sz w:val="20"/>
          <w:szCs w:val="16"/>
          <w:lang w:eastAsia="en-US"/>
        </w:rPr>
        <w:lastRenderedPageBreak/>
        <w:t xml:space="preserve">Table </w:t>
      </w:r>
      <w:r w:rsidR="00CC525E" w:rsidRPr="006B1802">
        <w:rPr>
          <w:rFonts w:ascii="Arial Narrow" w:hAnsi="Arial Narrow" w:cs="Arial"/>
          <w:b/>
          <w:snapToGrid w:val="0"/>
          <w:sz w:val="20"/>
          <w:szCs w:val="16"/>
          <w:lang w:eastAsia="en-US"/>
        </w:rPr>
        <w:t>2</w:t>
      </w:r>
      <w:r w:rsidRPr="006B1802">
        <w:rPr>
          <w:rFonts w:ascii="Arial Narrow" w:hAnsi="Arial Narrow" w:cs="Arial"/>
          <w:b/>
          <w:snapToGrid w:val="0"/>
          <w:sz w:val="20"/>
          <w:szCs w:val="16"/>
          <w:lang w:eastAsia="en-US"/>
        </w:rPr>
        <w:t xml:space="preserve">: Results of the modelled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83"/>
        <w:gridCol w:w="2102"/>
        <w:gridCol w:w="2103"/>
        <w:gridCol w:w="2094"/>
      </w:tblGrid>
      <w:tr w:rsidR="00F065A2" w:rsidRPr="006B1802" w:rsidTr="0014764A">
        <w:trPr>
          <w:tblHeader/>
        </w:trPr>
        <w:tc>
          <w:tcPr>
            <w:tcW w:w="1532" w:type="pct"/>
            <w:shd w:val="clear" w:color="auto" w:fill="FFFFFF" w:themeFill="background1"/>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b/>
                <w:sz w:val="20"/>
                <w:szCs w:val="20"/>
                <w:lang w:eastAsia="en-US"/>
              </w:rPr>
              <w:t>Analysis</w:t>
            </w:r>
          </w:p>
        </w:tc>
        <w:tc>
          <w:tcPr>
            <w:tcW w:w="1157" w:type="pct"/>
            <w:shd w:val="clear" w:color="auto" w:fill="FFFFFF" w:themeFill="background1"/>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b/>
                <w:sz w:val="20"/>
                <w:szCs w:val="20"/>
                <w:lang w:eastAsia="en-US"/>
              </w:rPr>
              <w:t>Tolvaptan</w:t>
            </w:r>
          </w:p>
        </w:tc>
        <w:tc>
          <w:tcPr>
            <w:tcW w:w="1158" w:type="pct"/>
            <w:shd w:val="clear" w:color="auto" w:fill="FFFFFF" w:themeFill="background1"/>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b/>
                <w:sz w:val="20"/>
                <w:szCs w:val="20"/>
                <w:lang w:eastAsia="en-US"/>
              </w:rPr>
              <w:t>Placebo</w:t>
            </w:r>
          </w:p>
        </w:tc>
        <w:tc>
          <w:tcPr>
            <w:tcW w:w="1153" w:type="pct"/>
            <w:shd w:val="clear" w:color="auto" w:fill="FFFFFF" w:themeFill="background1"/>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b/>
                <w:sz w:val="20"/>
                <w:szCs w:val="20"/>
                <w:lang w:eastAsia="en-US"/>
              </w:rPr>
              <w:t>Increment</w:t>
            </w:r>
          </w:p>
        </w:tc>
      </w:tr>
      <w:tr w:rsidR="00F065A2" w:rsidRPr="006B1802" w:rsidTr="0014764A">
        <w:tc>
          <w:tcPr>
            <w:tcW w:w="5000" w:type="pct"/>
            <w:gridSpan w:val="4"/>
            <w:vAlign w:val="center"/>
          </w:tcPr>
          <w:p w:rsidR="00F065A2" w:rsidRPr="006B1802" w:rsidRDefault="00F065A2" w:rsidP="00B93A10">
            <w:pPr>
              <w:keepNext/>
              <w:rPr>
                <w:rFonts w:ascii="Arial Narrow" w:hAnsi="Arial Narrow"/>
                <w:b/>
                <w:snapToGrid w:val="0"/>
                <w:sz w:val="20"/>
                <w:szCs w:val="20"/>
                <w:lang w:eastAsia="en-US"/>
              </w:rPr>
            </w:pPr>
            <w:r w:rsidRPr="006B1802">
              <w:rPr>
                <w:rFonts w:ascii="Arial Narrow" w:hAnsi="Arial Narrow"/>
                <w:b/>
                <w:sz w:val="20"/>
                <w:szCs w:val="20"/>
                <w:lang w:eastAsia="en-US"/>
              </w:rPr>
              <w:t xml:space="preserve">Current minor resubmission base case </w:t>
            </w:r>
            <w:r w:rsidRPr="006B1802">
              <w:rPr>
                <w:rFonts w:ascii="Arial Narrow" w:hAnsi="Arial Narrow"/>
                <w:sz w:val="20"/>
                <w:szCs w:val="20"/>
                <w:lang w:eastAsia="en-US"/>
              </w:rPr>
              <w:t>(tolvaptan price of $</w:t>
            </w:r>
            <w:r w:rsidR="00B912EA">
              <w:rPr>
                <w:rFonts w:ascii="Arial Narrow" w:hAnsi="Arial Narrow"/>
                <w:noProof/>
                <w:color w:val="000000"/>
                <w:sz w:val="20"/>
                <w:szCs w:val="20"/>
                <w:highlight w:val="black"/>
                <w:lang w:eastAsia="en-US"/>
              </w:rPr>
              <w:t>''''''''''''''''</w:t>
            </w:r>
            <w:r w:rsidRPr="006B1802">
              <w:rPr>
                <w:rFonts w:ascii="Arial Narrow" w:hAnsi="Arial Narrow"/>
                <w:sz w:val="20"/>
                <w:szCs w:val="20"/>
                <w:lang w:eastAsia="en-US"/>
              </w:rPr>
              <w:t>/pack and with disutility for adverse events)</w:t>
            </w:r>
          </w:p>
        </w:tc>
      </w:tr>
      <w:tr w:rsidR="00F065A2" w:rsidRPr="006B1802" w:rsidTr="0014764A">
        <w:tc>
          <w:tcPr>
            <w:tcW w:w="5000" w:type="pct"/>
            <w:gridSpan w:val="4"/>
            <w:vAlign w:val="center"/>
          </w:tcPr>
          <w:p w:rsidR="00F065A2" w:rsidRPr="006B1802" w:rsidRDefault="00F065A2" w:rsidP="00B93A10">
            <w:pPr>
              <w:keepNext/>
              <w:rPr>
                <w:rFonts w:ascii="Arial Narrow" w:hAnsi="Arial Narrow"/>
                <w:b/>
                <w:snapToGrid w:val="0"/>
                <w:sz w:val="20"/>
                <w:szCs w:val="20"/>
                <w:vertAlign w:val="superscript"/>
                <w:lang w:eastAsia="en-US"/>
              </w:rPr>
            </w:pPr>
            <w:r w:rsidRPr="006B1802">
              <w:rPr>
                <w:rFonts w:ascii="Arial Narrow" w:hAnsi="Arial Narrow"/>
                <w:b/>
                <w:snapToGrid w:val="0"/>
                <w:sz w:val="20"/>
                <w:szCs w:val="20"/>
                <w:lang w:eastAsia="en-US"/>
              </w:rPr>
              <w:t xml:space="preserve">TEMPO 3:4 PBS eligibility population and CKD stage 2-3 efficacy </w:t>
            </w:r>
            <w:r w:rsidRPr="006B1802">
              <w:rPr>
                <w:rFonts w:ascii="Arial Narrow" w:hAnsi="Arial Narrow"/>
                <w:b/>
                <w:snapToGrid w:val="0"/>
                <w:sz w:val="20"/>
                <w:szCs w:val="20"/>
                <w:vertAlign w:val="superscript"/>
                <w:lang w:eastAsia="en-US"/>
              </w:rPr>
              <w:t>a</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Costs</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Life years gained</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13.75</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13.20</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0.55</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QALYs</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11.51</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10.96</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0.55</w:t>
            </w:r>
          </w:p>
        </w:tc>
      </w:tr>
      <w:tr w:rsidR="00F065A2" w:rsidRPr="006B1802" w:rsidTr="0014764A">
        <w:tc>
          <w:tcPr>
            <w:tcW w:w="3847" w:type="pct"/>
            <w:gridSpan w:val="3"/>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Incremental cost/QALY gained</w:t>
            </w:r>
          </w:p>
        </w:tc>
        <w:tc>
          <w:tcPr>
            <w:tcW w:w="1153" w:type="pct"/>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c>
          <w:tcPr>
            <w:tcW w:w="5000" w:type="pct"/>
            <w:gridSpan w:val="4"/>
            <w:vAlign w:val="center"/>
          </w:tcPr>
          <w:p w:rsidR="00F065A2" w:rsidRPr="006B1802" w:rsidRDefault="00F065A2" w:rsidP="00B93A10">
            <w:pPr>
              <w:keepNext/>
              <w:rPr>
                <w:rFonts w:ascii="Arial Narrow" w:hAnsi="Arial Narrow"/>
                <w:b/>
                <w:snapToGrid w:val="0"/>
                <w:sz w:val="20"/>
                <w:szCs w:val="20"/>
                <w:vertAlign w:val="superscript"/>
                <w:lang w:eastAsia="en-US"/>
              </w:rPr>
            </w:pPr>
            <w:r w:rsidRPr="006B1802">
              <w:rPr>
                <w:rFonts w:ascii="Arial Narrow" w:hAnsi="Arial Narrow"/>
                <w:b/>
                <w:snapToGrid w:val="0"/>
                <w:sz w:val="20"/>
                <w:szCs w:val="20"/>
                <w:lang w:eastAsia="en-US"/>
              </w:rPr>
              <w:t xml:space="preserve">REPRISE PBS eligibility population and CKD stage 2-3 efficacy </w:t>
            </w:r>
            <w:r w:rsidRPr="006B1802">
              <w:rPr>
                <w:rFonts w:ascii="Arial Narrow" w:hAnsi="Arial Narrow"/>
                <w:b/>
                <w:snapToGrid w:val="0"/>
                <w:sz w:val="20"/>
                <w:szCs w:val="20"/>
                <w:vertAlign w:val="superscript"/>
                <w:lang w:eastAsia="en-US"/>
              </w:rPr>
              <w:t>b</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Costs</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Life years gained</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11.82</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11.24</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0.57</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QALYs</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9.61</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9.05</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0.56</w:t>
            </w:r>
          </w:p>
        </w:tc>
      </w:tr>
      <w:tr w:rsidR="00F065A2" w:rsidRPr="006B1802" w:rsidTr="0014764A">
        <w:tc>
          <w:tcPr>
            <w:tcW w:w="3847" w:type="pct"/>
            <w:gridSpan w:val="3"/>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Incremental cost/QALY gained</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Tolvaptan dominant</w:t>
            </w:r>
          </w:p>
        </w:tc>
      </w:tr>
      <w:tr w:rsidR="00F065A2" w:rsidRPr="006B1802" w:rsidTr="0014764A">
        <w:tc>
          <w:tcPr>
            <w:tcW w:w="3847" w:type="pct"/>
            <w:gridSpan w:val="3"/>
            <w:vAlign w:val="center"/>
          </w:tcPr>
          <w:p w:rsidR="00F065A2" w:rsidRPr="006B1802" w:rsidRDefault="00F065A2" w:rsidP="00B93A10">
            <w:pPr>
              <w:keepNext/>
              <w:rPr>
                <w:rFonts w:ascii="Arial Narrow" w:hAnsi="Arial Narrow"/>
                <w:b/>
                <w:sz w:val="20"/>
                <w:szCs w:val="20"/>
                <w:vertAlign w:val="superscript"/>
                <w:lang w:eastAsia="en-US"/>
              </w:rPr>
            </w:pPr>
            <w:r w:rsidRPr="006B1802">
              <w:rPr>
                <w:rFonts w:ascii="Arial Narrow" w:hAnsi="Arial Narrow"/>
                <w:b/>
                <w:sz w:val="20"/>
                <w:szCs w:val="20"/>
                <w:lang w:eastAsia="en-US"/>
              </w:rPr>
              <w:t xml:space="preserve">Weighted ICER (weighting: 54.1% TEMPO 3:4 versus 45.9% REPRISE) </w:t>
            </w:r>
            <w:r w:rsidRPr="006B1802">
              <w:rPr>
                <w:rFonts w:ascii="Arial Narrow" w:hAnsi="Arial Narrow"/>
                <w:b/>
                <w:sz w:val="20"/>
                <w:szCs w:val="20"/>
                <w:vertAlign w:val="superscript"/>
                <w:lang w:eastAsia="en-US"/>
              </w:rPr>
              <w:t>c</w:t>
            </w:r>
          </w:p>
        </w:tc>
        <w:tc>
          <w:tcPr>
            <w:tcW w:w="1153" w:type="pct"/>
            <w:vAlign w:val="center"/>
          </w:tcPr>
          <w:p w:rsidR="00F065A2" w:rsidRPr="006B1802" w:rsidRDefault="00F065A2" w:rsidP="00B93A10">
            <w:pPr>
              <w:keepNext/>
              <w:jc w:val="center"/>
              <w:rPr>
                <w:rFonts w:ascii="Arial Narrow" w:hAnsi="Arial Narrow"/>
                <w:sz w:val="20"/>
                <w:szCs w:val="20"/>
                <w:lang w:eastAsia="en-US"/>
              </w:rPr>
            </w:pPr>
          </w:p>
        </w:tc>
      </w:tr>
      <w:tr w:rsidR="00F065A2" w:rsidRPr="006B1802" w:rsidTr="0014764A">
        <w:tc>
          <w:tcPr>
            <w:tcW w:w="3847" w:type="pct"/>
            <w:gridSpan w:val="3"/>
            <w:vAlign w:val="center"/>
          </w:tcPr>
          <w:p w:rsidR="00F065A2" w:rsidRPr="006B1802" w:rsidRDefault="00F065A2" w:rsidP="00B93A10">
            <w:pPr>
              <w:keepNext/>
              <w:jc w:val="right"/>
              <w:rPr>
                <w:rFonts w:ascii="Arial Narrow" w:hAnsi="Arial Narrow"/>
                <w:sz w:val="20"/>
                <w:szCs w:val="20"/>
                <w:lang w:eastAsia="en-US"/>
              </w:rPr>
            </w:pPr>
            <w:r w:rsidRPr="006B1802">
              <w:rPr>
                <w:rFonts w:ascii="Arial Narrow" w:hAnsi="Arial Narrow"/>
                <w:sz w:val="20"/>
                <w:szCs w:val="20"/>
                <w:lang w:eastAsia="en-US"/>
              </w:rPr>
              <w:t>Incremental costs</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c>
          <w:tcPr>
            <w:tcW w:w="3847" w:type="pct"/>
            <w:gridSpan w:val="3"/>
            <w:vAlign w:val="center"/>
          </w:tcPr>
          <w:p w:rsidR="00F065A2" w:rsidRPr="006B1802" w:rsidRDefault="00F065A2" w:rsidP="00B93A10">
            <w:pPr>
              <w:keepNext/>
              <w:jc w:val="right"/>
              <w:rPr>
                <w:rFonts w:ascii="Arial Narrow" w:hAnsi="Arial Narrow"/>
                <w:sz w:val="20"/>
                <w:szCs w:val="20"/>
                <w:lang w:eastAsia="en-US"/>
              </w:rPr>
            </w:pPr>
            <w:r w:rsidRPr="006B1802">
              <w:rPr>
                <w:rFonts w:ascii="Arial Narrow" w:hAnsi="Arial Narrow"/>
                <w:sz w:val="20"/>
                <w:szCs w:val="20"/>
                <w:lang w:eastAsia="en-US"/>
              </w:rPr>
              <w:t>Incremental QALYs</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0.55</w:t>
            </w:r>
          </w:p>
        </w:tc>
      </w:tr>
      <w:tr w:rsidR="00F065A2" w:rsidRPr="006B1802" w:rsidTr="0014764A">
        <w:tc>
          <w:tcPr>
            <w:tcW w:w="3847" w:type="pct"/>
            <w:gridSpan w:val="3"/>
            <w:tcBorders>
              <w:bottom w:val="double" w:sz="4" w:space="0" w:color="auto"/>
            </w:tcBorders>
            <w:vAlign w:val="center"/>
          </w:tcPr>
          <w:p w:rsidR="00F065A2" w:rsidRPr="006B1802" w:rsidRDefault="00F065A2" w:rsidP="00B93A10">
            <w:pPr>
              <w:keepNext/>
              <w:jc w:val="right"/>
              <w:rPr>
                <w:rFonts w:ascii="Arial Narrow" w:hAnsi="Arial Narrow"/>
                <w:b/>
                <w:sz w:val="20"/>
                <w:szCs w:val="20"/>
                <w:lang w:eastAsia="en-US"/>
              </w:rPr>
            </w:pPr>
            <w:r w:rsidRPr="006B1802">
              <w:rPr>
                <w:rFonts w:ascii="Arial Narrow" w:hAnsi="Arial Narrow"/>
                <w:b/>
                <w:sz w:val="20"/>
                <w:szCs w:val="20"/>
              </w:rPr>
              <w:t>Weighted ICER / QALY</w:t>
            </w:r>
          </w:p>
        </w:tc>
        <w:tc>
          <w:tcPr>
            <w:tcW w:w="1153" w:type="pct"/>
            <w:tcBorders>
              <w:bottom w:val="double" w:sz="4" w:space="0" w:color="auto"/>
            </w:tcBorders>
            <w:vAlign w:val="center"/>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b/>
                <w:sz w:val="20"/>
                <w:szCs w:val="20"/>
                <w:lang w:eastAsia="en-US"/>
              </w:rPr>
              <w:t>$</w:t>
            </w:r>
            <w:r w:rsidR="00B912EA">
              <w:rPr>
                <w:rFonts w:ascii="Arial Narrow" w:hAnsi="Arial Narrow"/>
                <w:b/>
                <w:noProof/>
                <w:color w:val="000000"/>
                <w:sz w:val="20"/>
                <w:szCs w:val="20"/>
                <w:highlight w:val="black"/>
                <w:lang w:eastAsia="en-US"/>
              </w:rPr>
              <w:t>'''''''''''</w:t>
            </w:r>
          </w:p>
        </w:tc>
      </w:tr>
      <w:tr w:rsidR="00F065A2" w:rsidRPr="006B1802" w:rsidTr="0014764A">
        <w:tc>
          <w:tcPr>
            <w:tcW w:w="5000" w:type="pct"/>
            <w:gridSpan w:val="4"/>
            <w:tcBorders>
              <w:top w:val="double" w:sz="4" w:space="0" w:color="auto"/>
            </w:tcBorders>
            <w:shd w:val="clear" w:color="auto" w:fill="FFFFFF" w:themeFill="background1"/>
            <w:vAlign w:val="center"/>
          </w:tcPr>
          <w:p w:rsidR="00F065A2" w:rsidRPr="006B1802" w:rsidRDefault="00F065A2" w:rsidP="00B93A10">
            <w:pPr>
              <w:keepNext/>
              <w:rPr>
                <w:rFonts w:ascii="Arial Narrow" w:hAnsi="Arial Narrow"/>
                <w:b/>
                <w:snapToGrid w:val="0"/>
                <w:sz w:val="20"/>
                <w:szCs w:val="20"/>
                <w:lang w:eastAsia="en-US"/>
              </w:rPr>
            </w:pPr>
            <w:r w:rsidRPr="006B1802">
              <w:rPr>
                <w:rFonts w:ascii="Arial Narrow" w:hAnsi="Arial Narrow"/>
                <w:b/>
                <w:sz w:val="20"/>
                <w:szCs w:val="20"/>
                <w:lang w:eastAsia="en-US"/>
              </w:rPr>
              <w:t xml:space="preserve">Current minor resubmission – ITT population </w:t>
            </w:r>
            <w:r w:rsidRPr="006B1802">
              <w:rPr>
                <w:rFonts w:ascii="Arial Narrow" w:hAnsi="Arial Narrow"/>
                <w:sz w:val="20"/>
                <w:szCs w:val="20"/>
                <w:lang w:eastAsia="en-US"/>
              </w:rPr>
              <w:t>(tolvaptan price of $783.77/pack and with disutility for adverse events)</w:t>
            </w:r>
          </w:p>
        </w:tc>
      </w:tr>
      <w:tr w:rsidR="00F065A2" w:rsidRPr="006B1802" w:rsidTr="0014764A">
        <w:tc>
          <w:tcPr>
            <w:tcW w:w="5000" w:type="pct"/>
            <w:gridSpan w:val="4"/>
            <w:vAlign w:val="center"/>
          </w:tcPr>
          <w:p w:rsidR="00F065A2" w:rsidRPr="006B1802" w:rsidRDefault="00F065A2" w:rsidP="00B93A10">
            <w:pPr>
              <w:keepNext/>
              <w:rPr>
                <w:rFonts w:ascii="Arial Narrow" w:hAnsi="Arial Narrow"/>
                <w:b/>
                <w:snapToGrid w:val="0"/>
                <w:sz w:val="20"/>
                <w:szCs w:val="20"/>
                <w:lang w:eastAsia="en-US"/>
              </w:rPr>
            </w:pPr>
            <w:r w:rsidRPr="006B1802">
              <w:rPr>
                <w:rFonts w:ascii="Arial Narrow" w:hAnsi="Arial Narrow"/>
                <w:b/>
                <w:snapToGrid w:val="0"/>
                <w:sz w:val="20"/>
                <w:szCs w:val="20"/>
                <w:lang w:eastAsia="en-US"/>
              </w:rPr>
              <w:t>TEMPO 3:4 ITT population and efficacy</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Costs</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QALYs</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13.29</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12.98</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0.31</w:t>
            </w:r>
          </w:p>
        </w:tc>
      </w:tr>
      <w:tr w:rsidR="00F065A2" w:rsidRPr="006B1802" w:rsidTr="0014764A">
        <w:tc>
          <w:tcPr>
            <w:tcW w:w="3847" w:type="pct"/>
            <w:gridSpan w:val="3"/>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Incremental cost/QALY gained</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c>
          <w:tcPr>
            <w:tcW w:w="5000" w:type="pct"/>
            <w:gridSpan w:val="4"/>
            <w:vAlign w:val="center"/>
          </w:tcPr>
          <w:p w:rsidR="00F065A2" w:rsidRPr="006B1802" w:rsidRDefault="00F065A2" w:rsidP="00B93A10">
            <w:pPr>
              <w:keepNext/>
              <w:rPr>
                <w:rFonts w:ascii="Arial Narrow" w:hAnsi="Arial Narrow"/>
                <w:b/>
                <w:snapToGrid w:val="0"/>
                <w:sz w:val="20"/>
                <w:szCs w:val="20"/>
                <w:vertAlign w:val="superscript"/>
                <w:lang w:eastAsia="en-US"/>
              </w:rPr>
            </w:pPr>
            <w:r w:rsidRPr="006B1802">
              <w:rPr>
                <w:rFonts w:ascii="Arial Narrow" w:hAnsi="Arial Narrow"/>
                <w:b/>
                <w:snapToGrid w:val="0"/>
                <w:sz w:val="20"/>
                <w:szCs w:val="20"/>
                <w:lang w:eastAsia="en-US"/>
              </w:rPr>
              <w:t xml:space="preserve">REPRISE ITT population and efficacy </w:t>
            </w:r>
            <w:r w:rsidRPr="006B1802">
              <w:rPr>
                <w:rFonts w:ascii="Arial Narrow" w:hAnsi="Arial Narrow"/>
                <w:b/>
                <w:snapToGrid w:val="0"/>
                <w:sz w:val="20"/>
                <w:szCs w:val="20"/>
                <w:vertAlign w:val="superscript"/>
                <w:lang w:eastAsia="en-US"/>
              </w:rPr>
              <w:t>d</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Costs</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c>
          <w:tcPr>
            <w:tcW w:w="1532" w:type="pct"/>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QALYs</w:t>
            </w:r>
          </w:p>
        </w:tc>
        <w:tc>
          <w:tcPr>
            <w:tcW w:w="1157"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10.35</w:t>
            </w:r>
          </w:p>
        </w:tc>
        <w:tc>
          <w:tcPr>
            <w:tcW w:w="1158"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9.97</w:t>
            </w:r>
          </w:p>
        </w:tc>
        <w:tc>
          <w:tcPr>
            <w:tcW w:w="1153" w:type="pct"/>
            <w:vAlign w:val="center"/>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0.37</w:t>
            </w:r>
          </w:p>
        </w:tc>
      </w:tr>
      <w:tr w:rsidR="00F065A2" w:rsidRPr="006B1802" w:rsidTr="0014764A">
        <w:tc>
          <w:tcPr>
            <w:tcW w:w="3847" w:type="pct"/>
            <w:gridSpan w:val="3"/>
            <w:vAlign w:val="center"/>
          </w:tcPr>
          <w:p w:rsidR="00F065A2" w:rsidRPr="006B1802" w:rsidRDefault="00F065A2" w:rsidP="00B93A10">
            <w:pPr>
              <w:keepNext/>
              <w:rPr>
                <w:rFonts w:ascii="Arial Narrow" w:hAnsi="Arial Narrow"/>
                <w:sz w:val="20"/>
                <w:szCs w:val="20"/>
                <w:lang w:eastAsia="en-US"/>
              </w:rPr>
            </w:pPr>
            <w:r w:rsidRPr="006B1802">
              <w:rPr>
                <w:rFonts w:ascii="Arial Narrow" w:hAnsi="Arial Narrow"/>
                <w:sz w:val="20"/>
                <w:szCs w:val="20"/>
                <w:lang w:eastAsia="en-US"/>
              </w:rPr>
              <w:t>Incremental cost/QALY gained</w:t>
            </w:r>
          </w:p>
        </w:tc>
        <w:tc>
          <w:tcPr>
            <w:tcW w:w="1153" w:type="pct"/>
          </w:tcPr>
          <w:p w:rsidR="00F065A2" w:rsidRPr="006B1802" w:rsidRDefault="00F065A2" w:rsidP="00B93A10">
            <w:pPr>
              <w:keepNext/>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c>
          <w:tcPr>
            <w:tcW w:w="3847" w:type="pct"/>
            <w:gridSpan w:val="3"/>
            <w:vAlign w:val="center"/>
          </w:tcPr>
          <w:p w:rsidR="00F065A2" w:rsidRPr="006B1802" w:rsidRDefault="00F065A2" w:rsidP="00B93A10">
            <w:pPr>
              <w:keepNext/>
              <w:rPr>
                <w:rFonts w:ascii="Arial Narrow" w:hAnsi="Arial Narrow"/>
                <w:sz w:val="20"/>
                <w:szCs w:val="20"/>
                <w:vertAlign w:val="superscript"/>
                <w:lang w:eastAsia="en-US"/>
              </w:rPr>
            </w:pPr>
            <w:r w:rsidRPr="006B1802">
              <w:rPr>
                <w:rFonts w:ascii="Arial Narrow" w:hAnsi="Arial Narrow"/>
                <w:b/>
                <w:sz w:val="20"/>
                <w:szCs w:val="20"/>
                <w:lang w:eastAsia="en-US"/>
              </w:rPr>
              <w:t xml:space="preserve">Weighted ICER for ITT population (weighting: 54.1% TEMPO 3:4 vs 45.9% REPRISE) </w:t>
            </w:r>
            <w:r w:rsidRPr="006B1802">
              <w:rPr>
                <w:rFonts w:ascii="Arial Narrow" w:hAnsi="Arial Narrow"/>
                <w:b/>
                <w:sz w:val="20"/>
                <w:szCs w:val="20"/>
                <w:vertAlign w:val="superscript"/>
                <w:lang w:eastAsia="en-US"/>
              </w:rPr>
              <w:t>c</w:t>
            </w:r>
          </w:p>
        </w:tc>
        <w:tc>
          <w:tcPr>
            <w:tcW w:w="1153" w:type="pct"/>
          </w:tcPr>
          <w:p w:rsidR="00F065A2" w:rsidRPr="006B1802" w:rsidRDefault="00F065A2" w:rsidP="00B93A10">
            <w:pPr>
              <w:keepNext/>
              <w:jc w:val="center"/>
              <w:rPr>
                <w:rFonts w:ascii="Arial Narrow" w:hAnsi="Arial Narrow"/>
                <w:sz w:val="20"/>
                <w:szCs w:val="20"/>
                <w:lang w:eastAsia="en-US"/>
              </w:rPr>
            </w:pPr>
          </w:p>
        </w:tc>
      </w:tr>
      <w:tr w:rsidR="00F065A2" w:rsidRPr="006B1802" w:rsidTr="0014764A">
        <w:tc>
          <w:tcPr>
            <w:tcW w:w="3847" w:type="pct"/>
            <w:gridSpan w:val="3"/>
            <w:vAlign w:val="center"/>
          </w:tcPr>
          <w:p w:rsidR="00F065A2" w:rsidRPr="006B1802" w:rsidRDefault="00F065A2" w:rsidP="00B93A10">
            <w:pPr>
              <w:keepNext/>
              <w:jc w:val="right"/>
              <w:rPr>
                <w:rFonts w:ascii="Arial Narrow" w:hAnsi="Arial Narrow"/>
                <w:sz w:val="20"/>
                <w:szCs w:val="20"/>
                <w:lang w:eastAsia="en-US"/>
              </w:rPr>
            </w:pPr>
            <w:r w:rsidRPr="006B1802">
              <w:rPr>
                <w:rFonts w:ascii="Arial Narrow" w:hAnsi="Arial Narrow"/>
                <w:sz w:val="20"/>
                <w:szCs w:val="20"/>
                <w:lang w:eastAsia="en-US"/>
              </w:rPr>
              <w:t>Incremental costs</w:t>
            </w:r>
          </w:p>
        </w:tc>
        <w:tc>
          <w:tcPr>
            <w:tcW w:w="1153" w:type="pct"/>
          </w:tcPr>
          <w:p w:rsidR="00F065A2" w:rsidRPr="006B1802" w:rsidRDefault="00F065A2" w:rsidP="00B93A10">
            <w:pPr>
              <w:jc w:val="center"/>
              <w:rPr>
                <w:rFonts w:ascii="Arial Narrow" w:hAnsi="Arial Narrow"/>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c>
          <w:tcPr>
            <w:tcW w:w="3847" w:type="pct"/>
            <w:gridSpan w:val="3"/>
            <w:vAlign w:val="center"/>
          </w:tcPr>
          <w:p w:rsidR="00F065A2" w:rsidRPr="006B1802" w:rsidRDefault="00F065A2" w:rsidP="00B93A10">
            <w:pPr>
              <w:keepNext/>
              <w:jc w:val="right"/>
              <w:rPr>
                <w:rFonts w:ascii="Arial Narrow" w:hAnsi="Arial Narrow"/>
                <w:sz w:val="20"/>
                <w:szCs w:val="20"/>
                <w:lang w:eastAsia="en-US"/>
              </w:rPr>
            </w:pPr>
            <w:r w:rsidRPr="006B1802">
              <w:rPr>
                <w:rFonts w:ascii="Arial Narrow" w:hAnsi="Arial Narrow"/>
                <w:sz w:val="20"/>
                <w:szCs w:val="20"/>
                <w:lang w:eastAsia="en-US"/>
              </w:rPr>
              <w:t>Incremental QALYs</w:t>
            </w:r>
          </w:p>
        </w:tc>
        <w:tc>
          <w:tcPr>
            <w:tcW w:w="1153" w:type="pct"/>
          </w:tcPr>
          <w:p w:rsidR="00F065A2" w:rsidRPr="006B1802" w:rsidRDefault="00F065A2" w:rsidP="00B93A10">
            <w:pPr>
              <w:jc w:val="center"/>
              <w:rPr>
                <w:rFonts w:ascii="Arial Narrow" w:hAnsi="Arial Narrow"/>
                <w:sz w:val="20"/>
                <w:szCs w:val="20"/>
                <w:lang w:eastAsia="en-US"/>
              </w:rPr>
            </w:pPr>
            <w:r w:rsidRPr="006B1802">
              <w:rPr>
                <w:rFonts w:ascii="Arial Narrow" w:hAnsi="Arial Narrow"/>
                <w:sz w:val="20"/>
                <w:szCs w:val="20"/>
                <w:lang w:eastAsia="en-US"/>
              </w:rPr>
              <w:t>0.34</w:t>
            </w:r>
          </w:p>
        </w:tc>
      </w:tr>
      <w:tr w:rsidR="00F065A2" w:rsidRPr="006B1802" w:rsidTr="0014764A">
        <w:tc>
          <w:tcPr>
            <w:tcW w:w="3847" w:type="pct"/>
            <w:gridSpan w:val="3"/>
            <w:tcBorders>
              <w:bottom w:val="double" w:sz="4" w:space="0" w:color="auto"/>
            </w:tcBorders>
            <w:vAlign w:val="center"/>
          </w:tcPr>
          <w:p w:rsidR="00F065A2" w:rsidRPr="006B1802" w:rsidRDefault="00F065A2" w:rsidP="00B93A10">
            <w:pPr>
              <w:keepNext/>
              <w:jc w:val="right"/>
              <w:rPr>
                <w:rFonts w:ascii="Arial Narrow" w:hAnsi="Arial Narrow"/>
                <w:b/>
                <w:sz w:val="20"/>
                <w:szCs w:val="20"/>
                <w:lang w:eastAsia="en-US"/>
              </w:rPr>
            </w:pPr>
            <w:r w:rsidRPr="006B1802">
              <w:rPr>
                <w:rFonts w:ascii="Arial Narrow" w:hAnsi="Arial Narrow"/>
                <w:b/>
                <w:sz w:val="20"/>
                <w:szCs w:val="20"/>
                <w:lang w:eastAsia="en-US"/>
              </w:rPr>
              <w:t>Weighted ICER / QALY</w:t>
            </w:r>
          </w:p>
        </w:tc>
        <w:tc>
          <w:tcPr>
            <w:tcW w:w="1153" w:type="pct"/>
            <w:tcBorders>
              <w:bottom w:val="double" w:sz="4" w:space="0" w:color="auto"/>
            </w:tcBorders>
          </w:tcPr>
          <w:p w:rsidR="00F065A2" w:rsidRPr="006B1802" w:rsidRDefault="00F065A2" w:rsidP="00B93A10">
            <w:pPr>
              <w:jc w:val="center"/>
              <w:rPr>
                <w:rFonts w:ascii="Arial Narrow" w:hAnsi="Arial Narrow"/>
                <w:b/>
                <w:sz w:val="20"/>
                <w:szCs w:val="20"/>
                <w:lang w:eastAsia="en-US"/>
              </w:rPr>
            </w:pPr>
            <w:r w:rsidRPr="006B1802">
              <w:rPr>
                <w:rFonts w:ascii="Arial Narrow" w:hAnsi="Arial Narrow"/>
                <w:b/>
                <w:sz w:val="20"/>
                <w:szCs w:val="20"/>
                <w:lang w:eastAsia="en-US"/>
              </w:rPr>
              <w:t>$</w:t>
            </w:r>
            <w:r w:rsidR="00B912EA">
              <w:rPr>
                <w:rFonts w:ascii="Arial Narrow" w:hAnsi="Arial Narrow"/>
                <w:b/>
                <w:noProof/>
                <w:color w:val="000000"/>
                <w:sz w:val="20"/>
                <w:szCs w:val="20"/>
                <w:highlight w:val="black"/>
                <w:lang w:eastAsia="en-US"/>
              </w:rPr>
              <w:t>''''''''''''''</w:t>
            </w:r>
          </w:p>
        </w:tc>
      </w:tr>
      <w:tr w:rsidR="00F065A2" w:rsidRPr="006B1802" w:rsidTr="0014764A">
        <w:trPr>
          <w:tblHeader/>
        </w:trPr>
        <w:tc>
          <w:tcPr>
            <w:tcW w:w="5000" w:type="pct"/>
            <w:gridSpan w:val="4"/>
            <w:tcBorders>
              <w:top w:val="double" w:sz="4" w:space="0" w:color="auto"/>
            </w:tcBorders>
            <w:shd w:val="clear" w:color="auto" w:fill="D9D9D9" w:themeFill="background1" w:themeFillShade="D9"/>
            <w:vAlign w:val="center"/>
          </w:tcPr>
          <w:p w:rsidR="00F065A2" w:rsidRPr="006B1802" w:rsidRDefault="00F065A2" w:rsidP="00B93A10">
            <w:pPr>
              <w:keepNext/>
              <w:rPr>
                <w:rFonts w:ascii="Arial Narrow" w:hAnsi="Arial Narrow"/>
                <w:b/>
                <w:sz w:val="20"/>
                <w:szCs w:val="20"/>
                <w:lang w:eastAsia="en-US"/>
              </w:rPr>
            </w:pPr>
            <w:r w:rsidRPr="006B1802">
              <w:rPr>
                <w:rFonts w:ascii="Arial Narrow" w:hAnsi="Arial Narrow"/>
                <w:b/>
                <w:sz w:val="20"/>
                <w:szCs w:val="20"/>
                <w:lang w:eastAsia="en-US"/>
              </w:rPr>
              <w:t xml:space="preserve">Previous submission summarised results </w:t>
            </w:r>
            <w:r w:rsidRPr="006B1802">
              <w:rPr>
                <w:rFonts w:ascii="Arial Narrow" w:hAnsi="Arial Narrow"/>
                <w:sz w:val="20"/>
                <w:szCs w:val="20"/>
                <w:lang w:eastAsia="en-US"/>
              </w:rPr>
              <w:t>(tolvaptan price of $</w:t>
            </w:r>
            <w:r w:rsidR="00B912EA">
              <w:rPr>
                <w:rFonts w:ascii="Arial Narrow" w:hAnsi="Arial Narrow"/>
                <w:noProof/>
                <w:color w:val="000000"/>
                <w:sz w:val="20"/>
                <w:szCs w:val="20"/>
                <w:highlight w:val="black"/>
                <w:lang w:eastAsia="en-US"/>
              </w:rPr>
              <w:t>'''''''''''''''</w:t>
            </w:r>
            <w:r w:rsidRPr="006B1802">
              <w:rPr>
                <w:rFonts w:ascii="Arial Narrow" w:hAnsi="Arial Narrow"/>
                <w:sz w:val="20"/>
                <w:szCs w:val="20"/>
                <w:lang w:eastAsia="en-US"/>
              </w:rPr>
              <w:t>/pack and no disutility for adverse events)</w:t>
            </w:r>
          </w:p>
        </w:tc>
      </w:tr>
      <w:tr w:rsidR="00F065A2" w:rsidRPr="006B1802" w:rsidTr="0014764A">
        <w:trPr>
          <w:tblHeader/>
        </w:trPr>
        <w:tc>
          <w:tcPr>
            <w:tcW w:w="1532" w:type="pct"/>
            <w:shd w:val="clear" w:color="auto" w:fill="D9D9D9" w:themeFill="background1" w:themeFillShade="D9"/>
          </w:tcPr>
          <w:p w:rsidR="00F065A2" w:rsidRPr="006B1802" w:rsidRDefault="00F065A2" w:rsidP="00B93A10">
            <w:pPr>
              <w:keepNext/>
              <w:rPr>
                <w:rFonts w:ascii="Arial Narrow" w:hAnsi="Arial Narrow"/>
                <w:sz w:val="20"/>
                <w:szCs w:val="20"/>
                <w:lang w:eastAsia="en-US"/>
              </w:rPr>
            </w:pPr>
          </w:p>
        </w:tc>
        <w:tc>
          <w:tcPr>
            <w:tcW w:w="1157"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b/>
                <w:sz w:val="20"/>
                <w:szCs w:val="20"/>
                <w:lang w:eastAsia="en-US"/>
              </w:rPr>
              <w:t>Incremental costs</w:t>
            </w:r>
          </w:p>
        </w:tc>
        <w:tc>
          <w:tcPr>
            <w:tcW w:w="1158"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b/>
                <w:sz w:val="20"/>
                <w:szCs w:val="20"/>
                <w:lang w:eastAsia="en-US"/>
              </w:rPr>
              <w:t>Incremental QALYs</w:t>
            </w:r>
          </w:p>
        </w:tc>
        <w:tc>
          <w:tcPr>
            <w:tcW w:w="1153"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b/>
                <w:sz w:val="20"/>
                <w:szCs w:val="20"/>
                <w:lang w:eastAsia="en-US"/>
              </w:rPr>
              <w:t>ICER</w:t>
            </w:r>
          </w:p>
        </w:tc>
      </w:tr>
      <w:tr w:rsidR="00F065A2" w:rsidRPr="006B1802" w:rsidTr="0014764A">
        <w:trPr>
          <w:tblHeader/>
        </w:trPr>
        <w:tc>
          <w:tcPr>
            <w:tcW w:w="1532" w:type="pct"/>
            <w:shd w:val="clear" w:color="auto" w:fill="D9D9D9" w:themeFill="background1" w:themeFillShade="D9"/>
          </w:tcPr>
          <w:p w:rsidR="00F065A2" w:rsidRPr="006B1802" w:rsidRDefault="00F065A2" w:rsidP="00B93A10">
            <w:pPr>
              <w:keepNext/>
              <w:rPr>
                <w:rFonts w:ascii="Arial Narrow" w:hAnsi="Arial Narrow"/>
                <w:b/>
                <w:sz w:val="20"/>
                <w:szCs w:val="20"/>
                <w:lang w:eastAsia="en-US"/>
              </w:rPr>
            </w:pPr>
            <w:r w:rsidRPr="006B1802">
              <w:rPr>
                <w:rFonts w:ascii="Arial Narrow" w:hAnsi="Arial Narrow"/>
                <w:sz w:val="20"/>
                <w:szCs w:val="20"/>
                <w:lang w:eastAsia="en-US"/>
              </w:rPr>
              <w:t>TEMPO 3:4 subpopulation</w:t>
            </w:r>
          </w:p>
        </w:tc>
        <w:tc>
          <w:tcPr>
            <w:tcW w:w="1157"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8"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sz w:val="20"/>
                <w:szCs w:val="20"/>
                <w:lang w:eastAsia="en-US"/>
              </w:rPr>
              <w:t>0.58</w:t>
            </w:r>
          </w:p>
        </w:tc>
        <w:tc>
          <w:tcPr>
            <w:tcW w:w="1153"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r w:rsidR="00F065A2" w:rsidRPr="006B1802" w:rsidTr="0014764A">
        <w:trPr>
          <w:tblHeader/>
        </w:trPr>
        <w:tc>
          <w:tcPr>
            <w:tcW w:w="1532" w:type="pct"/>
            <w:shd w:val="clear" w:color="auto" w:fill="D9D9D9" w:themeFill="background1" w:themeFillShade="D9"/>
          </w:tcPr>
          <w:p w:rsidR="00F065A2" w:rsidRPr="006B1802" w:rsidRDefault="00F065A2" w:rsidP="00B93A10">
            <w:pPr>
              <w:keepNext/>
              <w:rPr>
                <w:rFonts w:ascii="Arial Narrow" w:hAnsi="Arial Narrow"/>
                <w:b/>
                <w:sz w:val="20"/>
                <w:szCs w:val="20"/>
                <w:lang w:eastAsia="en-US"/>
              </w:rPr>
            </w:pPr>
            <w:r w:rsidRPr="006B1802">
              <w:rPr>
                <w:rFonts w:ascii="Arial Narrow" w:hAnsi="Arial Narrow"/>
                <w:sz w:val="20"/>
                <w:szCs w:val="20"/>
                <w:lang w:eastAsia="en-US"/>
              </w:rPr>
              <w:t>REPRISE subpopulation</w:t>
            </w:r>
          </w:p>
        </w:tc>
        <w:tc>
          <w:tcPr>
            <w:tcW w:w="1157"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8"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sz w:val="20"/>
                <w:szCs w:val="20"/>
                <w:lang w:eastAsia="en-US"/>
              </w:rPr>
              <w:t>0.58</w:t>
            </w:r>
          </w:p>
        </w:tc>
        <w:tc>
          <w:tcPr>
            <w:tcW w:w="1153"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sz w:val="20"/>
                <w:szCs w:val="20"/>
                <w:lang w:eastAsia="en-US"/>
              </w:rPr>
              <w:t>Dominant</w:t>
            </w:r>
          </w:p>
        </w:tc>
      </w:tr>
      <w:tr w:rsidR="00F065A2" w:rsidRPr="006B1802" w:rsidTr="0014764A">
        <w:trPr>
          <w:tblHeader/>
        </w:trPr>
        <w:tc>
          <w:tcPr>
            <w:tcW w:w="1532" w:type="pct"/>
            <w:shd w:val="clear" w:color="auto" w:fill="D9D9D9" w:themeFill="background1" w:themeFillShade="D9"/>
          </w:tcPr>
          <w:p w:rsidR="00F065A2" w:rsidRPr="006B1802" w:rsidRDefault="00F065A2" w:rsidP="00B93A10">
            <w:pPr>
              <w:keepNext/>
              <w:rPr>
                <w:rFonts w:ascii="Arial Narrow" w:hAnsi="Arial Narrow"/>
                <w:b/>
                <w:sz w:val="20"/>
                <w:szCs w:val="20"/>
                <w:vertAlign w:val="superscript"/>
                <w:lang w:eastAsia="en-US"/>
              </w:rPr>
            </w:pPr>
            <w:r w:rsidRPr="006B1802">
              <w:rPr>
                <w:rFonts w:ascii="Arial Narrow" w:hAnsi="Arial Narrow"/>
                <w:sz w:val="20"/>
                <w:szCs w:val="20"/>
                <w:lang w:eastAsia="en-US"/>
              </w:rPr>
              <w:t xml:space="preserve">Weighted ICER </w:t>
            </w:r>
            <w:r w:rsidRPr="006B1802">
              <w:rPr>
                <w:rFonts w:ascii="Arial Narrow" w:hAnsi="Arial Narrow"/>
                <w:sz w:val="20"/>
                <w:szCs w:val="20"/>
                <w:vertAlign w:val="superscript"/>
                <w:lang w:eastAsia="en-US"/>
              </w:rPr>
              <w:t>c</w:t>
            </w:r>
          </w:p>
        </w:tc>
        <w:tc>
          <w:tcPr>
            <w:tcW w:w="1157"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c>
          <w:tcPr>
            <w:tcW w:w="1158"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sz w:val="20"/>
                <w:szCs w:val="20"/>
                <w:lang w:eastAsia="en-US"/>
              </w:rPr>
              <w:t>0.58</w:t>
            </w:r>
          </w:p>
        </w:tc>
        <w:tc>
          <w:tcPr>
            <w:tcW w:w="1153" w:type="pct"/>
            <w:shd w:val="clear" w:color="auto" w:fill="D9D9D9" w:themeFill="background1" w:themeFillShade="D9"/>
          </w:tcPr>
          <w:p w:rsidR="00F065A2" w:rsidRPr="006B1802" w:rsidRDefault="00F065A2" w:rsidP="00B93A10">
            <w:pPr>
              <w:keepNext/>
              <w:jc w:val="center"/>
              <w:rPr>
                <w:rFonts w:ascii="Arial Narrow" w:hAnsi="Arial Narrow"/>
                <w:b/>
                <w:sz w:val="20"/>
                <w:szCs w:val="20"/>
                <w:lang w:eastAsia="en-US"/>
              </w:rPr>
            </w:pPr>
            <w:r w:rsidRPr="006B1802">
              <w:rPr>
                <w:rFonts w:ascii="Arial Narrow" w:hAnsi="Arial Narrow"/>
                <w:sz w:val="20"/>
                <w:szCs w:val="20"/>
                <w:lang w:eastAsia="en-US"/>
              </w:rPr>
              <w:t>$</w:t>
            </w:r>
            <w:r w:rsidR="00B912EA">
              <w:rPr>
                <w:rFonts w:ascii="Arial Narrow" w:hAnsi="Arial Narrow"/>
                <w:noProof/>
                <w:color w:val="000000"/>
                <w:sz w:val="20"/>
                <w:szCs w:val="20"/>
                <w:highlight w:val="black"/>
                <w:lang w:eastAsia="en-US"/>
              </w:rPr>
              <w:t>'''''''''''''''''</w:t>
            </w:r>
          </w:p>
        </w:tc>
      </w:tr>
    </w:tbl>
    <w:p w:rsidR="00F065A2" w:rsidRPr="006B1802" w:rsidRDefault="00F065A2" w:rsidP="00B93A10">
      <w:pPr>
        <w:keepNext/>
        <w:contextualSpacing/>
        <w:jc w:val="both"/>
        <w:rPr>
          <w:rFonts w:ascii="Arial Narrow" w:hAnsi="Arial Narrow" w:cs="Arial"/>
          <w:snapToGrid w:val="0"/>
          <w:sz w:val="16"/>
          <w:szCs w:val="16"/>
          <w:lang w:eastAsia="en-US"/>
        </w:rPr>
      </w:pPr>
      <w:r w:rsidRPr="006B1802">
        <w:rPr>
          <w:rFonts w:ascii="Arial Narrow" w:hAnsi="Arial Narrow" w:cs="Arial"/>
          <w:snapToGrid w:val="0"/>
          <w:sz w:val="16"/>
          <w:szCs w:val="16"/>
          <w:lang w:eastAsia="en-US"/>
        </w:rPr>
        <w:t xml:space="preserve">Source: Table 3-2, p15 of the minor resubmission and calculated during preparation of the Minor Overview based on ‘Tolvaptan November 2017 PBAC Section 3 Updated for April 2018’ </w:t>
      </w:r>
    </w:p>
    <w:p w:rsidR="00F065A2" w:rsidRPr="006B1802" w:rsidRDefault="00F065A2" w:rsidP="00B93A10">
      <w:pPr>
        <w:keepNext/>
        <w:contextualSpacing/>
        <w:jc w:val="both"/>
        <w:rPr>
          <w:rFonts w:ascii="Arial Narrow" w:hAnsi="Arial Narrow" w:cs="Arial"/>
          <w:snapToGrid w:val="0"/>
          <w:sz w:val="16"/>
          <w:szCs w:val="16"/>
          <w:lang w:eastAsia="en-US"/>
        </w:rPr>
      </w:pPr>
      <w:r w:rsidRPr="006B1802">
        <w:rPr>
          <w:rFonts w:ascii="Arial Narrow" w:hAnsi="Arial Narrow" w:cs="Arial"/>
          <w:snapToGrid w:val="0"/>
          <w:sz w:val="16"/>
          <w:szCs w:val="16"/>
          <w:lang w:eastAsia="en-US"/>
        </w:rPr>
        <w:t>Abbreviations: CKD, chronic kidney disease; ITT, intention-to-treat; QALY, quality-adjusted life year; vs = versus</w:t>
      </w:r>
    </w:p>
    <w:p w:rsidR="00F065A2" w:rsidRPr="006B1802" w:rsidRDefault="00F065A2" w:rsidP="00B93A10">
      <w:pPr>
        <w:contextualSpacing/>
        <w:jc w:val="both"/>
        <w:rPr>
          <w:rFonts w:ascii="Arial Narrow" w:hAnsi="Arial Narrow" w:cs="Arial"/>
          <w:snapToGrid w:val="0"/>
          <w:sz w:val="16"/>
          <w:szCs w:val="16"/>
          <w:lang w:eastAsia="en-US"/>
        </w:rPr>
      </w:pPr>
      <w:proofErr w:type="gramStart"/>
      <w:r w:rsidRPr="006B1802">
        <w:rPr>
          <w:rFonts w:ascii="Arial Narrow" w:hAnsi="Arial Narrow" w:cs="Arial"/>
          <w:snapToGrid w:val="0"/>
          <w:sz w:val="16"/>
          <w:szCs w:val="16"/>
          <w:vertAlign w:val="superscript"/>
          <w:lang w:eastAsia="en-US"/>
        </w:rPr>
        <w:t>a</w:t>
      </w:r>
      <w:proofErr w:type="gramEnd"/>
      <w:r w:rsidRPr="006B1802">
        <w:rPr>
          <w:rFonts w:ascii="Arial Narrow" w:hAnsi="Arial Narrow" w:cs="Arial"/>
          <w:snapToGrid w:val="0"/>
          <w:sz w:val="16"/>
          <w:szCs w:val="16"/>
          <w:vertAlign w:val="superscript"/>
          <w:lang w:eastAsia="en-US"/>
        </w:rPr>
        <w:t xml:space="preserve"> </w:t>
      </w:r>
      <w:r w:rsidRPr="006B1802">
        <w:rPr>
          <w:rFonts w:ascii="Arial Narrow" w:hAnsi="Arial Narrow" w:cs="Arial"/>
          <w:snapToGrid w:val="0"/>
          <w:sz w:val="16"/>
          <w:szCs w:val="16"/>
          <w:lang w:eastAsia="en-US"/>
        </w:rPr>
        <w:t>Based on TEMPO 3:4 data filtered for age: 18-50 years; kidney function: eGFR &lt;90 mL/min/1.73 m</w:t>
      </w:r>
      <w:r w:rsidRPr="006B1802">
        <w:rPr>
          <w:rFonts w:ascii="Arial Narrow" w:hAnsi="Arial Narrow" w:cs="Arial"/>
          <w:snapToGrid w:val="0"/>
          <w:sz w:val="16"/>
          <w:szCs w:val="16"/>
          <w:vertAlign w:val="superscript"/>
          <w:lang w:eastAsia="en-US"/>
        </w:rPr>
        <w:t>2</w:t>
      </w:r>
      <w:r w:rsidRPr="006B1802">
        <w:rPr>
          <w:rFonts w:ascii="Arial Narrow" w:hAnsi="Arial Narrow" w:cs="Arial"/>
          <w:snapToGrid w:val="0"/>
          <w:sz w:val="16"/>
          <w:szCs w:val="16"/>
          <w:lang w:eastAsia="en-US"/>
        </w:rPr>
        <w:t>; and rapidly progressing disease: eGFR decline ≥2.5 mL/min/1.73 m2/year.</w:t>
      </w:r>
    </w:p>
    <w:p w:rsidR="00F065A2" w:rsidRPr="006B1802" w:rsidRDefault="00F065A2" w:rsidP="00B93A10">
      <w:pPr>
        <w:contextualSpacing/>
        <w:jc w:val="both"/>
        <w:rPr>
          <w:rFonts w:ascii="Arial Narrow" w:hAnsi="Arial Narrow" w:cs="Arial"/>
          <w:snapToGrid w:val="0"/>
          <w:sz w:val="16"/>
          <w:szCs w:val="16"/>
          <w:lang w:eastAsia="en-US"/>
        </w:rPr>
      </w:pPr>
      <w:proofErr w:type="gramStart"/>
      <w:r w:rsidRPr="006B1802">
        <w:rPr>
          <w:rFonts w:ascii="Arial Narrow" w:hAnsi="Arial Narrow" w:cs="Arial"/>
          <w:snapToGrid w:val="0"/>
          <w:sz w:val="16"/>
          <w:szCs w:val="16"/>
          <w:vertAlign w:val="superscript"/>
          <w:lang w:eastAsia="en-US"/>
        </w:rPr>
        <w:t>b</w:t>
      </w:r>
      <w:proofErr w:type="gramEnd"/>
      <w:r w:rsidRPr="006B1802">
        <w:rPr>
          <w:rFonts w:ascii="Arial Narrow" w:hAnsi="Arial Narrow" w:cs="Arial"/>
          <w:snapToGrid w:val="0"/>
          <w:sz w:val="16"/>
          <w:szCs w:val="16"/>
          <w:lang w:eastAsia="en-US"/>
        </w:rPr>
        <w:t xml:space="preserve"> Based on REPRISE data filtered for (</w:t>
      </w:r>
      <w:proofErr w:type="spellStart"/>
      <w:r w:rsidRPr="006B1802">
        <w:rPr>
          <w:rFonts w:ascii="Arial Narrow" w:hAnsi="Arial Narrow" w:cs="Arial"/>
          <w:snapToGrid w:val="0"/>
          <w:sz w:val="16"/>
          <w:szCs w:val="16"/>
          <w:lang w:eastAsia="en-US"/>
        </w:rPr>
        <w:t>i</w:t>
      </w:r>
      <w:proofErr w:type="spellEnd"/>
      <w:r w:rsidRPr="006B1802">
        <w:rPr>
          <w:rFonts w:ascii="Arial Narrow" w:hAnsi="Arial Narrow" w:cs="Arial"/>
          <w:snapToGrid w:val="0"/>
          <w:sz w:val="16"/>
          <w:szCs w:val="16"/>
          <w:lang w:eastAsia="en-US"/>
        </w:rPr>
        <w:t>) age: 18-55 years; kidney function: eGFR 30-65 mL/min/1.73 m</w:t>
      </w:r>
      <w:r w:rsidRPr="006B1802">
        <w:rPr>
          <w:rFonts w:ascii="Arial Narrow" w:hAnsi="Arial Narrow" w:cs="Arial"/>
          <w:snapToGrid w:val="0"/>
          <w:sz w:val="16"/>
          <w:szCs w:val="16"/>
          <w:vertAlign w:val="superscript"/>
          <w:lang w:eastAsia="en-US"/>
        </w:rPr>
        <w:t>2</w:t>
      </w:r>
      <w:r w:rsidRPr="006B1802">
        <w:rPr>
          <w:rFonts w:ascii="Arial Narrow" w:hAnsi="Arial Narrow" w:cs="Arial"/>
          <w:snapToGrid w:val="0"/>
          <w:sz w:val="16"/>
          <w:szCs w:val="16"/>
          <w:lang w:eastAsia="en-US"/>
        </w:rPr>
        <w:t>; and rapidly progressing disease: eGFR decline ≥2.5 mL/min/1.73 m2/year; OR (ii) age: 56-65 years; kidney function: eGFR 30-44 mL/min/1.73 m2; and rapidly progressing disease: eGFR decline ≥2.5 mL/min/1.73 m2/year.</w:t>
      </w:r>
    </w:p>
    <w:p w:rsidR="00F065A2" w:rsidRPr="006B1802" w:rsidRDefault="00F065A2" w:rsidP="00B93A10">
      <w:pPr>
        <w:contextualSpacing/>
        <w:rPr>
          <w:rFonts w:ascii="Arial Narrow" w:hAnsi="Arial Narrow"/>
          <w:sz w:val="16"/>
          <w:szCs w:val="16"/>
          <w:lang w:eastAsia="en-US"/>
        </w:rPr>
      </w:pPr>
      <w:proofErr w:type="gramStart"/>
      <w:r w:rsidRPr="006B1802">
        <w:rPr>
          <w:rFonts w:ascii="Arial Narrow" w:hAnsi="Arial Narrow"/>
          <w:sz w:val="16"/>
          <w:szCs w:val="16"/>
          <w:vertAlign w:val="superscript"/>
          <w:lang w:eastAsia="en-US"/>
        </w:rPr>
        <w:t>c</w:t>
      </w:r>
      <w:proofErr w:type="gramEnd"/>
      <w:r w:rsidRPr="006B1802">
        <w:rPr>
          <w:rFonts w:ascii="Arial Narrow" w:hAnsi="Arial Narrow"/>
          <w:sz w:val="16"/>
          <w:szCs w:val="16"/>
          <w:lang w:eastAsia="en-US"/>
        </w:rPr>
        <w:t xml:space="preserve"> Overall, the weighting between TEMPO 3:4 and REPRISE was 54.1% and 45.9%, respectively. This was based on: 61.2% = A and B overlap (average between the 2 estimates); 23.5% = </w:t>
      </w:r>
      <w:proofErr w:type="gramStart"/>
      <w:r w:rsidRPr="006B1802">
        <w:rPr>
          <w:rFonts w:ascii="Arial Narrow" w:hAnsi="Arial Narrow"/>
          <w:sz w:val="16"/>
          <w:szCs w:val="16"/>
          <w:lang w:eastAsia="en-US"/>
        </w:rPr>
        <w:t>A</w:t>
      </w:r>
      <w:proofErr w:type="gramEnd"/>
      <w:r w:rsidRPr="006B1802">
        <w:rPr>
          <w:rFonts w:ascii="Arial Narrow" w:hAnsi="Arial Narrow"/>
          <w:sz w:val="16"/>
          <w:szCs w:val="16"/>
          <w:lang w:eastAsia="en-US"/>
        </w:rPr>
        <w:t xml:space="preserve"> only; 15.3% = B only (based on the THIN data, see the March 2018 submission for full details).  </w:t>
      </w:r>
    </w:p>
    <w:p w:rsidR="00F065A2" w:rsidRDefault="00F065A2" w:rsidP="00B93A10">
      <w:pPr>
        <w:keepNext/>
        <w:spacing w:beforeLines="120" w:before="288" w:afterLines="160" w:after="384"/>
        <w:contextualSpacing/>
        <w:jc w:val="both"/>
        <w:rPr>
          <w:rFonts w:ascii="Arial Narrow" w:hAnsi="Arial Narrow" w:cs="Arial"/>
          <w:snapToGrid w:val="0"/>
          <w:sz w:val="16"/>
          <w:szCs w:val="16"/>
          <w:lang w:eastAsia="en-US"/>
        </w:rPr>
      </w:pPr>
      <w:proofErr w:type="gramStart"/>
      <w:r w:rsidRPr="006B1802">
        <w:rPr>
          <w:rFonts w:ascii="Arial Narrow" w:hAnsi="Arial Narrow" w:cs="Arial"/>
          <w:snapToGrid w:val="0"/>
          <w:sz w:val="16"/>
          <w:szCs w:val="16"/>
          <w:vertAlign w:val="superscript"/>
          <w:lang w:eastAsia="en-US"/>
        </w:rPr>
        <w:t>d</w:t>
      </w:r>
      <w:proofErr w:type="gramEnd"/>
      <w:r w:rsidRPr="006B1802">
        <w:rPr>
          <w:rFonts w:ascii="Arial Narrow" w:hAnsi="Arial Narrow" w:cs="Arial"/>
          <w:snapToGrid w:val="0"/>
          <w:sz w:val="16"/>
          <w:szCs w:val="16"/>
          <w:lang w:eastAsia="en-US"/>
        </w:rPr>
        <w:t xml:space="preserve"> In TreeAge ‘Tolvaptan November 2017 PBAC Section 3 Updated for April 2018’, this was conducted by changing ‘</w:t>
      </w:r>
      <w:proofErr w:type="spellStart"/>
      <w:r w:rsidRPr="006B1802">
        <w:rPr>
          <w:rFonts w:ascii="Arial Narrow" w:hAnsi="Arial Narrow" w:cs="Arial"/>
          <w:snapToGrid w:val="0"/>
          <w:sz w:val="16"/>
          <w:szCs w:val="16"/>
          <w:lang w:eastAsia="en-US"/>
        </w:rPr>
        <w:t>sa_efficacyTOL</w:t>
      </w:r>
      <w:proofErr w:type="spellEnd"/>
      <w:r w:rsidRPr="006B1802">
        <w:rPr>
          <w:rFonts w:ascii="Arial Narrow" w:hAnsi="Arial Narrow" w:cs="Arial"/>
          <w:snapToGrid w:val="0"/>
          <w:sz w:val="16"/>
          <w:szCs w:val="16"/>
          <w:lang w:eastAsia="en-US"/>
        </w:rPr>
        <w:t>’ to 4 and ‘</w:t>
      </w:r>
      <w:proofErr w:type="spellStart"/>
      <w:r w:rsidRPr="006B1802">
        <w:rPr>
          <w:rFonts w:ascii="Arial Narrow" w:hAnsi="Arial Narrow" w:cs="Arial"/>
          <w:snapToGrid w:val="0"/>
          <w:sz w:val="16"/>
          <w:szCs w:val="16"/>
          <w:lang w:eastAsia="en-US"/>
        </w:rPr>
        <w:t>sa_PopGroup</w:t>
      </w:r>
      <w:proofErr w:type="spellEnd"/>
      <w:r w:rsidRPr="006B1802">
        <w:rPr>
          <w:rFonts w:ascii="Arial Narrow" w:hAnsi="Arial Narrow" w:cs="Arial"/>
          <w:snapToGrid w:val="0"/>
          <w:sz w:val="16"/>
          <w:szCs w:val="16"/>
          <w:lang w:eastAsia="en-US"/>
        </w:rPr>
        <w:t>’ to 5.</w:t>
      </w:r>
    </w:p>
    <w:p w:rsidR="00A35BAC" w:rsidRDefault="00A35BAC" w:rsidP="00B93A10">
      <w:pPr>
        <w:keepNext/>
        <w:spacing w:beforeLines="120" w:before="288" w:afterLines="160" w:after="384"/>
        <w:contextualSpacing/>
        <w:jc w:val="both"/>
        <w:rPr>
          <w:rFonts w:ascii="Arial Narrow" w:hAnsi="Arial Narrow" w:cs="Arial"/>
          <w:snapToGrid w:val="0"/>
          <w:sz w:val="16"/>
          <w:szCs w:val="16"/>
          <w:lang w:eastAsia="en-US"/>
        </w:rPr>
      </w:pPr>
    </w:p>
    <w:p w:rsidR="00A35BAC" w:rsidRPr="006B1802" w:rsidRDefault="00A35BAC" w:rsidP="00B93A10">
      <w:pPr>
        <w:keepNext/>
        <w:spacing w:beforeLines="120" w:before="288" w:afterLines="160" w:after="384"/>
        <w:contextualSpacing/>
        <w:jc w:val="both"/>
        <w:rPr>
          <w:rFonts w:ascii="Arial Narrow" w:hAnsi="Arial Narrow" w:cs="Arial"/>
          <w:snapToGrid w:val="0"/>
          <w:sz w:val="16"/>
          <w:szCs w:val="16"/>
          <w:lang w:eastAsia="en-US"/>
        </w:rPr>
      </w:pPr>
    </w:p>
    <w:p w:rsidR="00A35BAC" w:rsidRDefault="00A35BAC" w:rsidP="00A35BAC">
      <w:pPr>
        <w:spacing w:beforeLines="120" w:before="288" w:afterLines="160" w:after="384"/>
        <w:jc w:val="both"/>
        <w:rPr>
          <w:rFonts w:asciiTheme="minorHAnsi" w:hAnsiTheme="minorHAnsi"/>
        </w:rPr>
      </w:pPr>
      <w:r>
        <w:rPr>
          <w:rFonts w:asciiTheme="minorHAnsi" w:hAnsiTheme="minorHAnsi"/>
        </w:rPr>
        <w:t xml:space="preserve">The redacted table shows ICERs in the range of less than $15,000/QALY - $105,000/QALY. </w:t>
      </w:r>
    </w:p>
    <w:p w:rsidR="00F065A2" w:rsidRPr="006B1802" w:rsidRDefault="00F065A2" w:rsidP="00B93A10">
      <w:pPr>
        <w:numPr>
          <w:ilvl w:val="1"/>
          <w:numId w:val="5"/>
        </w:numPr>
        <w:spacing w:beforeLines="120" w:before="288" w:afterLines="160" w:after="384"/>
        <w:jc w:val="both"/>
        <w:rPr>
          <w:rFonts w:asciiTheme="minorHAnsi" w:hAnsiTheme="minorHAnsi"/>
        </w:rPr>
      </w:pPr>
      <w:r w:rsidRPr="006B1802">
        <w:rPr>
          <w:rFonts w:asciiTheme="minorHAnsi" w:hAnsiTheme="minorHAnsi"/>
        </w:rPr>
        <w:t xml:space="preserve">Unchanged from the previous submission, the tolvaptan treatment effect was applied as a relative reduction in the rate of eGFR decline, based on the weighted mean slope reductions derived by CKD stage in the TEMPO 3:4 and REPRISE trials, using only CKD stages 2 and 3 (Table </w:t>
      </w:r>
      <w:r w:rsidR="00CC525E" w:rsidRPr="006B1802">
        <w:rPr>
          <w:rFonts w:asciiTheme="minorHAnsi" w:hAnsiTheme="minorHAnsi"/>
        </w:rPr>
        <w:t>3</w:t>
      </w:r>
      <w:r w:rsidRPr="006B1802">
        <w:rPr>
          <w:rFonts w:asciiTheme="minorHAnsi" w:hAnsiTheme="minorHAnsi"/>
        </w:rPr>
        <w:t xml:space="preserve">). During preparation of the minor overview, </w:t>
      </w:r>
      <w:r w:rsidRPr="006B1802">
        <w:rPr>
          <w:rFonts w:asciiTheme="minorHAnsi" w:hAnsiTheme="minorHAnsi"/>
        </w:rPr>
        <w:lastRenderedPageBreak/>
        <w:t>sensitivity analyses were conducted using the estimated tolvaptan treatment effects by CKD stage, rather than the weighted mean across CKD stages 2 and 3.</w:t>
      </w:r>
    </w:p>
    <w:p w:rsidR="00F065A2" w:rsidRPr="006B1802" w:rsidRDefault="00F065A2" w:rsidP="00B93A10">
      <w:pPr>
        <w:pStyle w:val="ListParagraph"/>
        <w:widowControl/>
        <w:ind w:left="360"/>
      </w:pPr>
    </w:p>
    <w:p w:rsidR="00F065A2" w:rsidRPr="006B1802" w:rsidRDefault="00F065A2" w:rsidP="00B93A10">
      <w:pPr>
        <w:keepNext/>
        <w:jc w:val="both"/>
        <w:rPr>
          <w:rFonts w:ascii="Arial Narrow" w:hAnsi="Arial Narrow" w:cs="Arial"/>
          <w:b/>
          <w:snapToGrid w:val="0"/>
          <w:sz w:val="20"/>
          <w:szCs w:val="16"/>
          <w:lang w:eastAsia="en-US"/>
        </w:rPr>
      </w:pPr>
      <w:r w:rsidRPr="006B1802">
        <w:rPr>
          <w:rFonts w:ascii="Arial Narrow" w:hAnsi="Arial Narrow" w:cs="Arial"/>
          <w:b/>
          <w:snapToGrid w:val="0"/>
          <w:sz w:val="20"/>
          <w:szCs w:val="16"/>
          <w:lang w:eastAsia="en-US"/>
        </w:rPr>
        <w:t xml:space="preserve">Table </w:t>
      </w:r>
      <w:r w:rsidR="00CC525E" w:rsidRPr="006B1802">
        <w:rPr>
          <w:rFonts w:ascii="Arial Narrow" w:hAnsi="Arial Narrow" w:cs="Arial"/>
          <w:b/>
          <w:snapToGrid w:val="0"/>
          <w:sz w:val="20"/>
          <w:szCs w:val="16"/>
          <w:lang w:eastAsia="en-US"/>
        </w:rPr>
        <w:t>3</w:t>
      </w:r>
      <w:r w:rsidRPr="006B1802">
        <w:rPr>
          <w:rFonts w:ascii="Arial Narrow" w:hAnsi="Arial Narrow" w:cs="Arial"/>
          <w:b/>
          <w:snapToGrid w:val="0"/>
          <w:sz w:val="20"/>
          <w:szCs w:val="16"/>
          <w:lang w:eastAsia="en-US"/>
        </w:rPr>
        <w:t>: Derivation of the tolvaptan treatment effect used in the base case of the model</w:t>
      </w:r>
    </w:p>
    <w:tbl>
      <w:tblPr>
        <w:tblStyle w:val="TableGrid"/>
        <w:tblW w:w="9010" w:type="dxa"/>
        <w:tblLook w:val="04A0" w:firstRow="1" w:lastRow="0" w:firstColumn="1" w:lastColumn="0" w:noHBand="0" w:noVBand="1"/>
        <w:tblCaption w:val="Table 3: Derivation of the tolvaptan treatment effect used in the base case of the model"/>
      </w:tblPr>
      <w:tblGrid>
        <w:gridCol w:w="1644"/>
        <w:gridCol w:w="490"/>
        <w:gridCol w:w="1542"/>
        <w:gridCol w:w="490"/>
        <w:gridCol w:w="1541"/>
        <w:gridCol w:w="1111"/>
        <w:gridCol w:w="2192"/>
      </w:tblGrid>
      <w:tr w:rsidR="00F065A2" w:rsidRPr="006B1802" w:rsidTr="00414990">
        <w:trPr>
          <w:tblHeader/>
        </w:trPr>
        <w:tc>
          <w:tcPr>
            <w:tcW w:w="1668" w:type="dxa"/>
            <w:vMerge w:val="restart"/>
            <w:vAlign w:val="center"/>
          </w:tcPr>
          <w:p w:rsidR="00F065A2" w:rsidRPr="006B1802" w:rsidRDefault="00F065A2" w:rsidP="00B93A10">
            <w:pPr>
              <w:pStyle w:val="Tablenormal0"/>
              <w:spacing w:after="0" w:line="240" w:lineRule="auto"/>
              <w:rPr>
                <w:rFonts w:ascii="Arial Narrow" w:hAnsi="Arial Narrow"/>
                <w:b/>
                <w:color w:val="000000"/>
                <w:sz w:val="20"/>
                <w:szCs w:val="20"/>
                <w:lang w:eastAsia="en-AU"/>
              </w:rPr>
            </w:pPr>
            <w:r w:rsidRPr="006B1802">
              <w:rPr>
                <w:rFonts w:ascii="Arial Narrow" w:hAnsi="Arial Narrow"/>
                <w:b/>
                <w:color w:val="000000"/>
                <w:sz w:val="20"/>
                <w:szCs w:val="20"/>
                <w:lang w:eastAsia="en-AU"/>
              </w:rPr>
              <w:t>Subgroup</w:t>
            </w:r>
          </w:p>
        </w:tc>
        <w:tc>
          <w:tcPr>
            <w:tcW w:w="1937" w:type="dxa"/>
            <w:gridSpan w:val="2"/>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r w:rsidRPr="006B1802">
              <w:rPr>
                <w:rFonts w:ascii="Arial Narrow" w:hAnsi="Arial Narrow"/>
                <w:b/>
                <w:color w:val="000000"/>
                <w:sz w:val="20"/>
                <w:szCs w:val="20"/>
                <w:lang w:eastAsia="en-AU"/>
              </w:rPr>
              <w:t>Tolvaptan</w:t>
            </w:r>
          </w:p>
        </w:tc>
        <w:tc>
          <w:tcPr>
            <w:tcW w:w="2049" w:type="dxa"/>
            <w:gridSpan w:val="2"/>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r w:rsidRPr="006B1802">
              <w:rPr>
                <w:rFonts w:ascii="Arial Narrow" w:hAnsi="Arial Narrow"/>
                <w:b/>
                <w:color w:val="000000"/>
                <w:sz w:val="20"/>
                <w:szCs w:val="20"/>
                <w:lang w:eastAsia="en-AU"/>
              </w:rPr>
              <w:t>Placebo</w:t>
            </w:r>
          </w:p>
        </w:tc>
        <w:tc>
          <w:tcPr>
            <w:tcW w:w="1117" w:type="dxa"/>
            <w:vMerge w:val="restart"/>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r w:rsidRPr="006B1802">
              <w:rPr>
                <w:rFonts w:ascii="Arial Narrow" w:hAnsi="Arial Narrow"/>
                <w:b/>
                <w:color w:val="000000"/>
                <w:sz w:val="20"/>
                <w:szCs w:val="20"/>
                <w:lang w:eastAsia="en-AU"/>
              </w:rPr>
              <w:t xml:space="preserve">Slope reduction </w:t>
            </w:r>
          </w:p>
        </w:tc>
        <w:tc>
          <w:tcPr>
            <w:tcW w:w="2239" w:type="dxa"/>
            <w:vMerge w:val="restart"/>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r w:rsidRPr="006B1802">
              <w:rPr>
                <w:rFonts w:ascii="Arial Narrow" w:hAnsi="Arial Narrow"/>
                <w:b/>
                <w:color w:val="000000"/>
                <w:sz w:val="20"/>
                <w:szCs w:val="20"/>
                <w:lang w:eastAsia="en-AU"/>
              </w:rPr>
              <w:t>Weighted mean slope reduction applied in model</w:t>
            </w:r>
          </w:p>
        </w:tc>
      </w:tr>
      <w:tr w:rsidR="00F065A2" w:rsidRPr="006B1802" w:rsidTr="00414990">
        <w:trPr>
          <w:tblHeader/>
        </w:trPr>
        <w:tc>
          <w:tcPr>
            <w:tcW w:w="1668" w:type="dxa"/>
            <w:vMerge/>
            <w:tcBorders>
              <w:bottom w:val="single" w:sz="4" w:space="0" w:color="auto"/>
            </w:tcBorders>
          </w:tcPr>
          <w:p w:rsidR="00F065A2" w:rsidRPr="006B1802" w:rsidRDefault="00F065A2" w:rsidP="00B93A10">
            <w:pPr>
              <w:pStyle w:val="Tablenormal0"/>
              <w:spacing w:after="0" w:line="240" w:lineRule="auto"/>
              <w:rPr>
                <w:rFonts w:ascii="Arial Narrow" w:hAnsi="Arial Narrow"/>
                <w:color w:val="000000"/>
                <w:sz w:val="20"/>
                <w:szCs w:val="20"/>
                <w:lang w:eastAsia="en-AU"/>
              </w:rPr>
            </w:pPr>
          </w:p>
        </w:tc>
        <w:tc>
          <w:tcPr>
            <w:tcW w:w="377" w:type="dxa"/>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r w:rsidRPr="006B1802">
              <w:rPr>
                <w:rFonts w:ascii="Arial Narrow" w:hAnsi="Arial Narrow"/>
                <w:b/>
                <w:color w:val="000000"/>
                <w:sz w:val="20"/>
                <w:szCs w:val="20"/>
                <w:lang w:eastAsia="en-AU"/>
              </w:rPr>
              <w:t>N</w:t>
            </w:r>
          </w:p>
        </w:tc>
        <w:tc>
          <w:tcPr>
            <w:tcW w:w="1560" w:type="dxa"/>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r w:rsidRPr="006B1802">
              <w:rPr>
                <w:rFonts w:ascii="Arial Narrow" w:hAnsi="Arial Narrow"/>
                <w:b/>
                <w:color w:val="000000"/>
                <w:sz w:val="20"/>
                <w:szCs w:val="20"/>
                <w:lang w:eastAsia="en-AU"/>
              </w:rPr>
              <w:t>Mean annualised change in slope</w:t>
            </w:r>
          </w:p>
        </w:tc>
        <w:tc>
          <w:tcPr>
            <w:tcW w:w="490" w:type="dxa"/>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r w:rsidRPr="006B1802">
              <w:rPr>
                <w:rFonts w:ascii="Arial Narrow" w:hAnsi="Arial Narrow"/>
                <w:b/>
                <w:color w:val="000000"/>
                <w:sz w:val="20"/>
                <w:szCs w:val="20"/>
                <w:lang w:eastAsia="en-AU"/>
              </w:rPr>
              <w:t>N</w:t>
            </w:r>
          </w:p>
        </w:tc>
        <w:tc>
          <w:tcPr>
            <w:tcW w:w="1559" w:type="dxa"/>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r w:rsidRPr="006B1802">
              <w:rPr>
                <w:rFonts w:ascii="Arial Narrow" w:hAnsi="Arial Narrow"/>
                <w:b/>
                <w:color w:val="000000"/>
                <w:sz w:val="20"/>
                <w:szCs w:val="20"/>
                <w:lang w:eastAsia="en-AU"/>
              </w:rPr>
              <w:t>Mean annualised change in slope</w:t>
            </w:r>
          </w:p>
        </w:tc>
        <w:tc>
          <w:tcPr>
            <w:tcW w:w="1117" w:type="dxa"/>
            <w:vMerge/>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p>
        </w:tc>
        <w:tc>
          <w:tcPr>
            <w:tcW w:w="2239" w:type="dxa"/>
            <w:vMerge/>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b/>
                <w:color w:val="000000"/>
                <w:sz w:val="20"/>
                <w:szCs w:val="20"/>
                <w:lang w:eastAsia="en-AU"/>
              </w:rPr>
            </w:pPr>
          </w:p>
        </w:tc>
      </w:tr>
      <w:tr w:rsidR="00F065A2" w:rsidRPr="006B1802" w:rsidTr="00414990">
        <w:trPr>
          <w:trHeight w:val="87"/>
        </w:trPr>
        <w:tc>
          <w:tcPr>
            <w:tcW w:w="9010" w:type="dxa"/>
            <w:gridSpan w:val="7"/>
          </w:tcPr>
          <w:p w:rsidR="00F065A2" w:rsidRPr="006B1802" w:rsidRDefault="00F065A2" w:rsidP="00B93A10">
            <w:pPr>
              <w:keepNext/>
              <w:keepLines/>
              <w:rPr>
                <w:rFonts w:ascii="Arial Narrow" w:hAnsi="Arial Narrow"/>
                <w:b/>
                <w:sz w:val="20"/>
              </w:rPr>
            </w:pPr>
            <w:r w:rsidRPr="006B1802">
              <w:rPr>
                <w:rFonts w:ascii="Arial Narrow" w:hAnsi="Arial Narrow"/>
                <w:b/>
                <w:sz w:val="20"/>
                <w:szCs w:val="20"/>
              </w:rPr>
              <w:t>TEMPO 3:4</w:t>
            </w:r>
            <w:r w:rsidRPr="006B1802">
              <w:rPr>
                <w:rFonts w:ascii="Arial Narrow" w:hAnsi="Arial Narrow"/>
                <w:b/>
                <w:sz w:val="20"/>
              </w:rPr>
              <w:t xml:space="preserve"> (change in slope of eGFR (CKD-EPI) decline; linear mixed-effects Laird–Ware model)</w:t>
            </w:r>
          </w:p>
        </w:tc>
      </w:tr>
      <w:tr w:rsidR="00F065A2" w:rsidRPr="006B1802" w:rsidTr="00414990">
        <w:trPr>
          <w:trHeight w:val="87"/>
        </w:trPr>
        <w:tc>
          <w:tcPr>
            <w:tcW w:w="1668" w:type="dxa"/>
          </w:tcPr>
          <w:p w:rsidR="00F065A2" w:rsidRPr="006B1802" w:rsidRDefault="00F065A2" w:rsidP="00B93A10">
            <w:pPr>
              <w:pStyle w:val="Tablenormal0"/>
              <w:spacing w:after="0" w:line="240" w:lineRule="auto"/>
              <w:rPr>
                <w:rFonts w:ascii="Arial Narrow" w:hAnsi="Arial Narrow"/>
                <w:sz w:val="20"/>
                <w:szCs w:val="20"/>
              </w:rPr>
            </w:pPr>
            <w:r w:rsidRPr="006B1802">
              <w:rPr>
                <w:rFonts w:ascii="Arial Narrow" w:hAnsi="Arial Narrow"/>
                <w:sz w:val="20"/>
                <w:szCs w:val="20"/>
              </w:rPr>
              <w:t>Overall population</w:t>
            </w:r>
          </w:p>
        </w:tc>
        <w:tc>
          <w:tcPr>
            <w:tcW w:w="377" w:type="dxa"/>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842</w:t>
            </w:r>
          </w:p>
        </w:tc>
        <w:tc>
          <w:tcPr>
            <w:tcW w:w="1560" w:type="dxa"/>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-2.72</w:t>
            </w:r>
          </w:p>
        </w:tc>
        <w:tc>
          <w:tcPr>
            <w:tcW w:w="490" w:type="dxa"/>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464</w:t>
            </w:r>
          </w:p>
        </w:tc>
        <w:tc>
          <w:tcPr>
            <w:tcW w:w="1559" w:type="dxa"/>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-3.70</w:t>
            </w:r>
          </w:p>
        </w:tc>
        <w:tc>
          <w:tcPr>
            <w:tcW w:w="1117" w:type="dxa"/>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26.4%</w:t>
            </w:r>
          </w:p>
        </w:tc>
        <w:tc>
          <w:tcPr>
            <w:tcW w:w="2239" w:type="dxa"/>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Not used in base case</w:t>
            </w:r>
          </w:p>
        </w:tc>
      </w:tr>
      <w:tr w:rsidR="00F065A2" w:rsidRPr="006B1802" w:rsidTr="00414990">
        <w:trPr>
          <w:trHeight w:val="87"/>
        </w:trPr>
        <w:tc>
          <w:tcPr>
            <w:tcW w:w="1668" w:type="dxa"/>
          </w:tcPr>
          <w:p w:rsidR="00F065A2" w:rsidRPr="006B1802" w:rsidRDefault="00F065A2" w:rsidP="00B93A10">
            <w:pPr>
              <w:pStyle w:val="Tablenormal0"/>
              <w:spacing w:after="0" w:line="240" w:lineRule="auto"/>
              <w:rPr>
                <w:rFonts w:ascii="Arial Narrow" w:hAnsi="Arial Narrow"/>
                <w:b/>
                <w:color w:val="000000"/>
                <w:sz w:val="20"/>
                <w:szCs w:val="20"/>
                <w:lang w:eastAsia="en-AU"/>
              </w:rPr>
            </w:pPr>
            <w:r w:rsidRPr="006B1802">
              <w:rPr>
                <w:rFonts w:ascii="Arial Narrow" w:hAnsi="Arial Narrow"/>
                <w:sz w:val="20"/>
                <w:szCs w:val="20"/>
              </w:rPr>
              <w:t>Baseline CKD 1</w:t>
            </w:r>
          </w:p>
        </w:tc>
        <w:tc>
          <w:tcPr>
            <w:tcW w:w="377" w:type="dxa"/>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267</w:t>
            </w:r>
          </w:p>
        </w:tc>
        <w:tc>
          <w:tcPr>
            <w:tcW w:w="1560" w:type="dxa"/>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-2.2</w:t>
            </w:r>
          </w:p>
        </w:tc>
        <w:tc>
          <w:tcPr>
            <w:tcW w:w="490" w:type="dxa"/>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158</w:t>
            </w:r>
          </w:p>
        </w:tc>
        <w:tc>
          <w:tcPr>
            <w:tcW w:w="1559" w:type="dxa"/>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-2.6</w:t>
            </w:r>
          </w:p>
        </w:tc>
        <w:tc>
          <w:tcPr>
            <w:tcW w:w="1117" w:type="dxa"/>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15.5%</w:t>
            </w:r>
          </w:p>
        </w:tc>
        <w:tc>
          <w:tcPr>
            <w:tcW w:w="2239" w:type="dxa"/>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NA</w:t>
            </w:r>
          </w:p>
        </w:tc>
      </w:tr>
      <w:tr w:rsidR="00F065A2" w:rsidRPr="006B1802" w:rsidTr="00414990">
        <w:trPr>
          <w:trHeight w:val="87"/>
        </w:trPr>
        <w:tc>
          <w:tcPr>
            <w:tcW w:w="1668" w:type="dxa"/>
          </w:tcPr>
          <w:p w:rsidR="00F065A2" w:rsidRPr="006B1802" w:rsidRDefault="00F065A2" w:rsidP="00B93A10">
            <w:pPr>
              <w:pStyle w:val="Tablenormal0"/>
              <w:spacing w:after="0" w:line="240" w:lineRule="auto"/>
              <w:rPr>
                <w:rFonts w:ascii="Arial Narrow" w:hAnsi="Arial Narrow"/>
                <w:sz w:val="20"/>
                <w:szCs w:val="20"/>
              </w:rPr>
            </w:pPr>
            <w:r w:rsidRPr="006B1802">
              <w:rPr>
                <w:rFonts w:ascii="Arial Narrow" w:hAnsi="Arial Narrow"/>
                <w:sz w:val="20"/>
                <w:szCs w:val="20"/>
              </w:rPr>
              <w:t>Baseline CKD 2</w:t>
            </w:r>
          </w:p>
        </w:tc>
        <w:tc>
          <w:tcPr>
            <w:tcW w:w="377" w:type="dxa"/>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465</w:t>
            </w:r>
          </w:p>
        </w:tc>
        <w:tc>
          <w:tcPr>
            <w:tcW w:w="1560" w:type="dxa"/>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-2.7</w:t>
            </w:r>
          </w:p>
        </w:tc>
        <w:tc>
          <w:tcPr>
            <w:tcW w:w="490" w:type="dxa"/>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224</w:t>
            </w:r>
          </w:p>
        </w:tc>
        <w:tc>
          <w:tcPr>
            <w:tcW w:w="1559" w:type="dxa"/>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-3.9</w:t>
            </w:r>
          </w:p>
        </w:tc>
        <w:tc>
          <w:tcPr>
            <w:tcW w:w="1117" w:type="dxa"/>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29.1%</w:t>
            </w:r>
          </w:p>
        </w:tc>
        <w:tc>
          <w:tcPr>
            <w:tcW w:w="2239" w:type="dxa"/>
            <w:vMerge w:val="restart"/>
            <w:vAlign w:val="center"/>
          </w:tcPr>
          <w:p w:rsidR="00F065A2" w:rsidRPr="006B1802" w:rsidRDefault="00F065A2" w:rsidP="00B93A10">
            <w:pPr>
              <w:pStyle w:val="Tablenormal0"/>
              <w:spacing w:after="0" w:line="240" w:lineRule="auto"/>
              <w:jc w:val="center"/>
              <w:rPr>
                <w:rFonts w:ascii="Arial Narrow" w:hAnsi="Arial Narrow"/>
                <w:sz w:val="20"/>
                <w:szCs w:val="20"/>
                <w:vertAlign w:val="superscript"/>
              </w:rPr>
            </w:pPr>
            <w:r w:rsidRPr="006B1802">
              <w:rPr>
                <w:rFonts w:ascii="Arial Narrow" w:hAnsi="Arial Narrow"/>
                <w:sz w:val="20"/>
                <w:szCs w:val="20"/>
              </w:rPr>
              <w:t xml:space="preserve">29.6% </w:t>
            </w:r>
            <w:r w:rsidRPr="006B1802">
              <w:rPr>
                <w:rFonts w:ascii="Arial Narrow" w:hAnsi="Arial Narrow"/>
                <w:sz w:val="20"/>
                <w:szCs w:val="20"/>
                <w:vertAlign w:val="superscript"/>
              </w:rPr>
              <w:t>a</w:t>
            </w:r>
          </w:p>
        </w:tc>
      </w:tr>
      <w:tr w:rsidR="00F065A2" w:rsidRPr="006B1802" w:rsidTr="00414990">
        <w:trPr>
          <w:trHeight w:val="87"/>
        </w:trPr>
        <w:tc>
          <w:tcPr>
            <w:tcW w:w="1668" w:type="dxa"/>
          </w:tcPr>
          <w:p w:rsidR="00F065A2" w:rsidRPr="006B1802" w:rsidRDefault="00F065A2" w:rsidP="00B93A10">
            <w:pPr>
              <w:pStyle w:val="Tablenormal0"/>
              <w:spacing w:after="0" w:line="240" w:lineRule="auto"/>
              <w:rPr>
                <w:rFonts w:ascii="Arial Narrow" w:hAnsi="Arial Narrow"/>
                <w:b/>
                <w:color w:val="000000"/>
                <w:sz w:val="20"/>
                <w:szCs w:val="20"/>
                <w:lang w:eastAsia="en-AU"/>
              </w:rPr>
            </w:pPr>
            <w:r w:rsidRPr="006B1802">
              <w:rPr>
                <w:rFonts w:ascii="Arial Narrow" w:hAnsi="Arial Narrow"/>
                <w:sz w:val="20"/>
                <w:szCs w:val="20"/>
              </w:rPr>
              <w:t>Baseline CKD 3</w:t>
            </w:r>
          </w:p>
        </w:tc>
        <w:tc>
          <w:tcPr>
            <w:tcW w:w="377" w:type="dxa"/>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163</w:t>
            </w:r>
          </w:p>
        </w:tc>
        <w:tc>
          <w:tcPr>
            <w:tcW w:w="1560" w:type="dxa"/>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-3.7</w:t>
            </w:r>
          </w:p>
        </w:tc>
        <w:tc>
          <w:tcPr>
            <w:tcW w:w="490" w:type="dxa"/>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84</w:t>
            </w:r>
          </w:p>
        </w:tc>
        <w:tc>
          <w:tcPr>
            <w:tcW w:w="1559" w:type="dxa"/>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-5.3</w:t>
            </w:r>
          </w:p>
        </w:tc>
        <w:tc>
          <w:tcPr>
            <w:tcW w:w="1117" w:type="dxa"/>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31.0%</w:t>
            </w:r>
          </w:p>
        </w:tc>
        <w:tc>
          <w:tcPr>
            <w:tcW w:w="2239" w:type="dxa"/>
            <w:vMerge/>
            <w:vAlign w:val="center"/>
          </w:tcPr>
          <w:p w:rsidR="00F065A2" w:rsidRPr="006B1802" w:rsidRDefault="00F065A2" w:rsidP="00B93A10">
            <w:pPr>
              <w:pStyle w:val="Tablenormal0"/>
              <w:spacing w:after="0" w:line="240" w:lineRule="auto"/>
              <w:jc w:val="center"/>
              <w:rPr>
                <w:rFonts w:ascii="Arial Narrow" w:hAnsi="Arial Narrow"/>
                <w:sz w:val="20"/>
                <w:szCs w:val="20"/>
              </w:rPr>
            </w:pPr>
          </w:p>
        </w:tc>
      </w:tr>
      <w:tr w:rsidR="00F065A2" w:rsidRPr="006B1802" w:rsidTr="00414990">
        <w:trPr>
          <w:trHeight w:val="87"/>
        </w:trPr>
        <w:tc>
          <w:tcPr>
            <w:tcW w:w="9010" w:type="dxa"/>
            <w:gridSpan w:val="7"/>
            <w:tcBorders>
              <w:top w:val="single" w:sz="4" w:space="0" w:color="auto"/>
            </w:tcBorders>
          </w:tcPr>
          <w:p w:rsidR="00F065A2" w:rsidRPr="006B1802" w:rsidRDefault="00F065A2" w:rsidP="00B93A10">
            <w:pPr>
              <w:pStyle w:val="Tablenormal0"/>
              <w:spacing w:after="0" w:line="240" w:lineRule="auto"/>
              <w:rPr>
                <w:rFonts w:ascii="Arial Narrow" w:hAnsi="Arial Narrow"/>
                <w:b/>
                <w:color w:val="000000"/>
                <w:sz w:val="20"/>
                <w:szCs w:val="20"/>
                <w:lang w:eastAsia="en-AU"/>
              </w:rPr>
            </w:pPr>
            <w:r w:rsidRPr="006B1802">
              <w:rPr>
                <w:rFonts w:ascii="Arial Narrow" w:hAnsi="Arial Narrow"/>
                <w:b/>
                <w:color w:val="000000"/>
                <w:sz w:val="20"/>
                <w:szCs w:val="20"/>
                <w:lang w:eastAsia="en-AU"/>
              </w:rPr>
              <w:t>REPRISE (annualised rate of change in eGFR (CKD-EPI); weighted ANCOVA)</w:t>
            </w:r>
          </w:p>
        </w:tc>
      </w:tr>
      <w:tr w:rsidR="00F065A2" w:rsidRPr="006B1802" w:rsidTr="00414990">
        <w:trPr>
          <w:trHeight w:val="87"/>
        </w:trPr>
        <w:tc>
          <w:tcPr>
            <w:tcW w:w="1668" w:type="dxa"/>
            <w:tcBorders>
              <w:top w:val="single" w:sz="4" w:space="0" w:color="auto"/>
            </w:tcBorders>
          </w:tcPr>
          <w:p w:rsidR="00F065A2" w:rsidRPr="006B1802" w:rsidRDefault="00F065A2" w:rsidP="00B93A10">
            <w:pPr>
              <w:pStyle w:val="Tablenormal0"/>
              <w:spacing w:after="0" w:line="240" w:lineRule="auto"/>
              <w:rPr>
                <w:rFonts w:ascii="Arial Narrow" w:hAnsi="Arial Narrow"/>
                <w:sz w:val="20"/>
                <w:szCs w:val="20"/>
                <w:vertAlign w:val="superscript"/>
              </w:rPr>
            </w:pPr>
            <w:r w:rsidRPr="006B1802">
              <w:rPr>
                <w:rFonts w:ascii="Arial Narrow" w:hAnsi="Arial Narrow"/>
                <w:sz w:val="20"/>
                <w:szCs w:val="20"/>
              </w:rPr>
              <w:t xml:space="preserve">Overall population </w:t>
            </w:r>
            <w:r w:rsidRPr="006B1802">
              <w:rPr>
                <w:rFonts w:ascii="Arial Narrow" w:hAnsi="Arial Narrow"/>
                <w:sz w:val="20"/>
                <w:szCs w:val="20"/>
                <w:vertAlign w:val="superscript"/>
              </w:rPr>
              <w:t>c</w:t>
            </w:r>
          </w:p>
        </w:tc>
        <w:tc>
          <w:tcPr>
            <w:tcW w:w="377" w:type="dxa"/>
            <w:tcBorders>
              <w:top w:val="single" w:sz="4" w:space="0" w:color="auto"/>
            </w:tcBorders>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668</w:t>
            </w:r>
          </w:p>
        </w:tc>
        <w:tc>
          <w:tcPr>
            <w:tcW w:w="1560" w:type="dxa"/>
            <w:tcBorders>
              <w:top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-2.961</w:t>
            </w:r>
          </w:p>
        </w:tc>
        <w:tc>
          <w:tcPr>
            <w:tcW w:w="490" w:type="dxa"/>
            <w:tcBorders>
              <w:top w:val="single" w:sz="4" w:space="0" w:color="auto"/>
            </w:tcBorders>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663</w:t>
            </w:r>
          </w:p>
        </w:tc>
        <w:tc>
          <w:tcPr>
            <w:tcW w:w="1559" w:type="dxa"/>
            <w:tcBorders>
              <w:top w:val="single" w:sz="4" w:space="0" w:color="auto"/>
            </w:tcBorders>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-4.249</w:t>
            </w:r>
          </w:p>
        </w:tc>
        <w:tc>
          <w:tcPr>
            <w:tcW w:w="1117" w:type="dxa"/>
            <w:tcBorders>
              <w:top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sz w:val="20"/>
                <w:szCs w:val="20"/>
                <w:vertAlign w:val="superscript"/>
              </w:rPr>
            </w:pPr>
            <w:r w:rsidRPr="006B1802">
              <w:rPr>
                <w:rFonts w:ascii="Arial Narrow" w:hAnsi="Arial Narrow"/>
                <w:sz w:val="20"/>
                <w:szCs w:val="20"/>
              </w:rPr>
              <w:t xml:space="preserve">30.3% </w:t>
            </w:r>
            <w:r w:rsidRPr="006B1802">
              <w:rPr>
                <w:rFonts w:ascii="Arial Narrow" w:hAnsi="Arial Narrow"/>
                <w:sz w:val="20"/>
                <w:szCs w:val="20"/>
                <w:vertAlign w:val="superscript"/>
              </w:rPr>
              <w:t>c</w:t>
            </w:r>
          </w:p>
        </w:tc>
        <w:tc>
          <w:tcPr>
            <w:tcW w:w="2239" w:type="dxa"/>
            <w:tcBorders>
              <w:top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Not used in base case</w:t>
            </w:r>
          </w:p>
        </w:tc>
      </w:tr>
      <w:tr w:rsidR="00F065A2" w:rsidRPr="006B1802" w:rsidTr="00414990">
        <w:trPr>
          <w:trHeight w:val="87"/>
        </w:trPr>
        <w:tc>
          <w:tcPr>
            <w:tcW w:w="1668" w:type="dxa"/>
            <w:tcBorders>
              <w:top w:val="single" w:sz="4" w:space="0" w:color="auto"/>
            </w:tcBorders>
          </w:tcPr>
          <w:p w:rsidR="00F065A2" w:rsidRPr="006B1802" w:rsidRDefault="00F065A2" w:rsidP="00B93A10">
            <w:pPr>
              <w:pStyle w:val="Tablenormal0"/>
              <w:spacing w:after="0" w:line="240" w:lineRule="auto"/>
              <w:rPr>
                <w:rFonts w:ascii="Arial Narrow" w:hAnsi="Arial Narrow"/>
                <w:sz w:val="20"/>
                <w:szCs w:val="20"/>
              </w:rPr>
            </w:pPr>
            <w:r w:rsidRPr="006B1802">
              <w:rPr>
                <w:rFonts w:ascii="Arial Narrow" w:hAnsi="Arial Narrow"/>
                <w:sz w:val="20"/>
                <w:szCs w:val="20"/>
              </w:rPr>
              <w:t>Baseline CKD 2</w:t>
            </w:r>
          </w:p>
        </w:tc>
        <w:tc>
          <w:tcPr>
            <w:tcW w:w="377" w:type="dxa"/>
            <w:tcBorders>
              <w:top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31</w:t>
            </w:r>
          </w:p>
        </w:tc>
        <w:tc>
          <w:tcPr>
            <w:tcW w:w="1560" w:type="dxa"/>
            <w:tcBorders>
              <w:top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-0.541</w:t>
            </w:r>
          </w:p>
        </w:tc>
        <w:tc>
          <w:tcPr>
            <w:tcW w:w="490" w:type="dxa"/>
            <w:tcBorders>
              <w:top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38</w:t>
            </w:r>
          </w:p>
        </w:tc>
        <w:tc>
          <w:tcPr>
            <w:tcW w:w="1559" w:type="dxa"/>
            <w:tcBorders>
              <w:top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-4.589</w:t>
            </w:r>
          </w:p>
        </w:tc>
        <w:tc>
          <w:tcPr>
            <w:tcW w:w="1117" w:type="dxa"/>
            <w:tcBorders>
              <w:top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88.2%</w:t>
            </w:r>
          </w:p>
        </w:tc>
        <w:tc>
          <w:tcPr>
            <w:tcW w:w="2239" w:type="dxa"/>
            <w:vMerge w:val="restart"/>
            <w:tcBorders>
              <w:top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sz w:val="20"/>
                <w:szCs w:val="20"/>
                <w:vertAlign w:val="superscript"/>
              </w:rPr>
            </w:pPr>
            <w:r w:rsidRPr="006B1802">
              <w:rPr>
                <w:rFonts w:ascii="Arial Narrow" w:hAnsi="Arial Narrow"/>
                <w:sz w:val="20"/>
                <w:szCs w:val="20"/>
              </w:rPr>
              <w:t xml:space="preserve">34.6% </w:t>
            </w:r>
            <w:r w:rsidRPr="006B1802">
              <w:rPr>
                <w:rFonts w:ascii="Arial Narrow" w:hAnsi="Arial Narrow"/>
                <w:sz w:val="20"/>
                <w:szCs w:val="20"/>
                <w:vertAlign w:val="superscript"/>
              </w:rPr>
              <w:t>b</w:t>
            </w:r>
          </w:p>
        </w:tc>
      </w:tr>
      <w:tr w:rsidR="00F065A2" w:rsidRPr="006B1802" w:rsidTr="00414990">
        <w:trPr>
          <w:trHeight w:val="87"/>
        </w:trPr>
        <w:tc>
          <w:tcPr>
            <w:tcW w:w="1668" w:type="dxa"/>
          </w:tcPr>
          <w:p w:rsidR="00F065A2" w:rsidRPr="006B1802" w:rsidRDefault="00F065A2" w:rsidP="00B93A10">
            <w:pPr>
              <w:pStyle w:val="Tablenormal0"/>
              <w:spacing w:after="0" w:line="240" w:lineRule="auto"/>
              <w:rPr>
                <w:rFonts w:ascii="Arial Narrow" w:hAnsi="Arial Narrow"/>
                <w:sz w:val="20"/>
                <w:szCs w:val="20"/>
              </w:rPr>
            </w:pPr>
            <w:r w:rsidRPr="006B1802">
              <w:rPr>
                <w:rFonts w:ascii="Arial Narrow" w:hAnsi="Arial Narrow"/>
                <w:sz w:val="20"/>
                <w:szCs w:val="20"/>
              </w:rPr>
              <w:t>Baseline CKD 3A</w:t>
            </w:r>
          </w:p>
        </w:tc>
        <w:tc>
          <w:tcPr>
            <w:tcW w:w="377" w:type="dxa"/>
            <w:vAlign w:val="center"/>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206</w:t>
            </w:r>
          </w:p>
        </w:tc>
        <w:tc>
          <w:tcPr>
            <w:tcW w:w="1560" w:type="dxa"/>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-2.061</w:t>
            </w:r>
          </w:p>
        </w:tc>
        <w:tc>
          <w:tcPr>
            <w:tcW w:w="490" w:type="dxa"/>
            <w:vAlign w:val="center"/>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196</w:t>
            </w:r>
          </w:p>
        </w:tc>
        <w:tc>
          <w:tcPr>
            <w:tcW w:w="1559" w:type="dxa"/>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-4.379</w:t>
            </w:r>
          </w:p>
        </w:tc>
        <w:tc>
          <w:tcPr>
            <w:tcW w:w="1117" w:type="dxa"/>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52.9%</w:t>
            </w:r>
          </w:p>
        </w:tc>
        <w:tc>
          <w:tcPr>
            <w:tcW w:w="2239" w:type="dxa"/>
            <w:vMerge/>
            <w:vAlign w:val="bottom"/>
          </w:tcPr>
          <w:p w:rsidR="00F065A2" w:rsidRPr="006B1802" w:rsidRDefault="00F065A2" w:rsidP="00B93A10">
            <w:pPr>
              <w:pStyle w:val="Tablenormal0"/>
              <w:spacing w:after="0" w:line="240" w:lineRule="auto"/>
              <w:jc w:val="center"/>
              <w:rPr>
                <w:rFonts w:ascii="Arial Narrow" w:hAnsi="Arial Narrow"/>
                <w:sz w:val="20"/>
                <w:szCs w:val="20"/>
              </w:rPr>
            </w:pPr>
          </w:p>
        </w:tc>
      </w:tr>
      <w:tr w:rsidR="00F065A2" w:rsidRPr="006B1802" w:rsidTr="00414990">
        <w:trPr>
          <w:trHeight w:val="87"/>
        </w:trPr>
        <w:tc>
          <w:tcPr>
            <w:tcW w:w="1668" w:type="dxa"/>
            <w:tcBorders>
              <w:bottom w:val="single" w:sz="4" w:space="0" w:color="auto"/>
            </w:tcBorders>
          </w:tcPr>
          <w:p w:rsidR="00F065A2" w:rsidRPr="006B1802" w:rsidRDefault="00F065A2" w:rsidP="00B93A10">
            <w:pPr>
              <w:pStyle w:val="Tablenormal0"/>
              <w:spacing w:after="0" w:line="240" w:lineRule="auto"/>
              <w:rPr>
                <w:rFonts w:ascii="Arial Narrow" w:hAnsi="Arial Narrow"/>
                <w:b/>
                <w:color w:val="000000"/>
                <w:sz w:val="20"/>
                <w:szCs w:val="20"/>
                <w:lang w:eastAsia="en-AU"/>
              </w:rPr>
            </w:pPr>
            <w:r w:rsidRPr="006B1802">
              <w:rPr>
                <w:rFonts w:ascii="Arial Narrow" w:hAnsi="Arial Narrow"/>
                <w:sz w:val="20"/>
                <w:szCs w:val="20"/>
              </w:rPr>
              <w:t>Baseline CKD 3B</w:t>
            </w:r>
          </w:p>
        </w:tc>
        <w:tc>
          <w:tcPr>
            <w:tcW w:w="377" w:type="dxa"/>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294</w:t>
            </w:r>
          </w:p>
        </w:tc>
        <w:tc>
          <w:tcPr>
            <w:tcW w:w="1560" w:type="dxa"/>
            <w:tcBorders>
              <w:bottom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-3.344</w:t>
            </w:r>
          </w:p>
        </w:tc>
        <w:tc>
          <w:tcPr>
            <w:tcW w:w="490" w:type="dxa"/>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304</w:t>
            </w:r>
          </w:p>
        </w:tc>
        <w:tc>
          <w:tcPr>
            <w:tcW w:w="1559" w:type="dxa"/>
            <w:tcBorders>
              <w:bottom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-3.982</w:t>
            </w:r>
          </w:p>
        </w:tc>
        <w:tc>
          <w:tcPr>
            <w:tcW w:w="1117" w:type="dxa"/>
            <w:tcBorders>
              <w:bottom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16.0%</w:t>
            </w:r>
          </w:p>
        </w:tc>
        <w:tc>
          <w:tcPr>
            <w:tcW w:w="2239" w:type="dxa"/>
            <w:vMerge/>
            <w:tcBorders>
              <w:bottom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p>
        </w:tc>
      </w:tr>
      <w:tr w:rsidR="00F065A2" w:rsidRPr="006B1802" w:rsidTr="00414990">
        <w:trPr>
          <w:trHeight w:val="87"/>
        </w:trPr>
        <w:tc>
          <w:tcPr>
            <w:tcW w:w="1668" w:type="dxa"/>
            <w:tcBorders>
              <w:bottom w:val="single" w:sz="4" w:space="0" w:color="auto"/>
            </w:tcBorders>
          </w:tcPr>
          <w:p w:rsidR="00F065A2" w:rsidRPr="006B1802" w:rsidRDefault="00F065A2" w:rsidP="00B93A10">
            <w:pPr>
              <w:pStyle w:val="Tablenormal0"/>
              <w:spacing w:after="0" w:line="240" w:lineRule="auto"/>
              <w:rPr>
                <w:rFonts w:ascii="Arial Narrow" w:hAnsi="Arial Narrow"/>
                <w:b/>
                <w:color w:val="000000"/>
                <w:sz w:val="20"/>
                <w:szCs w:val="20"/>
                <w:lang w:eastAsia="en-AU"/>
              </w:rPr>
            </w:pPr>
            <w:r w:rsidRPr="006B1802">
              <w:rPr>
                <w:rFonts w:ascii="Arial Narrow" w:hAnsi="Arial Narrow"/>
                <w:sz w:val="20"/>
                <w:szCs w:val="20"/>
              </w:rPr>
              <w:t>Baseline CKD 4</w:t>
            </w:r>
          </w:p>
        </w:tc>
        <w:tc>
          <w:tcPr>
            <w:tcW w:w="377" w:type="dxa"/>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137</w:t>
            </w:r>
          </w:p>
        </w:tc>
        <w:tc>
          <w:tcPr>
            <w:tcW w:w="1560" w:type="dxa"/>
            <w:tcBorders>
              <w:bottom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-4.041</w:t>
            </w:r>
          </w:p>
        </w:tc>
        <w:tc>
          <w:tcPr>
            <w:tcW w:w="490" w:type="dxa"/>
            <w:tcBorders>
              <w:bottom w:val="single" w:sz="4" w:space="0" w:color="auto"/>
            </w:tcBorders>
            <w:vAlign w:val="center"/>
          </w:tcPr>
          <w:p w:rsidR="00F065A2" w:rsidRPr="006B1802" w:rsidRDefault="00F065A2" w:rsidP="00B93A10">
            <w:pPr>
              <w:pStyle w:val="Tablenormal0"/>
              <w:spacing w:after="0" w:line="240" w:lineRule="auto"/>
              <w:jc w:val="center"/>
              <w:rPr>
                <w:rFonts w:ascii="Arial Narrow" w:hAnsi="Arial Narrow"/>
                <w:color w:val="000000"/>
                <w:sz w:val="20"/>
                <w:szCs w:val="20"/>
                <w:lang w:eastAsia="en-AU"/>
              </w:rPr>
            </w:pPr>
            <w:r w:rsidRPr="006B1802">
              <w:rPr>
                <w:rFonts w:ascii="Arial Narrow" w:hAnsi="Arial Narrow"/>
                <w:color w:val="000000"/>
                <w:sz w:val="20"/>
                <w:szCs w:val="20"/>
                <w:lang w:eastAsia="en-AU"/>
              </w:rPr>
              <w:t>125</w:t>
            </w:r>
          </w:p>
        </w:tc>
        <w:tc>
          <w:tcPr>
            <w:tcW w:w="1559" w:type="dxa"/>
            <w:tcBorders>
              <w:bottom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-4.590</w:t>
            </w:r>
          </w:p>
        </w:tc>
        <w:tc>
          <w:tcPr>
            <w:tcW w:w="1117" w:type="dxa"/>
            <w:tcBorders>
              <w:bottom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12.0%</w:t>
            </w:r>
          </w:p>
        </w:tc>
        <w:tc>
          <w:tcPr>
            <w:tcW w:w="2239" w:type="dxa"/>
            <w:tcBorders>
              <w:bottom w:val="single" w:sz="4" w:space="0" w:color="auto"/>
            </w:tcBorders>
            <w:vAlign w:val="bottom"/>
          </w:tcPr>
          <w:p w:rsidR="00F065A2" w:rsidRPr="006B1802" w:rsidRDefault="00F065A2" w:rsidP="00B93A10">
            <w:pPr>
              <w:pStyle w:val="Tablenormal0"/>
              <w:spacing w:after="0" w:line="240" w:lineRule="auto"/>
              <w:jc w:val="center"/>
              <w:rPr>
                <w:rFonts w:ascii="Arial Narrow" w:hAnsi="Arial Narrow"/>
                <w:sz w:val="20"/>
                <w:szCs w:val="20"/>
              </w:rPr>
            </w:pPr>
            <w:r w:rsidRPr="006B1802">
              <w:rPr>
                <w:rFonts w:ascii="Arial Narrow" w:hAnsi="Arial Narrow"/>
                <w:sz w:val="20"/>
                <w:szCs w:val="20"/>
              </w:rPr>
              <w:t>NA</w:t>
            </w:r>
          </w:p>
        </w:tc>
      </w:tr>
    </w:tbl>
    <w:p w:rsidR="00F065A2" w:rsidRPr="006B1802" w:rsidRDefault="00F065A2" w:rsidP="00B93A10">
      <w:pPr>
        <w:pStyle w:val="TableFooter0"/>
        <w:spacing w:after="0"/>
        <w:rPr>
          <w:rFonts w:ascii="Arial Narrow" w:hAnsi="Arial Narrow"/>
          <w:sz w:val="18"/>
          <w:szCs w:val="18"/>
        </w:rPr>
      </w:pPr>
      <w:proofErr w:type="gramStart"/>
      <w:r w:rsidRPr="006B1802">
        <w:rPr>
          <w:rFonts w:ascii="Arial Narrow" w:hAnsi="Arial Narrow"/>
          <w:sz w:val="18"/>
          <w:szCs w:val="18"/>
          <w:vertAlign w:val="superscript"/>
        </w:rPr>
        <w:t>a</w:t>
      </w:r>
      <w:proofErr w:type="gramEnd"/>
      <w:r w:rsidRPr="006B1802">
        <w:rPr>
          <w:rFonts w:ascii="Arial Narrow" w:hAnsi="Arial Narrow"/>
          <w:sz w:val="18"/>
          <w:szCs w:val="18"/>
        </w:rPr>
        <w:t xml:space="preserve"> ([29.1% × [465 + 224]] + [31.0% × [163+84]]) / (465 + 224 + 163 + 84).</w:t>
      </w:r>
    </w:p>
    <w:p w:rsidR="00F065A2" w:rsidRPr="006B1802" w:rsidRDefault="00F065A2" w:rsidP="00B93A10">
      <w:pPr>
        <w:pStyle w:val="TableFooter0"/>
        <w:spacing w:after="0"/>
        <w:rPr>
          <w:rFonts w:ascii="Arial Narrow" w:hAnsi="Arial Narrow"/>
          <w:sz w:val="18"/>
          <w:szCs w:val="18"/>
        </w:rPr>
      </w:pPr>
      <w:proofErr w:type="gramStart"/>
      <w:r w:rsidRPr="006B1802">
        <w:rPr>
          <w:rFonts w:ascii="Arial Narrow" w:hAnsi="Arial Narrow"/>
          <w:sz w:val="18"/>
          <w:szCs w:val="18"/>
          <w:vertAlign w:val="superscript"/>
        </w:rPr>
        <w:t>b</w:t>
      </w:r>
      <w:proofErr w:type="gramEnd"/>
      <w:r w:rsidRPr="006B1802">
        <w:rPr>
          <w:rFonts w:ascii="Arial Narrow" w:hAnsi="Arial Narrow"/>
          <w:sz w:val="18"/>
          <w:szCs w:val="18"/>
        </w:rPr>
        <w:t xml:space="preserve"> ([88.2% × [31 + 38]] + [30.9% × [206 + 196 + 294 + 304]]) / (31 + 38 + 206 + 196 + 294 + 304). Note that 30.9% was the weighted average of 52.9% and 16.0%.</w:t>
      </w:r>
    </w:p>
    <w:p w:rsidR="00F065A2" w:rsidRPr="006B1802" w:rsidRDefault="00F065A2" w:rsidP="00B93A10">
      <w:pPr>
        <w:pStyle w:val="TableFooter0"/>
        <w:spacing w:after="0"/>
        <w:rPr>
          <w:rFonts w:ascii="Arial Narrow" w:hAnsi="Arial Narrow"/>
          <w:sz w:val="18"/>
          <w:szCs w:val="18"/>
        </w:rPr>
      </w:pPr>
      <w:proofErr w:type="gramStart"/>
      <w:r w:rsidRPr="006B1802">
        <w:rPr>
          <w:rFonts w:ascii="Arial Narrow" w:hAnsi="Arial Narrow"/>
          <w:sz w:val="18"/>
          <w:szCs w:val="18"/>
          <w:vertAlign w:val="superscript"/>
        </w:rPr>
        <w:t>c</w:t>
      </w:r>
      <w:proofErr w:type="gramEnd"/>
      <w:r w:rsidRPr="006B1802">
        <w:rPr>
          <w:rFonts w:ascii="Arial Narrow" w:hAnsi="Arial Narrow"/>
          <w:sz w:val="18"/>
          <w:szCs w:val="18"/>
        </w:rPr>
        <w:t xml:space="preserve"> Based on weighted ANCOVA method (refer to Table 5 of the March 2018 PBAC Minutes). The result</w:t>
      </w:r>
      <w:r w:rsidR="006A4D78">
        <w:rPr>
          <w:rFonts w:ascii="Arial Narrow" w:hAnsi="Arial Narrow"/>
          <w:sz w:val="18"/>
          <w:szCs w:val="18"/>
        </w:rPr>
        <w:t xml:space="preserve"> using the linear mixed effect </w:t>
      </w:r>
      <w:r w:rsidRPr="006B1802">
        <w:rPr>
          <w:rFonts w:ascii="Arial Narrow" w:hAnsi="Arial Narrow"/>
          <w:sz w:val="18"/>
          <w:szCs w:val="18"/>
        </w:rPr>
        <w:t xml:space="preserve">model was 26.4% (refer to Table 7 of the March 2018 PBAC Minutes). </w:t>
      </w:r>
    </w:p>
    <w:p w:rsidR="00F065A2" w:rsidRPr="006B1802" w:rsidRDefault="00F065A2" w:rsidP="00B93A10">
      <w:pPr>
        <w:pStyle w:val="TableFooter0"/>
        <w:spacing w:after="0"/>
        <w:rPr>
          <w:rFonts w:ascii="Arial Narrow" w:hAnsi="Arial Narrow"/>
          <w:sz w:val="18"/>
          <w:szCs w:val="18"/>
        </w:rPr>
      </w:pPr>
      <w:r w:rsidRPr="006B1802">
        <w:rPr>
          <w:rFonts w:ascii="Arial Narrow" w:hAnsi="Arial Narrow"/>
          <w:sz w:val="18"/>
          <w:szCs w:val="18"/>
        </w:rPr>
        <w:t>Abbreviations: CKD, chronic kidney disease; eGFR, estimated glomerular filtration rate; NA, not applicable.</w:t>
      </w:r>
    </w:p>
    <w:p w:rsidR="00F065A2" w:rsidRPr="006B1802" w:rsidRDefault="00F065A2" w:rsidP="00B93A10">
      <w:pPr>
        <w:pStyle w:val="TableFooter0"/>
        <w:spacing w:afterLines="160" w:after="384"/>
        <w:rPr>
          <w:rFonts w:ascii="Arial Narrow" w:hAnsi="Arial Narrow"/>
          <w:sz w:val="18"/>
          <w:szCs w:val="18"/>
        </w:rPr>
      </w:pPr>
      <w:r w:rsidRPr="006B1802">
        <w:rPr>
          <w:rFonts w:ascii="Arial Narrow" w:hAnsi="Arial Narrow"/>
          <w:sz w:val="18"/>
          <w:szCs w:val="18"/>
        </w:rPr>
        <w:t xml:space="preserve">Source: Tables 5 and 7 of the Tolvaptan Minutes March 2018, Table 3.4.1, p 7.06.COM.69, of the March 2018 commentary </w:t>
      </w:r>
    </w:p>
    <w:p w:rsidR="00F065A2" w:rsidRPr="006B1802" w:rsidRDefault="00932294" w:rsidP="00B93A10">
      <w:pPr>
        <w:numPr>
          <w:ilvl w:val="1"/>
          <w:numId w:val="5"/>
        </w:numPr>
        <w:jc w:val="both"/>
        <w:rPr>
          <w:rFonts w:asciiTheme="minorHAnsi" w:hAnsiTheme="minorHAnsi"/>
        </w:rPr>
      </w:pPr>
      <w:r w:rsidRPr="006B1802">
        <w:rPr>
          <w:rFonts w:asciiTheme="minorHAnsi" w:hAnsiTheme="minorHAnsi"/>
        </w:rPr>
        <w:t>D</w:t>
      </w:r>
      <w:r w:rsidR="00F065A2" w:rsidRPr="006B1802">
        <w:rPr>
          <w:rFonts w:asciiTheme="minorHAnsi" w:hAnsiTheme="minorHAnsi"/>
        </w:rPr>
        <w:t>uring preparation of the minor overview it was noted that the revised base case was not conservative because:</w:t>
      </w:r>
    </w:p>
    <w:p w:rsidR="00F065A2" w:rsidRPr="006B1802" w:rsidRDefault="00F065A2" w:rsidP="00B93A10">
      <w:pPr>
        <w:pStyle w:val="ListParagraph"/>
        <w:widowControl/>
        <w:numPr>
          <w:ilvl w:val="0"/>
          <w:numId w:val="22"/>
        </w:numPr>
        <w:ind w:left="1134" w:hanging="425"/>
        <w:rPr>
          <w:rFonts w:asciiTheme="minorHAnsi" w:hAnsiTheme="minorHAnsi"/>
          <w:sz w:val="24"/>
          <w:szCs w:val="24"/>
        </w:rPr>
      </w:pPr>
      <w:r w:rsidRPr="006B1802">
        <w:rPr>
          <w:rFonts w:asciiTheme="minorHAnsi" w:hAnsiTheme="minorHAnsi"/>
          <w:sz w:val="24"/>
          <w:szCs w:val="24"/>
        </w:rPr>
        <w:t xml:space="preserve">The tolvaptan treatment effect applied in the economic model was unchanged despite the March 2018 PBAC considering that “the change in eGFR was at best very small, and quantifying the subsequent impact on ESKD would be very uncertain” (Paragraph 7.9, Tolvaptan </w:t>
      </w:r>
      <w:r w:rsidR="00621175">
        <w:rPr>
          <w:rFonts w:asciiTheme="minorHAnsi" w:hAnsiTheme="minorHAnsi"/>
          <w:sz w:val="24"/>
          <w:szCs w:val="24"/>
        </w:rPr>
        <w:t>PSD</w:t>
      </w:r>
      <w:r w:rsidRPr="006B1802">
        <w:rPr>
          <w:rFonts w:asciiTheme="minorHAnsi" w:hAnsiTheme="minorHAnsi"/>
          <w:sz w:val="24"/>
          <w:szCs w:val="24"/>
        </w:rPr>
        <w:t xml:space="preserve"> March 2018). As such, the minor resubmission applied a relative reduction in eGFR decline of 29.6% in the TEMPO 3:4 sub-population and 34.6% in the REPRISE sub-population (unchanged from the March 2018 submission). This resulted in tolvaptan treatment delaying progression to ESRD by 2.1 years (the model </w:t>
      </w:r>
      <w:r w:rsidR="00AB35BC" w:rsidRPr="006B1802">
        <w:rPr>
          <w:rFonts w:asciiTheme="minorHAnsi" w:hAnsiTheme="minorHAnsi"/>
          <w:sz w:val="24"/>
          <w:szCs w:val="24"/>
        </w:rPr>
        <w:t>estimated</w:t>
      </w:r>
      <w:r w:rsidRPr="006B1802">
        <w:rPr>
          <w:rFonts w:asciiTheme="minorHAnsi" w:hAnsiTheme="minorHAnsi"/>
          <w:sz w:val="24"/>
          <w:szCs w:val="24"/>
        </w:rPr>
        <w:t xml:space="preserve"> that progression to ESKD would take 12.4 versus 10.3 years in the tolvaptan and placebo arms respectively for the TEMPO 3:4 sub-population, and 8.2 versus 6.1 years, in the tolvaptan and placebo arms respectively for the REPRISE sub-population). </w:t>
      </w:r>
    </w:p>
    <w:p w:rsidR="00F065A2" w:rsidRPr="006B1802" w:rsidRDefault="00F065A2" w:rsidP="00B93A10">
      <w:pPr>
        <w:pStyle w:val="ListParagraph"/>
        <w:widowControl/>
        <w:numPr>
          <w:ilvl w:val="0"/>
          <w:numId w:val="22"/>
        </w:numPr>
        <w:ind w:left="1134" w:hanging="425"/>
        <w:rPr>
          <w:rFonts w:asciiTheme="minorHAnsi" w:hAnsiTheme="minorHAnsi"/>
          <w:sz w:val="24"/>
          <w:szCs w:val="24"/>
        </w:rPr>
      </w:pPr>
      <w:r w:rsidRPr="006B1802">
        <w:rPr>
          <w:rFonts w:asciiTheme="minorHAnsi" w:hAnsiTheme="minorHAnsi"/>
          <w:sz w:val="24"/>
          <w:szCs w:val="24"/>
        </w:rPr>
        <w:t>Sub-populations from the trials were used, rather than the ITT (unchanged from the March 2018 submission), which was not conservative as the effect size was smaller and the rate of disease progression was slower in the ITT populations. The sub-populations were based on individual patient data from the TEMPO 3:4 and REPRISE placebo arms, filtered post-hoc by the eligibility criteria of the  restriction</w:t>
      </w:r>
      <w:r w:rsidR="0080214C" w:rsidRPr="006B1802">
        <w:rPr>
          <w:rFonts w:asciiTheme="minorHAnsi" w:hAnsiTheme="minorHAnsi"/>
          <w:sz w:val="24"/>
          <w:szCs w:val="24"/>
        </w:rPr>
        <w:t xml:space="preserve"> requested in the March 2018 submission</w:t>
      </w:r>
      <w:r w:rsidRPr="006B1802">
        <w:rPr>
          <w:rFonts w:asciiTheme="minorHAnsi" w:hAnsiTheme="minorHAnsi"/>
          <w:sz w:val="24"/>
          <w:szCs w:val="24"/>
        </w:rPr>
        <w:t>:</w:t>
      </w:r>
    </w:p>
    <w:p w:rsidR="00F065A2" w:rsidRPr="006B1802" w:rsidRDefault="00F065A2" w:rsidP="00B93A10">
      <w:pPr>
        <w:pStyle w:val="ListParagraph"/>
        <w:widowControl/>
        <w:numPr>
          <w:ilvl w:val="1"/>
          <w:numId w:val="23"/>
        </w:numPr>
        <w:rPr>
          <w:rFonts w:asciiTheme="minorHAnsi" w:hAnsiTheme="minorHAnsi"/>
          <w:sz w:val="24"/>
          <w:szCs w:val="24"/>
        </w:rPr>
      </w:pPr>
      <w:r w:rsidRPr="006B1802">
        <w:rPr>
          <w:rFonts w:asciiTheme="minorHAnsi" w:hAnsiTheme="minorHAnsi"/>
          <w:sz w:val="24"/>
          <w:szCs w:val="24"/>
        </w:rPr>
        <w:lastRenderedPageBreak/>
        <w:t>PBS sub-population A: based on TEMPO 3:4 data filtered for age: 18-50 years; kidney function: eGFR &lt;90 mL/min/1.73 m</w:t>
      </w:r>
      <w:r w:rsidRPr="006B1802">
        <w:rPr>
          <w:rFonts w:asciiTheme="minorHAnsi" w:hAnsiTheme="minorHAnsi"/>
          <w:sz w:val="24"/>
          <w:szCs w:val="24"/>
          <w:vertAlign w:val="superscript"/>
        </w:rPr>
        <w:t>2</w:t>
      </w:r>
      <w:r w:rsidRPr="006B1802">
        <w:rPr>
          <w:rFonts w:asciiTheme="minorHAnsi" w:hAnsiTheme="minorHAnsi"/>
          <w:sz w:val="24"/>
          <w:szCs w:val="24"/>
        </w:rPr>
        <w:t>; and rapidly progressing disease: eGFR decline ≥2.5 mL/min/1.73 m</w:t>
      </w:r>
      <w:r w:rsidRPr="006B1802">
        <w:rPr>
          <w:rFonts w:asciiTheme="minorHAnsi" w:hAnsiTheme="minorHAnsi"/>
          <w:sz w:val="24"/>
          <w:szCs w:val="24"/>
          <w:vertAlign w:val="superscript"/>
        </w:rPr>
        <w:t>2</w:t>
      </w:r>
      <w:r w:rsidRPr="006B1802">
        <w:rPr>
          <w:rFonts w:asciiTheme="minorHAnsi" w:hAnsiTheme="minorHAnsi"/>
          <w:sz w:val="24"/>
          <w:szCs w:val="24"/>
        </w:rPr>
        <w:t>/year.</w:t>
      </w:r>
    </w:p>
    <w:p w:rsidR="00F065A2" w:rsidRPr="006B1802" w:rsidRDefault="00F065A2" w:rsidP="00B93A10">
      <w:pPr>
        <w:pStyle w:val="ListParagraph"/>
        <w:widowControl/>
        <w:numPr>
          <w:ilvl w:val="1"/>
          <w:numId w:val="23"/>
        </w:numPr>
        <w:rPr>
          <w:rFonts w:asciiTheme="minorHAnsi" w:hAnsiTheme="minorHAnsi"/>
          <w:sz w:val="24"/>
          <w:szCs w:val="24"/>
        </w:rPr>
      </w:pPr>
      <w:r w:rsidRPr="006B1802">
        <w:rPr>
          <w:rFonts w:asciiTheme="minorHAnsi" w:hAnsiTheme="minorHAnsi"/>
          <w:sz w:val="24"/>
          <w:szCs w:val="24"/>
        </w:rPr>
        <w:t>PBS sub-population B: based on REPRISE data filtered for (</w:t>
      </w:r>
      <w:proofErr w:type="spellStart"/>
      <w:r w:rsidRPr="006B1802">
        <w:rPr>
          <w:rFonts w:asciiTheme="minorHAnsi" w:hAnsiTheme="minorHAnsi"/>
          <w:sz w:val="24"/>
          <w:szCs w:val="24"/>
        </w:rPr>
        <w:t>i</w:t>
      </w:r>
      <w:proofErr w:type="spellEnd"/>
      <w:r w:rsidRPr="006B1802">
        <w:rPr>
          <w:rFonts w:asciiTheme="minorHAnsi" w:hAnsiTheme="minorHAnsi"/>
          <w:sz w:val="24"/>
          <w:szCs w:val="24"/>
        </w:rPr>
        <w:t>) age: 18-55 years; kidney function: eGFR 30-65 mL/min/1.73 m</w:t>
      </w:r>
      <w:r w:rsidRPr="006B1802">
        <w:rPr>
          <w:rFonts w:asciiTheme="minorHAnsi" w:hAnsiTheme="minorHAnsi"/>
          <w:sz w:val="24"/>
          <w:szCs w:val="24"/>
          <w:vertAlign w:val="superscript"/>
        </w:rPr>
        <w:t>2</w:t>
      </w:r>
      <w:r w:rsidRPr="006B1802">
        <w:rPr>
          <w:rFonts w:asciiTheme="minorHAnsi" w:hAnsiTheme="minorHAnsi"/>
          <w:sz w:val="24"/>
          <w:szCs w:val="24"/>
        </w:rPr>
        <w:t>; and rapidly progressing disease: eGFR decline ≥2.5 mL/min/1.73 m</w:t>
      </w:r>
      <w:r w:rsidRPr="006B1802">
        <w:rPr>
          <w:rFonts w:asciiTheme="minorHAnsi" w:hAnsiTheme="minorHAnsi"/>
          <w:sz w:val="24"/>
          <w:szCs w:val="24"/>
          <w:vertAlign w:val="superscript"/>
        </w:rPr>
        <w:t>2</w:t>
      </w:r>
      <w:r w:rsidRPr="006B1802">
        <w:rPr>
          <w:rFonts w:asciiTheme="minorHAnsi" w:hAnsiTheme="minorHAnsi"/>
          <w:sz w:val="24"/>
          <w:szCs w:val="24"/>
        </w:rPr>
        <w:t>/year; OR (ii) age: 56-65 years; kidney function: eGFR 30-44 mL/min/1.73 m</w:t>
      </w:r>
      <w:r w:rsidRPr="006B1802">
        <w:rPr>
          <w:rFonts w:asciiTheme="minorHAnsi" w:hAnsiTheme="minorHAnsi"/>
          <w:sz w:val="24"/>
          <w:szCs w:val="24"/>
          <w:vertAlign w:val="superscript"/>
        </w:rPr>
        <w:t>2</w:t>
      </w:r>
      <w:r w:rsidRPr="006B1802">
        <w:rPr>
          <w:rFonts w:asciiTheme="minorHAnsi" w:hAnsiTheme="minorHAnsi"/>
          <w:sz w:val="24"/>
          <w:szCs w:val="24"/>
        </w:rPr>
        <w:t>; and rapidly progressing disease: eGFR decline ≥2.5 mL/min/1.73 m</w:t>
      </w:r>
      <w:r w:rsidRPr="006B1802">
        <w:rPr>
          <w:rFonts w:asciiTheme="minorHAnsi" w:hAnsiTheme="minorHAnsi"/>
          <w:sz w:val="24"/>
          <w:szCs w:val="24"/>
          <w:vertAlign w:val="superscript"/>
        </w:rPr>
        <w:t>2</w:t>
      </w:r>
      <w:r w:rsidRPr="006B1802">
        <w:rPr>
          <w:rFonts w:asciiTheme="minorHAnsi" w:hAnsiTheme="minorHAnsi"/>
          <w:sz w:val="24"/>
          <w:szCs w:val="24"/>
        </w:rPr>
        <w:t>/year.</w:t>
      </w:r>
    </w:p>
    <w:p w:rsidR="009A4AF8" w:rsidRPr="006B1802" w:rsidRDefault="00F065A2" w:rsidP="00B93A10">
      <w:pPr>
        <w:pStyle w:val="ListParagraph"/>
        <w:widowControl/>
        <w:numPr>
          <w:ilvl w:val="0"/>
          <w:numId w:val="22"/>
        </w:numPr>
        <w:ind w:left="1134" w:hanging="425"/>
        <w:contextualSpacing w:val="0"/>
        <w:rPr>
          <w:rFonts w:asciiTheme="minorHAnsi" w:hAnsiTheme="minorHAnsi"/>
          <w:sz w:val="24"/>
          <w:szCs w:val="24"/>
        </w:rPr>
      </w:pPr>
      <w:r w:rsidRPr="006B1802">
        <w:rPr>
          <w:rFonts w:asciiTheme="minorHAnsi" w:hAnsiTheme="minorHAnsi"/>
          <w:sz w:val="24"/>
          <w:szCs w:val="24"/>
        </w:rPr>
        <w:t>As part of using sub-populations (rather than the ITT), only patients with rapid disease progression were included in the model (annualised eGFR decline of ≥2.5 mL/min/1.73 m</w:t>
      </w:r>
      <w:r w:rsidRPr="006B1802">
        <w:rPr>
          <w:rFonts w:asciiTheme="minorHAnsi" w:hAnsiTheme="minorHAnsi"/>
          <w:sz w:val="24"/>
          <w:szCs w:val="24"/>
          <w:vertAlign w:val="superscript"/>
        </w:rPr>
        <w:t>2</w:t>
      </w:r>
      <w:r w:rsidRPr="006B1802">
        <w:rPr>
          <w:rFonts w:asciiTheme="minorHAnsi" w:hAnsiTheme="minorHAnsi"/>
          <w:sz w:val="24"/>
          <w:szCs w:val="24"/>
        </w:rPr>
        <w:t>/year over the maximum period of available data for each patient). This is likely to have excluded patients who would qualify for treatment under the requested restriction which specifies ‘rapidly progressing disease’ without this specific definition. The resubmission acknowledged that the modelled population was not aligned with the proposed PBS restriction, but considered that this issue was addressed through the proposed RSA with a hard financial cap based on the resubmission’s estimate of 15% of the ADPKD population. The resubmission stated that, “given that half the ADPKD will experience end stage kidney disease by the age of 60, the population being funded on the PBS does have rapid disease progression”.</w:t>
      </w:r>
    </w:p>
    <w:p w:rsidR="00525DE6" w:rsidRPr="006B1802" w:rsidRDefault="00525DE6" w:rsidP="00B93A10">
      <w:pPr>
        <w:numPr>
          <w:ilvl w:val="1"/>
          <w:numId w:val="5"/>
        </w:numPr>
        <w:spacing w:after="120"/>
        <w:jc w:val="both"/>
        <w:rPr>
          <w:rFonts w:asciiTheme="minorHAnsi" w:hAnsiTheme="minorHAnsi"/>
        </w:rPr>
      </w:pPr>
      <w:r w:rsidRPr="006B1802">
        <w:rPr>
          <w:rFonts w:asciiTheme="minorHAnsi" w:hAnsiTheme="minorHAnsi"/>
        </w:rPr>
        <w:t xml:space="preserve">Further, the structure of the economic model may not have been </w:t>
      </w:r>
      <w:r w:rsidR="00AB35BC" w:rsidRPr="006B1802">
        <w:rPr>
          <w:rFonts w:asciiTheme="minorHAnsi" w:hAnsiTheme="minorHAnsi"/>
        </w:rPr>
        <w:t>appropriate</w:t>
      </w:r>
      <w:r w:rsidRPr="006B1802">
        <w:rPr>
          <w:rFonts w:asciiTheme="minorHAnsi" w:hAnsiTheme="minorHAnsi"/>
        </w:rPr>
        <w:t xml:space="preserve"> because:</w:t>
      </w:r>
    </w:p>
    <w:p w:rsidR="00525DE6" w:rsidRPr="006B1802" w:rsidRDefault="00525DE6" w:rsidP="00B93A10">
      <w:pPr>
        <w:pStyle w:val="ListParagraph"/>
        <w:widowControl/>
        <w:numPr>
          <w:ilvl w:val="0"/>
          <w:numId w:val="22"/>
        </w:numPr>
        <w:ind w:left="1134" w:hanging="425"/>
        <w:rPr>
          <w:rFonts w:asciiTheme="minorHAnsi" w:hAnsiTheme="minorHAnsi"/>
          <w:sz w:val="24"/>
          <w:szCs w:val="24"/>
        </w:rPr>
      </w:pPr>
      <w:r w:rsidRPr="006B1802">
        <w:rPr>
          <w:rFonts w:asciiTheme="minorHAnsi" w:hAnsiTheme="minorHAnsi"/>
          <w:sz w:val="24"/>
          <w:szCs w:val="24"/>
        </w:rPr>
        <w:t>The model assumed that the tolvaptan treatment effect would continue unchanged for the entire duration that a patient remains on treatment. That is, the reduction in eGFR decline of 29.6% or 34.6% (which was based on 1-3 years of clinical trial follow-up from TEMPO 3:4 or REPRISE, respectively), was assumed to continue for up to 40 years for some individuals in the TEMPO base case and up to 26 years in the REPRISE base case. There are limited long term data to support the continuing treatment effect over time. To address this, the minor resubmission provided a sensitivity analysis wherein the tolvaptan treatment effect was reduced (halved) after 5 or 10 years of treatment (discussed further below).</w:t>
      </w:r>
    </w:p>
    <w:p w:rsidR="00525DE6" w:rsidRPr="006B1802" w:rsidRDefault="00525DE6" w:rsidP="00B93A10">
      <w:pPr>
        <w:pStyle w:val="ListParagraph"/>
        <w:widowControl/>
        <w:numPr>
          <w:ilvl w:val="0"/>
          <w:numId w:val="22"/>
        </w:numPr>
        <w:ind w:left="1134" w:hanging="425"/>
        <w:rPr>
          <w:rFonts w:asciiTheme="minorHAnsi" w:hAnsiTheme="minorHAnsi"/>
          <w:sz w:val="24"/>
          <w:szCs w:val="24"/>
        </w:rPr>
      </w:pPr>
      <w:r w:rsidRPr="006B1802">
        <w:rPr>
          <w:rFonts w:asciiTheme="minorHAnsi" w:hAnsiTheme="minorHAnsi"/>
          <w:sz w:val="24"/>
          <w:szCs w:val="24"/>
        </w:rPr>
        <w:t>The model did not account for the acute hemodynamic effects associated with tolvaptan treatment (5-10% reduction in eGFR). The resubmission stated that the price reduction (16.7%) “</w:t>
      </w:r>
      <w:proofErr w:type="gramStart"/>
      <w:r w:rsidRPr="006B1802">
        <w:rPr>
          <w:rFonts w:asciiTheme="minorHAnsi" w:hAnsiTheme="minorHAnsi"/>
          <w:sz w:val="24"/>
          <w:szCs w:val="24"/>
        </w:rPr>
        <w:t>should</w:t>
      </w:r>
      <w:proofErr w:type="gramEnd"/>
      <w:r w:rsidRPr="006B1802">
        <w:rPr>
          <w:rFonts w:asciiTheme="minorHAnsi" w:hAnsiTheme="minorHAnsi"/>
          <w:sz w:val="24"/>
          <w:szCs w:val="24"/>
        </w:rPr>
        <w:t xml:space="preserve"> account for any residual uncertainty associated with any potential acute hemodynamic effects”. No other adjustments were made in the economic analysis to </w:t>
      </w:r>
      <w:r w:rsidR="0008323D" w:rsidRPr="006B1802">
        <w:rPr>
          <w:rFonts w:asciiTheme="minorHAnsi" w:hAnsiTheme="minorHAnsi"/>
          <w:sz w:val="24"/>
          <w:szCs w:val="24"/>
        </w:rPr>
        <w:t xml:space="preserve">account </w:t>
      </w:r>
      <w:r w:rsidRPr="006B1802">
        <w:rPr>
          <w:rFonts w:asciiTheme="minorHAnsi" w:hAnsiTheme="minorHAnsi"/>
          <w:sz w:val="24"/>
          <w:szCs w:val="24"/>
        </w:rPr>
        <w:t>for this.</w:t>
      </w:r>
    </w:p>
    <w:p w:rsidR="00525DE6" w:rsidRPr="006B1802" w:rsidRDefault="00525DE6" w:rsidP="00B93A10">
      <w:pPr>
        <w:pStyle w:val="ListParagraph"/>
        <w:widowControl/>
        <w:numPr>
          <w:ilvl w:val="0"/>
          <w:numId w:val="22"/>
        </w:numPr>
        <w:ind w:left="1134" w:hanging="425"/>
        <w:rPr>
          <w:rFonts w:asciiTheme="minorHAnsi" w:hAnsiTheme="minorHAnsi"/>
          <w:sz w:val="24"/>
          <w:szCs w:val="24"/>
        </w:rPr>
      </w:pPr>
      <w:r w:rsidRPr="006B1802">
        <w:rPr>
          <w:rFonts w:asciiTheme="minorHAnsi" w:hAnsiTheme="minorHAnsi"/>
          <w:sz w:val="24"/>
          <w:szCs w:val="24"/>
        </w:rPr>
        <w:t>The tolvaptan treatment effect was applied based on the weighted slope reductions across the health states CK</w:t>
      </w:r>
      <w:r w:rsidR="004D6F76" w:rsidRPr="006B1802">
        <w:rPr>
          <w:rFonts w:asciiTheme="minorHAnsi" w:hAnsiTheme="minorHAnsi"/>
          <w:sz w:val="24"/>
          <w:szCs w:val="24"/>
        </w:rPr>
        <w:t xml:space="preserve">D </w:t>
      </w:r>
      <w:r w:rsidRPr="006B1802">
        <w:rPr>
          <w:rFonts w:asciiTheme="minorHAnsi" w:hAnsiTheme="minorHAnsi"/>
          <w:sz w:val="24"/>
          <w:szCs w:val="24"/>
        </w:rPr>
        <w:t>2 to CK</w:t>
      </w:r>
      <w:r w:rsidR="004D6F76" w:rsidRPr="006B1802">
        <w:rPr>
          <w:rFonts w:asciiTheme="minorHAnsi" w:hAnsiTheme="minorHAnsi"/>
          <w:sz w:val="24"/>
          <w:szCs w:val="24"/>
        </w:rPr>
        <w:t xml:space="preserve">D </w:t>
      </w:r>
      <w:r w:rsidRPr="006B1802">
        <w:rPr>
          <w:rFonts w:asciiTheme="minorHAnsi" w:hAnsiTheme="minorHAnsi"/>
          <w:sz w:val="24"/>
          <w:szCs w:val="24"/>
        </w:rPr>
        <w:t>4 (based on efficacy in states CK</w:t>
      </w:r>
      <w:r w:rsidR="004D6F76" w:rsidRPr="006B1802">
        <w:rPr>
          <w:rFonts w:asciiTheme="minorHAnsi" w:hAnsiTheme="minorHAnsi"/>
          <w:sz w:val="24"/>
          <w:szCs w:val="24"/>
        </w:rPr>
        <w:t xml:space="preserve">D </w:t>
      </w:r>
      <w:r w:rsidRPr="006B1802">
        <w:rPr>
          <w:rFonts w:asciiTheme="minorHAnsi" w:hAnsiTheme="minorHAnsi"/>
          <w:sz w:val="24"/>
          <w:szCs w:val="24"/>
        </w:rPr>
        <w:t>2 and CK</w:t>
      </w:r>
      <w:r w:rsidR="004D6F76" w:rsidRPr="006B1802">
        <w:rPr>
          <w:rFonts w:asciiTheme="minorHAnsi" w:hAnsiTheme="minorHAnsi"/>
          <w:sz w:val="24"/>
          <w:szCs w:val="24"/>
        </w:rPr>
        <w:t xml:space="preserve">D </w:t>
      </w:r>
      <w:r w:rsidRPr="006B1802">
        <w:rPr>
          <w:rFonts w:asciiTheme="minorHAnsi" w:hAnsiTheme="minorHAnsi"/>
          <w:sz w:val="24"/>
          <w:szCs w:val="24"/>
        </w:rPr>
        <w:t>3) rather than applying the actual slope reduction in each of the relevant stages of kidney disease. This was not conservative (e.g. for the TEMPO</w:t>
      </w:r>
      <w:r w:rsidRPr="006B1802">
        <w:rPr>
          <w:rFonts w:asciiTheme="minorHAnsi" w:hAnsiTheme="minorHAnsi"/>
          <w:i/>
          <w:sz w:val="24"/>
          <w:szCs w:val="24"/>
        </w:rPr>
        <w:t xml:space="preserve"> </w:t>
      </w:r>
      <w:r w:rsidRPr="006B1802">
        <w:rPr>
          <w:rFonts w:asciiTheme="minorHAnsi" w:hAnsiTheme="minorHAnsi"/>
          <w:sz w:val="24"/>
          <w:szCs w:val="24"/>
        </w:rPr>
        <w:t>3:4 trial, a weighted mean reduction of 29.6% was applied across CKD 2 to 4 rather than applying 29.1% in CKD</w:t>
      </w:r>
      <w:r w:rsidR="004D6F76" w:rsidRPr="006B1802">
        <w:rPr>
          <w:rFonts w:asciiTheme="minorHAnsi" w:hAnsiTheme="minorHAnsi"/>
          <w:sz w:val="24"/>
          <w:szCs w:val="24"/>
        </w:rPr>
        <w:t xml:space="preserve"> </w:t>
      </w:r>
      <w:r w:rsidRPr="006B1802">
        <w:rPr>
          <w:rFonts w:asciiTheme="minorHAnsi" w:hAnsiTheme="minorHAnsi"/>
          <w:sz w:val="24"/>
          <w:szCs w:val="24"/>
        </w:rPr>
        <w:t xml:space="preserve">2 and 31% in CKD 3 as had been observed in </w:t>
      </w:r>
      <w:r w:rsidRPr="006B1802">
        <w:rPr>
          <w:rFonts w:asciiTheme="minorHAnsi" w:hAnsiTheme="minorHAnsi"/>
          <w:sz w:val="24"/>
          <w:szCs w:val="24"/>
        </w:rPr>
        <w:lastRenderedPageBreak/>
        <w:t>the trial). Further, different methods were used to derive the tolvaptan treatment effect between TEMPO 3:4 and REPRISE (i.e. linear mixed effects model versus weighted ANCOVA, respectively). For REPRISE, this was not conservative (refer to sensitivity analyses below).</w:t>
      </w:r>
    </w:p>
    <w:p w:rsidR="009A4AF8" w:rsidRPr="006B1802" w:rsidRDefault="009A4AF8" w:rsidP="00B93A10">
      <w:pPr>
        <w:spacing w:before="120" w:after="160"/>
        <w:rPr>
          <w:rFonts w:asciiTheme="minorHAnsi" w:hAnsiTheme="minorHAnsi"/>
          <w:b/>
          <w:u w:val="single"/>
        </w:rPr>
      </w:pPr>
      <w:r w:rsidRPr="006B1802">
        <w:rPr>
          <w:rFonts w:asciiTheme="minorHAnsi" w:hAnsiTheme="minorHAnsi"/>
          <w:b/>
          <w:u w:val="single"/>
        </w:rPr>
        <w:t>Outputs from model</w:t>
      </w:r>
    </w:p>
    <w:p w:rsidR="009A4AF8" w:rsidRPr="006B1802" w:rsidRDefault="009A4AF8" w:rsidP="00B93A10">
      <w:pPr>
        <w:numPr>
          <w:ilvl w:val="1"/>
          <w:numId w:val="5"/>
        </w:numPr>
        <w:spacing w:after="120"/>
        <w:jc w:val="both"/>
        <w:rPr>
          <w:rFonts w:asciiTheme="minorHAnsi" w:hAnsiTheme="minorHAnsi"/>
        </w:rPr>
      </w:pPr>
      <w:r w:rsidRPr="006B1802">
        <w:rPr>
          <w:rFonts w:asciiTheme="minorHAnsi" w:hAnsiTheme="minorHAnsi"/>
        </w:rPr>
        <w:t xml:space="preserve">The figures below show the Markov traces for the base case economic model presented in the resubmission, comprising the TEMPO 3:4 (Figure 1a) and REPRISE (Figure 2a) sub-populations. For comparison, the ITT populations from the two trials are also presented (Figures 1b and 2b). The trace for ESRD (darker blue line) comprises patients with CKD5, on dialysis or post kidney transplant. Given that dialysis was a key driver of the model — it was associated with significant costs ($100,056 per year on-going cost for dialysis) and </w:t>
      </w:r>
      <w:proofErr w:type="spellStart"/>
      <w:r w:rsidRPr="006B1802">
        <w:rPr>
          <w:rFonts w:asciiTheme="minorHAnsi" w:hAnsiTheme="minorHAnsi"/>
        </w:rPr>
        <w:t>disutilities</w:t>
      </w:r>
      <w:proofErr w:type="spellEnd"/>
      <w:r w:rsidRPr="006B1802">
        <w:rPr>
          <w:rFonts w:asciiTheme="minorHAnsi" w:hAnsiTheme="minorHAnsi"/>
        </w:rPr>
        <w:t xml:space="preserve"> (a dialysis disutility of 0.13 was applied) — this is also shown in separate (lighter blue) traces (as well as being included in the ESRD line). </w:t>
      </w:r>
    </w:p>
    <w:p w:rsidR="009A4AF8" w:rsidRPr="006B1802" w:rsidRDefault="009A4AF8" w:rsidP="00B93A10">
      <w:pPr>
        <w:keepNext/>
        <w:keepLines/>
        <w:rPr>
          <w:rFonts w:ascii="Arial Narrow" w:hAnsi="Arial Narrow"/>
          <w:b/>
          <w:sz w:val="20"/>
          <w:szCs w:val="20"/>
        </w:rPr>
      </w:pPr>
      <w:r w:rsidRPr="006B1802">
        <w:rPr>
          <w:rFonts w:ascii="Arial Narrow" w:hAnsi="Arial Narrow"/>
          <w:b/>
          <w:sz w:val="20"/>
          <w:szCs w:val="20"/>
        </w:rPr>
        <w:t>Figure 1: Markov trace of TEMPO 3:4 - tolvaptan (solid lines) versus placebo (dotted lines): (a) base case presented in model (sub-population with CKD stages 2-3 with rapid disease progression); (b) ITT population from trial</w:t>
      </w:r>
    </w:p>
    <w:p w:rsidR="009A4AF8" w:rsidRPr="006B1802" w:rsidRDefault="009A4AF8" w:rsidP="00B93A10">
      <w:pPr>
        <w:keepNext/>
        <w:keepLines/>
        <w:rPr>
          <w:i/>
        </w:rPr>
      </w:pPr>
      <w:r w:rsidRPr="006B1802">
        <w:rPr>
          <w:i/>
          <w:noProof/>
        </w:rPr>
        <w:drawing>
          <wp:inline distT="0" distB="0" distL="0" distR="0" wp14:anchorId="2EBA0620" wp14:editId="3189C202">
            <wp:extent cx="2852928" cy="2339944"/>
            <wp:effectExtent l="0" t="0" r="5080" b="3810"/>
            <wp:docPr id="18" name="Picture 18" title="Figure 1: Markov trace of TEMPO 3:4 - tolvaptan (solid lines) versus placebo (dotted lines): (a) base case presented in model (sub-population with CKD stages 2-3 with rapid disease progression); (b) ITT population fro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2854252" cy="2341030"/>
                    </a:xfrm>
                    <a:prstGeom prst="rect">
                      <a:avLst/>
                    </a:prstGeom>
                    <a:noFill/>
                    <a:ln>
                      <a:noFill/>
                    </a:ln>
                    <a:extLst>
                      <a:ext uri="{53640926-AAD7-44D8-BBD7-CCE9431645EC}">
                        <a14:shadowObscured xmlns:a14="http://schemas.microsoft.com/office/drawing/2010/main"/>
                      </a:ext>
                    </a:extLst>
                  </pic:spPr>
                </pic:pic>
              </a:graphicData>
            </a:graphic>
          </wp:inline>
        </w:drawing>
      </w:r>
      <w:r w:rsidRPr="006B1802">
        <w:rPr>
          <w:i/>
          <w:noProof/>
        </w:rPr>
        <w:drawing>
          <wp:inline distT="0" distB="0" distL="0" distR="0" wp14:anchorId="0CE48C0A" wp14:editId="36DD0FC9">
            <wp:extent cx="2816352" cy="2340864"/>
            <wp:effectExtent l="0" t="0" r="3175" b="2540"/>
            <wp:docPr id="15" name="Picture 15" title="Figure 1: Markov trace of TEMPO 3:4 - tolvaptan (solid lines) versus placebo (dotted lines): (a) base case presented in model (sub-population with CKD stages 2-3 with rapid disease progression); (b) ITT population fro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2822026" cy="2345580"/>
                    </a:xfrm>
                    <a:prstGeom prst="rect">
                      <a:avLst/>
                    </a:prstGeom>
                    <a:noFill/>
                    <a:ln>
                      <a:noFill/>
                    </a:ln>
                    <a:extLst>
                      <a:ext uri="{53640926-AAD7-44D8-BBD7-CCE9431645EC}">
                        <a14:shadowObscured xmlns:a14="http://schemas.microsoft.com/office/drawing/2010/main"/>
                      </a:ext>
                    </a:extLst>
                  </pic:spPr>
                </pic:pic>
              </a:graphicData>
            </a:graphic>
          </wp:inline>
        </w:drawing>
      </w:r>
    </w:p>
    <w:p w:rsidR="009A4AF8" w:rsidRPr="006B1802" w:rsidRDefault="009A4AF8" w:rsidP="00B93A10">
      <w:pPr>
        <w:keepNext/>
        <w:keepLines/>
        <w:rPr>
          <w:rFonts w:ascii="Arial Narrow" w:hAnsi="Arial Narrow"/>
          <w:i/>
          <w:sz w:val="18"/>
          <w:szCs w:val="18"/>
        </w:rPr>
      </w:pPr>
      <w:r w:rsidRPr="006B1802">
        <w:rPr>
          <w:noProof/>
        </w:rPr>
        <w:drawing>
          <wp:inline distT="0" distB="0" distL="0" distR="0" wp14:anchorId="59B355AE" wp14:editId="4FEACEE0">
            <wp:extent cx="5551809" cy="395020"/>
            <wp:effectExtent l="0" t="0" r="0" b="5080"/>
            <wp:docPr id="1" name="Picture 1" title="Figure 1: Markov trace of TEMPO 3:4 - tolvaptan (solid lines) versus placebo (dotted lines): (a) base case presented in model (sub-population with CKD stages 2-3 with rapid disease progression); (b) ITT population fro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173" t="6897"/>
                    <a:stretch/>
                  </pic:blipFill>
                  <pic:spPr bwMode="auto">
                    <a:xfrm>
                      <a:off x="0" y="0"/>
                      <a:ext cx="5591527" cy="397846"/>
                    </a:xfrm>
                    <a:prstGeom prst="rect">
                      <a:avLst/>
                    </a:prstGeom>
                    <a:ln>
                      <a:noFill/>
                    </a:ln>
                    <a:extLst>
                      <a:ext uri="{53640926-AAD7-44D8-BBD7-CCE9431645EC}">
                        <a14:shadowObscured xmlns:a14="http://schemas.microsoft.com/office/drawing/2010/main"/>
                      </a:ext>
                    </a:extLst>
                  </pic:spPr>
                </pic:pic>
              </a:graphicData>
            </a:graphic>
          </wp:inline>
        </w:drawing>
      </w:r>
    </w:p>
    <w:p w:rsidR="009A4AF8" w:rsidRPr="006B1802" w:rsidRDefault="009A4AF8" w:rsidP="00B93A10">
      <w:pPr>
        <w:keepNext/>
        <w:keepLines/>
        <w:rPr>
          <w:rFonts w:ascii="Arial Narrow" w:hAnsi="Arial Narrow"/>
          <w:sz w:val="18"/>
          <w:szCs w:val="18"/>
        </w:rPr>
      </w:pPr>
      <w:r w:rsidRPr="006B1802">
        <w:rPr>
          <w:rFonts w:ascii="Arial Narrow" w:hAnsi="Arial Narrow"/>
          <w:sz w:val="18"/>
          <w:szCs w:val="18"/>
        </w:rPr>
        <w:t xml:space="preserve">Source: Constructed during preparation of the Minor Overview based on ‘Tolvaptan November 2017 PBAC Section 3 Updated for April 2018’ </w:t>
      </w:r>
    </w:p>
    <w:p w:rsidR="009A4AF8" w:rsidRPr="006B1802" w:rsidRDefault="009A4AF8" w:rsidP="00B93A10">
      <w:pPr>
        <w:rPr>
          <w:rFonts w:ascii="Arial Narrow" w:hAnsi="Arial Narrow"/>
          <w:sz w:val="18"/>
          <w:szCs w:val="20"/>
        </w:rPr>
      </w:pPr>
      <w:r w:rsidRPr="006B1802">
        <w:rPr>
          <w:rFonts w:ascii="Arial Narrow" w:hAnsi="Arial Narrow"/>
          <w:sz w:val="18"/>
          <w:szCs w:val="20"/>
        </w:rPr>
        <w:t>Abbreviations: CKD, chronic kidney disease; ESRD, end stage renal disease.</w:t>
      </w:r>
    </w:p>
    <w:p w:rsidR="009A4AF8" w:rsidRPr="006B1802" w:rsidRDefault="009A4AF8" w:rsidP="00B93A10">
      <w:pPr>
        <w:rPr>
          <w:rFonts w:ascii="Arial Narrow" w:hAnsi="Arial Narrow"/>
          <w:i/>
          <w:sz w:val="18"/>
          <w:szCs w:val="18"/>
        </w:rPr>
      </w:pPr>
    </w:p>
    <w:p w:rsidR="009A4AF8" w:rsidRPr="006B1802" w:rsidRDefault="009A4AF8" w:rsidP="00B93A10">
      <w:pPr>
        <w:keepNext/>
        <w:keepLines/>
        <w:rPr>
          <w:rFonts w:ascii="Arial Narrow" w:hAnsi="Arial Narrow"/>
          <w:b/>
          <w:sz w:val="20"/>
          <w:szCs w:val="20"/>
        </w:rPr>
      </w:pPr>
      <w:r w:rsidRPr="006B1802">
        <w:rPr>
          <w:rFonts w:ascii="Arial Narrow" w:hAnsi="Arial Narrow"/>
          <w:b/>
          <w:sz w:val="20"/>
          <w:szCs w:val="20"/>
        </w:rPr>
        <w:lastRenderedPageBreak/>
        <w:t>Figure 2: Markov trace of REPRISE - tolvaptan (solid lines) versus placebo (dotted lines): (a) base case presented in model (sub-population with CKD stage 2-3 with rapid disease progression); (b) ITT population from trial</w:t>
      </w:r>
    </w:p>
    <w:p w:rsidR="009A4AF8" w:rsidRPr="006B1802" w:rsidRDefault="009A4AF8" w:rsidP="00B93A10">
      <w:pPr>
        <w:keepNext/>
        <w:keepLines/>
        <w:rPr>
          <w:i/>
        </w:rPr>
      </w:pPr>
      <w:r w:rsidRPr="006B1802">
        <w:rPr>
          <w:i/>
          <w:noProof/>
        </w:rPr>
        <w:drawing>
          <wp:inline distT="0" distB="0" distL="0" distR="0" wp14:anchorId="7E0F38F8" wp14:editId="29097AE1">
            <wp:extent cx="2672956" cy="2078966"/>
            <wp:effectExtent l="0" t="0" r="0" b="0"/>
            <wp:docPr id="12" name="Picture 12" title="Figure 2: Markov trace of REPRISE - tolvaptan (solid lines) versus placebo (dotted lines): (a) base case presented in model (sub-population with CKD stage 2-3 with rapid disease progression); (b) ITT population fro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2684449" cy="2087905"/>
                    </a:xfrm>
                    <a:prstGeom prst="rect">
                      <a:avLst/>
                    </a:prstGeom>
                    <a:noFill/>
                    <a:ln>
                      <a:noFill/>
                    </a:ln>
                    <a:extLst>
                      <a:ext uri="{53640926-AAD7-44D8-BBD7-CCE9431645EC}">
                        <a14:shadowObscured xmlns:a14="http://schemas.microsoft.com/office/drawing/2010/main"/>
                      </a:ext>
                    </a:extLst>
                  </pic:spPr>
                </pic:pic>
              </a:graphicData>
            </a:graphic>
          </wp:inline>
        </w:drawing>
      </w:r>
      <w:r w:rsidRPr="006B1802">
        <w:rPr>
          <w:i/>
          <w:noProof/>
        </w:rPr>
        <w:drawing>
          <wp:inline distT="0" distB="0" distL="0" distR="0" wp14:anchorId="6BBBDC15" wp14:editId="20F7035F">
            <wp:extent cx="2574950" cy="2082055"/>
            <wp:effectExtent l="0" t="0" r="0" b="0"/>
            <wp:docPr id="16" name="Picture 16" title="Figure 2: Markov trace of REPRISE - tolvaptan (solid lines) versus placebo (dotted lines): (a) base case presented in model (sub-population with CKD stage 2-3 with rapid disease progression); (b) ITT population fro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2582719" cy="2088337"/>
                    </a:xfrm>
                    <a:prstGeom prst="rect">
                      <a:avLst/>
                    </a:prstGeom>
                    <a:noFill/>
                    <a:ln>
                      <a:noFill/>
                    </a:ln>
                    <a:extLst>
                      <a:ext uri="{53640926-AAD7-44D8-BBD7-CCE9431645EC}">
                        <a14:shadowObscured xmlns:a14="http://schemas.microsoft.com/office/drawing/2010/main"/>
                      </a:ext>
                    </a:extLst>
                  </pic:spPr>
                </pic:pic>
              </a:graphicData>
            </a:graphic>
          </wp:inline>
        </w:drawing>
      </w:r>
    </w:p>
    <w:p w:rsidR="009A4AF8" w:rsidRPr="006B1802" w:rsidRDefault="009A4AF8" w:rsidP="00B93A10">
      <w:pPr>
        <w:keepNext/>
        <w:keepLines/>
        <w:rPr>
          <w:rFonts w:ascii="Arial Narrow" w:hAnsi="Arial Narrow"/>
          <w:i/>
          <w:sz w:val="18"/>
          <w:szCs w:val="18"/>
        </w:rPr>
      </w:pPr>
      <w:r w:rsidRPr="006B1802">
        <w:rPr>
          <w:noProof/>
        </w:rPr>
        <w:drawing>
          <wp:inline distT="0" distB="0" distL="0" distR="0" wp14:anchorId="3F492303" wp14:editId="73D0F936">
            <wp:extent cx="5230368" cy="372149"/>
            <wp:effectExtent l="0" t="0" r="8890" b="8890"/>
            <wp:docPr id="19" name="Picture 19" title="Figure 2: Markov trace of REPRISE - tolvaptan (solid lines) versus placebo (dotted lines): (a) base case presented in model (sub-population with CKD stage 2-3 with rapid disease progression); (b) ITT population fro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173" t="6897"/>
                    <a:stretch/>
                  </pic:blipFill>
                  <pic:spPr bwMode="auto">
                    <a:xfrm>
                      <a:off x="0" y="0"/>
                      <a:ext cx="5267773" cy="374810"/>
                    </a:xfrm>
                    <a:prstGeom prst="rect">
                      <a:avLst/>
                    </a:prstGeom>
                    <a:ln>
                      <a:noFill/>
                    </a:ln>
                    <a:extLst>
                      <a:ext uri="{53640926-AAD7-44D8-BBD7-CCE9431645EC}">
                        <a14:shadowObscured xmlns:a14="http://schemas.microsoft.com/office/drawing/2010/main"/>
                      </a:ext>
                    </a:extLst>
                  </pic:spPr>
                </pic:pic>
              </a:graphicData>
            </a:graphic>
          </wp:inline>
        </w:drawing>
      </w:r>
    </w:p>
    <w:p w:rsidR="009A4AF8" w:rsidRPr="006B1802" w:rsidRDefault="009A4AF8" w:rsidP="00B93A10">
      <w:pPr>
        <w:keepNext/>
        <w:keepLines/>
        <w:rPr>
          <w:rFonts w:ascii="Arial Narrow" w:hAnsi="Arial Narrow"/>
          <w:sz w:val="18"/>
          <w:szCs w:val="18"/>
        </w:rPr>
      </w:pPr>
      <w:r w:rsidRPr="006B1802">
        <w:rPr>
          <w:rFonts w:ascii="Arial Narrow" w:hAnsi="Arial Narrow"/>
          <w:sz w:val="18"/>
          <w:szCs w:val="18"/>
        </w:rPr>
        <w:t xml:space="preserve">Source: Constructed during preparation of the Minor Overview based on ‘Tolvaptan November 2017 PBAC Section 3 Updated for April 2018 </w:t>
      </w:r>
    </w:p>
    <w:p w:rsidR="009A4AF8" w:rsidRPr="006B1802" w:rsidRDefault="009A4AF8" w:rsidP="00B93A10">
      <w:pPr>
        <w:spacing w:afterLines="160" w:after="384"/>
        <w:rPr>
          <w:rFonts w:ascii="Arial Narrow" w:hAnsi="Arial Narrow"/>
          <w:sz w:val="18"/>
          <w:szCs w:val="20"/>
        </w:rPr>
      </w:pPr>
      <w:r w:rsidRPr="006B1802">
        <w:rPr>
          <w:rFonts w:ascii="Arial Narrow" w:hAnsi="Arial Narrow"/>
          <w:sz w:val="18"/>
          <w:szCs w:val="20"/>
        </w:rPr>
        <w:t>Abbreviations: CKD, chronic kidney disease; ESRD, end stage renal disease.</w:t>
      </w:r>
    </w:p>
    <w:p w:rsidR="009A4AF8" w:rsidRPr="006B1802" w:rsidRDefault="009A4AF8" w:rsidP="00B93A10">
      <w:pPr>
        <w:numPr>
          <w:ilvl w:val="1"/>
          <w:numId w:val="5"/>
        </w:numPr>
        <w:spacing w:before="120" w:afterLines="160" w:after="384"/>
        <w:jc w:val="both"/>
        <w:rPr>
          <w:rFonts w:asciiTheme="minorHAnsi" w:hAnsiTheme="minorHAnsi"/>
        </w:rPr>
      </w:pPr>
      <w:r w:rsidRPr="006B1802">
        <w:rPr>
          <w:rFonts w:asciiTheme="minorHAnsi" w:hAnsiTheme="minorHAnsi"/>
        </w:rPr>
        <w:t>The Markov traces show that patients treated with tolvaptan spend more time in CKD stages 2 to 4 and less time in the ESRD and dead states. In particular, patients on tolvaptan spend less time on dialysis, which is associated with significant costs and utility decrements. The Markov traces also show that patients in the sub-populations have more rapidly progressing disease tha</w:t>
      </w:r>
      <w:r w:rsidR="0008323D" w:rsidRPr="006B1802">
        <w:rPr>
          <w:rFonts w:asciiTheme="minorHAnsi" w:hAnsiTheme="minorHAnsi"/>
        </w:rPr>
        <w:t>n</w:t>
      </w:r>
      <w:r w:rsidRPr="006B1802">
        <w:rPr>
          <w:rFonts w:asciiTheme="minorHAnsi" w:hAnsiTheme="minorHAnsi"/>
        </w:rPr>
        <w:t xml:space="preserve"> the ITT population (earlier and higher rates of CKD5 and dialysis), and that tolvaptan is associated with a greater treatment effect in the subpopulation patients (bigger difference between the tolvaptan and placebo traces for each health state).</w:t>
      </w:r>
    </w:p>
    <w:p w:rsidR="009A4AF8" w:rsidRPr="006B1802" w:rsidRDefault="009A4AF8" w:rsidP="00B93A10">
      <w:pPr>
        <w:numPr>
          <w:ilvl w:val="1"/>
          <w:numId w:val="5"/>
        </w:numPr>
        <w:spacing w:before="120" w:after="160"/>
        <w:jc w:val="both"/>
        <w:rPr>
          <w:rFonts w:asciiTheme="minorHAnsi" w:hAnsiTheme="minorHAnsi"/>
        </w:rPr>
      </w:pPr>
      <w:r w:rsidRPr="006B1802">
        <w:rPr>
          <w:rFonts w:asciiTheme="minorHAnsi" w:hAnsiTheme="minorHAnsi"/>
        </w:rPr>
        <w:t xml:space="preserve">As outlined in the March 2018 PBAC </w:t>
      </w:r>
      <w:r w:rsidR="00621175">
        <w:rPr>
          <w:rFonts w:asciiTheme="minorHAnsi" w:hAnsiTheme="minorHAnsi"/>
        </w:rPr>
        <w:t>PSD</w:t>
      </w:r>
      <w:r w:rsidRPr="006B1802">
        <w:rPr>
          <w:rFonts w:asciiTheme="minorHAnsi" w:hAnsiTheme="minorHAnsi"/>
        </w:rPr>
        <w:t>, the different results between the two trials</w:t>
      </w:r>
      <w:r w:rsidR="00D672D4" w:rsidRPr="006B1802">
        <w:rPr>
          <w:rFonts w:asciiTheme="minorHAnsi" w:hAnsiTheme="minorHAnsi"/>
        </w:rPr>
        <w:t xml:space="preserve"> (</w:t>
      </w:r>
      <w:r w:rsidRPr="006B1802">
        <w:rPr>
          <w:rFonts w:asciiTheme="minorHAnsi" w:hAnsiTheme="minorHAnsi"/>
        </w:rPr>
        <w:t>TEMPO 3:4 and REPRISE</w:t>
      </w:r>
      <w:r w:rsidR="00D672D4" w:rsidRPr="006B1802">
        <w:rPr>
          <w:rFonts w:asciiTheme="minorHAnsi" w:hAnsiTheme="minorHAnsi"/>
        </w:rPr>
        <w:t>)</w:t>
      </w:r>
      <w:r w:rsidRPr="006B1802">
        <w:rPr>
          <w:rFonts w:asciiTheme="minorHAnsi" w:hAnsiTheme="minorHAnsi"/>
        </w:rPr>
        <w:t xml:space="preserve"> despite overlap</w:t>
      </w:r>
      <w:r w:rsidR="0080214C" w:rsidRPr="006B1802">
        <w:rPr>
          <w:rFonts w:asciiTheme="minorHAnsi" w:hAnsiTheme="minorHAnsi"/>
        </w:rPr>
        <w:t>ping</w:t>
      </w:r>
      <w:r w:rsidRPr="006B1802">
        <w:rPr>
          <w:rFonts w:asciiTheme="minorHAnsi" w:hAnsiTheme="minorHAnsi"/>
        </w:rPr>
        <w:t xml:space="preserve"> </w:t>
      </w:r>
      <w:r w:rsidR="0080214C" w:rsidRPr="006B1802">
        <w:rPr>
          <w:rFonts w:asciiTheme="minorHAnsi" w:hAnsiTheme="minorHAnsi"/>
        </w:rPr>
        <w:t xml:space="preserve">patient </w:t>
      </w:r>
      <w:r w:rsidRPr="006B1802">
        <w:rPr>
          <w:rFonts w:asciiTheme="minorHAnsi" w:hAnsiTheme="minorHAnsi"/>
        </w:rPr>
        <w:t>population</w:t>
      </w:r>
      <w:r w:rsidR="0080214C" w:rsidRPr="006B1802">
        <w:rPr>
          <w:rFonts w:asciiTheme="minorHAnsi" w:hAnsiTheme="minorHAnsi"/>
        </w:rPr>
        <w:t>s</w:t>
      </w:r>
      <w:r w:rsidRPr="006B1802">
        <w:rPr>
          <w:rFonts w:asciiTheme="minorHAnsi" w:hAnsiTheme="minorHAnsi"/>
        </w:rPr>
        <w:t xml:space="preserve">, highlight the uncertainty of the treatment effect (Paragraph 6.52, Tolvaptan </w:t>
      </w:r>
      <w:r w:rsidR="00621175">
        <w:rPr>
          <w:rFonts w:asciiTheme="minorHAnsi" w:hAnsiTheme="minorHAnsi"/>
        </w:rPr>
        <w:t>PSD</w:t>
      </w:r>
      <w:r w:rsidRPr="006B1802">
        <w:rPr>
          <w:rFonts w:asciiTheme="minorHAnsi" w:hAnsiTheme="minorHAnsi"/>
        </w:rPr>
        <w:t xml:space="preserve">, March 2018). The different results were likely due to: </w:t>
      </w:r>
    </w:p>
    <w:p w:rsidR="009A4AF8" w:rsidRPr="006B1802" w:rsidRDefault="009A4AF8" w:rsidP="00B93A10">
      <w:pPr>
        <w:pStyle w:val="ListParagraph"/>
        <w:widowControl/>
        <w:numPr>
          <w:ilvl w:val="0"/>
          <w:numId w:val="22"/>
        </w:numPr>
        <w:ind w:left="1134" w:hanging="425"/>
        <w:rPr>
          <w:rFonts w:asciiTheme="minorHAnsi" w:hAnsiTheme="minorHAnsi"/>
          <w:sz w:val="24"/>
          <w:szCs w:val="24"/>
        </w:rPr>
      </w:pPr>
      <w:r w:rsidRPr="006B1802">
        <w:rPr>
          <w:rFonts w:asciiTheme="minorHAnsi" w:hAnsiTheme="minorHAnsi"/>
          <w:sz w:val="24"/>
          <w:szCs w:val="24"/>
        </w:rPr>
        <w:t>Patients in REPRISE had poorer baseline characteristics (e.g. mean baseline eGFR in the tolvaptan arm was 44 mL/min/1.73m</w:t>
      </w:r>
      <w:r w:rsidRPr="006B1802">
        <w:rPr>
          <w:rFonts w:asciiTheme="minorHAnsi" w:hAnsiTheme="minorHAnsi"/>
          <w:sz w:val="24"/>
          <w:szCs w:val="24"/>
          <w:vertAlign w:val="superscript"/>
        </w:rPr>
        <w:t>2</w:t>
      </w:r>
      <w:r w:rsidRPr="006B1802">
        <w:rPr>
          <w:rFonts w:asciiTheme="minorHAnsi" w:hAnsiTheme="minorHAnsi"/>
          <w:sz w:val="24"/>
          <w:szCs w:val="24"/>
        </w:rPr>
        <w:t xml:space="preserve"> in REPRISE, versus 68 mL/min/1.73m</w:t>
      </w:r>
      <w:r w:rsidRPr="006B1802">
        <w:rPr>
          <w:rFonts w:asciiTheme="minorHAnsi" w:hAnsiTheme="minorHAnsi"/>
          <w:sz w:val="24"/>
          <w:szCs w:val="24"/>
          <w:vertAlign w:val="superscript"/>
        </w:rPr>
        <w:t>2</w:t>
      </w:r>
      <w:r w:rsidRPr="006B1802">
        <w:rPr>
          <w:rFonts w:asciiTheme="minorHAnsi" w:hAnsiTheme="minorHAnsi"/>
          <w:sz w:val="24"/>
          <w:szCs w:val="24"/>
        </w:rPr>
        <w:t xml:space="preserve"> in TEMPO 3:4);</w:t>
      </w:r>
    </w:p>
    <w:p w:rsidR="009A4AF8" w:rsidRPr="006B1802" w:rsidRDefault="009A4AF8" w:rsidP="00B93A10">
      <w:pPr>
        <w:pStyle w:val="ListParagraph"/>
        <w:widowControl/>
        <w:numPr>
          <w:ilvl w:val="0"/>
          <w:numId w:val="22"/>
        </w:numPr>
        <w:ind w:left="1134" w:hanging="425"/>
        <w:rPr>
          <w:rFonts w:asciiTheme="minorHAnsi" w:hAnsiTheme="minorHAnsi"/>
          <w:sz w:val="24"/>
          <w:szCs w:val="24"/>
        </w:rPr>
      </w:pPr>
      <w:r w:rsidRPr="006B1802">
        <w:rPr>
          <w:rFonts w:asciiTheme="minorHAnsi" w:hAnsiTheme="minorHAnsi"/>
          <w:sz w:val="24"/>
          <w:szCs w:val="24"/>
        </w:rPr>
        <w:t>Patients in REPRISE had more rapid disease progression (e.g. mean time to ESKD in the placebo arms were 6.1 years in REPRISE versus 10.3 years in TEMPO 3:4); and</w:t>
      </w:r>
    </w:p>
    <w:p w:rsidR="009A4AF8" w:rsidRPr="006B1802" w:rsidRDefault="009A4AF8" w:rsidP="00B93A10">
      <w:pPr>
        <w:pStyle w:val="ListParagraph"/>
        <w:widowControl/>
        <w:numPr>
          <w:ilvl w:val="0"/>
          <w:numId w:val="22"/>
        </w:numPr>
        <w:ind w:left="1134" w:hanging="425"/>
        <w:rPr>
          <w:rFonts w:asciiTheme="minorHAnsi" w:hAnsiTheme="minorHAnsi"/>
          <w:sz w:val="24"/>
          <w:szCs w:val="24"/>
        </w:rPr>
      </w:pPr>
      <w:r w:rsidRPr="006B1802">
        <w:rPr>
          <w:rFonts w:asciiTheme="minorHAnsi" w:hAnsiTheme="minorHAnsi"/>
          <w:sz w:val="24"/>
          <w:szCs w:val="24"/>
        </w:rPr>
        <w:t>A larger treatment effect was assumed from REPRISE (relative reduction of 34.6% was assumed in RESPRISE versus 29.6% in TEMPO 3:4).</w:t>
      </w:r>
    </w:p>
    <w:p w:rsidR="00C96652" w:rsidRPr="006B1802" w:rsidRDefault="00C96652" w:rsidP="00B93A10">
      <w:pPr>
        <w:keepNext/>
        <w:rPr>
          <w:rFonts w:asciiTheme="minorHAnsi" w:hAnsiTheme="minorHAnsi"/>
          <w:b/>
          <w:u w:val="single"/>
        </w:rPr>
      </w:pPr>
      <w:r w:rsidRPr="006B1802">
        <w:rPr>
          <w:rFonts w:asciiTheme="minorHAnsi" w:hAnsiTheme="minorHAnsi"/>
          <w:b/>
          <w:u w:val="single"/>
        </w:rPr>
        <w:t>Sensitivity analyses</w:t>
      </w:r>
    </w:p>
    <w:p w:rsidR="00C96652" w:rsidRPr="006B1802" w:rsidRDefault="00C96652" w:rsidP="00B93A10">
      <w:pPr>
        <w:numPr>
          <w:ilvl w:val="1"/>
          <w:numId w:val="5"/>
        </w:numPr>
        <w:spacing w:after="120"/>
        <w:jc w:val="both"/>
        <w:rPr>
          <w:rFonts w:asciiTheme="minorHAnsi" w:hAnsiTheme="minorHAnsi"/>
        </w:rPr>
      </w:pPr>
      <w:r w:rsidRPr="006B1802">
        <w:rPr>
          <w:rFonts w:asciiTheme="minorHAnsi" w:hAnsiTheme="minorHAnsi"/>
        </w:rPr>
        <w:t xml:space="preserve">The resubmission included two sensitivity analyses in which the efficacy of tolvaptan was halved after five or ten years (from a 29.6% reduction in eGFR decline to a 14.8% </w:t>
      </w:r>
      <w:r w:rsidRPr="006B1802">
        <w:rPr>
          <w:rFonts w:asciiTheme="minorHAnsi" w:hAnsiTheme="minorHAnsi"/>
        </w:rPr>
        <w:lastRenderedPageBreak/>
        <w:t>reduction for TEMPO 3:4; and from 34.6% to 17.3% for REPRISE). These are shown in the table below.</w:t>
      </w:r>
    </w:p>
    <w:p w:rsidR="00C96652" w:rsidRPr="006B1802" w:rsidRDefault="00CC525E" w:rsidP="00B93A10">
      <w:pPr>
        <w:pStyle w:val="Caption"/>
        <w:keepNext/>
        <w:keepLines/>
        <w:spacing w:after="0"/>
        <w:rPr>
          <w:rFonts w:ascii="Arial Narrow" w:hAnsi="Arial Narrow"/>
          <w:color w:val="auto"/>
          <w:sz w:val="20"/>
          <w:szCs w:val="20"/>
        </w:rPr>
      </w:pPr>
      <w:r w:rsidRPr="006B1802">
        <w:rPr>
          <w:rFonts w:ascii="Arial Narrow" w:hAnsi="Arial Narrow"/>
          <w:color w:val="auto"/>
          <w:sz w:val="20"/>
          <w:szCs w:val="20"/>
        </w:rPr>
        <w:t>Table 4</w:t>
      </w:r>
      <w:r w:rsidR="00C96652" w:rsidRPr="006B1802">
        <w:rPr>
          <w:rFonts w:ascii="Arial Narrow" w:hAnsi="Arial Narrow"/>
          <w:color w:val="auto"/>
          <w:sz w:val="20"/>
          <w:szCs w:val="20"/>
        </w:rPr>
        <w:t xml:space="preserve">: Sensitivity analyses conducted by the minor resubmission - </w:t>
      </w:r>
      <w:proofErr w:type="spellStart"/>
      <w:r w:rsidR="00C96652" w:rsidRPr="006B1802">
        <w:rPr>
          <w:rFonts w:ascii="Arial Narrow" w:hAnsi="Arial Narrow"/>
          <w:color w:val="auto"/>
          <w:sz w:val="20"/>
          <w:szCs w:val="20"/>
        </w:rPr>
        <w:t>tolvaptan’s</w:t>
      </w:r>
      <w:proofErr w:type="spellEnd"/>
      <w:r w:rsidR="00C96652" w:rsidRPr="006B1802">
        <w:rPr>
          <w:rFonts w:ascii="Arial Narrow" w:hAnsi="Arial Narrow"/>
          <w:color w:val="auto"/>
          <w:sz w:val="20"/>
          <w:szCs w:val="20"/>
        </w:rPr>
        <w:t xml:space="preserve"> long term efficacy </w:t>
      </w:r>
    </w:p>
    <w:tbl>
      <w:tblPr>
        <w:tblW w:w="5000" w:type="pct"/>
        <w:tblLook w:val="04A0" w:firstRow="1" w:lastRow="0" w:firstColumn="1" w:lastColumn="0" w:noHBand="0" w:noVBand="1"/>
      </w:tblPr>
      <w:tblGrid>
        <w:gridCol w:w="4501"/>
        <w:gridCol w:w="1743"/>
        <w:gridCol w:w="1743"/>
        <w:gridCol w:w="1255"/>
      </w:tblGrid>
      <w:tr w:rsidR="0014764A" w:rsidRPr="006B1802" w:rsidTr="0014764A">
        <w:trPr>
          <w:trHeight w:val="20"/>
        </w:trPr>
        <w:tc>
          <w:tcPr>
            <w:tcW w:w="2435" w:type="pct"/>
            <w:tcBorders>
              <w:top w:val="single" w:sz="4" w:space="0" w:color="auto"/>
              <w:left w:val="single" w:sz="4" w:space="0" w:color="auto"/>
              <w:bottom w:val="single" w:sz="4" w:space="0" w:color="auto"/>
              <w:right w:val="nil"/>
            </w:tcBorders>
            <w:noWrap/>
            <w:vAlign w:val="center"/>
            <w:hideMark/>
          </w:tcPr>
          <w:p w:rsidR="00C96652" w:rsidRPr="006B1802" w:rsidRDefault="00C96652" w:rsidP="00B93A10">
            <w:pPr>
              <w:pStyle w:val="Tablenormal0"/>
              <w:keepNext/>
              <w:spacing w:before="40" w:after="40" w:line="240" w:lineRule="auto"/>
              <w:jc w:val="left"/>
              <w:rPr>
                <w:rFonts w:ascii="Arial Narrow" w:hAnsi="Arial Narrow"/>
                <w:b/>
                <w:sz w:val="20"/>
                <w:szCs w:val="20"/>
              </w:rPr>
            </w:pPr>
            <w:r w:rsidRPr="006B1802">
              <w:rPr>
                <w:rFonts w:ascii="Arial Narrow" w:hAnsi="Arial Narrow"/>
                <w:b/>
                <w:sz w:val="20"/>
                <w:szCs w:val="20"/>
              </w:rPr>
              <w:t xml:space="preserve">Patient populations </w:t>
            </w:r>
          </w:p>
        </w:tc>
        <w:tc>
          <w:tcPr>
            <w:tcW w:w="943" w:type="pct"/>
            <w:tcBorders>
              <w:top w:val="single" w:sz="4" w:space="0" w:color="auto"/>
              <w:left w:val="single" w:sz="4" w:space="0" w:color="auto"/>
              <w:bottom w:val="single" w:sz="4" w:space="0" w:color="auto"/>
              <w:right w:val="single" w:sz="4" w:space="0" w:color="auto"/>
            </w:tcBorders>
            <w:noWrap/>
            <w:vAlign w:val="center"/>
            <w:hideMark/>
          </w:tcPr>
          <w:p w:rsidR="00C96652" w:rsidRPr="006B1802" w:rsidRDefault="00C96652" w:rsidP="00B93A10">
            <w:pPr>
              <w:pStyle w:val="Tablenormal0"/>
              <w:keepNext/>
              <w:spacing w:before="40" w:after="40" w:line="240" w:lineRule="auto"/>
              <w:jc w:val="left"/>
              <w:rPr>
                <w:rFonts w:ascii="Arial Narrow" w:hAnsi="Arial Narrow"/>
                <w:b/>
                <w:sz w:val="20"/>
                <w:szCs w:val="20"/>
              </w:rPr>
            </w:pPr>
            <w:r w:rsidRPr="006B1802">
              <w:rPr>
                <w:rFonts w:ascii="Arial Narrow" w:hAnsi="Arial Narrow"/>
                <w:b/>
                <w:sz w:val="20"/>
                <w:szCs w:val="20"/>
              </w:rPr>
              <w:t>Incremental cost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b/>
                <w:sz w:val="20"/>
                <w:szCs w:val="20"/>
              </w:rPr>
            </w:pPr>
            <w:r w:rsidRPr="006B1802">
              <w:rPr>
                <w:rFonts w:ascii="Arial Narrow" w:hAnsi="Arial Narrow"/>
                <w:b/>
                <w:sz w:val="20"/>
                <w:szCs w:val="20"/>
              </w:rPr>
              <w:t>Incremental QALY</w:t>
            </w:r>
          </w:p>
        </w:tc>
        <w:tc>
          <w:tcPr>
            <w:tcW w:w="679" w:type="pct"/>
            <w:tcBorders>
              <w:top w:val="single" w:sz="4" w:space="0" w:color="auto"/>
              <w:left w:val="single" w:sz="4" w:space="0" w:color="auto"/>
              <w:bottom w:val="single" w:sz="4" w:space="0" w:color="auto"/>
              <w:right w:val="single" w:sz="4" w:space="0" w:color="auto"/>
            </w:tcBorders>
            <w:hideMark/>
          </w:tcPr>
          <w:p w:rsidR="00C96652" w:rsidRPr="006B1802" w:rsidRDefault="00C96652" w:rsidP="00B93A10">
            <w:pPr>
              <w:pStyle w:val="Tablenormal0"/>
              <w:keepNext/>
              <w:spacing w:before="40" w:after="40" w:line="240" w:lineRule="auto"/>
              <w:jc w:val="left"/>
              <w:rPr>
                <w:rFonts w:ascii="Arial Narrow" w:hAnsi="Arial Narrow"/>
                <w:b/>
                <w:sz w:val="20"/>
                <w:szCs w:val="20"/>
              </w:rPr>
            </w:pPr>
            <w:r w:rsidRPr="006B1802">
              <w:rPr>
                <w:rFonts w:ascii="Arial Narrow" w:hAnsi="Arial Narrow"/>
                <w:b/>
                <w:sz w:val="20"/>
                <w:szCs w:val="20"/>
              </w:rPr>
              <w:t>ICER</w:t>
            </w:r>
          </w:p>
        </w:tc>
      </w:tr>
      <w:tr w:rsidR="0014764A" w:rsidRPr="006B1802" w:rsidTr="0014764A">
        <w:trPr>
          <w:trHeight w:val="20"/>
        </w:trPr>
        <w:tc>
          <w:tcPr>
            <w:tcW w:w="2435" w:type="pct"/>
            <w:tcBorders>
              <w:top w:val="single" w:sz="4" w:space="0" w:color="auto"/>
              <w:left w:val="single" w:sz="4" w:space="0" w:color="auto"/>
              <w:bottom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b/>
                <w:sz w:val="20"/>
                <w:szCs w:val="20"/>
              </w:rPr>
            </w:pPr>
            <w:r w:rsidRPr="006B1802">
              <w:rPr>
                <w:rFonts w:ascii="Arial Narrow" w:hAnsi="Arial Narrow"/>
                <w:b/>
                <w:sz w:val="20"/>
                <w:szCs w:val="20"/>
              </w:rPr>
              <w:t>Revised base case</w:t>
            </w:r>
          </w:p>
        </w:tc>
        <w:tc>
          <w:tcPr>
            <w:tcW w:w="943" w:type="pct"/>
            <w:tcBorders>
              <w:top w:val="single" w:sz="4" w:space="0" w:color="auto"/>
              <w:bottom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p>
        </w:tc>
        <w:tc>
          <w:tcPr>
            <w:tcW w:w="943" w:type="pct"/>
            <w:tcBorders>
              <w:top w:val="single" w:sz="4" w:space="0" w:color="auto"/>
              <w:bottom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p>
        </w:tc>
        <w:tc>
          <w:tcPr>
            <w:tcW w:w="679" w:type="pct"/>
            <w:tcBorders>
              <w:top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p>
        </w:tc>
      </w:tr>
      <w:tr w:rsidR="0014764A" w:rsidRPr="006B1802" w:rsidTr="0014764A">
        <w:trPr>
          <w:trHeight w:val="20"/>
        </w:trPr>
        <w:tc>
          <w:tcPr>
            <w:tcW w:w="2435" w:type="pct"/>
            <w:tcBorders>
              <w:top w:val="single" w:sz="4" w:space="0" w:color="auto"/>
              <w:left w:val="single" w:sz="4" w:space="0" w:color="auto"/>
              <w:bottom w:val="single" w:sz="4" w:space="0" w:color="auto"/>
              <w:right w:val="nil"/>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 xml:space="preserve">  PBS patient sub-population A (TEMPO 3:4 data)</w:t>
            </w:r>
          </w:p>
        </w:tc>
        <w:tc>
          <w:tcPr>
            <w:tcW w:w="943"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0.5500</w:t>
            </w:r>
          </w:p>
        </w:tc>
        <w:tc>
          <w:tcPr>
            <w:tcW w:w="679"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rPr>
          <w:trHeight w:val="20"/>
        </w:trPr>
        <w:tc>
          <w:tcPr>
            <w:tcW w:w="2435"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 xml:space="preserve">  PBS patient sub-population B (REPRISE data)</w:t>
            </w:r>
          </w:p>
        </w:tc>
        <w:tc>
          <w:tcPr>
            <w:tcW w:w="943"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0.5605</w:t>
            </w:r>
          </w:p>
        </w:tc>
        <w:tc>
          <w:tcPr>
            <w:tcW w:w="679"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Dominant</w:t>
            </w:r>
          </w:p>
        </w:tc>
      </w:tr>
      <w:tr w:rsidR="0014764A" w:rsidRPr="006B1802" w:rsidTr="0014764A">
        <w:trPr>
          <w:trHeight w:val="20"/>
        </w:trPr>
        <w:tc>
          <w:tcPr>
            <w:tcW w:w="2435"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 xml:space="preserve">  Overall PBS population – weighted average </w:t>
            </w:r>
            <w:r w:rsidRPr="006B1802">
              <w:rPr>
                <w:rFonts w:ascii="Arial Narrow" w:hAnsi="Arial Narrow"/>
                <w:sz w:val="20"/>
                <w:szCs w:val="20"/>
                <w:vertAlign w:val="superscript"/>
              </w:rPr>
              <w:t>a</w:t>
            </w:r>
            <w:r w:rsidRPr="006B1802">
              <w:rPr>
                <w:rFonts w:ascii="Arial Narrow" w:hAnsi="Arial Narrow"/>
                <w:sz w:val="20"/>
                <w:szCs w:val="20"/>
              </w:rPr>
              <w:t xml:space="preserve">  </w:t>
            </w:r>
          </w:p>
        </w:tc>
        <w:tc>
          <w:tcPr>
            <w:tcW w:w="943"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0.5548</w:t>
            </w:r>
          </w:p>
        </w:tc>
        <w:tc>
          <w:tcPr>
            <w:tcW w:w="679"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rPr>
          <w:trHeight w:val="20"/>
        </w:trPr>
        <w:tc>
          <w:tcPr>
            <w:tcW w:w="5000" w:type="pct"/>
            <w:gridSpan w:val="4"/>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b/>
                <w:sz w:val="20"/>
                <w:szCs w:val="20"/>
              </w:rPr>
            </w:pPr>
            <w:r w:rsidRPr="006B1802">
              <w:rPr>
                <w:rFonts w:ascii="Arial Narrow" w:hAnsi="Arial Narrow"/>
                <w:b/>
                <w:sz w:val="20"/>
                <w:szCs w:val="20"/>
              </w:rPr>
              <w:t xml:space="preserve">50% loss in tolvaptan efficacy after 5 years </w:t>
            </w:r>
          </w:p>
        </w:tc>
      </w:tr>
      <w:tr w:rsidR="0014764A" w:rsidRPr="006B1802" w:rsidTr="0014764A">
        <w:trPr>
          <w:trHeight w:val="20"/>
        </w:trPr>
        <w:tc>
          <w:tcPr>
            <w:tcW w:w="2435"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 xml:space="preserve">  PBS patient sub-population A (TEMPO 3:4 data)</w:t>
            </w:r>
          </w:p>
        </w:tc>
        <w:tc>
          <w:tcPr>
            <w:tcW w:w="943"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0.3907</w:t>
            </w:r>
          </w:p>
        </w:tc>
        <w:tc>
          <w:tcPr>
            <w:tcW w:w="679"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rPr>
          <w:trHeight w:val="20"/>
        </w:trPr>
        <w:tc>
          <w:tcPr>
            <w:tcW w:w="2435"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 xml:space="preserve">  PBS patient sub-population B (REPRISE data)</w:t>
            </w:r>
          </w:p>
        </w:tc>
        <w:tc>
          <w:tcPr>
            <w:tcW w:w="943"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0.4471</w:t>
            </w:r>
          </w:p>
        </w:tc>
        <w:tc>
          <w:tcPr>
            <w:tcW w:w="679"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Dominant</w:t>
            </w:r>
          </w:p>
        </w:tc>
      </w:tr>
      <w:tr w:rsidR="0014764A" w:rsidRPr="006B1802" w:rsidTr="0014764A">
        <w:trPr>
          <w:trHeight w:val="20"/>
        </w:trPr>
        <w:tc>
          <w:tcPr>
            <w:tcW w:w="2435"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 xml:space="preserve">  Overall PBS population – weighted average </w:t>
            </w:r>
            <w:r w:rsidRPr="006B1802">
              <w:rPr>
                <w:rFonts w:ascii="Arial Narrow" w:hAnsi="Arial Narrow"/>
                <w:sz w:val="20"/>
                <w:szCs w:val="20"/>
                <w:vertAlign w:val="superscript"/>
              </w:rPr>
              <w:t>a</w:t>
            </w:r>
            <w:r w:rsidRPr="006B1802">
              <w:rPr>
                <w:rFonts w:ascii="Arial Narrow" w:hAnsi="Arial Narrow"/>
                <w:sz w:val="20"/>
                <w:szCs w:val="20"/>
              </w:rPr>
              <w:t xml:space="preserve">  </w:t>
            </w:r>
          </w:p>
        </w:tc>
        <w:tc>
          <w:tcPr>
            <w:tcW w:w="943"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0.4166</w:t>
            </w:r>
          </w:p>
        </w:tc>
        <w:tc>
          <w:tcPr>
            <w:tcW w:w="679"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rPr>
          <w:trHeight w:val="20"/>
        </w:trPr>
        <w:tc>
          <w:tcPr>
            <w:tcW w:w="5000" w:type="pct"/>
            <w:gridSpan w:val="4"/>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b/>
                <w:sz w:val="20"/>
                <w:szCs w:val="20"/>
              </w:rPr>
              <w:t>50% loss in tolvaptan efficacy after 10 years</w:t>
            </w:r>
          </w:p>
        </w:tc>
      </w:tr>
      <w:tr w:rsidR="0014764A" w:rsidRPr="006B1802" w:rsidTr="0014764A">
        <w:trPr>
          <w:trHeight w:val="20"/>
        </w:trPr>
        <w:tc>
          <w:tcPr>
            <w:tcW w:w="2435"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 xml:space="preserve">  PBS patient sub-population A (TEMPO 3:4 data)</w:t>
            </w:r>
          </w:p>
        </w:tc>
        <w:tc>
          <w:tcPr>
            <w:tcW w:w="943"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0.4823</w:t>
            </w:r>
          </w:p>
        </w:tc>
        <w:tc>
          <w:tcPr>
            <w:tcW w:w="679"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rPr>
          <w:trHeight w:val="20"/>
        </w:trPr>
        <w:tc>
          <w:tcPr>
            <w:tcW w:w="2435"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 xml:space="preserve">  PBS patient sub-population B (REPRISE data)</w:t>
            </w:r>
          </w:p>
        </w:tc>
        <w:tc>
          <w:tcPr>
            <w:tcW w:w="943"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0.5316</w:t>
            </w:r>
          </w:p>
        </w:tc>
        <w:tc>
          <w:tcPr>
            <w:tcW w:w="679"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Dominant</w:t>
            </w:r>
          </w:p>
        </w:tc>
      </w:tr>
      <w:tr w:rsidR="0014764A" w:rsidRPr="006B1802" w:rsidTr="0014764A">
        <w:trPr>
          <w:trHeight w:val="20"/>
        </w:trPr>
        <w:tc>
          <w:tcPr>
            <w:tcW w:w="2435"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 xml:space="preserve">  Overall PBS population – weighted average </w:t>
            </w:r>
            <w:r w:rsidRPr="006B1802">
              <w:rPr>
                <w:rFonts w:ascii="Arial Narrow" w:hAnsi="Arial Narrow"/>
                <w:sz w:val="20"/>
                <w:szCs w:val="20"/>
                <w:vertAlign w:val="superscript"/>
              </w:rPr>
              <w:t>a</w:t>
            </w:r>
          </w:p>
        </w:tc>
        <w:tc>
          <w:tcPr>
            <w:tcW w:w="943" w:type="pct"/>
            <w:tcBorders>
              <w:top w:val="single" w:sz="4" w:space="0" w:color="auto"/>
              <w:left w:val="single" w:sz="4" w:space="0" w:color="auto"/>
              <w:bottom w:val="single" w:sz="4" w:space="0" w:color="auto"/>
              <w:right w:val="single" w:sz="4" w:space="0" w:color="auto"/>
            </w:tcBorders>
            <w:noWrap/>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943"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0.5049</w:t>
            </w:r>
          </w:p>
        </w:tc>
        <w:tc>
          <w:tcPr>
            <w:tcW w:w="679" w:type="pct"/>
            <w:tcBorders>
              <w:top w:val="single" w:sz="4" w:space="0" w:color="auto"/>
              <w:left w:val="single" w:sz="4" w:space="0" w:color="auto"/>
              <w:bottom w:val="single" w:sz="4" w:space="0" w:color="auto"/>
              <w:right w:val="single" w:sz="4" w:space="0" w:color="auto"/>
            </w:tcBorders>
          </w:tcPr>
          <w:p w:rsidR="00C96652" w:rsidRPr="006B1802" w:rsidRDefault="00C96652" w:rsidP="00B93A10">
            <w:pPr>
              <w:pStyle w:val="Tablenormal0"/>
              <w:keepNext/>
              <w:spacing w:before="40" w:after="40" w:line="240" w:lineRule="auto"/>
              <w:jc w:val="left"/>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bl>
    <w:p w:rsidR="00C96652" w:rsidRPr="006B1802" w:rsidRDefault="00C96652" w:rsidP="00B93A10">
      <w:pPr>
        <w:pStyle w:val="Tablenotes0"/>
        <w:rPr>
          <w:sz w:val="18"/>
          <w:szCs w:val="18"/>
        </w:rPr>
      </w:pPr>
      <w:r w:rsidRPr="006B1802">
        <w:rPr>
          <w:sz w:val="18"/>
          <w:szCs w:val="18"/>
        </w:rPr>
        <w:t xml:space="preserve">Source: Table 3-3, p16 of the minor resubmission </w:t>
      </w:r>
    </w:p>
    <w:p w:rsidR="00C96652" w:rsidRPr="006B1802" w:rsidRDefault="00C96652" w:rsidP="00B93A10">
      <w:pPr>
        <w:pStyle w:val="Tablenotes0"/>
        <w:spacing w:before="120" w:after="160"/>
        <w:contextualSpacing w:val="0"/>
        <w:rPr>
          <w:sz w:val="18"/>
          <w:szCs w:val="18"/>
        </w:rPr>
      </w:pPr>
      <w:proofErr w:type="gramStart"/>
      <w:r w:rsidRPr="006B1802">
        <w:rPr>
          <w:sz w:val="18"/>
          <w:szCs w:val="18"/>
          <w:vertAlign w:val="superscript"/>
        </w:rPr>
        <w:t>a</w:t>
      </w:r>
      <w:proofErr w:type="gramEnd"/>
      <w:r w:rsidRPr="006B1802">
        <w:rPr>
          <w:sz w:val="18"/>
          <w:szCs w:val="18"/>
        </w:rPr>
        <w:t xml:space="preserve"> 61.2% = A and B overlap (average between the 2 estimates); 23.5% = A only; 15.3% = B only (based on the THIN data, see the March 2018 submission for full details). </w:t>
      </w:r>
    </w:p>
    <w:p w:rsidR="00C73A73" w:rsidRPr="00C73A73" w:rsidRDefault="009322AC" w:rsidP="00C73A73">
      <w:pPr>
        <w:spacing w:after="120"/>
        <w:jc w:val="both"/>
        <w:rPr>
          <w:rFonts w:asciiTheme="minorHAnsi" w:hAnsiTheme="minorHAnsi"/>
        </w:rPr>
      </w:pPr>
      <w:r>
        <w:rPr>
          <w:rFonts w:asciiTheme="minorHAnsi" w:hAnsiTheme="minorHAnsi"/>
        </w:rPr>
        <w:t xml:space="preserve">The redacted table shows ICERs in the range of less than $15,000/QALY - $75,000/QALY. </w:t>
      </w:r>
    </w:p>
    <w:p w:rsidR="0014764A" w:rsidRPr="006B1802" w:rsidRDefault="0014764A" w:rsidP="00B93A10">
      <w:pPr>
        <w:numPr>
          <w:ilvl w:val="1"/>
          <w:numId w:val="5"/>
        </w:numPr>
        <w:spacing w:after="120"/>
        <w:jc w:val="both"/>
        <w:rPr>
          <w:rFonts w:asciiTheme="minorHAnsi" w:hAnsiTheme="minorHAnsi"/>
        </w:rPr>
      </w:pPr>
      <w:r w:rsidRPr="006B1802">
        <w:rPr>
          <w:rFonts w:asciiTheme="minorHAnsi" w:hAnsiTheme="minorHAnsi" w:cstheme="minorHAnsi"/>
        </w:rPr>
        <w:t xml:space="preserve">These sensitivity analyses did not reliably address the long-term treatment effect as the model </w:t>
      </w:r>
      <w:r w:rsidR="0080214C" w:rsidRPr="006B1802">
        <w:rPr>
          <w:rFonts w:asciiTheme="minorHAnsi" w:hAnsiTheme="minorHAnsi" w:cstheme="minorHAnsi"/>
        </w:rPr>
        <w:t xml:space="preserve">estimated </w:t>
      </w:r>
      <w:proofErr w:type="gramStart"/>
      <w:r w:rsidRPr="006B1802">
        <w:rPr>
          <w:rFonts w:asciiTheme="minorHAnsi" w:hAnsiTheme="minorHAnsi" w:cstheme="minorHAnsi"/>
        </w:rPr>
        <w:t>a mean</w:t>
      </w:r>
      <w:proofErr w:type="gramEnd"/>
      <w:r w:rsidRPr="006B1802">
        <w:rPr>
          <w:rFonts w:asciiTheme="minorHAnsi" w:hAnsiTheme="minorHAnsi" w:cstheme="minorHAnsi"/>
        </w:rPr>
        <w:t xml:space="preserve"> treatment duration of 6.5 to 9.5 years (depending on the population group). </w:t>
      </w:r>
      <w:r w:rsidR="0080214C" w:rsidRPr="006B1802">
        <w:rPr>
          <w:rFonts w:asciiTheme="minorHAnsi" w:hAnsiTheme="minorHAnsi" w:cstheme="minorHAnsi"/>
        </w:rPr>
        <w:t xml:space="preserve">The proportion of patients still on treatment at 10 years was 38% in TEMPO 3:4 and 16% in REPRISE (at five years, 66% and 53% of patients were still on treatment in TEMPO 3:4 and REPRISE, respectively). </w:t>
      </w:r>
      <w:r w:rsidRPr="006B1802">
        <w:rPr>
          <w:rFonts w:asciiTheme="minorHAnsi" w:hAnsiTheme="minorHAnsi" w:cstheme="minorHAnsi"/>
        </w:rPr>
        <w:t xml:space="preserve">Thus, the treatment effect was </w:t>
      </w:r>
      <w:r w:rsidR="000238EF" w:rsidRPr="006B1802">
        <w:rPr>
          <w:rFonts w:asciiTheme="minorHAnsi" w:hAnsiTheme="minorHAnsi" w:cstheme="minorHAnsi"/>
        </w:rPr>
        <w:t>reduc</w:t>
      </w:r>
      <w:r w:rsidRPr="006B1802">
        <w:rPr>
          <w:rFonts w:asciiTheme="minorHAnsi" w:hAnsiTheme="minorHAnsi" w:cstheme="minorHAnsi"/>
        </w:rPr>
        <w:t xml:space="preserve">ed when </w:t>
      </w:r>
      <w:r w:rsidR="008551C4" w:rsidRPr="006B1802">
        <w:rPr>
          <w:rFonts w:asciiTheme="minorHAnsi" w:hAnsiTheme="minorHAnsi" w:cstheme="minorHAnsi"/>
        </w:rPr>
        <w:t>a large proportion</w:t>
      </w:r>
      <w:r w:rsidRPr="006B1802">
        <w:rPr>
          <w:rFonts w:asciiTheme="minorHAnsi" w:hAnsiTheme="minorHAnsi" w:cstheme="minorHAnsi"/>
        </w:rPr>
        <w:t xml:space="preserve"> of patients were off-treatment with tolvaptan (and assumed to be on best supportive care). Patients would still benefit after ceasing tolvaptan as their eGFR would be higher after having previously been on tolvaptan. An alternative way to address the uncertain long term efficacy would have been to have</w:t>
      </w:r>
      <w:r w:rsidR="008551C4" w:rsidRPr="006B1802">
        <w:t xml:space="preserve"> </w:t>
      </w:r>
      <w:r w:rsidR="008551C4" w:rsidRPr="006B1802">
        <w:rPr>
          <w:rFonts w:asciiTheme="minorHAnsi" w:hAnsiTheme="minorHAnsi" w:cstheme="minorHAnsi"/>
        </w:rPr>
        <w:t>assumed that the tolvaptan treatment effect converges with best supportive care over time, or to have</w:t>
      </w:r>
      <w:r w:rsidRPr="006B1802">
        <w:rPr>
          <w:rFonts w:asciiTheme="minorHAnsi" w:hAnsiTheme="minorHAnsi" w:cstheme="minorHAnsi"/>
        </w:rPr>
        <w:t xml:space="preserve"> truncated the model time horizon. While th</w:t>
      </w:r>
      <w:r w:rsidR="008551C4" w:rsidRPr="006B1802">
        <w:rPr>
          <w:rFonts w:asciiTheme="minorHAnsi" w:hAnsiTheme="minorHAnsi" w:cstheme="minorHAnsi"/>
        </w:rPr>
        <w:t>e latter</w:t>
      </w:r>
      <w:r w:rsidRPr="006B1802">
        <w:rPr>
          <w:rFonts w:asciiTheme="minorHAnsi" w:hAnsiTheme="minorHAnsi" w:cstheme="minorHAnsi"/>
        </w:rPr>
        <w:t xml:space="preserve"> results in a dominant ICER (when weighted between the TEMPO 3:4 and REPRISE sub-populations) at 10 years, it would be markedly higher at shorter time intervals (e.g. the weighted ICER is</w:t>
      </w:r>
      <w:r w:rsidR="001127B1">
        <w:rPr>
          <w:rFonts w:asciiTheme="minorHAnsi" w:hAnsiTheme="minorHAnsi" w:cstheme="minorHAnsi"/>
        </w:rPr>
        <w:t xml:space="preserve"> more than</w:t>
      </w:r>
      <w:r w:rsidRPr="006B1802">
        <w:rPr>
          <w:rFonts w:asciiTheme="minorHAnsi" w:hAnsiTheme="minorHAnsi" w:cstheme="minorHAnsi"/>
        </w:rPr>
        <w:t xml:space="preserve"> $</w:t>
      </w:r>
      <w:r w:rsidR="001127B1">
        <w:rPr>
          <w:rFonts w:asciiTheme="minorHAnsi" w:hAnsiTheme="minorHAnsi" w:cstheme="minorHAnsi"/>
        </w:rPr>
        <w:t>200,000</w:t>
      </w:r>
      <w:r w:rsidRPr="006B1802">
        <w:rPr>
          <w:rFonts w:asciiTheme="minorHAnsi" w:hAnsiTheme="minorHAnsi" w:cstheme="minorHAnsi"/>
        </w:rPr>
        <w:t xml:space="preserve">/QALY at 5 years and </w:t>
      </w:r>
      <w:r w:rsidR="001127B1">
        <w:rPr>
          <w:rFonts w:asciiTheme="minorHAnsi" w:hAnsiTheme="minorHAnsi" w:cstheme="minorHAnsi"/>
        </w:rPr>
        <w:t xml:space="preserve">more than </w:t>
      </w:r>
      <w:r w:rsidRPr="006B1802">
        <w:rPr>
          <w:rFonts w:asciiTheme="minorHAnsi" w:hAnsiTheme="minorHAnsi" w:cstheme="minorHAnsi"/>
        </w:rPr>
        <w:t>$</w:t>
      </w:r>
      <w:r w:rsidR="001127B1">
        <w:rPr>
          <w:rFonts w:asciiTheme="minorHAnsi" w:hAnsiTheme="minorHAnsi" w:cstheme="minorHAnsi"/>
        </w:rPr>
        <w:t>200,000</w:t>
      </w:r>
      <w:r w:rsidRPr="006B1802">
        <w:rPr>
          <w:rFonts w:asciiTheme="minorHAnsi" w:hAnsiTheme="minorHAnsi" w:cstheme="minorHAnsi"/>
        </w:rPr>
        <w:t xml:space="preserve">/QALY at 7 years). </w:t>
      </w:r>
    </w:p>
    <w:p w:rsidR="009A4AF8" w:rsidRPr="006B1802" w:rsidRDefault="0014764A" w:rsidP="00B93A10">
      <w:pPr>
        <w:numPr>
          <w:ilvl w:val="1"/>
          <w:numId w:val="5"/>
        </w:numPr>
        <w:spacing w:after="120"/>
        <w:jc w:val="both"/>
        <w:rPr>
          <w:rFonts w:asciiTheme="minorHAnsi" w:hAnsiTheme="minorHAnsi"/>
        </w:rPr>
      </w:pPr>
      <w:r w:rsidRPr="006B1802">
        <w:rPr>
          <w:rFonts w:asciiTheme="minorHAnsi" w:hAnsiTheme="minorHAnsi" w:cstheme="minorHAnsi"/>
        </w:rPr>
        <w:t>Figure 3 shows</w:t>
      </w:r>
      <w:r w:rsidRPr="006B1802">
        <w:t xml:space="preserve"> </w:t>
      </w:r>
      <w:r w:rsidRPr="006B1802">
        <w:rPr>
          <w:rFonts w:asciiTheme="minorHAnsi" w:hAnsiTheme="minorHAnsi" w:cstheme="minorHAnsi"/>
        </w:rPr>
        <w:t>the ICER over time for the TEMPO 3:</w:t>
      </w:r>
      <w:proofErr w:type="gramStart"/>
      <w:r w:rsidRPr="006B1802">
        <w:rPr>
          <w:rFonts w:asciiTheme="minorHAnsi" w:hAnsiTheme="minorHAnsi" w:cstheme="minorHAnsi"/>
        </w:rPr>
        <w:t>4 sub-population</w:t>
      </w:r>
      <w:proofErr w:type="gramEnd"/>
      <w:r w:rsidRPr="006B1802">
        <w:rPr>
          <w:rFonts w:asciiTheme="minorHAnsi" w:hAnsiTheme="minorHAnsi" w:cstheme="minorHAnsi"/>
        </w:rPr>
        <w:t xml:space="preserve">. During preparation of the minor overview it was noted that the ICER is dominant around years 17 and 20 and the </w:t>
      </w:r>
      <w:r w:rsidR="0008323D" w:rsidRPr="006B1802">
        <w:rPr>
          <w:rFonts w:asciiTheme="minorHAnsi" w:hAnsiTheme="minorHAnsi" w:cstheme="minorHAnsi"/>
        </w:rPr>
        <w:t xml:space="preserve">reason </w:t>
      </w:r>
      <w:r w:rsidRPr="006B1802">
        <w:rPr>
          <w:rFonts w:asciiTheme="minorHAnsi" w:hAnsiTheme="minorHAnsi" w:cstheme="minorHAnsi"/>
        </w:rPr>
        <w:t>for th</w:t>
      </w:r>
      <w:r w:rsidR="0008323D" w:rsidRPr="006B1802">
        <w:rPr>
          <w:rFonts w:asciiTheme="minorHAnsi" w:hAnsiTheme="minorHAnsi" w:cstheme="minorHAnsi"/>
        </w:rPr>
        <w:t>e ICER</w:t>
      </w:r>
      <w:r w:rsidR="003851C8" w:rsidRPr="006B1802">
        <w:rPr>
          <w:rFonts w:asciiTheme="minorHAnsi" w:hAnsiTheme="minorHAnsi" w:cstheme="minorHAnsi"/>
        </w:rPr>
        <w:t xml:space="preserve"> initially</w:t>
      </w:r>
      <w:r w:rsidR="0008323D" w:rsidRPr="006B1802">
        <w:rPr>
          <w:rFonts w:asciiTheme="minorHAnsi" w:hAnsiTheme="minorHAnsi" w:cstheme="minorHAnsi"/>
        </w:rPr>
        <w:t xml:space="preserve"> decreasing but then increasing with longer time </w:t>
      </w:r>
      <w:r w:rsidR="003851C8" w:rsidRPr="006B1802">
        <w:rPr>
          <w:rFonts w:asciiTheme="minorHAnsi" w:hAnsiTheme="minorHAnsi" w:cstheme="minorHAnsi"/>
        </w:rPr>
        <w:t>horizons</w:t>
      </w:r>
      <w:r w:rsidRPr="006B1802">
        <w:rPr>
          <w:rFonts w:asciiTheme="minorHAnsi" w:hAnsiTheme="minorHAnsi" w:cstheme="minorHAnsi"/>
        </w:rPr>
        <w:t xml:space="preserve"> was not clear. </w:t>
      </w:r>
      <w:r w:rsidR="00AD7771" w:rsidRPr="006B1802">
        <w:rPr>
          <w:rFonts w:asciiTheme="minorHAnsi" w:hAnsiTheme="minorHAnsi" w:cstheme="minorHAnsi"/>
        </w:rPr>
        <w:t>With a five year time horizon</w:t>
      </w:r>
      <w:r w:rsidR="00D672D4" w:rsidRPr="006B1802">
        <w:rPr>
          <w:rFonts w:asciiTheme="minorHAnsi" w:hAnsiTheme="minorHAnsi" w:cstheme="minorHAnsi"/>
        </w:rPr>
        <w:t xml:space="preserve"> (not shown on the graph)</w:t>
      </w:r>
      <w:r w:rsidR="00AD7771" w:rsidRPr="006B1802">
        <w:rPr>
          <w:rFonts w:asciiTheme="minorHAnsi" w:hAnsiTheme="minorHAnsi" w:cstheme="minorHAnsi"/>
        </w:rPr>
        <w:t xml:space="preserve">, the ICER was </w:t>
      </w:r>
      <w:r w:rsidR="001127B1">
        <w:rPr>
          <w:rFonts w:asciiTheme="minorHAnsi" w:hAnsiTheme="minorHAnsi" w:cstheme="minorHAnsi"/>
        </w:rPr>
        <w:t>more than $200,000</w:t>
      </w:r>
      <w:r w:rsidR="00AD7771" w:rsidRPr="006B1802">
        <w:rPr>
          <w:rFonts w:asciiTheme="minorHAnsi" w:hAnsiTheme="minorHAnsi" w:cstheme="minorHAnsi"/>
        </w:rPr>
        <w:t>/QALY. Th</w:t>
      </w:r>
      <w:r w:rsidR="00D672D4" w:rsidRPr="006B1802">
        <w:rPr>
          <w:rFonts w:asciiTheme="minorHAnsi" w:hAnsiTheme="minorHAnsi" w:cstheme="minorHAnsi"/>
        </w:rPr>
        <w:t xml:space="preserve">is appeared to be due to the </w:t>
      </w:r>
      <w:r w:rsidR="00AD7771" w:rsidRPr="006B1802">
        <w:rPr>
          <w:rFonts w:asciiTheme="minorHAnsi" w:hAnsiTheme="minorHAnsi" w:cstheme="minorHAnsi"/>
        </w:rPr>
        <w:t>disutility applied for adverse events</w:t>
      </w:r>
      <w:r w:rsidR="00B34669" w:rsidRPr="006B1802">
        <w:rPr>
          <w:rFonts w:asciiTheme="minorHAnsi" w:hAnsiTheme="minorHAnsi" w:cstheme="minorHAnsi"/>
        </w:rPr>
        <w:t xml:space="preserve">, which </w:t>
      </w:r>
      <w:r w:rsidR="00AD7771" w:rsidRPr="006B1802">
        <w:rPr>
          <w:rFonts w:asciiTheme="minorHAnsi" w:hAnsiTheme="minorHAnsi" w:cstheme="minorHAnsi"/>
        </w:rPr>
        <w:t xml:space="preserve">although </w:t>
      </w:r>
      <w:r w:rsidR="00B34669" w:rsidRPr="006B1802">
        <w:rPr>
          <w:rFonts w:asciiTheme="minorHAnsi" w:hAnsiTheme="minorHAnsi" w:cstheme="minorHAnsi"/>
        </w:rPr>
        <w:t xml:space="preserve">of a </w:t>
      </w:r>
      <w:r w:rsidR="00AD7771" w:rsidRPr="006B1802">
        <w:rPr>
          <w:rFonts w:asciiTheme="minorHAnsi" w:hAnsiTheme="minorHAnsi" w:cstheme="minorHAnsi"/>
        </w:rPr>
        <w:t>small</w:t>
      </w:r>
      <w:r w:rsidR="00B34669" w:rsidRPr="006B1802">
        <w:rPr>
          <w:rFonts w:asciiTheme="minorHAnsi" w:hAnsiTheme="minorHAnsi" w:cstheme="minorHAnsi"/>
        </w:rPr>
        <w:t xml:space="preserve"> magnitude</w:t>
      </w:r>
      <w:r w:rsidR="00AD7771" w:rsidRPr="006B1802">
        <w:rPr>
          <w:rFonts w:asciiTheme="minorHAnsi" w:hAnsiTheme="minorHAnsi" w:cstheme="minorHAnsi"/>
        </w:rPr>
        <w:t xml:space="preserve"> ha</w:t>
      </w:r>
      <w:r w:rsidR="00B34669" w:rsidRPr="006B1802">
        <w:rPr>
          <w:rFonts w:asciiTheme="minorHAnsi" w:hAnsiTheme="minorHAnsi" w:cstheme="minorHAnsi"/>
        </w:rPr>
        <w:t>d</w:t>
      </w:r>
      <w:r w:rsidR="00AD7771" w:rsidRPr="006B1802">
        <w:rPr>
          <w:rFonts w:asciiTheme="minorHAnsi" w:hAnsiTheme="minorHAnsi" w:cstheme="minorHAnsi"/>
        </w:rPr>
        <w:t xml:space="preserve"> a</w:t>
      </w:r>
      <w:r w:rsidR="00AD7771" w:rsidRPr="006B1802">
        <w:rPr>
          <w:rFonts w:asciiTheme="minorHAnsi" w:hAnsiTheme="minorHAnsi" w:cstheme="minorHAnsi"/>
          <w:i/>
        </w:rPr>
        <w:t xml:space="preserve"> </w:t>
      </w:r>
      <w:r w:rsidR="00AD7771" w:rsidRPr="006B1802">
        <w:rPr>
          <w:rFonts w:asciiTheme="minorHAnsi" w:hAnsiTheme="minorHAnsi" w:cstheme="minorHAnsi"/>
        </w:rPr>
        <w:lastRenderedPageBreak/>
        <w:t xml:space="preserve">large impact </w:t>
      </w:r>
      <w:r w:rsidR="00D672D4" w:rsidRPr="006B1802">
        <w:rPr>
          <w:rFonts w:asciiTheme="minorHAnsi" w:hAnsiTheme="minorHAnsi" w:cstheme="minorHAnsi"/>
        </w:rPr>
        <w:t>with short time horizons given the</w:t>
      </w:r>
      <w:r w:rsidR="00AD7771" w:rsidRPr="006B1802">
        <w:rPr>
          <w:rFonts w:asciiTheme="minorHAnsi" w:hAnsiTheme="minorHAnsi" w:cstheme="minorHAnsi"/>
        </w:rPr>
        <w:t xml:space="preserve"> small difference in QALYs between the two arms </w:t>
      </w:r>
      <w:r w:rsidR="00D672D4" w:rsidRPr="006B1802">
        <w:rPr>
          <w:rFonts w:asciiTheme="minorHAnsi" w:hAnsiTheme="minorHAnsi" w:cstheme="minorHAnsi"/>
        </w:rPr>
        <w:t>in the earlier stages of the model.</w:t>
      </w:r>
    </w:p>
    <w:p w:rsidR="0014764A" w:rsidRPr="006B1802" w:rsidRDefault="0014764A" w:rsidP="00B93A10">
      <w:pPr>
        <w:keepNext/>
        <w:keepLines/>
        <w:rPr>
          <w:i/>
        </w:rPr>
      </w:pPr>
      <w:r w:rsidRPr="006B1802">
        <w:rPr>
          <w:rFonts w:ascii="Arial Narrow" w:hAnsi="Arial Narrow"/>
          <w:b/>
          <w:sz w:val="20"/>
        </w:rPr>
        <w:t xml:space="preserve">Figure 3: ICER over time for TEMPO 3:4 sub-population used in the base case. </w:t>
      </w:r>
    </w:p>
    <w:p w:rsidR="0014764A" w:rsidRPr="006B1802" w:rsidRDefault="0014764A" w:rsidP="00B93A10">
      <w:pPr>
        <w:keepNext/>
        <w:keepLines/>
        <w:rPr>
          <w:rFonts w:asciiTheme="minorHAnsi" w:hAnsiTheme="minorHAnsi" w:cstheme="minorHAnsi"/>
        </w:rPr>
      </w:pPr>
      <w:r w:rsidRPr="006B1802">
        <w:rPr>
          <w:noProof/>
        </w:rPr>
        <w:drawing>
          <wp:inline distT="0" distB="0" distL="0" distR="0" wp14:anchorId="32F585A1" wp14:editId="10143274">
            <wp:extent cx="4089196" cy="2758976"/>
            <wp:effectExtent l="0" t="0" r="6985" b="3810"/>
            <wp:docPr id="8" name="Picture 8" title="Figure 3: ICER over time for TEMPO 3:4 sub-population used in the base c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4098865" cy="2765500"/>
                    </a:xfrm>
                    <a:prstGeom prst="rect">
                      <a:avLst/>
                    </a:prstGeom>
                    <a:noFill/>
                    <a:ln>
                      <a:noFill/>
                    </a:ln>
                    <a:extLst>
                      <a:ext uri="{53640926-AAD7-44D8-BBD7-CCE9431645EC}">
                        <a14:shadowObscured xmlns:a14="http://schemas.microsoft.com/office/drawing/2010/main"/>
                      </a:ext>
                    </a:extLst>
                  </pic:spPr>
                </pic:pic>
              </a:graphicData>
            </a:graphic>
          </wp:inline>
        </w:drawing>
      </w:r>
    </w:p>
    <w:p w:rsidR="0014764A" w:rsidRPr="006B1802" w:rsidRDefault="0014764A" w:rsidP="00B93A10">
      <w:pPr>
        <w:keepNext/>
        <w:keepLines/>
        <w:rPr>
          <w:rFonts w:ascii="Arial Narrow" w:hAnsi="Arial Narrow" w:cstheme="minorHAnsi"/>
          <w:i/>
          <w:sz w:val="16"/>
          <w:szCs w:val="16"/>
        </w:rPr>
      </w:pPr>
      <w:r w:rsidRPr="006B1802">
        <w:rPr>
          <w:rFonts w:ascii="Arial Narrow" w:hAnsi="Arial Narrow" w:cstheme="minorHAnsi"/>
          <w:i/>
          <w:sz w:val="16"/>
          <w:szCs w:val="16"/>
        </w:rPr>
        <w:t>Source: Constructed during preparation of the Minor Overview based on ‘Tolvaptan November 2017 PBAC Section 3 Updated for April 2018, as a one-way sensitivity analysis on the variable ‘</w:t>
      </w:r>
      <w:proofErr w:type="spellStart"/>
      <w:r w:rsidRPr="006B1802">
        <w:rPr>
          <w:rFonts w:ascii="Arial Narrow" w:hAnsi="Arial Narrow" w:cstheme="minorHAnsi"/>
          <w:i/>
          <w:sz w:val="16"/>
          <w:szCs w:val="16"/>
        </w:rPr>
        <w:t>dur_years</w:t>
      </w:r>
      <w:proofErr w:type="spellEnd"/>
      <w:r w:rsidRPr="006B1802">
        <w:rPr>
          <w:rFonts w:ascii="Arial Narrow" w:hAnsi="Arial Narrow" w:cstheme="minorHAnsi"/>
          <w:i/>
          <w:sz w:val="16"/>
          <w:szCs w:val="16"/>
        </w:rPr>
        <w:t>’</w:t>
      </w:r>
    </w:p>
    <w:p w:rsidR="0014764A" w:rsidRPr="006B1802" w:rsidRDefault="0014764A" w:rsidP="00B93A10">
      <w:pPr>
        <w:numPr>
          <w:ilvl w:val="1"/>
          <w:numId w:val="5"/>
        </w:numPr>
        <w:spacing w:after="120"/>
        <w:jc w:val="both"/>
        <w:rPr>
          <w:rFonts w:asciiTheme="minorHAnsi" w:hAnsiTheme="minorHAnsi" w:cstheme="minorHAnsi"/>
        </w:rPr>
      </w:pPr>
      <w:r w:rsidRPr="006B1802">
        <w:rPr>
          <w:rFonts w:asciiTheme="minorHAnsi" w:hAnsiTheme="minorHAnsi" w:cstheme="minorHAnsi"/>
        </w:rPr>
        <w:t xml:space="preserve">Tables </w:t>
      </w:r>
      <w:r w:rsidR="00CC525E" w:rsidRPr="006B1802">
        <w:rPr>
          <w:rFonts w:asciiTheme="minorHAnsi" w:hAnsiTheme="minorHAnsi" w:cstheme="minorHAnsi"/>
        </w:rPr>
        <w:t>5</w:t>
      </w:r>
      <w:r w:rsidRPr="006B1802">
        <w:rPr>
          <w:rFonts w:asciiTheme="minorHAnsi" w:hAnsiTheme="minorHAnsi" w:cstheme="minorHAnsi"/>
        </w:rPr>
        <w:t xml:space="preserve"> and </w:t>
      </w:r>
      <w:r w:rsidR="00CC525E" w:rsidRPr="006B1802">
        <w:rPr>
          <w:rFonts w:asciiTheme="minorHAnsi" w:hAnsiTheme="minorHAnsi" w:cstheme="minorHAnsi"/>
        </w:rPr>
        <w:t>6</w:t>
      </w:r>
      <w:r w:rsidRPr="006B1802">
        <w:rPr>
          <w:rFonts w:asciiTheme="minorHAnsi" w:hAnsiTheme="minorHAnsi" w:cstheme="minorHAnsi"/>
        </w:rPr>
        <w:t xml:space="preserve"> provide sensitivity analyses conducted during preparation of the minor overview for TEMPO 3:4 and REPRISE, respectively, based on the sub-populations used in the minor resubmission’s base case. </w:t>
      </w:r>
    </w:p>
    <w:p w:rsidR="0014764A" w:rsidRPr="006B1802" w:rsidRDefault="0014764A" w:rsidP="00B93A10">
      <w:pPr>
        <w:pStyle w:val="Caption"/>
        <w:keepNext/>
        <w:keepLines/>
        <w:spacing w:after="0"/>
        <w:rPr>
          <w:rFonts w:ascii="Arial Narrow" w:hAnsi="Arial Narrow"/>
          <w:color w:val="auto"/>
          <w:sz w:val="20"/>
          <w:szCs w:val="20"/>
        </w:rPr>
      </w:pPr>
      <w:r w:rsidRPr="006B1802">
        <w:rPr>
          <w:rFonts w:ascii="Arial Narrow" w:hAnsi="Arial Narrow"/>
          <w:color w:val="auto"/>
          <w:sz w:val="20"/>
          <w:szCs w:val="20"/>
        </w:rPr>
        <w:lastRenderedPageBreak/>
        <w:t xml:space="preserve">Table </w:t>
      </w:r>
      <w:r w:rsidR="00CC525E" w:rsidRPr="006B1802">
        <w:rPr>
          <w:rFonts w:ascii="Arial Narrow" w:hAnsi="Arial Narrow"/>
          <w:color w:val="auto"/>
          <w:sz w:val="20"/>
          <w:szCs w:val="20"/>
        </w:rPr>
        <w:t>5</w:t>
      </w:r>
      <w:r w:rsidRPr="006B1802">
        <w:rPr>
          <w:rFonts w:ascii="Arial Narrow" w:hAnsi="Arial Narrow"/>
          <w:color w:val="auto"/>
          <w:sz w:val="20"/>
          <w:szCs w:val="20"/>
        </w:rPr>
        <w:t xml:space="preserve">: Sensitivity analyses on TEMPO 3:4 </w:t>
      </w:r>
      <w:r w:rsidR="003C3869" w:rsidRPr="006B1802">
        <w:rPr>
          <w:rFonts w:ascii="Arial Narrow" w:hAnsi="Arial Narrow"/>
          <w:color w:val="auto"/>
          <w:sz w:val="20"/>
          <w:szCs w:val="20"/>
        </w:rPr>
        <w:t>sub-population</w:t>
      </w:r>
      <w:r w:rsidRPr="006B1802">
        <w:rPr>
          <w:rFonts w:ascii="Arial Narrow" w:hAnsi="Arial Narrow"/>
          <w:color w:val="auto"/>
          <w:sz w:val="20"/>
          <w:szCs w:val="20"/>
        </w:rPr>
        <w:t xml:space="preserve"> </w:t>
      </w:r>
      <w:r w:rsidRPr="006B1802">
        <w:rPr>
          <w:rFonts w:ascii="Arial Narrow" w:hAnsi="Arial Narrow"/>
          <w:color w:val="auto"/>
          <w:sz w:val="20"/>
          <w:szCs w:val="20"/>
          <w:vertAlign w:val="superscript"/>
        </w:rPr>
        <w:t>a</w:t>
      </w:r>
    </w:p>
    <w:tbl>
      <w:tblPr>
        <w:tblStyle w:val="TableGrid"/>
        <w:tblW w:w="5000" w:type="pct"/>
        <w:tblLayout w:type="fixed"/>
        <w:tblLook w:val="04A0" w:firstRow="1" w:lastRow="0" w:firstColumn="1" w:lastColumn="0" w:noHBand="0" w:noVBand="1"/>
        <w:tblCaption w:val="Table 5: Sensitivity analyses on TEMPO 3:4 sub-population "/>
      </w:tblPr>
      <w:tblGrid>
        <w:gridCol w:w="5921"/>
        <w:gridCol w:w="1135"/>
        <w:gridCol w:w="1079"/>
        <w:gridCol w:w="1107"/>
      </w:tblGrid>
      <w:tr w:rsidR="0014764A" w:rsidRPr="006B1802" w:rsidTr="00B34669">
        <w:trPr>
          <w:tblHeader/>
        </w:trPr>
        <w:tc>
          <w:tcPr>
            <w:tcW w:w="3203" w:type="pct"/>
            <w:vAlign w:val="center"/>
          </w:tcPr>
          <w:p w:rsidR="0014764A" w:rsidRPr="006B1802" w:rsidRDefault="0014764A" w:rsidP="00B93A10">
            <w:pPr>
              <w:keepNext/>
              <w:rPr>
                <w:rFonts w:ascii="Arial Narrow" w:hAnsi="Arial Narrow"/>
                <w:b/>
                <w:sz w:val="20"/>
                <w:szCs w:val="20"/>
              </w:rPr>
            </w:pPr>
            <w:r w:rsidRPr="006B1802">
              <w:rPr>
                <w:rFonts w:ascii="Arial Narrow" w:hAnsi="Arial Narrow"/>
                <w:b/>
                <w:sz w:val="20"/>
                <w:szCs w:val="20"/>
              </w:rPr>
              <w:t>Analysis</w:t>
            </w:r>
          </w:p>
        </w:tc>
        <w:tc>
          <w:tcPr>
            <w:tcW w:w="614" w:type="pct"/>
            <w:vAlign w:val="center"/>
          </w:tcPr>
          <w:p w:rsidR="0014764A" w:rsidRPr="006B1802" w:rsidRDefault="0014764A" w:rsidP="00B93A10">
            <w:pPr>
              <w:keepNext/>
              <w:jc w:val="center"/>
              <w:rPr>
                <w:rFonts w:ascii="Arial Narrow" w:hAnsi="Arial Narrow"/>
                <w:b/>
                <w:sz w:val="20"/>
                <w:szCs w:val="20"/>
              </w:rPr>
            </w:pPr>
            <w:r w:rsidRPr="006B1802">
              <w:rPr>
                <w:rFonts w:ascii="Arial Narrow" w:hAnsi="Arial Narrow"/>
                <w:b/>
                <w:sz w:val="20"/>
                <w:szCs w:val="20"/>
              </w:rPr>
              <w:t>∆ cost</w:t>
            </w:r>
          </w:p>
        </w:tc>
        <w:tc>
          <w:tcPr>
            <w:tcW w:w="584" w:type="pct"/>
            <w:vAlign w:val="center"/>
          </w:tcPr>
          <w:p w:rsidR="0014764A" w:rsidRPr="006B1802" w:rsidRDefault="0014764A" w:rsidP="00B93A10">
            <w:pPr>
              <w:keepNext/>
              <w:jc w:val="center"/>
              <w:rPr>
                <w:rFonts w:ascii="Arial Narrow" w:hAnsi="Arial Narrow"/>
                <w:b/>
                <w:sz w:val="20"/>
                <w:szCs w:val="20"/>
              </w:rPr>
            </w:pPr>
            <w:r w:rsidRPr="006B1802">
              <w:rPr>
                <w:rFonts w:ascii="Arial Narrow" w:hAnsi="Arial Narrow"/>
                <w:b/>
                <w:sz w:val="20"/>
                <w:szCs w:val="20"/>
              </w:rPr>
              <w:t>∆ QALYs</w:t>
            </w:r>
          </w:p>
        </w:tc>
        <w:tc>
          <w:tcPr>
            <w:tcW w:w="599" w:type="pct"/>
            <w:vAlign w:val="center"/>
          </w:tcPr>
          <w:p w:rsidR="0014764A" w:rsidRPr="006B1802" w:rsidRDefault="0014764A" w:rsidP="00B93A10">
            <w:pPr>
              <w:keepNext/>
              <w:jc w:val="center"/>
              <w:rPr>
                <w:rFonts w:ascii="Arial Narrow" w:hAnsi="Arial Narrow"/>
                <w:b/>
                <w:sz w:val="20"/>
                <w:szCs w:val="20"/>
              </w:rPr>
            </w:pPr>
            <w:r w:rsidRPr="006B1802">
              <w:rPr>
                <w:rFonts w:ascii="Arial Narrow" w:hAnsi="Arial Narrow"/>
                <w:b/>
                <w:sz w:val="20"/>
                <w:szCs w:val="20"/>
              </w:rPr>
              <w:t>ICER</w:t>
            </w:r>
          </w:p>
        </w:tc>
      </w:tr>
      <w:tr w:rsidR="0014764A" w:rsidRPr="006B1802" w:rsidTr="00B34669">
        <w:trPr>
          <w:trHeight w:val="224"/>
        </w:trPr>
        <w:tc>
          <w:tcPr>
            <w:tcW w:w="3203" w:type="pct"/>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Resubmission’s base case (PBS eligibility population and CKD stage 2-3 efficacy; efficacy = 0.296)</w:t>
            </w:r>
          </w:p>
        </w:tc>
        <w:tc>
          <w:tcPr>
            <w:tcW w:w="61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0.5500</w:t>
            </w:r>
          </w:p>
        </w:tc>
        <w:tc>
          <w:tcPr>
            <w:tcW w:w="599" w:type="pct"/>
            <w:vAlign w:val="center"/>
          </w:tcPr>
          <w:p w:rsidR="0014764A" w:rsidRPr="006B1802" w:rsidRDefault="0014764A" w:rsidP="00B93A10">
            <w:pPr>
              <w:keepNext/>
              <w:jc w:val="center"/>
              <w:rPr>
                <w:rFonts w:ascii="Arial Narrow" w:hAnsi="Arial Narrow"/>
                <w:sz w:val="20"/>
                <w:szCs w:val="20"/>
                <w:vertAlign w:val="superscript"/>
              </w:rPr>
            </w:pPr>
            <w:r w:rsidRPr="006B1802">
              <w:rPr>
                <w:rFonts w:ascii="Arial Narrow" w:hAnsi="Arial Narrow"/>
                <w:sz w:val="20"/>
                <w:szCs w:val="20"/>
              </w:rPr>
              <w:t>$</w:t>
            </w:r>
            <w:r w:rsidR="00B912EA">
              <w:rPr>
                <w:rFonts w:ascii="Arial Narrow" w:hAnsi="Arial Narrow"/>
                <w:noProof/>
                <w:color w:val="000000"/>
                <w:sz w:val="20"/>
                <w:szCs w:val="20"/>
                <w:highlight w:val="black"/>
              </w:rPr>
              <w:t>'''''''''''''''</w:t>
            </w:r>
            <w:r w:rsidRPr="006B1802">
              <w:rPr>
                <w:rFonts w:ascii="Arial Narrow" w:hAnsi="Arial Narrow"/>
                <w:sz w:val="20"/>
                <w:szCs w:val="20"/>
              </w:rPr>
              <w:t xml:space="preserve"> </w:t>
            </w:r>
            <w:r w:rsidRPr="006B1802">
              <w:rPr>
                <w:rFonts w:ascii="Arial Narrow" w:hAnsi="Arial Narrow"/>
                <w:sz w:val="20"/>
                <w:szCs w:val="20"/>
                <w:vertAlign w:val="superscript"/>
              </w:rPr>
              <w:t>a</w:t>
            </w:r>
          </w:p>
        </w:tc>
      </w:tr>
      <w:tr w:rsidR="0014764A" w:rsidRPr="006B1802" w:rsidTr="0014764A">
        <w:tc>
          <w:tcPr>
            <w:tcW w:w="5000" w:type="pct"/>
            <w:gridSpan w:val="4"/>
          </w:tcPr>
          <w:p w:rsidR="0014764A" w:rsidRPr="006B1802" w:rsidRDefault="0014764A" w:rsidP="00B93A10">
            <w:pPr>
              <w:keepNext/>
              <w:rPr>
                <w:rFonts w:ascii="Arial Narrow" w:hAnsi="Arial Narrow"/>
                <w:sz w:val="20"/>
                <w:szCs w:val="20"/>
              </w:rPr>
            </w:pPr>
            <w:r w:rsidRPr="006B1802">
              <w:rPr>
                <w:rFonts w:ascii="Arial Narrow" w:hAnsi="Arial Narrow"/>
                <w:b/>
                <w:sz w:val="20"/>
                <w:szCs w:val="20"/>
              </w:rPr>
              <w:t xml:space="preserve">Alternative tolvaptan efficacy and population (relative reduction; base case 0.296; sub-population) </w:t>
            </w:r>
          </w:p>
        </w:tc>
      </w:tr>
      <w:tr w:rsidR="0014764A" w:rsidRPr="006B1802" w:rsidTr="00B34669">
        <w:tc>
          <w:tcPr>
            <w:tcW w:w="3203" w:type="pct"/>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TEMPO 3:4 ITT - overall trial population and efficacy (N=474, efficacy = 0.264)</w:t>
            </w:r>
          </w:p>
        </w:tc>
        <w:tc>
          <w:tcPr>
            <w:tcW w:w="61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0.3107</w:t>
            </w:r>
          </w:p>
        </w:tc>
        <w:tc>
          <w:tcPr>
            <w:tcW w:w="599"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c>
          <w:tcPr>
            <w:tcW w:w="5000" w:type="pct"/>
            <w:gridSpan w:val="4"/>
          </w:tcPr>
          <w:p w:rsidR="0014764A" w:rsidRPr="006B1802" w:rsidRDefault="0014764A" w:rsidP="00B93A10">
            <w:pPr>
              <w:keepNext/>
              <w:rPr>
                <w:rFonts w:ascii="Arial Narrow" w:hAnsi="Arial Narrow"/>
                <w:sz w:val="20"/>
                <w:szCs w:val="20"/>
              </w:rPr>
            </w:pPr>
            <w:r w:rsidRPr="006B1802">
              <w:rPr>
                <w:rFonts w:ascii="Arial Narrow" w:hAnsi="Arial Narrow"/>
                <w:b/>
                <w:sz w:val="20"/>
                <w:szCs w:val="20"/>
              </w:rPr>
              <w:t>Alternative tolvaptan efficacy estimates (relative reduction; base case 0.296) – population per base case</w:t>
            </w:r>
          </w:p>
        </w:tc>
      </w:tr>
      <w:tr w:rsidR="0014764A" w:rsidRPr="006B1802" w:rsidTr="00B34669">
        <w:tc>
          <w:tcPr>
            <w:tcW w:w="3203" w:type="pct"/>
          </w:tcPr>
          <w:p w:rsidR="0014764A" w:rsidRPr="006B1802" w:rsidRDefault="0014764A" w:rsidP="00B93A10">
            <w:pPr>
              <w:keepNext/>
              <w:rPr>
                <w:rFonts w:ascii="Arial Narrow" w:hAnsi="Arial Narrow"/>
                <w:sz w:val="20"/>
                <w:szCs w:val="20"/>
                <w:vertAlign w:val="superscript"/>
              </w:rPr>
            </w:pPr>
            <w:r w:rsidRPr="006B1802">
              <w:rPr>
                <w:rFonts w:ascii="Arial Narrow" w:hAnsi="Arial Narrow"/>
                <w:sz w:val="20"/>
                <w:szCs w:val="20"/>
              </w:rPr>
              <w:t xml:space="preserve">Efficacy = 0.264 (efficacy per ITT, but using sub-population characteristics) </w:t>
            </w:r>
            <w:r w:rsidRPr="006B1802">
              <w:rPr>
                <w:rFonts w:ascii="Arial Narrow" w:hAnsi="Arial Narrow"/>
                <w:sz w:val="20"/>
                <w:szCs w:val="20"/>
                <w:vertAlign w:val="superscript"/>
              </w:rPr>
              <w:t>b</w:t>
            </w:r>
          </w:p>
        </w:tc>
        <w:tc>
          <w:tcPr>
            <w:tcW w:w="61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0.477</w:t>
            </w:r>
          </w:p>
        </w:tc>
        <w:tc>
          <w:tcPr>
            <w:tcW w:w="599"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B34669">
        <w:tc>
          <w:tcPr>
            <w:tcW w:w="3203" w:type="pct"/>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Efficacy halved at start (0.148)</w:t>
            </w:r>
          </w:p>
        </w:tc>
        <w:tc>
          <w:tcPr>
            <w:tcW w:w="61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0.2388</w:t>
            </w:r>
          </w:p>
        </w:tc>
        <w:tc>
          <w:tcPr>
            <w:tcW w:w="599"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B34669">
        <w:tc>
          <w:tcPr>
            <w:tcW w:w="3203" w:type="pct"/>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 xml:space="preserve">Efficacy halved after 2 years </w:t>
            </w:r>
          </w:p>
        </w:tc>
        <w:tc>
          <w:tcPr>
            <w:tcW w:w="61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0.3100</w:t>
            </w:r>
          </w:p>
        </w:tc>
        <w:tc>
          <w:tcPr>
            <w:tcW w:w="599"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B34669">
        <w:tc>
          <w:tcPr>
            <w:tcW w:w="3203" w:type="pct"/>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Efficacy halved after 5 years</w:t>
            </w:r>
          </w:p>
        </w:tc>
        <w:tc>
          <w:tcPr>
            <w:tcW w:w="614" w:type="pct"/>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0.3907</w:t>
            </w:r>
          </w:p>
        </w:tc>
        <w:tc>
          <w:tcPr>
            <w:tcW w:w="599" w:type="pct"/>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B34669">
        <w:tc>
          <w:tcPr>
            <w:tcW w:w="3203" w:type="pct"/>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 xml:space="preserve">Efficacy halved after 10 years </w:t>
            </w:r>
          </w:p>
        </w:tc>
        <w:tc>
          <w:tcPr>
            <w:tcW w:w="614" w:type="pct"/>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0.4823</w:t>
            </w:r>
          </w:p>
        </w:tc>
        <w:tc>
          <w:tcPr>
            <w:tcW w:w="599" w:type="pct"/>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B34669">
        <w:tc>
          <w:tcPr>
            <w:tcW w:w="3203" w:type="pct"/>
          </w:tcPr>
          <w:p w:rsidR="0014764A" w:rsidRPr="006B1802" w:rsidRDefault="0014764A" w:rsidP="00B93A10">
            <w:pPr>
              <w:keepNext/>
              <w:rPr>
                <w:rFonts w:ascii="Arial Narrow" w:hAnsi="Arial Narrow"/>
                <w:sz w:val="20"/>
                <w:szCs w:val="20"/>
                <w:vertAlign w:val="superscript"/>
              </w:rPr>
            </w:pPr>
            <w:r w:rsidRPr="006B1802">
              <w:rPr>
                <w:rFonts w:ascii="Arial Narrow" w:hAnsi="Arial Narrow"/>
                <w:sz w:val="20"/>
                <w:szCs w:val="20"/>
              </w:rPr>
              <w:t xml:space="preserve">TEMPO 3:4 by CKD stage (CKD 2: 0.291; CKD 3: 0.310; CKD 4: 0.310) </w:t>
            </w:r>
            <w:r w:rsidRPr="006B1802">
              <w:rPr>
                <w:rFonts w:ascii="Arial Narrow" w:hAnsi="Arial Narrow"/>
                <w:sz w:val="20"/>
                <w:szCs w:val="20"/>
                <w:vertAlign w:val="superscript"/>
              </w:rPr>
              <w:t>c</w:t>
            </w:r>
          </w:p>
        </w:tc>
        <w:tc>
          <w:tcPr>
            <w:tcW w:w="61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0.5684</w:t>
            </w:r>
          </w:p>
        </w:tc>
        <w:tc>
          <w:tcPr>
            <w:tcW w:w="599"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c>
          <w:tcPr>
            <w:tcW w:w="5000" w:type="pct"/>
            <w:gridSpan w:val="4"/>
          </w:tcPr>
          <w:p w:rsidR="0014764A" w:rsidRPr="006B1802" w:rsidRDefault="0014764A" w:rsidP="00B93A10">
            <w:pPr>
              <w:keepNext/>
              <w:rPr>
                <w:rFonts w:ascii="Arial Narrow" w:hAnsi="Arial Narrow"/>
                <w:sz w:val="20"/>
                <w:szCs w:val="20"/>
              </w:rPr>
            </w:pPr>
            <w:proofErr w:type="spellStart"/>
            <w:r w:rsidRPr="006B1802">
              <w:rPr>
                <w:rFonts w:ascii="Arial Narrow" w:hAnsi="Arial Narrow"/>
                <w:b/>
                <w:sz w:val="20"/>
                <w:szCs w:val="20"/>
              </w:rPr>
              <w:t>Disutilities</w:t>
            </w:r>
            <w:proofErr w:type="spellEnd"/>
            <w:r w:rsidRPr="006B1802">
              <w:rPr>
                <w:rFonts w:ascii="Arial Narrow" w:hAnsi="Arial Narrow"/>
                <w:b/>
                <w:sz w:val="20"/>
                <w:szCs w:val="20"/>
              </w:rPr>
              <w:t xml:space="preserve"> (base case = -0.0123 was applied to 33% of patients for duration of treatment)</w:t>
            </w:r>
          </w:p>
        </w:tc>
      </w:tr>
      <w:tr w:rsidR="0014764A" w:rsidRPr="006B1802" w:rsidTr="00B34669">
        <w:tc>
          <w:tcPr>
            <w:tcW w:w="3203" w:type="pct"/>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-0.05 applied to 33% of patients for duration of tolvaptan treatment</w:t>
            </w:r>
          </w:p>
        </w:tc>
        <w:tc>
          <w:tcPr>
            <w:tcW w:w="61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0.4685</w:t>
            </w:r>
          </w:p>
        </w:tc>
        <w:tc>
          <w:tcPr>
            <w:tcW w:w="599"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B34669">
        <w:tc>
          <w:tcPr>
            <w:tcW w:w="3203" w:type="pct"/>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 xml:space="preserve">-0.05 applied to all patients for duration of tolvaptan treatment </w:t>
            </w:r>
          </w:p>
        </w:tc>
        <w:tc>
          <w:tcPr>
            <w:tcW w:w="61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0.2489</w:t>
            </w:r>
          </w:p>
        </w:tc>
        <w:tc>
          <w:tcPr>
            <w:tcW w:w="599" w:type="pct"/>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c>
          <w:tcPr>
            <w:tcW w:w="5000" w:type="pct"/>
            <w:gridSpan w:val="4"/>
          </w:tcPr>
          <w:p w:rsidR="0014764A" w:rsidRPr="006B1802" w:rsidRDefault="0014764A" w:rsidP="00B93A10">
            <w:pPr>
              <w:keepNext/>
              <w:rPr>
                <w:rFonts w:ascii="Arial Narrow" w:hAnsi="Arial Narrow"/>
                <w:sz w:val="20"/>
                <w:szCs w:val="20"/>
                <w:vertAlign w:val="superscript"/>
              </w:rPr>
            </w:pPr>
            <w:r w:rsidRPr="006B1802">
              <w:rPr>
                <w:rFonts w:ascii="Arial Narrow" w:hAnsi="Arial Narrow"/>
                <w:b/>
                <w:sz w:val="20"/>
                <w:szCs w:val="20"/>
              </w:rPr>
              <w:t>Time horizon (base case: lifetime; maximum 100 years)</w:t>
            </w:r>
            <w:r w:rsidR="003E1A7D" w:rsidRPr="006B1802">
              <w:rPr>
                <w:rFonts w:ascii="Arial Narrow" w:hAnsi="Arial Narrow"/>
                <w:b/>
                <w:sz w:val="20"/>
                <w:szCs w:val="20"/>
              </w:rPr>
              <w:t xml:space="preserve"> </w:t>
            </w:r>
            <w:r w:rsidR="003E1A7D" w:rsidRPr="006B1802">
              <w:rPr>
                <w:rFonts w:ascii="Arial Narrow" w:hAnsi="Arial Narrow"/>
                <w:b/>
                <w:sz w:val="20"/>
                <w:szCs w:val="20"/>
                <w:vertAlign w:val="superscript"/>
              </w:rPr>
              <w:t>d</w:t>
            </w:r>
          </w:p>
        </w:tc>
      </w:tr>
      <w:tr w:rsidR="0014764A" w:rsidRPr="006B1802" w:rsidTr="00B34669">
        <w:tc>
          <w:tcPr>
            <w:tcW w:w="3203" w:type="pct"/>
            <w:vAlign w:val="bottom"/>
          </w:tcPr>
          <w:p w:rsidR="0014764A" w:rsidRPr="006B1802" w:rsidRDefault="0014764A" w:rsidP="00B93A10">
            <w:pPr>
              <w:keepNext/>
              <w:rPr>
                <w:rFonts w:ascii="Arial Narrow" w:hAnsi="Arial Narrow"/>
                <w:sz w:val="20"/>
                <w:szCs w:val="20"/>
              </w:rPr>
            </w:pPr>
            <w:r w:rsidRPr="006B1802">
              <w:rPr>
                <w:rFonts w:ascii="Arial Narrow" w:hAnsi="Arial Narrow"/>
                <w:color w:val="000000"/>
                <w:sz w:val="20"/>
                <w:szCs w:val="20"/>
              </w:rPr>
              <w:t>5 years</w:t>
            </w:r>
          </w:p>
        </w:tc>
        <w:tc>
          <w:tcPr>
            <w:tcW w:w="61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0.0072</w:t>
            </w:r>
          </w:p>
        </w:tc>
        <w:tc>
          <w:tcPr>
            <w:tcW w:w="599"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B34669">
        <w:tc>
          <w:tcPr>
            <w:tcW w:w="3203" w:type="pct"/>
            <w:vAlign w:val="bottom"/>
          </w:tcPr>
          <w:p w:rsidR="0014764A" w:rsidRPr="006B1802" w:rsidRDefault="0014764A" w:rsidP="00B93A10">
            <w:pPr>
              <w:keepNext/>
              <w:rPr>
                <w:rFonts w:ascii="Arial Narrow" w:hAnsi="Arial Narrow"/>
                <w:color w:val="000000"/>
                <w:sz w:val="20"/>
                <w:szCs w:val="20"/>
              </w:rPr>
            </w:pPr>
            <w:r w:rsidRPr="006B1802">
              <w:rPr>
                <w:rFonts w:ascii="Arial Narrow" w:hAnsi="Arial Narrow"/>
                <w:color w:val="000000"/>
                <w:sz w:val="20"/>
                <w:szCs w:val="20"/>
              </w:rPr>
              <w:t>7 years</w:t>
            </w:r>
          </w:p>
        </w:tc>
        <w:tc>
          <w:tcPr>
            <w:tcW w:w="61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0.0315</w:t>
            </w:r>
          </w:p>
        </w:tc>
        <w:tc>
          <w:tcPr>
            <w:tcW w:w="599"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B34669">
        <w:tc>
          <w:tcPr>
            <w:tcW w:w="3203" w:type="pct"/>
            <w:vAlign w:val="bottom"/>
          </w:tcPr>
          <w:p w:rsidR="0014764A" w:rsidRPr="006B1802" w:rsidRDefault="0014764A" w:rsidP="00B93A10">
            <w:pPr>
              <w:keepNext/>
              <w:rPr>
                <w:rFonts w:ascii="Arial Narrow" w:hAnsi="Arial Narrow"/>
                <w:sz w:val="20"/>
                <w:szCs w:val="20"/>
              </w:rPr>
            </w:pPr>
            <w:r w:rsidRPr="006B1802">
              <w:rPr>
                <w:rFonts w:ascii="Arial Narrow" w:hAnsi="Arial Narrow"/>
                <w:color w:val="000000"/>
                <w:sz w:val="20"/>
                <w:szCs w:val="20"/>
              </w:rPr>
              <w:t>10 years</w:t>
            </w:r>
          </w:p>
        </w:tc>
        <w:tc>
          <w:tcPr>
            <w:tcW w:w="61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0.0950</w:t>
            </w:r>
          </w:p>
        </w:tc>
        <w:tc>
          <w:tcPr>
            <w:tcW w:w="599"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B34669">
        <w:tc>
          <w:tcPr>
            <w:tcW w:w="3203" w:type="pct"/>
            <w:vAlign w:val="bottom"/>
          </w:tcPr>
          <w:p w:rsidR="0014764A" w:rsidRPr="006B1802" w:rsidRDefault="0014764A" w:rsidP="00B93A10">
            <w:pPr>
              <w:keepNext/>
              <w:rPr>
                <w:rFonts w:ascii="Arial Narrow" w:hAnsi="Arial Narrow"/>
                <w:sz w:val="20"/>
                <w:szCs w:val="20"/>
              </w:rPr>
            </w:pPr>
            <w:r w:rsidRPr="006B1802">
              <w:rPr>
                <w:rFonts w:ascii="Arial Narrow" w:hAnsi="Arial Narrow"/>
                <w:color w:val="000000"/>
                <w:sz w:val="20"/>
                <w:szCs w:val="20"/>
              </w:rPr>
              <w:t>20 years</w:t>
            </w:r>
          </w:p>
        </w:tc>
        <w:tc>
          <w:tcPr>
            <w:tcW w:w="61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0.3530</w:t>
            </w:r>
          </w:p>
        </w:tc>
        <w:tc>
          <w:tcPr>
            <w:tcW w:w="599"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Dominant</w:t>
            </w:r>
          </w:p>
        </w:tc>
      </w:tr>
      <w:tr w:rsidR="0014764A" w:rsidRPr="006B1802" w:rsidTr="00B34669">
        <w:tc>
          <w:tcPr>
            <w:tcW w:w="3203" w:type="pct"/>
            <w:vAlign w:val="bottom"/>
          </w:tcPr>
          <w:p w:rsidR="0014764A" w:rsidRPr="006B1802" w:rsidRDefault="0014764A" w:rsidP="00B93A10">
            <w:pPr>
              <w:keepNext/>
              <w:rPr>
                <w:rFonts w:ascii="Arial Narrow" w:hAnsi="Arial Narrow"/>
                <w:color w:val="000000"/>
                <w:sz w:val="20"/>
                <w:szCs w:val="20"/>
              </w:rPr>
            </w:pPr>
            <w:r w:rsidRPr="006B1802">
              <w:rPr>
                <w:rFonts w:ascii="Arial Narrow" w:hAnsi="Arial Narrow"/>
                <w:color w:val="000000"/>
                <w:sz w:val="20"/>
                <w:szCs w:val="20"/>
              </w:rPr>
              <w:t>30 years</w:t>
            </w:r>
          </w:p>
        </w:tc>
        <w:tc>
          <w:tcPr>
            <w:tcW w:w="61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0.4994</w:t>
            </w:r>
          </w:p>
        </w:tc>
        <w:tc>
          <w:tcPr>
            <w:tcW w:w="599" w:type="pct"/>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CB35CC" w:rsidRPr="006B1802" w:rsidTr="00B34669">
        <w:tc>
          <w:tcPr>
            <w:tcW w:w="3203" w:type="pct"/>
            <w:vAlign w:val="bottom"/>
          </w:tcPr>
          <w:p w:rsidR="00CB35CC" w:rsidRPr="006B1802" w:rsidRDefault="00CB35CC" w:rsidP="00B93A10">
            <w:pPr>
              <w:keepNext/>
              <w:rPr>
                <w:rFonts w:ascii="Arial Narrow" w:hAnsi="Arial Narrow"/>
                <w:color w:val="000000"/>
                <w:sz w:val="20"/>
                <w:szCs w:val="20"/>
              </w:rPr>
            </w:pPr>
            <w:r w:rsidRPr="006B1802">
              <w:rPr>
                <w:rFonts w:ascii="Arial Narrow" w:hAnsi="Arial Narrow"/>
                <w:color w:val="000000"/>
                <w:sz w:val="20"/>
                <w:szCs w:val="20"/>
              </w:rPr>
              <w:t>50 years</w:t>
            </w:r>
          </w:p>
        </w:tc>
        <w:tc>
          <w:tcPr>
            <w:tcW w:w="614" w:type="pct"/>
            <w:vAlign w:val="bottom"/>
          </w:tcPr>
          <w:p w:rsidR="00CB35CC" w:rsidRPr="006B1802" w:rsidRDefault="00CB35CC"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84" w:type="pct"/>
            <w:vAlign w:val="bottom"/>
          </w:tcPr>
          <w:p w:rsidR="00CB35CC" w:rsidRPr="006B1802" w:rsidRDefault="0015099D" w:rsidP="00B93A10">
            <w:pPr>
              <w:keepNext/>
              <w:jc w:val="center"/>
              <w:rPr>
                <w:rFonts w:ascii="Arial Narrow" w:hAnsi="Arial Narrow"/>
                <w:sz w:val="20"/>
                <w:szCs w:val="20"/>
              </w:rPr>
            </w:pPr>
            <w:r w:rsidRPr="006B1802">
              <w:rPr>
                <w:rFonts w:ascii="Arial Narrow" w:hAnsi="Arial Narrow"/>
                <w:sz w:val="20"/>
                <w:szCs w:val="20"/>
              </w:rPr>
              <w:t>0.5486</w:t>
            </w:r>
          </w:p>
        </w:tc>
        <w:tc>
          <w:tcPr>
            <w:tcW w:w="599" w:type="pct"/>
            <w:vAlign w:val="bottom"/>
          </w:tcPr>
          <w:p w:rsidR="00CB35CC" w:rsidRPr="006B1802" w:rsidRDefault="0015099D"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bl>
    <w:p w:rsidR="0014764A" w:rsidRPr="006B1802" w:rsidRDefault="0014764A" w:rsidP="00B93A10">
      <w:pPr>
        <w:keepNext/>
        <w:rPr>
          <w:rFonts w:ascii="Arial Narrow" w:hAnsi="Arial Narrow"/>
          <w:sz w:val="18"/>
        </w:rPr>
      </w:pPr>
      <w:r w:rsidRPr="006B1802">
        <w:rPr>
          <w:rFonts w:ascii="Arial Narrow" w:hAnsi="Arial Narrow"/>
          <w:sz w:val="18"/>
        </w:rPr>
        <w:t>Abbreviations: CKD: chronic kidney disease; ICER, incremental cost effectiveness ratio; QALYs: quality adjusted life years</w:t>
      </w:r>
    </w:p>
    <w:p w:rsidR="0014764A" w:rsidRPr="006B1802" w:rsidRDefault="0014764A" w:rsidP="00B93A10">
      <w:pPr>
        <w:keepNext/>
        <w:keepLines/>
        <w:rPr>
          <w:rFonts w:ascii="Arial Narrow" w:hAnsi="Arial Narrow"/>
          <w:sz w:val="18"/>
          <w:szCs w:val="18"/>
        </w:rPr>
      </w:pPr>
      <w:r w:rsidRPr="006B1802">
        <w:rPr>
          <w:rFonts w:ascii="Arial Narrow" w:hAnsi="Arial Narrow"/>
          <w:sz w:val="18"/>
        </w:rPr>
        <w:t xml:space="preserve">Source: </w:t>
      </w:r>
      <w:r w:rsidRPr="006B1802">
        <w:rPr>
          <w:rFonts w:ascii="Arial Narrow" w:hAnsi="Arial Narrow"/>
          <w:sz w:val="18"/>
          <w:szCs w:val="18"/>
        </w:rPr>
        <w:t xml:space="preserve">Table 3-3, p16 of the minor resubmission and calculated during preparation of the Minor Overview based on ‘Tolvaptan November 2017 PBAC Section 3 Updated for April 2018’ </w:t>
      </w:r>
    </w:p>
    <w:p w:rsidR="0014764A" w:rsidRPr="006B1802" w:rsidRDefault="0014764A" w:rsidP="00B93A10">
      <w:pPr>
        <w:keepNext/>
        <w:rPr>
          <w:rFonts w:ascii="Arial Narrow" w:hAnsi="Arial Narrow"/>
          <w:sz w:val="18"/>
        </w:rPr>
      </w:pPr>
      <w:proofErr w:type="spellStart"/>
      <w:proofErr w:type="gramStart"/>
      <w:r w:rsidRPr="006B1802">
        <w:rPr>
          <w:rFonts w:ascii="Arial Narrow" w:hAnsi="Arial Narrow"/>
          <w:sz w:val="18"/>
          <w:vertAlign w:val="superscript"/>
        </w:rPr>
        <w:t>a</w:t>
      </w:r>
      <w:proofErr w:type="spellEnd"/>
      <w:proofErr w:type="gramEnd"/>
      <w:r w:rsidRPr="006B1802">
        <w:rPr>
          <w:rFonts w:ascii="Arial Narrow" w:hAnsi="Arial Narrow"/>
          <w:sz w:val="18"/>
          <w:vertAlign w:val="superscript"/>
        </w:rPr>
        <w:t xml:space="preserve"> </w:t>
      </w:r>
      <w:r w:rsidRPr="006B1802">
        <w:rPr>
          <w:rFonts w:ascii="Arial Narrow" w:hAnsi="Arial Narrow"/>
          <w:sz w:val="18"/>
        </w:rPr>
        <w:t xml:space="preserve">These sensitivity analyses are based on the minor resubmission’s base case which comprised the trial sub-populations. This differs to the sensitivity analyses presented in Tables 14 and 15 of the March 2018 PBAC Minutes, which used the ITT (overall trial population and efficacy) as the base case.  </w:t>
      </w:r>
    </w:p>
    <w:p w:rsidR="0014764A" w:rsidRPr="006B1802" w:rsidRDefault="0014764A" w:rsidP="00B93A10">
      <w:pPr>
        <w:keepNext/>
        <w:rPr>
          <w:rFonts w:ascii="Arial Narrow" w:hAnsi="Arial Narrow"/>
          <w:sz w:val="18"/>
        </w:rPr>
      </w:pPr>
      <w:proofErr w:type="gramStart"/>
      <w:r w:rsidRPr="006B1802">
        <w:rPr>
          <w:rFonts w:ascii="Arial Narrow" w:hAnsi="Arial Narrow"/>
          <w:sz w:val="18"/>
          <w:vertAlign w:val="superscript"/>
        </w:rPr>
        <w:t>b</w:t>
      </w:r>
      <w:proofErr w:type="gramEnd"/>
      <w:r w:rsidRPr="006B1802">
        <w:rPr>
          <w:rFonts w:ascii="Arial Narrow" w:hAnsi="Arial Narrow"/>
          <w:sz w:val="18"/>
        </w:rPr>
        <w:t xml:space="preserve"> Change </w:t>
      </w:r>
      <w:proofErr w:type="spellStart"/>
      <w:r w:rsidRPr="006B1802">
        <w:rPr>
          <w:rFonts w:ascii="Arial Narrow" w:hAnsi="Arial Narrow"/>
          <w:sz w:val="18"/>
        </w:rPr>
        <w:t>tbl_TOLefficacy</w:t>
      </w:r>
      <w:proofErr w:type="spellEnd"/>
      <w:r w:rsidRPr="006B1802">
        <w:rPr>
          <w:rFonts w:ascii="Arial Narrow" w:hAnsi="Arial Narrow"/>
          <w:sz w:val="18"/>
        </w:rPr>
        <w:t xml:space="preserve"> Column 1 to 0.264 for Index 1 to 4. </w:t>
      </w:r>
    </w:p>
    <w:p w:rsidR="0014764A" w:rsidRPr="006B1802" w:rsidRDefault="0014764A" w:rsidP="00B93A10">
      <w:pPr>
        <w:keepNext/>
        <w:rPr>
          <w:rFonts w:ascii="Arial Narrow" w:hAnsi="Arial Narrow"/>
          <w:sz w:val="18"/>
        </w:rPr>
      </w:pPr>
      <w:proofErr w:type="gramStart"/>
      <w:r w:rsidRPr="006B1802">
        <w:rPr>
          <w:rFonts w:ascii="Arial Narrow" w:hAnsi="Arial Narrow"/>
          <w:sz w:val="18"/>
          <w:vertAlign w:val="superscript"/>
        </w:rPr>
        <w:t>c</w:t>
      </w:r>
      <w:proofErr w:type="gramEnd"/>
      <w:r w:rsidRPr="006B1802">
        <w:rPr>
          <w:rFonts w:ascii="Arial Narrow" w:hAnsi="Arial Narrow"/>
          <w:sz w:val="18"/>
        </w:rPr>
        <w:t xml:space="preserve"> Using ‘</w:t>
      </w:r>
      <w:proofErr w:type="spellStart"/>
      <w:r w:rsidRPr="006B1802">
        <w:rPr>
          <w:rFonts w:ascii="Arial Narrow" w:hAnsi="Arial Narrow"/>
          <w:sz w:val="18"/>
        </w:rPr>
        <w:t>sa_efficacyTOL</w:t>
      </w:r>
      <w:proofErr w:type="spellEnd"/>
      <w:r w:rsidRPr="006B1802">
        <w:rPr>
          <w:rFonts w:ascii="Arial Narrow" w:hAnsi="Arial Narrow"/>
          <w:sz w:val="18"/>
        </w:rPr>
        <w:t>’ = 5 and ‘</w:t>
      </w:r>
      <w:proofErr w:type="spellStart"/>
      <w:r w:rsidRPr="006B1802">
        <w:rPr>
          <w:rFonts w:ascii="Arial Narrow" w:hAnsi="Arial Narrow"/>
          <w:sz w:val="18"/>
        </w:rPr>
        <w:t>sa_PopGroup</w:t>
      </w:r>
      <w:proofErr w:type="spellEnd"/>
      <w:r w:rsidRPr="006B1802">
        <w:rPr>
          <w:rFonts w:ascii="Arial Narrow" w:hAnsi="Arial Narrow"/>
          <w:sz w:val="18"/>
        </w:rPr>
        <w:t>’ = 1.</w:t>
      </w:r>
    </w:p>
    <w:p w:rsidR="003E1A7D" w:rsidRPr="006B1802" w:rsidRDefault="003E1A7D" w:rsidP="00B93A10">
      <w:pPr>
        <w:keepNext/>
        <w:rPr>
          <w:rFonts w:ascii="Arial Narrow" w:hAnsi="Arial Narrow"/>
          <w:sz w:val="18"/>
        </w:rPr>
      </w:pPr>
      <w:proofErr w:type="gramStart"/>
      <w:r w:rsidRPr="006B1802">
        <w:rPr>
          <w:rFonts w:ascii="Arial Narrow" w:hAnsi="Arial Narrow"/>
          <w:sz w:val="18"/>
          <w:vertAlign w:val="superscript"/>
        </w:rPr>
        <w:t>d</w:t>
      </w:r>
      <w:proofErr w:type="gramEnd"/>
      <w:r w:rsidRPr="006B1802">
        <w:rPr>
          <w:rFonts w:ascii="Arial Narrow" w:hAnsi="Arial Narrow"/>
          <w:sz w:val="18"/>
        </w:rPr>
        <w:t xml:space="preserve"> Change ‘</w:t>
      </w:r>
      <w:proofErr w:type="spellStart"/>
      <w:r w:rsidRPr="006B1802">
        <w:rPr>
          <w:rFonts w:ascii="Arial Narrow" w:hAnsi="Arial Narrow"/>
          <w:sz w:val="18"/>
        </w:rPr>
        <w:t>dur_years</w:t>
      </w:r>
      <w:proofErr w:type="spellEnd"/>
      <w:r w:rsidRPr="006B1802">
        <w:rPr>
          <w:rFonts w:ascii="Arial Narrow" w:hAnsi="Arial Narrow"/>
          <w:sz w:val="18"/>
        </w:rPr>
        <w:t>’ variable definition</w:t>
      </w:r>
    </w:p>
    <w:p w:rsidR="0087107C" w:rsidRDefault="0087107C" w:rsidP="00B93A10"/>
    <w:p w:rsidR="0087107C" w:rsidRDefault="0087107C" w:rsidP="0087107C"/>
    <w:p w:rsidR="0014764A" w:rsidRPr="0087107C" w:rsidRDefault="0087107C" w:rsidP="0087107C">
      <w:pPr>
        <w:rPr>
          <w:rFonts w:asciiTheme="minorHAnsi" w:hAnsiTheme="minorHAnsi" w:cstheme="minorHAnsi"/>
        </w:rPr>
      </w:pPr>
      <w:r w:rsidRPr="0087107C">
        <w:rPr>
          <w:rFonts w:asciiTheme="minorHAnsi" w:hAnsiTheme="minorHAnsi" w:cstheme="minorHAnsi"/>
        </w:rPr>
        <w:t>The re</w:t>
      </w:r>
      <w:r>
        <w:rPr>
          <w:rFonts w:asciiTheme="minorHAnsi" w:hAnsiTheme="minorHAnsi" w:cstheme="minorHAnsi"/>
        </w:rPr>
        <w:t xml:space="preserve">dacted table shows ICERs in the range of less than $15,000/QALY – more than $200,000/QALY. </w:t>
      </w:r>
    </w:p>
    <w:p w:rsidR="0014764A" w:rsidRPr="006B1802" w:rsidRDefault="0014764A" w:rsidP="00B93A10">
      <w:pPr>
        <w:pStyle w:val="Caption"/>
        <w:keepNext/>
        <w:keepLines/>
        <w:spacing w:after="0"/>
        <w:rPr>
          <w:rFonts w:ascii="Arial Narrow" w:hAnsi="Arial Narrow"/>
          <w:color w:val="auto"/>
          <w:sz w:val="20"/>
          <w:szCs w:val="20"/>
        </w:rPr>
      </w:pPr>
      <w:r w:rsidRPr="006B1802">
        <w:rPr>
          <w:rFonts w:ascii="Arial Narrow" w:hAnsi="Arial Narrow"/>
          <w:color w:val="auto"/>
          <w:sz w:val="20"/>
          <w:szCs w:val="20"/>
        </w:rPr>
        <w:lastRenderedPageBreak/>
        <w:t xml:space="preserve">Table </w:t>
      </w:r>
      <w:r w:rsidR="00CC525E" w:rsidRPr="006B1802">
        <w:rPr>
          <w:rFonts w:ascii="Arial Narrow" w:hAnsi="Arial Narrow"/>
          <w:color w:val="auto"/>
          <w:sz w:val="20"/>
          <w:szCs w:val="20"/>
        </w:rPr>
        <w:t>6</w:t>
      </w:r>
      <w:r w:rsidRPr="006B1802">
        <w:rPr>
          <w:rFonts w:ascii="Arial Narrow" w:hAnsi="Arial Narrow"/>
          <w:color w:val="auto"/>
          <w:sz w:val="20"/>
          <w:szCs w:val="20"/>
        </w:rPr>
        <w:t xml:space="preserve">: Sensitivity analyses on REPRISE </w:t>
      </w:r>
      <w:r w:rsidR="003C3869" w:rsidRPr="006B1802">
        <w:rPr>
          <w:rFonts w:ascii="Arial Narrow" w:hAnsi="Arial Narrow"/>
          <w:color w:val="auto"/>
          <w:sz w:val="20"/>
          <w:szCs w:val="20"/>
        </w:rPr>
        <w:t>sub-population</w:t>
      </w:r>
      <w:r w:rsidRPr="006B1802">
        <w:rPr>
          <w:rFonts w:ascii="Arial Narrow" w:hAnsi="Arial Narrow"/>
          <w:color w:val="auto"/>
          <w:sz w:val="20"/>
          <w:szCs w:val="20"/>
        </w:rPr>
        <w:t xml:space="preserve"> </w:t>
      </w:r>
      <w:r w:rsidRPr="006B1802">
        <w:rPr>
          <w:rFonts w:ascii="Arial Narrow" w:hAnsi="Arial Narrow"/>
          <w:color w:val="auto"/>
          <w:sz w:val="20"/>
          <w:szCs w:val="20"/>
          <w:vertAlign w:val="superscript"/>
        </w:rPr>
        <w:t>a</w:t>
      </w:r>
    </w:p>
    <w:tbl>
      <w:tblPr>
        <w:tblStyle w:val="TableGrid"/>
        <w:tblW w:w="5000" w:type="pct"/>
        <w:tblLayout w:type="fixed"/>
        <w:tblLook w:val="04A0" w:firstRow="1" w:lastRow="0" w:firstColumn="1" w:lastColumn="0" w:noHBand="0" w:noVBand="1"/>
        <w:tblCaption w:val="Table 6: Sensitivity analyses on REPRISE sub-population "/>
      </w:tblPr>
      <w:tblGrid>
        <w:gridCol w:w="5778"/>
        <w:gridCol w:w="1134"/>
        <w:gridCol w:w="1276"/>
        <w:gridCol w:w="1054"/>
      </w:tblGrid>
      <w:tr w:rsidR="0014764A" w:rsidRPr="006B1802" w:rsidTr="0014764A">
        <w:trPr>
          <w:tblHeader/>
        </w:trPr>
        <w:tc>
          <w:tcPr>
            <w:tcW w:w="5778" w:type="dxa"/>
            <w:vAlign w:val="center"/>
          </w:tcPr>
          <w:p w:rsidR="0014764A" w:rsidRPr="006B1802" w:rsidRDefault="0014764A" w:rsidP="00B93A10">
            <w:pPr>
              <w:keepNext/>
              <w:rPr>
                <w:rFonts w:ascii="Arial Narrow" w:hAnsi="Arial Narrow"/>
                <w:b/>
                <w:sz w:val="20"/>
                <w:szCs w:val="20"/>
              </w:rPr>
            </w:pPr>
            <w:r w:rsidRPr="006B1802">
              <w:rPr>
                <w:rFonts w:ascii="Arial Narrow" w:hAnsi="Arial Narrow"/>
                <w:b/>
                <w:sz w:val="20"/>
                <w:szCs w:val="20"/>
              </w:rPr>
              <w:t>Analysis</w:t>
            </w:r>
          </w:p>
        </w:tc>
        <w:tc>
          <w:tcPr>
            <w:tcW w:w="1134" w:type="dxa"/>
            <w:vAlign w:val="center"/>
          </w:tcPr>
          <w:p w:rsidR="0014764A" w:rsidRPr="006B1802" w:rsidRDefault="0014764A" w:rsidP="00B93A10">
            <w:pPr>
              <w:keepNext/>
              <w:jc w:val="center"/>
              <w:rPr>
                <w:rFonts w:ascii="Arial Narrow" w:hAnsi="Arial Narrow"/>
                <w:b/>
                <w:sz w:val="20"/>
                <w:szCs w:val="20"/>
              </w:rPr>
            </w:pPr>
            <w:r w:rsidRPr="006B1802">
              <w:rPr>
                <w:rFonts w:ascii="Arial Narrow" w:hAnsi="Arial Narrow"/>
                <w:b/>
                <w:sz w:val="20"/>
                <w:szCs w:val="20"/>
              </w:rPr>
              <w:t>∆ cost</w:t>
            </w:r>
          </w:p>
        </w:tc>
        <w:tc>
          <w:tcPr>
            <w:tcW w:w="1276" w:type="dxa"/>
            <w:vAlign w:val="center"/>
          </w:tcPr>
          <w:p w:rsidR="0014764A" w:rsidRPr="006B1802" w:rsidRDefault="0014764A" w:rsidP="00B93A10">
            <w:pPr>
              <w:keepNext/>
              <w:jc w:val="center"/>
              <w:rPr>
                <w:rFonts w:ascii="Arial Narrow" w:hAnsi="Arial Narrow"/>
                <w:b/>
                <w:sz w:val="20"/>
                <w:szCs w:val="20"/>
              </w:rPr>
            </w:pPr>
            <w:r w:rsidRPr="006B1802">
              <w:rPr>
                <w:rFonts w:ascii="Arial Narrow" w:hAnsi="Arial Narrow"/>
                <w:b/>
                <w:sz w:val="20"/>
                <w:szCs w:val="20"/>
              </w:rPr>
              <w:t>∆ QALYs</w:t>
            </w:r>
          </w:p>
        </w:tc>
        <w:tc>
          <w:tcPr>
            <w:tcW w:w="1054" w:type="dxa"/>
            <w:vAlign w:val="center"/>
          </w:tcPr>
          <w:p w:rsidR="0014764A" w:rsidRPr="006B1802" w:rsidRDefault="0014764A" w:rsidP="00B93A10">
            <w:pPr>
              <w:keepNext/>
              <w:jc w:val="center"/>
              <w:rPr>
                <w:rFonts w:ascii="Arial Narrow" w:hAnsi="Arial Narrow"/>
                <w:b/>
                <w:sz w:val="20"/>
                <w:szCs w:val="20"/>
              </w:rPr>
            </w:pPr>
            <w:r w:rsidRPr="006B1802">
              <w:rPr>
                <w:rFonts w:ascii="Arial Narrow" w:hAnsi="Arial Narrow"/>
                <w:b/>
                <w:sz w:val="20"/>
                <w:szCs w:val="20"/>
              </w:rPr>
              <w:t>ICER</w:t>
            </w:r>
          </w:p>
        </w:tc>
      </w:tr>
      <w:tr w:rsidR="0014764A" w:rsidRPr="006B1802" w:rsidTr="0014764A">
        <w:tc>
          <w:tcPr>
            <w:tcW w:w="5778" w:type="dxa"/>
          </w:tcPr>
          <w:p w:rsidR="0014764A" w:rsidRPr="006B1802" w:rsidRDefault="0014764A" w:rsidP="00B93A10">
            <w:pPr>
              <w:keepNext/>
              <w:rPr>
                <w:rFonts w:ascii="Arial Narrow" w:hAnsi="Arial Narrow"/>
                <w:sz w:val="20"/>
                <w:szCs w:val="20"/>
                <w:vertAlign w:val="superscript"/>
              </w:rPr>
            </w:pPr>
            <w:r w:rsidRPr="006B1802">
              <w:rPr>
                <w:rFonts w:ascii="Arial Narrow" w:hAnsi="Arial Narrow"/>
                <w:sz w:val="20"/>
                <w:szCs w:val="20"/>
              </w:rPr>
              <w:t xml:space="preserve">Base case presented in minor resubmission (PBS eligibility population and CKD stage 2-3 efficacy; efficacy = 0.346) </w:t>
            </w:r>
            <w:r w:rsidRPr="006B1802">
              <w:rPr>
                <w:rFonts w:ascii="Arial Narrow" w:hAnsi="Arial Narrow"/>
                <w:sz w:val="20"/>
                <w:szCs w:val="20"/>
                <w:vertAlign w:val="superscript"/>
              </w:rPr>
              <w:t>a</w:t>
            </w:r>
          </w:p>
        </w:tc>
        <w:tc>
          <w:tcPr>
            <w:tcW w:w="1134" w:type="dxa"/>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0.5605</w:t>
            </w:r>
          </w:p>
        </w:tc>
        <w:tc>
          <w:tcPr>
            <w:tcW w:w="1054" w:type="dxa"/>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Dominant</w:t>
            </w:r>
          </w:p>
        </w:tc>
      </w:tr>
      <w:tr w:rsidR="0014764A" w:rsidRPr="006B1802" w:rsidTr="0014764A">
        <w:tc>
          <w:tcPr>
            <w:tcW w:w="9242" w:type="dxa"/>
            <w:gridSpan w:val="4"/>
          </w:tcPr>
          <w:p w:rsidR="0014764A" w:rsidRPr="006B1802" w:rsidRDefault="0014764A" w:rsidP="00B93A10">
            <w:pPr>
              <w:keepNext/>
              <w:rPr>
                <w:rFonts w:ascii="Arial Narrow" w:hAnsi="Arial Narrow"/>
                <w:sz w:val="20"/>
                <w:szCs w:val="20"/>
              </w:rPr>
            </w:pPr>
            <w:r w:rsidRPr="006B1802">
              <w:rPr>
                <w:rFonts w:ascii="Arial Narrow" w:hAnsi="Arial Narrow"/>
                <w:b/>
                <w:sz w:val="20"/>
                <w:szCs w:val="20"/>
              </w:rPr>
              <w:t>Alternative population and efficacy</w:t>
            </w:r>
          </w:p>
        </w:tc>
      </w:tr>
      <w:tr w:rsidR="0014764A" w:rsidRPr="006B1802" w:rsidTr="0014764A">
        <w:tc>
          <w:tcPr>
            <w:tcW w:w="5778" w:type="dxa"/>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REPRISE ITT - overall trial population and efficacy (N=663, efficacy = 0.303)</w:t>
            </w:r>
          </w:p>
        </w:tc>
        <w:tc>
          <w:tcPr>
            <w:tcW w:w="1134" w:type="dxa"/>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0.37</w:t>
            </w:r>
          </w:p>
        </w:tc>
        <w:tc>
          <w:tcPr>
            <w:tcW w:w="1054" w:type="dxa"/>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c>
          <w:tcPr>
            <w:tcW w:w="9242" w:type="dxa"/>
            <w:gridSpan w:val="4"/>
          </w:tcPr>
          <w:p w:rsidR="0014764A" w:rsidRPr="006B1802" w:rsidRDefault="0014764A" w:rsidP="00B93A10">
            <w:pPr>
              <w:keepNext/>
              <w:rPr>
                <w:rFonts w:ascii="Arial Narrow" w:hAnsi="Arial Narrow"/>
                <w:sz w:val="20"/>
                <w:szCs w:val="20"/>
              </w:rPr>
            </w:pPr>
            <w:r w:rsidRPr="006B1802">
              <w:rPr>
                <w:rFonts w:ascii="Arial Narrow" w:hAnsi="Arial Narrow"/>
                <w:b/>
                <w:sz w:val="20"/>
                <w:szCs w:val="20"/>
              </w:rPr>
              <w:t>Alternative tolvaptan efficacy (relative reduction; base case 0.346 based on change in eGFR, weighted ANCOVA)</w:t>
            </w:r>
          </w:p>
        </w:tc>
      </w:tr>
      <w:tr w:rsidR="0014764A" w:rsidRPr="006B1802" w:rsidTr="0014764A">
        <w:tc>
          <w:tcPr>
            <w:tcW w:w="5778" w:type="dxa"/>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Efficacy halved at start (0.148)</w:t>
            </w:r>
          </w:p>
        </w:tc>
        <w:tc>
          <w:tcPr>
            <w:tcW w:w="113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0.2834</w:t>
            </w:r>
          </w:p>
        </w:tc>
        <w:tc>
          <w:tcPr>
            <w:tcW w:w="105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c>
          <w:tcPr>
            <w:tcW w:w="5778" w:type="dxa"/>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 xml:space="preserve">Efficacy halved after 2 years </w:t>
            </w:r>
          </w:p>
        </w:tc>
        <w:tc>
          <w:tcPr>
            <w:tcW w:w="113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0.3299</w:t>
            </w:r>
          </w:p>
        </w:tc>
        <w:tc>
          <w:tcPr>
            <w:tcW w:w="105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c>
          <w:tcPr>
            <w:tcW w:w="5778" w:type="dxa"/>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Efficacy halved after 5 years</w:t>
            </w:r>
          </w:p>
        </w:tc>
        <w:tc>
          <w:tcPr>
            <w:tcW w:w="1134" w:type="dxa"/>
            <w:tcBorders>
              <w:top w:val="single" w:sz="4" w:space="0" w:color="auto"/>
              <w:left w:val="single" w:sz="4" w:space="0" w:color="auto"/>
              <w:bottom w:val="single" w:sz="4" w:space="0" w:color="auto"/>
              <w:right w:val="single" w:sz="4" w:space="0" w:color="auto"/>
            </w:tcBorders>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0.4471</w:t>
            </w:r>
          </w:p>
        </w:tc>
        <w:tc>
          <w:tcPr>
            <w:tcW w:w="1054" w:type="dxa"/>
            <w:tcBorders>
              <w:top w:val="single" w:sz="4" w:space="0" w:color="auto"/>
              <w:left w:val="single" w:sz="4" w:space="0" w:color="auto"/>
              <w:bottom w:val="single" w:sz="4" w:space="0" w:color="auto"/>
              <w:right w:val="single" w:sz="4" w:space="0" w:color="auto"/>
            </w:tcBorders>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Dominant</w:t>
            </w:r>
          </w:p>
        </w:tc>
      </w:tr>
      <w:tr w:rsidR="0014764A" w:rsidRPr="006B1802" w:rsidTr="0014764A">
        <w:tc>
          <w:tcPr>
            <w:tcW w:w="5778" w:type="dxa"/>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 xml:space="preserve">Efficacy halved after 10 years </w:t>
            </w:r>
          </w:p>
        </w:tc>
        <w:tc>
          <w:tcPr>
            <w:tcW w:w="1134" w:type="dxa"/>
            <w:tcBorders>
              <w:top w:val="single" w:sz="4" w:space="0" w:color="auto"/>
              <w:left w:val="single" w:sz="4" w:space="0" w:color="auto"/>
              <w:bottom w:val="single" w:sz="4" w:space="0" w:color="auto"/>
              <w:right w:val="single" w:sz="4" w:space="0" w:color="auto"/>
            </w:tcBorders>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0.5316</w:t>
            </w:r>
          </w:p>
        </w:tc>
        <w:tc>
          <w:tcPr>
            <w:tcW w:w="1054" w:type="dxa"/>
            <w:tcBorders>
              <w:top w:val="single" w:sz="4" w:space="0" w:color="auto"/>
              <w:left w:val="single" w:sz="4" w:space="0" w:color="auto"/>
              <w:bottom w:val="single" w:sz="4" w:space="0" w:color="auto"/>
              <w:right w:val="single" w:sz="4" w:space="0" w:color="auto"/>
            </w:tcBorders>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Dominant</w:t>
            </w:r>
          </w:p>
        </w:tc>
      </w:tr>
      <w:tr w:rsidR="0014764A" w:rsidRPr="006B1802" w:rsidTr="0014764A">
        <w:trPr>
          <w:trHeight w:val="211"/>
        </w:trPr>
        <w:tc>
          <w:tcPr>
            <w:tcW w:w="5778" w:type="dxa"/>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Efficacy based on change in slope linear mixed model (0.243)</w:t>
            </w:r>
          </w:p>
        </w:tc>
        <w:tc>
          <w:tcPr>
            <w:tcW w:w="113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0.3544</w:t>
            </w:r>
          </w:p>
        </w:tc>
        <w:tc>
          <w:tcPr>
            <w:tcW w:w="105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c>
          <w:tcPr>
            <w:tcW w:w="5778" w:type="dxa"/>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 xml:space="preserve">REPRISE by CKD stage </w:t>
            </w:r>
          </w:p>
          <w:p w:rsidR="0014764A" w:rsidRPr="006B1802" w:rsidRDefault="0014764A" w:rsidP="00B93A10">
            <w:pPr>
              <w:keepNext/>
              <w:rPr>
                <w:rFonts w:ascii="Arial Narrow" w:hAnsi="Arial Narrow"/>
                <w:sz w:val="20"/>
                <w:szCs w:val="20"/>
                <w:vertAlign w:val="superscript"/>
              </w:rPr>
            </w:pPr>
            <w:r w:rsidRPr="006B1802">
              <w:rPr>
                <w:rFonts w:ascii="Arial Narrow" w:hAnsi="Arial Narrow"/>
                <w:sz w:val="20"/>
                <w:szCs w:val="20"/>
              </w:rPr>
              <w:t xml:space="preserve">(CKD 2: 0.882; CKD 3: 0.309; CKD 4: 0.120) </w:t>
            </w:r>
            <w:r w:rsidRPr="006B1802">
              <w:rPr>
                <w:rFonts w:ascii="Arial Narrow" w:hAnsi="Arial Narrow"/>
                <w:sz w:val="20"/>
                <w:szCs w:val="20"/>
                <w:vertAlign w:val="superscript"/>
              </w:rPr>
              <w:t>b</w:t>
            </w:r>
          </w:p>
        </w:tc>
        <w:tc>
          <w:tcPr>
            <w:tcW w:w="113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0.3636</w:t>
            </w:r>
          </w:p>
        </w:tc>
        <w:tc>
          <w:tcPr>
            <w:tcW w:w="105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c>
          <w:tcPr>
            <w:tcW w:w="9242" w:type="dxa"/>
            <w:gridSpan w:val="4"/>
          </w:tcPr>
          <w:p w:rsidR="0014764A" w:rsidRPr="006B1802" w:rsidRDefault="0014764A" w:rsidP="00B93A10">
            <w:pPr>
              <w:keepNext/>
              <w:rPr>
                <w:rFonts w:ascii="Arial Narrow" w:hAnsi="Arial Narrow"/>
                <w:sz w:val="20"/>
                <w:szCs w:val="20"/>
              </w:rPr>
            </w:pPr>
            <w:proofErr w:type="spellStart"/>
            <w:r w:rsidRPr="006B1802">
              <w:rPr>
                <w:rFonts w:ascii="Arial Narrow" w:hAnsi="Arial Narrow"/>
                <w:b/>
                <w:sz w:val="20"/>
                <w:szCs w:val="20"/>
              </w:rPr>
              <w:t>Disutilities</w:t>
            </w:r>
            <w:proofErr w:type="spellEnd"/>
            <w:r w:rsidRPr="006B1802">
              <w:rPr>
                <w:rFonts w:ascii="Arial Narrow" w:hAnsi="Arial Narrow"/>
                <w:b/>
                <w:sz w:val="20"/>
                <w:szCs w:val="20"/>
              </w:rPr>
              <w:t xml:space="preserve"> (base case = -0.0123 was applied to 33% of patients for duration of treatment)</w:t>
            </w:r>
          </w:p>
        </w:tc>
      </w:tr>
      <w:tr w:rsidR="0014764A" w:rsidRPr="006B1802" w:rsidTr="0014764A">
        <w:tc>
          <w:tcPr>
            <w:tcW w:w="5778" w:type="dxa"/>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 xml:space="preserve">-0.05 applied to all patients for duration of tolvaptan treatment </w:t>
            </w:r>
          </w:p>
        </w:tc>
        <w:tc>
          <w:tcPr>
            <w:tcW w:w="113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0.3359</w:t>
            </w:r>
          </w:p>
        </w:tc>
        <w:tc>
          <w:tcPr>
            <w:tcW w:w="1054" w:type="dxa"/>
            <w:vAlign w:val="center"/>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Dominant</w:t>
            </w:r>
          </w:p>
        </w:tc>
      </w:tr>
      <w:tr w:rsidR="0014764A" w:rsidRPr="006B1802" w:rsidTr="0014764A">
        <w:tc>
          <w:tcPr>
            <w:tcW w:w="9242" w:type="dxa"/>
            <w:gridSpan w:val="4"/>
          </w:tcPr>
          <w:p w:rsidR="0014764A" w:rsidRPr="006B1802" w:rsidRDefault="0014764A" w:rsidP="00B93A10">
            <w:pPr>
              <w:keepNext/>
              <w:rPr>
                <w:rFonts w:ascii="Arial Narrow" w:hAnsi="Arial Narrow"/>
                <w:sz w:val="20"/>
                <w:szCs w:val="20"/>
              </w:rPr>
            </w:pPr>
            <w:r w:rsidRPr="006B1802">
              <w:rPr>
                <w:rFonts w:ascii="Arial Narrow" w:hAnsi="Arial Narrow"/>
                <w:b/>
                <w:sz w:val="20"/>
                <w:szCs w:val="20"/>
              </w:rPr>
              <w:t>Time horizon (base case: lifetime; maximum 100 years)</w:t>
            </w:r>
          </w:p>
        </w:tc>
      </w:tr>
      <w:tr w:rsidR="0014764A" w:rsidRPr="006B1802" w:rsidTr="0014764A">
        <w:tc>
          <w:tcPr>
            <w:tcW w:w="5778" w:type="dxa"/>
            <w:vAlign w:val="bottom"/>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5 years</w:t>
            </w:r>
          </w:p>
        </w:tc>
        <w:tc>
          <w:tcPr>
            <w:tcW w:w="1134" w:type="dxa"/>
            <w:tcBorders>
              <w:top w:val="single" w:sz="4" w:space="0" w:color="auto"/>
              <w:left w:val="nil"/>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0.033</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14764A" w:rsidRPr="006B1802" w:rsidTr="0014764A">
        <w:tc>
          <w:tcPr>
            <w:tcW w:w="5778" w:type="dxa"/>
            <w:vAlign w:val="bottom"/>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≥6 years</w:t>
            </w:r>
            <w:r w:rsidR="0080214C" w:rsidRPr="006B1802">
              <w:rPr>
                <w:rFonts w:ascii="Arial Narrow" w:hAnsi="Arial Narrow"/>
                <w:sz w:val="20"/>
                <w:szCs w:val="20"/>
              </w:rPr>
              <w:t xml:space="preserve"> (i.e. all analyses with time horizons of ≥6 years are dominant)</w:t>
            </w:r>
          </w:p>
        </w:tc>
        <w:tc>
          <w:tcPr>
            <w:tcW w:w="1134" w:type="dxa"/>
            <w:tcBorders>
              <w:top w:val="single" w:sz="4" w:space="0" w:color="auto"/>
              <w:left w:val="nil"/>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Dominant</w:t>
            </w:r>
          </w:p>
        </w:tc>
      </w:tr>
      <w:tr w:rsidR="0014764A" w:rsidRPr="006B1802" w:rsidTr="0014764A">
        <w:tc>
          <w:tcPr>
            <w:tcW w:w="5778" w:type="dxa"/>
            <w:vAlign w:val="bottom"/>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7 years</w:t>
            </w:r>
          </w:p>
        </w:tc>
        <w:tc>
          <w:tcPr>
            <w:tcW w:w="1134" w:type="dxa"/>
            <w:tcBorders>
              <w:top w:val="single" w:sz="4" w:space="0" w:color="auto"/>
              <w:left w:val="nil"/>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0.0952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Dominant</w:t>
            </w:r>
          </w:p>
        </w:tc>
      </w:tr>
      <w:tr w:rsidR="0014764A" w:rsidRPr="006B1802" w:rsidTr="0014764A">
        <w:tc>
          <w:tcPr>
            <w:tcW w:w="5778" w:type="dxa"/>
            <w:vAlign w:val="bottom"/>
          </w:tcPr>
          <w:p w:rsidR="0014764A" w:rsidRPr="006B1802" w:rsidRDefault="0014764A" w:rsidP="00B93A10">
            <w:pPr>
              <w:keepNext/>
              <w:rPr>
                <w:rFonts w:ascii="Arial Narrow" w:hAnsi="Arial Narrow"/>
                <w:sz w:val="20"/>
                <w:szCs w:val="20"/>
              </w:rPr>
            </w:pPr>
            <w:r w:rsidRPr="006B1802">
              <w:rPr>
                <w:rFonts w:ascii="Arial Narrow" w:hAnsi="Arial Narrow"/>
                <w:sz w:val="20"/>
                <w:szCs w:val="20"/>
              </w:rPr>
              <w:t>10 years</w:t>
            </w:r>
          </w:p>
        </w:tc>
        <w:tc>
          <w:tcPr>
            <w:tcW w:w="1134" w:type="dxa"/>
            <w:tcBorders>
              <w:top w:val="single" w:sz="4" w:space="0" w:color="auto"/>
              <w:left w:val="nil"/>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0.2291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tcPr>
          <w:p w:rsidR="0014764A" w:rsidRPr="006B1802" w:rsidRDefault="0014764A" w:rsidP="00B93A10">
            <w:pPr>
              <w:keepNext/>
              <w:jc w:val="center"/>
              <w:rPr>
                <w:rFonts w:ascii="Arial Narrow" w:hAnsi="Arial Narrow"/>
                <w:sz w:val="20"/>
                <w:szCs w:val="20"/>
              </w:rPr>
            </w:pPr>
            <w:r w:rsidRPr="006B1802">
              <w:rPr>
                <w:rFonts w:ascii="Arial Narrow" w:hAnsi="Arial Narrow"/>
                <w:sz w:val="20"/>
                <w:szCs w:val="20"/>
              </w:rPr>
              <w:t>Dominant</w:t>
            </w:r>
          </w:p>
        </w:tc>
      </w:tr>
    </w:tbl>
    <w:p w:rsidR="0014764A" w:rsidRPr="006B1802" w:rsidRDefault="0014764A" w:rsidP="00B93A10">
      <w:pPr>
        <w:keepNext/>
        <w:rPr>
          <w:rFonts w:ascii="Arial Narrow" w:hAnsi="Arial Narrow"/>
          <w:sz w:val="18"/>
        </w:rPr>
      </w:pPr>
      <w:r w:rsidRPr="006B1802">
        <w:rPr>
          <w:rFonts w:ascii="Arial Narrow" w:hAnsi="Arial Narrow"/>
          <w:sz w:val="18"/>
        </w:rPr>
        <w:t>Abbreviations: CKD: chronic kidney disease; ICER, incremental cost effectiveness ratio; QALYs: quality adjusted life years; Yr, year.</w:t>
      </w:r>
    </w:p>
    <w:p w:rsidR="0014764A" w:rsidRPr="006B1802" w:rsidRDefault="0014764A" w:rsidP="00B93A10">
      <w:pPr>
        <w:keepNext/>
        <w:keepLines/>
        <w:rPr>
          <w:rFonts w:ascii="Arial Narrow" w:hAnsi="Arial Narrow"/>
          <w:sz w:val="18"/>
          <w:szCs w:val="18"/>
        </w:rPr>
      </w:pPr>
      <w:r w:rsidRPr="006B1802">
        <w:rPr>
          <w:rFonts w:ascii="Arial Narrow" w:hAnsi="Arial Narrow"/>
          <w:sz w:val="18"/>
        </w:rPr>
        <w:t xml:space="preserve">Source: </w:t>
      </w:r>
      <w:r w:rsidRPr="006B1802">
        <w:rPr>
          <w:rFonts w:ascii="Arial Narrow" w:hAnsi="Arial Narrow"/>
          <w:sz w:val="18"/>
          <w:szCs w:val="18"/>
        </w:rPr>
        <w:t xml:space="preserve">Table 3-3, p16 of the minor resubmission and calculated during preparation of the Minor Overview based on ‘Tolvaptan November 2017 PBAC Section 3 Updated for April 2018’ </w:t>
      </w:r>
    </w:p>
    <w:p w:rsidR="0014764A" w:rsidRPr="006B1802" w:rsidRDefault="0014764A" w:rsidP="00B93A10">
      <w:pPr>
        <w:keepNext/>
        <w:rPr>
          <w:rFonts w:ascii="Arial Narrow" w:hAnsi="Arial Narrow"/>
          <w:sz w:val="18"/>
        </w:rPr>
      </w:pPr>
      <w:proofErr w:type="spellStart"/>
      <w:proofErr w:type="gramStart"/>
      <w:r w:rsidRPr="006B1802">
        <w:rPr>
          <w:rFonts w:ascii="Arial Narrow" w:hAnsi="Arial Narrow"/>
          <w:sz w:val="18"/>
          <w:vertAlign w:val="superscript"/>
        </w:rPr>
        <w:t>a</w:t>
      </w:r>
      <w:proofErr w:type="spellEnd"/>
      <w:proofErr w:type="gramEnd"/>
      <w:r w:rsidRPr="006B1802">
        <w:rPr>
          <w:rFonts w:ascii="Arial Narrow" w:hAnsi="Arial Narrow"/>
          <w:sz w:val="18"/>
          <w:vertAlign w:val="superscript"/>
        </w:rPr>
        <w:t xml:space="preserve"> </w:t>
      </w:r>
      <w:r w:rsidRPr="006B1802">
        <w:rPr>
          <w:rFonts w:ascii="Arial Narrow" w:hAnsi="Arial Narrow"/>
          <w:sz w:val="18"/>
        </w:rPr>
        <w:t xml:space="preserve">These sensitivity analyses are based on the minor resubmission’s base case which comprised the trial sub-populations. This differs to the sensitivity analyses presented in Tables 14 and 15 of the March 2018 PBAC Minutes, which used the ITT (overall trial population and efficacy) as the base case.  </w:t>
      </w:r>
    </w:p>
    <w:p w:rsidR="0014764A" w:rsidRPr="006B1802" w:rsidRDefault="0014764A" w:rsidP="00B93A10">
      <w:pPr>
        <w:keepNext/>
        <w:spacing w:afterLines="160" w:after="384"/>
        <w:rPr>
          <w:rFonts w:ascii="Arial Narrow" w:hAnsi="Arial Narrow"/>
          <w:sz w:val="18"/>
        </w:rPr>
      </w:pPr>
      <w:proofErr w:type="gramStart"/>
      <w:r w:rsidRPr="006B1802">
        <w:rPr>
          <w:rFonts w:ascii="Arial Narrow" w:hAnsi="Arial Narrow"/>
          <w:sz w:val="18"/>
          <w:vertAlign w:val="superscript"/>
        </w:rPr>
        <w:t>b</w:t>
      </w:r>
      <w:proofErr w:type="gramEnd"/>
      <w:r w:rsidRPr="006B1802">
        <w:rPr>
          <w:rFonts w:ascii="Arial Narrow" w:hAnsi="Arial Narrow"/>
          <w:sz w:val="18"/>
        </w:rPr>
        <w:t xml:space="preserve"> Using ‘</w:t>
      </w:r>
      <w:proofErr w:type="spellStart"/>
      <w:r w:rsidRPr="006B1802">
        <w:rPr>
          <w:rFonts w:ascii="Arial Narrow" w:hAnsi="Arial Narrow"/>
          <w:sz w:val="18"/>
        </w:rPr>
        <w:t>sa_efficacyTOL</w:t>
      </w:r>
      <w:proofErr w:type="spellEnd"/>
      <w:r w:rsidRPr="006B1802">
        <w:rPr>
          <w:rFonts w:ascii="Arial Narrow" w:hAnsi="Arial Narrow"/>
          <w:sz w:val="18"/>
        </w:rPr>
        <w:t>’ = 6 and ‘</w:t>
      </w:r>
      <w:proofErr w:type="spellStart"/>
      <w:r w:rsidRPr="006B1802">
        <w:rPr>
          <w:rFonts w:ascii="Arial Narrow" w:hAnsi="Arial Narrow"/>
          <w:sz w:val="18"/>
        </w:rPr>
        <w:t>sa_PopGroup</w:t>
      </w:r>
      <w:proofErr w:type="spellEnd"/>
      <w:r w:rsidRPr="006B1802">
        <w:rPr>
          <w:rFonts w:ascii="Arial Narrow" w:hAnsi="Arial Narrow"/>
          <w:sz w:val="18"/>
        </w:rPr>
        <w:t>’ = 2.</w:t>
      </w:r>
    </w:p>
    <w:p w:rsidR="0087107C" w:rsidRDefault="0087107C" w:rsidP="0087107C">
      <w:pPr>
        <w:spacing w:afterLines="160" w:after="384"/>
        <w:jc w:val="both"/>
        <w:rPr>
          <w:rFonts w:asciiTheme="minorHAnsi" w:hAnsiTheme="minorHAnsi"/>
        </w:rPr>
      </w:pPr>
      <w:r>
        <w:rPr>
          <w:rFonts w:asciiTheme="minorHAnsi" w:hAnsiTheme="minorHAnsi"/>
        </w:rPr>
        <w:t>The redacted table shows ICERs in the range of less than $15,000/QALY – more than $200,000/QALY.</w:t>
      </w:r>
    </w:p>
    <w:p w:rsidR="00B17B05" w:rsidRPr="006B1802" w:rsidRDefault="00B17B05" w:rsidP="00B93A10">
      <w:pPr>
        <w:numPr>
          <w:ilvl w:val="1"/>
          <w:numId w:val="5"/>
        </w:numPr>
        <w:spacing w:afterLines="160" w:after="384"/>
        <w:jc w:val="both"/>
        <w:rPr>
          <w:rFonts w:asciiTheme="minorHAnsi" w:hAnsiTheme="minorHAnsi"/>
        </w:rPr>
      </w:pPr>
      <w:r w:rsidRPr="006B1802">
        <w:rPr>
          <w:rFonts w:asciiTheme="minorHAnsi" w:hAnsiTheme="minorHAnsi"/>
        </w:rPr>
        <w:t>Overall, the economic model was sensitive to the efficacy estimate, the modelled population and the model time horizon. In particular, the weighted ICER would change from a base case of</w:t>
      </w:r>
      <w:r w:rsidR="009D4FC4">
        <w:rPr>
          <w:rFonts w:asciiTheme="minorHAnsi" w:hAnsiTheme="minorHAnsi"/>
        </w:rPr>
        <w:t xml:space="preserve"> less than</w:t>
      </w:r>
      <w:r w:rsidRPr="006B1802">
        <w:rPr>
          <w:rFonts w:asciiTheme="minorHAnsi" w:hAnsiTheme="minorHAnsi"/>
        </w:rPr>
        <w:t xml:space="preserve"> $</w:t>
      </w:r>
      <w:r w:rsidR="009D4FC4">
        <w:rPr>
          <w:rFonts w:asciiTheme="minorHAnsi" w:hAnsiTheme="minorHAnsi"/>
        </w:rPr>
        <w:t>15,000</w:t>
      </w:r>
      <w:r w:rsidRPr="006B1802">
        <w:rPr>
          <w:rFonts w:asciiTheme="minorHAnsi" w:hAnsiTheme="minorHAnsi"/>
        </w:rPr>
        <w:t xml:space="preserve">/QALY to: </w:t>
      </w:r>
    </w:p>
    <w:p w:rsidR="00B17B05" w:rsidRPr="006B1802" w:rsidRDefault="00B17B05" w:rsidP="00B93A10">
      <w:pPr>
        <w:pStyle w:val="ListParagraph"/>
        <w:widowControl/>
        <w:numPr>
          <w:ilvl w:val="0"/>
          <w:numId w:val="22"/>
        </w:numPr>
        <w:ind w:left="1134" w:hanging="11"/>
        <w:rPr>
          <w:rFonts w:asciiTheme="minorHAnsi" w:hAnsiTheme="minorHAnsi"/>
          <w:sz w:val="24"/>
          <w:szCs w:val="24"/>
        </w:rPr>
      </w:pPr>
      <w:r w:rsidRPr="006B1802">
        <w:rPr>
          <w:rFonts w:asciiTheme="minorHAnsi" w:hAnsiTheme="minorHAnsi"/>
          <w:sz w:val="24"/>
          <w:szCs w:val="24"/>
        </w:rPr>
        <w:t>$</w:t>
      </w:r>
      <w:r w:rsidR="009D4FC4">
        <w:rPr>
          <w:rFonts w:asciiTheme="minorHAnsi" w:hAnsiTheme="minorHAnsi"/>
          <w:sz w:val="24"/>
          <w:szCs w:val="24"/>
        </w:rPr>
        <w:t>105,000</w:t>
      </w:r>
      <w:r w:rsidRPr="006B1802">
        <w:rPr>
          <w:rFonts w:asciiTheme="minorHAnsi" w:hAnsiTheme="minorHAnsi"/>
          <w:sz w:val="24"/>
          <w:szCs w:val="24"/>
        </w:rPr>
        <w:t>/QALY</w:t>
      </w:r>
      <w:r w:rsidR="009D4FC4">
        <w:rPr>
          <w:rFonts w:asciiTheme="minorHAnsi" w:hAnsiTheme="minorHAnsi"/>
          <w:sz w:val="24"/>
          <w:szCs w:val="24"/>
        </w:rPr>
        <w:t xml:space="preserve"> - $200,000/QALY</w:t>
      </w:r>
      <w:r w:rsidRPr="006B1802">
        <w:rPr>
          <w:rFonts w:asciiTheme="minorHAnsi" w:hAnsiTheme="minorHAnsi"/>
          <w:sz w:val="24"/>
          <w:szCs w:val="24"/>
        </w:rPr>
        <w:t xml:space="preserve"> for a time horizon of seven years in both models;</w:t>
      </w:r>
    </w:p>
    <w:p w:rsidR="00B17B05" w:rsidRPr="006B1802" w:rsidRDefault="00B17B05" w:rsidP="00B93A10">
      <w:pPr>
        <w:pStyle w:val="ListParagraph"/>
        <w:widowControl/>
        <w:numPr>
          <w:ilvl w:val="0"/>
          <w:numId w:val="22"/>
        </w:numPr>
        <w:ind w:left="1418" w:hanging="284"/>
        <w:rPr>
          <w:rFonts w:asciiTheme="minorHAnsi" w:hAnsiTheme="minorHAnsi"/>
          <w:sz w:val="24"/>
          <w:szCs w:val="24"/>
        </w:rPr>
      </w:pPr>
      <w:r w:rsidRPr="006B1802">
        <w:rPr>
          <w:rFonts w:asciiTheme="minorHAnsi" w:hAnsiTheme="minorHAnsi"/>
          <w:sz w:val="24"/>
          <w:szCs w:val="24"/>
        </w:rPr>
        <w:t>$</w:t>
      </w:r>
      <w:r w:rsidR="009D4FC4">
        <w:rPr>
          <w:rFonts w:asciiTheme="minorHAnsi" w:hAnsiTheme="minorHAnsi"/>
          <w:sz w:val="24"/>
          <w:szCs w:val="24"/>
        </w:rPr>
        <w:t>75,000</w:t>
      </w:r>
      <w:r w:rsidRPr="006B1802">
        <w:rPr>
          <w:rFonts w:asciiTheme="minorHAnsi" w:hAnsiTheme="minorHAnsi"/>
          <w:sz w:val="24"/>
          <w:szCs w:val="24"/>
        </w:rPr>
        <w:t>/QALY</w:t>
      </w:r>
      <w:r w:rsidR="009D4FC4">
        <w:rPr>
          <w:rFonts w:asciiTheme="minorHAnsi" w:hAnsiTheme="minorHAnsi"/>
          <w:sz w:val="24"/>
          <w:szCs w:val="24"/>
        </w:rPr>
        <w:t xml:space="preserve"> - $105,000/QALY</w:t>
      </w:r>
      <w:r w:rsidRPr="006B1802">
        <w:rPr>
          <w:rFonts w:asciiTheme="minorHAnsi" w:hAnsiTheme="minorHAnsi"/>
          <w:sz w:val="24"/>
          <w:szCs w:val="24"/>
        </w:rPr>
        <w:t xml:space="preserve"> if efficacy was halved at the start of the model</w:t>
      </w:r>
      <w:r w:rsidR="000238EF" w:rsidRPr="006B1802">
        <w:rPr>
          <w:rFonts w:asciiTheme="minorHAnsi" w:hAnsiTheme="minorHAnsi"/>
          <w:sz w:val="24"/>
          <w:szCs w:val="24"/>
        </w:rPr>
        <w:t>s</w:t>
      </w:r>
      <w:r w:rsidRPr="006B1802">
        <w:rPr>
          <w:rFonts w:asciiTheme="minorHAnsi" w:hAnsiTheme="minorHAnsi"/>
          <w:sz w:val="24"/>
          <w:szCs w:val="24"/>
        </w:rPr>
        <w:t xml:space="preserve">, rather than after 5 or 10 years as used in the minor resubmission’s sensitivity analyses; </w:t>
      </w:r>
      <w:r w:rsidR="00AB35BC" w:rsidRPr="006B1802">
        <w:rPr>
          <w:rFonts w:asciiTheme="minorHAnsi" w:hAnsiTheme="minorHAnsi"/>
          <w:sz w:val="24"/>
          <w:szCs w:val="24"/>
        </w:rPr>
        <w:t>and</w:t>
      </w:r>
    </w:p>
    <w:p w:rsidR="00B17B05" w:rsidRPr="006B1802" w:rsidRDefault="00B17B05" w:rsidP="00B93A10">
      <w:pPr>
        <w:pStyle w:val="ListParagraph"/>
        <w:widowControl/>
        <w:numPr>
          <w:ilvl w:val="0"/>
          <w:numId w:val="22"/>
        </w:numPr>
        <w:ind w:left="1134" w:hanging="11"/>
        <w:rPr>
          <w:rFonts w:asciiTheme="minorHAnsi" w:hAnsiTheme="minorHAnsi"/>
          <w:sz w:val="24"/>
          <w:szCs w:val="24"/>
        </w:rPr>
      </w:pPr>
      <w:r w:rsidRPr="006B1802">
        <w:rPr>
          <w:rFonts w:asciiTheme="minorHAnsi" w:hAnsiTheme="minorHAnsi"/>
          <w:sz w:val="24"/>
          <w:szCs w:val="24"/>
        </w:rPr>
        <w:t>$</w:t>
      </w:r>
      <w:r w:rsidR="009D4FC4">
        <w:rPr>
          <w:rFonts w:asciiTheme="minorHAnsi" w:hAnsiTheme="minorHAnsi"/>
          <w:sz w:val="24"/>
          <w:szCs w:val="24"/>
        </w:rPr>
        <w:t>75,000</w:t>
      </w:r>
      <w:r w:rsidRPr="006B1802">
        <w:rPr>
          <w:rFonts w:asciiTheme="minorHAnsi" w:hAnsiTheme="minorHAnsi"/>
          <w:sz w:val="24"/>
          <w:szCs w:val="24"/>
        </w:rPr>
        <w:t>/QALY</w:t>
      </w:r>
      <w:r w:rsidR="009D4FC4">
        <w:rPr>
          <w:rFonts w:asciiTheme="minorHAnsi" w:hAnsiTheme="minorHAnsi"/>
          <w:sz w:val="24"/>
          <w:szCs w:val="24"/>
        </w:rPr>
        <w:t xml:space="preserve"> - $105,000/QALY</w:t>
      </w:r>
      <w:r w:rsidRPr="006B1802">
        <w:rPr>
          <w:rFonts w:asciiTheme="minorHAnsi" w:hAnsiTheme="minorHAnsi"/>
          <w:sz w:val="24"/>
          <w:szCs w:val="24"/>
        </w:rPr>
        <w:t xml:space="preserve"> if the ITT populations were used for both models</w:t>
      </w:r>
      <w:r w:rsidR="00AB35BC" w:rsidRPr="006B1802">
        <w:rPr>
          <w:rFonts w:asciiTheme="minorHAnsi" w:hAnsiTheme="minorHAnsi"/>
          <w:sz w:val="24"/>
          <w:szCs w:val="24"/>
        </w:rPr>
        <w:t>.</w:t>
      </w:r>
    </w:p>
    <w:p w:rsidR="00B17B05" w:rsidRPr="006B1802" w:rsidRDefault="00B17B05" w:rsidP="00B93A10">
      <w:pPr>
        <w:spacing w:before="120" w:after="160"/>
        <w:ind w:left="360"/>
        <w:rPr>
          <w:rFonts w:asciiTheme="minorHAnsi" w:hAnsiTheme="minorHAnsi"/>
        </w:rPr>
      </w:pPr>
      <w:r w:rsidRPr="006B1802">
        <w:rPr>
          <w:rFonts w:asciiTheme="minorHAnsi" w:hAnsiTheme="minorHAnsi"/>
        </w:rPr>
        <w:t>These values were calculated using the weightings applied in the minor resubmission of 54.1% and 45.9% between TEMPO 3:4 and REPRISE, respectively.</w:t>
      </w:r>
    </w:p>
    <w:p w:rsidR="003C2FB5" w:rsidRPr="006B1802" w:rsidRDefault="00A55FEE" w:rsidP="00B93A10">
      <w:pPr>
        <w:pStyle w:val="Heading2"/>
        <w:keepLines/>
        <w:spacing w:before="240" w:after="120"/>
        <w:rPr>
          <w:rFonts w:asciiTheme="minorHAnsi" w:eastAsiaTheme="majorEastAsia" w:hAnsiTheme="minorHAnsi" w:cstheme="majorBidi"/>
          <w:sz w:val="28"/>
          <w:szCs w:val="28"/>
          <w:lang w:eastAsia="en-US"/>
        </w:rPr>
      </w:pPr>
      <w:proofErr w:type="gramStart"/>
      <w:r w:rsidRPr="006B1802">
        <w:rPr>
          <w:rFonts w:asciiTheme="minorHAnsi" w:eastAsiaTheme="majorEastAsia" w:hAnsiTheme="minorHAnsi" w:cstheme="majorBidi"/>
          <w:sz w:val="28"/>
          <w:szCs w:val="28"/>
          <w:lang w:eastAsia="en-US"/>
        </w:rPr>
        <w:lastRenderedPageBreak/>
        <w:t>Drug c</w:t>
      </w:r>
      <w:r w:rsidR="0043640A" w:rsidRPr="006B1802">
        <w:rPr>
          <w:rFonts w:asciiTheme="minorHAnsi" w:eastAsiaTheme="majorEastAsia" w:hAnsiTheme="minorHAnsi" w:cstheme="majorBidi"/>
          <w:sz w:val="28"/>
          <w:szCs w:val="28"/>
          <w:lang w:eastAsia="en-US"/>
        </w:rPr>
        <w:t>ost/patient/year</w:t>
      </w:r>
      <w:r w:rsidR="008400FE" w:rsidRPr="006B1802">
        <w:rPr>
          <w:rFonts w:asciiTheme="minorHAnsi" w:eastAsiaTheme="majorEastAsia" w:hAnsiTheme="minorHAnsi" w:cstheme="majorBidi"/>
          <w:sz w:val="28"/>
          <w:szCs w:val="28"/>
          <w:lang w:eastAsia="en-US"/>
        </w:rPr>
        <w:t>: $</w:t>
      </w:r>
      <w:r w:rsidR="00B912EA">
        <w:rPr>
          <w:rFonts w:asciiTheme="minorHAnsi" w:eastAsiaTheme="majorEastAsia" w:hAnsiTheme="minorHAnsi" w:cstheme="majorBidi"/>
          <w:noProof/>
          <w:color w:val="000000"/>
          <w:sz w:val="28"/>
          <w:szCs w:val="28"/>
          <w:highlight w:val="black"/>
          <w:lang w:eastAsia="en-US"/>
        </w:rPr>
        <w:t>'''''''''''</w:t>
      </w:r>
      <w:r w:rsidRPr="006B1802">
        <w:rPr>
          <w:rFonts w:asciiTheme="minorHAnsi" w:eastAsiaTheme="majorEastAsia" w:hAnsiTheme="minorHAnsi" w:cstheme="majorBidi"/>
          <w:sz w:val="28"/>
          <w:szCs w:val="28"/>
          <w:lang w:eastAsia="en-US"/>
        </w:rPr>
        <w:t>.</w:t>
      </w:r>
      <w:proofErr w:type="gramEnd"/>
    </w:p>
    <w:p w:rsidR="00A55FEE" w:rsidRPr="006B1802" w:rsidRDefault="008400FE" w:rsidP="00B93A1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B1802">
        <w:rPr>
          <w:rFonts w:asciiTheme="minorHAnsi" w:eastAsiaTheme="minorHAnsi" w:hAnsiTheme="minorHAnsi" w:cstheme="minorBidi"/>
          <w:snapToGrid/>
          <w:sz w:val="24"/>
          <w:szCs w:val="22"/>
        </w:rPr>
        <w:t xml:space="preserve">The estimated annual cost for tolvaptan is $ </w:t>
      </w:r>
      <w:r w:rsidR="00B912EA">
        <w:rPr>
          <w:rFonts w:asciiTheme="minorHAnsi" w:eastAsiaTheme="minorHAnsi" w:hAnsiTheme="minorHAnsi" w:cstheme="minorBidi"/>
          <w:noProof/>
          <w:snapToGrid/>
          <w:color w:val="000000"/>
          <w:sz w:val="24"/>
          <w:szCs w:val="22"/>
          <w:highlight w:val="black"/>
        </w:rPr>
        <w:t>''''''''''''</w:t>
      </w:r>
      <w:r w:rsidRPr="006B1802">
        <w:rPr>
          <w:rFonts w:asciiTheme="minorHAnsi" w:eastAsiaTheme="minorHAnsi" w:hAnsiTheme="minorHAnsi" w:cstheme="minorBidi"/>
          <w:snapToGrid/>
          <w:sz w:val="24"/>
          <w:szCs w:val="22"/>
        </w:rPr>
        <w:t xml:space="preserve"> (effective price) based on 13.04 scripts per year (=365 days per year/28 days per pack).</w:t>
      </w:r>
      <w:r w:rsidR="00A55FEE" w:rsidRPr="006B1802">
        <w:rPr>
          <w:rFonts w:asciiTheme="minorHAnsi" w:eastAsiaTheme="minorHAnsi" w:hAnsiTheme="minorHAnsi" w:cstheme="minorBidi"/>
          <w:snapToGrid/>
          <w:sz w:val="24"/>
          <w:szCs w:val="22"/>
        </w:rPr>
        <w:t xml:space="preserve">  </w:t>
      </w:r>
    </w:p>
    <w:p w:rsidR="008400FE" w:rsidRPr="006B1802" w:rsidRDefault="008400FE" w:rsidP="00B93A1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B1802">
        <w:rPr>
          <w:rFonts w:asciiTheme="minorHAnsi" w:eastAsiaTheme="minorHAnsi" w:hAnsiTheme="minorHAnsi" w:cstheme="minorBidi"/>
          <w:snapToGrid/>
          <w:sz w:val="24"/>
          <w:szCs w:val="22"/>
        </w:rPr>
        <w:t>The estimated cost was lower than in the March 2018 submission ($</w:t>
      </w:r>
      <w:r w:rsidR="00B912EA">
        <w:rPr>
          <w:rFonts w:asciiTheme="minorHAnsi" w:eastAsiaTheme="minorHAnsi" w:hAnsiTheme="minorHAnsi" w:cstheme="minorBidi"/>
          <w:noProof/>
          <w:snapToGrid/>
          <w:color w:val="000000"/>
          <w:sz w:val="24"/>
          <w:szCs w:val="22"/>
          <w:highlight w:val="black"/>
        </w:rPr>
        <w:t>''''''''''''''</w:t>
      </w:r>
      <w:r w:rsidRPr="006B1802">
        <w:rPr>
          <w:rFonts w:asciiTheme="minorHAnsi" w:eastAsiaTheme="minorHAnsi" w:hAnsiTheme="minorHAnsi" w:cstheme="minorBidi"/>
          <w:snapToGrid/>
          <w:sz w:val="24"/>
          <w:szCs w:val="22"/>
        </w:rPr>
        <w:t xml:space="preserve"> based on </w:t>
      </w:r>
      <w:r w:rsidR="00A750A8" w:rsidRPr="006B1802">
        <w:rPr>
          <w:rFonts w:asciiTheme="minorHAnsi" w:eastAsiaTheme="minorHAnsi" w:hAnsiTheme="minorHAnsi" w:cstheme="minorBidi"/>
          <w:snapToGrid/>
          <w:sz w:val="24"/>
          <w:szCs w:val="22"/>
        </w:rPr>
        <w:t xml:space="preserve">the </w:t>
      </w:r>
      <w:r w:rsidRPr="006B1802">
        <w:rPr>
          <w:rFonts w:asciiTheme="minorHAnsi" w:eastAsiaTheme="minorHAnsi" w:hAnsiTheme="minorHAnsi" w:cstheme="minorBidi"/>
          <w:snapToGrid/>
          <w:sz w:val="24"/>
          <w:szCs w:val="22"/>
        </w:rPr>
        <w:t>effective price).</w:t>
      </w:r>
    </w:p>
    <w:p w:rsidR="005A3173" w:rsidRPr="006B1802" w:rsidRDefault="005A3173" w:rsidP="00B93A10">
      <w:pPr>
        <w:pStyle w:val="Heading2"/>
        <w:keepLines/>
        <w:spacing w:before="240" w:after="120"/>
        <w:rPr>
          <w:rFonts w:asciiTheme="minorHAnsi" w:eastAsiaTheme="majorEastAsia" w:hAnsiTheme="minorHAnsi" w:cstheme="majorBidi"/>
          <w:sz w:val="28"/>
          <w:szCs w:val="28"/>
          <w:lang w:eastAsia="en-US"/>
        </w:rPr>
      </w:pPr>
      <w:r w:rsidRPr="006B1802">
        <w:rPr>
          <w:rFonts w:asciiTheme="minorHAnsi" w:eastAsiaTheme="majorEastAsia" w:hAnsiTheme="minorHAnsi" w:cstheme="majorBidi"/>
          <w:sz w:val="28"/>
          <w:szCs w:val="28"/>
          <w:lang w:eastAsia="en-US"/>
        </w:rPr>
        <w:t>Estimated PBS usage &amp; financial implications</w:t>
      </w:r>
    </w:p>
    <w:p w:rsidR="004E3285" w:rsidRPr="006B1802" w:rsidRDefault="00FF2801" w:rsidP="00B93A10">
      <w:pPr>
        <w:pStyle w:val="ListParagraph"/>
        <w:widowControl/>
        <w:numPr>
          <w:ilvl w:val="1"/>
          <w:numId w:val="14"/>
        </w:numPr>
        <w:spacing w:after="120"/>
        <w:contextualSpacing w:val="0"/>
        <w:rPr>
          <w:rFonts w:asciiTheme="minorHAnsi" w:hAnsiTheme="minorHAnsi"/>
          <w:sz w:val="24"/>
          <w:szCs w:val="24"/>
        </w:rPr>
      </w:pPr>
      <w:r w:rsidRPr="006B1802">
        <w:rPr>
          <w:rFonts w:asciiTheme="minorHAnsi" w:hAnsiTheme="minorHAnsi"/>
          <w:sz w:val="24"/>
          <w:szCs w:val="24"/>
        </w:rPr>
        <w:t xml:space="preserve">The minor </w:t>
      </w:r>
      <w:r w:rsidR="00A724FC" w:rsidRPr="006B1802">
        <w:rPr>
          <w:rFonts w:asciiTheme="minorHAnsi" w:hAnsiTheme="minorHAnsi"/>
          <w:sz w:val="24"/>
          <w:szCs w:val="24"/>
        </w:rPr>
        <w:t>re</w:t>
      </w:r>
      <w:r w:rsidRPr="006B1802">
        <w:rPr>
          <w:rFonts w:asciiTheme="minorHAnsi" w:hAnsiTheme="minorHAnsi"/>
          <w:sz w:val="24"/>
          <w:szCs w:val="24"/>
        </w:rPr>
        <w:t>submission estimated</w:t>
      </w:r>
      <w:r w:rsidR="00B83387" w:rsidRPr="006B1802">
        <w:rPr>
          <w:rFonts w:asciiTheme="minorHAnsi" w:hAnsiTheme="minorHAnsi"/>
          <w:sz w:val="24"/>
          <w:szCs w:val="24"/>
        </w:rPr>
        <w:t xml:space="preserve"> a net cost to the PBS of </w:t>
      </w:r>
      <w:r w:rsidR="00C52C64" w:rsidRPr="006B1802">
        <w:rPr>
          <w:rFonts w:asciiTheme="minorHAnsi" w:hAnsiTheme="minorHAnsi"/>
          <w:sz w:val="24"/>
          <w:szCs w:val="24"/>
        </w:rPr>
        <w:t>up to</w:t>
      </w:r>
      <w:r w:rsidR="0077737C" w:rsidRPr="006B1802">
        <w:rPr>
          <w:rFonts w:asciiTheme="minorHAnsi" w:hAnsiTheme="minorHAnsi"/>
          <w:sz w:val="24"/>
          <w:szCs w:val="24"/>
        </w:rPr>
        <w:t xml:space="preserve"> </w:t>
      </w:r>
      <w:r w:rsidR="00B83387" w:rsidRPr="006B1802">
        <w:rPr>
          <w:rFonts w:asciiTheme="minorHAnsi" w:hAnsiTheme="minorHAnsi"/>
          <w:sz w:val="24"/>
          <w:szCs w:val="24"/>
        </w:rPr>
        <w:t>$</w:t>
      </w:r>
      <w:r w:rsidR="00583AF4" w:rsidRPr="006B1802">
        <w:rPr>
          <w:rFonts w:asciiTheme="minorHAnsi" w:hAnsiTheme="minorHAnsi"/>
          <w:sz w:val="24"/>
          <w:szCs w:val="24"/>
        </w:rPr>
        <w:t>10</w:t>
      </w:r>
      <w:r w:rsidR="0077737C" w:rsidRPr="006B1802">
        <w:rPr>
          <w:rFonts w:asciiTheme="minorHAnsi" w:hAnsiTheme="minorHAnsi"/>
          <w:sz w:val="24"/>
          <w:szCs w:val="24"/>
        </w:rPr>
        <w:t xml:space="preserve"> million</w:t>
      </w:r>
      <w:r w:rsidR="00C00DA7" w:rsidRPr="006B1802">
        <w:rPr>
          <w:rFonts w:asciiTheme="minorHAnsi" w:hAnsiTheme="minorHAnsi"/>
          <w:sz w:val="24"/>
          <w:szCs w:val="24"/>
        </w:rPr>
        <w:t xml:space="preserve"> in Year </w:t>
      </w:r>
      <w:r w:rsidR="00583AF4" w:rsidRPr="006B1802">
        <w:rPr>
          <w:rFonts w:asciiTheme="minorHAnsi" w:hAnsiTheme="minorHAnsi"/>
          <w:sz w:val="24"/>
          <w:szCs w:val="24"/>
        </w:rPr>
        <w:t>6</w:t>
      </w:r>
      <w:r w:rsidR="00C00DA7" w:rsidRPr="006B1802">
        <w:rPr>
          <w:rFonts w:asciiTheme="minorHAnsi" w:hAnsiTheme="minorHAnsi"/>
          <w:sz w:val="24"/>
          <w:szCs w:val="24"/>
        </w:rPr>
        <w:t xml:space="preserve"> of lis</w:t>
      </w:r>
      <w:r w:rsidR="00B83387" w:rsidRPr="006B1802">
        <w:rPr>
          <w:rFonts w:asciiTheme="minorHAnsi" w:hAnsiTheme="minorHAnsi"/>
          <w:sz w:val="24"/>
          <w:szCs w:val="24"/>
        </w:rPr>
        <w:t xml:space="preserve">ting, with a total net cost to the PBS of </w:t>
      </w:r>
      <w:r w:rsidR="0077737C" w:rsidRPr="006B1802">
        <w:rPr>
          <w:rFonts w:asciiTheme="minorHAnsi" w:hAnsiTheme="minorHAnsi"/>
          <w:sz w:val="24"/>
          <w:szCs w:val="24"/>
        </w:rPr>
        <w:t>$</w:t>
      </w:r>
      <w:r w:rsidR="00137E2A">
        <w:rPr>
          <w:rFonts w:asciiTheme="minorHAnsi" w:hAnsiTheme="minorHAnsi"/>
          <w:sz w:val="24"/>
          <w:szCs w:val="24"/>
        </w:rPr>
        <w:t>30 - $60</w:t>
      </w:r>
      <w:r w:rsidR="0077737C" w:rsidRPr="006B1802">
        <w:rPr>
          <w:rFonts w:asciiTheme="minorHAnsi" w:hAnsiTheme="minorHAnsi"/>
          <w:sz w:val="24"/>
          <w:szCs w:val="24"/>
        </w:rPr>
        <w:t xml:space="preserve"> million </w:t>
      </w:r>
      <w:r w:rsidR="00C00DA7" w:rsidRPr="006B1802">
        <w:rPr>
          <w:rFonts w:asciiTheme="minorHAnsi" w:hAnsiTheme="minorHAnsi"/>
          <w:sz w:val="24"/>
          <w:szCs w:val="24"/>
        </w:rPr>
        <w:t xml:space="preserve">over the first </w:t>
      </w:r>
      <w:r w:rsidR="00583AF4" w:rsidRPr="006B1802">
        <w:rPr>
          <w:rFonts w:asciiTheme="minorHAnsi" w:hAnsiTheme="minorHAnsi"/>
          <w:sz w:val="24"/>
          <w:szCs w:val="24"/>
        </w:rPr>
        <w:t>6</w:t>
      </w:r>
      <w:r w:rsidR="00C00DA7" w:rsidRPr="006B1802">
        <w:rPr>
          <w:rFonts w:asciiTheme="minorHAnsi" w:hAnsiTheme="minorHAnsi"/>
          <w:sz w:val="24"/>
          <w:szCs w:val="24"/>
        </w:rPr>
        <w:t xml:space="preserve"> years of listing</w:t>
      </w:r>
      <w:r w:rsidR="003641D8" w:rsidRPr="006B1802">
        <w:rPr>
          <w:rFonts w:asciiTheme="minorHAnsi" w:hAnsiTheme="minorHAnsi"/>
          <w:sz w:val="24"/>
          <w:szCs w:val="24"/>
        </w:rPr>
        <w:t xml:space="preserve"> based on the effective price</w:t>
      </w:r>
      <w:r w:rsidR="00C00DA7" w:rsidRPr="006B1802">
        <w:rPr>
          <w:rFonts w:asciiTheme="minorHAnsi" w:hAnsiTheme="minorHAnsi"/>
          <w:sz w:val="24"/>
          <w:szCs w:val="24"/>
        </w:rPr>
        <w:t xml:space="preserve">. </w:t>
      </w:r>
      <w:r w:rsidR="003641D8" w:rsidRPr="006B1802">
        <w:rPr>
          <w:rFonts w:asciiTheme="minorHAnsi" w:hAnsiTheme="minorHAnsi"/>
          <w:sz w:val="24"/>
          <w:szCs w:val="24"/>
        </w:rPr>
        <w:t>This</w:t>
      </w:r>
      <w:r w:rsidR="00583AF4" w:rsidRPr="006B1802">
        <w:rPr>
          <w:rFonts w:asciiTheme="minorHAnsi" w:hAnsiTheme="minorHAnsi"/>
          <w:sz w:val="24"/>
          <w:szCs w:val="24"/>
        </w:rPr>
        <w:t xml:space="preserve"> </w:t>
      </w:r>
      <w:r w:rsidR="006B1802" w:rsidRPr="006B1802">
        <w:rPr>
          <w:rFonts w:asciiTheme="minorHAnsi" w:hAnsiTheme="minorHAnsi"/>
          <w:sz w:val="24"/>
          <w:szCs w:val="24"/>
        </w:rPr>
        <w:t>compare</w:t>
      </w:r>
      <w:r w:rsidR="006B1802">
        <w:rPr>
          <w:rFonts w:asciiTheme="minorHAnsi" w:hAnsiTheme="minorHAnsi"/>
          <w:sz w:val="24"/>
          <w:szCs w:val="24"/>
        </w:rPr>
        <w:t>s</w:t>
      </w:r>
      <w:r w:rsidR="006B1802" w:rsidRPr="006B1802">
        <w:rPr>
          <w:rFonts w:asciiTheme="minorHAnsi" w:hAnsiTheme="minorHAnsi"/>
          <w:sz w:val="24"/>
          <w:szCs w:val="24"/>
        </w:rPr>
        <w:t xml:space="preserve"> </w:t>
      </w:r>
      <w:r w:rsidR="003641D8" w:rsidRPr="006B1802">
        <w:rPr>
          <w:rFonts w:asciiTheme="minorHAnsi" w:hAnsiTheme="minorHAnsi"/>
          <w:sz w:val="24"/>
          <w:szCs w:val="24"/>
        </w:rPr>
        <w:t>to $</w:t>
      </w:r>
      <w:r w:rsidR="00137E2A">
        <w:rPr>
          <w:rFonts w:asciiTheme="minorHAnsi" w:hAnsiTheme="minorHAnsi"/>
          <w:sz w:val="24"/>
          <w:szCs w:val="24"/>
        </w:rPr>
        <w:t>60 - $100</w:t>
      </w:r>
      <w:r w:rsidR="003641D8" w:rsidRPr="006B1802">
        <w:rPr>
          <w:rFonts w:asciiTheme="minorHAnsi" w:hAnsiTheme="minorHAnsi"/>
          <w:sz w:val="24"/>
          <w:szCs w:val="24"/>
        </w:rPr>
        <w:t xml:space="preserve"> million </w:t>
      </w:r>
      <w:r w:rsidR="0077737C" w:rsidRPr="006B1802">
        <w:rPr>
          <w:rFonts w:asciiTheme="minorHAnsi" w:hAnsiTheme="minorHAnsi"/>
          <w:sz w:val="24"/>
          <w:szCs w:val="24"/>
        </w:rPr>
        <w:t xml:space="preserve">over 6 years </w:t>
      </w:r>
      <w:r w:rsidR="00583AF4" w:rsidRPr="006B1802">
        <w:rPr>
          <w:rFonts w:asciiTheme="minorHAnsi" w:hAnsiTheme="minorHAnsi"/>
          <w:sz w:val="24"/>
          <w:szCs w:val="24"/>
        </w:rPr>
        <w:t>in the March 2018 submission</w:t>
      </w:r>
      <w:r w:rsidR="00C61D3F" w:rsidRPr="006B1802">
        <w:rPr>
          <w:rFonts w:asciiTheme="minorHAnsi" w:hAnsiTheme="minorHAnsi"/>
          <w:sz w:val="24"/>
          <w:szCs w:val="24"/>
        </w:rPr>
        <w:t>.</w:t>
      </w:r>
      <w:r w:rsidR="00DB645D" w:rsidRPr="006B1802">
        <w:rPr>
          <w:rFonts w:asciiTheme="minorHAnsi" w:hAnsiTheme="minorHAnsi"/>
          <w:sz w:val="24"/>
          <w:szCs w:val="24"/>
        </w:rPr>
        <w:t xml:space="preserve"> </w:t>
      </w:r>
      <w:r w:rsidR="003641D8" w:rsidRPr="006B1802">
        <w:rPr>
          <w:rFonts w:asciiTheme="minorHAnsi" w:hAnsiTheme="minorHAnsi"/>
          <w:sz w:val="24"/>
          <w:szCs w:val="24"/>
        </w:rPr>
        <w:t>T</w:t>
      </w:r>
      <w:r w:rsidR="00C00DA7" w:rsidRPr="006B1802">
        <w:rPr>
          <w:rFonts w:asciiTheme="minorHAnsi" w:hAnsiTheme="minorHAnsi"/>
          <w:sz w:val="24"/>
          <w:szCs w:val="24"/>
        </w:rPr>
        <w:t>he table</w:t>
      </w:r>
      <w:r w:rsidR="00A724FC" w:rsidRPr="006B1802">
        <w:rPr>
          <w:rFonts w:asciiTheme="minorHAnsi" w:hAnsiTheme="minorHAnsi"/>
          <w:sz w:val="24"/>
          <w:szCs w:val="24"/>
        </w:rPr>
        <w:t>s</w:t>
      </w:r>
      <w:r w:rsidR="00C00DA7" w:rsidRPr="006B1802">
        <w:rPr>
          <w:rFonts w:asciiTheme="minorHAnsi" w:hAnsiTheme="minorHAnsi"/>
          <w:sz w:val="24"/>
          <w:szCs w:val="24"/>
        </w:rPr>
        <w:t xml:space="preserve"> below </w:t>
      </w:r>
      <w:r w:rsidR="003641D8" w:rsidRPr="006B1802">
        <w:rPr>
          <w:rFonts w:asciiTheme="minorHAnsi" w:hAnsiTheme="minorHAnsi"/>
          <w:sz w:val="24"/>
          <w:szCs w:val="24"/>
        </w:rPr>
        <w:t xml:space="preserve">summarise </w:t>
      </w:r>
      <w:r w:rsidR="00C00DA7" w:rsidRPr="006B1802">
        <w:rPr>
          <w:rFonts w:asciiTheme="minorHAnsi" w:hAnsiTheme="minorHAnsi"/>
          <w:sz w:val="24"/>
          <w:szCs w:val="24"/>
        </w:rPr>
        <w:t>the expected patient/prescription numbers</w:t>
      </w:r>
      <w:r w:rsidR="00A724FC" w:rsidRPr="006B1802">
        <w:rPr>
          <w:rFonts w:asciiTheme="minorHAnsi" w:hAnsiTheme="minorHAnsi"/>
          <w:sz w:val="24"/>
          <w:szCs w:val="24"/>
        </w:rPr>
        <w:t xml:space="preserve"> and total costs</w:t>
      </w:r>
      <w:r w:rsidR="00C00DA7" w:rsidRPr="006B1802">
        <w:rPr>
          <w:rFonts w:asciiTheme="minorHAnsi" w:hAnsiTheme="minorHAnsi"/>
          <w:sz w:val="24"/>
          <w:szCs w:val="24"/>
        </w:rPr>
        <w:t xml:space="preserve">.  </w:t>
      </w:r>
      <w:bookmarkStart w:id="7" w:name="_Ref511832438"/>
    </w:p>
    <w:bookmarkEnd w:id="7"/>
    <w:p w:rsidR="00E22F3A" w:rsidRPr="006B1802" w:rsidRDefault="00E22F3A" w:rsidP="00B93A10">
      <w:pPr>
        <w:pStyle w:val="Caption"/>
        <w:keepNext/>
        <w:spacing w:after="0"/>
        <w:rPr>
          <w:rFonts w:ascii="Arial Narrow" w:hAnsi="Arial Narrow"/>
          <w:color w:val="auto"/>
          <w:sz w:val="20"/>
          <w:szCs w:val="20"/>
        </w:rPr>
      </w:pPr>
      <w:r w:rsidRPr="006B1802">
        <w:rPr>
          <w:rFonts w:ascii="Arial Narrow" w:hAnsi="Arial Narrow"/>
          <w:color w:val="auto"/>
          <w:sz w:val="20"/>
          <w:szCs w:val="20"/>
        </w:rPr>
        <w:lastRenderedPageBreak/>
        <w:t xml:space="preserve">Table </w:t>
      </w:r>
      <w:r w:rsidR="00CC525E" w:rsidRPr="006B1802">
        <w:rPr>
          <w:rFonts w:ascii="Arial Narrow" w:hAnsi="Arial Narrow"/>
          <w:color w:val="auto"/>
          <w:sz w:val="20"/>
          <w:szCs w:val="20"/>
        </w:rPr>
        <w:t>7</w:t>
      </w:r>
      <w:r w:rsidR="00583AF4" w:rsidRPr="006B1802">
        <w:rPr>
          <w:rFonts w:ascii="Arial Narrow" w:hAnsi="Arial Narrow"/>
          <w:color w:val="auto"/>
          <w:sz w:val="20"/>
          <w:szCs w:val="20"/>
        </w:rPr>
        <w:t xml:space="preserve">: </w:t>
      </w:r>
      <w:r w:rsidRPr="006B1802">
        <w:rPr>
          <w:rFonts w:ascii="Arial Narrow" w:hAnsi="Arial Narrow"/>
          <w:color w:val="auto"/>
          <w:sz w:val="20"/>
          <w:szCs w:val="20"/>
        </w:rPr>
        <w:t>Revised usage and financial estimates proposed in the current submission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4 2 Revised usage and financial estimates proposed in the current submission"/>
        <w:tblDescription w:val="Table 4 2 Revised usage and financial estimates proposed in the current submission"/>
      </w:tblPr>
      <w:tblGrid>
        <w:gridCol w:w="2653"/>
        <w:gridCol w:w="1081"/>
        <w:gridCol w:w="1082"/>
        <w:gridCol w:w="1082"/>
        <w:gridCol w:w="1080"/>
        <w:gridCol w:w="1082"/>
        <w:gridCol w:w="1080"/>
      </w:tblGrid>
      <w:tr w:rsidR="004E3285" w:rsidRPr="006B1802" w:rsidTr="00414990">
        <w:trPr>
          <w:tblHeader/>
        </w:trPr>
        <w:tc>
          <w:tcPr>
            <w:tcW w:w="145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b/>
                <w:sz w:val="20"/>
                <w:szCs w:val="20"/>
              </w:rPr>
            </w:pPr>
            <w:r w:rsidRPr="006B1802">
              <w:rPr>
                <w:rFonts w:ascii="Arial Narrow" w:hAnsi="Arial Narrow"/>
                <w:b/>
                <w:sz w:val="20"/>
                <w:szCs w:val="20"/>
              </w:rPr>
              <w:t xml:space="preserve">Year </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b/>
                <w:sz w:val="20"/>
                <w:szCs w:val="20"/>
              </w:rPr>
            </w:pPr>
            <w:r w:rsidRPr="006B1802">
              <w:rPr>
                <w:rFonts w:ascii="Arial Narrow" w:hAnsi="Arial Narrow"/>
                <w:b/>
                <w:sz w:val="20"/>
                <w:szCs w:val="20"/>
              </w:rPr>
              <w:t xml:space="preserve">Year 1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b/>
                <w:sz w:val="20"/>
                <w:szCs w:val="20"/>
              </w:rPr>
            </w:pPr>
            <w:r w:rsidRPr="006B1802">
              <w:rPr>
                <w:rFonts w:ascii="Arial Narrow" w:hAnsi="Arial Narrow"/>
                <w:b/>
                <w:sz w:val="20"/>
                <w:szCs w:val="20"/>
              </w:rPr>
              <w:t xml:space="preserve">Year 2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b/>
                <w:sz w:val="20"/>
                <w:szCs w:val="20"/>
              </w:rPr>
            </w:pPr>
            <w:r w:rsidRPr="006B1802">
              <w:rPr>
                <w:rFonts w:ascii="Arial Narrow" w:hAnsi="Arial Narrow"/>
                <w:b/>
                <w:sz w:val="20"/>
                <w:szCs w:val="20"/>
              </w:rPr>
              <w:t xml:space="preserve">Year 3 </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b/>
                <w:sz w:val="20"/>
                <w:szCs w:val="20"/>
              </w:rPr>
            </w:pPr>
            <w:r w:rsidRPr="006B1802">
              <w:rPr>
                <w:rFonts w:ascii="Arial Narrow" w:hAnsi="Arial Narrow"/>
                <w:b/>
                <w:sz w:val="20"/>
                <w:szCs w:val="20"/>
              </w:rPr>
              <w:t xml:space="preserve">Year 4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b/>
                <w:sz w:val="20"/>
                <w:szCs w:val="20"/>
              </w:rPr>
            </w:pPr>
            <w:r w:rsidRPr="006B1802">
              <w:rPr>
                <w:rFonts w:ascii="Arial Narrow" w:hAnsi="Arial Narrow"/>
                <w:b/>
                <w:sz w:val="20"/>
                <w:szCs w:val="20"/>
              </w:rPr>
              <w:t xml:space="preserve">Year 5 </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b/>
                <w:sz w:val="20"/>
                <w:szCs w:val="20"/>
              </w:rPr>
            </w:pPr>
            <w:r w:rsidRPr="006B1802">
              <w:rPr>
                <w:rFonts w:ascii="Arial Narrow" w:hAnsi="Arial Narrow"/>
                <w:b/>
                <w:sz w:val="20"/>
                <w:szCs w:val="20"/>
              </w:rPr>
              <w:t>Year 6</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Prevalent ADPKD </w:t>
            </w:r>
            <w:proofErr w:type="spellStart"/>
            <w:r w:rsidRPr="006B1802">
              <w:rPr>
                <w:rFonts w:ascii="Arial Narrow" w:hAnsi="Arial Narrow"/>
                <w:sz w:val="20"/>
                <w:szCs w:val="20"/>
              </w:rPr>
              <w:t>pop’n</w:t>
            </w:r>
            <w:proofErr w:type="spellEnd"/>
          </w:p>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(356 per million)</w:t>
            </w:r>
          </w:p>
        </w:tc>
        <w:tc>
          <w:tcPr>
            <w:tcW w:w="591" w:type="pct"/>
            <w:tcBorders>
              <w:top w:val="single" w:sz="4" w:space="0" w:color="auto"/>
              <w:left w:val="single" w:sz="4" w:space="0" w:color="auto"/>
              <w:bottom w:val="single" w:sz="4" w:space="0" w:color="auto"/>
              <w:right w:val="single" w:sz="4" w:space="0" w:color="auto"/>
            </w:tcBorders>
            <w:vAlign w:val="center"/>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vAlign w:val="center"/>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vAlign w:val="center"/>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vAlign w:val="center"/>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vAlign w:val="center"/>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vAlign w:val="center"/>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ADPKD patients where a ‘hard cap’ is set to ensure cost-effectiveness</w:t>
            </w:r>
          </w:p>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(15%)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Tolvaptan estimated initiation rates</w:t>
            </w:r>
          </w:p>
        </w:tc>
        <w:tc>
          <w:tcPr>
            <w:tcW w:w="59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60.0%</w:t>
            </w:r>
          </w:p>
        </w:tc>
        <w:tc>
          <w:tcPr>
            <w:tcW w:w="592"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8.0%</w:t>
            </w:r>
          </w:p>
        </w:tc>
        <w:tc>
          <w:tcPr>
            <w:tcW w:w="592"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8.0%</w:t>
            </w:r>
          </w:p>
        </w:tc>
        <w:tc>
          <w:tcPr>
            <w:tcW w:w="59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8.0%</w:t>
            </w:r>
          </w:p>
        </w:tc>
        <w:tc>
          <w:tcPr>
            <w:tcW w:w="592"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8.0%</w:t>
            </w:r>
          </w:p>
        </w:tc>
        <w:tc>
          <w:tcPr>
            <w:tcW w:w="59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8.0%</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Patients initiating treatment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r>
      <w:tr w:rsidR="004E3285" w:rsidRPr="006B1802" w:rsidTr="00E22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Treatment persistence for each year of therapy</w:t>
            </w:r>
          </w:p>
        </w:tc>
        <w:tc>
          <w:tcPr>
            <w:tcW w:w="59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100%</w:t>
            </w:r>
          </w:p>
        </w:tc>
        <w:tc>
          <w:tcPr>
            <w:tcW w:w="592"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84.7%</w:t>
            </w:r>
          </w:p>
        </w:tc>
        <w:tc>
          <w:tcPr>
            <w:tcW w:w="592"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80.8%</w:t>
            </w:r>
          </w:p>
        </w:tc>
        <w:tc>
          <w:tcPr>
            <w:tcW w:w="59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77.1%</w:t>
            </w:r>
          </w:p>
        </w:tc>
        <w:tc>
          <w:tcPr>
            <w:tcW w:w="592"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73.5%</w:t>
            </w:r>
          </w:p>
        </w:tc>
        <w:tc>
          <w:tcPr>
            <w:tcW w:w="59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70.2%</w:t>
            </w:r>
          </w:p>
        </w:tc>
      </w:tr>
      <w:tr w:rsidR="004E3285" w:rsidRPr="006B1802" w:rsidTr="001F1763">
        <w:tc>
          <w:tcPr>
            <w:tcW w:w="5000" w:type="pct"/>
            <w:gridSpan w:val="7"/>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Number of patients remaining on tolvaptan at the beginning of each year among those initiated in:</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Year 1</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w:t>
            </w:r>
            <w:r w:rsidRPr="00B912EA">
              <w:rPr>
                <w:rFonts w:ascii="Arial Narrow" w:hAnsi="Arial Narrow"/>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Year 2</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w:t>
            </w:r>
            <w:r w:rsidRPr="00B912EA">
              <w:rPr>
                <w:rFonts w:ascii="Arial Narrow" w:hAnsi="Arial Narrow"/>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Year 3</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Year 4 </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w:t>
            </w:r>
            <w:r w:rsidRPr="00B912EA">
              <w:rPr>
                <w:rFonts w:ascii="Arial Narrow" w:hAnsi="Arial Narrow"/>
                <w:sz w:val="20"/>
                <w:szCs w:val="20"/>
                <w:highlight w:val="black"/>
              </w:rPr>
              <w:t xml:space="preserve"> </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Year 5</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Year 6</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 -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Total patients on therapy</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w:t>
            </w:r>
            <w:r w:rsidRPr="00B912EA">
              <w:rPr>
                <w:rFonts w:ascii="Arial Narrow" w:hAnsi="Arial Narrow"/>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4E3285" w:rsidP="00B93A10">
            <w:pPr>
              <w:keepNext/>
              <w:keepLines/>
              <w:spacing w:before="60" w:after="60"/>
              <w:rPr>
                <w:rFonts w:ascii="Arial Narrow" w:hAnsi="Arial Narrow"/>
                <w:sz w:val="20"/>
                <w:szCs w:val="20"/>
                <w:highlight w:val="black"/>
              </w:rPr>
            </w:pPr>
            <w:r w:rsidRPr="006B1802">
              <w:rPr>
                <w:rFonts w:ascii="Arial Narrow" w:hAnsi="Arial Narrow"/>
                <w:sz w:val="20"/>
                <w:szCs w:val="20"/>
              </w:rPr>
              <w:t xml:space="preserve"> </w:t>
            </w:r>
            <w:r w:rsidR="00B912EA">
              <w:rPr>
                <w:rFonts w:ascii="Arial Narrow" w:hAnsi="Arial Narrow"/>
                <w:noProof/>
                <w:color w:val="000000"/>
                <w:sz w:val="20"/>
                <w:szCs w:val="20"/>
                <w:highlight w:val="black"/>
              </w:rPr>
              <w:t xml:space="preserve">'''''''''' </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Total patient </w:t>
            </w:r>
            <w:proofErr w:type="spellStart"/>
            <w:r w:rsidRPr="006B1802">
              <w:rPr>
                <w:rFonts w:ascii="Arial Narrow" w:hAnsi="Arial Narrow"/>
                <w:sz w:val="20"/>
                <w:szCs w:val="20"/>
              </w:rPr>
              <w:t>yrs</w:t>
            </w:r>
            <w:proofErr w:type="spellEnd"/>
            <w:r w:rsidRPr="006B1802">
              <w:rPr>
                <w:rFonts w:ascii="Arial Narrow" w:hAnsi="Arial Narrow"/>
                <w:sz w:val="20"/>
                <w:szCs w:val="20"/>
              </w:rPr>
              <w:t xml:space="preserve"> on therapy (half-cycle corrected)</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 xml:space="preserve"> ''''''''''''''</w:t>
            </w:r>
            <w:r w:rsidR="004E3285" w:rsidRPr="00B912EA">
              <w:rPr>
                <w:rFonts w:ascii="Arial Narrow" w:hAnsi="Arial Narrow"/>
                <w:sz w:val="20"/>
                <w:szCs w:val="20"/>
                <w:highlight w:val="black"/>
              </w:rPr>
              <w:t xml:space="preserve"> </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Total tolvaptan packs dispensed (13.04/patient)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- 15 mg + 45 mg dose pack</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r>
      <w:tr w:rsidR="004E3285" w:rsidRPr="006B1802" w:rsidTr="00E22F3A">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- 30 mg + 60 mg dose pack</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r>
      <w:tr w:rsidR="004E3285" w:rsidRPr="006B1802" w:rsidTr="00E22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- 30 mg + 90 mg dose pack</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B912EA" w:rsidRDefault="00B912EA" w:rsidP="00B93A10">
            <w:pPr>
              <w:keepNext/>
              <w:keepLines/>
              <w:spacing w:before="60" w:after="60"/>
              <w:rPr>
                <w:rFonts w:ascii="Arial Narrow" w:hAnsi="Arial Narrow"/>
                <w:sz w:val="20"/>
                <w:szCs w:val="20"/>
                <w:highlight w:val="black"/>
              </w:rPr>
            </w:pPr>
            <w:r>
              <w:rPr>
                <w:rFonts w:ascii="Arial Narrow" w:hAnsi="Arial Narrow"/>
                <w:noProof/>
                <w:color w:val="000000"/>
                <w:sz w:val="20"/>
                <w:szCs w:val="20"/>
                <w:highlight w:val="black"/>
              </w:rPr>
              <w:t>''''''''''''''</w:t>
            </w:r>
          </w:p>
        </w:tc>
      </w:tr>
      <w:tr w:rsidR="004E3285" w:rsidRPr="006B1802" w:rsidTr="001F1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Cost with effective DPMQ ($</w:t>
            </w:r>
            <w:r w:rsidR="00B912EA">
              <w:rPr>
                <w:rFonts w:ascii="Arial Narrow" w:hAnsi="Arial Narrow"/>
                <w:noProof/>
                <w:color w:val="000000"/>
                <w:sz w:val="20"/>
                <w:szCs w:val="20"/>
                <w:highlight w:val="black"/>
              </w:rPr>
              <w:t>'''''''''''''''</w:t>
            </w:r>
            <w:r w:rsidRPr="006B1802">
              <w:rPr>
                <w:rFonts w:ascii="Arial Narrow" w:hAnsi="Arial Narrow"/>
                <w:sz w:val="20"/>
                <w:szCs w:val="20"/>
              </w:rPr>
              <w:t>)</w:t>
            </w:r>
          </w:p>
        </w:tc>
      </w:tr>
      <w:tr w:rsidR="004E3285" w:rsidRPr="006B1802" w:rsidTr="00E22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1" w:type="pct"/>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Cost of tolvaptan</w:t>
            </w:r>
          </w:p>
        </w:tc>
        <w:tc>
          <w:tcPr>
            <w:tcW w:w="591"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4E3285" w:rsidRPr="006B1802" w:rsidTr="00E22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1" w:type="pct"/>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Patient </w:t>
            </w:r>
            <w:proofErr w:type="spellStart"/>
            <w:r w:rsidRPr="006B1802">
              <w:rPr>
                <w:rFonts w:ascii="Arial Narrow" w:hAnsi="Arial Narrow"/>
                <w:sz w:val="20"/>
                <w:szCs w:val="20"/>
              </w:rPr>
              <w:t>copay</w:t>
            </w:r>
            <w:proofErr w:type="spellEnd"/>
            <w:r w:rsidRPr="006B1802">
              <w:rPr>
                <w:rFonts w:ascii="Arial Narrow" w:hAnsi="Arial Narrow"/>
                <w:sz w:val="20"/>
                <w:szCs w:val="20"/>
              </w:rPr>
              <w:t xml:space="preserve"> (mean $25.06)</w:t>
            </w:r>
          </w:p>
        </w:tc>
        <w:tc>
          <w:tcPr>
            <w:tcW w:w="591"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4E3285" w:rsidRPr="006B1802" w:rsidTr="00E22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1" w:type="pct"/>
            <w:tcBorders>
              <w:bottom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Net cost to the PBS/RPBS</w:t>
            </w:r>
          </w:p>
        </w:tc>
        <w:tc>
          <w:tcPr>
            <w:tcW w:w="591" w:type="pct"/>
            <w:tcBorders>
              <w:bottom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Borders>
              <w:bottom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Borders>
              <w:bottom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Borders>
              <w:bottom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Borders>
              <w:bottom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Borders>
              <w:bottom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4E3285" w:rsidRPr="006B1802" w:rsidTr="00E22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1" w:type="pct"/>
            <w:tcBorders>
              <w:top w:val="single" w:sz="4" w:space="0" w:color="auto"/>
              <w:left w:val="single" w:sz="4" w:space="0" w:color="auto"/>
              <w:bottom w:val="single" w:sz="4" w:space="0" w:color="auto"/>
              <w:right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LFT cost to MBS (12 tests per year, $11.65 per test)</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Borders>
              <w:top w:val="single" w:sz="4" w:space="0" w:color="auto"/>
              <w:left w:val="single" w:sz="4" w:space="0" w:color="auto"/>
              <w:bottom w:val="single" w:sz="4" w:space="0" w:color="auto"/>
              <w:right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r w:rsidR="004E3285" w:rsidRPr="006B1802" w:rsidTr="00E22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1" w:type="pct"/>
            <w:tcBorders>
              <w:top w:val="single" w:sz="4" w:space="0" w:color="auto"/>
            </w:tcBorders>
            <w:vAlign w:val="center"/>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 xml:space="preserve">Net cost to government </w:t>
            </w:r>
          </w:p>
        </w:tc>
        <w:tc>
          <w:tcPr>
            <w:tcW w:w="591" w:type="pct"/>
            <w:tcBorders>
              <w:top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Borders>
              <w:top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Borders>
              <w:top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Borders>
              <w:top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2" w:type="pct"/>
            <w:tcBorders>
              <w:top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c>
          <w:tcPr>
            <w:tcW w:w="591" w:type="pct"/>
            <w:tcBorders>
              <w:top w:val="single" w:sz="4" w:space="0" w:color="auto"/>
            </w:tcBorders>
          </w:tcPr>
          <w:p w:rsidR="004E3285" w:rsidRPr="006B1802" w:rsidRDefault="004E3285" w:rsidP="00B93A10">
            <w:pPr>
              <w:keepNext/>
              <w:keepLines/>
              <w:spacing w:before="60" w:after="60"/>
              <w:rPr>
                <w:rFonts w:ascii="Arial Narrow" w:hAnsi="Arial Narrow"/>
                <w:sz w:val="20"/>
                <w:szCs w:val="20"/>
              </w:rPr>
            </w:pPr>
            <w:r w:rsidRPr="006B1802">
              <w:rPr>
                <w:rFonts w:ascii="Arial Narrow" w:hAnsi="Arial Narrow"/>
                <w:sz w:val="20"/>
                <w:szCs w:val="20"/>
              </w:rPr>
              <w:t>$</w:t>
            </w:r>
            <w:r w:rsidR="00B912EA">
              <w:rPr>
                <w:rFonts w:ascii="Arial Narrow" w:hAnsi="Arial Narrow"/>
                <w:noProof/>
                <w:color w:val="000000"/>
                <w:sz w:val="20"/>
                <w:szCs w:val="20"/>
                <w:highlight w:val="black"/>
              </w:rPr>
              <w:t>''''''''''''''''''''''''</w:t>
            </w:r>
          </w:p>
        </w:tc>
      </w:tr>
    </w:tbl>
    <w:p w:rsidR="004E3285" w:rsidRPr="006B1802" w:rsidRDefault="004E3285" w:rsidP="00B93A10">
      <w:pPr>
        <w:spacing w:before="40" w:after="360"/>
        <w:contextualSpacing/>
        <w:rPr>
          <w:rFonts w:ascii="Arial Narrow" w:hAnsi="Arial Narrow"/>
          <w:sz w:val="20"/>
          <w:szCs w:val="20"/>
          <w:lang w:eastAsia="en-US"/>
        </w:rPr>
      </w:pPr>
      <w:r w:rsidRPr="006B1802">
        <w:rPr>
          <w:rFonts w:ascii="Arial Narrow" w:hAnsi="Arial Narrow"/>
          <w:sz w:val="20"/>
          <w:szCs w:val="20"/>
          <w:lang w:eastAsia="en-US"/>
        </w:rPr>
        <w:t xml:space="preserve">Abbreviations: ADPKD, autosomal dominant polycystic kidney disease; CKD, chronic kidney disease; DPMQ, dispensed price for maximum quantity; </w:t>
      </w:r>
      <w:proofErr w:type="spellStart"/>
      <w:r w:rsidRPr="006B1802">
        <w:rPr>
          <w:rFonts w:ascii="Arial Narrow" w:hAnsi="Arial Narrow"/>
          <w:sz w:val="20"/>
          <w:szCs w:val="20"/>
          <w:lang w:eastAsia="en-US"/>
        </w:rPr>
        <w:t>ΔeGFR</w:t>
      </w:r>
      <w:proofErr w:type="spellEnd"/>
      <w:r w:rsidRPr="006B1802">
        <w:rPr>
          <w:rFonts w:ascii="Arial Narrow" w:hAnsi="Arial Narrow"/>
          <w:sz w:val="20"/>
          <w:szCs w:val="20"/>
          <w:lang w:eastAsia="en-US"/>
        </w:rPr>
        <w:t xml:space="preserve">, change in estimated glomerular filtration rate; LFT, liver function test; PBS, Pharmaceutical Benefits Scheme; </w:t>
      </w:r>
      <w:proofErr w:type="spellStart"/>
      <w:r w:rsidRPr="006B1802">
        <w:rPr>
          <w:rFonts w:ascii="Arial Narrow" w:hAnsi="Arial Narrow"/>
          <w:sz w:val="20"/>
          <w:szCs w:val="20"/>
          <w:lang w:eastAsia="en-US"/>
        </w:rPr>
        <w:t>pop’n</w:t>
      </w:r>
      <w:proofErr w:type="spellEnd"/>
      <w:r w:rsidRPr="006B1802">
        <w:rPr>
          <w:rFonts w:ascii="Arial Narrow" w:hAnsi="Arial Narrow"/>
          <w:sz w:val="20"/>
          <w:szCs w:val="20"/>
          <w:lang w:eastAsia="en-US"/>
        </w:rPr>
        <w:t>, population; RPBS, Repatriation Pharmaceutical Benefits Scheme.</w:t>
      </w:r>
    </w:p>
    <w:p w:rsidR="004E3285" w:rsidRDefault="004E3285" w:rsidP="00B93A10">
      <w:pPr>
        <w:spacing w:before="40" w:after="360"/>
        <w:contextualSpacing/>
        <w:rPr>
          <w:rFonts w:ascii="Arial Narrow" w:hAnsi="Arial Narrow"/>
          <w:sz w:val="20"/>
          <w:szCs w:val="20"/>
          <w:lang w:eastAsia="en-US"/>
        </w:rPr>
      </w:pPr>
      <w:r w:rsidRPr="006B1802">
        <w:rPr>
          <w:rFonts w:ascii="Arial Narrow" w:hAnsi="Arial Narrow"/>
          <w:sz w:val="20"/>
          <w:szCs w:val="20"/>
          <w:lang w:eastAsia="en-US"/>
        </w:rPr>
        <w:t>Source: table 4.2, p20 of the minor submission</w:t>
      </w:r>
    </w:p>
    <w:p w:rsidR="009873A4" w:rsidRDefault="009873A4" w:rsidP="00B93A10">
      <w:pPr>
        <w:spacing w:before="40" w:after="360"/>
        <w:contextualSpacing/>
        <w:rPr>
          <w:rFonts w:ascii="Arial Narrow" w:hAnsi="Arial Narrow"/>
          <w:sz w:val="20"/>
          <w:szCs w:val="20"/>
          <w:lang w:eastAsia="en-US"/>
        </w:rPr>
      </w:pPr>
    </w:p>
    <w:p w:rsidR="009873A4" w:rsidRPr="006B1802" w:rsidRDefault="00C73A73" w:rsidP="00B93A10">
      <w:pPr>
        <w:spacing w:before="40" w:after="360"/>
        <w:contextualSpacing/>
        <w:rPr>
          <w:rFonts w:ascii="Arial Narrow" w:hAnsi="Arial Narrow"/>
          <w:sz w:val="20"/>
          <w:szCs w:val="20"/>
          <w:lang w:eastAsia="en-US"/>
        </w:rPr>
      </w:pPr>
      <w:r>
        <w:rPr>
          <w:rFonts w:asciiTheme="minorHAnsi" w:hAnsiTheme="minorHAnsi"/>
        </w:rPr>
        <w:t xml:space="preserve">The redacted table shows that at Year 6, the estimated number of patients was less than 10,000. </w:t>
      </w:r>
    </w:p>
    <w:p w:rsidR="00993FD4" w:rsidRPr="006B1802" w:rsidRDefault="00993FD4" w:rsidP="00B93A10">
      <w:pPr>
        <w:pStyle w:val="Caption"/>
        <w:keepNext/>
        <w:spacing w:after="0"/>
        <w:rPr>
          <w:rFonts w:ascii="Arial Narrow" w:hAnsi="Arial Narrow"/>
          <w:color w:val="auto"/>
          <w:sz w:val="20"/>
          <w:szCs w:val="20"/>
        </w:rPr>
      </w:pPr>
      <w:bookmarkStart w:id="8" w:name="_Hlk511833634"/>
      <w:r w:rsidRPr="006B1802">
        <w:rPr>
          <w:rFonts w:ascii="Arial Narrow" w:hAnsi="Arial Narrow"/>
          <w:color w:val="auto"/>
          <w:sz w:val="20"/>
          <w:szCs w:val="20"/>
        </w:rPr>
        <w:lastRenderedPageBreak/>
        <w:t xml:space="preserve">Table </w:t>
      </w:r>
      <w:r w:rsidR="00CC525E" w:rsidRPr="006B1802">
        <w:rPr>
          <w:rFonts w:ascii="Arial Narrow" w:hAnsi="Arial Narrow"/>
          <w:color w:val="auto"/>
          <w:sz w:val="20"/>
          <w:szCs w:val="20"/>
        </w:rPr>
        <w:t>8</w:t>
      </w:r>
      <w:r w:rsidR="002E5197" w:rsidRPr="006B1802">
        <w:rPr>
          <w:rFonts w:ascii="Arial Narrow" w:hAnsi="Arial Narrow"/>
          <w:color w:val="auto"/>
          <w:sz w:val="20"/>
          <w:szCs w:val="20"/>
        </w:rPr>
        <w:t xml:space="preserve">: </w:t>
      </w:r>
      <w:r w:rsidRPr="006B1802">
        <w:rPr>
          <w:rFonts w:ascii="Arial Narrow" w:hAnsi="Arial Narrow"/>
          <w:color w:val="auto"/>
          <w:sz w:val="20"/>
          <w:szCs w:val="20"/>
        </w:rPr>
        <w:t>Stepped-wise presentation of the proposed revisions to the Section 4 estimates – net costs to the PBS / RPBS</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8: Stepped-wise presentation of the proposed revisions to the Section 4 estimates – net costs to the PBS / RPBS"/>
      </w:tblPr>
      <w:tblGrid>
        <w:gridCol w:w="2213"/>
        <w:gridCol w:w="1155"/>
        <w:gridCol w:w="1155"/>
        <w:gridCol w:w="1155"/>
        <w:gridCol w:w="1155"/>
        <w:gridCol w:w="1155"/>
        <w:gridCol w:w="1152"/>
      </w:tblGrid>
      <w:tr w:rsidR="00993FD4" w:rsidRPr="006B1802" w:rsidTr="00414990">
        <w:trPr>
          <w:tblHeader/>
        </w:trPr>
        <w:tc>
          <w:tcPr>
            <w:tcW w:w="1210"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rPr>
                <w:rFonts w:ascii="Arial Narrow" w:hAnsi="Arial Narrow" w:cs="Arial"/>
                <w:b/>
                <w:sz w:val="20"/>
                <w:szCs w:val="20"/>
              </w:rPr>
            </w:pPr>
            <w:r w:rsidRPr="006B1802">
              <w:rPr>
                <w:rFonts w:ascii="Arial Narrow" w:hAnsi="Arial Narrow" w:cs="Arial"/>
                <w:b/>
                <w:sz w:val="20"/>
                <w:szCs w:val="20"/>
              </w:rPr>
              <w:t xml:space="preserve">Year </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rPr>
                <w:rFonts w:ascii="Arial Narrow" w:hAnsi="Arial Narrow" w:cs="Arial"/>
                <w:b/>
                <w:sz w:val="20"/>
                <w:szCs w:val="20"/>
              </w:rPr>
            </w:pPr>
            <w:r w:rsidRPr="006B1802">
              <w:rPr>
                <w:rFonts w:ascii="Arial Narrow" w:hAnsi="Arial Narrow" w:cs="Arial"/>
                <w:b/>
                <w:sz w:val="20"/>
                <w:szCs w:val="20"/>
              </w:rPr>
              <w:t xml:space="preserve">Year 1 </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rPr>
                <w:rFonts w:ascii="Arial Narrow" w:hAnsi="Arial Narrow" w:cs="Arial"/>
                <w:b/>
                <w:sz w:val="20"/>
                <w:szCs w:val="20"/>
              </w:rPr>
            </w:pPr>
            <w:r w:rsidRPr="006B1802">
              <w:rPr>
                <w:rFonts w:ascii="Arial Narrow" w:hAnsi="Arial Narrow" w:cs="Arial"/>
                <w:b/>
                <w:sz w:val="20"/>
                <w:szCs w:val="20"/>
              </w:rPr>
              <w:t xml:space="preserve">Year 2 </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rPr>
                <w:rFonts w:ascii="Arial Narrow" w:hAnsi="Arial Narrow" w:cs="Arial"/>
                <w:b/>
                <w:sz w:val="20"/>
                <w:szCs w:val="20"/>
              </w:rPr>
            </w:pPr>
            <w:r w:rsidRPr="006B1802">
              <w:rPr>
                <w:rFonts w:ascii="Arial Narrow" w:hAnsi="Arial Narrow" w:cs="Arial"/>
                <w:b/>
                <w:sz w:val="20"/>
                <w:szCs w:val="20"/>
              </w:rPr>
              <w:t xml:space="preserve">Year 3 </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rPr>
                <w:rFonts w:ascii="Arial Narrow" w:hAnsi="Arial Narrow" w:cs="Arial"/>
                <w:b/>
                <w:sz w:val="20"/>
                <w:szCs w:val="20"/>
              </w:rPr>
            </w:pPr>
            <w:r w:rsidRPr="006B1802">
              <w:rPr>
                <w:rFonts w:ascii="Arial Narrow" w:hAnsi="Arial Narrow" w:cs="Arial"/>
                <w:b/>
                <w:sz w:val="20"/>
                <w:szCs w:val="20"/>
              </w:rPr>
              <w:t xml:space="preserve">Year 4 </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rPr>
                <w:rFonts w:ascii="Arial Narrow" w:hAnsi="Arial Narrow" w:cs="Arial"/>
                <w:b/>
                <w:sz w:val="20"/>
                <w:szCs w:val="20"/>
              </w:rPr>
            </w:pPr>
            <w:r w:rsidRPr="006B1802">
              <w:rPr>
                <w:rFonts w:ascii="Arial Narrow" w:hAnsi="Arial Narrow" w:cs="Arial"/>
                <w:b/>
                <w:sz w:val="20"/>
                <w:szCs w:val="20"/>
              </w:rPr>
              <w:t xml:space="preserve">Year 5 </w:t>
            </w:r>
          </w:p>
        </w:tc>
        <w:tc>
          <w:tcPr>
            <w:tcW w:w="631"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rPr>
                <w:rFonts w:ascii="Arial Narrow" w:hAnsi="Arial Narrow" w:cs="Arial"/>
                <w:b/>
                <w:sz w:val="20"/>
                <w:szCs w:val="20"/>
              </w:rPr>
            </w:pPr>
            <w:r w:rsidRPr="006B1802">
              <w:rPr>
                <w:rFonts w:ascii="Arial Narrow" w:hAnsi="Arial Narrow" w:cs="Arial"/>
                <w:b/>
                <w:sz w:val="20"/>
                <w:szCs w:val="20"/>
              </w:rPr>
              <w:t>Year 6</w:t>
            </w:r>
          </w:p>
        </w:tc>
      </w:tr>
      <w:tr w:rsidR="00993FD4" w:rsidRPr="006B1802" w:rsidTr="00993FD4">
        <w:tc>
          <w:tcPr>
            <w:tcW w:w="1210" w:type="pct"/>
            <w:tcBorders>
              <w:top w:val="single" w:sz="4" w:space="0" w:color="auto"/>
              <w:left w:val="single" w:sz="4" w:space="0" w:color="auto"/>
              <w:bottom w:val="single" w:sz="4" w:space="0" w:color="auto"/>
              <w:right w:val="single" w:sz="4" w:space="0" w:color="auto"/>
            </w:tcBorders>
            <w:vAlign w:val="center"/>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 xml:space="preserve">March 2018 estimates </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1"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r>
      <w:tr w:rsidR="00993FD4" w:rsidRPr="006B1802" w:rsidTr="00993FD4">
        <w:tc>
          <w:tcPr>
            <w:tcW w:w="1210" w:type="pct"/>
            <w:tcBorders>
              <w:top w:val="single" w:sz="4" w:space="0" w:color="auto"/>
              <w:left w:val="single" w:sz="4" w:space="0" w:color="auto"/>
              <w:bottom w:val="single" w:sz="4" w:space="0" w:color="auto"/>
              <w:right w:val="single" w:sz="4" w:space="0" w:color="auto"/>
            </w:tcBorders>
            <w:vAlign w:val="center"/>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Price reduction ($</w:t>
            </w:r>
            <w:r w:rsidR="00B912EA">
              <w:rPr>
                <w:rFonts w:ascii="Arial Narrow" w:hAnsi="Arial Narrow" w:cs="Arial"/>
                <w:noProof/>
                <w:color w:val="000000"/>
                <w:sz w:val="20"/>
                <w:szCs w:val="20"/>
                <w:highlight w:val="black"/>
              </w:rPr>
              <w:t>'''''''''''''''</w:t>
            </w:r>
            <w:r w:rsidRPr="006B1802">
              <w:rPr>
                <w:rFonts w:ascii="Arial Narrow" w:hAnsi="Arial Narrow" w:cs="Arial"/>
                <w:sz w:val="20"/>
                <w:szCs w:val="20"/>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1"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r>
      <w:tr w:rsidR="00993FD4" w:rsidRPr="006B1802" w:rsidTr="00993FD4">
        <w:tc>
          <w:tcPr>
            <w:tcW w:w="1210" w:type="pct"/>
            <w:tcBorders>
              <w:top w:val="single" w:sz="4" w:space="0" w:color="auto"/>
              <w:left w:val="single" w:sz="4" w:space="0" w:color="auto"/>
              <w:bottom w:val="single" w:sz="4" w:space="0" w:color="auto"/>
              <w:right w:val="single" w:sz="4" w:space="0" w:color="auto"/>
            </w:tcBorders>
            <w:vAlign w:val="center"/>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Revised eligible population size – base case estimates for the current minor submission</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631" w:type="pct"/>
            <w:tcBorders>
              <w:top w:val="single" w:sz="4" w:space="0" w:color="auto"/>
              <w:left w:val="single" w:sz="4" w:space="0" w:color="auto"/>
              <w:bottom w:val="single" w:sz="4" w:space="0" w:color="auto"/>
              <w:right w:val="single" w:sz="4" w:space="0" w:color="auto"/>
            </w:tcBorders>
          </w:tcPr>
          <w:p w:rsidR="00993FD4" w:rsidRPr="006B1802" w:rsidRDefault="00993FD4" w:rsidP="00B93A10">
            <w:pPr>
              <w:keepNext/>
              <w:keepLines/>
              <w:spacing w:before="60" w:after="60"/>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r>
    </w:tbl>
    <w:p w:rsidR="00993FD4" w:rsidRPr="006B1802" w:rsidRDefault="00993FD4" w:rsidP="00B93A10">
      <w:pPr>
        <w:spacing w:before="40" w:after="360"/>
        <w:contextualSpacing/>
        <w:rPr>
          <w:rFonts w:asciiTheme="minorHAnsi" w:eastAsiaTheme="majorEastAsia" w:hAnsiTheme="minorHAnsi" w:cstheme="majorBidi"/>
          <w:sz w:val="20"/>
          <w:szCs w:val="20"/>
          <w:lang w:eastAsia="en-US"/>
        </w:rPr>
      </w:pPr>
      <w:r w:rsidRPr="006B1802">
        <w:rPr>
          <w:rFonts w:ascii="Arial Narrow" w:hAnsi="Arial Narrow"/>
          <w:sz w:val="20"/>
          <w:szCs w:val="20"/>
          <w:lang w:eastAsia="en-US"/>
        </w:rPr>
        <w:t xml:space="preserve">Source: table 4-3, p21 minor submission. </w:t>
      </w:r>
      <w:bookmarkEnd w:id="8"/>
    </w:p>
    <w:p w:rsidR="004C7CFC" w:rsidRPr="006B1802" w:rsidRDefault="00D85381" w:rsidP="00B93A10">
      <w:pPr>
        <w:pStyle w:val="Heading2"/>
        <w:keepLines/>
        <w:spacing w:before="240" w:after="120"/>
        <w:rPr>
          <w:rFonts w:asciiTheme="minorHAnsi" w:eastAsiaTheme="majorEastAsia" w:hAnsiTheme="minorHAnsi" w:cstheme="majorBidi"/>
          <w:sz w:val="28"/>
          <w:szCs w:val="28"/>
          <w:lang w:eastAsia="en-US"/>
        </w:rPr>
      </w:pPr>
      <w:r w:rsidRPr="006B1802">
        <w:rPr>
          <w:rFonts w:asciiTheme="minorHAnsi" w:eastAsiaTheme="majorEastAsia" w:hAnsiTheme="minorHAnsi" w:cstheme="majorBidi"/>
          <w:sz w:val="28"/>
          <w:szCs w:val="28"/>
          <w:lang w:eastAsia="en-US"/>
        </w:rPr>
        <w:t>Financial Management –</w:t>
      </w:r>
      <w:r w:rsidR="00FE168E" w:rsidRPr="006B1802">
        <w:rPr>
          <w:rFonts w:asciiTheme="minorHAnsi" w:eastAsiaTheme="majorEastAsia" w:hAnsiTheme="minorHAnsi" w:cstheme="majorBidi"/>
          <w:sz w:val="28"/>
          <w:szCs w:val="28"/>
          <w:lang w:eastAsia="en-US"/>
        </w:rPr>
        <w:t xml:space="preserve"> </w:t>
      </w:r>
      <w:r w:rsidRPr="006B1802">
        <w:rPr>
          <w:rFonts w:asciiTheme="minorHAnsi" w:eastAsiaTheme="majorEastAsia" w:hAnsiTheme="minorHAnsi" w:cstheme="majorBidi"/>
          <w:sz w:val="28"/>
          <w:szCs w:val="28"/>
          <w:lang w:eastAsia="en-US"/>
        </w:rPr>
        <w:t>Risk Sharing Arrangements</w:t>
      </w:r>
    </w:p>
    <w:p w:rsidR="00A2326B" w:rsidRPr="006B1802" w:rsidRDefault="00D85381" w:rsidP="00B93A10">
      <w:pPr>
        <w:pStyle w:val="ListParagraph"/>
        <w:widowControl/>
        <w:numPr>
          <w:ilvl w:val="1"/>
          <w:numId w:val="14"/>
        </w:numPr>
        <w:spacing w:after="120"/>
        <w:contextualSpacing w:val="0"/>
        <w:rPr>
          <w:rFonts w:asciiTheme="minorHAnsi" w:hAnsiTheme="minorHAnsi"/>
          <w:szCs w:val="22"/>
        </w:rPr>
      </w:pPr>
      <w:r w:rsidRPr="006B1802">
        <w:rPr>
          <w:rFonts w:asciiTheme="minorHAnsi" w:hAnsiTheme="minorHAnsi"/>
          <w:sz w:val="24"/>
          <w:szCs w:val="24"/>
        </w:rPr>
        <w:t>The sponsor proposed a</w:t>
      </w:r>
      <w:r w:rsidR="00A2326B" w:rsidRPr="006B1802">
        <w:rPr>
          <w:rFonts w:asciiTheme="minorHAnsi" w:hAnsiTheme="minorHAnsi"/>
          <w:sz w:val="24"/>
          <w:szCs w:val="24"/>
        </w:rPr>
        <w:t xml:space="preserve"> cap-based risk-sharing arrangement </w:t>
      </w:r>
      <w:r w:rsidR="002F015F" w:rsidRPr="006B1802">
        <w:rPr>
          <w:rFonts w:asciiTheme="minorHAnsi" w:hAnsiTheme="minorHAnsi"/>
          <w:sz w:val="24"/>
          <w:szCs w:val="24"/>
        </w:rPr>
        <w:t xml:space="preserve">(RSA) </w:t>
      </w:r>
      <w:r w:rsidR="006B1802">
        <w:rPr>
          <w:rFonts w:asciiTheme="minorHAnsi" w:hAnsiTheme="minorHAnsi"/>
          <w:sz w:val="24"/>
          <w:szCs w:val="24"/>
        </w:rPr>
        <w:t xml:space="preserve">with </w:t>
      </w:r>
      <w:r w:rsidR="00C61D3F" w:rsidRPr="006B1802">
        <w:rPr>
          <w:rFonts w:asciiTheme="minorHAnsi" w:hAnsiTheme="minorHAnsi"/>
          <w:sz w:val="24"/>
          <w:szCs w:val="24"/>
        </w:rPr>
        <w:t xml:space="preserve">any PBS expenditures </w:t>
      </w:r>
      <w:r w:rsidR="006B1802">
        <w:rPr>
          <w:rFonts w:asciiTheme="minorHAnsi" w:hAnsiTheme="minorHAnsi"/>
          <w:sz w:val="24"/>
          <w:szCs w:val="24"/>
        </w:rPr>
        <w:t xml:space="preserve">beyond </w:t>
      </w:r>
      <w:r w:rsidR="00C61D3F" w:rsidRPr="006B1802">
        <w:rPr>
          <w:rFonts w:asciiTheme="minorHAnsi" w:hAnsiTheme="minorHAnsi"/>
          <w:sz w:val="24"/>
          <w:szCs w:val="24"/>
        </w:rPr>
        <w:t xml:space="preserve">these </w:t>
      </w:r>
      <w:r w:rsidR="00A2326B" w:rsidRPr="006B1802">
        <w:rPr>
          <w:rFonts w:asciiTheme="minorHAnsi" w:hAnsiTheme="minorHAnsi"/>
          <w:sz w:val="24"/>
          <w:szCs w:val="24"/>
        </w:rPr>
        <w:t xml:space="preserve">caps </w:t>
      </w:r>
      <w:r w:rsidR="006B1802">
        <w:rPr>
          <w:rFonts w:asciiTheme="minorHAnsi" w:hAnsiTheme="minorHAnsi"/>
          <w:sz w:val="24"/>
          <w:szCs w:val="24"/>
        </w:rPr>
        <w:t xml:space="preserve">would result in a </w:t>
      </w:r>
      <w:r w:rsidR="00A2326B" w:rsidRPr="006B1802">
        <w:rPr>
          <w:rFonts w:asciiTheme="minorHAnsi" w:hAnsiTheme="minorHAnsi"/>
          <w:sz w:val="24"/>
          <w:szCs w:val="24"/>
        </w:rPr>
        <w:t>100% rebate (</w:t>
      </w:r>
      <w:r w:rsidR="00C61D3F" w:rsidRPr="006B1802">
        <w:rPr>
          <w:rFonts w:asciiTheme="minorHAnsi" w:hAnsiTheme="minorHAnsi"/>
          <w:sz w:val="24"/>
          <w:szCs w:val="24"/>
        </w:rPr>
        <w:t xml:space="preserve">hard cap). </w:t>
      </w:r>
      <w:r w:rsidR="00A2326B" w:rsidRPr="006B1802">
        <w:rPr>
          <w:rFonts w:asciiTheme="minorHAnsi" w:hAnsiTheme="minorHAnsi"/>
          <w:sz w:val="24"/>
          <w:szCs w:val="24"/>
        </w:rPr>
        <w:t xml:space="preserve">The </w:t>
      </w:r>
      <w:r w:rsidR="002F015F" w:rsidRPr="006B1802">
        <w:rPr>
          <w:rFonts w:asciiTheme="minorHAnsi" w:hAnsiTheme="minorHAnsi"/>
          <w:sz w:val="24"/>
          <w:szCs w:val="24"/>
        </w:rPr>
        <w:t>sponsor requested the</w:t>
      </w:r>
      <w:r w:rsidR="00A2326B" w:rsidRPr="006B1802">
        <w:rPr>
          <w:rFonts w:asciiTheme="minorHAnsi" w:hAnsiTheme="minorHAnsi"/>
          <w:sz w:val="24"/>
          <w:szCs w:val="24"/>
        </w:rPr>
        <w:t xml:space="preserve"> RSA caps </w:t>
      </w:r>
      <w:r w:rsidR="002F015F" w:rsidRPr="006B1802">
        <w:rPr>
          <w:rFonts w:asciiTheme="minorHAnsi" w:hAnsiTheme="minorHAnsi"/>
          <w:sz w:val="24"/>
          <w:szCs w:val="24"/>
        </w:rPr>
        <w:t xml:space="preserve">to be </w:t>
      </w:r>
      <w:r w:rsidR="00A2326B" w:rsidRPr="006B1802">
        <w:rPr>
          <w:rFonts w:asciiTheme="minorHAnsi" w:hAnsiTheme="minorHAnsi"/>
          <w:sz w:val="24"/>
          <w:szCs w:val="24"/>
        </w:rPr>
        <w:t>based on cumulative estimates, not yearly estimates</w:t>
      </w:r>
      <w:r w:rsidR="002F015F" w:rsidRPr="006B1802">
        <w:rPr>
          <w:rFonts w:asciiTheme="minorHAnsi" w:hAnsiTheme="minorHAnsi"/>
          <w:sz w:val="24"/>
          <w:szCs w:val="24"/>
        </w:rPr>
        <w:t>. Ho</w:t>
      </w:r>
      <w:r w:rsidR="00A2326B" w:rsidRPr="006B1802">
        <w:rPr>
          <w:rFonts w:asciiTheme="minorHAnsi" w:hAnsiTheme="minorHAnsi"/>
          <w:sz w:val="24"/>
          <w:szCs w:val="24"/>
        </w:rPr>
        <w:t xml:space="preserve">wever, </w:t>
      </w:r>
      <w:r w:rsidR="002F015F" w:rsidRPr="006B1802">
        <w:rPr>
          <w:rFonts w:asciiTheme="minorHAnsi" w:hAnsiTheme="minorHAnsi"/>
          <w:sz w:val="24"/>
          <w:szCs w:val="24"/>
        </w:rPr>
        <w:t>the submission stated the sponsor is</w:t>
      </w:r>
      <w:r w:rsidR="00A2326B" w:rsidRPr="006B1802">
        <w:rPr>
          <w:rFonts w:asciiTheme="minorHAnsi" w:hAnsiTheme="minorHAnsi"/>
          <w:sz w:val="24"/>
          <w:szCs w:val="24"/>
        </w:rPr>
        <w:t xml:space="preserve"> willing to receive PBAC’s direction on the formulation of </w:t>
      </w:r>
      <w:r w:rsidR="002F015F" w:rsidRPr="006B1802">
        <w:rPr>
          <w:rFonts w:asciiTheme="minorHAnsi" w:hAnsiTheme="minorHAnsi"/>
          <w:sz w:val="24"/>
          <w:szCs w:val="24"/>
        </w:rPr>
        <w:t xml:space="preserve">the </w:t>
      </w:r>
      <w:r w:rsidR="00A2326B" w:rsidRPr="006B1802">
        <w:rPr>
          <w:rFonts w:asciiTheme="minorHAnsi" w:hAnsiTheme="minorHAnsi"/>
          <w:sz w:val="24"/>
          <w:szCs w:val="24"/>
        </w:rPr>
        <w:t>RSA.</w:t>
      </w:r>
      <w:r w:rsidR="002F015F" w:rsidRPr="006B1802">
        <w:rPr>
          <w:rFonts w:asciiTheme="minorHAnsi" w:hAnsiTheme="minorHAnsi"/>
          <w:sz w:val="24"/>
          <w:szCs w:val="24"/>
        </w:rPr>
        <w:t xml:space="preserve"> The table below outlines the proposed cap base.</w:t>
      </w:r>
      <w:r w:rsidR="007357C1" w:rsidRPr="006B1802">
        <w:rPr>
          <w:rFonts w:asciiTheme="minorHAnsi" w:hAnsiTheme="minorHAnsi"/>
          <w:sz w:val="24"/>
          <w:szCs w:val="24"/>
        </w:rPr>
        <w:t xml:space="preserve"> </w:t>
      </w:r>
      <w:r w:rsidR="004C1766" w:rsidRPr="006B1802">
        <w:rPr>
          <w:rFonts w:asciiTheme="minorHAnsi" w:hAnsiTheme="minorHAnsi"/>
          <w:sz w:val="24"/>
          <w:szCs w:val="24"/>
        </w:rPr>
        <w:t xml:space="preserve">The </w:t>
      </w:r>
      <w:r w:rsidR="009154DF" w:rsidRPr="006B1802">
        <w:rPr>
          <w:rFonts w:asciiTheme="minorHAnsi" w:hAnsiTheme="minorHAnsi"/>
          <w:sz w:val="24"/>
          <w:szCs w:val="24"/>
        </w:rPr>
        <w:t xml:space="preserve">Department advised </w:t>
      </w:r>
      <w:r w:rsidR="006B1802">
        <w:rPr>
          <w:rFonts w:asciiTheme="minorHAnsi" w:hAnsiTheme="minorHAnsi"/>
          <w:sz w:val="24"/>
          <w:szCs w:val="24"/>
        </w:rPr>
        <w:t xml:space="preserve">that </w:t>
      </w:r>
      <w:r w:rsidR="009154DF" w:rsidRPr="006B1802">
        <w:rPr>
          <w:rFonts w:asciiTheme="minorHAnsi" w:hAnsiTheme="minorHAnsi"/>
          <w:sz w:val="24"/>
          <w:szCs w:val="24"/>
        </w:rPr>
        <w:t xml:space="preserve">the </w:t>
      </w:r>
      <w:r w:rsidR="004C1766" w:rsidRPr="006B1802">
        <w:rPr>
          <w:rFonts w:asciiTheme="minorHAnsi" w:hAnsiTheme="minorHAnsi"/>
          <w:sz w:val="24"/>
          <w:szCs w:val="24"/>
        </w:rPr>
        <w:t xml:space="preserve">caps </w:t>
      </w:r>
      <w:r w:rsidR="009154DF" w:rsidRPr="006B1802">
        <w:rPr>
          <w:rFonts w:asciiTheme="minorHAnsi" w:hAnsiTheme="minorHAnsi"/>
          <w:sz w:val="24"/>
          <w:szCs w:val="24"/>
        </w:rPr>
        <w:t xml:space="preserve">in the RSA </w:t>
      </w:r>
      <w:r w:rsidR="004C1766" w:rsidRPr="006B1802">
        <w:rPr>
          <w:rFonts w:asciiTheme="minorHAnsi" w:hAnsiTheme="minorHAnsi"/>
          <w:sz w:val="24"/>
          <w:szCs w:val="24"/>
        </w:rPr>
        <w:t xml:space="preserve">should not be </w:t>
      </w:r>
      <w:r w:rsidR="006B1802">
        <w:rPr>
          <w:rFonts w:asciiTheme="minorHAnsi" w:hAnsiTheme="minorHAnsi"/>
          <w:sz w:val="24"/>
          <w:szCs w:val="24"/>
        </w:rPr>
        <w:t>cumulative.</w:t>
      </w:r>
      <w:r w:rsidR="004C1766" w:rsidRPr="006B1802">
        <w:rPr>
          <w:rFonts w:asciiTheme="minorHAnsi" w:hAnsiTheme="minorHAnsi"/>
          <w:sz w:val="24"/>
          <w:szCs w:val="24"/>
        </w:rPr>
        <w:t xml:space="preserve"> </w:t>
      </w:r>
    </w:p>
    <w:p w:rsidR="00993FD4" w:rsidRPr="006B1802" w:rsidRDefault="00993FD4" w:rsidP="00B93A10">
      <w:pPr>
        <w:pStyle w:val="Caption"/>
        <w:keepNext/>
        <w:spacing w:after="0"/>
        <w:rPr>
          <w:rFonts w:ascii="Arial Narrow" w:hAnsi="Arial Narrow"/>
          <w:color w:val="auto"/>
          <w:sz w:val="20"/>
          <w:szCs w:val="20"/>
        </w:rPr>
      </w:pPr>
      <w:r w:rsidRPr="006B1802">
        <w:rPr>
          <w:rFonts w:ascii="Arial Narrow" w:hAnsi="Arial Narrow"/>
          <w:color w:val="auto"/>
          <w:sz w:val="20"/>
          <w:szCs w:val="20"/>
        </w:rPr>
        <w:t xml:space="preserve">Table </w:t>
      </w:r>
      <w:r w:rsidR="00CC525E" w:rsidRPr="006B1802">
        <w:rPr>
          <w:rFonts w:ascii="Arial Narrow" w:hAnsi="Arial Narrow"/>
          <w:color w:val="auto"/>
          <w:sz w:val="20"/>
          <w:szCs w:val="20"/>
        </w:rPr>
        <w:t>9</w:t>
      </w:r>
      <w:r w:rsidR="002E5197" w:rsidRPr="006B1802">
        <w:rPr>
          <w:rFonts w:ascii="Arial Narrow" w:hAnsi="Arial Narrow"/>
          <w:color w:val="auto"/>
          <w:sz w:val="20"/>
          <w:szCs w:val="20"/>
        </w:rPr>
        <w:t xml:space="preserve">: </w:t>
      </w:r>
      <w:r w:rsidRPr="006B1802">
        <w:rPr>
          <w:rFonts w:ascii="Arial Narrow" w:hAnsi="Arial Narrow"/>
          <w:color w:val="auto"/>
          <w:sz w:val="20"/>
          <w:szCs w:val="20"/>
        </w:rPr>
        <w:t xml:space="preserve"> Proposed cap-based RSAs for tolvaptan</w:t>
      </w:r>
    </w:p>
    <w:tbl>
      <w:tblPr>
        <w:tblW w:w="5000" w:type="pct"/>
        <w:tblCellMar>
          <w:left w:w="57" w:type="dxa"/>
          <w:right w:w="57" w:type="dxa"/>
        </w:tblCellMar>
        <w:tblLook w:val="04A0" w:firstRow="1" w:lastRow="0" w:firstColumn="1" w:lastColumn="0" w:noHBand="0" w:noVBand="1"/>
      </w:tblPr>
      <w:tblGrid>
        <w:gridCol w:w="2530"/>
        <w:gridCol w:w="1322"/>
        <w:gridCol w:w="1322"/>
        <w:gridCol w:w="1323"/>
        <w:gridCol w:w="1323"/>
        <w:gridCol w:w="1320"/>
      </w:tblGrid>
      <w:tr w:rsidR="00C61D3F" w:rsidRPr="006B1802" w:rsidTr="00531402">
        <w:tc>
          <w:tcPr>
            <w:tcW w:w="1384"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b/>
                <w:sz w:val="20"/>
                <w:szCs w:val="20"/>
              </w:rPr>
            </w:pPr>
            <w:r w:rsidRPr="006B1802">
              <w:rPr>
                <w:rFonts w:ascii="Arial Narrow" w:hAnsi="Arial Narrow" w:cs="Arial"/>
                <w:b/>
                <w:sz w:val="20"/>
                <w:szCs w:val="20"/>
              </w:rPr>
              <w:t xml:space="preserve">Year </w:t>
            </w:r>
          </w:p>
        </w:tc>
        <w:tc>
          <w:tcPr>
            <w:tcW w:w="723"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b/>
                <w:sz w:val="20"/>
                <w:szCs w:val="20"/>
              </w:rPr>
            </w:pPr>
            <w:r w:rsidRPr="006B1802">
              <w:rPr>
                <w:rFonts w:ascii="Arial Narrow" w:hAnsi="Arial Narrow" w:cs="Arial"/>
                <w:b/>
                <w:sz w:val="20"/>
                <w:szCs w:val="20"/>
              </w:rPr>
              <w:t xml:space="preserve">Year 1 </w:t>
            </w:r>
          </w:p>
        </w:tc>
        <w:tc>
          <w:tcPr>
            <w:tcW w:w="723"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b/>
                <w:sz w:val="20"/>
                <w:szCs w:val="20"/>
              </w:rPr>
            </w:pPr>
            <w:r w:rsidRPr="006B1802">
              <w:rPr>
                <w:rFonts w:ascii="Arial Narrow" w:hAnsi="Arial Narrow" w:cs="Arial"/>
                <w:b/>
                <w:sz w:val="20"/>
                <w:szCs w:val="20"/>
              </w:rPr>
              <w:t xml:space="preserve">Year 2 </w:t>
            </w:r>
          </w:p>
        </w:tc>
        <w:tc>
          <w:tcPr>
            <w:tcW w:w="724"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b/>
                <w:sz w:val="20"/>
                <w:szCs w:val="20"/>
              </w:rPr>
            </w:pPr>
            <w:r w:rsidRPr="006B1802">
              <w:rPr>
                <w:rFonts w:ascii="Arial Narrow" w:hAnsi="Arial Narrow" w:cs="Arial"/>
                <w:b/>
                <w:sz w:val="20"/>
                <w:szCs w:val="20"/>
              </w:rPr>
              <w:t xml:space="preserve">Year 3 </w:t>
            </w:r>
          </w:p>
        </w:tc>
        <w:tc>
          <w:tcPr>
            <w:tcW w:w="724"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b/>
                <w:sz w:val="20"/>
                <w:szCs w:val="20"/>
              </w:rPr>
            </w:pPr>
            <w:r w:rsidRPr="006B1802">
              <w:rPr>
                <w:rFonts w:ascii="Arial Narrow" w:hAnsi="Arial Narrow" w:cs="Arial"/>
                <w:b/>
                <w:sz w:val="20"/>
                <w:szCs w:val="20"/>
              </w:rPr>
              <w:t xml:space="preserve">Year 4 </w:t>
            </w:r>
          </w:p>
        </w:tc>
        <w:tc>
          <w:tcPr>
            <w:tcW w:w="722"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b/>
                <w:sz w:val="20"/>
                <w:szCs w:val="20"/>
              </w:rPr>
            </w:pPr>
            <w:r w:rsidRPr="006B1802">
              <w:rPr>
                <w:rFonts w:ascii="Arial Narrow" w:hAnsi="Arial Narrow" w:cs="Arial"/>
                <w:b/>
                <w:sz w:val="20"/>
                <w:szCs w:val="20"/>
              </w:rPr>
              <w:t xml:space="preserve">Year 5 </w:t>
            </w:r>
          </w:p>
        </w:tc>
      </w:tr>
      <w:tr w:rsidR="00C61D3F" w:rsidRPr="006B1802" w:rsidTr="00531402">
        <w:tc>
          <w:tcPr>
            <w:tcW w:w="1384" w:type="pct"/>
            <w:tcBorders>
              <w:top w:val="single" w:sz="4" w:space="0" w:color="auto"/>
              <w:left w:val="single" w:sz="4" w:space="0" w:color="auto"/>
              <w:bottom w:val="single" w:sz="4" w:space="0" w:color="auto"/>
              <w:right w:val="single" w:sz="4" w:space="0" w:color="auto"/>
            </w:tcBorders>
            <w:vAlign w:val="center"/>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 xml:space="preserve">Yearly estimates to Year 5 </w:t>
            </w:r>
          </w:p>
        </w:tc>
        <w:tc>
          <w:tcPr>
            <w:tcW w:w="723"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723"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722"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r>
      <w:tr w:rsidR="00C61D3F" w:rsidRPr="006B1802" w:rsidTr="00531402">
        <w:tc>
          <w:tcPr>
            <w:tcW w:w="1384" w:type="pct"/>
            <w:tcBorders>
              <w:top w:val="single" w:sz="4" w:space="0" w:color="auto"/>
              <w:left w:val="single" w:sz="4" w:space="0" w:color="auto"/>
              <w:bottom w:val="single" w:sz="4" w:space="0" w:color="auto"/>
              <w:right w:val="single" w:sz="4" w:space="0" w:color="auto"/>
            </w:tcBorders>
            <w:vAlign w:val="center"/>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Cumulative estimates to Year 5</w:t>
            </w:r>
          </w:p>
        </w:tc>
        <w:tc>
          <w:tcPr>
            <w:tcW w:w="723"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723"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c>
          <w:tcPr>
            <w:tcW w:w="722" w:type="pct"/>
            <w:tcBorders>
              <w:top w:val="single" w:sz="4" w:space="0" w:color="auto"/>
              <w:left w:val="single" w:sz="4" w:space="0" w:color="auto"/>
              <w:bottom w:val="single" w:sz="4" w:space="0" w:color="auto"/>
              <w:right w:val="single" w:sz="4" w:space="0" w:color="auto"/>
            </w:tcBorders>
          </w:tcPr>
          <w:p w:rsidR="00C61D3F" w:rsidRPr="006B1802" w:rsidRDefault="00C61D3F" w:rsidP="00B93A10">
            <w:pPr>
              <w:rPr>
                <w:rFonts w:ascii="Arial Narrow" w:hAnsi="Arial Narrow" w:cs="Arial"/>
                <w:sz w:val="20"/>
                <w:szCs w:val="20"/>
              </w:rPr>
            </w:pPr>
            <w:r w:rsidRPr="006B1802">
              <w:rPr>
                <w:rFonts w:ascii="Arial Narrow" w:hAnsi="Arial Narrow" w:cs="Arial"/>
                <w:sz w:val="20"/>
                <w:szCs w:val="20"/>
              </w:rPr>
              <w:t>$</w:t>
            </w:r>
            <w:r w:rsidR="00B912EA">
              <w:rPr>
                <w:rFonts w:ascii="Arial Narrow" w:hAnsi="Arial Narrow" w:cs="Arial"/>
                <w:noProof/>
                <w:color w:val="000000"/>
                <w:sz w:val="20"/>
                <w:szCs w:val="20"/>
                <w:highlight w:val="black"/>
              </w:rPr>
              <w:t>'''''''''''''''''''''''''''</w:t>
            </w:r>
          </w:p>
        </w:tc>
      </w:tr>
    </w:tbl>
    <w:p w:rsidR="00C61D3F" w:rsidRPr="006B1802" w:rsidRDefault="00AA4387" w:rsidP="00B93A10">
      <w:pPr>
        <w:rPr>
          <w:rFonts w:ascii="Arial Narrow" w:hAnsi="Arial Narrow"/>
          <w:sz w:val="16"/>
          <w:szCs w:val="16"/>
        </w:rPr>
      </w:pPr>
      <w:r w:rsidRPr="006B1802">
        <w:rPr>
          <w:rFonts w:ascii="Arial Narrow" w:hAnsi="Arial Narrow"/>
          <w:sz w:val="16"/>
          <w:szCs w:val="16"/>
        </w:rPr>
        <w:t>Source: table 4-4</w:t>
      </w:r>
      <w:proofErr w:type="gramStart"/>
      <w:r w:rsidRPr="006B1802">
        <w:rPr>
          <w:rFonts w:ascii="Arial Narrow" w:hAnsi="Arial Narrow"/>
          <w:sz w:val="16"/>
          <w:szCs w:val="16"/>
        </w:rPr>
        <w:t>,</w:t>
      </w:r>
      <w:r w:rsidR="00993FD4" w:rsidRPr="006B1802">
        <w:rPr>
          <w:rFonts w:ascii="Arial Narrow" w:hAnsi="Arial Narrow"/>
          <w:sz w:val="16"/>
          <w:szCs w:val="16"/>
        </w:rPr>
        <w:t>p21</w:t>
      </w:r>
      <w:proofErr w:type="gramEnd"/>
      <w:r w:rsidR="00993FD4" w:rsidRPr="006B1802">
        <w:rPr>
          <w:rFonts w:ascii="Arial Narrow" w:hAnsi="Arial Narrow"/>
          <w:sz w:val="16"/>
          <w:szCs w:val="16"/>
        </w:rPr>
        <w:t>,</w:t>
      </w:r>
      <w:r w:rsidRPr="006B1802">
        <w:rPr>
          <w:rFonts w:ascii="Arial Narrow" w:hAnsi="Arial Narrow"/>
          <w:sz w:val="16"/>
          <w:szCs w:val="16"/>
        </w:rPr>
        <w:t xml:space="preserve"> minor submission</w:t>
      </w:r>
    </w:p>
    <w:p w:rsidR="00D85381" w:rsidRPr="006B1802" w:rsidRDefault="00D85381" w:rsidP="00B93A10">
      <w:pPr>
        <w:rPr>
          <w:rFonts w:ascii="Arial Narrow" w:hAnsi="Arial Narrow"/>
          <w:sz w:val="16"/>
          <w:szCs w:val="16"/>
        </w:rPr>
      </w:pPr>
    </w:p>
    <w:p w:rsidR="0056324B" w:rsidRPr="006B1802" w:rsidRDefault="00A36C1A" w:rsidP="00B93A10">
      <w:pPr>
        <w:pStyle w:val="ListParagraph"/>
        <w:widowControl/>
        <w:contextualSpacing w:val="0"/>
        <w:rPr>
          <w:rFonts w:asciiTheme="minorHAnsi" w:eastAsiaTheme="minorHAnsi" w:hAnsiTheme="minorHAnsi" w:cstheme="minorBidi"/>
          <w:i/>
          <w:snapToGrid/>
          <w:sz w:val="24"/>
          <w:szCs w:val="24"/>
        </w:rPr>
      </w:pPr>
      <w:r w:rsidRPr="006B1802">
        <w:rPr>
          <w:rFonts w:asciiTheme="minorHAnsi" w:hAnsiTheme="minorHAnsi"/>
          <w:szCs w:val="22"/>
        </w:rPr>
        <w:t xml:space="preserve"> </w:t>
      </w:r>
      <w:r w:rsidR="0056324B" w:rsidRPr="006B1802">
        <w:rPr>
          <w:rFonts w:asciiTheme="minorHAnsi" w:eastAsiaTheme="minorHAnsi" w:hAnsiTheme="minorHAnsi" w:cstheme="minorBidi"/>
          <w:i/>
          <w:snapToGrid/>
          <w:sz w:val="24"/>
          <w:szCs w:val="24"/>
        </w:rPr>
        <w:t xml:space="preserve">For more detail on </w:t>
      </w:r>
      <w:r w:rsidR="00294C7B" w:rsidRPr="006B1802">
        <w:rPr>
          <w:rFonts w:asciiTheme="minorHAnsi" w:eastAsiaTheme="minorHAnsi" w:hAnsiTheme="minorHAnsi" w:cstheme="minorBidi"/>
          <w:i/>
          <w:snapToGrid/>
          <w:sz w:val="24"/>
          <w:szCs w:val="24"/>
        </w:rPr>
        <w:t>PBAC’s view, see section 5</w:t>
      </w:r>
      <w:r w:rsidR="0056324B" w:rsidRPr="006B1802">
        <w:rPr>
          <w:rFonts w:asciiTheme="minorHAnsi" w:eastAsiaTheme="minorHAnsi" w:hAnsiTheme="minorHAnsi" w:cstheme="minorBidi"/>
          <w:i/>
          <w:snapToGrid/>
          <w:sz w:val="24"/>
          <w:szCs w:val="24"/>
        </w:rPr>
        <w:t xml:space="preserve"> PBAC outcome.</w:t>
      </w:r>
    </w:p>
    <w:p w:rsidR="0085219E" w:rsidRPr="006B1802" w:rsidRDefault="0085219E" w:rsidP="00B93A10">
      <w:pPr>
        <w:pStyle w:val="PBACHeading1"/>
        <w:spacing w:before="240" w:after="120"/>
        <w:ind w:left="709" w:hanging="709"/>
        <w:rPr>
          <w:rFonts w:asciiTheme="minorHAnsi" w:hAnsiTheme="minorHAnsi"/>
          <w:sz w:val="32"/>
          <w:szCs w:val="32"/>
        </w:rPr>
      </w:pPr>
      <w:r w:rsidRPr="006B1802">
        <w:rPr>
          <w:rFonts w:asciiTheme="minorHAnsi" w:hAnsiTheme="minorHAnsi"/>
          <w:sz w:val="32"/>
          <w:szCs w:val="32"/>
        </w:rPr>
        <w:t>PBAC Outcome</w:t>
      </w:r>
    </w:p>
    <w:p w:rsidR="0085219E" w:rsidRPr="006B1802" w:rsidRDefault="00A23771" w:rsidP="00B93A10">
      <w:pPr>
        <w:numPr>
          <w:ilvl w:val="1"/>
          <w:numId w:val="5"/>
        </w:numPr>
        <w:spacing w:after="120"/>
        <w:jc w:val="both"/>
        <w:rPr>
          <w:rFonts w:asciiTheme="minorHAnsi" w:hAnsiTheme="minorHAnsi" w:cs="Arial"/>
          <w:bCs/>
          <w:snapToGrid w:val="0"/>
          <w:lang w:eastAsia="en-US"/>
        </w:rPr>
      </w:pPr>
      <w:r w:rsidRPr="006B1802">
        <w:rPr>
          <w:rFonts w:asciiTheme="minorHAnsi" w:hAnsiTheme="minorHAnsi" w:cs="Arial"/>
          <w:bCs/>
          <w:snapToGrid w:val="0"/>
          <w:lang w:eastAsia="en-US"/>
        </w:rPr>
        <w:t xml:space="preserve">The PBAC recommended the </w:t>
      </w:r>
      <w:r w:rsidR="007068AA" w:rsidRPr="006B1802">
        <w:rPr>
          <w:rFonts w:asciiTheme="minorHAnsi" w:eastAsiaTheme="minorHAnsi" w:hAnsiTheme="minorHAnsi" w:cstheme="minorBidi"/>
          <w:szCs w:val="22"/>
        </w:rPr>
        <w:t>PBS</w:t>
      </w:r>
      <w:r w:rsidR="007068AA" w:rsidRPr="006B1802">
        <w:rPr>
          <w:rFonts w:asciiTheme="minorHAnsi" w:hAnsiTheme="minorHAnsi" w:cs="Arial"/>
          <w:bCs/>
          <w:snapToGrid w:val="0"/>
          <w:lang w:eastAsia="en-US"/>
        </w:rPr>
        <w:t xml:space="preserve"> </w:t>
      </w:r>
      <w:r w:rsidRPr="006B1802">
        <w:rPr>
          <w:rFonts w:asciiTheme="minorHAnsi" w:hAnsiTheme="minorHAnsi" w:cs="Arial"/>
          <w:bCs/>
          <w:snapToGrid w:val="0"/>
          <w:lang w:eastAsia="en-US"/>
        </w:rPr>
        <w:t xml:space="preserve">listing of tolvaptan </w:t>
      </w:r>
      <w:r w:rsidR="007068AA">
        <w:rPr>
          <w:rFonts w:asciiTheme="minorHAnsi" w:hAnsiTheme="minorHAnsi" w:cs="Arial"/>
          <w:bCs/>
          <w:snapToGrid w:val="0"/>
          <w:lang w:eastAsia="en-US"/>
        </w:rPr>
        <w:t xml:space="preserve">as </w:t>
      </w:r>
      <w:r w:rsidR="007068AA" w:rsidRPr="006B1802">
        <w:rPr>
          <w:rFonts w:asciiTheme="minorHAnsi" w:eastAsiaTheme="minorHAnsi" w:hAnsiTheme="minorHAnsi" w:cstheme="minorBidi"/>
          <w:szCs w:val="22"/>
        </w:rPr>
        <w:t>Section 85 Authority Required (</w:t>
      </w:r>
      <w:r w:rsidR="00194BE9">
        <w:rPr>
          <w:rFonts w:asciiTheme="minorHAnsi" w:eastAsiaTheme="minorHAnsi" w:hAnsiTheme="minorHAnsi" w:cstheme="minorBidi"/>
          <w:szCs w:val="22"/>
        </w:rPr>
        <w:t xml:space="preserve">in writing) </w:t>
      </w:r>
      <w:r w:rsidR="007068AA" w:rsidRPr="006B1802">
        <w:rPr>
          <w:rFonts w:asciiTheme="minorHAnsi" w:eastAsiaTheme="minorHAnsi" w:hAnsiTheme="minorHAnsi" w:cstheme="minorBidi"/>
          <w:szCs w:val="22"/>
        </w:rPr>
        <w:t xml:space="preserve">for initiation of </w:t>
      </w:r>
      <w:proofErr w:type="spellStart"/>
      <w:r w:rsidR="007068AA" w:rsidRPr="006B1802">
        <w:rPr>
          <w:rFonts w:asciiTheme="minorHAnsi" w:eastAsiaTheme="minorHAnsi" w:hAnsiTheme="minorHAnsi" w:cstheme="minorBidi"/>
          <w:szCs w:val="22"/>
        </w:rPr>
        <w:t>tolvaptan</w:t>
      </w:r>
      <w:proofErr w:type="spellEnd"/>
      <w:r w:rsidR="007068AA" w:rsidRPr="006B1802">
        <w:rPr>
          <w:rFonts w:asciiTheme="minorHAnsi" w:eastAsiaTheme="minorHAnsi" w:hAnsiTheme="minorHAnsi" w:cstheme="minorBidi"/>
          <w:szCs w:val="22"/>
        </w:rPr>
        <w:t xml:space="preserve"> and an Authority Required (Streamlined) listing for continuing treatment of autosomal dominant polycystic kidney disease (ADPKD)</w:t>
      </w:r>
      <w:r w:rsidR="00A47773" w:rsidRPr="006B1802">
        <w:rPr>
          <w:rFonts w:asciiTheme="minorHAnsi" w:hAnsiTheme="minorHAnsi" w:cs="Arial"/>
          <w:bCs/>
          <w:snapToGrid w:val="0"/>
          <w:lang w:eastAsia="en-US"/>
        </w:rPr>
        <w:t xml:space="preserve">. </w:t>
      </w:r>
      <w:r w:rsidRPr="006B1802">
        <w:rPr>
          <w:rFonts w:asciiTheme="minorHAnsi" w:hAnsiTheme="minorHAnsi" w:cs="Arial"/>
          <w:bCs/>
          <w:snapToGrid w:val="0"/>
          <w:lang w:eastAsia="en-US"/>
        </w:rPr>
        <w:t xml:space="preserve"> The PBAC was satisfied that for some patients, </w:t>
      </w:r>
      <w:r w:rsidR="00A47773" w:rsidRPr="006B1802">
        <w:rPr>
          <w:rFonts w:asciiTheme="minorHAnsi" w:hAnsiTheme="minorHAnsi" w:cs="Arial"/>
          <w:bCs/>
          <w:snapToGrid w:val="0"/>
          <w:lang w:eastAsia="en-US"/>
        </w:rPr>
        <w:t>tolvaptan</w:t>
      </w:r>
      <w:r w:rsidRPr="006B1802">
        <w:rPr>
          <w:rFonts w:asciiTheme="minorHAnsi" w:hAnsiTheme="minorHAnsi" w:cs="Arial"/>
          <w:bCs/>
          <w:snapToGrid w:val="0"/>
          <w:lang w:eastAsia="en-US"/>
        </w:rPr>
        <w:t xml:space="preserve"> provides </w:t>
      </w:r>
      <w:r w:rsidR="00A46581" w:rsidRPr="006B1802">
        <w:rPr>
          <w:rFonts w:asciiTheme="minorHAnsi" w:hAnsiTheme="minorHAnsi" w:cs="Arial"/>
          <w:bCs/>
          <w:snapToGrid w:val="0"/>
          <w:lang w:eastAsia="en-US"/>
        </w:rPr>
        <w:t>a small benefit al</w:t>
      </w:r>
      <w:r w:rsidRPr="006B1802">
        <w:rPr>
          <w:rFonts w:asciiTheme="minorHAnsi" w:hAnsiTheme="minorHAnsi" w:cs="Arial"/>
          <w:bCs/>
          <w:snapToGrid w:val="0"/>
          <w:lang w:eastAsia="en-US"/>
        </w:rPr>
        <w:t xml:space="preserve">though its effect on </w:t>
      </w:r>
      <w:r w:rsidR="002C2563" w:rsidRPr="006B1802">
        <w:rPr>
          <w:rFonts w:asciiTheme="minorHAnsi" w:hAnsiTheme="minorHAnsi" w:cs="Arial"/>
          <w:bCs/>
          <w:snapToGrid w:val="0"/>
          <w:lang w:eastAsia="en-US"/>
        </w:rPr>
        <w:t xml:space="preserve">the </w:t>
      </w:r>
      <w:r w:rsidR="00A46581" w:rsidRPr="006B1802">
        <w:rPr>
          <w:rFonts w:asciiTheme="minorHAnsi" w:hAnsiTheme="minorHAnsi" w:cs="Arial"/>
          <w:bCs/>
          <w:snapToGrid w:val="0"/>
          <w:lang w:eastAsia="en-US"/>
        </w:rPr>
        <w:t>prevention of end stage kidney disease (ESKD)</w:t>
      </w:r>
      <w:r w:rsidRPr="006B1802">
        <w:rPr>
          <w:rFonts w:asciiTheme="minorHAnsi" w:hAnsiTheme="minorHAnsi" w:cs="Arial"/>
          <w:bCs/>
          <w:snapToGrid w:val="0"/>
          <w:lang w:eastAsia="en-US"/>
        </w:rPr>
        <w:t xml:space="preserve"> is un</w:t>
      </w:r>
      <w:r w:rsidR="00A46581" w:rsidRPr="006B1802">
        <w:rPr>
          <w:rFonts w:asciiTheme="minorHAnsi" w:hAnsiTheme="minorHAnsi" w:cs="Arial"/>
          <w:bCs/>
          <w:snapToGrid w:val="0"/>
          <w:lang w:eastAsia="en-US"/>
        </w:rPr>
        <w:t>certain</w:t>
      </w:r>
      <w:r w:rsidRPr="006B1802">
        <w:rPr>
          <w:rFonts w:asciiTheme="minorHAnsi" w:hAnsiTheme="minorHAnsi" w:cs="Arial"/>
          <w:bCs/>
          <w:snapToGrid w:val="0"/>
          <w:lang w:eastAsia="en-US"/>
        </w:rPr>
        <w:t xml:space="preserve">. The PBAC </w:t>
      </w:r>
      <w:r w:rsidR="00784A96" w:rsidRPr="006B1802">
        <w:rPr>
          <w:rFonts w:asciiTheme="minorHAnsi" w:hAnsiTheme="minorHAnsi" w:cs="Arial"/>
          <w:bCs/>
          <w:snapToGrid w:val="0"/>
          <w:lang w:eastAsia="en-US"/>
        </w:rPr>
        <w:t xml:space="preserve">considered </w:t>
      </w:r>
      <w:r w:rsidRPr="006B1802">
        <w:rPr>
          <w:rFonts w:asciiTheme="minorHAnsi" w:hAnsiTheme="minorHAnsi" w:cs="Arial"/>
          <w:bCs/>
          <w:snapToGrid w:val="0"/>
          <w:lang w:eastAsia="en-US"/>
        </w:rPr>
        <w:t xml:space="preserve">that </w:t>
      </w:r>
      <w:r w:rsidR="00784A96" w:rsidRPr="006B1802">
        <w:rPr>
          <w:rFonts w:asciiTheme="minorHAnsi" w:hAnsiTheme="minorHAnsi" w:cs="Arial"/>
          <w:bCs/>
          <w:snapToGrid w:val="0"/>
          <w:lang w:eastAsia="en-US"/>
        </w:rPr>
        <w:t xml:space="preserve">whilst </w:t>
      </w:r>
      <w:r w:rsidRPr="006B1802">
        <w:rPr>
          <w:rFonts w:asciiTheme="minorHAnsi" w:hAnsiTheme="minorHAnsi" w:cs="Arial"/>
          <w:bCs/>
          <w:snapToGrid w:val="0"/>
          <w:lang w:eastAsia="en-US"/>
        </w:rPr>
        <w:t xml:space="preserve">the modelled cost-effectiveness </w:t>
      </w:r>
      <w:r w:rsidR="0025521E" w:rsidRPr="006B1802">
        <w:rPr>
          <w:rFonts w:asciiTheme="minorHAnsi" w:hAnsiTheme="minorHAnsi" w:cs="Arial"/>
          <w:bCs/>
          <w:snapToGrid w:val="0"/>
          <w:lang w:eastAsia="en-US"/>
        </w:rPr>
        <w:t>remained</w:t>
      </w:r>
      <w:r w:rsidRPr="006B1802">
        <w:rPr>
          <w:rFonts w:asciiTheme="minorHAnsi" w:hAnsiTheme="minorHAnsi" w:cs="Arial"/>
          <w:bCs/>
          <w:snapToGrid w:val="0"/>
          <w:lang w:eastAsia="en-US"/>
        </w:rPr>
        <w:t xml:space="preserve"> highly </w:t>
      </w:r>
      <w:r w:rsidR="00AD1991" w:rsidRPr="006B1802">
        <w:rPr>
          <w:rFonts w:asciiTheme="minorHAnsi" w:hAnsiTheme="minorHAnsi" w:cs="Arial"/>
          <w:bCs/>
          <w:snapToGrid w:val="0"/>
          <w:lang w:eastAsia="en-US"/>
        </w:rPr>
        <w:t>variable</w:t>
      </w:r>
      <w:r w:rsidRPr="006B1802">
        <w:rPr>
          <w:rFonts w:asciiTheme="minorHAnsi" w:hAnsiTheme="minorHAnsi" w:cs="Arial"/>
          <w:bCs/>
          <w:snapToGrid w:val="0"/>
          <w:lang w:eastAsia="en-US"/>
        </w:rPr>
        <w:t xml:space="preserve">, the cost effectiveness of </w:t>
      </w:r>
      <w:r w:rsidR="00A46581" w:rsidRPr="006B1802">
        <w:rPr>
          <w:rFonts w:asciiTheme="minorHAnsi" w:hAnsiTheme="minorHAnsi" w:cs="Arial"/>
          <w:bCs/>
          <w:snapToGrid w:val="0"/>
          <w:lang w:eastAsia="en-US"/>
        </w:rPr>
        <w:t>tolvaptan</w:t>
      </w:r>
      <w:r w:rsidRPr="006B1802">
        <w:rPr>
          <w:rFonts w:asciiTheme="minorHAnsi" w:hAnsiTheme="minorHAnsi" w:cs="Arial"/>
          <w:bCs/>
          <w:snapToGrid w:val="0"/>
          <w:lang w:eastAsia="en-US"/>
        </w:rPr>
        <w:t xml:space="preserve"> </w:t>
      </w:r>
      <w:r w:rsidR="00AD1991" w:rsidRPr="006B1802">
        <w:rPr>
          <w:rFonts w:asciiTheme="minorHAnsi" w:hAnsiTheme="minorHAnsi" w:cs="Arial"/>
          <w:bCs/>
          <w:snapToGrid w:val="0"/>
          <w:lang w:eastAsia="en-US"/>
        </w:rPr>
        <w:t>at the</w:t>
      </w:r>
      <w:r w:rsidRPr="006B1802">
        <w:rPr>
          <w:rFonts w:asciiTheme="minorHAnsi" w:hAnsiTheme="minorHAnsi" w:cs="Arial"/>
          <w:bCs/>
          <w:snapToGrid w:val="0"/>
          <w:lang w:eastAsia="en-US"/>
        </w:rPr>
        <w:t xml:space="preserve"> reduc</w:t>
      </w:r>
      <w:r w:rsidR="00AD1991" w:rsidRPr="006B1802">
        <w:rPr>
          <w:rFonts w:asciiTheme="minorHAnsi" w:hAnsiTheme="minorHAnsi" w:cs="Arial"/>
          <w:bCs/>
          <w:snapToGrid w:val="0"/>
          <w:lang w:eastAsia="en-US"/>
        </w:rPr>
        <w:t>ed</w:t>
      </w:r>
      <w:r w:rsidRPr="006B1802">
        <w:rPr>
          <w:rFonts w:asciiTheme="minorHAnsi" w:hAnsiTheme="minorHAnsi" w:cs="Arial"/>
          <w:bCs/>
          <w:snapToGrid w:val="0"/>
          <w:lang w:eastAsia="en-US"/>
        </w:rPr>
        <w:t xml:space="preserve"> price</w:t>
      </w:r>
      <w:r w:rsidR="00AD1991" w:rsidRPr="006B1802">
        <w:rPr>
          <w:rFonts w:asciiTheme="minorHAnsi" w:hAnsiTheme="minorHAnsi" w:cs="Arial"/>
          <w:bCs/>
          <w:snapToGrid w:val="0"/>
          <w:lang w:eastAsia="en-US"/>
        </w:rPr>
        <w:t xml:space="preserve"> offered, </w:t>
      </w:r>
      <w:r w:rsidRPr="006B1802">
        <w:rPr>
          <w:rFonts w:asciiTheme="minorHAnsi" w:hAnsiTheme="minorHAnsi" w:cs="Arial"/>
          <w:bCs/>
          <w:snapToGrid w:val="0"/>
          <w:lang w:eastAsia="en-US"/>
        </w:rPr>
        <w:t xml:space="preserve">in conjunction with </w:t>
      </w:r>
      <w:r w:rsidR="00AD1991" w:rsidRPr="006B1802">
        <w:rPr>
          <w:rFonts w:asciiTheme="minorHAnsi" w:hAnsiTheme="minorHAnsi" w:cs="Arial"/>
          <w:bCs/>
          <w:snapToGrid w:val="0"/>
          <w:lang w:eastAsia="en-US"/>
        </w:rPr>
        <w:t xml:space="preserve">proposed </w:t>
      </w:r>
      <w:r w:rsidRPr="006B1802">
        <w:rPr>
          <w:rFonts w:asciiTheme="minorHAnsi" w:hAnsiTheme="minorHAnsi" w:cs="Arial"/>
          <w:bCs/>
          <w:snapToGrid w:val="0"/>
          <w:lang w:eastAsia="en-US"/>
        </w:rPr>
        <w:t>financial caps</w:t>
      </w:r>
      <w:r w:rsidR="00AD1991" w:rsidRPr="006B1802">
        <w:rPr>
          <w:rFonts w:asciiTheme="minorHAnsi" w:hAnsiTheme="minorHAnsi" w:cs="Arial"/>
          <w:bCs/>
          <w:snapToGrid w:val="0"/>
          <w:lang w:eastAsia="en-US"/>
        </w:rPr>
        <w:t xml:space="preserve">, would be acceptable for patients </w:t>
      </w:r>
      <w:r w:rsidR="00AD1991" w:rsidRPr="006B1802">
        <w:rPr>
          <w:rFonts w:asciiTheme="minorHAnsi" w:eastAsiaTheme="minorHAnsi" w:hAnsiTheme="minorHAnsi" w:cstheme="minorBidi"/>
        </w:rPr>
        <w:t>with stage 2–3 chronic kidney disease (CKD) and rapid disease</w:t>
      </w:r>
      <w:r w:rsidR="00AD1991" w:rsidRPr="006B1802">
        <w:rPr>
          <w:rFonts w:asciiTheme="minorHAnsi" w:eastAsiaTheme="minorHAnsi" w:hAnsiTheme="minorHAnsi" w:cstheme="minorBidi"/>
          <w:szCs w:val="22"/>
        </w:rPr>
        <w:t xml:space="preserve"> progression</w:t>
      </w:r>
      <w:r w:rsidR="0053165D" w:rsidRPr="006B1802">
        <w:rPr>
          <w:rFonts w:asciiTheme="minorHAnsi" w:hAnsiTheme="minorHAnsi" w:cs="Arial"/>
          <w:bCs/>
          <w:snapToGrid w:val="0"/>
          <w:lang w:eastAsia="en-US"/>
        </w:rPr>
        <w:t>.</w:t>
      </w:r>
    </w:p>
    <w:p w:rsidR="0085219E" w:rsidRPr="006B1802" w:rsidRDefault="004C41B8" w:rsidP="00B93A10">
      <w:pPr>
        <w:pStyle w:val="ListParagraph"/>
        <w:widowControl/>
        <w:numPr>
          <w:ilvl w:val="1"/>
          <w:numId w:val="5"/>
        </w:numPr>
        <w:spacing w:after="120"/>
        <w:rPr>
          <w:rFonts w:asciiTheme="minorHAnsi" w:hAnsiTheme="minorHAnsi"/>
          <w:bCs/>
        </w:rPr>
      </w:pPr>
      <w:r w:rsidRPr="006B1802">
        <w:rPr>
          <w:rFonts w:asciiTheme="minorHAnsi" w:hAnsiTheme="minorHAnsi"/>
          <w:bCs/>
          <w:sz w:val="24"/>
          <w:szCs w:val="24"/>
        </w:rPr>
        <w:t xml:space="preserve">The PBAC agreed with the </w:t>
      </w:r>
      <w:r w:rsidR="00C93B5F" w:rsidRPr="006B1802">
        <w:rPr>
          <w:rFonts w:asciiTheme="minorHAnsi" w:hAnsiTheme="minorHAnsi"/>
          <w:bCs/>
          <w:sz w:val="24"/>
          <w:szCs w:val="24"/>
        </w:rPr>
        <w:t xml:space="preserve">modified </w:t>
      </w:r>
      <w:r w:rsidRPr="006B1802">
        <w:rPr>
          <w:rFonts w:asciiTheme="minorHAnsi" w:hAnsiTheme="minorHAnsi"/>
          <w:bCs/>
          <w:sz w:val="24"/>
          <w:szCs w:val="24"/>
        </w:rPr>
        <w:t xml:space="preserve">criteria </w:t>
      </w:r>
      <w:r w:rsidR="00E406FC" w:rsidRPr="006B1802">
        <w:rPr>
          <w:rFonts w:asciiTheme="minorHAnsi" w:hAnsiTheme="minorHAnsi"/>
          <w:bCs/>
          <w:sz w:val="24"/>
          <w:szCs w:val="24"/>
        </w:rPr>
        <w:t xml:space="preserve">proposed in this resubmission </w:t>
      </w:r>
      <w:r w:rsidR="00C93B5F" w:rsidRPr="006B1802">
        <w:rPr>
          <w:rFonts w:asciiTheme="minorHAnsi" w:hAnsiTheme="minorHAnsi"/>
          <w:bCs/>
          <w:sz w:val="24"/>
          <w:szCs w:val="24"/>
        </w:rPr>
        <w:t xml:space="preserve">to include patients with </w:t>
      </w:r>
      <w:r w:rsidR="00C93B5F" w:rsidRPr="006B1802">
        <w:rPr>
          <w:rFonts w:asciiTheme="minorHAnsi" w:hAnsiTheme="minorHAnsi"/>
          <w:sz w:val="24"/>
          <w:szCs w:val="24"/>
        </w:rPr>
        <w:t>CKD</w:t>
      </w:r>
      <w:r w:rsidR="00C93B5F" w:rsidRPr="006B1802">
        <w:rPr>
          <w:rFonts w:asciiTheme="minorHAnsi" w:hAnsiTheme="minorHAnsi"/>
        </w:rPr>
        <w:t xml:space="preserve"> </w:t>
      </w:r>
      <w:r w:rsidR="00C93B5F" w:rsidRPr="006B1802">
        <w:rPr>
          <w:rFonts w:asciiTheme="minorHAnsi" w:hAnsiTheme="minorHAnsi"/>
          <w:sz w:val="24"/>
          <w:szCs w:val="24"/>
        </w:rPr>
        <w:t xml:space="preserve">stages 2 and 3 and rapid disease progression to identify patients who will receive the greatest benefit from tolvaptan treatment. </w:t>
      </w:r>
      <w:r w:rsidRPr="006B1802">
        <w:rPr>
          <w:rFonts w:asciiTheme="minorHAnsi" w:hAnsiTheme="minorHAnsi"/>
          <w:bCs/>
          <w:sz w:val="24"/>
          <w:szCs w:val="24"/>
        </w:rPr>
        <w:t xml:space="preserve">The PBAC advised that the PBS listing for tolvaptan should be restricted to prescribing by nephrologists for initiation and in consultation with a nephrologist for continuing treatment. </w:t>
      </w:r>
      <w:r w:rsidR="00873F42" w:rsidRPr="006B1802">
        <w:rPr>
          <w:rFonts w:asciiTheme="minorHAnsi" w:hAnsiTheme="minorHAnsi"/>
          <w:sz w:val="24"/>
          <w:szCs w:val="24"/>
        </w:rPr>
        <w:t xml:space="preserve">The PBAC also noted the tolvaptan product information provided a special warning </w:t>
      </w:r>
      <w:r w:rsidR="00E012CD" w:rsidRPr="006B1802">
        <w:rPr>
          <w:rFonts w:asciiTheme="minorHAnsi" w:hAnsiTheme="minorHAnsi"/>
          <w:sz w:val="24"/>
          <w:szCs w:val="24"/>
        </w:rPr>
        <w:t xml:space="preserve">and precaution for use </w:t>
      </w:r>
      <w:r w:rsidR="00873F42" w:rsidRPr="006B1802">
        <w:rPr>
          <w:rFonts w:asciiTheme="minorHAnsi" w:hAnsiTheme="minorHAnsi"/>
          <w:sz w:val="24"/>
          <w:szCs w:val="24"/>
        </w:rPr>
        <w:t>regarding tolvaptan</w:t>
      </w:r>
      <w:r w:rsidRPr="006B1802">
        <w:rPr>
          <w:rFonts w:asciiTheme="minorHAnsi" w:hAnsiTheme="minorHAnsi"/>
          <w:sz w:val="24"/>
          <w:szCs w:val="24"/>
        </w:rPr>
        <w:t>-</w:t>
      </w:r>
      <w:r w:rsidR="00873F42" w:rsidRPr="006B1802">
        <w:rPr>
          <w:rFonts w:asciiTheme="minorHAnsi" w:hAnsiTheme="minorHAnsi"/>
          <w:sz w:val="24"/>
          <w:szCs w:val="24"/>
        </w:rPr>
        <w:t xml:space="preserve">associated liver injury and </w:t>
      </w:r>
      <w:r w:rsidRPr="006B1802">
        <w:rPr>
          <w:rFonts w:asciiTheme="minorHAnsi" w:hAnsiTheme="minorHAnsi"/>
          <w:sz w:val="24"/>
          <w:szCs w:val="24"/>
        </w:rPr>
        <w:t xml:space="preserve">that </w:t>
      </w:r>
      <w:r w:rsidR="00E012CD" w:rsidRPr="006B1802">
        <w:rPr>
          <w:rFonts w:asciiTheme="minorHAnsi" w:hAnsiTheme="minorHAnsi"/>
          <w:sz w:val="24"/>
          <w:szCs w:val="24"/>
        </w:rPr>
        <w:t xml:space="preserve">continuing </w:t>
      </w:r>
      <w:r w:rsidR="00E012CD" w:rsidRPr="006B1802">
        <w:rPr>
          <w:rFonts w:asciiTheme="minorHAnsi" w:hAnsiTheme="minorHAnsi"/>
          <w:sz w:val="24"/>
          <w:szCs w:val="24"/>
        </w:rPr>
        <w:lastRenderedPageBreak/>
        <w:t xml:space="preserve">monitoring for </w:t>
      </w:r>
      <w:r w:rsidR="00873F42" w:rsidRPr="006B1802">
        <w:rPr>
          <w:rFonts w:asciiTheme="minorHAnsi" w:hAnsiTheme="minorHAnsi"/>
          <w:sz w:val="24"/>
          <w:szCs w:val="24"/>
        </w:rPr>
        <w:t>hepatotoxicity during tolvaptan treatment</w:t>
      </w:r>
      <w:r w:rsidRPr="006B1802">
        <w:rPr>
          <w:rFonts w:asciiTheme="minorHAnsi" w:hAnsiTheme="minorHAnsi"/>
          <w:sz w:val="24"/>
          <w:szCs w:val="24"/>
        </w:rPr>
        <w:t xml:space="preserve"> was required</w:t>
      </w:r>
      <w:r w:rsidR="00873F42" w:rsidRPr="006B1802">
        <w:rPr>
          <w:rFonts w:asciiTheme="minorHAnsi" w:hAnsiTheme="minorHAnsi"/>
          <w:sz w:val="24"/>
          <w:szCs w:val="24"/>
        </w:rPr>
        <w:t xml:space="preserve">. </w:t>
      </w:r>
      <w:r w:rsidRPr="006B1802">
        <w:rPr>
          <w:rFonts w:asciiTheme="minorHAnsi" w:hAnsiTheme="minorHAnsi"/>
          <w:sz w:val="24"/>
          <w:szCs w:val="24"/>
        </w:rPr>
        <w:t>T</w:t>
      </w:r>
      <w:r w:rsidR="00873F42" w:rsidRPr="006B1802">
        <w:rPr>
          <w:rFonts w:asciiTheme="minorHAnsi" w:hAnsiTheme="minorHAnsi"/>
          <w:sz w:val="24"/>
          <w:szCs w:val="24"/>
        </w:rPr>
        <w:t xml:space="preserve">he PBAC </w:t>
      </w:r>
      <w:r w:rsidR="00C93B5F" w:rsidRPr="006B1802">
        <w:rPr>
          <w:rFonts w:asciiTheme="minorHAnsi" w:hAnsiTheme="minorHAnsi"/>
          <w:sz w:val="24"/>
          <w:szCs w:val="24"/>
        </w:rPr>
        <w:t xml:space="preserve">considered the </w:t>
      </w:r>
      <w:r w:rsidR="00400973" w:rsidRPr="006B1802">
        <w:rPr>
          <w:rFonts w:asciiTheme="minorHAnsi" w:hAnsiTheme="minorHAnsi"/>
          <w:sz w:val="24"/>
          <w:szCs w:val="24"/>
        </w:rPr>
        <w:t>sponsor</w:t>
      </w:r>
      <w:r w:rsidR="00C93B5F" w:rsidRPr="006B1802">
        <w:rPr>
          <w:rFonts w:asciiTheme="minorHAnsi" w:hAnsiTheme="minorHAnsi"/>
          <w:sz w:val="24"/>
          <w:szCs w:val="24"/>
        </w:rPr>
        <w:t xml:space="preserve"> </w:t>
      </w:r>
      <w:r w:rsidR="00400973" w:rsidRPr="006B1802">
        <w:rPr>
          <w:rFonts w:asciiTheme="minorHAnsi" w:hAnsiTheme="minorHAnsi"/>
          <w:sz w:val="24"/>
          <w:szCs w:val="24"/>
        </w:rPr>
        <w:t>mandated</w:t>
      </w:r>
      <w:r w:rsidR="00C93B5F" w:rsidRPr="006B1802">
        <w:rPr>
          <w:rFonts w:asciiTheme="minorHAnsi" w:hAnsiTheme="minorHAnsi"/>
          <w:sz w:val="24"/>
          <w:szCs w:val="24"/>
        </w:rPr>
        <w:t xml:space="preserve"> </w:t>
      </w:r>
      <w:r w:rsidR="00873F42" w:rsidRPr="006B1802">
        <w:rPr>
          <w:rFonts w:asciiTheme="minorHAnsi" w:hAnsiTheme="minorHAnsi"/>
          <w:sz w:val="24"/>
          <w:szCs w:val="24"/>
        </w:rPr>
        <w:t xml:space="preserve">tolvaptan </w:t>
      </w:r>
      <w:r w:rsidR="00C93B5F" w:rsidRPr="006B1802">
        <w:rPr>
          <w:rFonts w:asciiTheme="minorHAnsi" w:hAnsiTheme="minorHAnsi"/>
          <w:sz w:val="24"/>
          <w:szCs w:val="24"/>
        </w:rPr>
        <w:t xml:space="preserve">prescriber training </w:t>
      </w:r>
      <w:r w:rsidR="00873F42" w:rsidRPr="006B1802">
        <w:rPr>
          <w:rFonts w:asciiTheme="minorHAnsi" w:hAnsiTheme="minorHAnsi"/>
          <w:sz w:val="24"/>
          <w:szCs w:val="24"/>
        </w:rPr>
        <w:t>included in the proposed listing was not warranted</w:t>
      </w:r>
      <w:r w:rsidR="00F56702" w:rsidRPr="006B1802">
        <w:rPr>
          <w:rFonts w:asciiTheme="minorHAnsi" w:hAnsiTheme="minorHAnsi"/>
          <w:sz w:val="24"/>
          <w:szCs w:val="24"/>
        </w:rPr>
        <w:t xml:space="preserve"> </w:t>
      </w:r>
      <w:r w:rsidR="00400973" w:rsidRPr="006B1802">
        <w:rPr>
          <w:rFonts w:asciiTheme="minorHAnsi" w:hAnsiTheme="minorHAnsi"/>
          <w:sz w:val="24"/>
          <w:szCs w:val="24"/>
        </w:rPr>
        <w:t xml:space="preserve">and advised a cautionary statement regarding hepatotoxicity </w:t>
      </w:r>
      <w:r w:rsidR="00C932AD" w:rsidRPr="006B1802">
        <w:rPr>
          <w:rFonts w:asciiTheme="minorHAnsi" w:hAnsiTheme="minorHAnsi"/>
          <w:sz w:val="24"/>
          <w:szCs w:val="24"/>
        </w:rPr>
        <w:t xml:space="preserve">and </w:t>
      </w:r>
      <w:r w:rsidR="00400973" w:rsidRPr="006B1802">
        <w:rPr>
          <w:rFonts w:asciiTheme="minorHAnsi" w:hAnsiTheme="minorHAnsi"/>
          <w:sz w:val="24"/>
          <w:szCs w:val="24"/>
        </w:rPr>
        <w:t>monitoring requirements</w:t>
      </w:r>
      <w:r w:rsidRPr="006B1802">
        <w:rPr>
          <w:rFonts w:asciiTheme="minorHAnsi" w:hAnsiTheme="minorHAnsi"/>
          <w:sz w:val="24"/>
          <w:szCs w:val="24"/>
        </w:rPr>
        <w:t xml:space="preserve"> would be sufficient</w:t>
      </w:r>
      <w:r w:rsidR="00873F42" w:rsidRPr="006B1802">
        <w:rPr>
          <w:rFonts w:asciiTheme="minorHAnsi" w:hAnsiTheme="minorHAnsi"/>
          <w:sz w:val="24"/>
          <w:szCs w:val="24"/>
        </w:rPr>
        <w:t>.</w:t>
      </w:r>
    </w:p>
    <w:p w:rsidR="0025521E" w:rsidRPr="006B1802" w:rsidRDefault="0025521E" w:rsidP="00B93A10">
      <w:pPr>
        <w:numPr>
          <w:ilvl w:val="1"/>
          <w:numId w:val="5"/>
        </w:numPr>
        <w:spacing w:after="120"/>
        <w:jc w:val="both"/>
        <w:rPr>
          <w:rFonts w:asciiTheme="minorHAnsi" w:hAnsiTheme="minorHAnsi" w:cs="Arial"/>
          <w:bCs/>
          <w:snapToGrid w:val="0"/>
          <w:lang w:eastAsia="en-US"/>
        </w:rPr>
      </w:pPr>
      <w:r w:rsidRPr="006B1802">
        <w:rPr>
          <w:rFonts w:asciiTheme="minorHAnsi" w:hAnsiTheme="minorHAnsi"/>
          <w:bCs/>
        </w:rPr>
        <w:t xml:space="preserve">The PBAC considered </w:t>
      </w:r>
      <w:r w:rsidR="00007C32" w:rsidRPr="006B1802">
        <w:rPr>
          <w:rFonts w:asciiTheme="minorHAnsi" w:hAnsiTheme="minorHAnsi"/>
          <w:bCs/>
        </w:rPr>
        <w:t>a</w:t>
      </w:r>
      <w:r w:rsidRPr="006B1802">
        <w:rPr>
          <w:rFonts w:asciiTheme="minorHAnsi" w:hAnsiTheme="minorHAnsi"/>
          <w:bCs/>
        </w:rPr>
        <w:t xml:space="preserve"> grandfather</w:t>
      </w:r>
      <w:r w:rsidR="00174DFE" w:rsidRPr="006B1802">
        <w:rPr>
          <w:rFonts w:asciiTheme="minorHAnsi" w:hAnsiTheme="minorHAnsi"/>
          <w:bCs/>
        </w:rPr>
        <w:t>ing clause</w:t>
      </w:r>
      <w:r w:rsidRPr="006B1802">
        <w:rPr>
          <w:rFonts w:asciiTheme="minorHAnsi" w:hAnsiTheme="minorHAnsi"/>
          <w:bCs/>
        </w:rPr>
        <w:t xml:space="preserve"> was</w:t>
      </w:r>
      <w:r w:rsidR="00007C32" w:rsidRPr="006B1802">
        <w:rPr>
          <w:rFonts w:asciiTheme="minorHAnsi" w:hAnsiTheme="minorHAnsi"/>
          <w:bCs/>
        </w:rPr>
        <w:t xml:space="preserve"> </w:t>
      </w:r>
      <w:r w:rsidR="007F05EE" w:rsidRPr="006B1802">
        <w:rPr>
          <w:rFonts w:asciiTheme="minorHAnsi" w:hAnsiTheme="minorHAnsi"/>
          <w:bCs/>
        </w:rPr>
        <w:t xml:space="preserve">not required as </w:t>
      </w:r>
      <w:r w:rsidR="00174DFE" w:rsidRPr="006B1802">
        <w:rPr>
          <w:rFonts w:asciiTheme="minorHAnsi" w:hAnsiTheme="minorHAnsi"/>
          <w:bCs/>
        </w:rPr>
        <w:t xml:space="preserve">patients from the clinical </w:t>
      </w:r>
      <w:r w:rsidR="00692293" w:rsidRPr="006B1802">
        <w:rPr>
          <w:rFonts w:asciiTheme="minorHAnsi" w:hAnsiTheme="minorHAnsi"/>
          <w:bCs/>
        </w:rPr>
        <w:t xml:space="preserve">trials </w:t>
      </w:r>
      <w:r w:rsidR="00174DFE" w:rsidRPr="006B1802">
        <w:rPr>
          <w:rFonts w:asciiTheme="minorHAnsi" w:hAnsiTheme="minorHAnsi"/>
          <w:bCs/>
        </w:rPr>
        <w:t xml:space="preserve">should be eligible for PBS treatment under the proposed criteria. </w:t>
      </w:r>
    </w:p>
    <w:p w:rsidR="00973B29" w:rsidRPr="006B1802" w:rsidRDefault="0025521E" w:rsidP="00B93A10">
      <w:pPr>
        <w:numPr>
          <w:ilvl w:val="1"/>
          <w:numId w:val="5"/>
        </w:numPr>
        <w:spacing w:after="120"/>
        <w:jc w:val="both"/>
        <w:rPr>
          <w:rFonts w:asciiTheme="minorHAnsi" w:hAnsiTheme="minorHAnsi"/>
          <w:bCs/>
        </w:rPr>
      </w:pPr>
      <w:r w:rsidRPr="006B1802">
        <w:rPr>
          <w:rFonts w:asciiTheme="minorHAnsi" w:hAnsiTheme="minorHAnsi" w:cs="Arial"/>
          <w:bCs/>
          <w:snapToGrid w:val="0"/>
          <w:lang w:eastAsia="en-US"/>
        </w:rPr>
        <w:t xml:space="preserve">The PBAC considered that the </w:t>
      </w:r>
      <w:r w:rsidR="00CC66C8" w:rsidRPr="006B1802">
        <w:rPr>
          <w:rFonts w:asciiTheme="minorHAnsi" w:hAnsiTheme="minorHAnsi" w:cs="Arial"/>
          <w:bCs/>
          <w:snapToGrid w:val="0"/>
          <w:lang w:eastAsia="en-US"/>
        </w:rPr>
        <w:t>tolvaptan</w:t>
      </w:r>
      <w:r w:rsidRPr="006B1802">
        <w:rPr>
          <w:rFonts w:asciiTheme="minorHAnsi" w:hAnsiTheme="minorHAnsi" w:cs="Arial"/>
          <w:bCs/>
          <w:snapToGrid w:val="0"/>
          <w:lang w:eastAsia="en-US"/>
        </w:rPr>
        <w:t xml:space="preserve"> economic model </w:t>
      </w:r>
      <w:r w:rsidR="00F221DD" w:rsidRPr="006B1802">
        <w:rPr>
          <w:rFonts w:asciiTheme="minorHAnsi" w:hAnsiTheme="minorHAnsi" w:cs="Arial"/>
          <w:bCs/>
          <w:snapToGrid w:val="0"/>
          <w:lang w:eastAsia="en-US"/>
        </w:rPr>
        <w:t xml:space="preserve">was sensitive to the efficacy estimates, the modelled populations and the model time horizon and </w:t>
      </w:r>
      <w:r w:rsidRPr="006B1802">
        <w:rPr>
          <w:rFonts w:asciiTheme="minorHAnsi" w:hAnsiTheme="minorHAnsi"/>
          <w:bCs/>
        </w:rPr>
        <w:t xml:space="preserve">this resulted in the ICER being highly </w:t>
      </w:r>
      <w:r w:rsidR="00174DFE" w:rsidRPr="006B1802">
        <w:rPr>
          <w:rFonts w:asciiTheme="minorHAnsi" w:hAnsiTheme="minorHAnsi"/>
          <w:bCs/>
        </w:rPr>
        <w:t>variable</w:t>
      </w:r>
      <w:r w:rsidRPr="006B1802">
        <w:rPr>
          <w:rFonts w:asciiTheme="minorHAnsi" w:hAnsiTheme="minorHAnsi"/>
          <w:bCs/>
        </w:rPr>
        <w:t xml:space="preserve">. </w:t>
      </w:r>
      <w:r w:rsidR="00174DFE" w:rsidRPr="006B1802">
        <w:rPr>
          <w:rFonts w:asciiTheme="minorHAnsi" w:hAnsiTheme="minorHAnsi"/>
          <w:bCs/>
        </w:rPr>
        <w:t>The ICERs presented</w:t>
      </w:r>
      <w:r w:rsidR="00973B29" w:rsidRPr="006B1802">
        <w:rPr>
          <w:rFonts w:asciiTheme="minorHAnsi" w:hAnsiTheme="minorHAnsi"/>
          <w:bCs/>
        </w:rPr>
        <w:t>,</w:t>
      </w:r>
      <w:r w:rsidR="00174DFE" w:rsidRPr="006B1802">
        <w:rPr>
          <w:rFonts w:asciiTheme="minorHAnsi" w:hAnsiTheme="minorHAnsi"/>
          <w:bCs/>
        </w:rPr>
        <w:t xml:space="preserve"> </w:t>
      </w:r>
      <w:r w:rsidR="00973B29" w:rsidRPr="006B1802">
        <w:rPr>
          <w:rFonts w:asciiTheme="minorHAnsi" w:hAnsiTheme="minorHAnsi"/>
          <w:bCs/>
        </w:rPr>
        <w:t xml:space="preserve">at the reduced price and including the disutility for adverse </w:t>
      </w:r>
      <w:proofErr w:type="gramStart"/>
      <w:r w:rsidR="00973B29" w:rsidRPr="006B1802">
        <w:rPr>
          <w:rFonts w:asciiTheme="minorHAnsi" w:hAnsiTheme="minorHAnsi"/>
          <w:bCs/>
        </w:rPr>
        <w:t>events,</w:t>
      </w:r>
      <w:proofErr w:type="gramEnd"/>
      <w:r w:rsidR="00973B29" w:rsidRPr="006B1802">
        <w:rPr>
          <w:rFonts w:asciiTheme="minorHAnsi" w:hAnsiTheme="minorHAnsi"/>
          <w:bCs/>
        </w:rPr>
        <w:t xml:space="preserve"> </w:t>
      </w:r>
      <w:r w:rsidR="00174DFE" w:rsidRPr="006B1802">
        <w:rPr>
          <w:rFonts w:asciiTheme="minorHAnsi" w:hAnsiTheme="minorHAnsi"/>
          <w:bCs/>
        </w:rPr>
        <w:t xml:space="preserve">were indicative of cost-effective use in the target population. </w:t>
      </w:r>
      <w:r w:rsidRPr="006B1802">
        <w:rPr>
          <w:rFonts w:asciiTheme="minorHAnsi" w:hAnsiTheme="minorHAnsi"/>
          <w:bCs/>
        </w:rPr>
        <w:t xml:space="preserve">The PBAC considered the uncertainty with the cost-effectiveness </w:t>
      </w:r>
      <w:r w:rsidR="00973B29" w:rsidRPr="006B1802">
        <w:rPr>
          <w:rFonts w:asciiTheme="minorHAnsi" w:hAnsiTheme="minorHAnsi"/>
          <w:bCs/>
        </w:rPr>
        <w:t>was</w:t>
      </w:r>
      <w:r w:rsidR="00D74D86" w:rsidRPr="006B1802">
        <w:rPr>
          <w:rFonts w:asciiTheme="minorHAnsi" w:hAnsiTheme="minorHAnsi"/>
          <w:bCs/>
        </w:rPr>
        <w:t xml:space="preserve"> adequately addressed through the</w:t>
      </w:r>
      <w:r w:rsidRPr="006B1802">
        <w:rPr>
          <w:rFonts w:asciiTheme="minorHAnsi" w:hAnsiTheme="minorHAnsi"/>
          <w:bCs/>
        </w:rPr>
        <w:t xml:space="preserve"> </w:t>
      </w:r>
      <w:r w:rsidR="00D74D86" w:rsidRPr="006B1802">
        <w:rPr>
          <w:rFonts w:asciiTheme="minorHAnsi" w:hAnsiTheme="minorHAnsi"/>
          <w:bCs/>
        </w:rPr>
        <w:t xml:space="preserve">16.7% </w:t>
      </w:r>
      <w:r w:rsidRPr="006B1802">
        <w:rPr>
          <w:rFonts w:asciiTheme="minorHAnsi" w:hAnsiTheme="minorHAnsi"/>
          <w:bCs/>
        </w:rPr>
        <w:t xml:space="preserve">reduction in price </w:t>
      </w:r>
      <w:r w:rsidR="00D74D86" w:rsidRPr="006B1802">
        <w:rPr>
          <w:rFonts w:asciiTheme="minorHAnsi" w:hAnsiTheme="minorHAnsi"/>
          <w:bCs/>
        </w:rPr>
        <w:t xml:space="preserve">from the March 2018 submission and in </w:t>
      </w:r>
      <w:r w:rsidRPr="006B1802">
        <w:rPr>
          <w:rFonts w:asciiTheme="minorHAnsi" w:hAnsiTheme="minorHAnsi"/>
          <w:bCs/>
        </w:rPr>
        <w:t xml:space="preserve">conjunction with </w:t>
      </w:r>
      <w:r w:rsidR="00323D90" w:rsidRPr="006B1802">
        <w:rPr>
          <w:rFonts w:asciiTheme="minorHAnsi" w:hAnsiTheme="minorHAnsi"/>
          <w:bCs/>
        </w:rPr>
        <w:t xml:space="preserve">a </w:t>
      </w:r>
      <w:r w:rsidR="00D74D86" w:rsidRPr="006B1802">
        <w:rPr>
          <w:rFonts w:asciiTheme="minorHAnsi" w:hAnsiTheme="minorHAnsi"/>
          <w:bCs/>
        </w:rPr>
        <w:t xml:space="preserve">100% rebate </w:t>
      </w:r>
      <w:r w:rsidR="006B1802">
        <w:rPr>
          <w:rFonts w:asciiTheme="minorHAnsi" w:hAnsiTheme="minorHAnsi"/>
          <w:bCs/>
        </w:rPr>
        <w:t>for use beyond the estimates</w:t>
      </w:r>
      <w:r w:rsidR="00973B29" w:rsidRPr="006B1802">
        <w:rPr>
          <w:rFonts w:asciiTheme="minorHAnsi" w:hAnsiTheme="minorHAnsi"/>
          <w:bCs/>
        </w:rPr>
        <w:t>.</w:t>
      </w:r>
      <w:r w:rsidRPr="006B1802">
        <w:rPr>
          <w:rFonts w:asciiTheme="minorHAnsi" w:hAnsiTheme="minorHAnsi"/>
          <w:bCs/>
        </w:rPr>
        <w:t xml:space="preserve"> </w:t>
      </w:r>
    </w:p>
    <w:p w:rsidR="0025521E" w:rsidRPr="006B1802" w:rsidRDefault="00973B29" w:rsidP="00B93A10">
      <w:pPr>
        <w:numPr>
          <w:ilvl w:val="1"/>
          <w:numId w:val="5"/>
        </w:numPr>
        <w:spacing w:after="120"/>
        <w:jc w:val="both"/>
        <w:rPr>
          <w:rFonts w:asciiTheme="minorHAnsi" w:hAnsiTheme="minorHAnsi"/>
          <w:bCs/>
        </w:rPr>
      </w:pPr>
      <w:r w:rsidRPr="006B1802">
        <w:rPr>
          <w:rFonts w:asciiTheme="minorHAnsi" w:hAnsiTheme="minorHAnsi"/>
          <w:bCs/>
        </w:rPr>
        <w:t>The PBAC considered the hard cap set at 15% of the prevalent population was acceptable,</w:t>
      </w:r>
      <w:r w:rsidR="00784A96" w:rsidRPr="006B1802">
        <w:rPr>
          <w:rFonts w:asciiTheme="minorHAnsi" w:hAnsiTheme="minorHAnsi"/>
          <w:bCs/>
        </w:rPr>
        <w:t xml:space="preserve"> noting the </w:t>
      </w:r>
      <w:r w:rsidRPr="006B1802">
        <w:rPr>
          <w:rFonts w:asciiTheme="minorHAnsi" w:hAnsiTheme="minorHAnsi"/>
          <w:bCs/>
        </w:rPr>
        <w:t>assumed high persistence with treatment (between 100%–</w:t>
      </w:r>
      <w:proofErr w:type="gramStart"/>
      <w:r w:rsidRPr="006B1802">
        <w:rPr>
          <w:rFonts w:asciiTheme="minorHAnsi" w:hAnsiTheme="minorHAnsi"/>
          <w:bCs/>
        </w:rPr>
        <w:t>73.5%</w:t>
      </w:r>
      <w:proofErr w:type="gramEnd"/>
      <w:r w:rsidRPr="006B1802">
        <w:rPr>
          <w:rFonts w:asciiTheme="minorHAnsi" w:hAnsiTheme="minorHAnsi"/>
          <w:bCs/>
        </w:rPr>
        <w:t xml:space="preserve"> over the first five years of listing) may be optimistic, but was internally consistent with the modelled assumptions. </w:t>
      </w:r>
      <w:r w:rsidR="0025521E" w:rsidRPr="006B1802">
        <w:rPr>
          <w:rFonts w:asciiTheme="minorHAnsi" w:hAnsiTheme="minorHAnsi"/>
          <w:bCs/>
        </w:rPr>
        <w:t xml:space="preserve"> </w:t>
      </w:r>
    </w:p>
    <w:p w:rsidR="0085219E" w:rsidRPr="006B1802" w:rsidRDefault="00873F42" w:rsidP="00B93A10">
      <w:pPr>
        <w:pStyle w:val="ListParagraph"/>
        <w:widowControl/>
        <w:numPr>
          <w:ilvl w:val="1"/>
          <w:numId w:val="5"/>
        </w:numPr>
        <w:spacing w:after="120"/>
        <w:rPr>
          <w:rFonts w:asciiTheme="minorHAnsi" w:hAnsiTheme="minorHAnsi"/>
          <w:bCs/>
        </w:rPr>
      </w:pPr>
      <w:r w:rsidRPr="006B1802">
        <w:rPr>
          <w:rFonts w:asciiTheme="minorHAnsi" w:hAnsiTheme="minorHAnsi"/>
          <w:bCs/>
          <w:sz w:val="24"/>
          <w:szCs w:val="24"/>
        </w:rPr>
        <w:t>The PBAC acknowledged the current and previously expressed significant public interest in the listing of tolvaptan in the AKPD population.</w:t>
      </w:r>
    </w:p>
    <w:p w:rsidR="005909CB" w:rsidRPr="006B1802" w:rsidRDefault="005909CB" w:rsidP="00B93A10">
      <w:pPr>
        <w:numPr>
          <w:ilvl w:val="1"/>
          <w:numId w:val="5"/>
        </w:numPr>
        <w:spacing w:after="120"/>
        <w:jc w:val="both"/>
        <w:rPr>
          <w:rFonts w:asciiTheme="minorHAnsi" w:hAnsiTheme="minorHAnsi" w:cs="Arial"/>
          <w:bCs/>
          <w:snapToGrid w:val="0"/>
          <w:lang w:eastAsia="en-US"/>
        </w:rPr>
      </w:pPr>
      <w:r w:rsidRPr="006B1802">
        <w:rPr>
          <w:rFonts w:asciiTheme="minorHAnsi" w:hAnsiTheme="minorHAnsi" w:cs="Arial"/>
          <w:bCs/>
          <w:snapToGrid w:val="0"/>
          <w:lang w:eastAsia="en-US"/>
        </w:rPr>
        <w:t xml:space="preserve">The PBAC advised that tolvaptan is not suitable for prescribing by nurse practitioners.  </w:t>
      </w:r>
    </w:p>
    <w:p w:rsidR="00323D90" w:rsidRPr="006B1802" w:rsidRDefault="00323D90" w:rsidP="00B93A10">
      <w:pPr>
        <w:pStyle w:val="ListParagraph"/>
        <w:widowControl/>
        <w:numPr>
          <w:ilvl w:val="1"/>
          <w:numId w:val="5"/>
        </w:numPr>
        <w:spacing w:after="120"/>
        <w:rPr>
          <w:rFonts w:asciiTheme="minorHAnsi" w:hAnsiTheme="minorHAnsi"/>
          <w:bCs/>
        </w:rPr>
      </w:pPr>
      <w:r w:rsidRPr="006B1802">
        <w:rPr>
          <w:rFonts w:asciiTheme="minorHAnsi" w:hAnsiTheme="minorHAnsi"/>
          <w:bCs/>
          <w:sz w:val="24"/>
          <w:szCs w:val="24"/>
        </w:rPr>
        <w:t xml:space="preserve">The PBAC recommended that </w:t>
      </w:r>
      <w:r w:rsidR="00BE0E39" w:rsidRPr="006B1802">
        <w:rPr>
          <w:rFonts w:asciiTheme="minorHAnsi" w:hAnsiTheme="minorHAnsi"/>
          <w:bCs/>
          <w:sz w:val="24"/>
          <w:szCs w:val="24"/>
        </w:rPr>
        <w:t>tolvaptan</w:t>
      </w:r>
      <w:r w:rsidRPr="006B1802">
        <w:rPr>
          <w:rFonts w:asciiTheme="minorHAnsi" w:hAnsiTheme="minorHAnsi"/>
          <w:bCs/>
          <w:sz w:val="24"/>
          <w:szCs w:val="24"/>
        </w:rPr>
        <w:t xml:space="preserve"> should </w:t>
      </w:r>
      <w:r w:rsidR="00784A96" w:rsidRPr="006B1802">
        <w:rPr>
          <w:rFonts w:asciiTheme="minorHAnsi" w:hAnsiTheme="minorHAnsi"/>
          <w:bCs/>
          <w:sz w:val="24"/>
          <w:szCs w:val="24"/>
        </w:rPr>
        <w:t xml:space="preserve">not </w:t>
      </w:r>
      <w:r w:rsidRPr="006B1802">
        <w:rPr>
          <w:rFonts w:asciiTheme="minorHAnsi" w:hAnsiTheme="minorHAnsi"/>
          <w:bCs/>
          <w:sz w:val="24"/>
          <w:szCs w:val="24"/>
        </w:rPr>
        <w:t xml:space="preserve">be treated as interchangeable </w:t>
      </w:r>
      <w:r w:rsidR="00784A96" w:rsidRPr="006B1802">
        <w:rPr>
          <w:rFonts w:asciiTheme="minorHAnsi" w:hAnsiTheme="minorHAnsi"/>
          <w:bCs/>
          <w:sz w:val="24"/>
          <w:szCs w:val="24"/>
        </w:rPr>
        <w:t>with any other drugs</w:t>
      </w:r>
      <w:r w:rsidRPr="006B1802">
        <w:rPr>
          <w:rFonts w:asciiTheme="minorHAnsi" w:hAnsiTheme="minorHAnsi"/>
          <w:bCs/>
          <w:sz w:val="24"/>
          <w:szCs w:val="24"/>
        </w:rPr>
        <w:t xml:space="preserve">. </w:t>
      </w:r>
    </w:p>
    <w:p w:rsidR="005909CB" w:rsidRPr="006B1802" w:rsidRDefault="005909CB" w:rsidP="00B93A10">
      <w:pPr>
        <w:numPr>
          <w:ilvl w:val="1"/>
          <w:numId w:val="5"/>
        </w:numPr>
        <w:spacing w:after="120"/>
        <w:jc w:val="both"/>
        <w:rPr>
          <w:rFonts w:asciiTheme="minorHAnsi" w:hAnsiTheme="minorHAnsi" w:cs="Arial"/>
          <w:bCs/>
          <w:snapToGrid w:val="0"/>
          <w:lang w:eastAsia="en-US"/>
        </w:rPr>
      </w:pPr>
      <w:r w:rsidRPr="006B1802">
        <w:rPr>
          <w:rFonts w:asciiTheme="minorHAnsi" w:hAnsiTheme="minorHAnsi" w:cs="Arial"/>
          <w:bCs/>
          <w:snapToGrid w:val="0"/>
          <w:lang w:eastAsia="en-US"/>
        </w:rPr>
        <w:t xml:space="preserve">The PBAC noted that this submission is not eligible for an Independent Review as it is a positive recommendation. </w:t>
      </w:r>
    </w:p>
    <w:p w:rsidR="0085219E" w:rsidRPr="006B1802" w:rsidRDefault="0085219E" w:rsidP="00B93A10">
      <w:pPr>
        <w:numPr>
          <w:ilvl w:val="1"/>
          <w:numId w:val="5"/>
        </w:numPr>
        <w:spacing w:after="120"/>
        <w:jc w:val="both"/>
        <w:rPr>
          <w:rFonts w:asciiTheme="minorHAnsi" w:hAnsiTheme="minorHAnsi" w:cs="Arial"/>
          <w:bCs/>
          <w:snapToGrid w:val="0"/>
          <w:lang w:eastAsia="en-US"/>
        </w:rPr>
      </w:pPr>
      <w:r w:rsidRPr="006B1802">
        <w:rPr>
          <w:rFonts w:asciiTheme="minorHAnsi" w:hAnsiTheme="minorHAnsi" w:cs="Arial"/>
          <w:bCs/>
          <w:snapToGrid w:val="0"/>
          <w:lang w:eastAsia="en-US"/>
        </w:rPr>
        <w:t>The PBAC recommended th</w:t>
      </w:r>
      <w:r w:rsidR="005909CB" w:rsidRPr="006B1802">
        <w:rPr>
          <w:rFonts w:asciiTheme="minorHAnsi" w:hAnsiTheme="minorHAnsi" w:cs="Arial"/>
          <w:bCs/>
          <w:snapToGrid w:val="0"/>
          <w:lang w:eastAsia="en-US"/>
        </w:rPr>
        <w:t xml:space="preserve">at the Early Supply Rule </w:t>
      </w:r>
      <w:r w:rsidRPr="006B1802">
        <w:rPr>
          <w:rFonts w:asciiTheme="minorHAnsi" w:hAnsiTheme="minorHAnsi" w:cs="Arial"/>
          <w:bCs/>
          <w:snapToGrid w:val="0"/>
          <w:lang w:eastAsia="en-US"/>
        </w:rPr>
        <w:t xml:space="preserve">should not apply. </w:t>
      </w:r>
    </w:p>
    <w:p w:rsidR="0085219E" w:rsidRPr="006B1802" w:rsidRDefault="0085219E" w:rsidP="00B93A10">
      <w:pPr>
        <w:spacing w:after="120"/>
        <w:ind w:left="720"/>
        <w:jc w:val="both"/>
        <w:rPr>
          <w:rFonts w:asciiTheme="minorHAnsi" w:hAnsiTheme="minorHAnsi" w:cs="Arial"/>
          <w:bCs/>
          <w:snapToGrid w:val="0"/>
          <w:lang w:eastAsia="en-US"/>
        </w:rPr>
      </w:pPr>
    </w:p>
    <w:p w:rsidR="0085219E" w:rsidRPr="006B1802" w:rsidRDefault="0085219E" w:rsidP="00B93A10">
      <w:pPr>
        <w:spacing w:before="240" w:after="120"/>
        <w:jc w:val="both"/>
        <w:rPr>
          <w:rFonts w:asciiTheme="minorHAnsi" w:hAnsiTheme="minorHAnsi" w:cs="Arial"/>
          <w:b/>
          <w:bCs/>
          <w:snapToGrid w:val="0"/>
          <w:lang w:eastAsia="en-US"/>
        </w:rPr>
      </w:pPr>
      <w:r w:rsidRPr="006B1802">
        <w:rPr>
          <w:rFonts w:asciiTheme="minorHAnsi" w:hAnsiTheme="minorHAnsi" w:cs="Arial"/>
          <w:b/>
          <w:bCs/>
          <w:snapToGrid w:val="0"/>
          <w:lang w:eastAsia="en-US"/>
        </w:rPr>
        <w:t>Outcome:</w:t>
      </w:r>
    </w:p>
    <w:p w:rsidR="00784A96" w:rsidRPr="006B1802" w:rsidRDefault="0085219E" w:rsidP="00B93A10">
      <w:pPr>
        <w:spacing w:after="120"/>
        <w:jc w:val="both"/>
        <w:rPr>
          <w:rFonts w:asciiTheme="minorHAnsi" w:hAnsiTheme="minorHAnsi" w:cs="Arial"/>
          <w:bCs/>
          <w:snapToGrid w:val="0"/>
          <w:lang w:eastAsia="en-US"/>
        </w:rPr>
      </w:pPr>
      <w:r w:rsidRPr="006B1802">
        <w:rPr>
          <w:rFonts w:asciiTheme="minorHAnsi" w:hAnsiTheme="minorHAnsi" w:cs="Arial"/>
          <w:bCs/>
          <w:snapToGrid w:val="0"/>
          <w:lang w:eastAsia="en-US"/>
        </w:rPr>
        <w:t>Recommended</w:t>
      </w:r>
    </w:p>
    <w:p w:rsidR="0085219E" w:rsidRPr="006B1802" w:rsidRDefault="0085219E" w:rsidP="00B93A10">
      <w:pPr>
        <w:pStyle w:val="PBACHeading1"/>
        <w:keepNext/>
        <w:spacing w:before="240" w:after="120"/>
        <w:ind w:left="709" w:hanging="709"/>
        <w:rPr>
          <w:rFonts w:asciiTheme="minorHAnsi" w:hAnsiTheme="minorHAnsi"/>
          <w:sz w:val="32"/>
          <w:szCs w:val="32"/>
        </w:rPr>
      </w:pPr>
      <w:r w:rsidRPr="006B1802">
        <w:rPr>
          <w:rFonts w:asciiTheme="minorHAnsi" w:hAnsiTheme="minorHAnsi"/>
          <w:sz w:val="32"/>
          <w:szCs w:val="32"/>
        </w:rPr>
        <w:lastRenderedPageBreak/>
        <w:t>Recommended listing</w:t>
      </w:r>
    </w:p>
    <w:p w:rsidR="0085219E" w:rsidRPr="006A4D78" w:rsidRDefault="0085219E" w:rsidP="00B93A10">
      <w:pPr>
        <w:keepNext/>
        <w:numPr>
          <w:ilvl w:val="1"/>
          <w:numId w:val="5"/>
        </w:numPr>
        <w:spacing w:after="120"/>
        <w:jc w:val="both"/>
        <w:rPr>
          <w:rFonts w:asciiTheme="minorHAnsi" w:hAnsiTheme="minorHAnsi" w:cs="Arial"/>
          <w:bCs/>
          <w:snapToGrid w:val="0"/>
          <w:lang w:eastAsia="en-US"/>
        </w:rPr>
      </w:pPr>
      <w:r w:rsidRPr="006B1802">
        <w:rPr>
          <w:rFonts w:asciiTheme="minorHAnsi" w:hAnsiTheme="minorHAnsi" w:cs="Arial"/>
          <w:bCs/>
          <w:snapToGrid w:val="0"/>
          <w:lang w:eastAsia="en-US"/>
        </w:rPr>
        <w:t>Add new item:</w:t>
      </w:r>
      <w:r w:rsidR="00861441" w:rsidRPr="006B1802">
        <w:rPr>
          <w:rFonts w:asciiTheme="minorHAnsi" w:hAnsiTheme="minorHAnsi" w:cs="Arial"/>
          <w:bCs/>
          <w:snapToGrid w:val="0"/>
          <w:lang w:eastAsia="en-US"/>
        </w:rPr>
        <w:t xml:space="preserve"> </w:t>
      </w:r>
    </w:p>
    <w:tbl>
      <w:tblPr>
        <w:tblW w:w="4916" w:type="pct"/>
        <w:tblLook w:val="0000" w:firstRow="0" w:lastRow="0" w:firstColumn="0" w:lastColumn="0" w:noHBand="0" w:noVBand="0"/>
      </w:tblPr>
      <w:tblGrid>
        <w:gridCol w:w="1896"/>
        <w:gridCol w:w="1312"/>
        <w:gridCol w:w="680"/>
        <w:gridCol w:w="832"/>
        <w:gridCol w:w="1570"/>
        <w:gridCol w:w="1977"/>
        <w:gridCol w:w="487"/>
        <w:gridCol w:w="333"/>
      </w:tblGrid>
      <w:tr w:rsidR="00D37A43" w:rsidRPr="006B1802" w:rsidTr="00EF52C3">
        <w:trPr>
          <w:cantSplit/>
          <w:trHeight w:val="465"/>
        </w:trPr>
        <w:tc>
          <w:tcPr>
            <w:tcW w:w="1765" w:type="pct"/>
            <w:gridSpan w:val="2"/>
            <w:tcBorders>
              <w:bottom w:val="single" w:sz="4" w:space="0" w:color="auto"/>
            </w:tcBorders>
          </w:tcPr>
          <w:p w:rsidR="00D37A43" w:rsidRPr="006B1802" w:rsidRDefault="00D37A43"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Name, Restriction,</w:t>
            </w:r>
          </w:p>
          <w:p w:rsidR="00D37A43" w:rsidRPr="006B1802" w:rsidRDefault="00D37A43"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Manner of administration and form</w:t>
            </w:r>
          </w:p>
        </w:tc>
        <w:tc>
          <w:tcPr>
            <w:tcW w:w="374" w:type="pct"/>
            <w:tcBorders>
              <w:bottom w:val="single" w:sz="4" w:space="0" w:color="auto"/>
            </w:tcBorders>
          </w:tcPr>
          <w:p w:rsidR="00D37A43" w:rsidRPr="006B1802" w:rsidRDefault="00D37A43"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Max.</w:t>
            </w:r>
          </w:p>
          <w:p w:rsidR="00D37A43" w:rsidRPr="006B1802" w:rsidRDefault="00D37A43"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Qty</w:t>
            </w:r>
          </w:p>
        </w:tc>
        <w:tc>
          <w:tcPr>
            <w:tcW w:w="458" w:type="pct"/>
            <w:tcBorders>
              <w:bottom w:val="single" w:sz="4" w:space="0" w:color="auto"/>
            </w:tcBorders>
          </w:tcPr>
          <w:p w:rsidR="00D37A43" w:rsidRPr="006B1802" w:rsidRDefault="00D37A43"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№.of</w:t>
            </w:r>
          </w:p>
          <w:p w:rsidR="00D37A43" w:rsidRPr="006B1802" w:rsidRDefault="00D37A43" w:rsidP="00B93A10">
            <w:pPr>
              <w:keepNext/>
              <w:spacing w:before="40" w:after="40"/>
              <w:jc w:val="both"/>
              <w:rPr>
                <w:rFonts w:ascii="Arial Narrow" w:hAnsi="Arial Narrow" w:cs="Arial"/>
                <w:b/>
                <w:sz w:val="20"/>
                <w:szCs w:val="20"/>
              </w:rPr>
            </w:pPr>
            <w:r w:rsidRPr="006B1802">
              <w:rPr>
                <w:rFonts w:ascii="Arial Narrow" w:hAnsi="Arial Narrow" w:cs="Arial"/>
                <w:b/>
                <w:sz w:val="20"/>
                <w:szCs w:val="20"/>
              </w:rPr>
              <w:t>Rpts</w:t>
            </w:r>
          </w:p>
        </w:tc>
        <w:tc>
          <w:tcPr>
            <w:tcW w:w="864" w:type="pct"/>
            <w:tcBorders>
              <w:bottom w:val="single" w:sz="4" w:space="0" w:color="auto"/>
            </w:tcBorders>
          </w:tcPr>
          <w:p w:rsidR="00D37A43" w:rsidRPr="006B1802" w:rsidRDefault="00EF1C6A" w:rsidP="00B93A10">
            <w:pPr>
              <w:keepNext/>
              <w:spacing w:before="40" w:after="40"/>
              <w:jc w:val="center"/>
              <w:rPr>
                <w:rFonts w:ascii="Arial Narrow" w:hAnsi="Arial Narrow" w:cs="Arial"/>
                <w:b/>
                <w:sz w:val="20"/>
                <w:szCs w:val="20"/>
              </w:rPr>
            </w:pPr>
            <w:r w:rsidRPr="006B1802">
              <w:rPr>
                <w:rFonts w:ascii="Arial Narrow" w:hAnsi="Arial Narrow" w:cs="Arial"/>
                <w:b/>
                <w:sz w:val="20"/>
                <w:szCs w:val="20"/>
              </w:rPr>
              <w:t xml:space="preserve">Proprietary Name </w:t>
            </w:r>
          </w:p>
        </w:tc>
        <w:tc>
          <w:tcPr>
            <w:tcW w:w="1539" w:type="pct"/>
            <w:gridSpan w:val="3"/>
            <w:tcBorders>
              <w:bottom w:val="single" w:sz="4" w:space="0" w:color="auto"/>
            </w:tcBorders>
          </w:tcPr>
          <w:p w:rsidR="00D37A43" w:rsidRPr="006B1802" w:rsidRDefault="00EF1C6A" w:rsidP="00B93A10">
            <w:pPr>
              <w:keepNext/>
              <w:spacing w:before="40" w:after="40"/>
              <w:ind w:left="-53" w:firstLine="53"/>
              <w:jc w:val="center"/>
              <w:rPr>
                <w:rFonts w:ascii="Arial Narrow" w:hAnsi="Arial Narrow" w:cs="Arial"/>
                <w:b/>
                <w:sz w:val="20"/>
                <w:szCs w:val="20"/>
              </w:rPr>
            </w:pPr>
            <w:r w:rsidRPr="006B1802">
              <w:rPr>
                <w:rFonts w:ascii="Arial Narrow" w:hAnsi="Arial Narrow" w:cs="Arial"/>
                <w:b/>
                <w:sz w:val="20"/>
                <w:szCs w:val="20"/>
              </w:rPr>
              <w:t>Manufacturer</w:t>
            </w:r>
          </w:p>
        </w:tc>
      </w:tr>
      <w:tr w:rsidR="00EF1C6A" w:rsidRPr="006B1802" w:rsidTr="00EF52C3">
        <w:trPr>
          <w:cantSplit/>
          <w:trHeight w:val="567"/>
        </w:trPr>
        <w:tc>
          <w:tcPr>
            <w:tcW w:w="1765" w:type="pct"/>
            <w:gridSpan w:val="2"/>
          </w:tcPr>
          <w:p w:rsidR="00EF1C6A" w:rsidRPr="006B1802" w:rsidRDefault="00EF1C6A" w:rsidP="00B93A10">
            <w:pPr>
              <w:keepNext/>
              <w:spacing w:before="40" w:after="40"/>
              <w:jc w:val="both"/>
              <w:rPr>
                <w:rFonts w:ascii="Arial Narrow" w:hAnsi="Arial Narrow" w:cs="Arial"/>
                <w:sz w:val="20"/>
                <w:szCs w:val="20"/>
              </w:rPr>
            </w:pPr>
            <w:r w:rsidRPr="006B1802">
              <w:rPr>
                <w:rFonts w:ascii="Arial Narrow" w:hAnsi="Arial Narrow" w:cs="Arial"/>
                <w:smallCaps/>
                <w:sz w:val="20"/>
                <w:szCs w:val="20"/>
              </w:rPr>
              <w:t>TOLVAPTAN</w:t>
            </w:r>
          </w:p>
          <w:p w:rsidR="00EF1C6A" w:rsidRPr="006B1802" w:rsidRDefault="00EF1C6A" w:rsidP="00B93A10">
            <w:pPr>
              <w:keepNext/>
              <w:spacing w:before="40" w:after="40"/>
              <w:jc w:val="both"/>
              <w:rPr>
                <w:rFonts w:ascii="Arial Narrow" w:hAnsi="Arial Narrow" w:cs="Arial"/>
                <w:sz w:val="20"/>
                <w:szCs w:val="20"/>
              </w:rPr>
            </w:pPr>
            <w:r w:rsidRPr="006B1802">
              <w:rPr>
                <w:rFonts w:ascii="Arial Narrow" w:hAnsi="Arial Narrow" w:cs="Arial"/>
                <w:sz w:val="20"/>
                <w:szCs w:val="20"/>
              </w:rPr>
              <w:t>15mg + 45mg oral tablets</w:t>
            </w:r>
          </w:p>
          <w:p w:rsidR="00EF1C6A" w:rsidRPr="006B1802" w:rsidRDefault="00EF1C6A" w:rsidP="00B93A10">
            <w:pPr>
              <w:keepNext/>
              <w:spacing w:before="40" w:after="40"/>
              <w:jc w:val="both"/>
              <w:rPr>
                <w:rFonts w:ascii="Arial Narrow" w:hAnsi="Arial Narrow" w:cs="Arial"/>
                <w:sz w:val="20"/>
                <w:szCs w:val="20"/>
              </w:rPr>
            </w:pPr>
            <w:r w:rsidRPr="006B1802">
              <w:rPr>
                <w:rFonts w:ascii="Arial Narrow" w:hAnsi="Arial Narrow" w:cs="Arial"/>
                <w:sz w:val="20"/>
                <w:szCs w:val="20"/>
              </w:rPr>
              <w:t>30mg + 60mg oral tablets</w:t>
            </w:r>
          </w:p>
          <w:p w:rsidR="00EF1C6A" w:rsidRPr="006B1802" w:rsidRDefault="00EF1C6A" w:rsidP="00B93A10">
            <w:pPr>
              <w:keepNext/>
              <w:spacing w:before="40" w:after="40"/>
              <w:jc w:val="both"/>
              <w:rPr>
                <w:rFonts w:ascii="Arial Narrow" w:hAnsi="Arial Narrow" w:cs="Arial"/>
                <w:sz w:val="20"/>
                <w:szCs w:val="20"/>
              </w:rPr>
            </w:pPr>
            <w:r w:rsidRPr="006B1802">
              <w:rPr>
                <w:rFonts w:ascii="Arial Narrow" w:hAnsi="Arial Narrow" w:cs="Arial"/>
                <w:sz w:val="20"/>
                <w:szCs w:val="20"/>
              </w:rPr>
              <w:t>30mg + 90mg oral tablets</w:t>
            </w:r>
          </w:p>
        </w:tc>
        <w:tc>
          <w:tcPr>
            <w:tcW w:w="374" w:type="pct"/>
          </w:tcPr>
          <w:p w:rsidR="00EF1C6A" w:rsidRPr="006B1802" w:rsidRDefault="00EF1C6A" w:rsidP="00B93A10">
            <w:pPr>
              <w:keepNext/>
              <w:spacing w:before="40" w:after="40"/>
              <w:jc w:val="both"/>
              <w:rPr>
                <w:rFonts w:ascii="Arial Narrow" w:hAnsi="Arial Narrow" w:cs="Arial"/>
                <w:sz w:val="20"/>
                <w:szCs w:val="20"/>
              </w:rPr>
            </w:pPr>
          </w:p>
          <w:p w:rsidR="00EF1C6A" w:rsidRPr="006B1802" w:rsidRDefault="00EF1C6A" w:rsidP="00B93A10">
            <w:pPr>
              <w:keepNext/>
              <w:spacing w:before="40" w:after="40"/>
              <w:jc w:val="both"/>
              <w:rPr>
                <w:rFonts w:ascii="Arial Narrow" w:hAnsi="Arial Narrow" w:cs="Arial"/>
                <w:sz w:val="20"/>
                <w:szCs w:val="20"/>
              </w:rPr>
            </w:pPr>
            <w:r w:rsidRPr="006B1802">
              <w:rPr>
                <w:rFonts w:ascii="Arial Narrow" w:hAnsi="Arial Narrow" w:cs="Arial"/>
                <w:sz w:val="20"/>
                <w:szCs w:val="20"/>
              </w:rPr>
              <w:t>56</w:t>
            </w:r>
          </w:p>
        </w:tc>
        <w:tc>
          <w:tcPr>
            <w:tcW w:w="458" w:type="pct"/>
          </w:tcPr>
          <w:p w:rsidR="00EF1C6A" w:rsidRPr="006B1802" w:rsidRDefault="00EF1C6A" w:rsidP="00B93A10">
            <w:pPr>
              <w:keepNext/>
              <w:spacing w:before="40" w:after="40"/>
              <w:jc w:val="both"/>
              <w:rPr>
                <w:rFonts w:ascii="Arial Narrow" w:hAnsi="Arial Narrow" w:cs="Arial"/>
                <w:sz w:val="20"/>
                <w:szCs w:val="20"/>
              </w:rPr>
            </w:pPr>
          </w:p>
          <w:p w:rsidR="00EF1C6A" w:rsidRPr="006B1802" w:rsidRDefault="00EF1C6A" w:rsidP="00B93A10">
            <w:pPr>
              <w:keepNext/>
              <w:spacing w:before="40" w:after="40"/>
              <w:jc w:val="both"/>
              <w:rPr>
                <w:rFonts w:ascii="Arial Narrow" w:hAnsi="Arial Narrow" w:cs="Arial"/>
                <w:sz w:val="20"/>
                <w:szCs w:val="20"/>
              </w:rPr>
            </w:pPr>
            <w:r w:rsidRPr="006B1802">
              <w:rPr>
                <w:rFonts w:ascii="Arial Narrow" w:hAnsi="Arial Narrow" w:cs="Arial"/>
                <w:sz w:val="20"/>
                <w:szCs w:val="20"/>
              </w:rPr>
              <w:t>5</w:t>
            </w:r>
          </w:p>
        </w:tc>
        <w:tc>
          <w:tcPr>
            <w:tcW w:w="864" w:type="pct"/>
          </w:tcPr>
          <w:p w:rsidR="00EF1C6A" w:rsidRPr="006B1802" w:rsidRDefault="00EF1C6A" w:rsidP="00B93A10">
            <w:pPr>
              <w:keepNext/>
              <w:spacing w:before="40" w:after="40"/>
              <w:jc w:val="center"/>
              <w:rPr>
                <w:rFonts w:ascii="Arial Narrow" w:hAnsi="Arial Narrow" w:cs="Arial"/>
                <w:sz w:val="20"/>
                <w:szCs w:val="20"/>
              </w:rPr>
            </w:pPr>
          </w:p>
          <w:p w:rsidR="00EF1C6A" w:rsidRPr="006B1802" w:rsidRDefault="00EF1C6A" w:rsidP="00B93A10">
            <w:pPr>
              <w:keepNext/>
              <w:spacing w:before="40" w:after="40"/>
              <w:jc w:val="center"/>
              <w:rPr>
                <w:rFonts w:ascii="Arial Narrow" w:hAnsi="Arial Narrow" w:cs="Arial"/>
                <w:sz w:val="20"/>
                <w:szCs w:val="20"/>
              </w:rPr>
            </w:pPr>
            <w:proofErr w:type="spellStart"/>
            <w:r w:rsidRPr="006B1802">
              <w:rPr>
                <w:rFonts w:ascii="Arial Narrow" w:hAnsi="Arial Narrow" w:cs="Arial"/>
                <w:sz w:val="20"/>
                <w:szCs w:val="20"/>
              </w:rPr>
              <w:t>Jinarc</w:t>
            </w:r>
            <w:proofErr w:type="spellEnd"/>
            <w:r w:rsidRPr="006B1802">
              <w:rPr>
                <w:rFonts w:ascii="Arial Narrow" w:hAnsi="Arial Narrow" w:cs="Arial"/>
                <w:sz w:val="20"/>
                <w:szCs w:val="20"/>
              </w:rPr>
              <w:t>®</w:t>
            </w:r>
          </w:p>
        </w:tc>
        <w:tc>
          <w:tcPr>
            <w:tcW w:w="1356" w:type="pct"/>
            <w:gridSpan w:val="2"/>
          </w:tcPr>
          <w:p w:rsidR="00EF1C6A" w:rsidRPr="006B1802" w:rsidRDefault="00EF1C6A" w:rsidP="00B93A10">
            <w:pPr>
              <w:keepNext/>
              <w:spacing w:before="40" w:after="40"/>
              <w:jc w:val="both"/>
              <w:rPr>
                <w:rFonts w:ascii="Arial Narrow" w:hAnsi="Arial Narrow" w:cs="Arial"/>
                <w:sz w:val="20"/>
                <w:szCs w:val="20"/>
              </w:rPr>
            </w:pPr>
          </w:p>
          <w:p w:rsidR="00EF1C6A" w:rsidRPr="006B1802" w:rsidRDefault="00EF1C6A" w:rsidP="00B93A10">
            <w:pPr>
              <w:keepNext/>
              <w:spacing w:before="40" w:after="40"/>
              <w:jc w:val="center"/>
              <w:rPr>
                <w:rFonts w:ascii="Arial Narrow" w:hAnsi="Arial Narrow" w:cs="Arial"/>
                <w:sz w:val="20"/>
                <w:szCs w:val="20"/>
              </w:rPr>
            </w:pPr>
            <w:r w:rsidRPr="006B1802">
              <w:rPr>
                <w:rFonts w:ascii="Arial Narrow" w:hAnsi="Arial Narrow" w:cs="Arial"/>
                <w:sz w:val="20"/>
                <w:szCs w:val="20"/>
              </w:rPr>
              <w:t>Otsuka Australia Pharmaceutical P/L</w:t>
            </w:r>
          </w:p>
        </w:tc>
        <w:tc>
          <w:tcPr>
            <w:tcW w:w="183" w:type="pct"/>
          </w:tcPr>
          <w:p w:rsidR="00EF1C6A" w:rsidRPr="006B1802" w:rsidRDefault="00EF1C6A" w:rsidP="00B93A10">
            <w:pPr>
              <w:keepNext/>
              <w:spacing w:before="40" w:after="40"/>
              <w:jc w:val="both"/>
              <w:rPr>
                <w:rFonts w:ascii="Arial Narrow" w:hAnsi="Arial Narrow" w:cs="Arial"/>
                <w:sz w:val="20"/>
                <w:szCs w:val="20"/>
              </w:rPr>
            </w:pPr>
          </w:p>
        </w:tc>
      </w:tr>
      <w:tr w:rsidR="00EF1C6A" w:rsidRPr="006B1802" w:rsidTr="00EF52C3">
        <w:trPr>
          <w:cantSplit/>
          <w:trHeight w:val="360"/>
        </w:trPr>
        <w:tc>
          <w:tcPr>
            <w:tcW w:w="5000" w:type="pct"/>
            <w:gridSpan w:val="8"/>
            <w:tcBorders>
              <w:bottom w:val="single" w:sz="4" w:space="0" w:color="auto"/>
            </w:tcBorders>
          </w:tcPr>
          <w:p w:rsidR="00EF1C6A" w:rsidRPr="006B1802" w:rsidRDefault="00EF1C6A" w:rsidP="00B93A10">
            <w:pPr>
              <w:spacing w:before="40" w:after="40"/>
              <w:jc w:val="both"/>
              <w:rPr>
                <w:rFonts w:ascii="Arial Narrow" w:hAnsi="Arial Narrow" w:cs="Arial"/>
                <w:sz w:val="20"/>
                <w:szCs w:val="20"/>
              </w:rPr>
            </w:pP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jc w:val="both"/>
              <w:rPr>
                <w:rFonts w:ascii="Arial Narrow" w:hAnsi="Arial Narrow" w:cs="Arial"/>
                <w:b/>
                <w:sz w:val="20"/>
                <w:szCs w:val="20"/>
              </w:rPr>
            </w:pPr>
            <w:r w:rsidRPr="006B1802">
              <w:rPr>
                <w:rFonts w:ascii="Arial Narrow" w:hAnsi="Arial Narrow" w:cs="Arial"/>
                <w:b/>
                <w:sz w:val="20"/>
                <w:szCs w:val="20"/>
              </w:rPr>
              <w:t xml:space="preserve">Category / </w:t>
            </w:r>
          </w:p>
          <w:p w:rsidR="00EF1C6A" w:rsidRPr="006B1802" w:rsidRDefault="00EF1C6A" w:rsidP="00B93A10">
            <w:pPr>
              <w:spacing w:before="40" w:after="40"/>
              <w:jc w:val="both"/>
              <w:rPr>
                <w:rFonts w:ascii="Arial Narrow" w:hAnsi="Arial Narrow" w:cs="Arial"/>
                <w:b/>
                <w:sz w:val="20"/>
                <w:szCs w:val="20"/>
              </w:rPr>
            </w:pPr>
            <w:r w:rsidRPr="006B1802">
              <w:rPr>
                <w:rFonts w:ascii="Arial Narrow" w:hAnsi="Arial Narrow" w:cs="Arial"/>
                <w:b/>
                <w:sz w:val="20"/>
                <w:szCs w:val="20"/>
              </w:rPr>
              <w:t>Program</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GENERAL – General Schedule (Code GE)</w:t>
            </w:r>
          </w:p>
          <w:p w:rsidR="00EF1C6A" w:rsidRPr="006B1802" w:rsidRDefault="00EF1C6A" w:rsidP="00B93A10">
            <w:pPr>
              <w:spacing w:before="40" w:after="40"/>
              <w:rPr>
                <w:rFonts w:ascii="Arial Narrow" w:hAnsi="Arial Narrow" w:cs="Arial"/>
                <w:sz w:val="20"/>
                <w:szCs w:val="20"/>
              </w:rPr>
            </w:pP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jc w:val="both"/>
              <w:rPr>
                <w:rFonts w:ascii="Arial Narrow" w:hAnsi="Arial Narrow" w:cs="Arial"/>
                <w:b/>
                <w:sz w:val="20"/>
                <w:szCs w:val="20"/>
              </w:rPr>
            </w:pPr>
            <w:r w:rsidRPr="006B1802">
              <w:rPr>
                <w:rFonts w:ascii="Arial Narrow" w:hAnsi="Arial Narrow" w:cs="Arial"/>
                <w:b/>
                <w:sz w:val="20"/>
                <w:szCs w:val="20"/>
              </w:rPr>
              <w:t>Prescriber type:</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1"/>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Dental  </w:t>
            </w:r>
            <w:r w:rsidRPr="006B1802">
              <w:rPr>
                <w:rFonts w:ascii="Arial Narrow" w:hAnsi="Arial Narrow" w:cs="Arial"/>
                <w:sz w:val="20"/>
                <w:szCs w:val="20"/>
              </w:rPr>
              <w:fldChar w:fldCharType="begin">
                <w:ffData>
                  <w:name w:val=""/>
                  <w:enabled/>
                  <w:calcOnExit w:val="0"/>
                  <w:checkBox>
                    <w:sizeAuto/>
                    <w:default w:val="1"/>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Medical Practitioners  </w:t>
            </w:r>
            <w:r w:rsidRPr="006B1802">
              <w:rPr>
                <w:rFonts w:ascii="Arial Narrow" w:hAnsi="Arial Narrow" w:cs="Arial"/>
                <w:sz w:val="20"/>
                <w:szCs w:val="20"/>
              </w:rPr>
              <w:fldChar w:fldCharType="begin">
                <w:ffData>
                  <w:name w:val="Check3"/>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Nurse practitioners  </w:t>
            </w: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Optometrists</w:t>
            </w:r>
          </w:p>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5"/>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Midwives</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jc w:val="both"/>
              <w:rPr>
                <w:rFonts w:ascii="Arial Narrow" w:hAnsi="Arial Narrow" w:cs="Arial"/>
                <w:b/>
                <w:sz w:val="20"/>
                <w:szCs w:val="20"/>
              </w:rPr>
            </w:pPr>
            <w:r w:rsidRPr="006B1802">
              <w:rPr>
                <w:rFonts w:ascii="Arial Narrow" w:hAnsi="Arial Narrow" w:cs="Arial"/>
                <w:b/>
                <w:sz w:val="20"/>
                <w:szCs w:val="20"/>
              </w:rPr>
              <w:t>Condition:</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Autosomal dominant polycystic kidney disease (ADPKD)</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jc w:val="both"/>
              <w:rPr>
                <w:rFonts w:ascii="Arial Narrow" w:hAnsi="Arial Narrow" w:cs="Arial"/>
                <w:b/>
                <w:sz w:val="20"/>
                <w:szCs w:val="20"/>
              </w:rPr>
            </w:pPr>
            <w:r w:rsidRPr="006B1802">
              <w:rPr>
                <w:rFonts w:ascii="Arial Narrow" w:hAnsi="Arial Narrow" w:cs="Arial"/>
                <w:b/>
                <w:sz w:val="20"/>
                <w:szCs w:val="20"/>
              </w:rPr>
              <w:t>PBS Indication:</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Autosomal dominant polycystic kidney disease (ADPKD)</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jc w:val="both"/>
              <w:rPr>
                <w:rFonts w:ascii="Arial Narrow" w:hAnsi="Arial Narrow" w:cs="Arial"/>
                <w:i/>
                <w:sz w:val="20"/>
                <w:szCs w:val="20"/>
              </w:rPr>
            </w:pPr>
            <w:r w:rsidRPr="006B1802">
              <w:rPr>
                <w:rFonts w:ascii="Arial Narrow" w:hAnsi="Arial Narrow" w:cs="Arial"/>
                <w:b/>
                <w:sz w:val="20"/>
                <w:szCs w:val="20"/>
              </w:rPr>
              <w:t>Treatment phase:</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 xml:space="preserve">Initial </w:t>
            </w:r>
            <w:r w:rsidR="003248B4">
              <w:rPr>
                <w:rFonts w:ascii="Arial Narrow" w:hAnsi="Arial Narrow" w:cs="Arial"/>
                <w:sz w:val="20"/>
                <w:szCs w:val="20"/>
              </w:rPr>
              <w:t>treatment</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jc w:val="both"/>
              <w:rPr>
                <w:rFonts w:ascii="Arial Narrow" w:hAnsi="Arial Narrow" w:cs="Arial"/>
                <w:sz w:val="20"/>
                <w:szCs w:val="20"/>
              </w:rPr>
            </w:pPr>
            <w:r w:rsidRPr="006B1802">
              <w:rPr>
                <w:rFonts w:ascii="Arial Narrow" w:hAnsi="Arial Narrow" w:cs="Arial"/>
                <w:b/>
                <w:sz w:val="20"/>
                <w:szCs w:val="20"/>
              </w:rPr>
              <w:t>Restriction Level / Method:</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1"/>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Authority Required - In Writing</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b/>
                <w:sz w:val="20"/>
                <w:szCs w:val="20"/>
              </w:rPr>
            </w:pPr>
            <w:r w:rsidRPr="006B1802">
              <w:rPr>
                <w:rFonts w:ascii="Arial Narrow" w:hAnsi="Arial Narrow" w:cs="Arial"/>
                <w:b/>
                <w:sz w:val="20"/>
                <w:szCs w:val="20"/>
              </w:rPr>
              <w:t>Treatment criteria:</w:t>
            </w:r>
          </w:p>
          <w:p w:rsidR="00EF1C6A" w:rsidRPr="006B1802" w:rsidRDefault="00EF1C6A" w:rsidP="00B93A10">
            <w:pPr>
              <w:spacing w:before="40" w:after="40"/>
              <w:rPr>
                <w:rFonts w:ascii="Arial Narrow" w:hAnsi="Arial Narrow" w:cs="Arial"/>
                <w:sz w:val="20"/>
                <w:szCs w:val="20"/>
              </w:rPr>
            </w:pPr>
          </w:p>
        </w:tc>
        <w:tc>
          <w:tcPr>
            <w:tcW w:w="3957" w:type="pct"/>
            <w:gridSpan w:val="7"/>
            <w:tcBorders>
              <w:top w:val="single" w:sz="4" w:space="0" w:color="auto"/>
              <w:left w:val="single" w:sz="4" w:space="0" w:color="auto"/>
              <w:bottom w:val="single" w:sz="4" w:space="0" w:color="auto"/>
              <w:right w:val="single" w:sz="4" w:space="0" w:color="auto"/>
            </w:tcBorders>
          </w:tcPr>
          <w:p w:rsidR="008D276F" w:rsidRPr="008D276F" w:rsidRDefault="008D276F" w:rsidP="00B93A10">
            <w:pPr>
              <w:spacing w:before="40" w:after="40"/>
              <w:rPr>
                <w:rFonts w:ascii="Arial Narrow" w:hAnsi="Arial Narrow" w:cs="Arial"/>
                <w:sz w:val="20"/>
                <w:szCs w:val="20"/>
              </w:rPr>
            </w:pPr>
            <w:r>
              <w:rPr>
                <w:rFonts w:ascii="Arial Narrow" w:hAnsi="Arial Narrow" w:cs="Arial"/>
                <w:sz w:val="20"/>
                <w:szCs w:val="20"/>
              </w:rPr>
              <w:t xml:space="preserve"> Must be treated by a nephrologist.</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jc w:val="both"/>
              <w:rPr>
                <w:rFonts w:ascii="Arial Narrow" w:hAnsi="Arial Narrow" w:cs="Arial"/>
                <w:b/>
                <w:sz w:val="20"/>
                <w:szCs w:val="20"/>
              </w:rPr>
            </w:pPr>
            <w:r w:rsidRPr="006B1802">
              <w:rPr>
                <w:rFonts w:ascii="Arial Narrow" w:hAnsi="Arial Narrow" w:cs="Arial"/>
                <w:b/>
                <w:sz w:val="20"/>
                <w:szCs w:val="20"/>
              </w:rPr>
              <w:t>Clinical criteria:</w:t>
            </w:r>
          </w:p>
          <w:p w:rsidR="00EF1C6A" w:rsidRPr="006B1802" w:rsidRDefault="00EF1C6A" w:rsidP="00B93A10">
            <w:pPr>
              <w:spacing w:before="40" w:after="40"/>
              <w:jc w:val="both"/>
              <w:rPr>
                <w:rFonts w:ascii="Arial Narrow" w:hAnsi="Arial Narrow" w:cs="Arial"/>
                <w:i/>
                <w:sz w:val="20"/>
                <w:szCs w:val="20"/>
              </w:rPr>
            </w:pPr>
          </w:p>
          <w:p w:rsidR="00EF1C6A" w:rsidRPr="006B1802" w:rsidRDefault="00EF1C6A" w:rsidP="00B93A10">
            <w:pPr>
              <w:spacing w:before="40" w:after="40"/>
              <w:jc w:val="both"/>
              <w:rPr>
                <w:rFonts w:ascii="Arial Narrow" w:hAnsi="Arial Narrow" w:cs="Arial"/>
                <w:sz w:val="20"/>
                <w:szCs w:val="20"/>
              </w:rPr>
            </w:pPr>
          </w:p>
        </w:tc>
        <w:tc>
          <w:tcPr>
            <w:tcW w:w="3957" w:type="pct"/>
            <w:gridSpan w:val="7"/>
            <w:tcBorders>
              <w:top w:val="single" w:sz="4" w:space="0" w:color="auto"/>
              <w:left w:val="single" w:sz="4" w:space="0" w:color="auto"/>
              <w:bottom w:val="single" w:sz="4" w:space="0" w:color="auto"/>
              <w:right w:val="single" w:sz="4" w:space="0" w:color="auto"/>
            </w:tcBorders>
          </w:tcPr>
          <w:p w:rsidR="00E406FC" w:rsidRPr="006B1802" w:rsidRDefault="00F924D1" w:rsidP="00B93A10">
            <w:pPr>
              <w:spacing w:before="40" w:after="40"/>
              <w:rPr>
                <w:rFonts w:ascii="Arial Narrow" w:hAnsi="Arial Narrow" w:cs="Arial"/>
                <w:sz w:val="20"/>
                <w:szCs w:val="20"/>
              </w:rPr>
            </w:pPr>
            <w:r>
              <w:rPr>
                <w:rFonts w:ascii="Arial Narrow" w:hAnsi="Arial Narrow" w:cs="Arial"/>
                <w:sz w:val="20"/>
                <w:szCs w:val="20"/>
              </w:rPr>
              <w:t>P</w:t>
            </w:r>
            <w:r w:rsidR="00E406FC" w:rsidRPr="006B1802">
              <w:rPr>
                <w:rFonts w:ascii="Arial Narrow" w:hAnsi="Arial Narrow" w:cs="Arial"/>
                <w:sz w:val="20"/>
                <w:szCs w:val="20"/>
              </w:rPr>
              <w:t xml:space="preserve">atient must have an </w:t>
            </w:r>
            <w:r w:rsidR="008951BB" w:rsidRPr="008951BB">
              <w:rPr>
                <w:rFonts w:ascii="Arial Narrow" w:hAnsi="Arial Narrow" w:cs="Arial"/>
                <w:sz w:val="20"/>
                <w:szCs w:val="20"/>
              </w:rPr>
              <w:t xml:space="preserve">estimated glomerular filtration rate </w:t>
            </w:r>
            <w:r w:rsidR="008951BB">
              <w:rPr>
                <w:rFonts w:ascii="Arial Narrow" w:hAnsi="Arial Narrow" w:cs="Arial"/>
                <w:sz w:val="20"/>
                <w:szCs w:val="20"/>
              </w:rPr>
              <w:t>(</w:t>
            </w:r>
            <w:r w:rsidR="00E406FC" w:rsidRPr="006B1802">
              <w:rPr>
                <w:rFonts w:ascii="Arial Narrow" w:hAnsi="Arial Narrow" w:cs="Arial"/>
                <w:sz w:val="20"/>
                <w:szCs w:val="20"/>
              </w:rPr>
              <w:t>eGFR</w:t>
            </w:r>
            <w:r w:rsidR="008951BB">
              <w:rPr>
                <w:rFonts w:ascii="Arial Narrow" w:hAnsi="Arial Narrow" w:cs="Arial"/>
                <w:sz w:val="20"/>
                <w:szCs w:val="20"/>
              </w:rPr>
              <w:t>)</w:t>
            </w:r>
            <w:r w:rsidR="00E406FC" w:rsidRPr="006B1802">
              <w:rPr>
                <w:rFonts w:ascii="Arial Narrow" w:hAnsi="Arial Narrow" w:cs="Arial"/>
                <w:sz w:val="20"/>
                <w:szCs w:val="20"/>
              </w:rPr>
              <w:t xml:space="preserve"> between 30 and 89 mL/min 1.73 m</w:t>
            </w:r>
            <w:r w:rsidR="00E406FC" w:rsidRPr="006B1802">
              <w:rPr>
                <w:rFonts w:ascii="Arial Narrow" w:hAnsi="Arial Narrow" w:cs="Arial"/>
                <w:sz w:val="20"/>
                <w:szCs w:val="20"/>
                <w:vertAlign w:val="superscript"/>
              </w:rPr>
              <w:t>2</w:t>
            </w:r>
            <w:r w:rsidR="00E406FC" w:rsidRPr="006B1802">
              <w:rPr>
                <w:rFonts w:ascii="Arial Narrow" w:hAnsi="Arial Narrow" w:cs="Arial"/>
                <w:sz w:val="20"/>
                <w:szCs w:val="20"/>
              </w:rPr>
              <w:t xml:space="preserve"> at the initiation of treatment</w:t>
            </w:r>
          </w:p>
          <w:p w:rsidR="00005DD7" w:rsidRDefault="00005DD7" w:rsidP="00B93A10">
            <w:pPr>
              <w:spacing w:before="40" w:after="40"/>
              <w:rPr>
                <w:rFonts w:ascii="Arial Narrow" w:hAnsi="Arial Narrow" w:cs="Arial"/>
                <w:sz w:val="20"/>
                <w:szCs w:val="20"/>
              </w:rPr>
            </w:pPr>
          </w:p>
          <w:p w:rsidR="00EF1C6A" w:rsidRDefault="00EF1C6A" w:rsidP="00B93A10">
            <w:pPr>
              <w:spacing w:before="40" w:after="40"/>
              <w:rPr>
                <w:rFonts w:ascii="Arial Narrow" w:hAnsi="Arial Narrow" w:cs="Arial"/>
                <w:sz w:val="20"/>
                <w:szCs w:val="20"/>
              </w:rPr>
            </w:pPr>
            <w:r w:rsidRPr="006B1802">
              <w:rPr>
                <w:rFonts w:ascii="Arial Narrow" w:hAnsi="Arial Narrow" w:cs="Arial"/>
                <w:sz w:val="20"/>
                <w:szCs w:val="20"/>
              </w:rPr>
              <w:t>AND</w:t>
            </w:r>
          </w:p>
          <w:p w:rsidR="00005DD7" w:rsidRPr="006B1802" w:rsidRDefault="00005DD7" w:rsidP="00B93A10">
            <w:pPr>
              <w:spacing w:before="40" w:after="40"/>
              <w:rPr>
                <w:rFonts w:ascii="Arial Narrow" w:hAnsi="Arial Narrow" w:cs="Arial"/>
                <w:sz w:val="20"/>
                <w:szCs w:val="20"/>
              </w:rPr>
            </w:pPr>
          </w:p>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The patient must have rapidly progressing disease.</w:t>
            </w:r>
          </w:p>
          <w:p w:rsidR="00EF1C6A" w:rsidRPr="006B1802" w:rsidRDefault="00EF1C6A" w:rsidP="00B93A10">
            <w:pPr>
              <w:spacing w:before="40" w:after="40"/>
              <w:jc w:val="both"/>
              <w:rPr>
                <w:rFonts w:ascii="Arial Narrow" w:hAnsi="Arial Narrow" w:cs="Arial"/>
                <w:sz w:val="20"/>
                <w:szCs w:val="20"/>
              </w:rPr>
            </w:pP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C949BC" w:rsidP="00B93A10">
            <w:pPr>
              <w:spacing w:before="40" w:after="40"/>
              <w:jc w:val="both"/>
              <w:rPr>
                <w:rFonts w:ascii="Arial Narrow" w:hAnsi="Arial Narrow" w:cs="Arial"/>
                <w:sz w:val="20"/>
                <w:szCs w:val="20"/>
              </w:rPr>
            </w:pPr>
            <w:r>
              <w:rPr>
                <w:rFonts w:ascii="Arial Narrow" w:hAnsi="Arial Narrow" w:cs="Arial"/>
                <w:sz w:val="20"/>
                <w:szCs w:val="20"/>
              </w:rPr>
              <w:t>Prescriber Instructions</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Rapidly progressing disease is defined as either of the following:</w:t>
            </w:r>
          </w:p>
          <w:p w:rsidR="003576DB" w:rsidRDefault="003576DB" w:rsidP="00B93A10">
            <w:pPr>
              <w:spacing w:before="40" w:after="40"/>
              <w:rPr>
                <w:rFonts w:ascii="Arial Narrow" w:hAnsi="Arial Narrow" w:cs="Arial"/>
                <w:sz w:val="20"/>
                <w:szCs w:val="20"/>
              </w:rPr>
            </w:pPr>
            <w:r>
              <w:rPr>
                <w:rFonts w:ascii="Arial Narrow" w:hAnsi="Arial Narrow" w:cs="Arial"/>
                <w:sz w:val="20"/>
                <w:szCs w:val="20"/>
              </w:rPr>
              <w:t xml:space="preserve"> </w:t>
            </w:r>
            <w:r w:rsidR="00EF1C6A" w:rsidRPr="006B1802">
              <w:rPr>
                <w:rFonts w:ascii="Arial Narrow" w:hAnsi="Arial Narrow" w:cs="Arial"/>
                <w:sz w:val="20"/>
                <w:szCs w:val="20"/>
              </w:rPr>
              <w:t>A decline in eGFR</w:t>
            </w:r>
            <w:r w:rsidR="005F4016">
              <w:rPr>
                <w:rFonts w:ascii="Arial Narrow" w:hAnsi="Arial Narrow" w:cs="Arial"/>
                <w:sz w:val="20"/>
                <w:szCs w:val="20"/>
              </w:rPr>
              <w:t xml:space="preserve"> of greater than or equal to</w:t>
            </w:r>
            <w:r w:rsidR="00EF1C6A" w:rsidRPr="006B1802">
              <w:rPr>
                <w:rFonts w:ascii="Arial Narrow" w:hAnsi="Arial Narrow" w:cs="Arial"/>
                <w:sz w:val="20"/>
                <w:szCs w:val="20"/>
              </w:rPr>
              <w:t xml:space="preserve"> 5 mL/min/1.73 m</w:t>
            </w:r>
            <w:r w:rsidR="00EF1C6A" w:rsidRPr="006B1802">
              <w:rPr>
                <w:rFonts w:ascii="Arial Narrow" w:hAnsi="Arial Narrow" w:cs="Arial"/>
                <w:sz w:val="20"/>
                <w:szCs w:val="20"/>
                <w:vertAlign w:val="superscript"/>
              </w:rPr>
              <w:t>2</w:t>
            </w:r>
            <w:r w:rsidR="00EF1C6A" w:rsidRPr="006B1802">
              <w:rPr>
                <w:rFonts w:ascii="Arial Narrow" w:hAnsi="Arial Narrow" w:cs="Arial"/>
                <w:sz w:val="20"/>
                <w:szCs w:val="20"/>
              </w:rPr>
              <w:t xml:space="preserve"> within one year</w:t>
            </w:r>
            <w:r>
              <w:rPr>
                <w:rFonts w:ascii="Arial Narrow" w:hAnsi="Arial Narrow" w:cs="Arial"/>
                <w:sz w:val="20"/>
                <w:szCs w:val="20"/>
              </w:rPr>
              <w:t>;</w:t>
            </w:r>
          </w:p>
          <w:p w:rsidR="003576DB" w:rsidRDefault="00EF1C6A" w:rsidP="00B93A10">
            <w:pPr>
              <w:spacing w:before="40" w:after="40"/>
              <w:rPr>
                <w:rFonts w:ascii="Arial Narrow" w:hAnsi="Arial Narrow" w:cs="Arial"/>
                <w:sz w:val="20"/>
                <w:szCs w:val="20"/>
              </w:rPr>
            </w:pPr>
            <w:r w:rsidRPr="006B1802">
              <w:rPr>
                <w:rFonts w:ascii="Arial Narrow" w:hAnsi="Arial Narrow" w:cs="Arial"/>
                <w:sz w:val="20"/>
                <w:szCs w:val="20"/>
              </w:rPr>
              <w:t>OR</w:t>
            </w:r>
            <w:r w:rsidR="003576DB">
              <w:rPr>
                <w:rFonts w:ascii="Arial Narrow" w:hAnsi="Arial Narrow" w:cs="Arial"/>
                <w:sz w:val="20"/>
                <w:szCs w:val="20"/>
              </w:rPr>
              <w:t>;</w:t>
            </w:r>
          </w:p>
          <w:p w:rsidR="00920E7E" w:rsidRDefault="003576DB" w:rsidP="00B93A10">
            <w:pPr>
              <w:spacing w:before="40" w:after="40"/>
              <w:rPr>
                <w:rFonts w:ascii="Arial Narrow" w:hAnsi="Arial Narrow"/>
                <w:sz w:val="20"/>
              </w:rPr>
            </w:pPr>
            <w:r>
              <w:rPr>
                <w:rFonts w:ascii="Arial Narrow" w:hAnsi="Arial Narrow"/>
                <w:sz w:val="20"/>
              </w:rPr>
              <w:t xml:space="preserve"> </w:t>
            </w:r>
            <w:r w:rsidR="00EF1C6A" w:rsidRPr="00E20016">
              <w:rPr>
                <w:rFonts w:ascii="Arial Narrow" w:hAnsi="Arial Narrow"/>
                <w:sz w:val="20"/>
              </w:rPr>
              <w:t xml:space="preserve">an average decline in eGFR </w:t>
            </w:r>
            <w:r w:rsidR="00277ADD">
              <w:rPr>
                <w:rFonts w:ascii="Arial Narrow" w:hAnsi="Arial Narrow"/>
                <w:sz w:val="20"/>
              </w:rPr>
              <w:t xml:space="preserve">of greater than or equal to </w:t>
            </w:r>
            <w:r w:rsidR="00EF1C6A" w:rsidRPr="00E20016">
              <w:rPr>
                <w:rFonts w:ascii="Arial Narrow" w:hAnsi="Arial Narrow"/>
                <w:sz w:val="20"/>
              </w:rPr>
              <w:t>2.5 mL/min/1.73 m</w:t>
            </w:r>
            <w:r w:rsidR="00EF1C6A" w:rsidRPr="00E20016">
              <w:rPr>
                <w:rFonts w:ascii="Arial Narrow" w:hAnsi="Arial Narrow"/>
                <w:sz w:val="20"/>
                <w:vertAlign w:val="superscript"/>
              </w:rPr>
              <w:t>2</w:t>
            </w:r>
            <w:r w:rsidR="00EF1C6A" w:rsidRPr="00E20016">
              <w:rPr>
                <w:rFonts w:ascii="Arial Narrow" w:hAnsi="Arial Narrow"/>
                <w:sz w:val="20"/>
              </w:rPr>
              <w:t xml:space="preserve"> per year over a five year period</w:t>
            </w:r>
          </w:p>
          <w:p w:rsidR="00CD1D26" w:rsidRPr="00E20016" w:rsidRDefault="00CD1D26" w:rsidP="00B93A10">
            <w:pPr>
              <w:spacing w:before="40" w:after="40"/>
              <w:rPr>
                <w:rFonts w:ascii="Arial Narrow" w:hAnsi="Arial Narrow"/>
                <w:sz w:val="20"/>
              </w:rPr>
            </w:pP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jc w:val="both"/>
              <w:rPr>
                <w:rFonts w:ascii="Arial Narrow" w:hAnsi="Arial Narrow" w:cs="Arial"/>
                <w:b/>
                <w:sz w:val="20"/>
                <w:szCs w:val="20"/>
              </w:rPr>
            </w:pPr>
            <w:r w:rsidRPr="00E20016">
              <w:rPr>
                <w:rFonts w:ascii="Arial Narrow" w:hAnsi="Arial Narrow" w:cs="Arial"/>
                <w:sz w:val="20"/>
                <w:szCs w:val="20"/>
              </w:rPr>
              <w:t>Caution</w:t>
            </w:r>
          </w:p>
          <w:p w:rsidR="00EF1C6A" w:rsidRPr="006B1802" w:rsidRDefault="00EF1C6A" w:rsidP="00B93A10">
            <w:pPr>
              <w:spacing w:before="40" w:after="40"/>
              <w:jc w:val="both"/>
              <w:rPr>
                <w:rFonts w:ascii="Arial Narrow" w:hAnsi="Arial Narrow" w:cs="Arial"/>
                <w:i/>
                <w:sz w:val="20"/>
                <w:szCs w:val="20"/>
              </w:rPr>
            </w:pPr>
          </w:p>
        </w:tc>
        <w:tc>
          <w:tcPr>
            <w:tcW w:w="3957" w:type="pct"/>
            <w:gridSpan w:val="7"/>
            <w:tcBorders>
              <w:top w:val="single" w:sz="4" w:space="0" w:color="auto"/>
              <w:left w:val="single" w:sz="4" w:space="0" w:color="auto"/>
              <w:bottom w:val="single" w:sz="4" w:space="0" w:color="auto"/>
              <w:right w:val="single" w:sz="4" w:space="0" w:color="auto"/>
            </w:tcBorders>
          </w:tcPr>
          <w:p w:rsidR="0039186A" w:rsidRDefault="0039186A" w:rsidP="00B93A10">
            <w:pPr>
              <w:spacing w:before="40" w:after="40"/>
              <w:rPr>
                <w:rFonts w:ascii="Arial Narrow" w:hAnsi="Arial Narrow" w:cs="Arial"/>
                <w:sz w:val="20"/>
                <w:szCs w:val="20"/>
              </w:rPr>
            </w:pPr>
            <w:r w:rsidRPr="00E20016">
              <w:rPr>
                <w:rFonts w:ascii="Arial Narrow" w:hAnsi="Arial Narrow" w:cs="Arial"/>
                <w:sz w:val="20"/>
                <w:szCs w:val="20"/>
              </w:rPr>
              <w:t xml:space="preserve">Tolvaptan has been associated with idiosyncratic </w:t>
            </w:r>
            <w:r w:rsidR="00C23EB8">
              <w:rPr>
                <w:rFonts w:ascii="Arial Narrow" w:hAnsi="Arial Narrow" w:cs="Arial"/>
                <w:sz w:val="20"/>
                <w:szCs w:val="20"/>
              </w:rPr>
              <w:t>hepatic toxicity</w:t>
            </w:r>
            <w:r w:rsidRPr="00E20016">
              <w:rPr>
                <w:rFonts w:ascii="Arial Narrow" w:hAnsi="Arial Narrow" w:cs="Arial"/>
                <w:sz w:val="20"/>
                <w:szCs w:val="20"/>
              </w:rPr>
              <w:t>.</w:t>
            </w:r>
            <w:r>
              <w:rPr>
                <w:rFonts w:ascii="Arial Narrow" w:hAnsi="Arial Narrow" w:cs="Arial"/>
                <w:sz w:val="20"/>
                <w:szCs w:val="20"/>
              </w:rPr>
              <w:t xml:space="preserve"> Liver fu</w:t>
            </w:r>
            <w:r w:rsidR="00EE7668">
              <w:rPr>
                <w:rFonts w:ascii="Arial Narrow" w:hAnsi="Arial Narrow" w:cs="Arial"/>
                <w:sz w:val="20"/>
                <w:szCs w:val="20"/>
              </w:rPr>
              <w:t>nction monitoring is required</w:t>
            </w:r>
            <w:r>
              <w:rPr>
                <w:rFonts w:ascii="Arial Narrow" w:hAnsi="Arial Narrow" w:cs="Arial"/>
                <w:sz w:val="20"/>
                <w:szCs w:val="20"/>
              </w:rPr>
              <w:t>.</w:t>
            </w:r>
          </w:p>
          <w:p w:rsidR="000E766E" w:rsidRPr="00E20016" w:rsidRDefault="000E766E" w:rsidP="00B93A10">
            <w:pPr>
              <w:spacing w:before="40" w:after="40"/>
              <w:rPr>
                <w:rFonts w:ascii="Arial Narrow" w:hAnsi="Arial Narrow" w:cs="Arial"/>
                <w:sz w:val="20"/>
                <w:szCs w:val="20"/>
              </w:rPr>
            </w:pPr>
          </w:p>
          <w:p w:rsidR="00EF1C6A" w:rsidRPr="006B1802" w:rsidRDefault="00EF1C6A" w:rsidP="00B93A10">
            <w:pPr>
              <w:spacing w:before="40" w:after="40"/>
              <w:rPr>
                <w:rFonts w:ascii="Arial Narrow" w:hAnsi="Arial Narrow" w:cs="Arial"/>
                <w:sz w:val="20"/>
                <w:szCs w:val="20"/>
              </w:rPr>
            </w:pPr>
          </w:p>
        </w:tc>
      </w:tr>
      <w:tr w:rsidR="00EF1C6A" w:rsidRPr="006B1802" w:rsidTr="00EF52C3">
        <w:trPr>
          <w:gridAfter w:val="2"/>
          <w:wAfter w:w="451" w:type="pct"/>
          <w:cantSplit/>
          <w:trHeight w:val="360"/>
        </w:trPr>
        <w:tc>
          <w:tcPr>
            <w:tcW w:w="4549" w:type="pct"/>
            <w:gridSpan w:val="6"/>
            <w:tcBorders>
              <w:bottom w:val="single" w:sz="4" w:space="0" w:color="auto"/>
            </w:tcBorders>
          </w:tcPr>
          <w:p w:rsidR="00EF1C6A" w:rsidRPr="006B1802" w:rsidRDefault="00EF1C6A" w:rsidP="00B93A10">
            <w:pPr>
              <w:rPr>
                <w:szCs w:val="22"/>
              </w:rPr>
            </w:pP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 xml:space="preserve">Category / </w:t>
            </w:r>
          </w:p>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Program</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GENERAL – General Schedule (Code GE)</w:t>
            </w:r>
          </w:p>
          <w:p w:rsidR="00EF1C6A" w:rsidRPr="006B1802" w:rsidRDefault="00EF1C6A" w:rsidP="00B93A10">
            <w:pPr>
              <w:spacing w:before="40" w:after="40"/>
              <w:rPr>
                <w:rFonts w:ascii="Arial Narrow" w:hAnsi="Arial Narrow" w:cs="Arial"/>
                <w:sz w:val="20"/>
                <w:szCs w:val="20"/>
              </w:rPr>
            </w:pP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Prescriber type:</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1"/>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Dental  </w:t>
            </w:r>
            <w:r w:rsidRPr="006B1802">
              <w:rPr>
                <w:rFonts w:ascii="Arial Narrow" w:hAnsi="Arial Narrow" w:cs="Arial"/>
                <w:sz w:val="20"/>
                <w:szCs w:val="20"/>
              </w:rPr>
              <w:fldChar w:fldCharType="begin">
                <w:ffData>
                  <w:name w:val=""/>
                  <w:enabled/>
                  <w:calcOnExit w:val="0"/>
                  <w:checkBox>
                    <w:sizeAuto/>
                    <w:default w:val="1"/>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Medical Practitioners  </w:t>
            </w:r>
            <w:r w:rsidRPr="006B1802">
              <w:rPr>
                <w:rFonts w:ascii="Arial Narrow" w:hAnsi="Arial Narrow" w:cs="Arial"/>
                <w:sz w:val="20"/>
                <w:szCs w:val="20"/>
              </w:rPr>
              <w:fldChar w:fldCharType="begin">
                <w:ffData>
                  <w:name w:val="Check3"/>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 xml:space="preserve">Nurse practitioners  </w:t>
            </w:r>
            <w:r w:rsidRPr="006B1802">
              <w:rPr>
                <w:rFonts w:ascii="Arial Narrow" w:hAnsi="Arial Narrow" w:cs="Arial"/>
                <w:sz w:val="20"/>
                <w:szCs w:val="20"/>
              </w:rPr>
              <w:fldChar w:fldCharType="begin">
                <w:ffData>
                  <w:name w:val=""/>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Optometrists</w:t>
            </w:r>
          </w:p>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Check5"/>
                  <w:enabled/>
                  <w:calcOnExit w:val="0"/>
                  <w:checkBox>
                    <w:sizeAuto/>
                    <w:default w:val="0"/>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Pr="006B1802">
              <w:rPr>
                <w:rFonts w:ascii="Arial Narrow" w:hAnsi="Arial Narrow" w:cs="Arial"/>
                <w:sz w:val="20"/>
                <w:szCs w:val="20"/>
              </w:rPr>
              <w:t>Midwives</w:t>
            </w:r>
          </w:p>
        </w:tc>
      </w:tr>
      <w:tr w:rsidR="00EF1C6A" w:rsidRPr="006B1802" w:rsidTr="00EF52C3">
        <w:trPr>
          <w:cantSplit/>
          <w:trHeight w:val="48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Condition:</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Autosomal dominant polycystic kidney disease (ADPKD)</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lastRenderedPageBreak/>
              <w:t>PBS Indication:</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Autosomal dominant polycystic kidney disease (ADPKD)</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Treatment phase:</w:t>
            </w: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 xml:space="preserve">Continuing </w:t>
            </w:r>
            <w:r w:rsidR="00DD7EC3">
              <w:rPr>
                <w:rFonts w:ascii="Arial Narrow" w:hAnsi="Arial Narrow" w:cs="Arial"/>
                <w:sz w:val="20"/>
                <w:szCs w:val="20"/>
              </w:rPr>
              <w:t>treatment</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Restriction Level / Method:</w:t>
            </w:r>
          </w:p>
          <w:p w:rsidR="00EF1C6A" w:rsidRPr="006B1802" w:rsidRDefault="00EF1C6A" w:rsidP="00B93A10">
            <w:pPr>
              <w:spacing w:before="40" w:after="40"/>
              <w:rPr>
                <w:rFonts w:ascii="Arial Narrow" w:hAnsi="Arial Narrow" w:cs="Arial"/>
                <w:sz w:val="20"/>
                <w:szCs w:val="20"/>
              </w:rPr>
            </w:pPr>
          </w:p>
        </w:tc>
        <w:tc>
          <w:tcPr>
            <w:tcW w:w="3957" w:type="pct"/>
            <w:gridSpan w:val="7"/>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fldChar w:fldCharType="begin">
                <w:ffData>
                  <w:name w:val=""/>
                  <w:enabled/>
                  <w:calcOnExit w:val="0"/>
                  <w:checkBox>
                    <w:sizeAuto/>
                    <w:default w:val="1"/>
                  </w:checkBox>
                </w:ffData>
              </w:fldChar>
            </w:r>
            <w:r w:rsidRPr="006B1802">
              <w:rPr>
                <w:rFonts w:ascii="Arial Narrow" w:hAnsi="Arial Narrow" w:cs="Arial"/>
                <w:sz w:val="20"/>
                <w:szCs w:val="20"/>
              </w:rPr>
              <w:instrText xml:space="preserve"> FORMCHECKBOX </w:instrText>
            </w:r>
            <w:r w:rsidR="00194BE9">
              <w:rPr>
                <w:rFonts w:ascii="Arial Narrow" w:hAnsi="Arial Narrow" w:cs="Arial"/>
                <w:sz w:val="20"/>
                <w:szCs w:val="20"/>
              </w:rPr>
            </w:r>
            <w:r w:rsidR="00194BE9">
              <w:rPr>
                <w:rFonts w:ascii="Arial Narrow" w:hAnsi="Arial Narrow" w:cs="Arial"/>
                <w:sz w:val="20"/>
                <w:szCs w:val="20"/>
              </w:rPr>
              <w:fldChar w:fldCharType="separate"/>
            </w:r>
            <w:r w:rsidRPr="006B1802">
              <w:rPr>
                <w:rFonts w:ascii="Arial Narrow" w:hAnsi="Arial Narrow" w:cs="Arial"/>
                <w:sz w:val="20"/>
                <w:szCs w:val="20"/>
              </w:rPr>
              <w:fldChar w:fldCharType="end"/>
            </w:r>
            <w:r w:rsidR="001E0660">
              <w:rPr>
                <w:rFonts w:ascii="Arial Narrow" w:hAnsi="Arial Narrow" w:cs="Arial"/>
                <w:sz w:val="20"/>
                <w:szCs w:val="20"/>
              </w:rPr>
              <w:t>Authority Required (</w:t>
            </w:r>
            <w:r w:rsidRPr="006B1802">
              <w:rPr>
                <w:rFonts w:ascii="Arial Narrow" w:hAnsi="Arial Narrow" w:cs="Arial"/>
                <w:sz w:val="20"/>
                <w:szCs w:val="20"/>
              </w:rPr>
              <w:t>Streamlined</w:t>
            </w:r>
            <w:r w:rsidR="001E0660">
              <w:rPr>
                <w:rFonts w:ascii="Arial Narrow" w:hAnsi="Arial Narrow" w:cs="Arial"/>
                <w:sz w:val="20"/>
                <w:szCs w:val="20"/>
              </w:rPr>
              <w:t>)</w:t>
            </w: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Treatment criteria:</w:t>
            </w:r>
            <w:r w:rsidR="007A509B" w:rsidRPr="006B1802" w:rsidDel="007A509B">
              <w:rPr>
                <w:rFonts w:ascii="Arial Narrow" w:hAnsi="Arial Narrow" w:cs="Arial"/>
                <w:sz w:val="20"/>
                <w:szCs w:val="20"/>
              </w:rPr>
              <w:t xml:space="preserve"> </w:t>
            </w:r>
          </w:p>
        </w:tc>
        <w:tc>
          <w:tcPr>
            <w:tcW w:w="3957" w:type="pct"/>
            <w:gridSpan w:val="7"/>
            <w:tcBorders>
              <w:top w:val="single" w:sz="4" w:space="0" w:color="auto"/>
              <w:left w:val="single" w:sz="4" w:space="0" w:color="auto"/>
              <w:bottom w:val="single" w:sz="4" w:space="0" w:color="auto"/>
              <w:right w:val="single" w:sz="4" w:space="0" w:color="auto"/>
            </w:tcBorders>
          </w:tcPr>
          <w:p w:rsidR="007A509B" w:rsidRDefault="007A509B" w:rsidP="00B93A10">
            <w:pPr>
              <w:spacing w:before="40" w:after="40"/>
              <w:rPr>
                <w:rFonts w:ascii="Arial Narrow" w:hAnsi="Arial Narrow" w:cs="Arial"/>
                <w:sz w:val="20"/>
                <w:szCs w:val="20"/>
              </w:rPr>
            </w:pPr>
            <w:r>
              <w:rPr>
                <w:rFonts w:ascii="Arial Narrow" w:hAnsi="Arial Narrow" w:cs="Arial"/>
                <w:sz w:val="20"/>
                <w:szCs w:val="20"/>
              </w:rPr>
              <w:t>Must be treated by a nephrologist.</w:t>
            </w:r>
          </w:p>
          <w:p w:rsidR="007A509B" w:rsidRDefault="007A509B" w:rsidP="00B93A10">
            <w:pPr>
              <w:spacing w:before="40" w:after="40"/>
              <w:rPr>
                <w:rFonts w:ascii="Arial Narrow" w:hAnsi="Arial Narrow" w:cs="Arial"/>
                <w:sz w:val="20"/>
                <w:szCs w:val="20"/>
              </w:rPr>
            </w:pPr>
          </w:p>
          <w:p w:rsidR="007A509B" w:rsidRDefault="007A509B" w:rsidP="00B93A10">
            <w:pPr>
              <w:spacing w:before="40" w:after="40"/>
              <w:rPr>
                <w:rFonts w:ascii="Arial Narrow" w:hAnsi="Arial Narrow" w:cs="Arial"/>
                <w:sz w:val="20"/>
                <w:szCs w:val="20"/>
              </w:rPr>
            </w:pPr>
            <w:r>
              <w:rPr>
                <w:rFonts w:ascii="Arial Narrow" w:hAnsi="Arial Narrow" w:cs="Arial"/>
                <w:sz w:val="20"/>
                <w:szCs w:val="20"/>
              </w:rPr>
              <w:t>OR</w:t>
            </w:r>
          </w:p>
          <w:p w:rsidR="007A509B" w:rsidRDefault="007A509B" w:rsidP="00B93A10">
            <w:pPr>
              <w:spacing w:before="40" w:after="40"/>
              <w:rPr>
                <w:rFonts w:ascii="Arial Narrow" w:hAnsi="Arial Narrow" w:cs="Arial"/>
                <w:sz w:val="20"/>
                <w:szCs w:val="20"/>
              </w:rPr>
            </w:pPr>
          </w:p>
          <w:p w:rsidR="007A509B" w:rsidRDefault="007A509B" w:rsidP="00B93A10">
            <w:pPr>
              <w:spacing w:before="40" w:after="40"/>
              <w:rPr>
                <w:rFonts w:ascii="Arial Narrow" w:hAnsi="Arial Narrow" w:cs="Arial"/>
                <w:sz w:val="20"/>
                <w:szCs w:val="20"/>
              </w:rPr>
            </w:pPr>
            <w:r>
              <w:rPr>
                <w:rFonts w:ascii="Arial Narrow" w:hAnsi="Arial Narrow" w:cs="Arial"/>
                <w:sz w:val="20"/>
                <w:szCs w:val="20"/>
              </w:rPr>
              <w:t>Must be treated in consultation with a nephrologist.</w:t>
            </w:r>
          </w:p>
          <w:p w:rsidR="00B315DC" w:rsidRPr="00E20016" w:rsidRDefault="00B315DC" w:rsidP="00B93A10">
            <w:pPr>
              <w:spacing w:before="40" w:after="40"/>
              <w:rPr>
                <w:strike/>
                <w:szCs w:val="22"/>
              </w:rPr>
            </w:pP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6B1802" w:rsidRDefault="00EF1C6A" w:rsidP="00B93A10">
            <w:pPr>
              <w:spacing w:before="40" w:after="40"/>
              <w:rPr>
                <w:rFonts w:ascii="Arial Narrow" w:hAnsi="Arial Narrow" w:cs="Arial"/>
                <w:sz w:val="20"/>
                <w:szCs w:val="20"/>
              </w:rPr>
            </w:pPr>
            <w:r w:rsidRPr="006B1802">
              <w:rPr>
                <w:rFonts w:ascii="Arial Narrow" w:hAnsi="Arial Narrow" w:cs="Arial"/>
                <w:sz w:val="20"/>
                <w:szCs w:val="20"/>
              </w:rPr>
              <w:t>Clinical criteria:</w:t>
            </w:r>
          </w:p>
          <w:p w:rsidR="00EF1C6A" w:rsidRPr="006B1802" w:rsidRDefault="00EF1C6A" w:rsidP="00B93A10">
            <w:pPr>
              <w:spacing w:before="40" w:after="40"/>
              <w:rPr>
                <w:rFonts w:ascii="Arial Narrow" w:hAnsi="Arial Narrow" w:cs="Arial"/>
                <w:sz w:val="20"/>
                <w:szCs w:val="20"/>
              </w:rPr>
            </w:pPr>
          </w:p>
        </w:tc>
        <w:tc>
          <w:tcPr>
            <w:tcW w:w="3957" w:type="pct"/>
            <w:gridSpan w:val="7"/>
            <w:tcBorders>
              <w:top w:val="single" w:sz="4" w:space="0" w:color="auto"/>
              <w:left w:val="single" w:sz="4" w:space="0" w:color="auto"/>
              <w:bottom w:val="single" w:sz="4" w:space="0" w:color="auto"/>
              <w:right w:val="single" w:sz="4" w:space="0" w:color="auto"/>
            </w:tcBorders>
          </w:tcPr>
          <w:p w:rsidR="00EF1C6A" w:rsidRDefault="00EF1C6A" w:rsidP="00B93A10">
            <w:pPr>
              <w:spacing w:before="40" w:after="40"/>
              <w:rPr>
                <w:rFonts w:ascii="Arial Narrow" w:hAnsi="Arial Narrow" w:cs="Arial"/>
                <w:sz w:val="20"/>
                <w:szCs w:val="20"/>
              </w:rPr>
            </w:pPr>
            <w:r w:rsidRPr="006B1802">
              <w:rPr>
                <w:rFonts w:ascii="Arial Narrow" w:hAnsi="Arial Narrow" w:cs="Arial"/>
                <w:sz w:val="20"/>
                <w:szCs w:val="20"/>
              </w:rPr>
              <w:t xml:space="preserve">Patient must have previously </w:t>
            </w:r>
            <w:r w:rsidR="00D11978">
              <w:rPr>
                <w:rFonts w:ascii="Arial Narrow" w:hAnsi="Arial Narrow" w:cs="Arial"/>
                <w:sz w:val="20"/>
                <w:szCs w:val="20"/>
              </w:rPr>
              <w:t xml:space="preserve">received PBS-subsidised treatment with </w:t>
            </w:r>
            <w:r w:rsidRPr="006B1802">
              <w:rPr>
                <w:rFonts w:ascii="Arial Narrow" w:hAnsi="Arial Narrow" w:cs="Arial"/>
                <w:sz w:val="20"/>
                <w:szCs w:val="20"/>
              </w:rPr>
              <w:t>for this drug for this condition</w:t>
            </w:r>
          </w:p>
          <w:p w:rsidR="00855CD2" w:rsidRPr="006B1802" w:rsidRDefault="00855CD2" w:rsidP="00B93A10">
            <w:pPr>
              <w:spacing w:before="40" w:after="40"/>
              <w:rPr>
                <w:rFonts w:ascii="Arial Narrow" w:hAnsi="Arial Narrow" w:cs="Arial"/>
                <w:sz w:val="20"/>
                <w:szCs w:val="20"/>
              </w:rPr>
            </w:pPr>
          </w:p>
          <w:p w:rsidR="00EF1C6A" w:rsidRDefault="00EF1C6A" w:rsidP="00B93A10">
            <w:pPr>
              <w:spacing w:before="40" w:after="40"/>
              <w:rPr>
                <w:rFonts w:ascii="Arial Narrow" w:hAnsi="Arial Narrow" w:cs="Arial"/>
                <w:sz w:val="20"/>
                <w:szCs w:val="20"/>
              </w:rPr>
            </w:pPr>
            <w:r w:rsidRPr="006B1802">
              <w:rPr>
                <w:rFonts w:ascii="Arial Narrow" w:hAnsi="Arial Narrow" w:cs="Arial"/>
                <w:sz w:val="20"/>
                <w:szCs w:val="20"/>
              </w:rPr>
              <w:t>AND</w:t>
            </w:r>
          </w:p>
          <w:p w:rsidR="00855CD2" w:rsidRPr="006B1802" w:rsidRDefault="00855CD2" w:rsidP="00B93A10">
            <w:pPr>
              <w:spacing w:before="40" w:after="40"/>
              <w:rPr>
                <w:rFonts w:ascii="Arial Narrow" w:hAnsi="Arial Narrow" w:cs="Arial"/>
                <w:sz w:val="20"/>
                <w:szCs w:val="20"/>
              </w:rPr>
            </w:pPr>
          </w:p>
          <w:p w:rsidR="00C601A3" w:rsidRDefault="00C601A3" w:rsidP="00B93A10">
            <w:pPr>
              <w:spacing w:before="40" w:after="40"/>
              <w:rPr>
                <w:rFonts w:ascii="Arial Narrow" w:hAnsi="Arial Narrow" w:cs="Arial"/>
                <w:sz w:val="20"/>
                <w:szCs w:val="20"/>
              </w:rPr>
            </w:pPr>
            <w:r>
              <w:rPr>
                <w:rFonts w:ascii="Arial Narrow" w:hAnsi="Arial Narrow" w:cs="Arial"/>
                <w:sz w:val="20"/>
                <w:szCs w:val="20"/>
              </w:rPr>
              <w:t>P</w:t>
            </w:r>
            <w:r w:rsidR="00EF1C6A" w:rsidRPr="006B1802">
              <w:rPr>
                <w:rFonts w:ascii="Arial Narrow" w:hAnsi="Arial Narrow" w:cs="Arial"/>
                <w:sz w:val="20"/>
                <w:szCs w:val="20"/>
              </w:rPr>
              <w:t xml:space="preserve">atient must not have end-stage renal disease </w:t>
            </w:r>
            <w:r w:rsidR="003C3922">
              <w:rPr>
                <w:rFonts w:ascii="Arial Narrow" w:hAnsi="Arial Narrow" w:cs="Arial"/>
                <w:sz w:val="20"/>
                <w:szCs w:val="20"/>
              </w:rPr>
              <w:t xml:space="preserve">defined as an </w:t>
            </w:r>
            <w:r w:rsidR="003C3922" w:rsidRPr="008951BB">
              <w:rPr>
                <w:rFonts w:ascii="Arial Narrow" w:hAnsi="Arial Narrow" w:cs="Arial"/>
                <w:sz w:val="20"/>
                <w:szCs w:val="20"/>
              </w:rPr>
              <w:t>estimated glomerular filtration rate</w:t>
            </w:r>
            <w:r w:rsidR="003C3922" w:rsidRPr="006B1802">
              <w:rPr>
                <w:rFonts w:ascii="Arial Narrow" w:hAnsi="Arial Narrow" w:cs="Arial"/>
                <w:sz w:val="20"/>
                <w:szCs w:val="20"/>
              </w:rPr>
              <w:t xml:space="preserve"> </w:t>
            </w:r>
            <w:r w:rsidR="00EF1C6A" w:rsidRPr="006B1802">
              <w:rPr>
                <w:rFonts w:ascii="Arial Narrow" w:hAnsi="Arial Narrow" w:cs="Arial"/>
                <w:sz w:val="20"/>
                <w:szCs w:val="20"/>
              </w:rPr>
              <w:t>(eGFR</w:t>
            </w:r>
            <w:r w:rsidR="003C3922">
              <w:rPr>
                <w:rFonts w:ascii="Arial Narrow" w:hAnsi="Arial Narrow" w:cs="Arial"/>
                <w:sz w:val="20"/>
                <w:szCs w:val="20"/>
              </w:rPr>
              <w:t xml:space="preserve">) of less than </w:t>
            </w:r>
            <w:r w:rsidR="00EF1C6A" w:rsidRPr="006B1802">
              <w:rPr>
                <w:rFonts w:ascii="Arial Narrow" w:hAnsi="Arial Narrow" w:cs="Arial"/>
                <w:sz w:val="20"/>
                <w:szCs w:val="20"/>
              </w:rPr>
              <w:t>15 mL/min/1.73m</w:t>
            </w:r>
            <w:r w:rsidR="00EF1C6A" w:rsidRPr="006B1802">
              <w:rPr>
                <w:rFonts w:ascii="Arial Narrow" w:hAnsi="Arial Narrow" w:cs="Arial"/>
                <w:sz w:val="20"/>
                <w:szCs w:val="20"/>
                <w:vertAlign w:val="superscript"/>
              </w:rPr>
              <w:t>2</w:t>
            </w:r>
          </w:p>
          <w:p w:rsidR="00C601A3" w:rsidRDefault="00C601A3" w:rsidP="00B93A10">
            <w:pPr>
              <w:spacing w:before="40" w:after="40"/>
              <w:rPr>
                <w:rFonts w:ascii="Arial Narrow" w:hAnsi="Arial Narrow" w:cs="Arial"/>
                <w:sz w:val="20"/>
                <w:szCs w:val="20"/>
              </w:rPr>
            </w:pPr>
          </w:p>
          <w:p w:rsidR="00C601A3" w:rsidRDefault="00D61771" w:rsidP="00B93A10">
            <w:pPr>
              <w:spacing w:before="40" w:after="40"/>
              <w:rPr>
                <w:rFonts w:ascii="Arial Narrow" w:hAnsi="Arial Narrow" w:cs="Arial"/>
                <w:sz w:val="20"/>
                <w:szCs w:val="20"/>
              </w:rPr>
            </w:pPr>
            <w:r>
              <w:rPr>
                <w:rFonts w:ascii="Arial Narrow" w:hAnsi="Arial Narrow" w:cs="Arial"/>
                <w:sz w:val="20"/>
                <w:szCs w:val="20"/>
              </w:rPr>
              <w:t>AND</w:t>
            </w:r>
          </w:p>
          <w:p w:rsidR="00E6051F" w:rsidRDefault="00E6051F" w:rsidP="00B93A10">
            <w:pPr>
              <w:spacing w:before="40" w:after="40"/>
              <w:rPr>
                <w:rFonts w:ascii="Arial Narrow" w:hAnsi="Arial Narrow" w:cs="Arial"/>
                <w:sz w:val="20"/>
                <w:szCs w:val="20"/>
              </w:rPr>
            </w:pPr>
          </w:p>
          <w:p w:rsidR="00EF1C6A" w:rsidRDefault="00067240" w:rsidP="00B93A10">
            <w:pPr>
              <w:spacing w:before="40" w:after="40"/>
              <w:rPr>
                <w:rFonts w:ascii="Arial Narrow" w:hAnsi="Arial Narrow" w:cs="Arial"/>
                <w:sz w:val="20"/>
                <w:szCs w:val="20"/>
              </w:rPr>
            </w:pPr>
            <w:r>
              <w:rPr>
                <w:rFonts w:ascii="Arial Narrow" w:hAnsi="Arial Narrow" w:cs="Arial"/>
                <w:sz w:val="20"/>
                <w:szCs w:val="20"/>
              </w:rPr>
              <w:t>Patient must not have</w:t>
            </w:r>
            <w:r w:rsidR="004C09A2">
              <w:rPr>
                <w:rFonts w:ascii="Arial Narrow" w:hAnsi="Arial Narrow" w:cs="Arial"/>
                <w:sz w:val="20"/>
                <w:szCs w:val="20"/>
              </w:rPr>
              <w:t xml:space="preserve"> had</w:t>
            </w:r>
            <w:r w:rsidR="00EF1C6A" w:rsidRPr="006B1802">
              <w:rPr>
                <w:rFonts w:ascii="Arial Narrow" w:hAnsi="Arial Narrow" w:cs="Arial"/>
                <w:sz w:val="20"/>
                <w:szCs w:val="20"/>
              </w:rPr>
              <w:t xml:space="preserve"> a kidney transplant.</w:t>
            </w:r>
          </w:p>
          <w:p w:rsidR="00855CD2" w:rsidRPr="006B1802" w:rsidRDefault="00855CD2" w:rsidP="00B93A10">
            <w:pPr>
              <w:spacing w:before="40" w:after="40"/>
              <w:rPr>
                <w:rFonts w:ascii="Arial Narrow" w:hAnsi="Arial Narrow" w:cs="Arial"/>
                <w:sz w:val="20"/>
                <w:szCs w:val="20"/>
              </w:rPr>
            </w:pPr>
          </w:p>
        </w:tc>
      </w:tr>
      <w:tr w:rsidR="00EF1C6A" w:rsidRPr="006B1802" w:rsidTr="00EF52C3">
        <w:trPr>
          <w:cantSplit/>
          <w:trHeight w:val="360"/>
        </w:trPr>
        <w:tc>
          <w:tcPr>
            <w:tcW w:w="1043" w:type="pct"/>
            <w:tcBorders>
              <w:top w:val="single" w:sz="4" w:space="0" w:color="auto"/>
              <w:left w:val="single" w:sz="4" w:space="0" w:color="auto"/>
              <w:bottom w:val="single" w:sz="4" w:space="0" w:color="auto"/>
              <w:right w:val="single" w:sz="4" w:space="0" w:color="auto"/>
            </w:tcBorders>
          </w:tcPr>
          <w:p w:rsidR="00EF1C6A" w:rsidRPr="00E20016" w:rsidRDefault="00EF1C6A" w:rsidP="00B93A10">
            <w:pPr>
              <w:spacing w:before="40" w:after="40"/>
              <w:rPr>
                <w:rFonts w:ascii="Arial Narrow" w:hAnsi="Arial Narrow" w:cs="Arial"/>
                <w:sz w:val="20"/>
                <w:szCs w:val="20"/>
              </w:rPr>
            </w:pPr>
            <w:r w:rsidRPr="00E20016">
              <w:rPr>
                <w:rFonts w:ascii="Arial Narrow" w:hAnsi="Arial Narrow" w:cs="Arial"/>
                <w:sz w:val="20"/>
                <w:szCs w:val="20"/>
              </w:rPr>
              <w:t>Caution</w:t>
            </w:r>
          </w:p>
          <w:p w:rsidR="00EF1C6A" w:rsidRPr="006B1802" w:rsidRDefault="00EF1C6A" w:rsidP="00B93A10">
            <w:pPr>
              <w:spacing w:before="40" w:after="40"/>
              <w:rPr>
                <w:rFonts w:ascii="Arial Narrow" w:hAnsi="Arial Narrow" w:cs="Arial"/>
                <w:sz w:val="18"/>
                <w:szCs w:val="20"/>
              </w:rPr>
            </w:pPr>
          </w:p>
        </w:tc>
        <w:tc>
          <w:tcPr>
            <w:tcW w:w="3957" w:type="pct"/>
            <w:gridSpan w:val="7"/>
            <w:tcBorders>
              <w:top w:val="single" w:sz="4" w:space="0" w:color="auto"/>
              <w:left w:val="single" w:sz="4" w:space="0" w:color="auto"/>
              <w:bottom w:val="single" w:sz="4" w:space="0" w:color="auto"/>
              <w:right w:val="single" w:sz="4" w:space="0" w:color="auto"/>
            </w:tcBorders>
          </w:tcPr>
          <w:p w:rsidR="003C11C5" w:rsidRDefault="003C11C5" w:rsidP="00B93A10">
            <w:pPr>
              <w:spacing w:before="40" w:after="40"/>
              <w:rPr>
                <w:rFonts w:ascii="Arial Narrow" w:hAnsi="Arial Narrow" w:cs="Arial"/>
                <w:sz w:val="20"/>
                <w:szCs w:val="20"/>
              </w:rPr>
            </w:pPr>
            <w:r w:rsidRPr="00F873DB">
              <w:rPr>
                <w:rFonts w:ascii="Arial Narrow" w:hAnsi="Arial Narrow" w:cs="Arial"/>
                <w:sz w:val="20"/>
                <w:szCs w:val="20"/>
              </w:rPr>
              <w:t xml:space="preserve">Tolvaptan has been associated with idiosyncratic </w:t>
            </w:r>
            <w:r>
              <w:rPr>
                <w:rFonts w:ascii="Arial Narrow" w:hAnsi="Arial Narrow" w:cs="Arial"/>
                <w:sz w:val="20"/>
                <w:szCs w:val="20"/>
              </w:rPr>
              <w:t>hepatic toxicity</w:t>
            </w:r>
            <w:r w:rsidRPr="00F873DB">
              <w:rPr>
                <w:rFonts w:ascii="Arial Narrow" w:hAnsi="Arial Narrow" w:cs="Arial"/>
                <w:sz w:val="20"/>
                <w:szCs w:val="20"/>
              </w:rPr>
              <w:t>.</w:t>
            </w:r>
            <w:r>
              <w:rPr>
                <w:rFonts w:ascii="Arial Narrow" w:hAnsi="Arial Narrow" w:cs="Arial"/>
                <w:sz w:val="20"/>
                <w:szCs w:val="20"/>
              </w:rPr>
              <w:t xml:space="preserve"> Liver fu</w:t>
            </w:r>
            <w:r w:rsidR="00127672">
              <w:rPr>
                <w:rFonts w:ascii="Arial Narrow" w:hAnsi="Arial Narrow" w:cs="Arial"/>
                <w:sz w:val="20"/>
                <w:szCs w:val="20"/>
              </w:rPr>
              <w:t>nction monitoring is required</w:t>
            </w:r>
            <w:r>
              <w:rPr>
                <w:rFonts w:ascii="Arial Narrow" w:hAnsi="Arial Narrow" w:cs="Arial"/>
                <w:sz w:val="20"/>
                <w:szCs w:val="20"/>
              </w:rPr>
              <w:t>.</w:t>
            </w:r>
          </w:p>
          <w:p w:rsidR="00EF1C6A" w:rsidRPr="006B1802" w:rsidRDefault="00EF1C6A" w:rsidP="00B93A10">
            <w:pPr>
              <w:spacing w:before="40" w:after="40"/>
              <w:rPr>
                <w:rFonts w:ascii="Arial Narrow" w:hAnsi="Arial Narrow" w:cs="Arial"/>
                <w:sz w:val="20"/>
                <w:szCs w:val="20"/>
              </w:rPr>
            </w:pPr>
          </w:p>
        </w:tc>
      </w:tr>
    </w:tbl>
    <w:p w:rsidR="007F6BD3" w:rsidRPr="006B1802" w:rsidRDefault="007F6BD3" w:rsidP="00B93A10">
      <w:pPr>
        <w:rPr>
          <w:lang w:eastAsia="en-US"/>
        </w:rPr>
      </w:pPr>
    </w:p>
    <w:p w:rsidR="00517915" w:rsidRDefault="00517915" w:rsidP="00517915">
      <w:pPr>
        <w:pStyle w:val="PBACHeading1"/>
        <w:keepNext/>
        <w:spacing w:before="240" w:after="120"/>
        <w:ind w:left="709" w:hanging="709"/>
        <w:rPr>
          <w:rFonts w:asciiTheme="minorHAnsi" w:hAnsiTheme="minorHAnsi"/>
        </w:rPr>
      </w:pPr>
      <w:r>
        <w:rPr>
          <w:rFonts w:asciiTheme="minorHAnsi" w:hAnsiTheme="minorHAnsi"/>
          <w:sz w:val="32"/>
          <w:szCs w:val="32"/>
        </w:rPr>
        <w:t>Context for Decision</w:t>
      </w:r>
    </w:p>
    <w:p w:rsidR="00517915" w:rsidRPr="00517915" w:rsidRDefault="00517915" w:rsidP="00517915">
      <w:pPr>
        <w:spacing w:line="276" w:lineRule="auto"/>
        <w:jc w:val="both"/>
        <w:rPr>
          <w:rFonts w:asciiTheme="minorHAnsi" w:eastAsiaTheme="minorHAnsi" w:hAnsiTheme="minorHAnsi" w:cs="Arial"/>
          <w:szCs w:val="22"/>
          <w:lang w:eastAsia="en-US"/>
        </w:rPr>
      </w:pPr>
      <w:r w:rsidRPr="00517915">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17915" w:rsidRPr="00517915" w:rsidRDefault="00517915" w:rsidP="00517915">
      <w:pPr>
        <w:pStyle w:val="PBACHeading1"/>
        <w:keepNext/>
        <w:spacing w:before="240" w:after="120"/>
        <w:ind w:left="709" w:hanging="709"/>
        <w:rPr>
          <w:rFonts w:asciiTheme="minorHAnsi" w:hAnsiTheme="minorHAnsi"/>
          <w:sz w:val="32"/>
          <w:szCs w:val="32"/>
        </w:rPr>
      </w:pPr>
      <w:r>
        <w:rPr>
          <w:rFonts w:asciiTheme="minorHAnsi" w:hAnsiTheme="minorHAnsi"/>
          <w:sz w:val="32"/>
          <w:szCs w:val="32"/>
        </w:rPr>
        <w:t xml:space="preserve">Sponsor’s Comment </w:t>
      </w:r>
    </w:p>
    <w:p w:rsidR="004746E3" w:rsidRPr="00C07617" w:rsidRDefault="004746E3" w:rsidP="004746E3">
      <w:pPr>
        <w:spacing w:after="120"/>
        <w:jc w:val="both"/>
        <w:rPr>
          <w:rFonts w:asciiTheme="minorHAnsi" w:hAnsiTheme="minorHAnsi" w:cs="Arial"/>
          <w:bCs/>
        </w:rPr>
      </w:pPr>
      <w:r w:rsidRPr="004746E3">
        <w:rPr>
          <w:rFonts w:asciiTheme="minorHAnsi" w:hAnsiTheme="minorHAnsi" w:cs="Arial"/>
          <w:bCs/>
          <w:lang w:val="en-GB"/>
        </w:rPr>
        <w:t>Otsuka welcomes the PBAC’s positive recommendation and will keep working with the Department of Health to offer a treatment option to ADPKD patients in Australia as soon as possible.</w:t>
      </w:r>
      <w:r w:rsidRPr="004746E3" w:rsidDel="00C71398">
        <w:rPr>
          <w:rFonts w:asciiTheme="minorHAnsi" w:hAnsiTheme="minorHAnsi" w:cs="Arial"/>
          <w:bCs/>
          <w:lang w:val="en-GB"/>
        </w:rPr>
        <w:t xml:space="preserve"> </w:t>
      </w:r>
    </w:p>
    <w:p w:rsidR="0085219E" w:rsidRPr="00517915" w:rsidRDefault="0085219E" w:rsidP="00517915">
      <w:pPr>
        <w:rPr>
          <w:lang w:eastAsia="en-US"/>
        </w:rPr>
      </w:pPr>
    </w:p>
    <w:sectPr w:rsidR="0085219E" w:rsidRPr="00517915" w:rsidSect="00DC7F48">
      <w:headerReference w:type="even" r:id="rId15"/>
      <w:headerReference w:type="default" r:id="rId16"/>
      <w:footerReference w:type="even" r:id="rId17"/>
      <w:footerReference w:type="default" r:id="rId18"/>
      <w:headerReference w:type="first" r:id="rId19"/>
      <w:footerReference w:type="first" r:id="rId20"/>
      <w:pgSz w:w="11906" w:h="16838" w:code="9"/>
      <w:pgMar w:top="1780" w:right="1440" w:bottom="1440" w:left="1440" w:header="1276"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0F6FE" w15:done="0"/>
  <w15:commentEx w15:paraId="49206E40" w15:done="0"/>
  <w15:commentEx w15:paraId="7C327060" w15:done="0"/>
  <w15:commentEx w15:paraId="360E1EFE" w15:done="0"/>
  <w15:commentEx w15:paraId="56C7C386" w15:done="0"/>
  <w15:commentEx w15:paraId="48A4CFEF" w15:done="0"/>
  <w15:commentEx w15:paraId="75C9DF02" w15:paraIdParent="48A4CFEF" w15:done="0"/>
  <w15:commentEx w15:paraId="5C7D521A" w15:done="0"/>
  <w15:commentEx w15:paraId="4EC38B62" w15:done="0"/>
  <w15:commentEx w15:paraId="73E0D120" w15:done="0"/>
  <w15:commentEx w15:paraId="4DA1B309" w15:paraIdParent="73E0D120" w15:done="0"/>
  <w15:commentEx w15:paraId="7023F098" w15:done="0"/>
  <w15:commentEx w15:paraId="2DD1F95F" w15:done="0"/>
  <w15:commentEx w15:paraId="6B58789E" w15:paraIdParent="2DD1F95F" w15:done="0"/>
  <w15:commentEx w15:paraId="069DFFE0" w15:done="0"/>
  <w15:commentEx w15:paraId="766DF1AA" w15:paraIdParent="069DFFE0" w15:done="0"/>
  <w15:commentEx w15:paraId="72DCF6EC" w15:done="0"/>
  <w15:commentEx w15:paraId="21F9B8CB" w15:paraIdParent="72DCF6EC" w15:done="0"/>
  <w15:commentEx w15:paraId="0432FD5F" w15:done="0"/>
  <w15:commentEx w15:paraId="332ECC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EA" w:rsidRDefault="00B912EA">
      <w:r>
        <w:separator/>
      </w:r>
    </w:p>
    <w:p w:rsidR="00B912EA" w:rsidRDefault="00B912EA"/>
  </w:endnote>
  <w:endnote w:type="continuationSeparator" w:id="0">
    <w:p w:rsidR="00B912EA" w:rsidRDefault="00B912EA">
      <w:r>
        <w:continuationSeparator/>
      </w:r>
    </w:p>
    <w:p w:rsidR="00B912EA" w:rsidRDefault="00B9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97CB0" w:rsidTr="005A3173">
      <w:trPr>
        <w:trHeight w:val="151"/>
      </w:trPr>
      <w:tc>
        <w:tcPr>
          <w:tcW w:w="2250" w:type="pct"/>
          <w:tcBorders>
            <w:top w:val="nil"/>
            <w:left w:val="nil"/>
            <w:bottom w:val="single" w:sz="4" w:space="0" w:color="4F81BD"/>
            <w:right w:val="nil"/>
          </w:tcBorders>
        </w:tcPr>
        <w:p w:rsidR="00297CB0" w:rsidRPr="005A3173" w:rsidRDefault="00297CB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97CB0" w:rsidRPr="005A3173" w:rsidRDefault="00297CB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97CB0" w:rsidRPr="005A3173" w:rsidRDefault="00297CB0" w:rsidP="005A3173">
          <w:pPr>
            <w:pStyle w:val="Header"/>
            <w:spacing w:line="276" w:lineRule="auto"/>
            <w:rPr>
              <w:rFonts w:ascii="Calibri" w:eastAsia="MS Gothic" w:hAnsi="Calibri"/>
              <w:b/>
              <w:bCs/>
              <w:color w:val="4F81BD"/>
            </w:rPr>
          </w:pPr>
        </w:p>
      </w:tc>
    </w:tr>
    <w:tr w:rsidR="00297CB0" w:rsidTr="005A3173">
      <w:trPr>
        <w:trHeight w:val="150"/>
      </w:trPr>
      <w:tc>
        <w:tcPr>
          <w:tcW w:w="2250" w:type="pct"/>
          <w:tcBorders>
            <w:top w:val="single" w:sz="4" w:space="0" w:color="4F81BD"/>
            <w:left w:val="nil"/>
            <w:bottom w:val="nil"/>
            <w:right w:val="nil"/>
          </w:tcBorders>
        </w:tcPr>
        <w:p w:rsidR="00297CB0" w:rsidRPr="005A3173" w:rsidRDefault="00297CB0" w:rsidP="005A3173">
          <w:pPr>
            <w:pStyle w:val="Header"/>
            <w:spacing w:line="276" w:lineRule="auto"/>
            <w:rPr>
              <w:rFonts w:ascii="Calibri" w:eastAsia="MS Gothic" w:hAnsi="Calibri"/>
              <w:b/>
              <w:bCs/>
              <w:color w:val="4F81BD"/>
            </w:rPr>
          </w:pPr>
        </w:p>
      </w:tc>
      <w:tc>
        <w:tcPr>
          <w:tcW w:w="0" w:type="auto"/>
          <w:vMerge/>
          <w:vAlign w:val="center"/>
          <w:hideMark/>
        </w:tcPr>
        <w:p w:rsidR="00297CB0" w:rsidRPr="005A3173" w:rsidRDefault="00297CB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97CB0" w:rsidRPr="005A3173" w:rsidRDefault="00297CB0" w:rsidP="005A3173">
          <w:pPr>
            <w:pStyle w:val="Header"/>
            <w:spacing w:line="276" w:lineRule="auto"/>
            <w:rPr>
              <w:rFonts w:ascii="Calibri" w:eastAsia="MS Gothic" w:hAnsi="Calibri"/>
              <w:b/>
              <w:bCs/>
              <w:color w:val="4F81BD"/>
            </w:rPr>
          </w:pPr>
        </w:p>
      </w:tc>
    </w:tr>
  </w:tbl>
  <w:p w:rsidR="00297CB0" w:rsidRDefault="00297CB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7CB0" w:rsidRDefault="00297CB0">
    <w:pPr>
      <w:pStyle w:val="Footer"/>
    </w:pPr>
  </w:p>
  <w:p w:rsidR="00297CB0" w:rsidRDefault="00297C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469071"/>
      <w:docPartObj>
        <w:docPartGallery w:val="Page Numbers (Bottom of Page)"/>
        <w:docPartUnique/>
      </w:docPartObj>
    </w:sdtPr>
    <w:sdtEndPr>
      <w:rPr>
        <w:rFonts w:asciiTheme="minorHAnsi" w:hAnsiTheme="minorHAnsi" w:cstheme="minorHAnsi"/>
        <w:noProof/>
      </w:rPr>
    </w:sdtEndPr>
    <w:sdtContent>
      <w:p w:rsidR="00297CB0" w:rsidRPr="006A4D78" w:rsidRDefault="00297CB0">
        <w:pPr>
          <w:pStyle w:val="Footer"/>
          <w:jc w:val="center"/>
          <w:rPr>
            <w:rFonts w:asciiTheme="minorHAnsi" w:hAnsiTheme="minorHAnsi" w:cstheme="minorHAnsi"/>
          </w:rPr>
        </w:pPr>
        <w:r w:rsidRPr="006A4D78">
          <w:rPr>
            <w:rFonts w:asciiTheme="minorHAnsi" w:hAnsiTheme="minorHAnsi" w:cstheme="minorHAnsi"/>
          </w:rPr>
          <w:fldChar w:fldCharType="begin"/>
        </w:r>
        <w:r w:rsidRPr="006A4D78">
          <w:rPr>
            <w:rFonts w:asciiTheme="minorHAnsi" w:hAnsiTheme="minorHAnsi" w:cstheme="minorHAnsi"/>
          </w:rPr>
          <w:instrText xml:space="preserve"> PAGE   \* MERGEFORMAT </w:instrText>
        </w:r>
        <w:r w:rsidRPr="006A4D78">
          <w:rPr>
            <w:rFonts w:asciiTheme="minorHAnsi" w:hAnsiTheme="minorHAnsi" w:cstheme="minorHAnsi"/>
          </w:rPr>
          <w:fldChar w:fldCharType="separate"/>
        </w:r>
        <w:r w:rsidR="00194BE9">
          <w:rPr>
            <w:rFonts w:asciiTheme="minorHAnsi" w:hAnsiTheme="minorHAnsi" w:cstheme="minorHAnsi"/>
            <w:noProof/>
          </w:rPr>
          <w:t>2</w:t>
        </w:r>
        <w:r w:rsidRPr="006A4D78">
          <w:rPr>
            <w:rFonts w:asciiTheme="minorHAnsi" w:hAnsiTheme="minorHAnsi" w:cstheme="minorHAnsi"/>
            <w:noProof/>
          </w:rPr>
          <w:fldChar w:fldCharType="end"/>
        </w:r>
      </w:p>
    </w:sdtContent>
  </w:sdt>
  <w:p w:rsidR="00297CB0" w:rsidRDefault="00297CB0"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97CB0" w:rsidTr="005A3173">
      <w:trPr>
        <w:trHeight w:val="151"/>
      </w:trPr>
      <w:tc>
        <w:tcPr>
          <w:tcW w:w="2250" w:type="pct"/>
          <w:tcBorders>
            <w:top w:val="nil"/>
            <w:left w:val="nil"/>
            <w:bottom w:val="single" w:sz="4" w:space="0" w:color="4F81BD"/>
            <w:right w:val="nil"/>
          </w:tcBorders>
        </w:tcPr>
        <w:p w:rsidR="00297CB0" w:rsidRPr="005A3173" w:rsidRDefault="00297CB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97CB0" w:rsidRPr="005A3173" w:rsidRDefault="00297CB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97CB0" w:rsidRPr="005A3173" w:rsidRDefault="00297CB0" w:rsidP="005A3173">
          <w:pPr>
            <w:pStyle w:val="Header"/>
            <w:spacing w:line="276" w:lineRule="auto"/>
            <w:rPr>
              <w:rFonts w:ascii="Calibri" w:eastAsia="MS Gothic" w:hAnsi="Calibri"/>
              <w:b/>
              <w:bCs/>
              <w:color w:val="4F81BD"/>
            </w:rPr>
          </w:pPr>
        </w:p>
      </w:tc>
    </w:tr>
    <w:tr w:rsidR="00297CB0" w:rsidTr="005A3173">
      <w:trPr>
        <w:trHeight w:val="150"/>
      </w:trPr>
      <w:tc>
        <w:tcPr>
          <w:tcW w:w="2250" w:type="pct"/>
          <w:tcBorders>
            <w:top w:val="single" w:sz="4" w:space="0" w:color="4F81BD"/>
            <w:left w:val="nil"/>
            <w:bottom w:val="nil"/>
            <w:right w:val="nil"/>
          </w:tcBorders>
        </w:tcPr>
        <w:p w:rsidR="00297CB0" w:rsidRPr="005A3173" w:rsidRDefault="00297CB0" w:rsidP="005A3173">
          <w:pPr>
            <w:pStyle w:val="Header"/>
            <w:spacing w:line="276" w:lineRule="auto"/>
            <w:rPr>
              <w:rFonts w:ascii="Calibri" w:eastAsia="MS Gothic" w:hAnsi="Calibri"/>
              <w:b/>
              <w:bCs/>
              <w:color w:val="4F81BD"/>
            </w:rPr>
          </w:pPr>
        </w:p>
      </w:tc>
      <w:tc>
        <w:tcPr>
          <w:tcW w:w="0" w:type="auto"/>
          <w:vMerge/>
          <w:vAlign w:val="center"/>
          <w:hideMark/>
        </w:tcPr>
        <w:p w:rsidR="00297CB0" w:rsidRPr="005A3173" w:rsidRDefault="00297CB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97CB0" w:rsidRPr="005A3173" w:rsidRDefault="00297CB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97CB0" w:rsidTr="005A3173">
      <w:trPr>
        <w:trHeight w:val="151"/>
      </w:trPr>
      <w:tc>
        <w:tcPr>
          <w:tcW w:w="2250" w:type="pct"/>
          <w:tcBorders>
            <w:top w:val="nil"/>
            <w:left w:val="nil"/>
            <w:bottom w:val="single" w:sz="4" w:space="0" w:color="4F81BD"/>
            <w:right w:val="nil"/>
          </w:tcBorders>
        </w:tcPr>
        <w:p w:rsidR="00297CB0" w:rsidRPr="005A3173" w:rsidRDefault="00297CB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97CB0" w:rsidRPr="005A3173" w:rsidRDefault="00297CB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97CB0" w:rsidRPr="005A3173" w:rsidRDefault="00297CB0" w:rsidP="005A3173">
          <w:pPr>
            <w:pStyle w:val="Header"/>
            <w:spacing w:line="276" w:lineRule="auto"/>
            <w:rPr>
              <w:rFonts w:ascii="Calibri" w:eastAsia="MS Gothic" w:hAnsi="Calibri"/>
              <w:b/>
              <w:bCs/>
              <w:color w:val="4F81BD"/>
            </w:rPr>
          </w:pPr>
        </w:p>
      </w:tc>
    </w:tr>
    <w:tr w:rsidR="00297CB0" w:rsidTr="005A3173">
      <w:trPr>
        <w:trHeight w:val="150"/>
      </w:trPr>
      <w:tc>
        <w:tcPr>
          <w:tcW w:w="2250" w:type="pct"/>
          <w:tcBorders>
            <w:top w:val="single" w:sz="4" w:space="0" w:color="4F81BD"/>
            <w:left w:val="nil"/>
            <w:bottom w:val="nil"/>
            <w:right w:val="nil"/>
          </w:tcBorders>
        </w:tcPr>
        <w:p w:rsidR="00297CB0" w:rsidRPr="005A3173" w:rsidRDefault="00297CB0" w:rsidP="005A3173">
          <w:pPr>
            <w:pStyle w:val="Header"/>
            <w:spacing w:line="276" w:lineRule="auto"/>
            <w:rPr>
              <w:rFonts w:ascii="Calibri" w:eastAsia="MS Gothic" w:hAnsi="Calibri"/>
              <w:b/>
              <w:bCs/>
              <w:color w:val="4F81BD"/>
            </w:rPr>
          </w:pPr>
        </w:p>
      </w:tc>
      <w:tc>
        <w:tcPr>
          <w:tcW w:w="0" w:type="auto"/>
          <w:vMerge/>
          <w:vAlign w:val="center"/>
          <w:hideMark/>
        </w:tcPr>
        <w:p w:rsidR="00297CB0" w:rsidRPr="005A3173" w:rsidRDefault="00297CB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97CB0" w:rsidRPr="005A3173" w:rsidRDefault="00297CB0" w:rsidP="005A3173">
          <w:pPr>
            <w:pStyle w:val="Header"/>
            <w:spacing w:line="276" w:lineRule="auto"/>
            <w:rPr>
              <w:rFonts w:ascii="Calibri" w:eastAsia="MS Gothic" w:hAnsi="Calibri"/>
              <w:b/>
              <w:bCs/>
              <w:color w:val="4F81BD"/>
            </w:rPr>
          </w:pPr>
        </w:p>
      </w:tc>
    </w:tr>
  </w:tbl>
  <w:p w:rsidR="00297CB0" w:rsidRPr="007C0F57" w:rsidRDefault="00297CB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97CB0" w:rsidRPr="007C0F57" w:rsidRDefault="00297CB0" w:rsidP="007C0F57">
    <w:pPr>
      <w:pStyle w:val="Footer"/>
      <w:jc w:val="center"/>
      <w:rPr>
        <w:b/>
        <w:i/>
        <w:sz w:val="20"/>
        <w:szCs w:val="20"/>
      </w:rPr>
    </w:pPr>
    <w:r w:rsidRPr="007C0F57">
      <w:rPr>
        <w:b/>
        <w:i/>
        <w:sz w:val="20"/>
        <w:szCs w:val="20"/>
      </w:rPr>
      <w:t>Commercial-in-Confidence</w:t>
    </w:r>
  </w:p>
  <w:p w:rsidR="00297CB0" w:rsidRDefault="00297C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EA" w:rsidRDefault="00B912EA">
      <w:r>
        <w:separator/>
      </w:r>
    </w:p>
    <w:p w:rsidR="00B912EA" w:rsidRDefault="00B912EA"/>
  </w:footnote>
  <w:footnote w:type="continuationSeparator" w:id="0">
    <w:p w:rsidR="00B912EA" w:rsidRDefault="00B912EA">
      <w:r>
        <w:continuationSeparator/>
      </w:r>
    </w:p>
    <w:p w:rsidR="00B912EA" w:rsidRDefault="00B912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97CB0" w:rsidRPr="008E0D90" w:rsidTr="00A06225">
      <w:trPr>
        <w:trHeight w:val="151"/>
      </w:trPr>
      <w:tc>
        <w:tcPr>
          <w:tcW w:w="2389" w:type="pct"/>
          <w:tcBorders>
            <w:top w:val="nil"/>
            <w:left w:val="nil"/>
            <w:bottom w:val="single" w:sz="4" w:space="0" w:color="4F81BD"/>
            <w:right w:val="nil"/>
          </w:tcBorders>
        </w:tcPr>
        <w:p w:rsidR="00297CB0" w:rsidRPr="00A06225" w:rsidRDefault="00297CB0">
          <w:pPr>
            <w:pStyle w:val="Header"/>
            <w:spacing w:line="276" w:lineRule="auto"/>
            <w:rPr>
              <w:rFonts w:ascii="Cambria" w:eastAsia="MS Gothic" w:hAnsi="Cambria"/>
              <w:b/>
              <w:bCs/>
              <w:color w:val="4F81BD"/>
            </w:rPr>
          </w:pPr>
        </w:p>
      </w:tc>
      <w:tc>
        <w:tcPr>
          <w:tcW w:w="333" w:type="pct"/>
          <w:vMerge w:val="restart"/>
          <w:noWrap/>
          <w:vAlign w:val="center"/>
          <w:hideMark/>
        </w:tcPr>
        <w:p w:rsidR="00297CB0" w:rsidRPr="00A06225" w:rsidRDefault="00297CB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97CB0" w:rsidRPr="00A06225" w:rsidRDefault="00297CB0">
          <w:pPr>
            <w:pStyle w:val="Header"/>
            <w:spacing w:line="276" w:lineRule="auto"/>
            <w:rPr>
              <w:rFonts w:ascii="Cambria" w:eastAsia="MS Gothic" w:hAnsi="Cambria"/>
              <w:b/>
              <w:bCs/>
              <w:color w:val="4F81BD"/>
            </w:rPr>
          </w:pPr>
        </w:p>
      </w:tc>
    </w:tr>
    <w:tr w:rsidR="00297CB0" w:rsidRPr="008E0D90" w:rsidTr="00A06225">
      <w:trPr>
        <w:trHeight w:val="150"/>
      </w:trPr>
      <w:tc>
        <w:tcPr>
          <w:tcW w:w="2389" w:type="pct"/>
          <w:tcBorders>
            <w:top w:val="single" w:sz="4" w:space="0" w:color="4F81BD"/>
            <w:left w:val="nil"/>
            <w:bottom w:val="nil"/>
            <w:right w:val="nil"/>
          </w:tcBorders>
        </w:tcPr>
        <w:p w:rsidR="00297CB0" w:rsidRPr="00A06225" w:rsidRDefault="00297CB0">
          <w:pPr>
            <w:pStyle w:val="Header"/>
            <w:spacing w:line="276" w:lineRule="auto"/>
            <w:rPr>
              <w:rFonts w:ascii="Cambria" w:eastAsia="MS Gothic" w:hAnsi="Cambria"/>
              <w:b/>
              <w:bCs/>
              <w:color w:val="4F81BD"/>
            </w:rPr>
          </w:pPr>
        </w:p>
      </w:tc>
      <w:tc>
        <w:tcPr>
          <w:tcW w:w="0" w:type="auto"/>
          <w:vMerge/>
          <w:vAlign w:val="center"/>
          <w:hideMark/>
        </w:tcPr>
        <w:p w:rsidR="00297CB0" w:rsidRPr="00A06225" w:rsidRDefault="00297CB0">
          <w:pPr>
            <w:rPr>
              <w:rFonts w:ascii="Cambria" w:hAnsi="Cambria"/>
              <w:color w:val="4F81BD"/>
              <w:sz w:val="22"/>
              <w:szCs w:val="22"/>
            </w:rPr>
          </w:pPr>
        </w:p>
      </w:tc>
      <w:tc>
        <w:tcPr>
          <w:tcW w:w="2278" w:type="pct"/>
          <w:tcBorders>
            <w:top w:val="single" w:sz="4" w:space="0" w:color="4F81BD"/>
            <w:left w:val="nil"/>
            <w:bottom w:val="nil"/>
            <w:right w:val="nil"/>
          </w:tcBorders>
        </w:tcPr>
        <w:p w:rsidR="00297CB0" w:rsidRPr="00A06225" w:rsidRDefault="00297CB0">
          <w:pPr>
            <w:pStyle w:val="Header"/>
            <w:spacing w:line="276" w:lineRule="auto"/>
            <w:rPr>
              <w:rFonts w:ascii="Cambria" w:eastAsia="MS Gothic" w:hAnsi="Cambria"/>
              <w:b/>
              <w:bCs/>
              <w:color w:val="4F81BD"/>
            </w:rPr>
          </w:pPr>
        </w:p>
      </w:tc>
    </w:tr>
  </w:tbl>
  <w:p w:rsidR="00297CB0" w:rsidRDefault="00297CB0">
    <w:pPr>
      <w:pStyle w:val="Header"/>
    </w:pPr>
  </w:p>
  <w:p w:rsidR="00297CB0" w:rsidRDefault="00297C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B0" w:rsidRPr="00517915" w:rsidRDefault="00297CB0" w:rsidP="00517915">
    <w:pPr>
      <w:tabs>
        <w:tab w:val="center" w:pos="4513"/>
        <w:tab w:val="right" w:pos="9026"/>
      </w:tabs>
      <w:jc w:val="center"/>
      <w:rPr>
        <w:rFonts w:asciiTheme="minorHAnsi" w:eastAsiaTheme="minorHAnsi" w:hAnsiTheme="minorHAnsi" w:cstheme="minorHAnsi"/>
        <w:i/>
        <w:color w:val="808080"/>
        <w:sz w:val="22"/>
        <w:szCs w:val="22"/>
        <w:lang w:eastAsia="en-US"/>
      </w:rPr>
    </w:pPr>
    <w:r w:rsidRPr="00517915">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517915">
      <w:rPr>
        <w:rFonts w:asciiTheme="minorHAnsi" w:eastAsiaTheme="minorHAnsi" w:hAnsiTheme="minorHAnsi" w:cstheme="minorHAnsi"/>
        <w:i/>
        <w:color w:val="808080"/>
        <w:sz w:val="22"/>
        <w:szCs w:val="22"/>
        <w:lang w:eastAsia="en-US"/>
      </w:rPr>
      <w:t xml:space="preserve"> PBAC Meeting</w:t>
    </w:r>
  </w:p>
  <w:p w:rsidR="00297CB0" w:rsidRDefault="00297CB0"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EA" w:rsidRDefault="00B91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36700E8"/>
    <w:multiLevelType w:val="hybridMultilevel"/>
    <w:tmpl w:val="A642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2A3EF4"/>
    <w:multiLevelType w:val="hybridMultilevel"/>
    <w:tmpl w:val="EB6C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7C34E2"/>
    <w:multiLevelType w:val="hybridMultilevel"/>
    <w:tmpl w:val="64C2F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06D1FAF"/>
    <w:multiLevelType w:val="hybridMultilevel"/>
    <w:tmpl w:val="B8EA6C32"/>
    <w:lvl w:ilvl="0" w:tplc="65BEAA0A">
      <w:start w:val="1"/>
      <w:numFmt w:val="decimal"/>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9">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752F44"/>
    <w:multiLevelType w:val="hybridMultilevel"/>
    <w:tmpl w:val="E70C344C"/>
    <w:lvl w:ilvl="0" w:tplc="0C09000F">
      <w:start w:val="1"/>
      <w:numFmt w:val="decimal"/>
      <w:lvlText w:val="%1."/>
      <w:lvlJc w:val="left"/>
      <w:pPr>
        <w:ind w:left="1490" w:hanging="360"/>
      </w:p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2">
    <w:nsid w:val="66186639"/>
    <w:multiLevelType w:val="hybridMultilevel"/>
    <w:tmpl w:val="B64AD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CC275D"/>
    <w:multiLevelType w:val="multilevel"/>
    <w:tmpl w:val="914207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ECD7D1D"/>
    <w:multiLevelType w:val="hybridMultilevel"/>
    <w:tmpl w:val="EF1EE2A6"/>
    <w:lvl w:ilvl="0" w:tplc="8B0E0F6A">
      <w:start w:val="1"/>
      <w:numFmt w:val="decimal"/>
      <w:lvlText w:val="%1."/>
      <w:lvlJc w:val="left"/>
      <w:pPr>
        <w:ind w:left="720" w:hanging="360"/>
      </w:pPr>
      <w:rPr>
        <w:rFonts w:asciiTheme="minorHAnsi" w:hAnsi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7B534BB"/>
    <w:multiLevelType w:val="hybridMultilevel"/>
    <w:tmpl w:val="F224F0DE"/>
    <w:lvl w:ilvl="0" w:tplc="6A98A3A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4D033C"/>
    <w:multiLevelType w:val="multilevel"/>
    <w:tmpl w:val="90569790"/>
    <w:lvl w:ilvl="0">
      <w:start w:val="1"/>
      <w:numFmt w:val="decimal"/>
      <w:pStyle w:val="PBACHeading1"/>
      <w:lvlText w:val="%1"/>
      <w:lvlJc w:val="left"/>
      <w:pPr>
        <w:ind w:left="720" w:hanging="720"/>
      </w:pPr>
      <w:rPr>
        <w:rFonts w:hint="default"/>
        <w:b/>
        <w:sz w:val="32"/>
        <w:szCs w:val="32"/>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6"/>
  </w:num>
  <w:num w:numId="4">
    <w:abstractNumId w:val="17"/>
  </w:num>
  <w:num w:numId="5">
    <w:abstractNumId w:val="26"/>
  </w:num>
  <w:num w:numId="6">
    <w:abstractNumId w:val="8"/>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6"/>
  </w:num>
  <w:num w:numId="15">
    <w:abstractNumId w:val="16"/>
  </w:num>
  <w:num w:numId="16">
    <w:abstractNumId w:val="7"/>
  </w:num>
  <w:num w:numId="17">
    <w:abstractNumId w:val="21"/>
  </w:num>
  <w:num w:numId="18">
    <w:abstractNumId w:val="18"/>
  </w:num>
  <w:num w:numId="19">
    <w:abstractNumId w:val="24"/>
  </w:num>
  <w:num w:numId="20">
    <w:abstractNumId w:val="22"/>
  </w:num>
  <w:num w:numId="21">
    <w:abstractNumId w:val="23"/>
  </w:num>
  <w:num w:numId="22">
    <w:abstractNumId w:val="9"/>
  </w:num>
  <w:num w:numId="23">
    <w:abstractNumId w:val="25"/>
  </w:num>
  <w:num w:numId="24">
    <w:abstractNumId w:val="5"/>
  </w:num>
  <w:num w:numId="25">
    <w:abstractNumId w:val="2"/>
  </w:num>
  <w:num w:numId="26">
    <w:abstractNumId w:val="11"/>
  </w:num>
  <w:num w:numId="27">
    <w:abstractNumId w:val="19"/>
  </w:num>
  <w:num w:numId="28">
    <w:abstractNumId w:val="20"/>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Lang">
    <w15:presenceInfo w15:providerId="AD" w15:userId="S-1-5-21-1451058757-1749049392-1947940980-40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AF1"/>
    <w:rsid w:val="000025AD"/>
    <w:rsid w:val="0000335D"/>
    <w:rsid w:val="00005DD7"/>
    <w:rsid w:val="00007C32"/>
    <w:rsid w:val="00013AC2"/>
    <w:rsid w:val="00014A1F"/>
    <w:rsid w:val="0001500E"/>
    <w:rsid w:val="00022FE3"/>
    <w:rsid w:val="000238EF"/>
    <w:rsid w:val="0002464A"/>
    <w:rsid w:val="0003106B"/>
    <w:rsid w:val="000325AF"/>
    <w:rsid w:val="000421A1"/>
    <w:rsid w:val="0004240E"/>
    <w:rsid w:val="00045E26"/>
    <w:rsid w:val="000514B5"/>
    <w:rsid w:val="00060E64"/>
    <w:rsid w:val="00066755"/>
    <w:rsid w:val="00067240"/>
    <w:rsid w:val="0007092F"/>
    <w:rsid w:val="000751C2"/>
    <w:rsid w:val="00076C0F"/>
    <w:rsid w:val="00077143"/>
    <w:rsid w:val="00082169"/>
    <w:rsid w:val="0008323D"/>
    <w:rsid w:val="000969AD"/>
    <w:rsid w:val="000A3937"/>
    <w:rsid w:val="000B558D"/>
    <w:rsid w:val="000C6996"/>
    <w:rsid w:val="000D23BA"/>
    <w:rsid w:val="000E681E"/>
    <w:rsid w:val="000E766E"/>
    <w:rsid w:val="000F0003"/>
    <w:rsid w:val="000F4E6A"/>
    <w:rsid w:val="000F66CB"/>
    <w:rsid w:val="000F7B68"/>
    <w:rsid w:val="00101840"/>
    <w:rsid w:val="00104227"/>
    <w:rsid w:val="001042AC"/>
    <w:rsid w:val="00104F2A"/>
    <w:rsid w:val="001107BF"/>
    <w:rsid w:val="00111C90"/>
    <w:rsid w:val="001127B1"/>
    <w:rsid w:val="001206F4"/>
    <w:rsid w:val="0012417C"/>
    <w:rsid w:val="00127672"/>
    <w:rsid w:val="001326D4"/>
    <w:rsid w:val="00137E2A"/>
    <w:rsid w:val="00142395"/>
    <w:rsid w:val="00142714"/>
    <w:rsid w:val="001452ED"/>
    <w:rsid w:val="0014764A"/>
    <w:rsid w:val="0015099D"/>
    <w:rsid w:val="00152F93"/>
    <w:rsid w:val="001533A5"/>
    <w:rsid w:val="00163329"/>
    <w:rsid w:val="001638C8"/>
    <w:rsid w:val="00164623"/>
    <w:rsid w:val="00165B64"/>
    <w:rsid w:val="00174DFE"/>
    <w:rsid w:val="00180713"/>
    <w:rsid w:val="001830CE"/>
    <w:rsid w:val="0018643B"/>
    <w:rsid w:val="00194BE9"/>
    <w:rsid w:val="00196307"/>
    <w:rsid w:val="001A33EA"/>
    <w:rsid w:val="001B017F"/>
    <w:rsid w:val="001B2BBC"/>
    <w:rsid w:val="001B5129"/>
    <w:rsid w:val="001B6DA3"/>
    <w:rsid w:val="001C1195"/>
    <w:rsid w:val="001D0C83"/>
    <w:rsid w:val="001E0660"/>
    <w:rsid w:val="001F1763"/>
    <w:rsid w:val="001F1850"/>
    <w:rsid w:val="0020039E"/>
    <w:rsid w:val="0020390C"/>
    <w:rsid w:val="00203FAC"/>
    <w:rsid w:val="00213CFB"/>
    <w:rsid w:val="00217BE1"/>
    <w:rsid w:val="00220736"/>
    <w:rsid w:val="002302AA"/>
    <w:rsid w:val="00230EBA"/>
    <w:rsid w:val="00234A3C"/>
    <w:rsid w:val="00247145"/>
    <w:rsid w:val="002501F6"/>
    <w:rsid w:val="0025521E"/>
    <w:rsid w:val="00271BA1"/>
    <w:rsid w:val="002762FA"/>
    <w:rsid w:val="00277505"/>
    <w:rsid w:val="00277ADD"/>
    <w:rsid w:val="002836DB"/>
    <w:rsid w:val="00287B21"/>
    <w:rsid w:val="0029458F"/>
    <w:rsid w:val="002946D4"/>
    <w:rsid w:val="00294C7B"/>
    <w:rsid w:val="00297B37"/>
    <w:rsid w:val="00297CB0"/>
    <w:rsid w:val="002A0ECC"/>
    <w:rsid w:val="002A104C"/>
    <w:rsid w:val="002A3811"/>
    <w:rsid w:val="002A4960"/>
    <w:rsid w:val="002B1AE6"/>
    <w:rsid w:val="002B2DE8"/>
    <w:rsid w:val="002B30F8"/>
    <w:rsid w:val="002B3B49"/>
    <w:rsid w:val="002B5596"/>
    <w:rsid w:val="002C212F"/>
    <w:rsid w:val="002C2563"/>
    <w:rsid w:val="002D4543"/>
    <w:rsid w:val="002E28FA"/>
    <w:rsid w:val="002E3153"/>
    <w:rsid w:val="002E353A"/>
    <w:rsid w:val="002E5197"/>
    <w:rsid w:val="002E72CA"/>
    <w:rsid w:val="002F015F"/>
    <w:rsid w:val="002F600D"/>
    <w:rsid w:val="00300AD6"/>
    <w:rsid w:val="00317C6C"/>
    <w:rsid w:val="00323D90"/>
    <w:rsid w:val="003248B4"/>
    <w:rsid w:val="00326E79"/>
    <w:rsid w:val="0033518A"/>
    <w:rsid w:val="003367EF"/>
    <w:rsid w:val="00341AE4"/>
    <w:rsid w:val="00351415"/>
    <w:rsid w:val="003576DB"/>
    <w:rsid w:val="00361ADC"/>
    <w:rsid w:val="003641D8"/>
    <w:rsid w:val="00366729"/>
    <w:rsid w:val="003669F5"/>
    <w:rsid w:val="00373867"/>
    <w:rsid w:val="003851C8"/>
    <w:rsid w:val="003872CF"/>
    <w:rsid w:val="0039186A"/>
    <w:rsid w:val="0039366D"/>
    <w:rsid w:val="0039782C"/>
    <w:rsid w:val="003A5B4A"/>
    <w:rsid w:val="003B23C5"/>
    <w:rsid w:val="003B2A75"/>
    <w:rsid w:val="003B34A4"/>
    <w:rsid w:val="003B6124"/>
    <w:rsid w:val="003C11C5"/>
    <w:rsid w:val="003C2FB5"/>
    <w:rsid w:val="003C3869"/>
    <w:rsid w:val="003C3922"/>
    <w:rsid w:val="003D29BC"/>
    <w:rsid w:val="003D4AC4"/>
    <w:rsid w:val="003D63B7"/>
    <w:rsid w:val="003E1A7D"/>
    <w:rsid w:val="003E2FEA"/>
    <w:rsid w:val="003E468B"/>
    <w:rsid w:val="003F0EB9"/>
    <w:rsid w:val="003F3228"/>
    <w:rsid w:val="003F5C8C"/>
    <w:rsid w:val="003F754F"/>
    <w:rsid w:val="003F7AA9"/>
    <w:rsid w:val="00400973"/>
    <w:rsid w:val="00406E6A"/>
    <w:rsid w:val="00414990"/>
    <w:rsid w:val="00420B5C"/>
    <w:rsid w:val="004252EC"/>
    <w:rsid w:val="0043640A"/>
    <w:rsid w:val="004465BD"/>
    <w:rsid w:val="00466ADA"/>
    <w:rsid w:val="00473C0C"/>
    <w:rsid w:val="004746E3"/>
    <w:rsid w:val="00476245"/>
    <w:rsid w:val="00482D49"/>
    <w:rsid w:val="00483035"/>
    <w:rsid w:val="0048482A"/>
    <w:rsid w:val="0048521A"/>
    <w:rsid w:val="00485396"/>
    <w:rsid w:val="00485940"/>
    <w:rsid w:val="004A2484"/>
    <w:rsid w:val="004A5522"/>
    <w:rsid w:val="004A5A85"/>
    <w:rsid w:val="004A71D1"/>
    <w:rsid w:val="004A7C9E"/>
    <w:rsid w:val="004B2BE9"/>
    <w:rsid w:val="004B5640"/>
    <w:rsid w:val="004C09A2"/>
    <w:rsid w:val="004C1766"/>
    <w:rsid w:val="004C1BD7"/>
    <w:rsid w:val="004C31FE"/>
    <w:rsid w:val="004C41B8"/>
    <w:rsid w:val="004C691D"/>
    <w:rsid w:val="004C6C07"/>
    <w:rsid w:val="004C7CFC"/>
    <w:rsid w:val="004D1D5B"/>
    <w:rsid w:val="004D419B"/>
    <w:rsid w:val="004D6F76"/>
    <w:rsid w:val="004E3285"/>
    <w:rsid w:val="004E692D"/>
    <w:rsid w:val="004F45D9"/>
    <w:rsid w:val="00501554"/>
    <w:rsid w:val="0051093E"/>
    <w:rsid w:val="00513D8A"/>
    <w:rsid w:val="00514CD7"/>
    <w:rsid w:val="00517915"/>
    <w:rsid w:val="00517A78"/>
    <w:rsid w:val="00525DE6"/>
    <w:rsid w:val="00531402"/>
    <w:rsid w:val="0053165D"/>
    <w:rsid w:val="005319B2"/>
    <w:rsid w:val="00532402"/>
    <w:rsid w:val="00532C74"/>
    <w:rsid w:val="00534E2E"/>
    <w:rsid w:val="00540BFF"/>
    <w:rsid w:val="00544552"/>
    <w:rsid w:val="005549A7"/>
    <w:rsid w:val="0056324B"/>
    <w:rsid w:val="00564AAD"/>
    <w:rsid w:val="00566BCE"/>
    <w:rsid w:val="0057744F"/>
    <w:rsid w:val="00577C4D"/>
    <w:rsid w:val="00581932"/>
    <w:rsid w:val="00583AF4"/>
    <w:rsid w:val="005909CB"/>
    <w:rsid w:val="005917FC"/>
    <w:rsid w:val="005963BB"/>
    <w:rsid w:val="00596907"/>
    <w:rsid w:val="005A3173"/>
    <w:rsid w:val="005A3223"/>
    <w:rsid w:val="005A3DA3"/>
    <w:rsid w:val="005A52C4"/>
    <w:rsid w:val="005D03AB"/>
    <w:rsid w:val="005D24DE"/>
    <w:rsid w:val="005D5017"/>
    <w:rsid w:val="005E0AAC"/>
    <w:rsid w:val="005E1333"/>
    <w:rsid w:val="005F4016"/>
    <w:rsid w:val="00601A91"/>
    <w:rsid w:val="00602BA3"/>
    <w:rsid w:val="00612E34"/>
    <w:rsid w:val="00613578"/>
    <w:rsid w:val="00614060"/>
    <w:rsid w:val="00614159"/>
    <w:rsid w:val="00617C00"/>
    <w:rsid w:val="006206E2"/>
    <w:rsid w:val="00621175"/>
    <w:rsid w:val="006263BF"/>
    <w:rsid w:val="0062748A"/>
    <w:rsid w:val="00630A2C"/>
    <w:rsid w:val="00632D92"/>
    <w:rsid w:val="00632DA5"/>
    <w:rsid w:val="00633C45"/>
    <w:rsid w:val="0063682E"/>
    <w:rsid w:val="006436CD"/>
    <w:rsid w:val="006509F6"/>
    <w:rsid w:val="00651169"/>
    <w:rsid w:val="00651ABE"/>
    <w:rsid w:val="00653D69"/>
    <w:rsid w:val="00656FAA"/>
    <w:rsid w:val="006628DD"/>
    <w:rsid w:val="006670BE"/>
    <w:rsid w:val="00670A76"/>
    <w:rsid w:val="006711AA"/>
    <w:rsid w:val="00672B57"/>
    <w:rsid w:val="00675622"/>
    <w:rsid w:val="0067747D"/>
    <w:rsid w:val="006906DB"/>
    <w:rsid w:val="00691E6C"/>
    <w:rsid w:val="00692293"/>
    <w:rsid w:val="00696129"/>
    <w:rsid w:val="00697CF2"/>
    <w:rsid w:val="006A12A5"/>
    <w:rsid w:val="006A4D78"/>
    <w:rsid w:val="006B0D94"/>
    <w:rsid w:val="006B1802"/>
    <w:rsid w:val="006B485D"/>
    <w:rsid w:val="006C0543"/>
    <w:rsid w:val="006C708E"/>
    <w:rsid w:val="006D14E7"/>
    <w:rsid w:val="006D6493"/>
    <w:rsid w:val="006D6EC7"/>
    <w:rsid w:val="006E1BC6"/>
    <w:rsid w:val="006F02C7"/>
    <w:rsid w:val="006F5125"/>
    <w:rsid w:val="00702B6F"/>
    <w:rsid w:val="007068AA"/>
    <w:rsid w:val="0071340B"/>
    <w:rsid w:val="007174BB"/>
    <w:rsid w:val="0072025D"/>
    <w:rsid w:val="00733CE7"/>
    <w:rsid w:val="007353D3"/>
    <w:rsid w:val="007357C1"/>
    <w:rsid w:val="007434D1"/>
    <w:rsid w:val="00752C72"/>
    <w:rsid w:val="00754BB7"/>
    <w:rsid w:val="00756117"/>
    <w:rsid w:val="0076420C"/>
    <w:rsid w:val="007753C2"/>
    <w:rsid w:val="0077737C"/>
    <w:rsid w:val="00782189"/>
    <w:rsid w:val="007838B8"/>
    <w:rsid w:val="00784A96"/>
    <w:rsid w:val="00797E9C"/>
    <w:rsid w:val="007A3559"/>
    <w:rsid w:val="007A509B"/>
    <w:rsid w:val="007B05B6"/>
    <w:rsid w:val="007B2676"/>
    <w:rsid w:val="007C0F57"/>
    <w:rsid w:val="007C40B6"/>
    <w:rsid w:val="007C5CDA"/>
    <w:rsid w:val="007C6642"/>
    <w:rsid w:val="007C729F"/>
    <w:rsid w:val="007E1D28"/>
    <w:rsid w:val="007F05EE"/>
    <w:rsid w:val="007F2641"/>
    <w:rsid w:val="007F55C1"/>
    <w:rsid w:val="007F6BD3"/>
    <w:rsid w:val="007F7C36"/>
    <w:rsid w:val="0080214C"/>
    <w:rsid w:val="0080276B"/>
    <w:rsid w:val="00806796"/>
    <w:rsid w:val="0081050B"/>
    <w:rsid w:val="008151D6"/>
    <w:rsid w:val="00823139"/>
    <w:rsid w:val="00826F6D"/>
    <w:rsid w:val="008306F3"/>
    <w:rsid w:val="00830CA8"/>
    <w:rsid w:val="00836932"/>
    <w:rsid w:val="008400FE"/>
    <w:rsid w:val="00841C87"/>
    <w:rsid w:val="00842332"/>
    <w:rsid w:val="0085219E"/>
    <w:rsid w:val="008551C4"/>
    <w:rsid w:val="0085550A"/>
    <w:rsid w:val="00855CD2"/>
    <w:rsid w:val="00856DDD"/>
    <w:rsid w:val="00861441"/>
    <w:rsid w:val="00861C33"/>
    <w:rsid w:val="00863E68"/>
    <w:rsid w:val="0087107C"/>
    <w:rsid w:val="00873F42"/>
    <w:rsid w:val="00882085"/>
    <w:rsid w:val="00883188"/>
    <w:rsid w:val="008951BB"/>
    <w:rsid w:val="00897D58"/>
    <w:rsid w:val="00897F22"/>
    <w:rsid w:val="008A1956"/>
    <w:rsid w:val="008A4937"/>
    <w:rsid w:val="008A50F1"/>
    <w:rsid w:val="008D1B5C"/>
    <w:rsid w:val="008D276F"/>
    <w:rsid w:val="008D3C82"/>
    <w:rsid w:val="008D447E"/>
    <w:rsid w:val="008D7A41"/>
    <w:rsid w:val="008E1146"/>
    <w:rsid w:val="008E3680"/>
    <w:rsid w:val="008E5870"/>
    <w:rsid w:val="008F1434"/>
    <w:rsid w:val="008F597D"/>
    <w:rsid w:val="008F7355"/>
    <w:rsid w:val="009067B7"/>
    <w:rsid w:val="009154DF"/>
    <w:rsid w:val="00917934"/>
    <w:rsid w:val="00920E7E"/>
    <w:rsid w:val="00923714"/>
    <w:rsid w:val="00930937"/>
    <w:rsid w:val="0093100C"/>
    <w:rsid w:val="00932294"/>
    <w:rsid w:val="009322AC"/>
    <w:rsid w:val="00933E6C"/>
    <w:rsid w:val="00935768"/>
    <w:rsid w:val="00937958"/>
    <w:rsid w:val="00941516"/>
    <w:rsid w:val="00942160"/>
    <w:rsid w:val="0095146F"/>
    <w:rsid w:val="009549F7"/>
    <w:rsid w:val="009602C5"/>
    <w:rsid w:val="00962223"/>
    <w:rsid w:val="00966D0D"/>
    <w:rsid w:val="00973B29"/>
    <w:rsid w:val="00974C21"/>
    <w:rsid w:val="00986CCE"/>
    <w:rsid w:val="009873A4"/>
    <w:rsid w:val="00990F35"/>
    <w:rsid w:val="00993FD4"/>
    <w:rsid w:val="009A4970"/>
    <w:rsid w:val="009A4AF8"/>
    <w:rsid w:val="009B0F67"/>
    <w:rsid w:val="009C703C"/>
    <w:rsid w:val="009D37F9"/>
    <w:rsid w:val="009D3CAA"/>
    <w:rsid w:val="009D4FC4"/>
    <w:rsid w:val="009D7C48"/>
    <w:rsid w:val="009E40E1"/>
    <w:rsid w:val="009E4680"/>
    <w:rsid w:val="009F4E46"/>
    <w:rsid w:val="009F5B65"/>
    <w:rsid w:val="009F5F2E"/>
    <w:rsid w:val="00A06225"/>
    <w:rsid w:val="00A128E6"/>
    <w:rsid w:val="00A2326B"/>
    <w:rsid w:val="00A23771"/>
    <w:rsid w:val="00A34E6C"/>
    <w:rsid w:val="00A35254"/>
    <w:rsid w:val="00A35BAC"/>
    <w:rsid w:val="00A36C1A"/>
    <w:rsid w:val="00A37C8D"/>
    <w:rsid w:val="00A40112"/>
    <w:rsid w:val="00A445C2"/>
    <w:rsid w:val="00A46581"/>
    <w:rsid w:val="00A47773"/>
    <w:rsid w:val="00A5273B"/>
    <w:rsid w:val="00A53A9D"/>
    <w:rsid w:val="00A55FEE"/>
    <w:rsid w:val="00A62C1A"/>
    <w:rsid w:val="00A6426D"/>
    <w:rsid w:val="00A665C1"/>
    <w:rsid w:val="00A70622"/>
    <w:rsid w:val="00A70977"/>
    <w:rsid w:val="00A724FC"/>
    <w:rsid w:val="00A750A8"/>
    <w:rsid w:val="00A77613"/>
    <w:rsid w:val="00A8390C"/>
    <w:rsid w:val="00A8530A"/>
    <w:rsid w:val="00A928BD"/>
    <w:rsid w:val="00A97D08"/>
    <w:rsid w:val="00AA4387"/>
    <w:rsid w:val="00AA4D1C"/>
    <w:rsid w:val="00AB13F8"/>
    <w:rsid w:val="00AB35BC"/>
    <w:rsid w:val="00AC193C"/>
    <w:rsid w:val="00AC5206"/>
    <w:rsid w:val="00AC5EB4"/>
    <w:rsid w:val="00AD0297"/>
    <w:rsid w:val="00AD1991"/>
    <w:rsid w:val="00AD7771"/>
    <w:rsid w:val="00AE11A5"/>
    <w:rsid w:val="00AE13E2"/>
    <w:rsid w:val="00AE22D3"/>
    <w:rsid w:val="00AE597D"/>
    <w:rsid w:val="00AF25ED"/>
    <w:rsid w:val="00AF62DF"/>
    <w:rsid w:val="00AF68CC"/>
    <w:rsid w:val="00B1059E"/>
    <w:rsid w:val="00B13ACF"/>
    <w:rsid w:val="00B176C8"/>
    <w:rsid w:val="00B17B05"/>
    <w:rsid w:val="00B205AA"/>
    <w:rsid w:val="00B22E84"/>
    <w:rsid w:val="00B25F75"/>
    <w:rsid w:val="00B26B3F"/>
    <w:rsid w:val="00B315DC"/>
    <w:rsid w:val="00B34669"/>
    <w:rsid w:val="00B43E90"/>
    <w:rsid w:val="00B45253"/>
    <w:rsid w:val="00B467DC"/>
    <w:rsid w:val="00B56118"/>
    <w:rsid w:val="00B6773F"/>
    <w:rsid w:val="00B774EE"/>
    <w:rsid w:val="00B77F43"/>
    <w:rsid w:val="00B801BA"/>
    <w:rsid w:val="00B83387"/>
    <w:rsid w:val="00B84D5C"/>
    <w:rsid w:val="00B912EA"/>
    <w:rsid w:val="00B93A10"/>
    <w:rsid w:val="00B93CCB"/>
    <w:rsid w:val="00BB02C0"/>
    <w:rsid w:val="00BB51E5"/>
    <w:rsid w:val="00BB69F5"/>
    <w:rsid w:val="00BB7EC3"/>
    <w:rsid w:val="00BC0987"/>
    <w:rsid w:val="00BC4509"/>
    <w:rsid w:val="00BC4B9A"/>
    <w:rsid w:val="00BC5BB9"/>
    <w:rsid w:val="00BC71C4"/>
    <w:rsid w:val="00BD784C"/>
    <w:rsid w:val="00BE0E39"/>
    <w:rsid w:val="00BF4CB6"/>
    <w:rsid w:val="00C00DA7"/>
    <w:rsid w:val="00C03139"/>
    <w:rsid w:val="00C04159"/>
    <w:rsid w:val="00C12768"/>
    <w:rsid w:val="00C210B9"/>
    <w:rsid w:val="00C23EB8"/>
    <w:rsid w:val="00C27B58"/>
    <w:rsid w:val="00C35996"/>
    <w:rsid w:val="00C4747E"/>
    <w:rsid w:val="00C50F06"/>
    <w:rsid w:val="00C52C64"/>
    <w:rsid w:val="00C5342C"/>
    <w:rsid w:val="00C601A3"/>
    <w:rsid w:val="00C603D4"/>
    <w:rsid w:val="00C61D3F"/>
    <w:rsid w:val="00C6256A"/>
    <w:rsid w:val="00C73A73"/>
    <w:rsid w:val="00C77891"/>
    <w:rsid w:val="00C81909"/>
    <w:rsid w:val="00C91449"/>
    <w:rsid w:val="00C92D10"/>
    <w:rsid w:val="00C932AD"/>
    <w:rsid w:val="00C93B5F"/>
    <w:rsid w:val="00C949BC"/>
    <w:rsid w:val="00C96652"/>
    <w:rsid w:val="00C968C7"/>
    <w:rsid w:val="00C97FED"/>
    <w:rsid w:val="00CB35CC"/>
    <w:rsid w:val="00CC525E"/>
    <w:rsid w:val="00CC66C8"/>
    <w:rsid w:val="00CD1D26"/>
    <w:rsid w:val="00CE10C4"/>
    <w:rsid w:val="00CE14C7"/>
    <w:rsid w:val="00CE27B5"/>
    <w:rsid w:val="00CE7F7E"/>
    <w:rsid w:val="00D0321E"/>
    <w:rsid w:val="00D0377C"/>
    <w:rsid w:val="00D052EF"/>
    <w:rsid w:val="00D11978"/>
    <w:rsid w:val="00D1455A"/>
    <w:rsid w:val="00D14CEA"/>
    <w:rsid w:val="00D25E91"/>
    <w:rsid w:val="00D31150"/>
    <w:rsid w:val="00D3138B"/>
    <w:rsid w:val="00D3280C"/>
    <w:rsid w:val="00D3406A"/>
    <w:rsid w:val="00D37A43"/>
    <w:rsid w:val="00D4572C"/>
    <w:rsid w:val="00D469B2"/>
    <w:rsid w:val="00D61771"/>
    <w:rsid w:val="00D672D4"/>
    <w:rsid w:val="00D73759"/>
    <w:rsid w:val="00D741EB"/>
    <w:rsid w:val="00D74D86"/>
    <w:rsid w:val="00D83605"/>
    <w:rsid w:val="00D845AE"/>
    <w:rsid w:val="00D84934"/>
    <w:rsid w:val="00D85381"/>
    <w:rsid w:val="00D91271"/>
    <w:rsid w:val="00D919F5"/>
    <w:rsid w:val="00D94F03"/>
    <w:rsid w:val="00DA2CB5"/>
    <w:rsid w:val="00DA4BAC"/>
    <w:rsid w:val="00DB645D"/>
    <w:rsid w:val="00DC7382"/>
    <w:rsid w:val="00DC7F48"/>
    <w:rsid w:val="00DD7EC3"/>
    <w:rsid w:val="00DE06AF"/>
    <w:rsid w:val="00DE6D27"/>
    <w:rsid w:val="00DF217D"/>
    <w:rsid w:val="00DF2556"/>
    <w:rsid w:val="00DF26A7"/>
    <w:rsid w:val="00DF7E0D"/>
    <w:rsid w:val="00E012CD"/>
    <w:rsid w:val="00E04715"/>
    <w:rsid w:val="00E142E4"/>
    <w:rsid w:val="00E15627"/>
    <w:rsid w:val="00E164B3"/>
    <w:rsid w:val="00E16910"/>
    <w:rsid w:val="00E20016"/>
    <w:rsid w:val="00E22F3A"/>
    <w:rsid w:val="00E406FC"/>
    <w:rsid w:val="00E42978"/>
    <w:rsid w:val="00E42BDB"/>
    <w:rsid w:val="00E57EEB"/>
    <w:rsid w:val="00E6051F"/>
    <w:rsid w:val="00E62D94"/>
    <w:rsid w:val="00E65E54"/>
    <w:rsid w:val="00E80155"/>
    <w:rsid w:val="00E81F28"/>
    <w:rsid w:val="00E848C0"/>
    <w:rsid w:val="00E91B96"/>
    <w:rsid w:val="00E941A1"/>
    <w:rsid w:val="00E95044"/>
    <w:rsid w:val="00E95CE3"/>
    <w:rsid w:val="00E973BF"/>
    <w:rsid w:val="00EA2825"/>
    <w:rsid w:val="00EB0B63"/>
    <w:rsid w:val="00EB1936"/>
    <w:rsid w:val="00EB5088"/>
    <w:rsid w:val="00EC799F"/>
    <w:rsid w:val="00ED1644"/>
    <w:rsid w:val="00ED2593"/>
    <w:rsid w:val="00ED3AF8"/>
    <w:rsid w:val="00ED7D9C"/>
    <w:rsid w:val="00EE37B9"/>
    <w:rsid w:val="00EE7668"/>
    <w:rsid w:val="00EF1C6A"/>
    <w:rsid w:val="00EF44A0"/>
    <w:rsid w:val="00EF4FED"/>
    <w:rsid w:val="00EF52C3"/>
    <w:rsid w:val="00F050BD"/>
    <w:rsid w:val="00F05657"/>
    <w:rsid w:val="00F065A2"/>
    <w:rsid w:val="00F215F0"/>
    <w:rsid w:val="00F221DD"/>
    <w:rsid w:val="00F224EF"/>
    <w:rsid w:val="00F25578"/>
    <w:rsid w:val="00F258E5"/>
    <w:rsid w:val="00F300BC"/>
    <w:rsid w:val="00F32926"/>
    <w:rsid w:val="00F3334E"/>
    <w:rsid w:val="00F36CCB"/>
    <w:rsid w:val="00F374E5"/>
    <w:rsid w:val="00F3791E"/>
    <w:rsid w:val="00F42D9D"/>
    <w:rsid w:val="00F43798"/>
    <w:rsid w:val="00F43AF2"/>
    <w:rsid w:val="00F50EC4"/>
    <w:rsid w:val="00F550CF"/>
    <w:rsid w:val="00F56702"/>
    <w:rsid w:val="00F57A6D"/>
    <w:rsid w:val="00F638CC"/>
    <w:rsid w:val="00F64CC1"/>
    <w:rsid w:val="00F72317"/>
    <w:rsid w:val="00F80475"/>
    <w:rsid w:val="00F8247A"/>
    <w:rsid w:val="00F85AC8"/>
    <w:rsid w:val="00F924D1"/>
    <w:rsid w:val="00F9629A"/>
    <w:rsid w:val="00F97EFC"/>
    <w:rsid w:val="00FA5883"/>
    <w:rsid w:val="00FA6055"/>
    <w:rsid w:val="00FA626C"/>
    <w:rsid w:val="00FB087C"/>
    <w:rsid w:val="00FB322F"/>
    <w:rsid w:val="00FB442F"/>
    <w:rsid w:val="00FC1929"/>
    <w:rsid w:val="00FC5B46"/>
    <w:rsid w:val="00FD6D8E"/>
    <w:rsid w:val="00FE0E94"/>
    <w:rsid w:val="00FE168E"/>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Table Legend"/>
    <w:basedOn w:val="Normal"/>
    <w:link w:val="ListParagraphChar"/>
    <w:uiPriority w:val="34"/>
    <w:qFormat/>
    <w:rsid w:val="00C96652"/>
    <w:pPr>
      <w:widowControl w:val="0"/>
      <w:spacing w:before="120" w:after="16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Table Legend Char"/>
    <w:basedOn w:val="DefaultParagraphFont"/>
    <w:link w:val="ListParagraph"/>
    <w:uiPriority w:val="72"/>
    <w:rsid w:val="00C96652"/>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table" w:customStyle="1" w:styleId="TableGrid1">
    <w:name w:val="Table Grid1"/>
    <w:basedOn w:val="TableNormal"/>
    <w:next w:val="TableGrid"/>
    <w:uiPriority w:val="59"/>
    <w:rsid w:val="004E32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4E3285"/>
    <w:pPr>
      <w:spacing w:after="200"/>
    </w:pPr>
    <w:rPr>
      <w:b/>
      <w:bCs/>
      <w:color w:val="4F81BD" w:themeColor="accent1"/>
      <w:sz w:val="18"/>
      <w:szCs w:val="18"/>
    </w:rPr>
  </w:style>
  <w:style w:type="paragraph" w:customStyle="1" w:styleId="Tablenotes0">
    <w:name w:val="Table notes"/>
    <w:basedOn w:val="Normal"/>
    <w:qFormat/>
    <w:rsid w:val="00BB02C0"/>
    <w:pPr>
      <w:spacing w:before="40" w:after="360"/>
      <w:contextualSpacing/>
    </w:pPr>
    <w:rPr>
      <w:rFonts w:ascii="Arial Narrow" w:hAnsi="Arial Narrow"/>
      <w:sz w:val="16"/>
      <w:szCs w:val="22"/>
      <w:lang w:eastAsia="en-US"/>
    </w:rPr>
  </w:style>
  <w:style w:type="table" w:customStyle="1" w:styleId="TableGrid11">
    <w:name w:val="Table Grid11"/>
    <w:basedOn w:val="TableNormal"/>
    <w:next w:val="TableGrid"/>
    <w:uiPriority w:val="59"/>
    <w:rsid w:val="00993F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
    <w:name w:val="Table Footer"/>
    <w:basedOn w:val="Normal"/>
    <w:qFormat/>
    <w:rsid w:val="004A5522"/>
    <w:pPr>
      <w:widowControl w:val="0"/>
      <w:jc w:val="both"/>
    </w:pPr>
    <w:rPr>
      <w:rFonts w:ascii="Arial Narrow" w:hAnsi="Arial Narrow" w:cs="Arial"/>
      <w:snapToGrid w:val="0"/>
      <w:sz w:val="18"/>
      <w:szCs w:val="20"/>
      <w:lang w:eastAsia="en-US"/>
    </w:rPr>
  </w:style>
  <w:style w:type="paragraph" w:customStyle="1" w:styleId="Tablenormal0">
    <w:name w:val="Table normal"/>
    <w:basedOn w:val="Normal"/>
    <w:link w:val="TablenormalChar"/>
    <w:qFormat/>
    <w:rsid w:val="00F065A2"/>
    <w:pPr>
      <w:spacing w:after="120" w:line="360" w:lineRule="auto"/>
      <w:jc w:val="both"/>
    </w:pPr>
    <w:rPr>
      <w:rFonts w:ascii="Calibri" w:eastAsiaTheme="minorHAnsi" w:hAnsi="Calibri" w:cstheme="minorBidi"/>
      <w:sz w:val="22"/>
      <w:szCs w:val="22"/>
      <w:lang w:eastAsia="en-US"/>
    </w:rPr>
  </w:style>
  <w:style w:type="character" w:customStyle="1" w:styleId="TablenormalChar">
    <w:name w:val="Table normal Char"/>
    <w:link w:val="Tablenormal0"/>
    <w:locked/>
    <w:rsid w:val="00F065A2"/>
    <w:rPr>
      <w:rFonts w:ascii="Calibri" w:eastAsiaTheme="minorHAnsi" w:hAnsi="Calibri" w:cstheme="minorBidi"/>
      <w:sz w:val="22"/>
      <w:szCs w:val="22"/>
      <w:lang w:eastAsia="en-US"/>
    </w:rPr>
  </w:style>
  <w:style w:type="character" w:customStyle="1" w:styleId="TableFooterChar">
    <w:name w:val="TableFooter Char"/>
    <w:basedOn w:val="DefaultParagraphFont"/>
    <w:link w:val="TableFooter0"/>
    <w:locked/>
    <w:rsid w:val="00F065A2"/>
    <w:rPr>
      <w:rFonts w:ascii="Arial" w:eastAsia="MS Mincho" w:hAnsi="Arial"/>
      <w:sz w:val="16"/>
    </w:rPr>
  </w:style>
  <w:style w:type="paragraph" w:customStyle="1" w:styleId="TableFooter0">
    <w:name w:val="TableFooter"/>
    <w:basedOn w:val="Normal"/>
    <w:link w:val="TableFooterChar"/>
    <w:qFormat/>
    <w:rsid w:val="00F065A2"/>
    <w:pPr>
      <w:spacing w:after="120"/>
    </w:pPr>
    <w:rPr>
      <w:rFonts w:ascii="Arial" w:eastAsia="MS Mincho" w:hAnsi="Arial"/>
      <w:sz w:val="16"/>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35"/>
    <w:locked/>
    <w:rsid w:val="00C96652"/>
    <w:rPr>
      <w:b/>
      <w:bCs/>
      <w:color w:val="4F81BD" w:themeColor="accent1"/>
      <w:sz w:val="18"/>
      <w:szCs w:val="18"/>
    </w:rPr>
  </w:style>
  <w:style w:type="character" w:customStyle="1" w:styleId="BalloonTextChar">
    <w:name w:val="Balloon Text Char"/>
    <w:basedOn w:val="DefaultParagraphFont"/>
    <w:link w:val="BalloonText"/>
    <w:uiPriority w:val="99"/>
    <w:semiHidden/>
    <w:rsid w:val="00147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Table Legend"/>
    <w:basedOn w:val="Normal"/>
    <w:link w:val="ListParagraphChar"/>
    <w:uiPriority w:val="34"/>
    <w:qFormat/>
    <w:rsid w:val="00C96652"/>
    <w:pPr>
      <w:widowControl w:val="0"/>
      <w:spacing w:before="120" w:after="16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Table Legend Char"/>
    <w:basedOn w:val="DefaultParagraphFont"/>
    <w:link w:val="ListParagraph"/>
    <w:uiPriority w:val="72"/>
    <w:rsid w:val="00C96652"/>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table" w:customStyle="1" w:styleId="TableGrid1">
    <w:name w:val="Table Grid1"/>
    <w:basedOn w:val="TableNormal"/>
    <w:next w:val="TableGrid"/>
    <w:uiPriority w:val="59"/>
    <w:rsid w:val="004E32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4E3285"/>
    <w:pPr>
      <w:spacing w:after="200"/>
    </w:pPr>
    <w:rPr>
      <w:b/>
      <w:bCs/>
      <w:color w:val="4F81BD" w:themeColor="accent1"/>
      <w:sz w:val="18"/>
      <w:szCs w:val="18"/>
    </w:rPr>
  </w:style>
  <w:style w:type="paragraph" w:customStyle="1" w:styleId="Tablenotes0">
    <w:name w:val="Table notes"/>
    <w:basedOn w:val="Normal"/>
    <w:qFormat/>
    <w:rsid w:val="00BB02C0"/>
    <w:pPr>
      <w:spacing w:before="40" w:after="360"/>
      <w:contextualSpacing/>
    </w:pPr>
    <w:rPr>
      <w:rFonts w:ascii="Arial Narrow" w:hAnsi="Arial Narrow"/>
      <w:sz w:val="16"/>
      <w:szCs w:val="22"/>
      <w:lang w:eastAsia="en-US"/>
    </w:rPr>
  </w:style>
  <w:style w:type="table" w:customStyle="1" w:styleId="TableGrid11">
    <w:name w:val="Table Grid11"/>
    <w:basedOn w:val="TableNormal"/>
    <w:next w:val="TableGrid"/>
    <w:uiPriority w:val="59"/>
    <w:rsid w:val="00993F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
    <w:name w:val="Table Footer"/>
    <w:basedOn w:val="Normal"/>
    <w:qFormat/>
    <w:rsid w:val="004A5522"/>
    <w:pPr>
      <w:widowControl w:val="0"/>
      <w:jc w:val="both"/>
    </w:pPr>
    <w:rPr>
      <w:rFonts w:ascii="Arial Narrow" w:hAnsi="Arial Narrow" w:cs="Arial"/>
      <w:snapToGrid w:val="0"/>
      <w:sz w:val="18"/>
      <w:szCs w:val="20"/>
      <w:lang w:eastAsia="en-US"/>
    </w:rPr>
  </w:style>
  <w:style w:type="paragraph" w:customStyle="1" w:styleId="Tablenormal0">
    <w:name w:val="Table normal"/>
    <w:basedOn w:val="Normal"/>
    <w:link w:val="TablenormalChar"/>
    <w:qFormat/>
    <w:rsid w:val="00F065A2"/>
    <w:pPr>
      <w:spacing w:after="120" w:line="360" w:lineRule="auto"/>
      <w:jc w:val="both"/>
    </w:pPr>
    <w:rPr>
      <w:rFonts w:ascii="Calibri" w:eastAsiaTheme="minorHAnsi" w:hAnsi="Calibri" w:cstheme="minorBidi"/>
      <w:sz w:val="22"/>
      <w:szCs w:val="22"/>
      <w:lang w:eastAsia="en-US"/>
    </w:rPr>
  </w:style>
  <w:style w:type="character" w:customStyle="1" w:styleId="TablenormalChar">
    <w:name w:val="Table normal Char"/>
    <w:link w:val="Tablenormal0"/>
    <w:locked/>
    <w:rsid w:val="00F065A2"/>
    <w:rPr>
      <w:rFonts w:ascii="Calibri" w:eastAsiaTheme="minorHAnsi" w:hAnsi="Calibri" w:cstheme="minorBidi"/>
      <w:sz w:val="22"/>
      <w:szCs w:val="22"/>
      <w:lang w:eastAsia="en-US"/>
    </w:rPr>
  </w:style>
  <w:style w:type="character" w:customStyle="1" w:styleId="TableFooterChar">
    <w:name w:val="TableFooter Char"/>
    <w:basedOn w:val="DefaultParagraphFont"/>
    <w:link w:val="TableFooter0"/>
    <w:locked/>
    <w:rsid w:val="00F065A2"/>
    <w:rPr>
      <w:rFonts w:ascii="Arial" w:eastAsia="MS Mincho" w:hAnsi="Arial"/>
      <w:sz w:val="16"/>
    </w:rPr>
  </w:style>
  <w:style w:type="paragraph" w:customStyle="1" w:styleId="TableFooter0">
    <w:name w:val="TableFooter"/>
    <w:basedOn w:val="Normal"/>
    <w:link w:val="TableFooterChar"/>
    <w:qFormat/>
    <w:rsid w:val="00F065A2"/>
    <w:pPr>
      <w:spacing w:after="120"/>
    </w:pPr>
    <w:rPr>
      <w:rFonts w:ascii="Arial" w:eastAsia="MS Mincho" w:hAnsi="Arial"/>
      <w:sz w:val="16"/>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35"/>
    <w:locked/>
    <w:rsid w:val="00C96652"/>
    <w:rPr>
      <w:b/>
      <w:bCs/>
      <w:color w:val="4F81BD" w:themeColor="accent1"/>
      <w:sz w:val="18"/>
      <w:szCs w:val="18"/>
    </w:rPr>
  </w:style>
  <w:style w:type="character" w:customStyle="1" w:styleId="BalloonTextChar">
    <w:name w:val="Balloon Text Char"/>
    <w:basedOn w:val="DefaultParagraphFont"/>
    <w:link w:val="BalloonText"/>
    <w:uiPriority w:val="99"/>
    <w:semiHidden/>
    <w:rsid w:val="00147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7344865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C7EC-8224-47AA-AE6B-88FAFB61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7074</Words>
  <Characters>42302</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2018-09-27T03:52:00Z</dcterms:created>
  <dcterms:modified xsi:type="dcterms:W3CDTF">2018-10-22T07:08:00Z</dcterms:modified>
</cp:coreProperties>
</file>