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65" w:rsidRDefault="006A4EEC" w:rsidP="00F63068">
      <w:pPr>
        <w:ind w:left="720" w:hanging="720"/>
        <w:rPr>
          <w:b/>
          <w:sz w:val="36"/>
          <w:szCs w:val="36"/>
        </w:rPr>
      </w:pPr>
      <w:bookmarkStart w:id="0" w:name="_Toc341702043"/>
      <w:bookmarkStart w:id="1" w:name="_Toc380742621"/>
      <w:bookmarkStart w:id="2" w:name="_Toc380746188"/>
      <w:bookmarkStart w:id="3" w:name="_Toc380746314"/>
      <w:bookmarkStart w:id="4" w:name="_Toc380746595"/>
      <w:bookmarkStart w:id="5" w:name="_Toc380746195"/>
      <w:bookmarkStart w:id="6" w:name="_Toc380746321"/>
      <w:bookmarkStart w:id="7" w:name="_Toc380746602"/>
      <w:r w:rsidRPr="008B2FD3">
        <w:rPr>
          <w:b/>
          <w:sz w:val="36"/>
          <w:szCs w:val="36"/>
        </w:rPr>
        <w:t>7</w:t>
      </w:r>
      <w:r w:rsidR="00D53E4A" w:rsidRPr="008B2FD3">
        <w:rPr>
          <w:b/>
          <w:sz w:val="36"/>
          <w:szCs w:val="36"/>
        </w:rPr>
        <w:t>.</w:t>
      </w:r>
      <w:r w:rsidRPr="008B2FD3">
        <w:rPr>
          <w:b/>
          <w:sz w:val="36"/>
          <w:szCs w:val="36"/>
        </w:rPr>
        <w:t>09</w:t>
      </w:r>
      <w:r w:rsidR="00D53E4A" w:rsidRPr="008B2FD3">
        <w:rPr>
          <w:b/>
          <w:sz w:val="36"/>
          <w:szCs w:val="36"/>
        </w:rPr>
        <w:tab/>
        <w:t xml:space="preserve">HIGH DOSE INACTIVATED TRIVALENT INFLUENZA VACCINE (SPLIT VIRION), </w:t>
      </w:r>
    </w:p>
    <w:p w:rsidR="00C87565" w:rsidRDefault="00D53E4A" w:rsidP="00F63068">
      <w:pPr>
        <w:ind w:firstLine="720"/>
        <w:rPr>
          <w:b/>
          <w:sz w:val="36"/>
          <w:szCs w:val="36"/>
        </w:rPr>
      </w:pPr>
      <w:proofErr w:type="gramStart"/>
      <w:r w:rsidRPr="008B2FD3">
        <w:rPr>
          <w:b/>
          <w:sz w:val="36"/>
          <w:szCs w:val="36"/>
        </w:rPr>
        <w:t>pre-filled</w:t>
      </w:r>
      <w:proofErr w:type="gramEnd"/>
      <w:r w:rsidRPr="008B2FD3">
        <w:rPr>
          <w:b/>
          <w:sz w:val="36"/>
          <w:szCs w:val="36"/>
        </w:rPr>
        <w:t xml:space="preserve"> syringe, 0.5 mL, </w:t>
      </w:r>
    </w:p>
    <w:p w:rsidR="00C87565" w:rsidRDefault="00D53E4A" w:rsidP="00F63068">
      <w:pPr>
        <w:ind w:firstLine="720"/>
        <w:rPr>
          <w:b/>
          <w:sz w:val="36"/>
          <w:szCs w:val="36"/>
        </w:rPr>
      </w:pPr>
      <w:proofErr w:type="spellStart"/>
      <w:r w:rsidRPr="008B2FD3">
        <w:rPr>
          <w:b/>
          <w:sz w:val="36"/>
          <w:szCs w:val="36"/>
        </w:rPr>
        <w:t>Fluzone</w:t>
      </w:r>
      <w:proofErr w:type="spellEnd"/>
      <w:r w:rsidRPr="008B2FD3">
        <w:rPr>
          <w:b/>
          <w:sz w:val="36"/>
          <w:szCs w:val="36"/>
        </w:rPr>
        <w:t xml:space="preserve">® High-Dose, </w:t>
      </w:r>
    </w:p>
    <w:p w:rsidR="00D53E4A" w:rsidRDefault="0041719C" w:rsidP="0003252E">
      <w:pPr>
        <w:ind w:firstLine="720"/>
        <w:rPr>
          <w:b/>
          <w:sz w:val="36"/>
          <w:szCs w:val="36"/>
        </w:rPr>
      </w:pPr>
      <w:r w:rsidRPr="0041719C">
        <w:rPr>
          <w:b/>
          <w:sz w:val="36"/>
          <w:szCs w:val="36"/>
        </w:rPr>
        <w:t>Sanofi-</w:t>
      </w:r>
      <w:r>
        <w:rPr>
          <w:b/>
          <w:sz w:val="36"/>
          <w:szCs w:val="36"/>
        </w:rPr>
        <w:t>A</w:t>
      </w:r>
      <w:r w:rsidRPr="0041719C">
        <w:rPr>
          <w:b/>
          <w:sz w:val="36"/>
          <w:szCs w:val="36"/>
        </w:rPr>
        <w:t xml:space="preserve">ventis Australia </w:t>
      </w:r>
      <w:r w:rsidR="00E629E9">
        <w:rPr>
          <w:b/>
          <w:sz w:val="36"/>
          <w:szCs w:val="36"/>
        </w:rPr>
        <w:t>P</w:t>
      </w:r>
      <w:r w:rsidRPr="0041719C">
        <w:rPr>
          <w:b/>
          <w:sz w:val="36"/>
          <w:szCs w:val="36"/>
        </w:rPr>
        <w:t xml:space="preserve">ty </w:t>
      </w:r>
      <w:r w:rsidR="00E629E9">
        <w:rPr>
          <w:b/>
          <w:sz w:val="36"/>
          <w:szCs w:val="36"/>
        </w:rPr>
        <w:t>L</w:t>
      </w:r>
      <w:r w:rsidRPr="0041719C">
        <w:rPr>
          <w:b/>
          <w:sz w:val="36"/>
          <w:szCs w:val="36"/>
        </w:rPr>
        <w:t>td</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bookmarkStart w:id="8" w:name="_Toc514248213"/>
      <w:r w:rsidRPr="00F83419">
        <w:rPr>
          <w:rFonts w:asciiTheme="minorHAnsi" w:eastAsiaTheme="majorEastAsia" w:hAnsiTheme="minorHAnsi" w:cstheme="majorBidi"/>
          <w:caps w:val="0"/>
          <w:snapToGrid/>
          <w:szCs w:val="28"/>
        </w:rPr>
        <w:t>Purpose of Application</w:t>
      </w:r>
      <w:bookmarkEnd w:id="8"/>
    </w:p>
    <w:p w:rsidR="00D53E4A" w:rsidRDefault="00315A57" w:rsidP="00161E40">
      <w:pPr>
        <w:pStyle w:val="ListParagraph"/>
        <w:widowControl/>
        <w:numPr>
          <w:ilvl w:val="1"/>
          <w:numId w:val="1"/>
        </w:numPr>
      </w:pPr>
      <w:r w:rsidRPr="00BC5976">
        <w:t>To seek support for the cost-</w:t>
      </w:r>
      <w:r w:rsidRPr="00B77AA2">
        <w:t xml:space="preserve">effectiveness of the </w:t>
      </w:r>
      <w:r w:rsidR="00B77AA2" w:rsidRPr="00B77AA2">
        <w:rPr>
          <w:szCs w:val="24"/>
        </w:rPr>
        <w:t>trivalent influenza vaccine high dose (</w:t>
      </w:r>
      <w:r w:rsidR="00B77AA2" w:rsidRPr="00B77AA2">
        <w:rPr>
          <w:rFonts w:cs="Calibri"/>
          <w:snapToGrid/>
          <w:szCs w:val="24"/>
          <w:lang w:eastAsia="en-AU"/>
        </w:rPr>
        <w:t>TIV-HD)</w:t>
      </w:r>
      <w:r w:rsidRPr="00B77AA2">
        <w:t xml:space="preserve"> </w:t>
      </w:r>
      <w:r w:rsidR="00BA350A" w:rsidRPr="00B77AA2">
        <w:t>vaccine</w:t>
      </w:r>
      <w:r w:rsidR="00BA350A" w:rsidRPr="00BC5976">
        <w:t xml:space="preserve"> </w:t>
      </w:r>
      <w:r w:rsidRPr="00BC5976">
        <w:t>listing on the National Immunisation Program (NIP) schedule</w:t>
      </w:r>
      <w:r w:rsidR="00BA350A" w:rsidRPr="00BC5976">
        <w:t xml:space="preserve"> from the 2019 </w:t>
      </w:r>
      <w:r w:rsidR="002B7181">
        <w:t>in</w:t>
      </w:r>
      <w:r w:rsidR="00BA350A" w:rsidRPr="00BC5976">
        <w:t>flu</w:t>
      </w:r>
      <w:r w:rsidR="002B7181">
        <w:t>enza</w:t>
      </w:r>
      <w:r w:rsidR="00BA350A" w:rsidRPr="00BC5976">
        <w:t xml:space="preserve"> season onwards</w:t>
      </w:r>
      <w:r w:rsidR="001D3E26" w:rsidRPr="00BC5976">
        <w:t>,</w:t>
      </w:r>
      <w:r w:rsidRPr="00BC5976">
        <w:t xml:space="preserve"> </w:t>
      </w:r>
      <w:r w:rsidR="00BA350A" w:rsidRPr="00BC5976">
        <w:t xml:space="preserve">for </w:t>
      </w:r>
      <w:r w:rsidRPr="00BC5976">
        <w:t>people aged ≥65 years</w:t>
      </w:r>
      <w:r w:rsidR="001D3E26" w:rsidRPr="00BC5976">
        <w:t>, at a price higher than approved for the minor submission recommended by PBAC in January 2018</w:t>
      </w:r>
      <w:r w:rsidRPr="00BC5976">
        <w:t>.</w:t>
      </w:r>
      <w:r w:rsidR="00D53E4A" w:rsidRPr="00BC5976">
        <w:t xml:space="preserve"> </w:t>
      </w:r>
    </w:p>
    <w:p w:rsidR="00D53E4A" w:rsidRPr="008B2FD3" w:rsidRDefault="00D53E4A" w:rsidP="00BA350A">
      <w:pPr>
        <w:widowControl/>
        <w:contextualSpacing/>
        <w:rPr>
          <w:rStyle w:val="CommentReference"/>
        </w:rPr>
      </w:pPr>
      <w:r w:rsidRPr="008B2FD3">
        <w:rPr>
          <w:rStyle w:val="CommentReference"/>
        </w:rPr>
        <w:t>Table 1: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D53E4A" w:rsidRPr="008B2FD3" w:rsidTr="00357F91">
        <w:trPr>
          <w:cantSplit/>
          <w:tblHeader/>
        </w:trPr>
        <w:tc>
          <w:tcPr>
            <w:tcW w:w="1588" w:type="dxa"/>
            <w:shd w:val="clear" w:color="auto" w:fill="auto"/>
          </w:tcPr>
          <w:p w:rsidR="00D53E4A" w:rsidRPr="008B2FD3" w:rsidRDefault="00D53E4A" w:rsidP="00BA350A">
            <w:pPr>
              <w:pStyle w:val="Tabletext"/>
              <w:contextualSpacing/>
              <w:rPr>
                <w:b/>
                <w:szCs w:val="20"/>
              </w:rPr>
            </w:pPr>
            <w:r w:rsidRPr="008B2FD3">
              <w:rPr>
                <w:b/>
              </w:rPr>
              <w:t>Component</w:t>
            </w:r>
          </w:p>
        </w:tc>
        <w:tc>
          <w:tcPr>
            <w:tcW w:w="7484" w:type="dxa"/>
            <w:shd w:val="clear" w:color="auto" w:fill="auto"/>
          </w:tcPr>
          <w:p w:rsidR="00D53E4A" w:rsidRPr="008B2FD3" w:rsidRDefault="00D53E4A" w:rsidP="00BA350A">
            <w:pPr>
              <w:pStyle w:val="Tabletext"/>
              <w:contextualSpacing/>
              <w:jc w:val="center"/>
              <w:rPr>
                <w:b/>
              </w:rPr>
            </w:pPr>
            <w:r w:rsidRPr="008B2FD3">
              <w:rPr>
                <w:b/>
              </w:rPr>
              <w:t>Description</w:t>
            </w:r>
          </w:p>
        </w:tc>
      </w:tr>
      <w:tr w:rsidR="00D53E4A" w:rsidRPr="008B2FD3" w:rsidTr="00357F91">
        <w:trPr>
          <w:cantSplit/>
        </w:trPr>
        <w:tc>
          <w:tcPr>
            <w:tcW w:w="1588" w:type="dxa"/>
            <w:shd w:val="clear" w:color="auto" w:fill="auto"/>
          </w:tcPr>
          <w:p w:rsidR="00D53E4A" w:rsidRPr="008B2FD3" w:rsidRDefault="00D53E4A" w:rsidP="00BA350A">
            <w:pPr>
              <w:pStyle w:val="Tabletext"/>
              <w:contextualSpacing/>
            </w:pPr>
            <w:r w:rsidRPr="008B2FD3">
              <w:t>Population</w:t>
            </w:r>
          </w:p>
        </w:tc>
        <w:tc>
          <w:tcPr>
            <w:tcW w:w="7484" w:type="dxa"/>
            <w:shd w:val="clear" w:color="auto" w:fill="auto"/>
            <w:vAlign w:val="center"/>
          </w:tcPr>
          <w:p w:rsidR="00D53E4A" w:rsidRPr="008B2FD3" w:rsidRDefault="00D53E4A" w:rsidP="00BA350A">
            <w:pPr>
              <w:pStyle w:val="Tabletext"/>
              <w:contextualSpacing/>
            </w:pPr>
            <w:r w:rsidRPr="008B2FD3">
              <w:t>Adults aged 65 years and older</w:t>
            </w:r>
          </w:p>
        </w:tc>
      </w:tr>
      <w:tr w:rsidR="00D53E4A" w:rsidRPr="008B2FD3" w:rsidTr="00357F91">
        <w:trPr>
          <w:cantSplit/>
        </w:trPr>
        <w:tc>
          <w:tcPr>
            <w:tcW w:w="1588" w:type="dxa"/>
            <w:shd w:val="clear" w:color="auto" w:fill="auto"/>
          </w:tcPr>
          <w:p w:rsidR="00D53E4A" w:rsidRPr="008B2FD3" w:rsidRDefault="00D53E4A" w:rsidP="003B0926">
            <w:pPr>
              <w:pStyle w:val="Tabletext"/>
            </w:pPr>
            <w:r w:rsidRPr="008B2FD3">
              <w:t>Intervention</w:t>
            </w:r>
          </w:p>
        </w:tc>
        <w:tc>
          <w:tcPr>
            <w:tcW w:w="7484" w:type="dxa"/>
            <w:shd w:val="clear" w:color="auto" w:fill="auto"/>
          </w:tcPr>
          <w:p w:rsidR="00D53E4A" w:rsidRPr="008B2FD3" w:rsidRDefault="00D53E4A" w:rsidP="003B0926">
            <w:pPr>
              <w:pStyle w:val="Tabletext"/>
            </w:pPr>
            <w:r w:rsidRPr="008B2FD3">
              <w:t>TIV-HD (</w:t>
            </w:r>
            <w:proofErr w:type="spellStart"/>
            <w:r w:rsidRPr="008B2FD3">
              <w:t>Fluzone</w:t>
            </w:r>
            <w:proofErr w:type="spellEnd"/>
            <w:r w:rsidRPr="008B2FD3">
              <w:t xml:space="preserve"> High-Dose)</w:t>
            </w:r>
          </w:p>
        </w:tc>
      </w:tr>
      <w:tr w:rsidR="00D53E4A" w:rsidRPr="008B2FD3" w:rsidTr="00357F91">
        <w:trPr>
          <w:cantSplit/>
        </w:trPr>
        <w:tc>
          <w:tcPr>
            <w:tcW w:w="1588" w:type="dxa"/>
            <w:shd w:val="clear" w:color="auto" w:fill="auto"/>
          </w:tcPr>
          <w:p w:rsidR="00D53E4A" w:rsidRPr="008B2FD3" w:rsidRDefault="00D53E4A" w:rsidP="003B0926">
            <w:pPr>
              <w:pStyle w:val="Tabletext"/>
            </w:pPr>
            <w:r w:rsidRPr="008B2FD3">
              <w:t>Comparator</w:t>
            </w:r>
          </w:p>
        </w:tc>
        <w:tc>
          <w:tcPr>
            <w:tcW w:w="7484" w:type="dxa"/>
            <w:shd w:val="clear" w:color="auto" w:fill="auto"/>
          </w:tcPr>
          <w:p w:rsidR="00D53E4A" w:rsidRPr="008B2FD3" w:rsidRDefault="00D53E4A" w:rsidP="003B0926">
            <w:pPr>
              <w:pStyle w:val="Tabletext"/>
            </w:pPr>
            <w:r w:rsidRPr="008B2FD3">
              <w:t>QIVs (</w:t>
            </w:r>
            <w:proofErr w:type="spellStart"/>
            <w:r w:rsidRPr="008B2FD3">
              <w:t>FluQuadri</w:t>
            </w:r>
            <w:proofErr w:type="spellEnd"/>
            <w:r w:rsidRPr="008B2FD3">
              <w:t xml:space="preserve">, </w:t>
            </w:r>
            <w:proofErr w:type="spellStart"/>
            <w:r w:rsidRPr="008B2FD3">
              <w:t>Fluarix</w:t>
            </w:r>
            <w:proofErr w:type="spellEnd"/>
            <w:r w:rsidRPr="008B2FD3">
              <w:t xml:space="preserve"> Tetra, Afluria Quad)</w:t>
            </w:r>
          </w:p>
        </w:tc>
      </w:tr>
      <w:tr w:rsidR="00D53E4A" w:rsidRPr="008B2FD3" w:rsidTr="00357F91">
        <w:trPr>
          <w:cantSplit/>
        </w:trPr>
        <w:tc>
          <w:tcPr>
            <w:tcW w:w="1588" w:type="dxa"/>
            <w:shd w:val="clear" w:color="auto" w:fill="auto"/>
          </w:tcPr>
          <w:p w:rsidR="00D53E4A" w:rsidRPr="008B2FD3" w:rsidRDefault="00D53E4A" w:rsidP="003B0926">
            <w:pPr>
              <w:pStyle w:val="Tabletext"/>
            </w:pPr>
            <w:r w:rsidRPr="008B2FD3">
              <w:t>Outcomes</w:t>
            </w:r>
          </w:p>
        </w:tc>
        <w:tc>
          <w:tcPr>
            <w:tcW w:w="7484" w:type="dxa"/>
            <w:shd w:val="clear" w:color="auto" w:fill="auto"/>
          </w:tcPr>
          <w:p w:rsidR="00D53E4A" w:rsidRPr="008B2FD3" w:rsidRDefault="00D53E4A" w:rsidP="00CE68C8">
            <w:pPr>
              <w:pStyle w:val="Tabletext"/>
            </w:pPr>
            <w:r w:rsidRPr="008B2FD3">
              <w:t>Clinically diagnosed &amp; laboratory confirmed influenza, cardiorespiratory hospitalisation</w:t>
            </w:r>
          </w:p>
        </w:tc>
      </w:tr>
      <w:tr w:rsidR="00D53E4A" w:rsidRPr="008B2FD3" w:rsidTr="00357F91">
        <w:trPr>
          <w:cantSplit/>
        </w:trPr>
        <w:tc>
          <w:tcPr>
            <w:tcW w:w="1588" w:type="dxa"/>
            <w:shd w:val="clear" w:color="auto" w:fill="auto"/>
          </w:tcPr>
          <w:p w:rsidR="00D53E4A" w:rsidRPr="008B2FD3" w:rsidRDefault="00D53E4A" w:rsidP="003B0926">
            <w:pPr>
              <w:pStyle w:val="Tabletext"/>
            </w:pPr>
            <w:r w:rsidRPr="008B2FD3">
              <w:t>Clinical claim</w:t>
            </w:r>
          </w:p>
        </w:tc>
        <w:tc>
          <w:tcPr>
            <w:tcW w:w="7484" w:type="dxa"/>
            <w:shd w:val="clear" w:color="auto" w:fill="auto"/>
          </w:tcPr>
          <w:p w:rsidR="00D53E4A" w:rsidRPr="008B2FD3" w:rsidRDefault="00D53E4A" w:rsidP="003B0926">
            <w:pPr>
              <w:pStyle w:val="TableText0"/>
              <w:keepNext/>
              <w:spacing w:before="0" w:after="0"/>
              <w:rPr>
                <w:rFonts w:ascii="Arial Narrow" w:eastAsia="Times New Roman" w:hAnsi="Arial Narrow" w:cs="Times New Roman"/>
                <w:sz w:val="20"/>
                <w:szCs w:val="22"/>
              </w:rPr>
            </w:pPr>
            <w:r w:rsidRPr="008B2FD3">
              <w:rPr>
                <w:rFonts w:ascii="Arial Narrow" w:eastAsia="Times New Roman" w:hAnsi="Arial Narrow" w:cs="Times New Roman"/>
                <w:sz w:val="20"/>
                <w:szCs w:val="22"/>
              </w:rPr>
              <w:t>Reduction in cases of clinically diagnosed &amp; laboratory confirmed influenza</w:t>
            </w:r>
          </w:p>
          <w:p w:rsidR="00D53E4A" w:rsidRPr="008B2FD3" w:rsidRDefault="00D53E4A" w:rsidP="003B0926">
            <w:pPr>
              <w:pStyle w:val="TableText0"/>
              <w:keepNext/>
              <w:spacing w:before="0" w:after="0"/>
              <w:rPr>
                <w:rFonts w:ascii="Arial Narrow" w:eastAsia="Times New Roman" w:hAnsi="Arial Narrow" w:cs="Times New Roman"/>
                <w:sz w:val="20"/>
                <w:szCs w:val="22"/>
              </w:rPr>
            </w:pPr>
            <w:r w:rsidRPr="008B2FD3">
              <w:rPr>
                <w:rFonts w:ascii="Arial Narrow" w:eastAsia="Times New Roman" w:hAnsi="Arial Narrow" w:cs="Times New Roman"/>
                <w:sz w:val="20"/>
                <w:szCs w:val="22"/>
              </w:rPr>
              <w:t>Reduction in cardiorespiratory hospitalisations</w:t>
            </w:r>
          </w:p>
          <w:p w:rsidR="00D53E4A" w:rsidRPr="008B2FD3" w:rsidRDefault="00D53E4A" w:rsidP="003B0926">
            <w:pPr>
              <w:pStyle w:val="Tabletext"/>
            </w:pPr>
            <w:r w:rsidRPr="008B2FD3">
              <w:t>Acceptable safety profile</w:t>
            </w:r>
          </w:p>
        </w:tc>
      </w:tr>
    </w:tbl>
    <w:p w:rsidR="00D53E4A" w:rsidRPr="008B2FD3" w:rsidRDefault="00D53E4A" w:rsidP="00D53E4A">
      <w:pPr>
        <w:rPr>
          <w:rFonts w:ascii="Arial Narrow" w:eastAsiaTheme="minorHAnsi" w:hAnsi="Arial Narrow" w:cstheme="minorBidi"/>
          <w:snapToGrid/>
          <w:sz w:val="18"/>
        </w:rPr>
      </w:pPr>
      <w:r w:rsidRPr="008B2FD3">
        <w:rPr>
          <w:rFonts w:ascii="Arial Narrow" w:eastAsiaTheme="minorHAnsi" w:hAnsi="Arial Narrow" w:cstheme="minorBidi"/>
          <w:snapToGrid/>
          <w:sz w:val="18"/>
        </w:rPr>
        <w:t xml:space="preserve">HD= high dose; QIV= </w:t>
      </w:r>
      <w:proofErr w:type="spellStart"/>
      <w:r w:rsidRPr="008B2FD3">
        <w:rPr>
          <w:rFonts w:ascii="Arial Narrow" w:eastAsiaTheme="minorHAnsi" w:hAnsi="Arial Narrow" w:cstheme="minorBidi"/>
          <w:snapToGrid/>
          <w:sz w:val="18"/>
        </w:rPr>
        <w:t>quadrivalent</w:t>
      </w:r>
      <w:proofErr w:type="spellEnd"/>
      <w:r w:rsidRPr="008B2FD3">
        <w:rPr>
          <w:rFonts w:ascii="Arial Narrow" w:eastAsiaTheme="minorHAnsi" w:hAnsi="Arial Narrow" w:cstheme="minorBidi"/>
          <w:snapToGrid/>
          <w:sz w:val="18"/>
        </w:rPr>
        <w:t xml:space="preserve"> influenza vaccine; TIV= Trivalent influenza vaccine.</w:t>
      </w:r>
    </w:p>
    <w:p w:rsidR="00D53E4A" w:rsidRDefault="00D53E4A" w:rsidP="00D53E4A">
      <w:pPr>
        <w:pStyle w:val="TableFooter"/>
      </w:pPr>
      <w:r w:rsidRPr="008B2FD3">
        <w:rPr>
          <w:rFonts w:eastAsiaTheme="minorHAnsi" w:cstheme="minorBidi"/>
          <w:snapToGrid/>
        </w:rPr>
        <w:t>Source: Table 1.1.1, p10 of the submission</w:t>
      </w:r>
      <w:r w:rsidRPr="008B2FD3">
        <w:t>.</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bookmarkStart w:id="9" w:name="_Toc371170700"/>
      <w:bookmarkStart w:id="10" w:name="_Toc514248214"/>
      <w:r w:rsidRPr="00F83419">
        <w:rPr>
          <w:rFonts w:asciiTheme="minorHAnsi" w:eastAsiaTheme="majorEastAsia" w:hAnsiTheme="minorHAnsi" w:cstheme="majorBidi"/>
          <w:caps w:val="0"/>
          <w:snapToGrid/>
          <w:szCs w:val="28"/>
        </w:rPr>
        <w:t>Requested listing</w:t>
      </w:r>
      <w:bookmarkEnd w:id="9"/>
      <w:bookmarkEnd w:id="10"/>
    </w:p>
    <w:tbl>
      <w:tblPr>
        <w:tblW w:w="4972" w:type="pct"/>
        <w:tblInd w:w="33" w:type="dxa"/>
        <w:tblCellMar>
          <w:left w:w="28" w:type="dxa"/>
          <w:right w:w="28" w:type="dxa"/>
        </w:tblCellMar>
        <w:tblLook w:val="0000" w:firstRow="0" w:lastRow="0" w:firstColumn="0" w:lastColumn="0" w:noHBand="0" w:noVBand="0"/>
      </w:tblPr>
      <w:tblGrid>
        <w:gridCol w:w="2263"/>
        <w:gridCol w:w="1418"/>
        <w:gridCol w:w="567"/>
        <w:gridCol w:w="567"/>
        <w:gridCol w:w="1702"/>
        <w:gridCol w:w="1010"/>
        <w:gridCol w:w="1505"/>
      </w:tblGrid>
      <w:tr w:rsidR="00D53E4A" w:rsidRPr="008B2FD3" w:rsidTr="00357F91">
        <w:trPr>
          <w:cantSplit/>
          <w:trHeight w:val="463"/>
        </w:trPr>
        <w:tc>
          <w:tcPr>
            <w:tcW w:w="2038" w:type="pct"/>
            <w:gridSpan w:val="2"/>
            <w:tcBorders>
              <w:top w:val="single" w:sz="4" w:space="0" w:color="auto"/>
              <w:bottom w:val="single" w:sz="4" w:space="0" w:color="auto"/>
            </w:tcBorders>
            <w:vAlign w:val="center"/>
          </w:tcPr>
          <w:p w:rsidR="00D53E4A" w:rsidRPr="008B2FD3" w:rsidRDefault="00D53E4A" w:rsidP="003B0926">
            <w:pPr>
              <w:keepNext/>
              <w:jc w:val="left"/>
              <w:rPr>
                <w:rFonts w:ascii="Arial Narrow" w:hAnsi="Arial Narrow"/>
                <w:b/>
                <w:sz w:val="20"/>
              </w:rPr>
            </w:pPr>
            <w:r w:rsidRPr="008B2FD3">
              <w:rPr>
                <w:rFonts w:ascii="Arial Narrow" w:hAnsi="Arial Narrow"/>
                <w:b/>
                <w:sz w:val="20"/>
              </w:rPr>
              <w:t>Name, Restriction,</w:t>
            </w:r>
          </w:p>
          <w:p w:rsidR="00D53E4A" w:rsidRPr="008B2FD3" w:rsidRDefault="00D53E4A" w:rsidP="003B0926">
            <w:pPr>
              <w:keepNext/>
              <w:jc w:val="left"/>
              <w:rPr>
                <w:rFonts w:ascii="Arial Narrow" w:hAnsi="Arial Narrow"/>
                <w:b/>
                <w:sz w:val="20"/>
              </w:rPr>
            </w:pPr>
            <w:r w:rsidRPr="008B2FD3">
              <w:rPr>
                <w:rFonts w:ascii="Arial Narrow" w:hAnsi="Arial Narrow"/>
                <w:b/>
                <w:sz w:val="20"/>
              </w:rPr>
              <w:t>Manner of administration and form</w:t>
            </w:r>
          </w:p>
        </w:tc>
        <w:tc>
          <w:tcPr>
            <w:tcW w:w="314" w:type="pct"/>
            <w:tcBorders>
              <w:top w:val="single" w:sz="4" w:space="0" w:color="auto"/>
              <w:bottom w:val="single" w:sz="4" w:space="0" w:color="auto"/>
            </w:tcBorders>
            <w:vAlign w:val="center"/>
          </w:tcPr>
          <w:p w:rsidR="00D53E4A" w:rsidRPr="008B2FD3" w:rsidRDefault="00D53E4A" w:rsidP="003B0926">
            <w:pPr>
              <w:keepNext/>
              <w:jc w:val="center"/>
              <w:rPr>
                <w:rFonts w:ascii="Arial Narrow" w:hAnsi="Arial Narrow"/>
                <w:b/>
                <w:sz w:val="20"/>
              </w:rPr>
            </w:pPr>
            <w:r w:rsidRPr="008B2FD3">
              <w:rPr>
                <w:rFonts w:ascii="Arial Narrow" w:hAnsi="Arial Narrow"/>
                <w:b/>
                <w:sz w:val="20"/>
              </w:rPr>
              <w:t>Max.</w:t>
            </w:r>
          </w:p>
          <w:p w:rsidR="00D53E4A" w:rsidRPr="008B2FD3" w:rsidRDefault="00D53E4A" w:rsidP="003B0926">
            <w:pPr>
              <w:keepNext/>
              <w:jc w:val="center"/>
              <w:rPr>
                <w:rFonts w:ascii="Arial Narrow" w:hAnsi="Arial Narrow"/>
                <w:b/>
                <w:sz w:val="20"/>
              </w:rPr>
            </w:pPr>
            <w:proofErr w:type="spellStart"/>
            <w:r w:rsidRPr="008B2FD3">
              <w:rPr>
                <w:rFonts w:ascii="Arial Narrow" w:hAnsi="Arial Narrow"/>
                <w:b/>
                <w:sz w:val="20"/>
              </w:rPr>
              <w:t>Qty</w:t>
            </w:r>
            <w:proofErr w:type="spellEnd"/>
            <w:r w:rsidRPr="008B2FD3">
              <w:rPr>
                <w:rFonts w:ascii="Arial Narrow" w:hAnsi="Arial Narrow"/>
                <w:b/>
                <w:sz w:val="20"/>
              </w:rPr>
              <w:t xml:space="preserve"> </w:t>
            </w:r>
          </w:p>
        </w:tc>
        <w:tc>
          <w:tcPr>
            <w:tcW w:w="314" w:type="pct"/>
            <w:tcBorders>
              <w:top w:val="single" w:sz="4" w:space="0" w:color="auto"/>
              <w:bottom w:val="single" w:sz="4" w:space="0" w:color="auto"/>
            </w:tcBorders>
            <w:vAlign w:val="center"/>
          </w:tcPr>
          <w:p w:rsidR="00D53E4A" w:rsidRPr="008B2FD3" w:rsidRDefault="00D53E4A" w:rsidP="003B0926">
            <w:pPr>
              <w:keepNext/>
              <w:jc w:val="center"/>
              <w:rPr>
                <w:rFonts w:ascii="Arial Narrow" w:hAnsi="Arial Narrow"/>
                <w:b/>
                <w:sz w:val="20"/>
              </w:rPr>
            </w:pPr>
            <w:r w:rsidRPr="008B2FD3">
              <w:rPr>
                <w:rFonts w:ascii="Arial Narrow" w:hAnsi="Arial Narrow" w:cs="Times New Roman"/>
                <w:b/>
                <w:sz w:val="20"/>
              </w:rPr>
              <w:t>№</w:t>
            </w:r>
            <w:r w:rsidRPr="008B2FD3">
              <w:rPr>
                <w:rFonts w:ascii="Arial Narrow" w:hAnsi="Arial Narrow"/>
                <w:b/>
                <w:sz w:val="20"/>
              </w:rPr>
              <w:t>.of</w:t>
            </w:r>
          </w:p>
          <w:p w:rsidR="00D53E4A" w:rsidRPr="008B2FD3" w:rsidRDefault="00D53E4A" w:rsidP="003B0926">
            <w:pPr>
              <w:keepNext/>
              <w:jc w:val="center"/>
              <w:rPr>
                <w:rFonts w:ascii="Arial Narrow" w:hAnsi="Arial Narrow"/>
                <w:b/>
                <w:sz w:val="20"/>
              </w:rPr>
            </w:pPr>
            <w:r w:rsidRPr="008B2FD3">
              <w:rPr>
                <w:rFonts w:ascii="Arial Narrow" w:hAnsi="Arial Narrow"/>
                <w:b/>
                <w:sz w:val="20"/>
              </w:rPr>
              <w:t>Rpts</w:t>
            </w:r>
          </w:p>
        </w:tc>
        <w:tc>
          <w:tcPr>
            <w:tcW w:w="942" w:type="pct"/>
            <w:tcBorders>
              <w:top w:val="single" w:sz="4" w:space="0" w:color="auto"/>
              <w:bottom w:val="single" w:sz="4" w:space="0" w:color="auto"/>
            </w:tcBorders>
            <w:vAlign w:val="center"/>
          </w:tcPr>
          <w:p w:rsidR="00D53E4A" w:rsidRPr="008B2FD3" w:rsidRDefault="00D53E4A" w:rsidP="00357F91">
            <w:pPr>
              <w:keepNext/>
              <w:jc w:val="center"/>
              <w:rPr>
                <w:rFonts w:ascii="Arial Narrow" w:hAnsi="Arial Narrow"/>
                <w:b/>
                <w:sz w:val="20"/>
              </w:rPr>
            </w:pPr>
            <w:r w:rsidRPr="008B2FD3">
              <w:rPr>
                <w:rFonts w:ascii="Arial Narrow" w:hAnsi="Arial Narrow"/>
                <w:b/>
                <w:sz w:val="20"/>
              </w:rPr>
              <w:t>Approved ex-manufactur</w:t>
            </w:r>
            <w:r w:rsidR="00357F91">
              <w:rPr>
                <w:rFonts w:ascii="Arial Narrow" w:hAnsi="Arial Narrow"/>
                <w:b/>
                <w:sz w:val="20"/>
              </w:rPr>
              <w:t>er</w:t>
            </w:r>
            <w:r w:rsidRPr="008B2FD3">
              <w:rPr>
                <w:rFonts w:ascii="Arial Narrow" w:hAnsi="Arial Narrow"/>
                <w:b/>
                <w:sz w:val="20"/>
              </w:rPr>
              <w:t xml:space="preserve"> price</w:t>
            </w:r>
          </w:p>
        </w:tc>
        <w:tc>
          <w:tcPr>
            <w:tcW w:w="1392" w:type="pct"/>
            <w:gridSpan w:val="2"/>
            <w:tcBorders>
              <w:top w:val="single" w:sz="4" w:space="0" w:color="auto"/>
              <w:bottom w:val="single" w:sz="4" w:space="0" w:color="auto"/>
            </w:tcBorders>
            <w:vAlign w:val="center"/>
          </w:tcPr>
          <w:p w:rsidR="00D53E4A" w:rsidRPr="008B2FD3" w:rsidRDefault="00D53E4A" w:rsidP="00357F91">
            <w:pPr>
              <w:keepNext/>
              <w:jc w:val="left"/>
              <w:rPr>
                <w:rFonts w:ascii="Arial Narrow" w:hAnsi="Arial Narrow"/>
                <w:b/>
                <w:sz w:val="20"/>
              </w:rPr>
            </w:pPr>
            <w:r w:rsidRPr="008B2FD3">
              <w:rPr>
                <w:rFonts w:ascii="Arial Narrow" w:hAnsi="Arial Narrow"/>
                <w:b/>
                <w:sz w:val="20"/>
              </w:rPr>
              <w:t>Proprietary Name and Manufacturer</w:t>
            </w:r>
          </w:p>
        </w:tc>
      </w:tr>
      <w:tr w:rsidR="00D53E4A" w:rsidRPr="008B2FD3" w:rsidTr="00357F91">
        <w:trPr>
          <w:cantSplit/>
          <w:trHeight w:val="567"/>
        </w:trPr>
        <w:tc>
          <w:tcPr>
            <w:tcW w:w="2038" w:type="pct"/>
            <w:gridSpan w:val="2"/>
            <w:vAlign w:val="center"/>
          </w:tcPr>
          <w:p w:rsidR="00D53E4A" w:rsidRPr="008B2FD3" w:rsidRDefault="00D53E4A" w:rsidP="003B0926">
            <w:pPr>
              <w:keepNext/>
              <w:jc w:val="left"/>
              <w:rPr>
                <w:rFonts w:ascii="Arial Narrow" w:hAnsi="Arial Narrow"/>
                <w:sz w:val="20"/>
              </w:rPr>
            </w:pPr>
            <w:r w:rsidRPr="008B2FD3">
              <w:rPr>
                <w:rFonts w:ascii="Arial Narrow" w:hAnsi="Arial Narrow"/>
                <w:smallCaps/>
                <w:sz w:val="20"/>
              </w:rPr>
              <w:t xml:space="preserve">Inactivated Trivalent Influenza Vaccine (Split </w:t>
            </w:r>
            <w:proofErr w:type="spellStart"/>
            <w:r w:rsidRPr="008B2FD3">
              <w:rPr>
                <w:rFonts w:ascii="Arial Narrow" w:hAnsi="Arial Narrow"/>
                <w:smallCaps/>
                <w:sz w:val="20"/>
              </w:rPr>
              <w:t>Virion</w:t>
            </w:r>
            <w:proofErr w:type="spellEnd"/>
            <w:r w:rsidRPr="008B2FD3">
              <w:rPr>
                <w:rFonts w:ascii="Arial Narrow" w:hAnsi="Arial Narrow"/>
                <w:smallCaps/>
                <w:sz w:val="20"/>
              </w:rPr>
              <w:t>), 0.5mL, injection, prefilled syringe</w:t>
            </w:r>
          </w:p>
        </w:tc>
        <w:tc>
          <w:tcPr>
            <w:tcW w:w="314" w:type="pct"/>
            <w:vAlign w:val="center"/>
          </w:tcPr>
          <w:p w:rsidR="00D53E4A" w:rsidRPr="008B2FD3" w:rsidRDefault="00D53E4A" w:rsidP="003B0926">
            <w:pPr>
              <w:keepNext/>
              <w:jc w:val="center"/>
              <w:rPr>
                <w:rFonts w:ascii="Arial Narrow" w:hAnsi="Arial Narrow"/>
                <w:sz w:val="20"/>
              </w:rPr>
            </w:pPr>
            <w:r w:rsidRPr="008B2FD3">
              <w:rPr>
                <w:rFonts w:ascii="Arial Narrow" w:hAnsi="Arial Narrow"/>
                <w:sz w:val="20"/>
              </w:rPr>
              <w:t>1</w:t>
            </w:r>
          </w:p>
        </w:tc>
        <w:tc>
          <w:tcPr>
            <w:tcW w:w="314" w:type="pct"/>
            <w:vAlign w:val="center"/>
          </w:tcPr>
          <w:p w:rsidR="00D53E4A" w:rsidRPr="008B2FD3" w:rsidRDefault="00D53E4A" w:rsidP="003B0926">
            <w:pPr>
              <w:keepNext/>
              <w:jc w:val="center"/>
              <w:rPr>
                <w:rFonts w:ascii="Arial Narrow" w:hAnsi="Arial Narrow"/>
                <w:sz w:val="20"/>
              </w:rPr>
            </w:pPr>
            <w:r w:rsidRPr="008B2FD3">
              <w:rPr>
                <w:rFonts w:ascii="Arial Narrow" w:hAnsi="Arial Narrow"/>
                <w:sz w:val="20"/>
              </w:rPr>
              <w:t>0</w:t>
            </w:r>
          </w:p>
        </w:tc>
        <w:tc>
          <w:tcPr>
            <w:tcW w:w="942" w:type="pct"/>
            <w:vAlign w:val="center"/>
          </w:tcPr>
          <w:p w:rsidR="00D53E4A" w:rsidRPr="008B2FD3" w:rsidRDefault="00D53E4A" w:rsidP="003B0926">
            <w:pPr>
              <w:keepNext/>
              <w:jc w:val="center"/>
              <w:rPr>
                <w:rFonts w:ascii="Arial Narrow" w:hAnsi="Arial Narrow"/>
                <w:sz w:val="20"/>
              </w:rPr>
            </w:pPr>
            <w:r w:rsidRPr="008B2FD3">
              <w:rPr>
                <w:rFonts w:ascii="Arial Narrow" w:hAnsi="Arial Narrow"/>
                <w:sz w:val="20"/>
              </w:rPr>
              <w:t>$</w:t>
            </w:r>
            <w:r w:rsidR="005B0F33">
              <w:rPr>
                <w:rFonts w:ascii="Arial Narrow" w:hAnsi="Arial Narrow"/>
                <w:noProof/>
                <w:color w:val="000000"/>
                <w:sz w:val="20"/>
                <w:highlight w:val="black"/>
              </w:rPr>
              <w:t>''''''''''''</w:t>
            </w:r>
          </w:p>
        </w:tc>
        <w:tc>
          <w:tcPr>
            <w:tcW w:w="559" w:type="pct"/>
            <w:vAlign w:val="center"/>
          </w:tcPr>
          <w:p w:rsidR="00D53E4A" w:rsidRPr="008B2FD3" w:rsidRDefault="00D53E4A" w:rsidP="00357F91">
            <w:pPr>
              <w:keepNext/>
              <w:jc w:val="left"/>
              <w:rPr>
                <w:rFonts w:ascii="Arial Narrow" w:hAnsi="Arial Narrow"/>
                <w:sz w:val="20"/>
              </w:rPr>
            </w:pPr>
            <w:proofErr w:type="spellStart"/>
            <w:r w:rsidRPr="008B2FD3">
              <w:rPr>
                <w:rFonts w:ascii="Arial Narrow" w:hAnsi="Arial Narrow"/>
                <w:sz w:val="20"/>
              </w:rPr>
              <w:t>Fluzone</w:t>
            </w:r>
            <w:proofErr w:type="spellEnd"/>
            <w:r w:rsidRPr="008B2FD3">
              <w:rPr>
                <w:rFonts w:ascii="Arial Narrow" w:hAnsi="Arial Narrow"/>
                <w:sz w:val="20"/>
              </w:rPr>
              <w:t xml:space="preserve"> High-Dose</w:t>
            </w:r>
          </w:p>
        </w:tc>
        <w:tc>
          <w:tcPr>
            <w:tcW w:w="833" w:type="pct"/>
            <w:vAlign w:val="center"/>
          </w:tcPr>
          <w:p w:rsidR="00D53E4A" w:rsidRPr="008B2FD3" w:rsidRDefault="00357F91" w:rsidP="003B0926">
            <w:pPr>
              <w:keepNext/>
              <w:rPr>
                <w:rFonts w:ascii="Arial Narrow" w:hAnsi="Arial Narrow"/>
                <w:sz w:val="20"/>
              </w:rPr>
            </w:pPr>
            <w:r>
              <w:rPr>
                <w:rFonts w:ascii="Arial Narrow" w:hAnsi="Arial Narrow"/>
                <w:sz w:val="20"/>
              </w:rPr>
              <w:t>Sanofi-Aventis Australia Pty L</w:t>
            </w:r>
            <w:r w:rsidR="00D53E4A" w:rsidRPr="008B2FD3">
              <w:rPr>
                <w:rFonts w:ascii="Arial Narrow" w:hAnsi="Arial Narrow"/>
                <w:sz w:val="20"/>
              </w:rPr>
              <w:t xml:space="preserve">td </w:t>
            </w:r>
          </w:p>
        </w:tc>
      </w:tr>
      <w:tr w:rsidR="00D53E4A" w:rsidRPr="008B2FD3" w:rsidTr="003B0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53E4A" w:rsidRPr="00357F91" w:rsidRDefault="00D53E4A" w:rsidP="003B0926">
            <w:pPr>
              <w:pStyle w:val="Tabletext"/>
              <w:rPr>
                <w:b/>
                <w:lang w:eastAsia="en-AU"/>
              </w:rPr>
            </w:pPr>
            <w:r w:rsidRPr="00357F91">
              <w:rPr>
                <w:b/>
                <w:lang w:eastAsia="en-AU"/>
              </w:rPr>
              <w:t>Category/Program:</w:t>
            </w:r>
          </w:p>
        </w:tc>
        <w:tc>
          <w:tcPr>
            <w:tcW w:w="3747" w:type="pct"/>
            <w:gridSpan w:val="6"/>
            <w:tcBorders>
              <w:top w:val="single" w:sz="4" w:space="0" w:color="auto"/>
              <w:left w:val="single" w:sz="4" w:space="0" w:color="auto"/>
              <w:bottom w:val="single" w:sz="4" w:space="0" w:color="auto"/>
              <w:right w:val="single" w:sz="4" w:space="0" w:color="auto"/>
            </w:tcBorders>
          </w:tcPr>
          <w:p w:rsidR="00D53E4A" w:rsidRPr="008B2FD3" w:rsidRDefault="00D53E4A" w:rsidP="003B0926">
            <w:pPr>
              <w:pStyle w:val="Tabletext"/>
              <w:rPr>
                <w:lang w:eastAsia="en-AU"/>
              </w:rPr>
            </w:pPr>
            <w:r w:rsidRPr="008B2FD3">
              <w:rPr>
                <w:lang w:eastAsia="en-AU"/>
              </w:rPr>
              <w:t>NIP</w:t>
            </w:r>
          </w:p>
        </w:tc>
      </w:tr>
      <w:tr w:rsidR="00D53E4A" w:rsidRPr="008B2FD3" w:rsidTr="003B0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53E4A" w:rsidRPr="00357F91" w:rsidRDefault="00D53E4A" w:rsidP="003B0926">
            <w:pPr>
              <w:pStyle w:val="Tabletext"/>
              <w:rPr>
                <w:b/>
                <w:lang w:eastAsia="en-AU"/>
              </w:rPr>
            </w:pPr>
            <w:r w:rsidRPr="00357F91">
              <w:rPr>
                <w:b/>
                <w:lang w:eastAsia="en-AU"/>
              </w:rPr>
              <w:t>NIP indication:</w:t>
            </w:r>
          </w:p>
        </w:tc>
        <w:tc>
          <w:tcPr>
            <w:tcW w:w="3747" w:type="pct"/>
            <w:gridSpan w:val="6"/>
            <w:tcBorders>
              <w:top w:val="single" w:sz="4" w:space="0" w:color="auto"/>
              <w:left w:val="single" w:sz="4" w:space="0" w:color="auto"/>
              <w:bottom w:val="single" w:sz="4" w:space="0" w:color="auto"/>
              <w:right w:val="single" w:sz="4" w:space="0" w:color="auto"/>
            </w:tcBorders>
          </w:tcPr>
          <w:p w:rsidR="00D53E4A" w:rsidRPr="008B2FD3" w:rsidRDefault="00D53E4A" w:rsidP="003B0926">
            <w:pPr>
              <w:pStyle w:val="Tabletext"/>
              <w:rPr>
                <w:lang w:eastAsia="en-AU"/>
              </w:rPr>
            </w:pPr>
            <w:r w:rsidRPr="008B2FD3">
              <w:rPr>
                <w:lang w:eastAsia="en-AU"/>
              </w:rPr>
              <w:t>A single injection against influenza disease caused by influenza virus types A and B contained in the vaccine for use in persons 65 years of age and older</w:t>
            </w:r>
          </w:p>
        </w:tc>
      </w:tr>
    </w:tbl>
    <w:p w:rsidR="00860BE2" w:rsidRPr="008B2FD3" w:rsidRDefault="00860BE2" w:rsidP="00E27BE1">
      <w:pPr>
        <w:pStyle w:val="ListParagraph"/>
        <w:widowControl/>
        <w:numPr>
          <w:ilvl w:val="1"/>
          <w:numId w:val="1"/>
        </w:numPr>
        <w:spacing w:before="120"/>
      </w:pPr>
      <w:r w:rsidRPr="008B2FD3">
        <w:t xml:space="preserve">The NIP indication in the current submission was the same as the current NIP listing.  </w:t>
      </w:r>
    </w:p>
    <w:p w:rsidR="00D53E4A" w:rsidRDefault="00D53E4A" w:rsidP="00161E40">
      <w:pPr>
        <w:pStyle w:val="ListParagraph"/>
        <w:widowControl/>
        <w:numPr>
          <w:ilvl w:val="1"/>
          <w:numId w:val="1"/>
        </w:numPr>
      </w:pPr>
      <w:r w:rsidRPr="008B2FD3">
        <w:t>The submission proposed an approved ex-manufacturer price of $</w:t>
      </w:r>
      <w:r w:rsidR="005B0F33">
        <w:rPr>
          <w:noProof/>
          <w:color w:val="000000"/>
          <w:highlight w:val="black"/>
        </w:rPr>
        <w:t>'''''''''''</w:t>
      </w:r>
      <w:r w:rsidR="002856C1" w:rsidRPr="008B2FD3">
        <w:t xml:space="preserve">, which </w:t>
      </w:r>
      <w:r w:rsidR="00D03AF5" w:rsidRPr="008B2FD3">
        <w:t xml:space="preserve">is </w:t>
      </w:r>
      <w:r w:rsidR="005B0F33">
        <w:rPr>
          <w:noProof/>
          <w:color w:val="000000"/>
          <w:highlight w:val="black"/>
        </w:rPr>
        <w:t xml:space="preserve">'''''''' ''''''''''' </w:t>
      </w:r>
      <w:r w:rsidR="002856C1" w:rsidRPr="008B2FD3">
        <w:t xml:space="preserve">higher </w:t>
      </w:r>
      <w:r w:rsidR="00ED2EBA">
        <w:t>than</w:t>
      </w:r>
      <w:r w:rsidR="002856C1" w:rsidRPr="008B2FD3">
        <w:t xml:space="preserve"> the current price of</w:t>
      </w:r>
      <w:r w:rsidR="00ED2EBA">
        <w:t xml:space="preserve"> </w:t>
      </w:r>
      <w:r w:rsidR="00860BE2" w:rsidRPr="008B2FD3">
        <w:t>$</w:t>
      </w:r>
      <w:r w:rsidR="005B0F33">
        <w:rPr>
          <w:noProof/>
          <w:color w:val="000000"/>
          <w:highlight w:val="black"/>
        </w:rPr>
        <w:t>''''''''</w:t>
      </w:r>
      <w:r w:rsidRPr="008B2FD3">
        <w:t>.</w:t>
      </w:r>
      <w:r w:rsidR="00541852">
        <w:t xml:space="preserve"> </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bookmarkStart w:id="11" w:name="_Toc371170701"/>
      <w:bookmarkStart w:id="12" w:name="_Toc514248215"/>
      <w:r w:rsidRPr="00F83419">
        <w:rPr>
          <w:rFonts w:asciiTheme="minorHAnsi" w:eastAsiaTheme="majorEastAsia" w:hAnsiTheme="minorHAnsi" w:cstheme="majorBidi"/>
          <w:caps w:val="0"/>
          <w:snapToGrid/>
          <w:szCs w:val="28"/>
        </w:rPr>
        <w:lastRenderedPageBreak/>
        <w:t>Background</w:t>
      </w:r>
      <w:bookmarkEnd w:id="11"/>
      <w:bookmarkEnd w:id="12"/>
    </w:p>
    <w:p w:rsidR="00D53E4A" w:rsidRPr="008B2FD3" w:rsidRDefault="00D53E4A" w:rsidP="00E27BE1">
      <w:pPr>
        <w:keepNext/>
        <w:spacing w:after="120"/>
        <w:rPr>
          <w:b/>
          <w:sz w:val="28"/>
          <w:szCs w:val="28"/>
        </w:rPr>
      </w:pPr>
      <w:r w:rsidRPr="008B2FD3">
        <w:rPr>
          <w:b/>
          <w:sz w:val="28"/>
          <w:szCs w:val="28"/>
        </w:rPr>
        <w:t>Registration status</w:t>
      </w:r>
    </w:p>
    <w:p w:rsidR="00D53E4A" w:rsidRDefault="00D53E4A" w:rsidP="00161E40">
      <w:pPr>
        <w:pStyle w:val="ListParagraph"/>
        <w:widowControl/>
        <w:numPr>
          <w:ilvl w:val="1"/>
          <w:numId w:val="1"/>
        </w:numPr>
      </w:pPr>
      <w:r w:rsidRPr="008B2FD3">
        <w:t>The TIV-HD was TGA registered on 20 December 2017 for active immunisation against influenza disease caused by influenza virus types A and B contained in the vaccine for use in persons 65 years of age and older</w:t>
      </w:r>
      <w:r w:rsidR="00D8651C" w:rsidRPr="008B2FD3">
        <w:t>.</w:t>
      </w:r>
    </w:p>
    <w:p w:rsidR="00D9008E" w:rsidRDefault="00D9008E" w:rsidP="00D9008E">
      <w:pPr>
        <w:pStyle w:val="ListParagraph"/>
        <w:widowControl/>
        <w:numPr>
          <w:ilvl w:val="1"/>
          <w:numId w:val="1"/>
        </w:numPr>
      </w:pPr>
      <w:r w:rsidRPr="008B2FD3">
        <w:t xml:space="preserve">TIV-HD </w:t>
      </w:r>
      <w:r>
        <w:t>(</w:t>
      </w:r>
      <w:proofErr w:type="spellStart"/>
      <w:r>
        <w:t>Fluzone</w:t>
      </w:r>
      <w:proofErr w:type="spellEnd"/>
      <w:r>
        <w:t xml:space="preserve"> High-Dose) for intramuscular injection is an inactivated influenza virus vaccine. It contains 180 micrograms (</w:t>
      </w:r>
      <w:proofErr w:type="spellStart"/>
      <w:r>
        <w:t>μg</w:t>
      </w:r>
      <w:proofErr w:type="spellEnd"/>
      <w:r>
        <w:t xml:space="preserve">) </w:t>
      </w:r>
      <w:proofErr w:type="spellStart"/>
      <w:r>
        <w:t>haemagglutinin</w:t>
      </w:r>
      <w:proofErr w:type="spellEnd"/>
      <w:r>
        <w:t xml:space="preserve"> (HA) per 0.5 mL dose in the recommended ratio of 60 </w:t>
      </w:r>
      <w:proofErr w:type="spellStart"/>
      <w:r>
        <w:t>μg</w:t>
      </w:r>
      <w:proofErr w:type="spellEnd"/>
      <w:r>
        <w:t xml:space="preserve"> HA of each of the three strains recommended for the 2018 influenza season:</w:t>
      </w:r>
    </w:p>
    <w:p w:rsidR="00D9008E" w:rsidRDefault="00D9008E" w:rsidP="00D9008E">
      <w:pPr>
        <w:pStyle w:val="ListParagraph"/>
        <w:widowControl/>
        <w:numPr>
          <w:ilvl w:val="1"/>
          <w:numId w:val="19"/>
        </w:numPr>
        <w:ind w:left="1134" w:hanging="425"/>
      </w:pPr>
      <w:r>
        <w:t>A/Michigan/45/2015 (H1N1) pdm09-like virus (A/Michigan/45/2015 X-275)</w:t>
      </w:r>
    </w:p>
    <w:p w:rsidR="00D9008E" w:rsidRDefault="00D9008E" w:rsidP="00D9008E">
      <w:pPr>
        <w:pStyle w:val="ListParagraph"/>
        <w:widowControl/>
        <w:numPr>
          <w:ilvl w:val="1"/>
          <w:numId w:val="19"/>
        </w:numPr>
        <w:ind w:left="1134" w:hanging="425"/>
      </w:pPr>
      <w:r>
        <w:t>A/Singapore/INFIMH-16-0019/2016 (H3N2)-like virus (A/Singapore/INFIMH-16-0019/2016 NIB-104)</w:t>
      </w:r>
    </w:p>
    <w:p w:rsidR="00D9008E" w:rsidRPr="008B2FD3" w:rsidRDefault="00D9008E" w:rsidP="00D9008E">
      <w:pPr>
        <w:pStyle w:val="ListParagraph"/>
        <w:widowControl/>
        <w:numPr>
          <w:ilvl w:val="1"/>
          <w:numId w:val="19"/>
        </w:numPr>
        <w:ind w:left="1134" w:hanging="425"/>
      </w:pPr>
      <w:r>
        <w:t>B/Phuket/3073/2013-like virus (B/Phuket/3073/2013; Yamagata lineage)</w:t>
      </w:r>
      <w:r w:rsidR="00973954">
        <w:t>.</w:t>
      </w:r>
    </w:p>
    <w:p w:rsidR="00D53E4A" w:rsidRPr="008B2FD3" w:rsidRDefault="00D53E4A" w:rsidP="00E27BE1">
      <w:pPr>
        <w:widowControl/>
        <w:spacing w:after="120"/>
        <w:jc w:val="left"/>
        <w:rPr>
          <w:b/>
          <w:sz w:val="28"/>
          <w:szCs w:val="28"/>
        </w:rPr>
      </w:pPr>
      <w:r w:rsidRPr="008B2FD3">
        <w:rPr>
          <w:b/>
          <w:sz w:val="28"/>
          <w:szCs w:val="28"/>
        </w:rPr>
        <w:t>Previous PBAC consideration</w:t>
      </w:r>
    </w:p>
    <w:p w:rsidR="00BA350A" w:rsidRDefault="00D53E4A" w:rsidP="00161E40">
      <w:pPr>
        <w:pStyle w:val="ListParagraph"/>
        <w:widowControl/>
        <w:numPr>
          <w:ilvl w:val="1"/>
          <w:numId w:val="1"/>
        </w:numPr>
        <w:spacing w:after="120"/>
      </w:pPr>
      <w:r w:rsidRPr="008B2FD3">
        <w:t>The PBAC recommended listing TIV</w:t>
      </w:r>
      <w:r w:rsidRPr="008B2FD3">
        <w:noBreakHyphen/>
        <w:t xml:space="preserve">HD on the NIP in late January 2018 based on a minor submission using a cost-minimisation approach. </w:t>
      </w:r>
      <w:r w:rsidR="00BA350A" w:rsidRPr="008B2FD3">
        <w:t xml:space="preserve">In that submission, TIV-HD was recommended at the same price as the </w:t>
      </w:r>
      <w:proofErr w:type="spellStart"/>
      <w:r w:rsidR="00FF54F2">
        <w:t>quadrivalent</w:t>
      </w:r>
      <w:proofErr w:type="spellEnd"/>
      <w:r w:rsidR="00FF54F2">
        <w:t xml:space="preserve"> influenza vaccine </w:t>
      </w:r>
      <w:r w:rsidR="00E479BA">
        <w:t>standard</w:t>
      </w:r>
      <w:r w:rsidR="00FF54F2">
        <w:t xml:space="preserve"> dose (</w:t>
      </w:r>
      <w:r w:rsidR="00BA350A" w:rsidRPr="008B2FD3">
        <w:t>QIV-SD</w:t>
      </w:r>
      <w:r w:rsidR="00FF54F2">
        <w:t>)</w:t>
      </w:r>
      <w:r w:rsidR="00BA350A" w:rsidRPr="008B2FD3">
        <w:t>.</w:t>
      </w:r>
    </w:p>
    <w:p w:rsidR="00161E40" w:rsidRPr="00F90A91" w:rsidRDefault="00161E40" w:rsidP="00161E40">
      <w:pPr>
        <w:pStyle w:val="ListParagraph"/>
        <w:ind w:left="709"/>
        <w:rPr>
          <w:rFonts w:asciiTheme="minorHAnsi" w:hAnsiTheme="minorHAnsi"/>
          <w:i/>
        </w:rPr>
      </w:pPr>
      <w:r w:rsidRPr="00A853D7">
        <w:rPr>
          <w:rFonts w:asciiTheme="minorHAnsi" w:hAnsiTheme="minorHAnsi"/>
          <w:i/>
        </w:rPr>
        <w:t>For more detail on PBAC’s view, see section 7 PBAC outcome.</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bookmarkStart w:id="13" w:name="_Toc371170702"/>
      <w:bookmarkStart w:id="14" w:name="_Toc514248216"/>
      <w:r w:rsidRPr="00F83419">
        <w:rPr>
          <w:rFonts w:asciiTheme="minorHAnsi" w:eastAsiaTheme="majorEastAsia" w:hAnsiTheme="minorHAnsi" w:cstheme="majorBidi"/>
          <w:caps w:val="0"/>
          <w:snapToGrid/>
          <w:szCs w:val="28"/>
        </w:rPr>
        <w:t>Population and disease</w:t>
      </w:r>
      <w:bookmarkEnd w:id="13"/>
      <w:bookmarkEnd w:id="14"/>
    </w:p>
    <w:p w:rsidR="00D53E4A" w:rsidRPr="008B2FD3" w:rsidRDefault="00D53E4A" w:rsidP="00161E40">
      <w:pPr>
        <w:pStyle w:val="ListParagraph"/>
        <w:widowControl/>
        <w:numPr>
          <w:ilvl w:val="1"/>
          <w:numId w:val="1"/>
        </w:numPr>
      </w:pPr>
      <w:r w:rsidRPr="008B2FD3">
        <w:t>Influenza is an acute viral infection of the respiratory tract. Beyond the acute symptoms, influenza is also associated with complications including (but not limited to) acute bronchitis, pneumonia (both primary viral and secondary bacterial pneumonia), and cardiovascular complications including myocarditis and pericarditis. There are four types of influenza viruses: influenza A, B, C, and D but only influenza A and B viruses cause clinically important human disease and seasonal epidemics.</w:t>
      </w:r>
      <w:r w:rsidR="00730D6A" w:rsidRPr="008B2FD3">
        <w:t xml:space="preserve"> </w:t>
      </w:r>
    </w:p>
    <w:p w:rsidR="00BA0BF1" w:rsidRPr="00645F5B" w:rsidRDefault="00D53E4A" w:rsidP="00161E40">
      <w:pPr>
        <w:pStyle w:val="ListParagraph"/>
        <w:widowControl/>
        <w:numPr>
          <w:ilvl w:val="1"/>
          <w:numId w:val="1"/>
        </w:numPr>
      </w:pPr>
      <w:r w:rsidRPr="00645F5B">
        <w:t xml:space="preserve">There was a peak of </w:t>
      </w:r>
      <w:r w:rsidR="00956AB0" w:rsidRPr="00645F5B">
        <w:t xml:space="preserve">laboratory confirmed </w:t>
      </w:r>
      <w:r w:rsidRPr="00645F5B">
        <w:t xml:space="preserve">influenza in the 2017 influenza season (see Figure </w:t>
      </w:r>
      <w:r w:rsidRPr="00645F5B">
        <w:rPr>
          <w:noProof/>
        </w:rPr>
        <w:t>1</w:t>
      </w:r>
      <w:r w:rsidRPr="00645F5B">
        <w:t xml:space="preserve">). Among the notified laboratory confirmed cases of influenza in all ages, </w:t>
      </w:r>
      <w:r w:rsidR="00F40C61" w:rsidRPr="00645F5B">
        <w:t>a higher proportion was</w:t>
      </w:r>
      <w:r w:rsidRPr="00645F5B">
        <w:t xml:space="preserve"> caused by influenza A/H3 in the older adults</w:t>
      </w:r>
      <w:r w:rsidR="00B75CEC" w:rsidRPr="00645F5B">
        <w:t>.</w:t>
      </w:r>
      <w:r w:rsidR="00FD7BA7" w:rsidRPr="00645F5B">
        <w:t xml:space="preserve"> However, recent high incidence seasons are likely to have increased community awareness.</w:t>
      </w:r>
      <w:r w:rsidR="00EE0D62" w:rsidRPr="00645F5B">
        <w:t xml:space="preserve">  The ESC noted that the laboratory </w:t>
      </w:r>
      <w:r w:rsidR="003F1082" w:rsidRPr="00645F5B">
        <w:t xml:space="preserve">confirmed influenza </w:t>
      </w:r>
      <w:r w:rsidR="00EE0D62" w:rsidRPr="00645F5B">
        <w:t>data</w:t>
      </w:r>
      <w:r w:rsidR="003F1082" w:rsidRPr="00645F5B">
        <w:t xml:space="preserve"> </w:t>
      </w:r>
      <w:r w:rsidR="00BA0BF1" w:rsidRPr="00645F5B">
        <w:t xml:space="preserve">for 2017 </w:t>
      </w:r>
      <w:r w:rsidR="003F1082" w:rsidRPr="00645F5B">
        <w:t>likely</w:t>
      </w:r>
      <w:r w:rsidR="00EE0D62" w:rsidRPr="00645F5B">
        <w:t xml:space="preserve"> </w:t>
      </w:r>
      <w:r w:rsidR="00DE517B" w:rsidRPr="00645F5B">
        <w:t xml:space="preserve">also </w:t>
      </w:r>
      <w:r w:rsidR="00EE0D62" w:rsidRPr="00645F5B">
        <w:t>reflected improvements in access to testing for viruses</w:t>
      </w:r>
      <w:r w:rsidR="003F1082" w:rsidRPr="00645F5B">
        <w:t>.</w:t>
      </w:r>
      <w:r w:rsidR="008A7C23" w:rsidRPr="00645F5B">
        <w:t xml:space="preserve"> </w:t>
      </w:r>
    </w:p>
    <w:p w:rsidR="00854BE7" w:rsidRPr="00645F5B" w:rsidRDefault="00854BE7" w:rsidP="00161E40">
      <w:pPr>
        <w:pStyle w:val="ListParagraph"/>
        <w:widowControl/>
        <w:numPr>
          <w:ilvl w:val="1"/>
          <w:numId w:val="1"/>
        </w:numPr>
      </w:pPr>
      <w:r w:rsidRPr="00645F5B">
        <w:t>There were 233,453 laboratory confirmed notifications of influenza in 2017 up to November 2017 (National Notifiable Diseases Surveillance System, NNDSS)</w:t>
      </w:r>
      <w:r w:rsidR="008B6998" w:rsidRPr="00645F5B">
        <w:t>;</w:t>
      </w:r>
      <w:r w:rsidRPr="00645F5B">
        <w:t xml:space="preserve"> of which </w:t>
      </w:r>
      <w:r w:rsidRPr="00645F5B">
        <w:lastRenderedPageBreak/>
        <w:t xml:space="preserve">22% were people aged ≥65 years, around 29,000 </w:t>
      </w:r>
      <w:r w:rsidR="00C73F46" w:rsidRPr="00645F5B">
        <w:t xml:space="preserve">hospital </w:t>
      </w:r>
      <w:r w:rsidRPr="00645F5B">
        <w:t>admissions, and 745 deaths</w:t>
      </w:r>
      <w:r w:rsidRPr="00645F5B">
        <w:rPr>
          <w:rStyle w:val="FootnoteReference"/>
        </w:rPr>
        <w:footnoteReference w:id="1"/>
      </w:r>
      <w:r w:rsidRPr="00645F5B">
        <w:t>.</w:t>
      </w:r>
    </w:p>
    <w:p w:rsidR="00D53E4A" w:rsidRPr="008B2FD3" w:rsidRDefault="00D53E4A" w:rsidP="005B7E06">
      <w:pPr>
        <w:keepNext/>
        <w:rPr>
          <w:rFonts w:ascii="Arial Narrow" w:hAnsi="Arial Narrow"/>
          <w:b/>
          <w:sz w:val="20"/>
          <w:szCs w:val="20"/>
        </w:rPr>
      </w:pPr>
      <w:r w:rsidRPr="008B2FD3">
        <w:rPr>
          <w:rFonts w:ascii="Arial Narrow" w:hAnsi="Arial Narrow"/>
          <w:b/>
          <w:sz w:val="20"/>
          <w:szCs w:val="20"/>
        </w:rPr>
        <w:t>Figure 1: Number of laboratory confirmed cases of influenza 2009-2017</w:t>
      </w:r>
    </w:p>
    <w:p w:rsidR="00D53E4A" w:rsidRPr="008B2FD3" w:rsidRDefault="00D53E4A" w:rsidP="005B7E06">
      <w:pPr>
        <w:pStyle w:val="Header"/>
      </w:pPr>
      <w:r w:rsidRPr="008B2FD3">
        <w:rPr>
          <w:noProof/>
          <w:lang w:eastAsia="en-AU"/>
        </w:rPr>
        <w:drawing>
          <wp:inline distT="0" distB="0" distL="0" distR="0" wp14:anchorId="2ADFE49D" wp14:editId="6A522B22">
            <wp:extent cx="5394960" cy="2951555"/>
            <wp:effectExtent l="0" t="0" r="0" b="1270"/>
            <wp:docPr id="11" name="Picture 11" descr="Figure 1: Number of laboratory confirmed cases of influenza 2009-2017" title="Figure 1: Number of laboratory confirmed cases of influenza 2009-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9164" cy="2981210"/>
                    </a:xfrm>
                    <a:prstGeom prst="rect">
                      <a:avLst/>
                    </a:prstGeom>
                    <a:noFill/>
                  </pic:spPr>
                </pic:pic>
              </a:graphicData>
            </a:graphic>
          </wp:inline>
        </w:drawing>
      </w:r>
    </w:p>
    <w:p w:rsidR="00D53E4A" w:rsidRDefault="00D53E4A" w:rsidP="005B7E06">
      <w:pPr>
        <w:pStyle w:val="Header"/>
        <w:rPr>
          <w:rFonts w:ascii="Arial Narrow" w:hAnsi="Arial Narrow"/>
          <w:sz w:val="18"/>
          <w:szCs w:val="18"/>
        </w:rPr>
      </w:pPr>
      <w:r w:rsidRPr="008B2FD3">
        <w:rPr>
          <w:rFonts w:ascii="Arial Narrow" w:hAnsi="Arial Narrow"/>
          <w:sz w:val="18"/>
          <w:szCs w:val="18"/>
        </w:rPr>
        <w:t>Source: National Notifiable Diseases Surveillance System (as of 7th Jan 2018). Figure 1.1.1, p9 of the submission.</w:t>
      </w:r>
    </w:p>
    <w:p w:rsidR="0051791F" w:rsidRDefault="0051791F" w:rsidP="005B7E06">
      <w:pPr>
        <w:pStyle w:val="Header"/>
        <w:rPr>
          <w:rFonts w:ascii="Arial Narrow" w:hAnsi="Arial Narrow"/>
          <w:sz w:val="18"/>
          <w:szCs w:val="18"/>
        </w:rPr>
      </w:pPr>
    </w:p>
    <w:p w:rsidR="0051791F" w:rsidRPr="00645F5B" w:rsidRDefault="0051791F" w:rsidP="00161E40">
      <w:pPr>
        <w:pStyle w:val="ListParagraph"/>
        <w:keepNext/>
        <w:widowControl/>
        <w:numPr>
          <w:ilvl w:val="1"/>
          <w:numId w:val="1"/>
        </w:numPr>
        <w:rPr>
          <w:rFonts w:ascii="Arial Narrow" w:hAnsi="Arial Narrow"/>
          <w:b/>
          <w:sz w:val="20"/>
          <w:szCs w:val="20"/>
        </w:rPr>
      </w:pPr>
      <w:r w:rsidRPr="00645F5B">
        <w:t xml:space="preserve">The ESC considered there was considerable uncertainty with predicting the likely rates of influenza like illness and associated morbidity in future </w:t>
      </w:r>
      <w:r w:rsidR="002B7181">
        <w:t>in</w:t>
      </w:r>
      <w:r w:rsidRPr="00645F5B">
        <w:t>flu</w:t>
      </w:r>
      <w:r w:rsidR="002B7181">
        <w:t>enza</w:t>
      </w:r>
      <w:r w:rsidRPr="00645F5B">
        <w:t xml:space="preserve"> seasons, and the assumed attack rates of influenza will impact the cost-effectiveness of the TIV-HD vaccine. The ESC noted that additional data sources, see Figure 2, suggested that influenza like illness was more common in 2009 than 2017, although these data were not laboratory confirmed cases. </w:t>
      </w:r>
    </w:p>
    <w:p w:rsidR="00002B76" w:rsidRDefault="00002B76">
      <w:pPr>
        <w:widowControl/>
        <w:jc w:val="left"/>
        <w:rPr>
          <w:rFonts w:ascii="Arial Narrow" w:hAnsi="Arial Narrow"/>
          <w:b/>
          <w:sz w:val="20"/>
          <w:szCs w:val="20"/>
        </w:rPr>
      </w:pPr>
      <w:r>
        <w:rPr>
          <w:rFonts w:ascii="Arial Narrow" w:hAnsi="Arial Narrow"/>
          <w:b/>
          <w:sz w:val="20"/>
          <w:szCs w:val="20"/>
        </w:rPr>
        <w:br w:type="page"/>
      </w:r>
    </w:p>
    <w:p w:rsidR="008A7C23" w:rsidRPr="007C5209" w:rsidRDefault="008A7C23" w:rsidP="00C73F46">
      <w:pPr>
        <w:widowControl/>
        <w:jc w:val="left"/>
        <w:rPr>
          <w:rFonts w:ascii="Arial Narrow" w:hAnsi="Arial Narrow"/>
          <w:b/>
          <w:sz w:val="20"/>
          <w:szCs w:val="20"/>
        </w:rPr>
      </w:pPr>
      <w:r w:rsidRPr="007C5209">
        <w:rPr>
          <w:rFonts w:ascii="Arial Narrow" w:hAnsi="Arial Narrow"/>
          <w:b/>
          <w:sz w:val="20"/>
          <w:szCs w:val="20"/>
        </w:rPr>
        <w:lastRenderedPageBreak/>
        <w:t xml:space="preserve">Figure </w:t>
      </w:r>
      <w:r w:rsidR="009B6ECE">
        <w:rPr>
          <w:rFonts w:ascii="Arial Narrow" w:hAnsi="Arial Narrow"/>
          <w:b/>
          <w:sz w:val="20"/>
          <w:szCs w:val="20"/>
        </w:rPr>
        <w:t>2</w:t>
      </w:r>
      <w:r w:rsidRPr="007C5209">
        <w:rPr>
          <w:rFonts w:ascii="Arial Narrow" w:hAnsi="Arial Narrow"/>
          <w:b/>
          <w:sz w:val="20"/>
          <w:szCs w:val="20"/>
        </w:rPr>
        <w:t>:</w:t>
      </w:r>
      <w:r w:rsidR="00FE2C27" w:rsidRPr="007C5209">
        <w:rPr>
          <w:rFonts w:ascii="Arial Narrow" w:hAnsi="Arial Narrow"/>
          <w:b/>
          <w:sz w:val="20"/>
          <w:szCs w:val="20"/>
        </w:rPr>
        <w:t xml:space="preserve"> Influenza-like illness presented in general practice 2009-2017, ASPREN and VIDRL</w:t>
      </w:r>
    </w:p>
    <w:p w:rsidR="008A7C23" w:rsidRPr="008B2FD3" w:rsidRDefault="008A7C23" w:rsidP="00D53E4A">
      <w:pPr>
        <w:widowControl/>
      </w:pPr>
      <w:r w:rsidRPr="008A7C23">
        <w:rPr>
          <w:noProof/>
          <w:lang w:eastAsia="en-AU"/>
        </w:rPr>
        <w:drawing>
          <wp:inline distT="0" distB="0" distL="0" distR="0" wp14:anchorId="013759FF" wp14:editId="0D983702">
            <wp:extent cx="5732145" cy="3193099"/>
            <wp:effectExtent l="0" t="0" r="1905" b="7620"/>
            <wp:docPr id="6" name="Content Placeholder 5" descr="Figure 2: Influenza-like illness presented in general practice 2009-2017, ASPREN and VIDRL" title="Figure 2: Influenza-like illness presented in general practice 2009-2017, ASPREN and VIDR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0"/>
                    <a:stretch>
                      <a:fillRect/>
                    </a:stretch>
                  </pic:blipFill>
                  <pic:spPr>
                    <a:xfrm>
                      <a:off x="0" y="0"/>
                      <a:ext cx="5732145" cy="3193099"/>
                    </a:xfrm>
                    <a:prstGeom prst="rect">
                      <a:avLst/>
                    </a:prstGeom>
                  </pic:spPr>
                </pic:pic>
              </a:graphicData>
            </a:graphic>
          </wp:inline>
        </w:drawing>
      </w:r>
    </w:p>
    <w:p w:rsidR="00956AB0" w:rsidRPr="00357F91" w:rsidRDefault="00645503" w:rsidP="00973954">
      <w:pPr>
        <w:keepNext/>
        <w:spacing w:after="160"/>
        <w:rPr>
          <w:rFonts w:ascii="Arial Narrow" w:hAnsi="Arial Narrow"/>
          <w:sz w:val="18"/>
          <w:szCs w:val="18"/>
        </w:rPr>
      </w:pPr>
      <w:r w:rsidRPr="00357F91">
        <w:rPr>
          <w:rFonts w:ascii="Arial Narrow" w:hAnsi="Arial Narrow"/>
          <w:sz w:val="18"/>
          <w:szCs w:val="18"/>
        </w:rPr>
        <w:t xml:space="preserve">Source: </w:t>
      </w:r>
      <w:r w:rsidR="0040321D" w:rsidRPr="00357F91">
        <w:rPr>
          <w:rFonts w:ascii="Arial Narrow" w:hAnsi="Arial Narrow"/>
          <w:sz w:val="18"/>
          <w:szCs w:val="18"/>
        </w:rPr>
        <w:t>Australian Government Department of Health (2017) 2017 Influenza Season in Australia: A summary from the National Influenza Surveillance Committee</w:t>
      </w:r>
    </w:p>
    <w:p w:rsidR="00DE517B" w:rsidRPr="00645F5B" w:rsidRDefault="00EF07EC" w:rsidP="00161E40">
      <w:pPr>
        <w:pStyle w:val="ListParagraph"/>
        <w:widowControl/>
        <w:numPr>
          <w:ilvl w:val="1"/>
          <w:numId w:val="1"/>
        </w:numPr>
      </w:pPr>
      <w:r w:rsidRPr="00645F5B">
        <w:t>The ESC considered there were a number of factors relating to the increase</w:t>
      </w:r>
      <w:r w:rsidR="009B41A4">
        <w:t xml:space="preserve"> in</w:t>
      </w:r>
      <w:r w:rsidRPr="00645F5B">
        <w:t xml:space="preserve"> laboratory confirmed cases in 2017, potentially including increased community awareness. Although there was an increase in general practitioner and emergency department presentations for influenza like illness, there was no increase in emergency department presentations for pneumonia.</w:t>
      </w:r>
      <w:r w:rsidR="00956AB0" w:rsidRPr="00645F5B">
        <w:t xml:space="preserve">  </w:t>
      </w:r>
    </w:p>
    <w:p w:rsidR="00620B7D" w:rsidRPr="00645F5B" w:rsidRDefault="00620B7D" w:rsidP="00161E40">
      <w:pPr>
        <w:pStyle w:val="ListParagraph"/>
        <w:widowControl/>
        <w:numPr>
          <w:ilvl w:val="1"/>
          <w:numId w:val="1"/>
        </w:numPr>
      </w:pPr>
      <w:r w:rsidRPr="00645F5B">
        <w:t>The ESC noted the 2017 influenza season used QIV-SD and that vaccine effectiveness estimates based on GP presentations (33%) and hospital presentations (16%) were low compared to other vaccinations for which vaccine effectiveness estimates are typically around 90%.  The ESC considered that the 2017 QIV-SD had poor vaccine effectiveness against A/H3N2, the predominant strain, with 10% vaccine effectiveness based on GP presentation compared to 50% and 57% respectively for A/H1N1 and influenza B. Similarly, vaccine effectiveness was higher in adults</w:t>
      </w:r>
      <w:r w:rsidR="00C73F46">
        <w:t xml:space="preserve"> </w:t>
      </w:r>
      <w:r w:rsidR="00C73F46">
        <w:rPr>
          <w:rFonts w:cs="Calibri"/>
        </w:rPr>
        <w:t>≤</w:t>
      </w:r>
      <w:r w:rsidRPr="00645F5B">
        <w:t>65 (43%) compared to ≥65 (12%).</w:t>
      </w:r>
    </w:p>
    <w:p w:rsidR="00E813AD" w:rsidRPr="00645F5B" w:rsidRDefault="00E813AD" w:rsidP="00161E40">
      <w:pPr>
        <w:pStyle w:val="ListParagraph"/>
        <w:widowControl/>
        <w:numPr>
          <w:ilvl w:val="1"/>
          <w:numId w:val="1"/>
        </w:numPr>
      </w:pPr>
      <w:r w:rsidRPr="00645F5B">
        <w:t>The ESC also considered other factors contributing to lower vaccine effectiveness in 2017 included genetic diversity of dominant strains, that the elderly have reduced responses to vaccines, and persistent problems with A(H3) candidate vaccine viruses which, when propagated in eggs, rapidly acquire adaptive changes which alter antigenicity.</w:t>
      </w:r>
    </w:p>
    <w:p w:rsidR="00E813AD" w:rsidRPr="00645F5B" w:rsidRDefault="00E813AD" w:rsidP="00161E40">
      <w:pPr>
        <w:pStyle w:val="ListParagraph"/>
        <w:widowControl/>
        <w:numPr>
          <w:ilvl w:val="1"/>
          <w:numId w:val="1"/>
        </w:numPr>
      </w:pPr>
      <w:r w:rsidRPr="00645F5B">
        <w:t>The ESC considered that it may be possible that those aged ≥65 years require more immunological support and that the timing of vaccination may have impacted</w:t>
      </w:r>
      <w:r w:rsidRPr="00E813AD">
        <w:rPr>
          <w:i/>
        </w:rPr>
        <w:t xml:space="preserve"> </w:t>
      </w:r>
      <w:r w:rsidRPr="00645F5B">
        <w:t>immunity throughout the influenza season which is longer than the duration of effect.</w:t>
      </w:r>
    </w:p>
    <w:p w:rsidR="00E479BA" w:rsidRPr="00C73F46" w:rsidRDefault="00E813AD" w:rsidP="00161E40">
      <w:pPr>
        <w:pStyle w:val="ListParagraph"/>
        <w:widowControl/>
        <w:numPr>
          <w:ilvl w:val="1"/>
          <w:numId w:val="1"/>
        </w:numPr>
      </w:pPr>
      <w:r w:rsidRPr="00645F5B">
        <w:lastRenderedPageBreak/>
        <w:t xml:space="preserve">The ESC noted the advice of </w:t>
      </w:r>
      <w:r w:rsidR="00FF54F2">
        <w:t>the Australian Technical Advisory Group on Immunisation (</w:t>
      </w:r>
      <w:r w:rsidRPr="00645F5B">
        <w:t>ATAGI</w:t>
      </w:r>
      <w:r w:rsidR="00FF54F2">
        <w:t>)</w:t>
      </w:r>
      <w:r w:rsidRPr="00645F5B">
        <w:t xml:space="preserve"> </w:t>
      </w:r>
      <w:r w:rsidRPr="00645F5B">
        <w:rPr>
          <w:szCs w:val="24"/>
        </w:rPr>
        <w:t xml:space="preserve">(pre-submission advice) that given variance in strain proportions every year, the relative efficacy of TIV-HD will vary year to year, </w:t>
      </w:r>
      <w:r w:rsidRPr="00645F5B">
        <w:t xml:space="preserve">indicating that a single season of poor vaccine performance should not be focused on for evaluation as they are not consistent, and also noted that influenza vaccines are more effective when there is a high level of influenza activity. </w:t>
      </w:r>
    </w:p>
    <w:p w:rsidR="00161E40" w:rsidRPr="00F90A91" w:rsidRDefault="00161E40" w:rsidP="00161E40">
      <w:pPr>
        <w:pStyle w:val="ListParagraph"/>
        <w:ind w:left="709"/>
        <w:rPr>
          <w:rFonts w:asciiTheme="minorHAnsi" w:hAnsiTheme="minorHAnsi"/>
          <w:i/>
        </w:rPr>
      </w:pPr>
      <w:r w:rsidRPr="00E479BA">
        <w:rPr>
          <w:rFonts w:asciiTheme="minorHAnsi" w:hAnsiTheme="minorHAnsi"/>
          <w:i/>
        </w:rPr>
        <w:t>For more detail on PBAC’s view, see section 7 PBAC outcome.</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bookmarkStart w:id="15" w:name="_Toc371170703"/>
      <w:bookmarkStart w:id="16" w:name="_Toc514248217"/>
      <w:r w:rsidRPr="00F83419">
        <w:rPr>
          <w:rFonts w:asciiTheme="minorHAnsi" w:eastAsiaTheme="majorEastAsia" w:hAnsiTheme="minorHAnsi" w:cstheme="majorBidi"/>
          <w:caps w:val="0"/>
          <w:snapToGrid/>
          <w:szCs w:val="28"/>
        </w:rPr>
        <w:t>Comparator</w:t>
      </w:r>
      <w:bookmarkEnd w:id="15"/>
      <w:bookmarkEnd w:id="16"/>
    </w:p>
    <w:p w:rsidR="00F9119D" w:rsidRDefault="00D53E4A" w:rsidP="00161E40">
      <w:pPr>
        <w:pStyle w:val="ListParagraph"/>
        <w:widowControl/>
        <w:numPr>
          <w:ilvl w:val="1"/>
          <w:numId w:val="1"/>
        </w:numPr>
      </w:pPr>
      <w:r w:rsidRPr="00C73F46">
        <w:t xml:space="preserve">The submission nominated the current standard of care, the QIV-SD, as the main comparator. </w:t>
      </w:r>
      <w:r w:rsidR="00F9119D">
        <w:t>The QIV-SD (</w:t>
      </w:r>
      <w:proofErr w:type="spellStart"/>
      <w:r w:rsidR="00F9119D">
        <w:t>Fluzone</w:t>
      </w:r>
      <w:proofErr w:type="spellEnd"/>
      <w:r w:rsidR="00F9119D">
        <w:t>) st</w:t>
      </w:r>
      <w:r w:rsidR="004A7BCF">
        <w:t>rains for the 2017-2018 season we</w:t>
      </w:r>
      <w:r w:rsidR="00F9119D">
        <w:t>re: A/Michigan/45/2015 X-275 (H1N1</w:t>
      </w:r>
      <w:proofErr w:type="gramStart"/>
      <w:r w:rsidR="00F9119D">
        <w:t>)pdm09</w:t>
      </w:r>
      <w:proofErr w:type="gramEnd"/>
      <w:r w:rsidR="00F9119D">
        <w:t>-like strain, A/Hong Kong/4801/2014 X-263B (H3N2)-like strain, B/Phuket/3073/2013-like strain and B/Brisbane/60/2008-like strain.</w:t>
      </w:r>
    </w:p>
    <w:p w:rsidR="00284A37" w:rsidRPr="00C73F46" w:rsidRDefault="00D53E4A" w:rsidP="00161E40">
      <w:pPr>
        <w:pStyle w:val="ListParagraph"/>
        <w:widowControl/>
        <w:numPr>
          <w:ilvl w:val="1"/>
          <w:numId w:val="1"/>
        </w:numPr>
      </w:pPr>
      <w:r w:rsidRPr="00C73F46">
        <w:t xml:space="preserve">The nomination of </w:t>
      </w:r>
      <w:r w:rsidR="00BE0513" w:rsidRPr="00C73F46">
        <w:t xml:space="preserve">the </w:t>
      </w:r>
      <w:r w:rsidRPr="00C73F46">
        <w:t>main comparator is consistent with ATAGI advice (ATAGI Feb</w:t>
      </w:r>
      <w:r w:rsidR="005B7E06" w:rsidRPr="00C73F46">
        <w:t>ruary</w:t>
      </w:r>
      <w:r w:rsidRPr="00C73F46">
        <w:t xml:space="preserve"> 2018 pre-submission advice)</w:t>
      </w:r>
      <w:r w:rsidR="00BE0513" w:rsidRPr="00C73F46">
        <w:t>, as QIV-SD is current standard of care</w:t>
      </w:r>
      <w:r w:rsidRPr="00C73F46">
        <w:t xml:space="preserve">. </w:t>
      </w:r>
      <w:r w:rsidR="00E479BA" w:rsidRPr="00C73F46">
        <w:t>The</w:t>
      </w:r>
      <w:r w:rsidRPr="00C73F46">
        <w:t xml:space="preserve"> </w:t>
      </w:r>
      <w:r w:rsidR="00C73F46" w:rsidRPr="00C73F46">
        <w:t>evaluation</w:t>
      </w:r>
      <w:r w:rsidR="00E479BA" w:rsidRPr="00C73F46">
        <w:t xml:space="preserve"> c</w:t>
      </w:r>
      <w:r w:rsidRPr="00C73F46">
        <w:t>onsider</w:t>
      </w:r>
      <w:r w:rsidR="00E479BA" w:rsidRPr="00C73F46">
        <w:t>ed</w:t>
      </w:r>
      <w:r w:rsidRPr="00C73F46">
        <w:t xml:space="preserve"> th</w:t>
      </w:r>
      <w:r w:rsidR="00C73F46" w:rsidRPr="00C73F46">
        <w:t>at</w:t>
      </w:r>
      <w:r w:rsidRPr="00C73F46">
        <w:t xml:space="preserve"> </w:t>
      </w:r>
      <w:proofErr w:type="spellStart"/>
      <w:r w:rsidRPr="00C73F46">
        <w:t>aTIV</w:t>
      </w:r>
      <w:proofErr w:type="spellEnd"/>
      <w:r w:rsidRPr="00C73F46">
        <w:t xml:space="preserve">-SD vaccine </w:t>
      </w:r>
      <w:r w:rsidR="00C73F46" w:rsidRPr="00C73F46">
        <w:t>may be</w:t>
      </w:r>
      <w:r w:rsidRPr="00C73F46">
        <w:t xml:space="preserve"> a </w:t>
      </w:r>
      <w:r w:rsidR="00E479BA" w:rsidRPr="00C73F46">
        <w:t xml:space="preserve">near-market </w:t>
      </w:r>
      <w:r w:rsidRPr="00C73F46">
        <w:t xml:space="preserve">comparator given it </w:t>
      </w:r>
      <w:r w:rsidR="00B75CEC" w:rsidRPr="00C73F46">
        <w:t>was</w:t>
      </w:r>
      <w:r w:rsidRPr="00C73F46">
        <w:t xml:space="preserve"> listed on the NIP for the 2018 influenza season.</w:t>
      </w:r>
      <w:r w:rsidR="00EE0D62" w:rsidRPr="00C73F46">
        <w:t xml:space="preserve"> </w:t>
      </w:r>
      <w:r w:rsidR="005D4F1B" w:rsidRPr="00C73F46">
        <w:rPr>
          <w:szCs w:val="24"/>
        </w:rPr>
        <w:t xml:space="preserve">The Pre-Sub-Committee Response (PSCR) questioned the applicability of </w:t>
      </w:r>
      <w:proofErr w:type="spellStart"/>
      <w:r w:rsidR="005D4F1B" w:rsidRPr="00C73F46">
        <w:rPr>
          <w:szCs w:val="24"/>
        </w:rPr>
        <w:t>aTIV</w:t>
      </w:r>
      <w:proofErr w:type="spellEnd"/>
      <w:r w:rsidR="005D4F1B" w:rsidRPr="00C73F46">
        <w:rPr>
          <w:szCs w:val="24"/>
        </w:rPr>
        <w:t xml:space="preserve">-SD as a near-market comparator </w:t>
      </w:r>
      <w:r w:rsidR="002A685E" w:rsidRPr="00C73F46">
        <w:rPr>
          <w:szCs w:val="24"/>
        </w:rPr>
        <w:t>citing</w:t>
      </w:r>
      <w:r w:rsidR="005D4F1B" w:rsidRPr="00C73F46">
        <w:rPr>
          <w:szCs w:val="24"/>
        </w:rPr>
        <w:t xml:space="preserve"> the TGA’s view that immunogenicity data available for </w:t>
      </w:r>
      <w:proofErr w:type="spellStart"/>
      <w:r w:rsidR="005D4F1B" w:rsidRPr="00C73F46">
        <w:rPr>
          <w:szCs w:val="24"/>
        </w:rPr>
        <w:t>aTIV</w:t>
      </w:r>
      <w:proofErr w:type="spellEnd"/>
      <w:r w:rsidR="005D4F1B" w:rsidRPr="00C73F46">
        <w:rPr>
          <w:szCs w:val="24"/>
        </w:rPr>
        <w:t>-SD was insufficient to demonstrate increased efficacy in prevention of influenza compared to non-</w:t>
      </w:r>
      <w:proofErr w:type="spellStart"/>
      <w:r w:rsidR="005D4F1B" w:rsidRPr="00C73F46">
        <w:rPr>
          <w:szCs w:val="24"/>
        </w:rPr>
        <w:t>adjuvanted</w:t>
      </w:r>
      <w:proofErr w:type="spellEnd"/>
      <w:r w:rsidR="005D4F1B" w:rsidRPr="00C73F46">
        <w:rPr>
          <w:szCs w:val="24"/>
        </w:rPr>
        <w:t xml:space="preserve"> standard dose TIV and the outcomes of a recent literature review</w:t>
      </w:r>
      <w:r w:rsidR="005D4F1B" w:rsidRPr="00C73F46">
        <w:rPr>
          <w:rStyle w:val="FootnoteReference"/>
          <w:szCs w:val="24"/>
        </w:rPr>
        <w:footnoteReference w:id="2"/>
      </w:r>
      <w:r w:rsidR="005D4F1B" w:rsidRPr="00C73F46">
        <w:rPr>
          <w:szCs w:val="24"/>
        </w:rPr>
        <w:t xml:space="preserve">.  The ESC </w:t>
      </w:r>
      <w:r w:rsidR="002A685E" w:rsidRPr="00C73F46">
        <w:rPr>
          <w:szCs w:val="24"/>
        </w:rPr>
        <w:t>acknowledged there did not appear to be patient-relevant outcomes data on the clinical effectiveness</w:t>
      </w:r>
      <w:r w:rsidR="005D4F1B" w:rsidRPr="00C73F46">
        <w:rPr>
          <w:szCs w:val="24"/>
        </w:rPr>
        <w:t xml:space="preserve"> </w:t>
      </w:r>
      <w:proofErr w:type="spellStart"/>
      <w:r w:rsidR="005D4F1B" w:rsidRPr="00C73F46">
        <w:rPr>
          <w:szCs w:val="24"/>
        </w:rPr>
        <w:t>aTIV</w:t>
      </w:r>
      <w:proofErr w:type="spellEnd"/>
      <w:r w:rsidR="005D4F1B" w:rsidRPr="00C73F46">
        <w:rPr>
          <w:szCs w:val="24"/>
        </w:rPr>
        <w:t>-SD.</w:t>
      </w:r>
      <w:r w:rsidR="000F6E2F" w:rsidRPr="00C73F46">
        <w:rPr>
          <w:szCs w:val="24"/>
        </w:rPr>
        <w:t xml:space="preserve"> </w:t>
      </w:r>
    </w:p>
    <w:p w:rsidR="00954C5E" w:rsidRPr="00161E40" w:rsidRDefault="00620B7D" w:rsidP="00161E40">
      <w:pPr>
        <w:pStyle w:val="ListParagraph"/>
        <w:widowControl/>
        <w:numPr>
          <w:ilvl w:val="1"/>
          <w:numId w:val="1"/>
        </w:numPr>
      </w:pPr>
      <w:r w:rsidRPr="00645F5B">
        <w:rPr>
          <w:szCs w:val="24"/>
        </w:rPr>
        <w:t xml:space="preserve">The ESC noted that should </w:t>
      </w:r>
      <w:proofErr w:type="spellStart"/>
      <w:r w:rsidRPr="00645F5B">
        <w:rPr>
          <w:szCs w:val="24"/>
        </w:rPr>
        <w:t>aTIV</w:t>
      </w:r>
      <w:proofErr w:type="spellEnd"/>
      <w:r w:rsidRPr="00645F5B">
        <w:rPr>
          <w:szCs w:val="24"/>
        </w:rPr>
        <w:t xml:space="preserve">-SD remain on the NIP after the 2018 season at the current price, it would be </w:t>
      </w:r>
      <w:r w:rsidR="005B0F33">
        <w:rPr>
          <w:noProof/>
          <w:color w:val="000000"/>
          <w:szCs w:val="24"/>
          <w:highlight w:val="black"/>
        </w:rPr>
        <w:t>'''''' ''''''''''</w:t>
      </w:r>
      <w:r w:rsidRPr="00645F5B">
        <w:rPr>
          <w:szCs w:val="24"/>
        </w:rPr>
        <w:t xml:space="preserve"> cheaper than the requested price for TIV-HD in this resubmission. </w:t>
      </w:r>
      <w:r w:rsidR="00671F37" w:rsidRPr="00645F5B">
        <w:t>Th</w:t>
      </w:r>
      <w:r w:rsidR="00954C5E" w:rsidRPr="00645F5B">
        <w:t xml:space="preserve">e ESC </w:t>
      </w:r>
      <w:r w:rsidR="000F6E2F" w:rsidRPr="00645F5B">
        <w:t>consid</w:t>
      </w:r>
      <w:r w:rsidR="00954C5E" w:rsidRPr="00645F5B">
        <w:t>e</w:t>
      </w:r>
      <w:r w:rsidR="000F6E2F" w:rsidRPr="00645F5B">
        <w:t>re</w:t>
      </w:r>
      <w:r w:rsidR="00954C5E" w:rsidRPr="00645F5B">
        <w:t xml:space="preserve">d that the ongoing head-to-head RCT of TIV-HD to </w:t>
      </w:r>
      <w:proofErr w:type="spellStart"/>
      <w:r w:rsidR="00954C5E" w:rsidRPr="00645F5B">
        <w:t>aTIV</w:t>
      </w:r>
      <w:proofErr w:type="spellEnd"/>
      <w:r w:rsidR="00954C5E" w:rsidRPr="00645F5B">
        <w:t xml:space="preserve">-SD in older adults in the US </w:t>
      </w:r>
      <w:r w:rsidR="002A685E" w:rsidRPr="00645F5B">
        <w:t xml:space="preserve">using secondary outcomes </w:t>
      </w:r>
      <w:r w:rsidR="002A685E" w:rsidRPr="00161E40">
        <w:t xml:space="preserve">(e.g. medical care utilisation, unsolicited adverse events, </w:t>
      </w:r>
      <w:proofErr w:type="spellStart"/>
      <w:r w:rsidR="002A685E" w:rsidRPr="00161E40">
        <w:t>etc</w:t>
      </w:r>
      <w:proofErr w:type="spellEnd"/>
      <w:r w:rsidR="002A685E" w:rsidRPr="00161E40">
        <w:t xml:space="preserve">) </w:t>
      </w:r>
      <w:r w:rsidR="00954C5E" w:rsidRPr="00161E40">
        <w:t xml:space="preserve">may </w:t>
      </w:r>
      <w:r w:rsidR="000F6E2F" w:rsidRPr="00161E40">
        <w:t>be informative</w:t>
      </w:r>
      <w:r w:rsidR="002A685E" w:rsidRPr="00161E40">
        <w:rPr>
          <w:rStyle w:val="FootnoteReference"/>
        </w:rPr>
        <w:footnoteReference w:id="3"/>
      </w:r>
      <w:r w:rsidR="00954C5E" w:rsidRPr="00161E40">
        <w:t>.</w:t>
      </w:r>
      <w:r w:rsidR="00954C5E" w:rsidRPr="000F6E2F">
        <w:rPr>
          <w:i/>
        </w:rPr>
        <w:t xml:space="preserve"> </w:t>
      </w:r>
    </w:p>
    <w:p w:rsidR="00161E40" w:rsidRPr="00F90A91" w:rsidRDefault="00161E40" w:rsidP="00161E40">
      <w:pPr>
        <w:pStyle w:val="ListParagraph"/>
        <w:ind w:left="709"/>
        <w:rPr>
          <w:rFonts w:asciiTheme="minorHAnsi" w:hAnsiTheme="minorHAnsi"/>
          <w:i/>
        </w:rPr>
      </w:pPr>
      <w:bookmarkStart w:id="17" w:name="_Toc371170704"/>
      <w:bookmarkStart w:id="18" w:name="_Toc514248218"/>
      <w:r w:rsidRPr="00142542">
        <w:rPr>
          <w:rFonts w:asciiTheme="minorHAnsi" w:hAnsiTheme="minorHAnsi"/>
          <w:i/>
        </w:rPr>
        <w:t>For more detail on PBAC’s view, see section 7 PBAC outcome.</w:t>
      </w:r>
    </w:p>
    <w:p w:rsidR="00D53E4A" w:rsidRPr="00F83419" w:rsidRDefault="00D53E4A" w:rsidP="00161E40">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r w:rsidRPr="00F83419">
        <w:rPr>
          <w:rFonts w:asciiTheme="minorHAnsi" w:eastAsiaTheme="majorEastAsia" w:hAnsiTheme="minorHAnsi" w:cstheme="majorBidi"/>
          <w:caps w:val="0"/>
          <w:snapToGrid/>
          <w:szCs w:val="28"/>
        </w:rPr>
        <w:lastRenderedPageBreak/>
        <w:t>Consideration of the evidence</w:t>
      </w:r>
      <w:bookmarkEnd w:id="17"/>
      <w:bookmarkEnd w:id="18"/>
    </w:p>
    <w:p w:rsidR="00161E40" w:rsidRPr="00C5182C" w:rsidRDefault="00161E40" w:rsidP="00161E40">
      <w:pPr>
        <w:spacing w:before="240" w:line="276" w:lineRule="auto"/>
        <w:rPr>
          <w:rFonts w:asciiTheme="minorHAnsi" w:hAnsiTheme="minorHAnsi"/>
          <w:b/>
          <w:bCs/>
          <w:i/>
          <w:sz w:val="28"/>
          <w:szCs w:val="28"/>
        </w:rPr>
      </w:pPr>
      <w:bookmarkStart w:id="19" w:name="_Toc371170705"/>
      <w:bookmarkStart w:id="20" w:name="_Toc514248219"/>
      <w:r w:rsidRPr="00C5182C">
        <w:rPr>
          <w:rFonts w:asciiTheme="minorHAnsi" w:hAnsiTheme="minorHAnsi"/>
          <w:b/>
          <w:bCs/>
          <w:i/>
          <w:sz w:val="28"/>
          <w:szCs w:val="28"/>
        </w:rPr>
        <w:t>Sponsor hearing</w:t>
      </w:r>
    </w:p>
    <w:p w:rsidR="00161E40" w:rsidRPr="00C5182C" w:rsidRDefault="00161E40" w:rsidP="00161E40">
      <w:pPr>
        <w:numPr>
          <w:ilvl w:val="1"/>
          <w:numId w:val="1"/>
        </w:numPr>
        <w:spacing w:after="120"/>
        <w:rPr>
          <w:rFonts w:asciiTheme="minorHAnsi" w:hAnsiTheme="minorHAnsi"/>
          <w:bCs/>
        </w:rPr>
      </w:pPr>
      <w:r w:rsidRPr="00C5182C">
        <w:rPr>
          <w:rFonts w:asciiTheme="minorHAnsi" w:hAnsiTheme="minorHAnsi"/>
          <w:bCs/>
        </w:rPr>
        <w:t>There was no hearing for this item.</w:t>
      </w:r>
    </w:p>
    <w:p w:rsidR="00161E40" w:rsidRPr="00C5182C" w:rsidRDefault="00161E40" w:rsidP="00161E40">
      <w:pPr>
        <w:spacing w:before="240" w:line="276" w:lineRule="auto"/>
        <w:rPr>
          <w:rFonts w:asciiTheme="minorHAnsi" w:hAnsiTheme="minorHAnsi"/>
          <w:b/>
          <w:bCs/>
          <w:i/>
          <w:sz w:val="28"/>
          <w:szCs w:val="28"/>
        </w:rPr>
      </w:pPr>
      <w:r w:rsidRPr="00C5182C">
        <w:rPr>
          <w:rFonts w:asciiTheme="minorHAnsi" w:hAnsiTheme="minorHAnsi"/>
          <w:b/>
          <w:bCs/>
          <w:i/>
          <w:sz w:val="28"/>
          <w:szCs w:val="28"/>
        </w:rPr>
        <w:t>Consumer comments</w:t>
      </w:r>
    </w:p>
    <w:p w:rsidR="00161E40" w:rsidRPr="00C5182C" w:rsidRDefault="00161E40" w:rsidP="00161E40">
      <w:pPr>
        <w:numPr>
          <w:ilvl w:val="1"/>
          <w:numId w:val="1"/>
        </w:numPr>
        <w:spacing w:after="120"/>
        <w:rPr>
          <w:rFonts w:asciiTheme="minorHAnsi" w:hAnsiTheme="minorHAnsi"/>
          <w:bCs/>
        </w:rPr>
      </w:pPr>
      <w:r w:rsidRPr="00C5182C">
        <w:rPr>
          <w:rFonts w:asciiTheme="minorHAnsi" w:hAnsiTheme="minorHAnsi"/>
          <w:bCs/>
        </w:rPr>
        <w:t xml:space="preserve">The PBAC noted and welcomed the input from </w:t>
      </w:r>
      <w:r w:rsidR="006E0663" w:rsidRPr="00C5182C">
        <w:rPr>
          <w:rFonts w:asciiTheme="minorHAnsi" w:hAnsiTheme="minorHAnsi"/>
          <w:bCs/>
        </w:rPr>
        <w:t xml:space="preserve">an </w:t>
      </w:r>
      <w:r w:rsidRPr="00C5182C">
        <w:rPr>
          <w:rFonts w:asciiTheme="minorHAnsi" w:hAnsiTheme="minorHAnsi"/>
          <w:bCs/>
        </w:rPr>
        <w:t>individual (</w:t>
      </w:r>
      <w:r w:rsidR="002D45BC" w:rsidRPr="00C5182C">
        <w:rPr>
          <w:rFonts w:asciiTheme="minorHAnsi" w:hAnsiTheme="minorHAnsi"/>
          <w:bCs/>
        </w:rPr>
        <w:t>1</w:t>
      </w:r>
      <w:r w:rsidRPr="00C5182C">
        <w:rPr>
          <w:rFonts w:asciiTheme="minorHAnsi" w:hAnsiTheme="minorHAnsi"/>
          <w:bCs/>
        </w:rPr>
        <w:t xml:space="preserve">), </w:t>
      </w:r>
      <w:r w:rsidR="006E0663" w:rsidRPr="00C5182C">
        <w:rPr>
          <w:rFonts w:asciiTheme="minorHAnsi" w:hAnsiTheme="minorHAnsi"/>
          <w:bCs/>
        </w:rPr>
        <w:t xml:space="preserve">a </w:t>
      </w:r>
      <w:r w:rsidRPr="00C5182C">
        <w:rPr>
          <w:rFonts w:asciiTheme="minorHAnsi" w:hAnsiTheme="minorHAnsi"/>
          <w:bCs/>
        </w:rPr>
        <w:t>health care professional (</w:t>
      </w:r>
      <w:r w:rsidR="002D45BC" w:rsidRPr="00C5182C">
        <w:rPr>
          <w:rFonts w:asciiTheme="minorHAnsi" w:hAnsiTheme="minorHAnsi"/>
          <w:bCs/>
        </w:rPr>
        <w:t>1</w:t>
      </w:r>
      <w:r w:rsidRPr="00C5182C">
        <w:rPr>
          <w:rFonts w:asciiTheme="minorHAnsi" w:hAnsiTheme="minorHAnsi"/>
          <w:bCs/>
        </w:rPr>
        <w:t xml:space="preserve">) and </w:t>
      </w:r>
      <w:r w:rsidR="006E0663" w:rsidRPr="00C5182C">
        <w:rPr>
          <w:rFonts w:asciiTheme="minorHAnsi" w:hAnsiTheme="minorHAnsi"/>
          <w:bCs/>
        </w:rPr>
        <w:t xml:space="preserve">two </w:t>
      </w:r>
      <w:r w:rsidRPr="00C5182C">
        <w:rPr>
          <w:rFonts w:asciiTheme="minorHAnsi" w:hAnsiTheme="minorHAnsi"/>
          <w:bCs/>
        </w:rPr>
        <w:t>organisations (</w:t>
      </w:r>
      <w:r w:rsidR="002D45BC" w:rsidRPr="00C5182C">
        <w:rPr>
          <w:rFonts w:asciiTheme="minorHAnsi" w:hAnsiTheme="minorHAnsi"/>
          <w:bCs/>
        </w:rPr>
        <w:t>2</w:t>
      </w:r>
      <w:r w:rsidRPr="00C5182C">
        <w:rPr>
          <w:rFonts w:asciiTheme="minorHAnsi" w:hAnsiTheme="minorHAnsi"/>
          <w:bCs/>
        </w:rPr>
        <w:t>)</w:t>
      </w:r>
      <w:r w:rsidR="002D45BC" w:rsidRPr="00C5182C">
        <w:rPr>
          <w:rFonts w:asciiTheme="minorHAnsi" w:hAnsiTheme="minorHAnsi"/>
          <w:bCs/>
        </w:rPr>
        <w:t>, the Lung Foundation Australia and Diabetes Australia,</w:t>
      </w:r>
      <w:r w:rsidRPr="00C5182C">
        <w:rPr>
          <w:rFonts w:asciiTheme="minorHAnsi" w:hAnsiTheme="minorHAnsi"/>
          <w:bCs/>
        </w:rPr>
        <w:t xml:space="preserve"> via the Consumer Comments facility on the PBS website.  The </w:t>
      </w:r>
      <w:r w:rsidR="006E0663" w:rsidRPr="00C5182C">
        <w:rPr>
          <w:rFonts w:asciiTheme="minorHAnsi" w:hAnsiTheme="minorHAnsi"/>
          <w:bCs/>
        </w:rPr>
        <w:t xml:space="preserve">comments </w:t>
      </w:r>
      <w:r w:rsidR="00FF32A8">
        <w:rPr>
          <w:rFonts w:asciiTheme="minorHAnsi" w:hAnsiTheme="minorHAnsi"/>
          <w:bCs/>
        </w:rPr>
        <w:t xml:space="preserve">were supportive of TIV-HD and </w:t>
      </w:r>
      <w:r w:rsidR="006E0663" w:rsidRPr="00C5182C">
        <w:rPr>
          <w:rFonts w:asciiTheme="minorHAnsi" w:hAnsiTheme="minorHAnsi"/>
          <w:bCs/>
        </w:rPr>
        <w:t xml:space="preserve">noted the severity of the 2017 influenza season, the low levels of vaccine effectiveness </w:t>
      </w:r>
      <w:r w:rsidR="00C5182C">
        <w:rPr>
          <w:rFonts w:asciiTheme="minorHAnsi" w:hAnsiTheme="minorHAnsi"/>
          <w:bCs/>
        </w:rPr>
        <w:t>in</w:t>
      </w:r>
      <w:r w:rsidR="006E0663" w:rsidRPr="00C5182C">
        <w:rPr>
          <w:rFonts w:asciiTheme="minorHAnsi" w:hAnsiTheme="minorHAnsi"/>
          <w:bCs/>
        </w:rPr>
        <w:t xml:space="preserve"> 2017 and the need for improvement</w:t>
      </w:r>
      <w:r w:rsidR="00C5182C">
        <w:rPr>
          <w:rFonts w:asciiTheme="minorHAnsi" w:hAnsiTheme="minorHAnsi"/>
          <w:bCs/>
        </w:rPr>
        <w:t>s</w:t>
      </w:r>
      <w:r w:rsidR="006E0663" w:rsidRPr="00C5182C">
        <w:rPr>
          <w:rFonts w:asciiTheme="minorHAnsi" w:hAnsiTheme="minorHAnsi"/>
          <w:bCs/>
        </w:rPr>
        <w:t xml:space="preserve"> in </w:t>
      </w:r>
      <w:r w:rsidR="00C5182C">
        <w:rPr>
          <w:rFonts w:asciiTheme="minorHAnsi" w:hAnsiTheme="minorHAnsi"/>
          <w:bCs/>
        </w:rPr>
        <w:t xml:space="preserve">the </w:t>
      </w:r>
      <w:r w:rsidR="006E0663" w:rsidRPr="00C5182C">
        <w:rPr>
          <w:rFonts w:asciiTheme="minorHAnsi" w:hAnsiTheme="minorHAnsi"/>
          <w:bCs/>
        </w:rPr>
        <w:t>influenza burden in older Australians, who made up the majority of influenza associated mortality for 2017.  The comments also noted the increased risk of influenza for older Australians w</w:t>
      </w:r>
      <w:r w:rsidR="00A6630C">
        <w:rPr>
          <w:rFonts w:asciiTheme="minorHAnsi" w:hAnsiTheme="minorHAnsi"/>
          <w:bCs/>
        </w:rPr>
        <w:t>it</w:t>
      </w:r>
      <w:r w:rsidR="006E0663" w:rsidRPr="00C5182C">
        <w:rPr>
          <w:rFonts w:asciiTheme="minorHAnsi" w:hAnsiTheme="minorHAnsi"/>
          <w:bCs/>
        </w:rPr>
        <w:t xml:space="preserve">h chronic diseases, the increased rates of morbidity and mortality in older Australians as well as the increased risk of complications </w:t>
      </w:r>
      <w:r w:rsidR="0075642E" w:rsidRPr="00C5182C">
        <w:rPr>
          <w:rFonts w:asciiTheme="minorHAnsi" w:hAnsiTheme="minorHAnsi"/>
          <w:bCs/>
        </w:rPr>
        <w:t xml:space="preserve">including pneumonia </w:t>
      </w:r>
      <w:r w:rsidR="006E0663" w:rsidRPr="00C5182C">
        <w:rPr>
          <w:rFonts w:asciiTheme="minorHAnsi" w:hAnsiTheme="minorHAnsi"/>
          <w:bCs/>
        </w:rPr>
        <w:t xml:space="preserve">and </w:t>
      </w:r>
      <w:r w:rsidR="00C5182C">
        <w:rPr>
          <w:rFonts w:asciiTheme="minorHAnsi" w:hAnsiTheme="minorHAnsi"/>
          <w:bCs/>
        </w:rPr>
        <w:t>delayed</w:t>
      </w:r>
      <w:r w:rsidR="006E0663" w:rsidRPr="00C5182C">
        <w:rPr>
          <w:rFonts w:asciiTheme="minorHAnsi" w:hAnsiTheme="minorHAnsi"/>
          <w:bCs/>
        </w:rPr>
        <w:t xml:space="preserve"> recovery from influenza for those with diabetes. </w:t>
      </w:r>
    </w:p>
    <w:p w:rsidR="00D53E4A" w:rsidRPr="00432850" w:rsidRDefault="00D53E4A" w:rsidP="00432850">
      <w:pPr>
        <w:pStyle w:val="Heading2"/>
        <w:spacing w:before="120" w:after="160"/>
      </w:pPr>
      <w:r w:rsidRPr="00432850">
        <w:t>Clinical trials</w:t>
      </w:r>
      <w:bookmarkEnd w:id="19"/>
      <w:bookmarkEnd w:id="20"/>
    </w:p>
    <w:p w:rsidR="0048534D" w:rsidRPr="0048534D" w:rsidRDefault="00D92EE7" w:rsidP="0048534D">
      <w:pPr>
        <w:pStyle w:val="ListParagraph"/>
        <w:widowControl/>
        <w:numPr>
          <w:ilvl w:val="1"/>
          <w:numId w:val="1"/>
        </w:numPr>
        <w:spacing w:before="120"/>
        <w:rPr>
          <w:szCs w:val="24"/>
        </w:rPr>
      </w:pPr>
      <w:r w:rsidRPr="00C5182C">
        <w:rPr>
          <w:rFonts w:cs="Calibri"/>
          <w:snapToGrid/>
          <w:szCs w:val="24"/>
          <w:lang w:eastAsia="en-AU"/>
        </w:rPr>
        <w:t>The submission presented studies which directly assessed measures of laboratory</w:t>
      </w:r>
      <w:r w:rsidRPr="00C5182C">
        <w:rPr>
          <w:rFonts w:cs="Calibri"/>
          <w:snapToGrid/>
          <w:szCs w:val="24"/>
          <w:lang w:eastAsia="en-AU"/>
        </w:rPr>
        <w:noBreakHyphen/>
        <w:t>confirmed influenza and associated cardio-respiratory events</w:t>
      </w:r>
      <w:r w:rsidR="003023F1" w:rsidRPr="00C5182C">
        <w:rPr>
          <w:rFonts w:cs="Calibri"/>
          <w:snapToGrid/>
          <w:szCs w:val="24"/>
          <w:lang w:eastAsia="en-AU"/>
        </w:rPr>
        <w:t>. A</w:t>
      </w:r>
      <w:r w:rsidRPr="00C5182C">
        <w:rPr>
          <w:rFonts w:cs="Calibri"/>
          <w:snapToGrid/>
          <w:szCs w:val="24"/>
          <w:lang w:eastAsia="en-AU"/>
        </w:rPr>
        <w:t xml:space="preserve"> comparison of immunogenicity endpoints was </w:t>
      </w:r>
      <w:r w:rsidR="00EC697C" w:rsidRPr="00C5182C">
        <w:rPr>
          <w:rFonts w:cs="Calibri"/>
          <w:snapToGrid/>
          <w:szCs w:val="24"/>
          <w:lang w:eastAsia="en-AU"/>
        </w:rPr>
        <w:t xml:space="preserve">not </w:t>
      </w:r>
      <w:r w:rsidRPr="00C5182C">
        <w:rPr>
          <w:rFonts w:cs="Calibri"/>
          <w:snapToGrid/>
          <w:szCs w:val="24"/>
          <w:lang w:eastAsia="en-AU"/>
        </w:rPr>
        <w:t>considered informative because</w:t>
      </w:r>
      <w:r w:rsidRPr="008B2FD3">
        <w:rPr>
          <w:rFonts w:cs="Calibri"/>
          <w:snapToGrid/>
          <w:szCs w:val="24"/>
          <w:lang w:eastAsia="en-AU"/>
        </w:rPr>
        <w:t xml:space="preserve"> there are considerable uncertainties in translating immunogenicity data into clinical </w:t>
      </w:r>
      <w:r w:rsidRPr="0048534D">
        <w:rPr>
          <w:rFonts w:cs="Calibri"/>
          <w:snapToGrid/>
          <w:szCs w:val="24"/>
          <w:lang w:eastAsia="en-AU"/>
        </w:rPr>
        <w:t>benefits (p27 of the submission).</w:t>
      </w:r>
      <w:r w:rsidR="00252F2C" w:rsidRPr="0048534D">
        <w:rPr>
          <w:rFonts w:cs="Calibri"/>
          <w:snapToGrid/>
          <w:szCs w:val="24"/>
          <w:lang w:eastAsia="en-AU"/>
        </w:rPr>
        <w:t xml:space="preserve"> However, surrogate outcomes have been used previously for PBAC decision-</w:t>
      </w:r>
      <w:r w:rsidR="00D03AF5" w:rsidRPr="0048534D">
        <w:rPr>
          <w:rFonts w:cs="Calibri"/>
          <w:snapToGrid/>
          <w:szCs w:val="24"/>
          <w:lang w:eastAsia="en-AU"/>
        </w:rPr>
        <w:t>making</w:t>
      </w:r>
      <w:r w:rsidR="00252F2C" w:rsidRPr="0048534D">
        <w:rPr>
          <w:rStyle w:val="FootnoteReference"/>
          <w:rFonts w:cs="Calibri"/>
          <w:snapToGrid/>
          <w:szCs w:val="24"/>
          <w:lang w:eastAsia="en-AU"/>
        </w:rPr>
        <w:footnoteReference w:id="4"/>
      </w:r>
      <w:r w:rsidR="00252F2C" w:rsidRPr="0048534D">
        <w:rPr>
          <w:rFonts w:cs="Calibri"/>
          <w:snapToGrid/>
          <w:szCs w:val="24"/>
          <w:lang w:eastAsia="en-AU"/>
        </w:rPr>
        <w:t>.</w:t>
      </w:r>
      <w:r w:rsidR="00767DDD">
        <w:rPr>
          <w:rFonts w:cs="Calibri"/>
          <w:snapToGrid/>
          <w:szCs w:val="24"/>
          <w:lang w:eastAsia="en-AU"/>
        </w:rPr>
        <w:t xml:space="preserve"> </w:t>
      </w:r>
      <w:r w:rsidR="00D53E4A" w:rsidRPr="0048534D">
        <w:rPr>
          <w:rFonts w:cs="Calibri"/>
          <w:snapToGrid/>
          <w:szCs w:val="24"/>
          <w:lang w:eastAsia="en-AU"/>
        </w:rPr>
        <w:t>The submission did not present any head-to-head</w:t>
      </w:r>
      <w:r w:rsidR="00B75CEC" w:rsidRPr="0048534D">
        <w:rPr>
          <w:rFonts w:cs="Calibri"/>
          <w:snapToGrid/>
          <w:szCs w:val="24"/>
          <w:lang w:eastAsia="en-AU"/>
        </w:rPr>
        <w:t xml:space="preserve"> randomised controlled trials (</w:t>
      </w:r>
      <w:r w:rsidR="00D53E4A" w:rsidRPr="0048534D">
        <w:rPr>
          <w:rFonts w:cs="Calibri"/>
          <w:snapToGrid/>
          <w:szCs w:val="24"/>
          <w:lang w:eastAsia="en-AU"/>
        </w:rPr>
        <w:t>RCTs</w:t>
      </w:r>
      <w:r w:rsidR="00B75CEC" w:rsidRPr="0048534D">
        <w:rPr>
          <w:rFonts w:cs="Calibri"/>
          <w:snapToGrid/>
          <w:szCs w:val="24"/>
          <w:lang w:eastAsia="en-AU"/>
        </w:rPr>
        <w:t>)</w:t>
      </w:r>
      <w:r w:rsidR="00D53E4A" w:rsidRPr="0048534D">
        <w:rPr>
          <w:rFonts w:cs="Calibri"/>
          <w:snapToGrid/>
          <w:szCs w:val="24"/>
          <w:lang w:eastAsia="en-AU"/>
        </w:rPr>
        <w:t xml:space="preserve"> comparing TIV-HD and QIV-SD.</w:t>
      </w:r>
      <w:r w:rsidR="00006454" w:rsidRPr="0048534D">
        <w:rPr>
          <w:rFonts w:cs="Calibri"/>
          <w:snapToGrid/>
          <w:szCs w:val="24"/>
          <w:lang w:eastAsia="en-AU"/>
        </w:rPr>
        <w:t xml:space="preserve"> </w:t>
      </w:r>
      <w:r w:rsidR="0048534D" w:rsidRPr="0048534D">
        <w:rPr>
          <w:rFonts w:cs="Calibri"/>
          <w:snapToGrid/>
          <w:szCs w:val="24"/>
          <w:lang w:eastAsia="en-AU"/>
        </w:rPr>
        <w:t xml:space="preserve">The submission </w:t>
      </w:r>
      <w:r w:rsidR="0048534D" w:rsidRPr="0048534D">
        <w:rPr>
          <w:szCs w:val="24"/>
        </w:rPr>
        <w:t>discussed the results of trials comparing TIV-HD to TIV-SD relative to the PBAC’s previous conclusion of non-inferiority of QIV-SD versus TIV-SD</w:t>
      </w:r>
      <w:r w:rsidR="0048534D" w:rsidRPr="0048534D">
        <w:rPr>
          <w:rStyle w:val="FootnoteReference"/>
          <w:szCs w:val="24"/>
        </w:rPr>
        <w:footnoteReference w:id="5"/>
      </w:r>
      <w:r w:rsidR="0048534D" w:rsidRPr="0048534D">
        <w:rPr>
          <w:szCs w:val="24"/>
        </w:rPr>
        <w:t xml:space="preserve">. </w:t>
      </w:r>
    </w:p>
    <w:p w:rsidR="00D53E4A" w:rsidRPr="0048534D" w:rsidRDefault="00D53E4A" w:rsidP="00161E40">
      <w:pPr>
        <w:pStyle w:val="ListParagraph"/>
        <w:widowControl/>
        <w:numPr>
          <w:ilvl w:val="1"/>
          <w:numId w:val="1"/>
        </w:numPr>
      </w:pPr>
      <w:r w:rsidRPr="0048534D">
        <w:rPr>
          <w:rFonts w:cs="Calibri"/>
          <w:snapToGrid/>
          <w:szCs w:val="24"/>
          <w:lang w:eastAsia="en-AU"/>
        </w:rPr>
        <w:t>The submission was based on two clinical trials comparing TIV-HD to TIV-SD:</w:t>
      </w:r>
    </w:p>
    <w:p w:rsidR="00D53E4A" w:rsidRPr="008B2FD3" w:rsidRDefault="00D53E4A" w:rsidP="00161E40">
      <w:pPr>
        <w:pStyle w:val="ListParagraph"/>
        <w:widowControl/>
        <w:numPr>
          <w:ilvl w:val="2"/>
          <w:numId w:val="9"/>
        </w:numPr>
        <w:ind w:left="1134" w:hanging="425"/>
      </w:pPr>
      <w:r w:rsidRPr="0048534D">
        <w:rPr>
          <w:rFonts w:cs="Calibri"/>
          <w:snapToGrid/>
          <w:szCs w:val="24"/>
          <w:lang w:eastAsia="en-AU"/>
        </w:rPr>
        <w:t>FIM12</w:t>
      </w:r>
      <w:r w:rsidRPr="008B2FD3">
        <w:rPr>
          <w:rFonts w:cs="Calibri"/>
          <w:snapToGrid/>
          <w:szCs w:val="24"/>
          <w:lang w:eastAsia="en-AU"/>
        </w:rPr>
        <w:t xml:space="preserve">: </w:t>
      </w:r>
      <w:r w:rsidRPr="008B2FD3">
        <w:t>A Phase III/IV, large-scale, multi-centre, randomised, double-blind, active-controlled trial comparing the efficacy and safety of TIV-HD to TIV-SD in adults aged ≥65 years in the US and Canada (N=31,989).</w:t>
      </w:r>
    </w:p>
    <w:p w:rsidR="00D53E4A" w:rsidRPr="008B2FD3" w:rsidRDefault="00D53E4A" w:rsidP="00161E40">
      <w:pPr>
        <w:pStyle w:val="ListParagraph"/>
        <w:widowControl/>
        <w:numPr>
          <w:ilvl w:val="2"/>
          <w:numId w:val="9"/>
        </w:numPr>
        <w:ind w:left="1134" w:hanging="425"/>
      </w:pPr>
      <w:proofErr w:type="spellStart"/>
      <w:r w:rsidRPr="008B2FD3">
        <w:t>Gravenstein</w:t>
      </w:r>
      <w:proofErr w:type="spellEnd"/>
      <w:r w:rsidRPr="008B2FD3">
        <w:t>: A large cluster RCT of nursing home residents aged ≥65 years (N=92,269 were recruited, N=53,008 met the inclusion criteria).</w:t>
      </w:r>
    </w:p>
    <w:p w:rsidR="00D53E4A" w:rsidRPr="008B2FD3" w:rsidRDefault="00D53E4A" w:rsidP="00161E40">
      <w:pPr>
        <w:pStyle w:val="ListParagraph"/>
        <w:widowControl/>
        <w:numPr>
          <w:ilvl w:val="1"/>
          <w:numId w:val="1"/>
        </w:numPr>
        <w:rPr>
          <w:rFonts w:cs="Calibri"/>
          <w:snapToGrid/>
          <w:szCs w:val="24"/>
          <w:lang w:eastAsia="en-AU"/>
        </w:rPr>
      </w:pPr>
      <w:r w:rsidRPr="008B2FD3">
        <w:rPr>
          <w:rFonts w:cs="Calibri"/>
          <w:snapToGrid/>
          <w:szCs w:val="24"/>
          <w:lang w:eastAsia="en-AU"/>
        </w:rPr>
        <w:lastRenderedPageBreak/>
        <w:t xml:space="preserve">In addition the submission presented </w:t>
      </w:r>
      <w:proofErr w:type="spellStart"/>
      <w:r w:rsidRPr="008B2FD3">
        <w:rPr>
          <w:rFonts w:cs="Calibri"/>
          <w:snapToGrid/>
          <w:szCs w:val="24"/>
          <w:lang w:eastAsia="en-AU"/>
        </w:rPr>
        <w:t>DiazGranados</w:t>
      </w:r>
      <w:proofErr w:type="spellEnd"/>
      <w:r w:rsidRPr="008B2FD3">
        <w:rPr>
          <w:rFonts w:cs="Calibri"/>
          <w:snapToGrid/>
          <w:szCs w:val="24"/>
          <w:lang w:eastAsia="en-AU"/>
        </w:rPr>
        <w:t xml:space="preserve"> et al. 2015, who conducted a supplementary analysis of FIM12 evaluating the effectiveness of TIV-HD compared to TIV-SD in preventing all-cause hosp</w:t>
      </w:r>
      <w:r w:rsidR="00CE68C8" w:rsidRPr="008B2FD3">
        <w:rPr>
          <w:rFonts w:cs="Calibri"/>
          <w:snapToGrid/>
          <w:szCs w:val="24"/>
          <w:lang w:eastAsia="en-AU"/>
        </w:rPr>
        <w:t>italisations and serious cardio</w:t>
      </w:r>
      <w:r w:rsidRPr="008B2FD3">
        <w:rPr>
          <w:rFonts w:cs="Calibri"/>
          <w:snapToGrid/>
          <w:szCs w:val="24"/>
          <w:lang w:eastAsia="en-AU"/>
        </w:rPr>
        <w:t>respiratory events possibly related to influenza infection.</w:t>
      </w:r>
    </w:p>
    <w:p w:rsidR="00D53E4A" w:rsidRPr="008B2FD3" w:rsidRDefault="00D53E4A" w:rsidP="00161E40">
      <w:pPr>
        <w:pStyle w:val="ListParagraph"/>
        <w:widowControl/>
        <w:numPr>
          <w:ilvl w:val="1"/>
          <w:numId w:val="1"/>
        </w:numPr>
      </w:pPr>
      <w:r w:rsidRPr="008B2FD3">
        <w:rPr>
          <w:rFonts w:cs="Calibri"/>
          <w:snapToGrid/>
          <w:szCs w:val="24"/>
          <w:lang w:eastAsia="en-AU"/>
        </w:rPr>
        <w:t>Details of the trials presented in the submission are provided in the table below.</w:t>
      </w:r>
      <w:r w:rsidR="00730D6A" w:rsidRPr="008B2FD3">
        <w:rPr>
          <w:rFonts w:cs="Calibri"/>
          <w:snapToGrid/>
          <w:szCs w:val="24"/>
          <w:lang w:eastAsia="en-AU"/>
        </w:rPr>
        <w:t xml:space="preserve"> </w:t>
      </w:r>
    </w:p>
    <w:p w:rsidR="00D53E4A" w:rsidRPr="008B2FD3" w:rsidRDefault="00D53E4A" w:rsidP="00D53E4A">
      <w:pPr>
        <w:rPr>
          <w:rStyle w:val="CommentReference"/>
        </w:rPr>
      </w:pPr>
      <w:r w:rsidRPr="008B2FD3">
        <w:rPr>
          <w:rStyle w:val="CommentReference"/>
        </w:rPr>
        <w:t>Table 2:</w:t>
      </w:r>
      <w:r w:rsidR="00E63740" w:rsidRPr="008B2FD3">
        <w:rPr>
          <w:rStyle w:val="CommentReference"/>
        </w:rPr>
        <w:t xml:space="preserve"> </w:t>
      </w:r>
      <w:r w:rsidRPr="008B2FD3">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5"/>
        <w:gridCol w:w="6135"/>
        <w:gridCol w:w="1943"/>
      </w:tblGrid>
      <w:tr w:rsidR="00D53E4A" w:rsidRPr="008B2FD3" w:rsidTr="00E013F7">
        <w:trPr>
          <w:tblHeader/>
        </w:trPr>
        <w:tc>
          <w:tcPr>
            <w:tcW w:w="548" w:type="pct"/>
            <w:vAlign w:val="center"/>
          </w:tcPr>
          <w:p w:rsidR="00D53E4A" w:rsidRPr="008B2FD3" w:rsidRDefault="00D53E4A" w:rsidP="003B0926">
            <w:pPr>
              <w:pStyle w:val="Tabletext"/>
              <w:rPr>
                <w:b/>
              </w:rPr>
            </w:pPr>
            <w:r w:rsidRPr="008B2FD3">
              <w:rPr>
                <w:b/>
              </w:rPr>
              <w:t>Trial ID</w:t>
            </w:r>
          </w:p>
        </w:tc>
        <w:tc>
          <w:tcPr>
            <w:tcW w:w="3380" w:type="pct"/>
            <w:vAlign w:val="center"/>
          </w:tcPr>
          <w:p w:rsidR="00D53E4A" w:rsidRPr="008B2FD3" w:rsidRDefault="00D53E4A" w:rsidP="003B0926">
            <w:pPr>
              <w:pStyle w:val="Tabletext"/>
              <w:jc w:val="center"/>
              <w:rPr>
                <w:b/>
              </w:rPr>
            </w:pPr>
            <w:r w:rsidRPr="008B2FD3">
              <w:rPr>
                <w:b/>
              </w:rPr>
              <w:t>Protocol title/ Publication title</w:t>
            </w:r>
          </w:p>
        </w:tc>
        <w:tc>
          <w:tcPr>
            <w:tcW w:w="1072" w:type="pct"/>
            <w:vAlign w:val="center"/>
          </w:tcPr>
          <w:p w:rsidR="00D53E4A" w:rsidRPr="008B2FD3" w:rsidRDefault="00D53E4A" w:rsidP="003B0926">
            <w:pPr>
              <w:pStyle w:val="Tabletext"/>
              <w:jc w:val="center"/>
              <w:rPr>
                <w:b/>
              </w:rPr>
            </w:pPr>
            <w:r w:rsidRPr="008B2FD3">
              <w:rPr>
                <w:b/>
              </w:rPr>
              <w:t>Publication citation</w:t>
            </w:r>
          </w:p>
        </w:tc>
      </w:tr>
      <w:tr w:rsidR="00D53E4A" w:rsidRPr="008B2FD3" w:rsidTr="00E013F7">
        <w:tc>
          <w:tcPr>
            <w:tcW w:w="548" w:type="pct"/>
            <w:vMerge w:val="restart"/>
            <w:vAlign w:val="center"/>
          </w:tcPr>
          <w:p w:rsidR="00D53E4A" w:rsidRPr="008B2FD3" w:rsidRDefault="00D53E4A" w:rsidP="003B0926">
            <w:pPr>
              <w:pStyle w:val="Tabletext"/>
              <w:rPr>
                <w:rFonts w:ascii="Times" w:hAnsi="Times"/>
              </w:rPr>
            </w:pPr>
            <w:r w:rsidRPr="008B2FD3">
              <w:t>FIM12</w:t>
            </w:r>
          </w:p>
        </w:tc>
        <w:tc>
          <w:tcPr>
            <w:tcW w:w="3380" w:type="pct"/>
            <w:tcBorders>
              <w:bottom w:val="nil"/>
            </w:tcBorders>
          </w:tcPr>
          <w:p w:rsidR="00D53E4A" w:rsidRPr="008B2FD3" w:rsidRDefault="00D53E4A" w:rsidP="003B0926">
            <w:pPr>
              <w:pStyle w:val="Tabletext"/>
              <w:rPr>
                <w:szCs w:val="18"/>
              </w:rPr>
            </w:pPr>
            <w:proofErr w:type="spellStart"/>
            <w:r w:rsidRPr="008B2FD3">
              <w:t>DiazGranados</w:t>
            </w:r>
            <w:proofErr w:type="spellEnd"/>
            <w:r w:rsidRPr="008B2FD3">
              <w:t xml:space="preserve"> CA et al. Efficacy of high-dose versus standard-dose influenza vaccine in older adults</w:t>
            </w:r>
          </w:p>
        </w:tc>
        <w:tc>
          <w:tcPr>
            <w:tcW w:w="1072" w:type="pct"/>
            <w:tcBorders>
              <w:bottom w:val="nil"/>
            </w:tcBorders>
          </w:tcPr>
          <w:p w:rsidR="00D53E4A" w:rsidRPr="008B2FD3" w:rsidRDefault="00D53E4A" w:rsidP="003B0926">
            <w:pPr>
              <w:pStyle w:val="Tabletext"/>
              <w:rPr>
                <w:rFonts w:ascii="Times" w:hAnsi="Times"/>
              </w:rPr>
            </w:pPr>
            <w:r w:rsidRPr="008B2FD3">
              <w:t xml:space="preserve">N </w:t>
            </w:r>
            <w:proofErr w:type="spellStart"/>
            <w:r w:rsidRPr="008B2FD3">
              <w:t>Engl</w:t>
            </w:r>
            <w:proofErr w:type="spellEnd"/>
            <w:r w:rsidRPr="008B2FD3">
              <w:t xml:space="preserve"> J Med. 2014 Aug 14</w:t>
            </w:r>
            <w:proofErr w:type="gramStart"/>
            <w:r w:rsidRPr="008B2FD3">
              <w:t>;371</w:t>
            </w:r>
            <w:proofErr w:type="gramEnd"/>
            <w:r w:rsidRPr="008B2FD3">
              <w:t xml:space="preserve">(7):635-45. </w:t>
            </w:r>
          </w:p>
        </w:tc>
      </w:tr>
      <w:tr w:rsidR="00D53E4A" w:rsidRPr="008B2FD3" w:rsidTr="00E013F7">
        <w:tc>
          <w:tcPr>
            <w:tcW w:w="548" w:type="pct"/>
            <w:vMerge/>
            <w:vAlign w:val="center"/>
          </w:tcPr>
          <w:p w:rsidR="00D53E4A" w:rsidRPr="008B2FD3" w:rsidRDefault="00D53E4A" w:rsidP="003B0926">
            <w:pPr>
              <w:pStyle w:val="Tabletext"/>
            </w:pPr>
          </w:p>
        </w:tc>
        <w:tc>
          <w:tcPr>
            <w:tcW w:w="3380" w:type="pct"/>
            <w:tcBorders>
              <w:top w:val="nil"/>
              <w:bottom w:val="nil"/>
            </w:tcBorders>
          </w:tcPr>
          <w:p w:rsidR="00D53E4A" w:rsidRPr="008B2FD3" w:rsidRDefault="00D53E4A" w:rsidP="003B0926">
            <w:pPr>
              <w:pStyle w:val="Tabletext"/>
              <w:rPr>
                <w:szCs w:val="18"/>
                <w:lang w:eastAsia="en-AU"/>
              </w:rPr>
            </w:pPr>
            <w:r w:rsidRPr="008B2FD3">
              <w:t xml:space="preserve">CSR: </w:t>
            </w:r>
            <w:r w:rsidRPr="008B2FD3">
              <w:rPr>
                <w:sz w:val="18"/>
                <w:szCs w:val="18"/>
              </w:rPr>
              <w:t xml:space="preserve">Efficacy Study of </w:t>
            </w:r>
            <w:proofErr w:type="spellStart"/>
            <w:r w:rsidRPr="008B2FD3">
              <w:rPr>
                <w:sz w:val="18"/>
                <w:szCs w:val="18"/>
              </w:rPr>
              <w:t>Fluzone</w:t>
            </w:r>
            <w:proofErr w:type="spellEnd"/>
            <w:r w:rsidRPr="008B2FD3">
              <w:rPr>
                <w:sz w:val="18"/>
                <w:szCs w:val="18"/>
              </w:rPr>
              <w:t xml:space="preserve"> High-Dose Vaccine Compared With </w:t>
            </w:r>
            <w:proofErr w:type="spellStart"/>
            <w:r w:rsidRPr="008B2FD3">
              <w:rPr>
                <w:sz w:val="18"/>
                <w:szCs w:val="18"/>
              </w:rPr>
              <w:t>Fluzone</w:t>
            </w:r>
            <w:proofErr w:type="spellEnd"/>
            <w:r w:rsidRPr="008B2FD3">
              <w:rPr>
                <w:sz w:val="18"/>
                <w:szCs w:val="18"/>
              </w:rPr>
              <w:t xml:space="preserve"> Vaccine In Elderly Adults </w:t>
            </w:r>
          </w:p>
        </w:tc>
        <w:tc>
          <w:tcPr>
            <w:tcW w:w="1072" w:type="pct"/>
            <w:tcBorders>
              <w:top w:val="nil"/>
              <w:bottom w:val="nil"/>
            </w:tcBorders>
          </w:tcPr>
          <w:p w:rsidR="00D53E4A" w:rsidRPr="008B2FD3" w:rsidRDefault="00D53E4A" w:rsidP="003B0926">
            <w:pPr>
              <w:pStyle w:val="Tabletext"/>
              <w:rPr>
                <w:szCs w:val="18"/>
                <w:lang w:eastAsia="en-AU"/>
              </w:rPr>
            </w:pPr>
            <w:r w:rsidRPr="008B2FD3">
              <w:t>21 November 2013</w:t>
            </w:r>
          </w:p>
        </w:tc>
      </w:tr>
      <w:tr w:rsidR="00D53E4A" w:rsidRPr="008B2FD3" w:rsidTr="00E013F7">
        <w:tc>
          <w:tcPr>
            <w:tcW w:w="548" w:type="pct"/>
            <w:vMerge/>
            <w:vAlign w:val="center"/>
          </w:tcPr>
          <w:p w:rsidR="00D53E4A" w:rsidRPr="008B2FD3" w:rsidRDefault="00D53E4A" w:rsidP="003B0926">
            <w:pPr>
              <w:pStyle w:val="Tabletext"/>
            </w:pPr>
          </w:p>
        </w:tc>
        <w:tc>
          <w:tcPr>
            <w:tcW w:w="3380" w:type="pct"/>
            <w:tcBorders>
              <w:top w:val="nil"/>
              <w:bottom w:val="nil"/>
            </w:tcBorders>
          </w:tcPr>
          <w:p w:rsidR="00D53E4A" w:rsidRPr="008B2FD3" w:rsidRDefault="00D53E4A" w:rsidP="003B0926">
            <w:pPr>
              <w:pStyle w:val="Tabletext"/>
              <w:rPr>
                <w:szCs w:val="18"/>
                <w:lang w:eastAsia="en-AU"/>
              </w:rPr>
            </w:pPr>
            <w:proofErr w:type="spellStart"/>
            <w:r w:rsidRPr="008B2FD3">
              <w:t>DiazGranados</w:t>
            </w:r>
            <w:proofErr w:type="spellEnd"/>
            <w:r w:rsidRPr="008B2FD3">
              <w:t xml:space="preserve"> CA et al. Efficacy and immunogenicity of high-dose influenza vaccine in older adults by age, comorbidities, and frailty</w:t>
            </w:r>
          </w:p>
        </w:tc>
        <w:tc>
          <w:tcPr>
            <w:tcW w:w="1072" w:type="pct"/>
            <w:tcBorders>
              <w:top w:val="nil"/>
              <w:bottom w:val="nil"/>
            </w:tcBorders>
          </w:tcPr>
          <w:p w:rsidR="00D53E4A" w:rsidRPr="008B2FD3" w:rsidRDefault="00D53E4A" w:rsidP="003B0926">
            <w:pPr>
              <w:pStyle w:val="Tabletext"/>
              <w:rPr>
                <w:szCs w:val="18"/>
                <w:lang w:eastAsia="en-AU"/>
              </w:rPr>
            </w:pPr>
            <w:r w:rsidRPr="008B2FD3">
              <w:t>Vaccine. 2015 Aug 26</w:t>
            </w:r>
            <w:proofErr w:type="gramStart"/>
            <w:r w:rsidRPr="008B2FD3">
              <w:t>;33</w:t>
            </w:r>
            <w:proofErr w:type="gramEnd"/>
            <w:r w:rsidRPr="008B2FD3">
              <w:t>(36):4565-71.</w:t>
            </w:r>
          </w:p>
        </w:tc>
      </w:tr>
      <w:tr w:rsidR="00D53E4A" w:rsidRPr="008B2FD3" w:rsidTr="00E013F7">
        <w:tc>
          <w:tcPr>
            <w:tcW w:w="548" w:type="pct"/>
            <w:vMerge/>
            <w:vAlign w:val="center"/>
          </w:tcPr>
          <w:p w:rsidR="00D53E4A" w:rsidRPr="008B2FD3" w:rsidRDefault="00D53E4A" w:rsidP="003B0926">
            <w:pPr>
              <w:pStyle w:val="Tabletext"/>
              <w:rPr>
                <w:rFonts w:ascii="Times" w:hAnsi="Times"/>
              </w:rPr>
            </w:pPr>
          </w:p>
        </w:tc>
        <w:tc>
          <w:tcPr>
            <w:tcW w:w="3380" w:type="pct"/>
            <w:tcBorders>
              <w:top w:val="nil"/>
              <w:bottom w:val="nil"/>
            </w:tcBorders>
          </w:tcPr>
          <w:p w:rsidR="00D53E4A" w:rsidRPr="008B2FD3" w:rsidRDefault="00D53E4A" w:rsidP="003B0926">
            <w:pPr>
              <w:pStyle w:val="Tabletext"/>
              <w:rPr>
                <w:rFonts w:ascii="Times" w:hAnsi="Times"/>
              </w:rPr>
            </w:pPr>
            <w:proofErr w:type="spellStart"/>
            <w:r w:rsidRPr="008B2FD3">
              <w:t>DiazGranados</w:t>
            </w:r>
            <w:proofErr w:type="spellEnd"/>
            <w:r w:rsidRPr="008B2FD3">
              <w:t xml:space="preserve"> CA et al. Effect of Previous-Year Vaccination on the Efficacy, Immunogenicity, and Safety of High-Dose Inactivated Influenza Vaccine in Older Adults</w:t>
            </w:r>
          </w:p>
        </w:tc>
        <w:tc>
          <w:tcPr>
            <w:tcW w:w="1072" w:type="pct"/>
            <w:tcBorders>
              <w:top w:val="nil"/>
              <w:bottom w:val="nil"/>
            </w:tcBorders>
          </w:tcPr>
          <w:p w:rsidR="00D53E4A" w:rsidRPr="008B2FD3" w:rsidRDefault="00D53E4A" w:rsidP="003B0926">
            <w:pPr>
              <w:pStyle w:val="Tabletext"/>
            </w:pPr>
            <w:proofErr w:type="spellStart"/>
            <w:r w:rsidRPr="008B2FD3">
              <w:t>Clin</w:t>
            </w:r>
            <w:proofErr w:type="spellEnd"/>
            <w:r w:rsidRPr="008B2FD3">
              <w:t xml:space="preserve"> Infect Dis. 2016 May 1</w:t>
            </w:r>
            <w:proofErr w:type="gramStart"/>
            <w:r w:rsidRPr="008B2FD3">
              <w:t>;62</w:t>
            </w:r>
            <w:proofErr w:type="gramEnd"/>
            <w:r w:rsidRPr="008B2FD3">
              <w:t>(9):1092-1099.</w:t>
            </w:r>
          </w:p>
        </w:tc>
      </w:tr>
      <w:tr w:rsidR="00D53E4A" w:rsidRPr="008B2FD3" w:rsidTr="00E013F7">
        <w:tc>
          <w:tcPr>
            <w:tcW w:w="548" w:type="pct"/>
            <w:vMerge/>
            <w:vAlign w:val="center"/>
          </w:tcPr>
          <w:p w:rsidR="00D53E4A" w:rsidRPr="008B2FD3" w:rsidRDefault="00D53E4A" w:rsidP="003B0926">
            <w:pPr>
              <w:pStyle w:val="Tabletext"/>
            </w:pPr>
          </w:p>
        </w:tc>
        <w:tc>
          <w:tcPr>
            <w:tcW w:w="3380" w:type="pct"/>
            <w:tcBorders>
              <w:top w:val="nil"/>
              <w:bottom w:val="single" w:sz="4" w:space="0" w:color="auto"/>
            </w:tcBorders>
          </w:tcPr>
          <w:p w:rsidR="00D53E4A" w:rsidRPr="008B2FD3" w:rsidRDefault="00D53E4A" w:rsidP="003B0926">
            <w:pPr>
              <w:pStyle w:val="Tabletext"/>
              <w:rPr>
                <w:szCs w:val="18"/>
              </w:rPr>
            </w:pPr>
            <w:proofErr w:type="spellStart"/>
            <w:r w:rsidRPr="008B2FD3">
              <w:t>DiazGranados</w:t>
            </w:r>
            <w:proofErr w:type="spellEnd"/>
            <w:r w:rsidRPr="008B2FD3">
              <w:t xml:space="preserve"> CA et al. Prevention of serious events in adults 65 years of age or older: A comparison between high-dose and standard-dose inactivated influenza vaccines.</w:t>
            </w:r>
          </w:p>
        </w:tc>
        <w:tc>
          <w:tcPr>
            <w:tcW w:w="1072" w:type="pct"/>
            <w:tcBorders>
              <w:top w:val="nil"/>
              <w:bottom w:val="single" w:sz="4" w:space="0" w:color="auto"/>
            </w:tcBorders>
          </w:tcPr>
          <w:p w:rsidR="00D53E4A" w:rsidRPr="008B2FD3" w:rsidRDefault="00D53E4A" w:rsidP="003B0926">
            <w:pPr>
              <w:pStyle w:val="Tabletext"/>
            </w:pPr>
            <w:r w:rsidRPr="008B2FD3">
              <w:t>Vaccine. 2015 Sep 11;33(38):4988-93</w:t>
            </w:r>
          </w:p>
        </w:tc>
      </w:tr>
      <w:tr w:rsidR="00D53E4A" w:rsidRPr="008B2FD3" w:rsidTr="00E013F7">
        <w:tc>
          <w:tcPr>
            <w:tcW w:w="548" w:type="pct"/>
            <w:tcBorders>
              <w:bottom w:val="single" w:sz="4" w:space="0" w:color="auto"/>
            </w:tcBorders>
            <w:vAlign w:val="center"/>
          </w:tcPr>
          <w:p w:rsidR="00D53E4A" w:rsidRPr="008E01E7" w:rsidRDefault="00D53E4A" w:rsidP="003B0926">
            <w:pPr>
              <w:pStyle w:val="Tabletext"/>
              <w:rPr>
                <w:b/>
              </w:rPr>
            </w:pPr>
            <w:proofErr w:type="spellStart"/>
            <w:r w:rsidRPr="008E01E7">
              <w:rPr>
                <w:b/>
              </w:rPr>
              <w:t>Gravenstein</w:t>
            </w:r>
            <w:proofErr w:type="spellEnd"/>
          </w:p>
        </w:tc>
        <w:tc>
          <w:tcPr>
            <w:tcW w:w="3380" w:type="pct"/>
            <w:tcBorders>
              <w:top w:val="single" w:sz="4" w:space="0" w:color="auto"/>
              <w:bottom w:val="single" w:sz="4" w:space="0" w:color="auto"/>
            </w:tcBorders>
            <w:vAlign w:val="center"/>
          </w:tcPr>
          <w:p w:rsidR="00D53E4A" w:rsidRPr="008B2FD3" w:rsidRDefault="00D53E4A" w:rsidP="003B0926">
            <w:pPr>
              <w:pStyle w:val="Tabletext"/>
              <w:rPr>
                <w:szCs w:val="18"/>
              </w:rPr>
            </w:pPr>
            <w:proofErr w:type="spellStart"/>
            <w:r w:rsidRPr="008B2FD3">
              <w:t>Gravenstein</w:t>
            </w:r>
            <w:proofErr w:type="spellEnd"/>
            <w:r w:rsidRPr="008B2FD3">
              <w:t xml:space="preserve"> et al. Comparative effectiveness of high-dose versus standard-dose influenza vaccination on numbers of US nursing home residents admitted to hospital: a cluster-randomised trial</w:t>
            </w:r>
          </w:p>
        </w:tc>
        <w:tc>
          <w:tcPr>
            <w:tcW w:w="1072" w:type="pct"/>
            <w:tcBorders>
              <w:top w:val="single" w:sz="4" w:space="0" w:color="auto"/>
              <w:bottom w:val="single" w:sz="4" w:space="0" w:color="auto"/>
            </w:tcBorders>
          </w:tcPr>
          <w:p w:rsidR="00D53E4A" w:rsidRPr="008B2FD3" w:rsidRDefault="00D53E4A" w:rsidP="003B0926">
            <w:pPr>
              <w:pStyle w:val="Tabletext"/>
              <w:rPr>
                <w:rFonts w:ascii="Times" w:hAnsi="Times"/>
              </w:rPr>
            </w:pPr>
            <w:r w:rsidRPr="008B2FD3">
              <w:t xml:space="preserve">Lancet </w:t>
            </w:r>
            <w:proofErr w:type="spellStart"/>
            <w:r w:rsidRPr="008B2FD3">
              <w:t>Respir</w:t>
            </w:r>
            <w:proofErr w:type="spellEnd"/>
            <w:r w:rsidRPr="008B2FD3">
              <w:t xml:space="preserve"> Med 5 (9): 738-746, (2017).</w:t>
            </w:r>
          </w:p>
        </w:tc>
      </w:tr>
    </w:tbl>
    <w:p w:rsidR="00D53E4A" w:rsidRPr="008B2FD3" w:rsidRDefault="00D53E4A" w:rsidP="00D53E4A">
      <w:pPr>
        <w:pStyle w:val="TableFooter"/>
        <w:rPr>
          <w:sz w:val="20"/>
        </w:rPr>
      </w:pPr>
      <w:r w:rsidRPr="008B2FD3">
        <w:t>Source: Table 2.2.1, p34 of the submission.</w:t>
      </w:r>
    </w:p>
    <w:p w:rsidR="00D53E4A" w:rsidRPr="008B2FD3" w:rsidRDefault="00D53E4A" w:rsidP="00D53E4A">
      <w:pPr>
        <w:widowControl/>
      </w:pPr>
    </w:p>
    <w:p w:rsidR="00D53E4A" w:rsidRPr="008B2FD3" w:rsidRDefault="00D53E4A" w:rsidP="00161E40">
      <w:pPr>
        <w:pStyle w:val="ListParagraph"/>
        <w:widowControl/>
        <w:numPr>
          <w:ilvl w:val="1"/>
          <w:numId w:val="1"/>
        </w:numPr>
      </w:pPr>
      <w:r w:rsidRPr="008B2FD3">
        <w:t>The key features of the</w:t>
      </w:r>
      <w:r w:rsidR="00B75CEC" w:rsidRPr="008B2FD3">
        <w:t xml:space="preserve"> randomised</w:t>
      </w:r>
      <w:r w:rsidRPr="008B2FD3">
        <w:t xml:space="preserve"> trials are </w:t>
      </w:r>
      <w:r w:rsidR="00B75CEC" w:rsidRPr="008B2FD3">
        <w:t>summarised in the table below.</w:t>
      </w:r>
    </w:p>
    <w:p w:rsidR="00D53E4A" w:rsidRPr="008B2FD3" w:rsidRDefault="00D53E4A" w:rsidP="00D53E4A">
      <w:pPr>
        <w:keepNext/>
        <w:rPr>
          <w:rStyle w:val="CommentReference"/>
        </w:rPr>
      </w:pPr>
      <w:r w:rsidRPr="008B2FD3">
        <w:rPr>
          <w:rStyle w:val="CommentReference"/>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1855"/>
        <w:gridCol w:w="859"/>
        <w:gridCol w:w="857"/>
        <w:gridCol w:w="1141"/>
        <w:gridCol w:w="2456"/>
        <w:gridCol w:w="921"/>
      </w:tblGrid>
      <w:tr w:rsidR="00D53E4A" w:rsidRPr="008B2FD3" w:rsidTr="00B75CEC">
        <w:tc>
          <w:tcPr>
            <w:tcW w:w="547" w:type="pct"/>
            <w:shd w:val="clear" w:color="auto" w:fill="auto"/>
            <w:vAlign w:val="center"/>
          </w:tcPr>
          <w:p w:rsidR="00D53E4A" w:rsidRPr="008B2FD3" w:rsidRDefault="00D53E4A" w:rsidP="003B0926">
            <w:pPr>
              <w:pStyle w:val="Tabletext"/>
              <w:keepNext/>
              <w:rPr>
                <w:b/>
              </w:rPr>
            </w:pPr>
            <w:r w:rsidRPr="008B2FD3">
              <w:rPr>
                <w:b/>
              </w:rPr>
              <w:t>Trial</w:t>
            </w:r>
          </w:p>
        </w:tc>
        <w:tc>
          <w:tcPr>
            <w:tcW w:w="1021" w:type="pct"/>
            <w:shd w:val="clear" w:color="auto" w:fill="auto"/>
            <w:vAlign w:val="center"/>
          </w:tcPr>
          <w:p w:rsidR="00D53E4A" w:rsidRPr="008B2FD3" w:rsidRDefault="00D53E4A" w:rsidP="003B0926">
            <w:pPr>
              <w:pStyle w:val="Tabletext"/>
              <w:keepNext/>
              <w:jc w:val="center"/>
              <w:rPr>
                <w:b/>
              </w:rPr>
            </w:pPr>
            <w:r w:rsidRPr="008B2FD3">
              <w:rPr>
                <w:b/>
              </w:rPr>
              <w:t>Number of participants</w:t>
            </w:r>
          </w:p>
        </w:tc>
        <w:tc>
          <w:tcPr>
            <w:tcW w:w="473" w:type="pct"/>
            <w:shd w:val="clear" w:color="auto" w:fill="auto"/>
            <w:vAlign w:val="center"/>
          </w:tcPr>
          <w:p w:rsidR="00D53E4A" w:rsidRPr="008B2FD3" w:rsidRDefault="00D53E4A" w:rsidP="003B0926">
            <w:pPr>
              <w:pStyle w:val="Tabletext"/>
              <w:keepNext/>
              <w:jc w:val="center"/>
              <w:rPr>
                <w:b/>
              </w:rPr>
            </w:pPr>
            <w:r w:rsidRPr="008B2FD3">
              <w:rPr>
                <w:b/>
              </w:rPr>
              <w:t>Design/ duration</w:t>
            </w:r>
          </w:p>
        </w:tc>
        <w:tc>
          <w:tcPr>
            <w:tcW w:w="472" w:type="pct"/>
            <w:shd w:val="clear" w:color="auto" w:fill="auto"/>
            <w:vAlign w:val="center"/>
          </w:tcPr>
          <w:p w:rsidR="00D53E4A" w:rsidRPr="008B2FD3" w:rsidRDefault="00D53E4A" w:rsidP="003B0926">
            <w:pPr>
              <w:pStyle w:val="Tabletext"/>
              <w:keepNext/>
              <w:jc w:val="center"/>
              <w:rPr>
                <w:b/>
              </w:rPr>
            </w:pPr>
            <w:r w:rsidRPr="008B2FD3">
              <w:rPr>
                <w:b/>
              </w:rPr>
              <w:t>Risk of bias</w:t>
            </w:r>
          </w:p>
        </w:tc>
        <w:tc>
          <w:tcPr>
            <w:tcW w:w="628" w:type="pct"/>
            <w:shd w:val="clear" w:color="auto" w:fill="auto"/>
            <w:vAlign w:val="center"/>
          </w:tcPr>
          <w:p w:rsidR="00D53E4A" w:rsidRPr="008B2FD3" w:rsidRDefault="00D53E4A" w:rsidP="003B0926">
            <w:pPr>
              <w:pStyle w:val="Tabletext"/>
              <w:keepNext/>
              <w:jc w:val="center"/>
              <w:rPr>
                <w:b/>
              </w:rPr>
            </w:pPr>
            <w:r w:rsidRPr="008B2FD3">
              <w:rPr>
                <w:b/>
              </w:rPr>
              <w:t>Patient population</w:t>
            </w:r>
          </w:p>
        </w:tc>
        <w:tc>
          <w:tcPr>
            <w:tcW w:w="1352" w:type="pct"/>
            <w:shd w:val="clear" w:color="auto" w:fill="auto"/>
            <w:vAlign w:val="center"/>
          </w:tcPr>
          <w:p w:rsidR="00D53E4A" w:rsidRPr="008B2FD3" w:rsidRDefault="00D53E4A" w:rsidP="003B0926">
            <w:pPr>
              <w:pStyle w:val="Tabletext"/>
              <w:keepNext/>
              <w:jc w:val="center"/>
              <w:rPr>
                <w:b/>
              </w:rPr>
            </w:pPr>
            <w:r w:rsidRPr="008B2FD3">
              <w:rPr>
                <w:b/>
              </w:rPr>
              <w:t>Outcome(s)</w:t>
            </w:r>
          </w:p>
        </w:tc>
        <w:tc>
          <w:tcPr>
            <w:tcW w:w="507" w:type="pct"/>
            <w:shd w:val="clear" w:color="auto" w:fill="auto"/>
            <w:vAlign w:val="center"/>
          </w:tcPr>
          <w:p w:rsidR="00D53E4A" w:rsidRPr="008B2FD3" w:rsidRDefault="00D53E4A" w:rsidP="003B0926">
            <w:pPr>
              <w:pStyle w:val="Tabletext"/>
              <w:keepNext/>
              <w:jc w:val="center"/>
              <w:rPr>
                <w:b/>
              </w:rPr>
            </w:pPr>
            <w:r w:rsidRPr="008B2FD3">
              <w:rPr>
                <w:b/>
              </w:rPr>
              <w:t>Use in modelled evaluation</w:t>
            </w:r>
          </w:p>
        </w:tc>
      </w:tr>
      <w:tr w:rsidR="00D53E4A" w:rsidRPr="008B2FD3" w:rsidTr="003B0926">
        <w:tc>
          <w:tcPr>
            <w:tcW w:w="5000" w:type="pct"/>
            <w:gridSpan w:val="7"/>
            <w:shd w:val="clear" w:color="auto" w:fill="auto"/>
            <w:vAlign w:val="center"/>
          </w:tcPr>
          <w:p w:rsidR="00D53E4A" w:rsidRPr="008B2FD3" w:rsidRDefault="00D53E4A" w:rsidP="003B0926">
            <w:pPr>
              <w:pStyle w:val="Tabletext"/>
              <w:keepNext/>
              <w:rPr>
                <w:b/>
              </w:rPr>
            </w:pPr>
            <w:r w:rsidRPr="008B2FD3">
              <w:rPr>
                <w:b/>
              </w:rPr>
              <w:t>TIV-HD versus TIV-SD</w:t>
            </w:r>
          </w:p>
        </w:tc>
      </w:tr>
      <w:tr w:rsidR="00D53E4A" w:rsidRPr="008B2FD3" w:rsidTr="00B75CEC">
        <w:tc>
          <w:tcPr>
            <w:tcW w:w="547" w:type="pct"/>
            <w:shd w:val="clear" w:color="auto" w:fill="auto"/>
            <w:vAlign w:val="center"/>
          </w:tcPr>
          <w:p w:rsidR="00D53E4A" w:rsidRPr="008B2FD3" w:rsidRDefault="00D53E4A" w:rsidP="003B0926">
            <w:pPr>
              <w:pStyle w:val="Tabletext"/>
              <w:keepNext/>
            </w:pPr>
            <w:r w:rsidRPr="008B2FD3">
              <w:t>FIM12</w:t>
            </w:r>
          </w:p>
        </w:tc>
        <w:tc>
          <w:tcPr>
            <w:tcW w:w="1021" w:type="pct"/>
            <w:shd w:val="clear" w:color="auto" w:fill="auto"/>
            <w:vAlign w:val="center"/>
          </w:tcPr>
          <w:p w:rsidR="00D53E4A" w:rsidRPr="008B2FD3" w:rsidRDefault="00D53E4A" w:rsidP="003B0926">
            <w:pPr>
              <w:pStyle w:val="Tabletext"/>
              <w:keepNext/>
            </w:pPr>
            <w:r w:rsidRPr="008B2FD3">
              <w:t>TIV-HD (year 1): 7,254</w:t>
            </w:r>
          </w:p>
          <w:p w:rsidR="00D53E4A" w:rsidRPr="008B2FD3" w:rsidRDefault="00D53E4A" w:rsidP="003B0926">
            <w:pPr>
              <w:pStyle w:val="Tabletext"/>
              <w:keepNext/>
            </w:pPr>
            <w:r w:rsidRPr="008B2FD3">
              <w:t>TIV-SD (year 1): 7,243</w:t>
            </w:r>
          </w:p>
          <w:p w:rsidR="00D53E4A" w:rsidRPr="008B2FD3" w:rsidRDefault="00D53E4A" w:rsidP="003B0926">
            <w:pPr>
              <w:pStyle w:val="Tabletext"/>
              <w:keepNext/>
            </w:pPr>
            <w:r w:rsidRPr="008B2FD3">
              <w:t>TIV-HD (year 2): 8,738</w:t>
            </w:r>
          </w:p>
          <w:p w:rsidR="00D53E4A" w:rsidRPr="008B2FD3" w:rsidRDefault="00D53E4A" w:rsidP="003B0926">
            <w:pPr>
              <w:pStyle w:val="Tabletext"/>
              <w:keepNext/>
            </w:pPr>
            <w:r w:rsidRPr="008B2FD3">
              <w:t>TIV-SD (year 2): 8,748</w:t>
            </w:r>
          </w:p>
        </w:tc>
        <w:tc>
          <w:tcPr>
            <w:tcW w:w="473" w:type="pct"/>
            <w:shd w:val="clear" w:color="auto" w:fill="auto"/>
            <w:vAlign w:val="center"/>
          </w:tcPr>
          <w:p w:rsidR="00D53E4A" w:rsidRPr="008B2FD3" w:rsidRDefault="00357F91" w:rsidP="00357F91">
            <w:pPr>
              <w:pStyle w:val="Tabletext"/>
              <w:keepNext/>
            </w:pPr>
            <w:r>
              <w:t>2</w:t>
            </w:r>
            <w:r w:rsidR="00D53E4A" w:rsidRPr="008B2FD3">
              <w:t xml:space="preserve"> years</w:t>
            </w:r>
          </w:p>
        </w:tc>
        <w:tc>
          <w:tcPr>
            <w:tcW w:w="472" w:type="pct"/>
            <w:shd w:val="clear" w:color="auto" w:fill="auto"/>
            <w:vAlign w:val="center"/>
          </w:tcPr>
          <w:p w:rsidR="00D53E4A" w:rsidRPr="008B2FD3" w:rsidRDefault="00D53E4A" w:rsidP="003B0926">
            <w:pPr>
              <w:pStyle w:val="Tabletext"/>
              <w:keepNext/>
            </w:pPr>
            <w:r w:rsidRPr="008B2FD3">
              <w:t>Low</w:t>
            </w:r>
          </w:p>
        </w:tc>
        <w:tc>
          <w:tcPr>
            <w:tcW w:w="628" w:type="pct"/>
            <w:shd w:val="clear" w:color="auto" w:fill="auto"/>
            <w:vAlign w:val="center"/>
          </w:tcPr>
          <w:p w:rsidR="00D53E4A" w:rsidRPr="008B2FD3" w:rsidRDefault="00D53E4A" w:rsidP="003B0926">
            <w:pPr>
              <w:pStyle w:val="Tabletext"/>
              <w:keepNext/>
            </w:pPr>
            <w:r w:rsidRPr="008B2FD3">
              <w:t>Healthy adults aged ≥65 years</w:t>
            </w:r>
          </w:p>
        </w:tc>
        <w:tc>
          <w:tcPr>
            <w:tcW w:w="1352" w:type="pct"/>
            <w:shd w:val="clear" w:color="auto" w:fill="auto"/>
            <w:vAlign w:val="center"/>
          </w:tcPr>
          <w:p w:rsidR="00D53E4A" w:rsidRPr="008B2FD3" w:rsidRDefault="00D53E4A" w:rsidP="003B0926">
            <w:pPr>
              <w:pStyle w:val="Tabletext"/>
              <w:keepNext/>
            </w:pPr>
            <w:r w:rsidRPr="008B2FD3">
              <w:t>Occurrences of culture- or PCR confirmed influenza;</w:t>
            </w:r>
          </w:p>
          <w:p w:rsidR="00D53E4A" w:rsidRPr="008B2FD3" w:rsidRDefault="00D53E4A" w:rsidP="00CE68C8">
            <w:pPr>
              <w:pStyle w:val="Tabletext"/>
              <w:keepNext/>
            </w:pPr>
            <w:r w:rsidRPr="008B2FD3">
              <w:t xml:space="preserve">Rates of all-cause hospitalisations and selected cardiorespiratory events reported by </w:t>
            </w:r>
            <w:proofErr w:type="spellStart"/>
            <w:r w:rsidRPr="008B2FD3">
              <w:t>DiazGranados</w:t>
            </w:r>
            <w:proofErr w:type="spellEnd"/>
          </w:p>
        </w:tc>
        <w:tc>
          <w:tcPr>
            <w:tcW w:w="507" w:type="pct"/>
            <w:shd w:val="clear" w:color="auto" w:fill="auto"/>
            <w:vAlign w:val="center"/>
          </w:tcPr>
          <w:p w:rsidR="00D53E4A" w:rsidRPr="008B2FD3" w:rsidRDefault="00D53E4A" w:rsidP="003B0926">
            <w:pPr>
              <w:pStyle w:val="Tabletext"/>
              <w:keepNext/>
            </w:pPr>
            <w:r w:rsidRPr="008B2FD3">
              <w:t>Used</w:t>
            </w:r>
          </w:p>
        </w:tc>
      </w:tr>
      <w:tr w:rsidR="00D53E4A" w:rsidRPr="008B2FD3" w:rsidTr="00B75CEC">
        <w:tc>
          <w:tcPr>
            <w:tcW w:w="547" w:type="pct"/>
            <w:shd w:val="clear" w:color="auto" w:fill="auto"/>
            <w:vAlign w:val="center"/>
          </w:tcPr>
          <w:p w:rsidR="00D53E4A" w:rsidRPr="008B2FD3" w:rsidRDefault="00D53E4A" w:rsidP="003B0926">
            <w:pPr>
              <w:pStyle w:val="Tabletext"/>
              <w:keepNext/>
            </w:pPr>
            <w:proofErr w:type="spellStart"/>
            <w:r w:rsidRPr="008B2FD3">
              <w:t>Gravenstein</w:t>
            </w:r>
            <w:proofErr w:type="spellEnd"/>
          </w:p>
        </w:tc>
        <w:tc>
          <w:tcPr>
            <w:tcW w:w="1021" w:type="pct"/>
            <w:shd w:val="clear" w:color="auto" w:fill="auto"/>
            <w:vAlign w:val="center"/>
          </w:tcPr>
          <w:p w:rsidR="00D53E4A" w:rsidRPr="008B2FD3" w:rsidRDefault="00D53E4A" w:rsidP="003B0926">
            <w:pPr>
              <w:pStyle w:val="Tabletext"/>
              <w:keepNext/>
            </w:pPr>
            <w:r w:rsidRPr="008B2FD3">
              <w:t>TIV-HD: 26,639</w:t>
            </w:r>
          </w:p>
          <w:p w:rsidR="00D53E4A" w:rsidRPr="008B2FD3" w:rsidRDefault="00D53E4A" w:rsidP="003B0926">
            <w:pPr>
              <w:pStyle w:val="Tabletext"/>
              <w:keepNext/>
            </w:pPr>
            <w:r w:rsidRPr="008B2FD3">
              <w:t>TIV-SD: 26,369</w:t>
            </w:r>
          </w:p>
        </w:tc>
        <w:tc>
          <w:tcPr>
            <w:tcW w:w="473" w:type="pct"/>
            <w:shd w:val="clear" w:color="auto" w:fill="auto"/>
            <w:vAlign w:val="center"/>
          </w:tcPr>
          <w:p w:rsidR="00D53E4A" w:rsidRPr="008B2FD3" w:rsidRDefault="00D53E4A" w:rsidP="003B0926">
            <w:pPr>
              <w:pStyle w:val="Tabletext"/>
              <w:keepNext/>
            </w:pPr>
            <w:r w:rsidRPr="008B2FD3">
              <w:t>1 year</w:t>
            </w:r>
          </w:p>
        </w:tc>
        <w:tc>
          <w:tcPr>
            <w:tcW w:w="472" w:type="pct"/>
            <w:shd w:val="clear" w:color="auto" w:fill="auto"/>
            <w:vAlign w:val="center"/>
          </w:tcPr>
          <w:p w:rsidR="00D53E4A" w:rsidRPr="008B2FD3" w:rsidRDefault="00D53E4A" w:rsidP="003B0926">
            <w:pPr>
              <w:pStyle w:val="Tabletext"/>
              <w:keepNext/>
            </w:pPr>
            <w:r w:rsidRPr="008B2FD3">
              <w:t>Moderate</w:t>
            </w:r>
          </w:p>
        </w:tc>
        <w:tc>
          <w:tcPr>
            <w:tcW w:w="628" w:type="pct"/>
            <w:shd w:val="clear" w:color="auto" w:fill="auto"/>
            <w:vAlign w:val="center"/>
          </w:tcPr>
          <w:p w:rsidR="00D53E4A" w:rsidRPr="008B2FD3" w:rsidRDefault="00D53E4A" w:rsidP="003B0926">
            <w:pPr>
              <w:pStyle w:val="Tabletext"/>
              <w:keepNext/>
            </w:pPr>
            <w:r w:rsidRPr="008B2FD3">
              <w:t>Nursing home residents</w:t>
            </w:r>
          </w:p>
        </w:tc>
        <w:tc>
          <w:tcPr>
            <w:tcW w:w="1352" w:type="pct"/>
            <w:shd w:val="clear" w:color="auto" w:fill="auto"/>
            <w:vAlign w:val="center"/>
          </w:tcPr>
          <w:p w:rsidR="00D53E4A" w:rsidRPr="008B2FD3" w:rsidRDefault="00D53E4A" w:rsidP="003B0926">
            <w:pPr>
              <w:pStyle w:val="Tabletext"/>
              <w:keepNext/>
            </w:pPr>
            <w:r w:rsidRPr="008B2FD3">
              <w:t>Hospital admissions related to pulmonary and influenza-like illness</w:t>
            </w:r>
          </w:p>
        </w:tc>
        <w:tc>
          <w:tcPr>
            <w:tcW w:w="507" w:type="pct"/>
            <w:shd w:val="clear" w:color="auto" w:fill="auto"/>
            <w:vAlign w:val="center"/>
          </w:tcPr>
          <w:p w:rsidR="00D53E4A" w:rsidRPr="008B2FD3" w:rsidRDefault="00D53E4A" w:rsidP="003B0926">
            <w:pPr>
              <w:pStyle w:val="Tabletext"/>
              <w:keepNext/>
            </w:pPr>
            <w:r w:rsidRPr="008B2FD3">
              <w:t>Not used</w:t>
            </w:r>
          </w:p>
        </w:tc>
      </w:tr>
    </w:tbl>
    <w:p w:rsidR="00D53E4A" w:rsidRPr="008B2FD3" w:rsidRDefault="00D53E4A" w:rsidP="00D53E4A">
      <w:pPr>
        <w:pStyle w:val="TableFooter"/>
      </w:pPr>
      <w:r w:rsidRPr="008B2FD3">
        <w:rPr>
          <w:szCs w:val="18"/>
        </w:rPr>
        <w:t>TIV-HD: High dose trivalent influenza vaccine; TIV-SD: Standard dose trivalent influenza vaccine</w:t>
      </w:r>
      <w:r w:rsidRPr="008B2FD3">
        <w:t xml:space="preserve"> </w:t>
      </w:r>
    </w:p>
    <w:p w:rsidR="00D53E4A" w:rsidRPr="008B2FD3" w:rsidRDefault="00D53E4A" w:rsidP="008E01E7">
      <w:pPr>
        <w:pStyle w:val="TableFooter"/>
        <w:spacing w:after="160"/>
        <w:rPr>
          <w:sz w:val="20"/>
        </w:rPr>
      </w:pPr>
      <w:r w:rsidRPr="008B2FD3">
        <w:t>Source: Table 2.4.2, p41 of the submission; Table 2.4.4, p42 of the submission; Table 2.4.5, p43 of the submission.</w:t>
      </w:r>
    </w:p>
    <w:p w:rsidR="000F5871" w:rsidRDefault="00D53E4A" w:rsidP="00161E40">
      <w:pPr>
        <w:pStyle w:val="ListParagraph"/>
        <w:widowControl/>
        <w:numPr>
          <w:ilvl w:val="1"/>
          <w:numId w:val="1"/>
        </w:numPr>
      </w:pPr>
      <w:proofErr w:type="spellStart"/>
      <w:r w:rsidRPr="008B2FD3">
        <w:t>Gravenstein</w:t>
      </w:r>
      <w:proofErr w:type="spellEnd"/>
      <w:r w:rsidRPr="008B2FD3">
        <w:t xml:space="preserve"> was a single-blinded RCT – the researchers were blinded to the allocation of the nursing homes during the analysis, however the nursing home residents receiving the vaccine and the facility staff were not blinded. It was not reported whether the outcome assessors were blinded. Consequently, the risk of bias is moderate.</w:t>
      </w:r>
    </w:p>
    <w:p w:rsidR="00336862" w:rsidRPr="00645F5B" w:rsidRDefault="00336862" w:rsidP="00161E40">
      <w:pPr>
        <w:pStyle w:val="ListParagraph"/>
        <w:numPr>
          <w:ilvl w:val="1"/>
          <w:numId w:val="1"/>
        </w:numPr>
        <w:rPr>
          <w:szCs w:val="24"/>
        </w:rPr>
      </w:pPr>
      <w:r w:rsidRPr="00645F5B">
        <w:rPr>
          <w:szCs w:val="24"/>
        </w:rPr>
        <w:t xml:space="preserve">Studies for estimating the vaccine efficacy were conducted in North America. Translating the results to Australia remains uncertain given year to year variability in </w:t>
      </w:r>
      <w:r w:rsidRPr="00645F5B">
        <w:rPr>
          <w:szCs w:val="24"/>
        </w:rPr>
        <w:lastRenderedPageBreak/>
        <w:t xml:space="preserve">influenza strains and severity of the season. The PSCR stated it was reasonable to consider the conclusions as an appropriate proxy for unpredictable future Australian influenza seasons. The ESC considered in the context of variable </w:t>
      </w:r>
      <w:r w:rsidR="0082257D">
        <w:rPr>
          <w:szCs w:val="24"/>
        </w:rPr>
        <w:t>in</w:t>
      </w:r>
      <w:r w:rsidRPr="00645F5B">
        <w:rPr>
          <w:szCs w:val="24"/>
        </w:rPr>
        <w:t>flu</w:t>
      </w:r>
      <w:r w:rsidR="0082257D">
        <w:rPr>
          <w:szCs w:val="24"/>
        </w:rPr>
        <w:t xml:space="preserve">enza </w:t>
      </w:r>
      <w:r w:rsidRPr="00645F5B">
        <w:rPr>
          <w:szCs w:val="24"/>
        </w:rPr>
        <w:t>seasons, the applicability to the Australian population was less relevant than the internal validity of the studies</w:t>
      </w:r>
      <w:r w:rsidR="0008109C">
        <w:rPr>
          <w:szCs w:val="24"/>
        </w:rPr>
        <w:t xml:space="preserve">. </w:t>
      </w:r>
      <w:r w:rsidR="00573BA5">
        <w:rPr>
          <w:szCs w:val="24"/>
        </w:rPr>
        <w:t xml:space="preserve">On balance, the PBAC </w:t>
      </w:r>
      <w:r w:rsidR="0008109C">
        <w:rPr>
          <w:szCs w:val="24"/>
        </w:rPr>
        <w:t>remained concerned that the</w:t>
      </w:r>
      <w:r w:rsidR="00573BA5">
        <w:rPr>
          <w:szCs w:val="24"/>
        </w:rPr>
        <w:t xml:space="preserve"> year to year variation in predominant strain and severity</w:t>
      </w:r>
      <w:r w:rsidR="0008109C">
        <w:rPr>
          <w:szCs w:val="24"/>
        </w:rPr>
        <w:t xml:space="preserve"> made the impact of the </w:t>
      </w:r>
      <w:r w:rsidR="0008109C" w:rsidRPr="001F5E90">
        <w:rPr>
          <w:rFonts w:asciiTheme="minorHAnsi" w:hAnsiTheme="minorHAnsi"/>
          <w:bCs/>
          <w:szCs w:val="24"/>
          <w:lang w:val="en-GB"/>
        </w:rPr>
        <w:t>loss of protection against the alternative B lineage</w:t>
      </w:r>
      <w:r w:rsidR="0008109C">
        <w:rPr>
          <w:rFonts w:asciiTheme="minorHAnsi" w:hAnsiTheme="minorHAnsi"/>
          <w:bCs/>
          <w:szCs w:val="24"/>
          <w:lang w:val="en-GB"/>
        </w:rPr>
        <w:t xml:space="preserve"> uncertain</w:t>
      </w:r>
      <w:r w:rsidR="00573BA5">
        <w:rPr>
          <w:szCs w:val="24"/>
        </w:rPr>
        <w:t>.</w:t>
      </w:r>
    </w:p>
    <w:p w:rsidR="00D53E4A" w:rsidRPr="00432850" w:rsidRDefault="00D53E4A" w:rsidP="008E01E7">
      <w:pPr>
        <w:pStyle w:val="Heading2"/>
        <w:spacing w:after="160"/>
      </w:pPr>
      <w:bookmarkStart w:id="21" w:name="_Toc371170706"/>
      <w:bookmarkStart w:id="22" w:name="_Toc514248220"/>
      <w:r w:rsidRPr="00432850">
        <w:t>Comparative effectiveness</w:t>
      </w:r>
      <w:bookmarkEnd w:id="21"/>
      <w:bookmarkEnd w:id="22"/>
    </w:p>
    <w:p w:rsidR="00D53E4A" w:rsidRDefault="00A7202F" w:rsidP="00161E40">
      <w:pPr>
        <w:pStyle w:val="ListParagraph"/>
        <w:widowControl/>
        <w:numPr>
          <w:ilvl w:val="1"/>
          <w:numId w:val="1"/>
        </w:numPr>
        <w:rPr>
          <w:rFonts w:cs="Calibri"/>
          <w:snapToGrid/>
          <w:szCs w:val="24"/>
          <w:lang w:eastAsia="en-AU"/>
        </w:rPr>
      </w:pPr>
      <w:r w:rsidRPr="008B2FD3">
        <w:rPr>
          <w:rFonts w:cs="Calibri"/>
          <w:snapToGrid/>
          <w:szCs w:val="24"/>
          <w:lang w:eastAsia="en-AU"/>
        </w:rPr>
        <w:t>Table 4</w:t>
      </w:r>
      <w:r w:rsidR="00D53E4A" w:rsidRPr="008B2FD3">
        <w:rPr>
          <w:rFonts w:cs="Calibri"/>
          <w:snapToGrid/>
          <w:szCs w:val="24"/>
          <w:lang w:eastAsia="en-AU"/>
        </w:rPr>
        <w:t xml:space="preserve"> summarises key outcomes from the FIM12 trial.</w:t>
      </w:r>
    </w:p>
    <w:p w:rsidR="00D53E4A" w:rsidRPr="008B2FD3" w:rsidRDefault="00A7202F" w:rsidP="00D53E4A">
      <w:pPr>
        <w:pStyle w:val="Caption"/>
        <w:spacing w:after="0"/>
        <w:rPr>
          <w:rStyle w:val="CommentReference"/>
          <w:b/>
          <w:bCs w:val="0"/>
          <w:color w:val="auto"/>
        </w:rPr>
      </w:pPr>
      <w:r w:rsidRPr="008B2FD3">
        <w:rPr>
          <w:rStyle w:val="CommentReference"/>
          <w:b/>
          <w:bCs w:val="0"/>
          <w:color w:val="auto"/>
        </w:rPr>
        <w:t>Table 4</w:t>
      </w:r>
      <w:r w:rsidR="00D53E4A" w:rsidRPr="008B2FD3">
        <w:rPr>
          <w:rStyle w:val="CommentReference"/>
          <w:b/>
          <w:bCs w:val="0"/>
          <w:color w:val="auto"/>
        </w:rPr>
        <w:t>: Efficacy of TIV-HD relative to TIV-SD against serious events possibly related to influenza (intent-to-treat analysis, Year 1 and Year 2 combined) in the FIM12 trial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1909"/>
        <w:gridCol w:w="1910"/>
        <w:gridCol w:w="2071"/>
      </w:tblGrid>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Serious event category</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TIV-HD (N = 15,990),</w:t>
            </w:r>
          </w:p>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n (rate)</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TIV-SD (N = 15,993),</w:t>
            </w:r>
          </w:p>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n (rate)</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 xml:space="preserve">Combined, </w:t>
            </w:r>
            <w:proofErr w:type="spellStart"/>
            <w:r w:rsidRPr="008B2FD3">
              <w:rPr>
                <w:rFonts w:ascii="Arial Narrow" w:hAnsi="Arial Narrow"/>
                <w:b/>
                <w:sz w:val="20"/>
                <w:szCs w:val="20"/>
              </w:rPr>
              <w:t>rVE</w:t>
            </w:r>
            <w:proofErr w:type="spellEnd"/>
            <w:r w:rsidRPr="008B2FD3">
              <w:rPr>
                <w:rFonts w:ascii="Arial Narrow" w:hAnsi="Arial Narrow"/>
                <w:b/>
                <w:sz w:val="20"/>
                <w:szCs w:val="20"/>
              </w:rPr>
              <w:t xml:space="preserve"> (95%CI)</w:t>
            </w:r>
          </w:p>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N=31,983</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Associated with PD-ILI</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228 (1.43)</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301 (1.88)</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24.24 (9.71; 36.50)</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 xml:space="preserve">Influenza A </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190 (1.19)</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250 (1.56)</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23.99 (7.84; 37.39)</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 xml:space="preserve">A/H1N1 </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8 (0.05)</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9 (0.06)</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11.09 (-159.6; 70.15)</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 xml:space="preserve">A/H3N2 </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171 (1.07)</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223 (1.39)</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rPr>
              <w:t>23.30 (5.97; 37.53)</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 xml:space="preserve">Influenza B </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38 (0.24)</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51 (0.32)</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25.48 (-15.68; 52.36)</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 xml:space="preserve">Victoria lineage </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9 (0.06)</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11 (0.07)</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18.17 (-117.2; 70.03)</w:t>
            </w:r>
          </w:p>
        </w:tc>
      </w:tr>
      <w:tr w:rsidR="00D53E4A" w:rsidRPr="008B2FD3" w:rsidTr="00357F91">
        <w:trPr>
          <w:trHeight w:val="161"/>
        </w:trPr>
        <w:tc>
          <w:tcPr>
            <w:tcW w:w="3182"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Yamagata lineage</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24 (0.15)</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36 (0.23)</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rPr>
              <w:t>33.32 (-14.89; 61.94)</w:t>
            </w:r>
          </w:p>
        </w:tc>
      </w:tr>
      <w:tr w:rsidR="00D53E4A" w:rsidRPr="008B2FD3" w:rsidTr="00357F91">
        <w:trPr>
          <w:trHeight w:val="58"/>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All-cause hospitalisation</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1530 (95.68)</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1643 (102.73)</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6.9% (0.5 to 12.8)</w:t>
            </w:r>
          </w:p>
        </w:tc>
      </w:tr>
      <w:tr w:rsidR="00D53E4A" w:rsidRPr="008B2FD3" w:rsidTr="00357F91">
        <w:trPr>
          <w:trHeight w:val="58"/>
        </w:trPr>
        <w:tc>
          <w:tcPr>
            <w:tcW w:w="3182"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Serious cardiorespiratory events</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428 (26.77)</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520 (32.51)</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17.7% (6.6 to 27.4)</w:t>
            </w:r>
          </w:p>
        </w:tc>
      </w:tr>
      <w:tr w:rsidR="00D53E4A" w:rsidRPr="008B2FD3" w:rsidTr="00357F91">
        <w:trPr>
          <w:trHeight w:val="231"/>
        </w:trPr>
        <w:tc>
          <w:tcPr>
            <w:tcW w:w="3182" w:type="dxa"/>
          </w:tcPr>
          <w:p w:rsidR="00D53E4A" w:rsidRPr="008B2FD3" w:rsidRDefault="00D53E4A" w:rsidP="003B0926">
            <w:pPr>
              <w:pStyle w:val="TableText0"/>
              <w:spacing w:before="0" w:after="0"/>
              <w:ind w:left="284"/>
              <w:rPr>
                <w:rFonts w:ascii="Arial Narrow" w:hAnsi="Arial Narrow"/>
                <w:b/>
                <w:sz w:val="20"/>
                <w:szCs w:val="20"/>
              </w:rPr>
            </w:pPr>
            <w:r w:rsidRPr="008B2FD3">
              <w:rPr>
                <w:rFonts w:ascii="Arial Narrow" w:hAnsi="Arial Narrow"/>
                <w:b/>
                <w:sz w:val="20"/>
                <w:szCs w:val="20"/>
              </w:rPr>
              <w:t>Pneumonia events</w:t>
            </w:r>
          </w:p>
        </w:tc>
        <w:tc>
          <w:tcPr>
            <w:tcW w:w="1909"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71 (4.44)</w:t>
            </w:r>
          </w:p>
        </w:tc>
        <w:tc>
          <w:tcPr>
            <w:tcW w:w="1910"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118 (7.38)</w:t>
            </w:r>
          </w:p>
        </w:tc>
        <w:tc>
          <w:tcPr>
            <w:tcW w:w="2071" w:type="dxa"/>
          </w:tcPr>
          <w:p w:rsidR="00D53E4A" w:rsidRPr="008B2FD3" w:rsidRDefault="00D53E4A" w:rsidP="003B0926">
            <w:pPr>
              <w:pStyle w:val="TableText0"/>
              <w:spacing w:before="0" w:after="0"/>
              <w:rPr>
                <w:rFonts w:ascii="Arial Narrow" w:hAnsi="Arial Narrow"/>
                <w:b/>
                <w:sz w:val="20"/>
                <w:szCs w:val="20"/>
              </w:rPr>
            </w:pPr>
            <w:r w:rsidRPr="008B2FD3">
              <w:rPr>
                <w:rFonts w:ascii="Arial Narrow" w:hAnsi="Arial Narrow"/>
                <w:b/>
                <w:sz w:val="20"/>
                <w:szCs w:val="20"/>
              </w:rPr>
              <w:t>39.8% (19.3 to 55.1)</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Asthma/COPD/bronchial events</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74 (4.63)</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75 (4.69)</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1.3% (-36.0 to 28.4)</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Influenza events</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4 (0.25)</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6 (0.38)</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33.3% (-136.2 to 81.2)</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Coronary artery events</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121 (7.57)</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124 (7.75)</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2.4% (-25.3 to 24.0)</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Congestive heart failure</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57 (3.56)</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75 (4.69)</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24.0% (-7.2 to 46.1)</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Cerebrovascular events</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72 (4.50)</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77 (4.81)</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6.5% (-28.9 to 32.1)</w:t>
            </w:r>
          </w:p>
        </w:tc>
      </w:tr>
      <w:tr w:rsidR="00D53E4A" w:rsidRPr="008B2FD3" w:rsidTr="00357F91">
        <w:trPr>
          <w:trHeight w:val="58"/>
        </w:trPr>
        <w:tc>
          <w:tcPr>
            <w:tcW w:w="3182" w:type="dxa"/>
          </w:tcPr>
          <w:p w:rsidR="00D53E4A" w:rsidRPr="008B2FD3" w:rsidRDefault="00D53E4A" w:rsidP="003B0926">
            <w:pPr>
              <w:pStyle w:val="TableText0"/>
              <w:spacing w:before="0" w:after="0"/>
              <w:ind w:left="284"/>
              <w:rPr>
                <w:rFonts w:ascii="Arial Narrow" w:hAnsi="Arial Narrow"/>
                <w:sz w:val="20"/>
                <w:szCs w:val="20"/>
              </w:rPr>
            </w:pPr>
            <w:r w:rsidRPr="008B2FD3">
              <w:rPr>
                <w:rFonts w:ascii="Arial Narrow" w:hAnsi="Arial Narrow"/>
                <w:sz w:val="20"/>
                <w:szCs w:val="20"/>
              </w:rPr>
              <w:t>Other respiratory events</w:t>
            </w:r>
          </w:p>
        </w:tc>
        <w:tc>
          <w:tcPr>
            <w:tcW w:w="1909"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31 (1.94)</w:t>
            </w:r>
          </w:p>
        </w:tc>
        <w:tc>
          <w:tcPr>
            <w:tcW w:w="1910"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47 (2.94)</w:t>
            </w:r>
          </w:p>
        </w:tc>
        <w:tc>
          <w:tcPr>
            <w:tcW w:w="2071" w:type="dxa"/>
          </w:tcPr>
          <w:p w:rsidR="00D53E4A" w:rsidRPr="008B2FD3" w:rsidRDefault="00D53E4A" w:rsidP="003B0926">
            <w:pPr>
              <w:pStyle w:val="TableText0"/>
              <w:spacing w:before="0" w:after="0"/>
              <w:rPr>
                <w:rFonts w:ascii="Arial Narrow" w:hAnsi="Arial Narrow"/>
                <w:sz w:val="20"/>
                <w:szCs w:val="20"/>
              </w:rPr>
            </w:pPr>
            <w:r w:rsidRPr="008B2FD3">
              <w:rPr>
                <w:rFonts w:ascii="Arial Narrow" w:hAnsi="Arial Narrow"/>
                <w:sz w:val="20"/>
                <w:szCs w:val="20"/>
              </w:rPr>
              <w:t>34.0% (-3.8 to 58.1)</w:t>
            </w:r>
          </w:p>
        </w:tc>
      </w:tr>
    </w:tbl>
    <w:p w:rsidR="00D53E4A" w:rsidRPr="008B2FD3" w:rsidRDefault="00D53E4A" w:rsidP="00D53E4A">
      <w:pPr>
        <w:pStyle w:val="TableFigNote"/>
        <w:rPr>
          <w:rFonts w:ascii="Arial Narrow" w:hAnsi="Arial Narrow"/>
          <w:sz w:val="18"/>
        </w:rPr>
      </w:pPr>
      <w:r w:rsidRPr="008B2FD3">
        <w:rPr>
          <w:rFonts w:ascii="Arial Narrow" w:hAnsi="Arial Narrow"/>
          <w:sz w:val="18"/>
        </w:rPr>
        <w:t>Notes: rate = events per 1000 participant-seasons</w:t>
      </w:r>
      <w:r w:rsidR="006C3C0D" w:rsidRPr="008B2FD3">
        <w:rPr>
          <w:rFonts w:ascii="Arial Narrow" w:hAnsi="Arial Narrow"/>
          <w:sz w:val="18"/>
        </w:rPr>
        <w:t>;</w:t>
      </w:r>
    </w:p>
    <w:p w:rsidR="00B574BF" w:rsidRPr="008B2FD3" w:rsidRDefault="00A44C9F" w:rsidP="00D53E4A">
      <w:pPr>
        <w:pStyle w:val="TableFigNote"/>
        <w:rPr>
          <w:rFonts w:ascii="Arial Narrow" w:hAnsi="Arial Narrow"/>
          <w:sz w:val="18"/>
        </w:rPr>
      </w:pPr>
      <w:r w:rsidRPr="008B2FD3">
        <w:rPr>
          <w:rFonts w:ascii="Arial Narrow" w:hAnsi="Arial Narrow"/>
          <w:sz w:val="18"/>
        </w:rPr>
        <w:t>E</w:t>
      </w:r>
      <w:r w:rsidR="00B574BF" w:rsidRPr="008B2FD3">
        <w:rPr>
          <w:rFonts w:ascii="Arial Narrow" w:hAnsi="Arial Narrow"/>
          <w:sz w:val="18"/>
        </w:rPr>
        <w:t>vent</w:t>
      </w:r>
      <w:r w:rsidRPr="008B2FD3">
        <w:rPr>
          <w:rFonts w:ascii="Arial Narrow" w:hAnsi="Arial Narrow"/>
          <w:sz w:val="18"/>
        </w:rPr>
        <w:t>s</w:t>
      </w:r>
      <w:r w:rsidR="00B574BF" w:rsidRPr="008B2FD3">
        <w:rPr>
          <w:rFonts w:ascii="Arial Narrow" w:hAnsi="Arial Narrow"/>
          <w:sz w:val="18"/>
        </w:rPr>
        <w:t xml:space="preserve"> in </w:t>
      </w:r>
      <w:r w:rsidR="00B574BF" w:rsidRPr="008B2FD3">
        <w:rPr>
          <w:rFonts w:ascii="Arial Narrow" w:hAnsi="Arial Narrow"/>
          <w:b/>
          <w:sz w:val="18"/>
        </w:rPr>
        <w:t>bold</w:t>
      </w:r>
      <w:r w:rsidR="00B574BF" w:rsidRPr="008B2FD3">
        <w:rPr>
          <w:rFonts w:ascii="Arial Narrow" w:hAnsi="Arial Narrow"/>
          <w:sz w:val="18"/>
        </w:rPr>
        <w:t xml:space="preserve"> denotes </w:t>
      </w:r>
      <w:r w:rsidR="006C3C0D" w:rsidRPr="008B2FD3">
        <w:rPr>
          <w:rFonts w:ascii="Arial Narrow" w:hAnsi="Arial Narrow"/>
          <w:sz w:val="18"/>
        </w:rPr>
        <w:t>that the vaccine efficacy in that category was statistically significant.</w:t>
      </w:r>
    </w:p>
    <w:p w:rsidR="00D53E4A" w:rsidRPr="008B2FD3" w:rsidRDefault="00D53E4A" w:rsidP="00D53E4A">
      <w:pPr>
        <w:rPr>
          <w:rFonts w:ascii="Arial Narrow" w:eastAsiaTheme="minorHAnsi" w:hAnsi="Arial Narrow" w:cstheme="minorBidi"/>
          <w:snapToGrid/>
          <w:sz w:val="18"/>
        </w:rPr>
      </w:pPr>
      <w:r w:rsidRPr="008B2FD3">
        <w:rPr>
          <w:rFonts w:ascii="Arial Narrow" w:eastAsiaTheme="minorHAnsi" w:hAnsi="Arial Narrow" w:cstheme="minorBidi"/>
          <w:snapToGrid/>
          <w:sz w:val="18"/>
        </w:rPr>
        <w:t xml:space="preserve">PD-ILI: Protocol-defined influenza like illness; CI: confidence interval; COPD: chronic obstructive pulmonary disease; TIV-HD: high-dose inactivated influenza vaccine; TIV-SD: standard-dose inactivated influenza vaccine; </w:t>
      </w:r>
      <w:proofErr w:type="spellStart"/>
      <w:r w:rsidRPr="008B2FD3">
        <w:rPr>
          <w:rFonts w:ascii="Arial Narrow" w:eastAsiaTheme="minorHAnsi" w:hAnsi="Arial Narrow" w:cstheme="minorBidi"/>
          <w:snapToGrid/>
          <w:sz w:val="18"/>
        </w:rPr>
        <w:t>rVE</w:t>
      </w:r>
      <w:proofErr w:type="spellEnd"/>
      <w:r w:rsidRPr="008B2FD3">
        <w:rPr>
          <w:rFonts w:ascii="Arial Narrow" w:eastAsiaTheme="minorHAnsi" w:hAnsi="Arial Narrow" w:cstheme="minorBidi"/>
          <w:snapToGrid/>
          <w:sz w:val="18"/>
        </w:rPr>
        <w:t>: relative vaccine efficacy.</w:t>
      </w:r>
    </w:p>
    <w:p w:rsidR="00D53E4A" w:rsidRPr="008B2FD3" w:rsidRDefault="00D53E4A" w:rsidP="00D53E4A">
      <w:pPr>
        <w:pStyle w:val="TableFigNoteLast"/>
        <w:rPr>
          <w:rFonts w:ascii="Arial Narrow" w:hAnsi="Arial Narrow"/>
          <w:sz w:val="18"/>
        </w:rPr>
      </w:pPr>
      <w:r w:rsidRPr="008B2FD3">
        <w:rPr>
          <w:rFonts w:ascii="Arial Narrow" w:hAnsi="Arial Narrow"/>
          <w:sz w:val="18"/>
        </w:rPr>
        <w:t>Source: Table 2.5.1, p43-44 of the submission; Table 2.5.3, p45 of the submission.</w:t>
      </w:r>
    </w:p>
    <w:p w:rsidR="00D53E4A" w:rsidRPr="008B2FD3" w:rsidRDefault="00D53E4A" w:rsidP="00161E40">
      <w:pPr>
        <w:pStyle w:val="ListParagraph"/>
        <w:widowControl/>
        <w:numPr>
          <w:ilvl w:val="1"/>
          <w:numId w:val="1"/>
        </w:numPr>
        <w:rPr>
          <w:rFonts w:cs="Calibri"/>
          <w:snapToGrid/>
          <w:szCs w:val="24"/>
          <w:lang w:eastAsia="en-AU"/>
        </w:rPr>
      </w:pPr>
      <w:r w:rsidRPr="008B2FD3">
        <w:t>The vaccine efficacy of TIV-HD relative to TIV-SD against lab-confirmed influenza caused by any viral types/subtypes was 24.24% (95% CI 9.71; 36.50) for Year 1 and Year 2 combined. The lower bound of the 95%</w:t>
      </w:r>
      <w:r w:rsidR="008E01E7">
        <w:t xml:space="preserve"> </w:t>
      </w:r>
      <w:r w:rsidRPr="008B2FD3">
        <w:t>CI exceeded 9.1%, the pre-defined superiority threshold for TIV-HD compared to TIV-SD.</w:t>
      </w:r>
    </w:p>
    <w:p w:rsidR="00D53E4A" w:rsidRPr="008B2FD3" w:rsidRDefault="00D53E4A" w:rsidP="00161E40">
      <w:pPr>
        <w:pStyle w:val="ListParagraph"/>
        <w:widowControl/>
        <w:numPr>
          <w:ilvl w:val="1"/>
          <w:numId w:val="1"/>
        </w:numPr>
        <w:rPr>
          <w:rFonts w:cs="Calibri"/>
          <w:snapToGrid/>
          <w:szCs w:val="24"/>
          <w:lang w:eastAsia="en-AU"/>
        </w:rPr>
      </w:pPr>
      <w:r w:rsidRPr="008B2FD3">
        <w:t>ATAGI considered that an overall relative vaccine efficacy of 24.2% (95%CI: 9.7%–36.5%) is most appropriate for the base case assessment</w:t>
      </w:r>
      <w:r w:rsidR="005B7E06" w:rsidRPr="008B2FD3">
        <w:t xml:space="preserve"> (</w:t>
      </w:r>
      <w:r w:rsidRPr="008B2FD3">
        <w:t xml:space="preserve">ATAGI </w:t>
      </w:r>
      <w:r w:rsidR="005B7E06" w:rsidRPr="008B2FD3">
        <w:t>February</w:t>
      </w:r>
      <w:r w:rsidRPr="008B2FD3">
        <w:t xml:space="preserve"> 2018 pre-submission advice). However, </w:t>
      </w:r>
      <w:r w:rsidR="00EA1975" w:rsidRPr="008B2FD3">
        <w:t xml:space="preserve">the vaccine efficacy </w:t>
      </w:r>
      <w:r w:rsidR="00B574BF" w:rsidRPr="008B2FD3">
        <w:t>in terms of reduction in influenza events</w:t>
      </w:r>
      <w:r w:rsidR="00EA1975" w:rsidRPr="008B2FD3">
        <w:t xml:space="preserve"> </w:t>
      </w:r>
      <w:r w:rsidRPr="008B2FD3">
        <w:t>was not statistically significant for H1N1</w:t>
      </w:r>
      <w:r w:rsidR="006C3C0D" w:rsidRPr="008B2FD3">
        <w:t xml:space="preserve">. Given there were only 8 and 9 H1N1 events in the TIV-HD and TIV-SD group respectively, the non-statistical significance might </w:t>
      </w:r>
      <w:r w:rsidR="008E01E7">
        <w:t xml:space="preserve">be </w:t>
      </w:r>
      <w:r w:rsidR="006C3C0D" w:rsidRPr="008B2FD3">
        <w:t xml:space="preserve">due to </w:t>
      </w:r>
      <w:r w:rsidR="008E01E7">
        <w:t xml:space="preserve">the </w:t>
      </w:r>
      <w:r w:rsidR="006C3C0D" w:rsidRPr="008B2FD3">
        <w:t>small number identified in each group. In addition,</w:t>
      </w:r>
      <w:r w:rsidRPr="008B2FD3">
        <w:t xml:space="preserve"> the lower bound of the 95%</w:t>
      </w:r>
      <w:r w:rsidR="008E01E7">
        <w:t xml:space="preserve"> </w:t>
      </w:r>
      <w:r w:rsidRPr="008B2FD3">
        <w:t xml:space="preserve">CI for H3N2 did not exceed the pre-defined superiority threshold </w:t>
      </w:r>
      <w:r w:rsidRPr="008B2FD3">
        <w:lastRenderedPageBreak/>
        <w:t>(i.e. 9.1%)</w:t>
      </w:r>
      <w:r w:rsidR="006C3C0D" w:rsidRPr="008B2FD3">
        <w:t xml:space="preserve"> and</w:t>
      </w:r>
      <w:r w:rsidRPr="008B2FD3">
        <w:t xml:space="preserve"> vaccine efficacy against influenza type B was not statistically significant.</w:t>
      </w:r>
      <w:r w:rsidR="00D36A8E">
        <w:t xml:space="preserve"> </w:t>
      </w:r>
    </w:p>
    <w:p w:rsidR="00D53E4A" w:rsidRPr="00645F5B" w:rsidRDefault="00D53E4A" w:rsidP="00161E40">
      <w:pPr>
        <w:pStyle w:val="ListParagraph"/>
        <w:widowControl/>
        <w:numPr>
          <w:ilvl w:val="1"/>
          <w:numId w:val="1"/>
        </w:numPr>
        <w:rPr>
          <w:rFonts w:cs="Calibri"/>
          <w:snapToGrid/>
          <w:szCs w:val="24"/>
          <w:lang w:eastAsia="en-AU"/>
        </w:rPr>
      </w:pPr>
      <w:r w:rsidRPr="008B2FD3">
        <w:t>Given the vaccine efficacy varied in different influenza strains, it is reasonable to conclude that the vaccine efficacy is likely to vary partially based on the dominant influenza strain of the season.</w:t>
      </w:r>
      <w:r w:rsidR="00BD5ED2" w:rsidRPr="00BD5ED2">
        <w:rPr>
          <w:i/>
        </w:rPr>
        <w:t xml:space="preserve"> </w:t>
      </w:r>
      <w:r w:rsidR="00BD5ED2" w:rsidRPr="00645F5B">
        <w:t>The ESC noted that the vaccine efficacy was not statistically significant for H1N1 in the trials presented, however considered that this is also affected by how much H1N1 is circulating in a given year.</w:t>
      </w:r>
    </w:p>
    <w:p w:rsidR="00D53E4A" w:rsidRPr="008B2FD3" w:rsidRDefault="0079584A" w:rsidP="00161E40">
      <w:pPr>
        <w:pStyle w:val="ListParagraph"/>
        <w:widowControl/>
        <w:numPr>
          <w:ilvl w:val="1"/>
          <w:numId w:val="1"/>
        </w:numPr>
        <w:rPr>
          <w:rFonts w:cs="Calibri"/>
          <w:snapToGrid/>
          <w:szCs w:val="24"/>
          <w:lang w:eastAsia="en-AU"/>
        </w:rPr>
      </w:pPr>
      <w:r w:rsidRPr="008B2FD3">
        <w:rPr>
          <w:rFonts w:cs="Calibri"/>
          <w:snapToGrid/>
          <w:szCs w:val="24"/>
          <w:lang w:eastAsia="en-AU"/>
        </w:rPr>
        <w:t>In the FIM12 trial a</w:t>
      </w:r>
      <w:r w:rsidR="00D53E4A" w:rsidRPr="008B2FD3">
        <w:rPr>
          <w:rFonts w:cs="Calibri"/>
          <w:snapToGrid/>
          <w:szCs w:val="24"/>
          <w:lang w:eastAsia="en-AU"/>
        </w:rPr>
        <w:t xml:space="preserve"> relative efficacy of 6.9% (95%CI: 0.5%-12.8%) was reported for the reduction in all-cause hospitalisations, and </w:t>
      </w:r>
      <w:r w:rsidR="009F3EE8" w:rsidRPr="008B2FD3">
        <w:t xml:space="preserve">a composite outcome of </w:t>
      </w:r>
      <w:r w:rsidR="00D53E4A" w:rsidRPr="008B2FD3">
        <w:rPr>
          <w:rFonts w:cs="Calibri"/>
          <w:snapToGrid/>
          <w:szCs w:val="24"/>
          <w:lang w:eastAsia="en-AU"/>
        </w:rPr>
        <w:t xml:space="preserve">17.7% (95%CI: 6.6%-27.4%) was reported for the reduction in serious cardiorespiratory events (Table </w:t>
      </w:r>
      <w:r w:rsidR="00A7202F" w:rsidRPr="008B2FD3">
        <w:rPr>
          <w:rFonts w:cs="Calibri"/>
          <w:snapToGrid/>
          <w:szCs w:val="24"/>
          <w:lang w:eastAsia="en-AU"/>
        </w:rPr>
        <w:t>4</w:t>
      </w:r>
      <w:r w:rsidR="00D53E4A" w:rsidRPr="008B2FD3">
        <w:rPr>
          <w:rFonts w:cs="Calibri"/>
          <w:snapToGrid/>
          <w:szCs w:val="24"/>
          <w:lang w:eastAsia="en-AU"/>
        </w:rPr>
        <w:t>).</w:t>
      </w:r>
      <w:r w:rsidR="00D36A8E">
        <w:rPr>
          <w:rFonts w:cs="Calibri"/>
          <w:snapToGrid/>
          <w:szCs w:val="24"/>
          <w:lang w:eastAsia="en-AU"/>
        </w:rPr>
        <w:t xml:space="preserve"> </w:t>
      </w:r>
    </w:p>
    <w:p w:rsidR="00E333A0" w:rsidRPr="00645F5B" w:rsidRDefault="00D53E4A" w:rsidP="00161E40">
      <w:pPr>
        <w:pStyle w:val="ListParagraph"/>
        <w:widowControl/>
        <w:numPr>
          <w:ilvl w:val="1"/>
          <w:numId w:val="1"/>
        </w:numPr>
      </w:pPr>
      <w:r w:rsidRPr="008B2FD3">
        <w:t>The reduction in all-cause hospitalisations</w:t>
      </w:r>
      <w:r w:rsidR="0079584A" w:rsidRPr="008B2FD3">
        <w:t xml:space="preserve"> in FIM12</w:t>
      </w:r>
      <w:r w:rsidRPr="008B2FD3">
        <w:t xml:space="preserve"> did not reach the minimally clinically important relative reduction in the rate of hospitalisations set in the </w:t>
      </w:r>
      <w:proofErr w:type="spellStart"/>
      <w:r w:rsidRPr="008B2FD3">
        <w:t>Gravenstein</w:t>
      </w:r>
      <w:proofErr w:type="spellEnd"/>
      <w:r w:rsidRPr="008B2FD3">
        <w:t xml:space="preserve"> trial (15%).</w:t>
      </w:r>
      <w:r w:rsidR="0079584A" w:rsidRPr="008B2FD3">
        <w:t xml:space="preserve"> </w:t>
      </w:r>
      <w:r w:rsidR="000F3CD6">
        <w:t xml:space="preserve">The </w:t>
      </w:r>
      <w:r w:rsidR="00BA249F">
        <w:t>evaluation</w:t>
      </w:r>
      <w:r w:rsidR="000F3CD6">
        <w:t xml:space="preserve"> considered that</w:t>
      </w:r>
      <w:r w:rsidR="000F3CD6" w:rsidRPr="008B2FD3">
        <w:t xml:space="preserve"> </w:t>
      </w:r>
      <w:r w:rsidR="0079584A" w:rsidRPr="008B2FD3">
        <w:t>that ‘all-cause hospitalisations’ may overestimate the number of hospitalisations due to influenza.</w:t>
      </w:r>
      <w:r w:rsidR="00D36A8E">
        <w:t xml:space="preserve"> </w:t>
      </w:r>
      <w:r w:rsidR="00E36232" w:rsidRPr="00645F5B">
        <w:t xml:space="preserve">The ESC discussed that ‘all-cause’ hospitalisations associated with presentation of </w:t>
      </w:r>
      <w:r w:rsidR="002B7181">
        <w:t>in</w:t>
      </w:r>
      <w:r w:rsidR="00E36232" w:rsidRPr="00645F5B">
        <w:t>flu</w:t>
      </w:r>
      <w:r w:rsidR="002B7181">
        <w:t>enza</w:t>
      </w:r>
      <w:r w:rsidR="00E36232" w:rsidRPr="00645F5B">
        <w:t xml:space="preserve"> will be for a range of disorders and the difference in this outcome may not be reasonably attributed solely to the vaccine efficacy. </w:t>
      </w:r>
      <w:r w:rsidR="00592245">
        <w:t xml:space="preserve">The PBAC considered this </w:t>
      </w:r>
      <w:r w:rsidR="000F3CD6">
        <w:t xml:space="preserve">advice </w:t>
      </w:r>
      <w:r w:rsidR="00592245">
        <w:t xml:space="preserve">and noted that there was </w:t>
      </w:r>
      <w:r w:rsidR="00DD1A8F">
        <w:t xml:space="preserve">consistent </w:t>
      </w:r>
      <w:r w:rsidR="00592245">
        <w:t xml:space="preserve">evidence </w:t>
      </w:r>
      <w:r w:rsidR="00DD1A8F">
        <w:t xml:space="preserve">across the trials </w:t>
      </w:r>
      <w:r w:rsidR="00592245">
        <w:t xml:space="preserve">of </w:t>
      </w:r>
      <w:r w:rsidR="00DD1A8F">
        <w:t xml:space="preserve">some </w:t>
      </w:r>
      <w:r w:rsidR="00C644F0">
        <w:t xml:space="preserve">reduction of hospitalisation </w:t>
      </w:r>
      <w:r w:rsidR="00E1797A">
        <w:t xml:space="preserve">although </w:t>
      </w:r>
      <w:r w:rsidR="00DD1A8F">
        <w:t xml:space="preserve">not directly attributable to influenza </w:t>
      </w:r>
      <w:r w:rsidR="00C644F0">
        <w:t>i</w:t>
      </w:r>
      <w:r w:rsidR="00592245">
        <w:t>n the TIV-HD cohort</w:t>
      </w:r>
      <w:r w:rsidR="00E1797A">
        <w:t>, which was plausible given the comorbidities of patients in this age group</w:t>
      </w:r>
      <w:r w:rsidR="00655CFB">
        <w:t xml:space="preserve">.  </w:t>
      </w:r>
    </w:p>
    <w:p w:rsidR="00DD1A8F" w:rsidRDefault="00D53E4A" w:rsidP="00161E40">
      <w:pPr>
        <w:pStyle w:val="ListParagraph"/>
        <w:widowControl/>
        <w:numPr>
          <w:ilvl w:val="1"/>
          <w:numId w:val="1"/>
        </w:numPr>
        <w:rPr>
          <w:rFonts w:cs="Calibri"/>
          <w:snapToGrid/>
          <w:szCs w:val="24"/>
          <w:lang w:eastAsia="en-AU"/>
        </w:rPr>
      </w:pPr>
      <w:r w:rsidRPr="006872E0">
        <w:rPr>
          <w:rFonts w:cs="Calibri"/>
          <w:snapToGrid/>
          <w:szCs w:val="24"/>
          <w:lang w:eastAsia="en-AU"/>
        </w:rPr>
        <w:t>While the relative vaccine efficacy was statistically significant for the reduction in serious cardiorespiratory events</w:t>
      </w:r>
      <w:r w:rsidR="009F3EE8" w:rsidRPr="006872E0">
        <w:rPr>
          <w:rFonts w:cs="Calibri"/>
          <w:snapToGrid/>
          <w:szCs w:val="24"/>
          <w:lang w:eastAsia="en-AU"/>
        </w:rPr>
        <w:t xml:space="preserve"> as a composite outcome</w:t>
      </w:r>
      <w:r w:rsidRPr="006872E0">
        <w:rPr>
          <w:rFonts w:cs="Calibri"/>
          <w:snapToGrid/>
          <w:szCs w:val="24"/>
          <w:lang w:eastAsia="en-AU"/>
        </w:rPr>
        <w:t xml:space="preserve"> (0.177, 95% CI: 0.066, 0.274), the vaccine efficacy varied in different types of cardiorespiratory events</w:t>
      </w:r>
      <w:r w:rsidR="008E01E7">
        <w:rPr>
          <w:rFonts w:cs="Calibri"/>
          <w:snapToGrid/>
          <w:szCs w:val="24"/>
          <w:lang w:eastAsia="en-AU"/>
        </w:rPr>
        <w:t>;</w:t>
      </w:r>
      <w:r w:rsidRPr="006872E0">
        <w:rPr>
          <w:rFonts w:cs="Calibri"/>
          <w:snapToGrid/>
          <w:szCs w:val="24"/>
          <w:lang w:eastAsia="en-AU"/>
        </w:rPr>
        <w:t xml:space="preserve"> only the reduction in pneumonia events was statistically significant.</w:t>
      </w:r>
      <w:r w:rsidR="00006454" w:rsidRPr="006872E0">
        <w:rPr>
          <w:rFonts w:cs="Calibri"/>
          <w:snapToGrid/>
          <w:szCs w:val="24"/>
          <w:lang w:eastAsia="en-AU"/>
        </w:rPr>
        <w:t xml:space="preserve"> </w:t>
      </w:r>
    </w:p>
    <w:p w:rsidR="00D53E4A" w:rsidRPr="008B2FD3" w:rsidRDefault="00D53E4A" w:rsidP="00161E40">
      <w:pPr>
        <w:pStyle w:val="ListParagraph"/>
        <w:widowControl/>
        <w:numPr>
          <w:ilvl w:val="1"/>
          <w:numId w:val="1"/>
        </w:numPr>
        <w:rPr>
          <w:rFonts w:cs="Calibri"/>
          <w:snapToGrid/>
          <w:szCs w:val="24"/>
          <w:lang w:eastAsia="en-AU"/>
        </w:rPr>
      </w:pPr>
      <w:r w:rsidRPr="008B2FD3">
        <w:rPr>
          <w:rFonts w:cs="Calibri"/>
          <w:snapToGrid/>
          <w:szCs w:val="24"/>
          <w:lang w:eastAsia="en-AU"/>
        </w:rPr>
        <w:t xml:space="preserve">Table </w:t>
      </w:r>
      <w:r w:rsidR="00A7202F" w:rsidRPr="008B2FD3">
        <w:rPr>
          <w:rFonts w:cs="Calibri"/>
          <w:snapToGrid/>
          <w:szCs w:val="24"/>
          <w:lang w:eastAsia="en-AU"/>
        </w:rPr>
        <w:t>5</w:t>
      </w:r>
      <w:r w:rsidRPr="008B2FD3">
        <w:rPr>
          <w:rFonts w:cs="Calibri"/>
          <w:snapToGrid/>
          <w:szCs w:val="24"/>
          <w:lang w:eastAsia="en-AU"/>
        </w:rPr>
        <w:t xml:space="preserve"> summarises key outcomes from the </w:t>
      </w:r>
      <w:proofErr w:type="spellStart"/>
      <w:r w:rsidRPr="008B2FD3">
        <w:rPr>
          <w:rFonts w:cs="Calibri"/>
          <w:snapToGrid/>
          <w:szCs w:val="24"/>
          <w:lang w:eastAsia="en-AU"/>
        </w:rPr>
        <w:t>Gravenstein</w:t>
      </w:r>
      <w:proofErr w:type="spellEnd"/>
      <w:r w:rsidRPr="008B2FD3">
        <w:rPr>
          <w:rFonts w:cs="Calibri"/>
          <w:snapToGrid/>
          <w:szCs w:val="24"/>
          <w:lang w:eastAsia="en-AU"/>
        </w:rPr>
        <w:t xml:space="preserve"> study.</w:t>
      </w:r>
    </w:p>
    <w:p w:rsidR="00D53E4A" w:rsidRPr="008B2FD3" w:rsidRDefault="00D53E4A" w:rsidP="00D53E4A">
      <w:pPr>
        <w:pStyle w:val="Caption"/>
        <w:keepNext/>
        <w:spacing w:after="0"/>
        <w:rPr>
          <w:rStyle w:val="CommentReference"/>
          <w:b/>
          <w:bCs w:val="0"/>
          <w:color w:val="auto"/>
        </w:rPr>
      </w:pPr>
      <w:r w:rsidRPr="008B2FD3">
        <w:rPr>
          <w:rStyle w:val="CommentReference"/>
          <w:b/>
          <w:bCs w:val="0"/>
          <w:color w:val="auto"/>
        </w:rPr>
        <w:t xml:space="preserve">Table </w:t>
      </w:r>
      <w:r w:rsidR="00A7202F" w:rsidRPr="008B2FD3">
        <w:rPr>
          <w:rStyle w:val="CommentReference"/>
          <w:b/>
          <w:bCs w:val="0"/>
          <w:color w:val="auto"/>
        </w:rPr>
        <w:t>5</w:t>
      </w:r>
      <w:r w:rsidRPr="008B2FD3">
        <w:rPr>
          <w:rStyle w:val="CommentReference"/>
          <w:b/>
          <w:bCs w:val="0"/>
          <w:color w:val="auto"/>
        </w:rPr>
        <w:t xml:space="preserve">: Adjusted regression analysis results of primary outcome accounting for clustering by 817 nursing homes (intent-to-treat analysis) in the </w:t>
      </w:r>
      <w:proofErr w:type="spellStart"/>
      <w:r w:rsidRPr="008B2FD3">
        <w:rPr>
          <w:rStyle w:val="CommentReference"/>
          <w:b/>
          <w:bCs w:val="0"/>
          <w:color w:val="auto"/>
        </w:rPr>
        <w:t>Gravenstein</w:t>
      </w:r>
      <w:proofErr w:type="spellEnd"/>
      <w:r w:rsidRPr="008B2FD3">
        <w:rPr>
          <w:rStyle w:val="CommentReference"/>
          <w:b/>
          <w:bCs w:val="0"/>
          <w:color w:val="auto"/>
        </w:rPr>
        <w:t xml:space="preserve"> study</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2672"/>
        <w:gridCol w:w="1134"/>
      </w:tblGrid>
      <w:tr w:rsidR="00D53E4A" w:rsidRPr="008B2FD3" w:rsidTr="008B6998">
        <w:trPr>
          <w:trHeight w:val="76"/>
        </w:trPr>
        <w:tc>
          <w:tcPr>
            <w:tcW w:w="2902" w:type="pct"/>
          </w:tcPr>
          <w:p w:rsidR="00D53E4A" w:rsidRPr="008B2FD3" w:rsidRDefault="00D53E4A" w:rsidP="003B0926">
            <w:pPr>
              <w:pStyle w:val="TableText0"/>
              <w:keepNext/>
              <w:spacing w:before="0" w:after="0"/>
              <w:rPr>
                <w:rFonts w:ascii="Arial Narrow" w:hAnsi="Arial Narrow"/>
                <w:sz w:val="20"/>
                <w:szCs w:val="20"/>
              </w:rPr>
            </w:pPr>
          </w:p>
        </w:tc>
        <w:tc>
          <w:tcPr>
            <w:tcW w:w="1473" w:type="pct"/>
          </w:tcPr>
          <w:p w:rsidR="00D53E4A" w:rsidRPr="008B2FD3" w:rsidRDefault="00D53E4A" w:rsidP="003B0926">
            <w:pPr>
              <w:pStyle w:val="TableText0"/>
              <w:keepNext/>
              <w:spacing w:before="0" w:after="0"/>
              <w:rPr>
                <w:rFonts w:ascii="Arial Narrow" w:hAnsi="Arial Narrow"/>
                <w:b/>
                <w:sz w:val="20"/>
                <w:szCs w:val="20"/>
              </w:rPr>
            </w:pPr>
            <w:r w:rsidRPr="008B2FD3">
              <w:rPr>
                <w:rFonts w:ascii="Arial Narrow" w:hAnsi="Arial Narrow"/>
                <w:b/>
                <w:sz w:val="20"/>
                <w:szCs w:val="20"/>
              </w:rPr>
              <w:t>Adjusted relative risk (95% CI)</w:t>
            </w:r>
          </w:p>
        </w:tc>
        <w:tc>
          <w:tcPr>
            <w:tcW w:w="625" w:type="pct"/>
          </w:tcPr>
          <w:p w:rsidR="00D53E4A" w:rsidRPr="008B2FD3" w:rsidRDefault="00D53E4A" w:rsidP="003B0926">
            <w:pPr>
              <w:pStyle w:val="TableText0"/>
              <w:keepNext/>
              <w:spacing w:before="0" w:after="0"/>
              <w:rPr>
                <w:rFonts w:ascii="Arial Narrow" w:hAnsi="Arial Narrow"/>
                <w:b/>
                <w:sz w:val="20"/>
                <w:szCs w:val="20"/>
              </w:rPr>
            </w:pPr>
            <w:r w:rsidRPr="008B2FD3">
              <w:rPr>
                <w:rFonts w:ascii="Arial Narrow" w:hAnsi="Arial Narrow"/>
                <w:b/>
                <w:sz w:val="20"/>
                <w:szCs w:val="20"/>
              </w:rPr>
              <w:t>p value</w:t>
            </w:r>
          </w:p>
        </w:tc>
      </w:tr>
      <w:tr w:rsidR="008B6998" w:rsidRPr="008B2FD3" w:rsidTr="008B6998">
        <w:trPr>
          <w:trHeight w:val="58"/>
        </w:trPr>
        <w:tc>
          <w:tcPr>
            <w:tcW w:w="5000" w:type="pct"/>
            <w:gridSpan w:val="3"/>
          </w:tcPr>
          <w:p w:rsidR="008B6998" w:rsidRPr="008B2FD3" w:rsidRDefault="008B6998" w:rsidP="008B6998">
            <w:pPr>
              <w:pStyle w:val="TableText0"/>
              <w:keepNext/>
              <w:spacing w:before="0" w:after="0"/>
              <w:rPr>
                <w:rFonts w:ascii="Arial Narrow" w:hAnsi="Arial Narrow"/>
                <w:sz w:val="20"/>
                <w:szCs w:val="20"/>
              </w:rPr>
            </w:pPr>
            <w:r w:rsidRPr="008B2FD3">
              <w:rPr>
                <w:rFonts w:ascii="Arial Narrow" w:hAnsi="Arial Narrow"/>
                <w:sz w:val="20"/>
                <w:szCs w:val="20"/>
              </w:rPr>
              <w:t>FFS group analysis (the primary endpoint)</w:t>
            </w:r>
          </w:p>
        </w:tc>
      </w:tr>
      <w:tr w:rsidR="00D53E4A" w:rsidRPr="008B2FD3" w:rsidTr="008B6998">
        <w:trPr>
          <w:trHeight w:val="58"/>
        </w:trPr>
        <w:tc>
          <w:tcPr>
            <w:tcW w:w="2902" w:type="pct"/>
          </w:tcPr>
          <w:p w:rsidR="00D53E4A" w:rsidRPr="008B2FD3" w:rsidRDefault="00D53E4A" w:rsidP="008E1E73">
            <w:pPr>
              <w:pStyle w:val="TableText0"/>
              <w:keepNext/>
              <w:spacing w:before="0" w:after="0"/>
              <w:ind w:left="318"/>
              <w:rPr>
                <w:rFonts w:ascii="Arial Narrow" w:hAnsi="Arial Narrow"/>
                <w:sz w:val="20"/>
                <w:szCs w:val="20"/>
              </w:rPr>
            </w:pPr>
            <w:r w:rsidRPr="008B2FD3">
              <w:rPr>
                <w:rFonts w:ascii="Arial Narrow" w:hAnsi="Arial Narrow"/>
                <w:sz w:val="20"/>
                <w:szCs w:val="20"/>
              </w:rPr>
              <w:t xml:space="preserve">Hospital admissions for respiratory illness </w:t>
            </w:r>
          </w:p>
        </w:tc>
        <w:tc>
          <w:tcPr>
            <w:tcW w:w="1473"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szCs w:val="20"/>
              </w:rPr>
              <w:t>0.873 (0.776–0.982)</w:t>
            </w:r>
          </w:p>
        </w:tc>
        <w:tc>
          <w:tcPr>
            <w:tcW w:w="625"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szCs w:val="20"/>
              </w:rPr>
              <w:t>0.023</w:t>
            </w:r>
          </w:p>
        </w:tc>
      </w:tr>
      <w:tr w:rsidR="008B6998" w:rsidRPr="008B2FD3" w:rsidTr="008B6998">
        <w:trPr>
          <w:trHeight w:val="58"/>
        </w:trPr>
        <w:tc>
          <w:tcPr>
            <w:tcW w:w="5000" w:type="pct"/>
            <w:gridSpan w:val="3"/>
          </w:tcPr>
          <w:p w:rsidR="008B6998" w:rsidRPr="008B2FD3" w:rsidRDefault="008B6998" w:rsidP="008B6998">
            <w:pPr>
              <w:pStyle w:val="TableText0"/>
              <w:keepNext/>
              <w:spacing w:before="0" w:after="0"/>
              <w:rPr>
                <w:rFonts w:ascii="Arial Narrow" w:hAnsi="Arial Narrow"/>
                <w:sz w:val="20"/>
                <w:szCs w:val="20"/>
              </w:rPr>
            </w:pPr>
            <w:r w:rsidRPr="008B2FD3">
              <w:rPr>
                <w:rFonts w:ascii="Arial Narrow" w:hAnsi="Arial Narrow"/>
                <w:sz w:val="20"/>
              </w:rPr>
              <w:t>FFS group analysis (the secondary outcomes)</w:t>
            </w:r>
          </w:p>
        </w:tc>
      </w:tr>
      <w:tr w:rsidR="00D53E4A" w:rsidRPr="008B2FD3" w:rsidTr="008B6998">
        <w:trPr>
          <w:trHeight w:val="58"/>
        </w:trPr>
        <w:tc>
          <w:tcPr>
            <w:tcW w:w="2902" w:type="pct"/>
          </w:tcPr>
          <w:p w:rsidR="00D53E4A" w:rsidRPr="008B2FD3" w:rsidRDefault="00D53E4A" w:rsidP="008E1E73">
            <w:pPr>
              <w:pStyle w:val="TableText0"/>
              <w:keepNext/>
              <w:spacing w:before="0" w:after="0"/>
              <w:ind w:left="318"/>
              <w:rPr>
                <w:rFonts w:ascii="Arial Narrow" w:hAnsi="Arial Narrow"/>
                <w:sz w:val="20"/>
                <w:szCs w:val="20"/>
              </w:rPr>
            </w:pPr>
            <w:r w:rsidRPr="008B2FD3">
              <w:rPr>
                <w:rFonts w:ascii="Arial Narrow" w:hAnsi="Arial Narrow"/>
                <w:sz w:val="20"/>
              </w:rPr>
              <w:t xml:space="preserve">All-cause hospital admissions </w:t>
            </w:r>
          </w:p>
        </w:tc>
        <w:tc>
          <w:tcPr>
            <w:tcW w:w="1473"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0.915 (0.863–0.970)</w:t>
            </w:r>
          </w:p>
        </w:tc>
        <w:tc>
          <w:tcPr>
            <w:tcW w:w="625"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0.0028</w:t>
            </w:r>
          </w:p>
        </w:tc>
      </w:tr>
      <w:tr w:rsidR="008B6998" w:rsidRPr="008B2FD3" w:rsidTr="008B6998">
        <w:trPr>
          <w:trHeight w:val="58"/>
        </w:trPr>
        <w:tc>
          <w:tcPr>
            <w:tcW w:w="5000" w:type="pct"/>
            <w:gridSpan w:val="3"/>
          </w:tcPr>
          <w:p w:rsidR="008B6998" w:rsidRPr="008B2FD3" w:rsidRDefault="008B6998" w:rsidP="008B6998">
            <w:pPr>
              <w:pStyle w:val="TableText0"/>
              <w:keepNext/>
              <w:spacing w:before="0" w:after="0"/>
              <w:rPr>
                <w:rFonts w:ascii="Arial Narrow" w:hAnsi="Arial Narrow"/>
                <w:sz w:val="20"/>
                <w:szCs w:val="20"/>
              </w:rPr>
            </w:pPr>
            <w:r w:rsidRPr="008B2FD3">
              <w:rPr>
                <w:rFonts w:ascii="Arial Narrow" w:hAnsi="Arial Narrow"/>
                <w:sz w:val="20"/>
              </w:rPr>
              <w:t>MDS group analysis (the secondary outcomes)</w:t>
            </w:r>
          </w:p>
        </w:tc>
      </w:tr>
      <w:tr w:rsidR="00D53E4A" w:rsidRPr="008B2FD3" w:rsidTr="008B6998">
        <w:trPr>
          <w:trHeight w:val="58"/>
        </w:trPr>
        <w:tc>
          <w:tcPr>
            <w:tcW w:w="2902" w:type="pct"/>
          </w:tcPr>
          <w:p w:rsidR="00D53E4A" w:rsidRPr="008B2FD3" w:rsidRDefault="00D53E4A" w:rsidP="008E1E73">
            <w:pPr>
              <w:pStyle w:val="TableText0"/>
              <w:keepNext/>
              <w:spacing w:before="0" w:after="0"/>
              <w:ind w:left="318"/>
              <w:rPr>
                <w:rFonts w:ascii="Arial Narrow" w:hAnsi="Arial Narrow"/>
                <w:sz w:val="20"/>
                <w:szCs w:val="20"/>
              </w:rPr>
            </w:pPr>
            <w:r w:rsidRPr="008B2FD3">
              <w:rPr>
                <w:rFonts w:ascii="Arial Narrow" w:hAnsi="Arial Narrow"/>
                <w:sz w:val="20"/>
              </w:rPr>
              <w:t xml:space="preserve">All-cause mortality </w:t>
            </w:r>
          </w:p>
        </w:tc>
        <w:tc>
          <w:tcPr>
            <w:tcW w:w="1473"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0.985 (0.931–1.038)</w:t>
            </w:r>
          </w:p>
        </w:tc>
        <w:tc>
          <w:tcPr>
            <w:tcW w:w="625"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0.57</w:t>
            </w:r>
          </w:p>
        </w:tc>
      </w:tr>
      <w:tr w:rsidR="00D53E4A" w:rsidRPr="008B2FD3" w:rsidTr="008B6998">
        <w:trPr>
          <w:trHeight w:val="58"/>
        </w:trPr>
        <w:tc>
          <w:tcPr>
            <w:tcW w:w="2902" w:type="pct"/>
          </w:tcPr>
          <w:p w:rsidR="00D53E4A" w:rsidRPr="008B2FD3" w:rsidRDefault="00D53E4A" w:rsidP="008E1E73">
            <w:pPr>
              <w:pStyle w:val="TableText0"/>
              <w:keepNext/>
              <w:spacing w:before="0" w:after="0"/>
              <w:ind w:left="318"/>
              <w:rPr>
                <w:rFonts w:ascii="Arial Narrow" w:hAnsi="Arial Narrow"/>
                <w:sz w:val="20"/>
                <w:szCs w:val="20"/>
              </w:rPr>
            </w:pPr>
            <w:r w:rsidRPr="008B2FD3">
              <w:rPr>
                <w:rFonts w:ascii="Arial Narrow" w:hAnsi="Arial Narrow"/>
                <w:sz w:val="20"/>
              </w:rPr>
              <w:t xml:space="preserve">All-cause hospital admissions </w:t>
            </w:r>
          </w:p>
        </w:tc>
        <w:tc>
          <w:tcPr>
            <w:tcW w:w="1473"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0.933 (0.884–0.985)</w:t>
            </w:r>
          </w:p>
        </w:tc>
        <w:tc>
          <w:tcPr>
            <w:tcW w:w="625"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0.012</w:t>
            </w:r>
          </w:p>
        </w:tc>
      </w:tr>
      <w:tr w:rsidR="00D53E4A" w:rsidRPr="008B2FD3" w:rsidTr="008B6998">
        <w:trPr>
          <w:trHeight w:val="58"/>
        </w:trPr>
        <w:tc>
          <w:tcPr>
            <w:tcW w:w="2902" w:type="pct"/>
          </w:tcPr>
          <w:p w:rsidR="00D53E4A" w:rsidRPr="008B2FD3" w:rsidRDefault="00D53E4A" w:rsidP="008E1E73">
            <w:pPr>
              <w:pStyle w:val="TableText0"/>
              <w:keepNext/>
              <w:spacing w:before="0" w:after="0"/>
              <w:ind w:left="318"/>
              <w:rPr>
                <w:rFonts w:ascii="Arial Narrow" w:hAnsi="Arial Narrow"/>
                <w:sz w:val="20"/>
                <w:szCs w:val="20"/>
              </w:rPr>
            </w:pPr>
            <w:r w:rsidRPr="008B2FD3">
              <w:rPr>
                <w:rFonts w:ascii="Arial Narrow" w:hAnsi="Arial Narrow"/>
                <w:sz w:val="20"/>
              </w:rPr>
              <w:t xml:space="preserve">Functional decline (change in ADL score of at least four points) </w:t>
            </w:r>
          </w:p>
        </w:tc>
        <w:tc>
          <w:tcPr>
            <w:tcW w:w="1473"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0.996 (0.956–1.038)</w:t>
            </w:r>
          </w:p>
        </w:tc>
        <w:tc>
          <w:tcPr>
            <w:tcW w:w="625" w:type="pct"/>
            <w:vAlign w:val="center"/>
          </w:tcPr>
          <w:p w:rsidR="00D53E4A" w:rsidRPr="008B2FD3" w:rsidRDefault="00D53E4A" w:rsidP="003B0926">
            <w:pPr>
              <w:pStyle w:val="TableText0"/>
              <w:keepNext/>
              <w:spacing w:before="0" w:after="0"/>
              <w:jc w:val="center"/>
              <w:rPr>
                <w:rFonts w:ascii="Arial Narrow" w:hAnsi="Arial Narrow"/>
                <w:sz w:val="20"/>
                <w:szCs w:val="20"/>
              </w:rPr>
            </w:pPr>
            <w:r w:rsidRPr="008B2FD3">
              <w:rPr>
                <w:rFonts w:ascii="Arial Narrow" w:hAnsi="Arial Narrow"/>
                <w:sz w:val="20"/>
              </w:rPr>
              <w:t>0.86</w:t>
            </w:r>
          </w:p>
        </w:tc>
      </w:tr>
    </w:tbl>
    <w:p w:rsidR="00D53E4A" w:rsidRPr="008B2FD3" w:rsidRDefault="00CE68C8" w:rsidP="00D53E4A">
      <w:pPr>
        <w:pStyle w:val="TableFigNote"/>
        <w:rPr>
          <w:rFonts w:ascii="Arial Narrow" w:hAnsi="Arial Narrow"/>
          <w:sz w:val="18"/>
        </w:rPr>
      </w:pPr>
      <w:r w:rsidRPr="008B2FD3">
        <w:rPr>
          <w:rFonts w:ascii="Arial Narrow" w:hAnsi="Arial Narrow"/>
          <w:sz w:val="18"/>
        </w:rPr>
        <w:t xml:space="preserve">ADL: activities of daily living; </w:t>
      </w:r>
      <w:r w:rsidR="00D53E4A" w:rsidRPr="008B2FD3">
        <w:rPr>
          <w:rFonts w:ascii="Arial Narrow" w:hAnsi="Arial Narrow"/>
          <w:sz w:val="18"/>
        </w:rPr>
        <w:t>FFS: fee-for-service; MDS:</w:t>
      </w:r>
      <w:r w:rsidRPr="008B2FD3">
        <w:rPr>
          <w:rFonts w:ascii="Arial Narrow" w:hAnsi="Arial Narrow"/>
          <w:sz w:val="18"/>
        </w:rPr>
        <w:t xml:space="preserve"> minimum dataset</w:t>
      </w:r>
    </w:p>
    <w:p w:rsidR="00D53E4A" w:rsidRPr="008B2FD3" w:rsidRDefault="00D53E4A" w:rsidP="00D53E4A">
      <w:pPr>
        <w:pStyle w:val="TableFooter"/>
      </w:pPr>
      <w:r w:rsidRPr="008B2FD3">
        <w:t>Source: Table 2.5.4, p47 of the submission; Table 2.5.5, p47 of the submission.</w:t>
      </w:r>
    </w:p>
    <w:p w:rsidR="00D53E4A" w:rsidRPr="008B2FD3" w:rsidRDefault="00D53E4A" w:rsidP="00D53E4A">
      <w:pPr>
        <w:widowControl/>
        <w:rPr>
          <w:rFonts w:cs="Calibri"/>
          <w:snapToGrid/>
          <w:szCs w:val="24"/>
          <w:lang w:eastAsia="en-AU"/>
        </w:rPr>
      </w:pPr>
    </w:p>
    <w:p w:rsidR="00D53E4A" w:rsidRPr="008B2FD3" w:rsidRDefault="00D53E4A" w:rsidP="00161E40">
      <w:pPr>
        <w:pStyle w:val="ListParagraph"/>
        <w:widowControl/>
        <w:numPr>
          <w:ilvl w:val="1"/>
          <w:numId w:val="1"/>
        </w:numPr>
        <w:rPr>
          <w:rFonts w:cs="Calibri"/>
          <w:snapToGrid/>
          <w:szCs w:val="24"/>
          <w:lang w:eastAsia="en-AU"/>
        </w:rPr>
      </w:pPr>
      <w:r w:rsidRPr="008B2FD3">
        <w:t>The relative risk of hospitalisation related to pulmonary and influenza-like conditions was significantly lower in facilities where residents received TIV-HD than in those that received TIV-SD [0.873 (95%CI: 0.776-0.982)].</w:t>
      </w:r>
    </w:p>
    <w:p w:rsidR="00D53E4A" w:rsidRPr="008B2FD3" w:rsidRDefault="00D53E4A" w:rsidP="00161E40">
      <w:pPr>
        <w:pStyle w:val="ListParagraph"/>
        <w:widowControl/>
        <w:numPr>
          <w:ilvl w:val="1"/>
          <w:numId w:val="1"/>
        </w:numPr>
      </w:pPr>
      <w:r w:rsidRPr="008B2FD3">
        <w:lastRenderedPageBreak/>
        <w:t>The reduction in hospitalisation related to pulmonary and influenza-like conditions did not reach the minimally clinically important relative reduction (15%).</w:t>
      </w:r>
    </w:p>
    <w:p w:rsidR="00D53E4A" w:rsidRDefault="00D53E4A" w:rsidP="00161E40">
      <w:pPr>
        <w:pStyle w:val="ListParagraph"/>
        <w:widowControl/>
        <w:numPr>
          <w:ilvl w:val="1"/>
          <w:numId w:val="1"/>
        </w:numPr>
      </w:pPr>
      <w:r w:rsidRPr="008B2FD3">
        <w:t xml:space="preserve">It should be noted that the mean age in the </w:t>
      </w:r>
      <w:proofErr w:type="spellStart"/>
      <w:r w:rsidRPr="008B2FD3">
        <w:t>Gravenstein</w:t>
      </w:r>
      <w:proofErr w:type="spellEnd"/>
      <w:r w:rsidRPr="008B2FD3">
        <w:t xml:space="preserve"> trial was approximately 10 years older than those in the FIM12 trial.</w:t>
      </w:r>
    </w:p>
    <w:p w:rsidR="00200A5D" w:rsidRDefault="00200A5D" w:rsidP="008B6998">
      <w:pPr>
        <w:pStyle w:val="ListParagraph"/>
        <w:widowControl/>
        <w:numPr>
          <w:ilvl w:val="1"/>
          <w:numId w:val="1"/>
        </w:numPr>
        <w:spacing w:after="120"/>
        <w:rPr>
          <w:rFonts w:asciiTheme="minorHAnsi" w:hAnsiTheme="minorHAnsi"/>
          <w:szCs w:val="20"/>
        </w:rPr>
      </w:pPr>
      <w:r w:rsidRPr="00200A5D">
        <w:rPr>
          <w:rFonts w:asciiTheme="minorHAnsi" w:hAnsiTheme="minorHAnsi"/>
          <w:szCs w:val="20"/>
        </w:rPr>
        <w:t>The PBAC noted NNDSS data</w:t>
      </w:r>
      <w:r w:rsidRPr="00E61D4D">
        <w:rPr>
          <w:rStyle w:val="FootnoteReference"/>
          <w:rFonts w:asciiTheme="minorHAnsi" w:hAnsiTheme="minorHAnsi"/>
          <w:szCs w:val="20"/>
        </w:rPr>
        <w:footnoteReference w:id="6"/>
      </w:r>
      <w:r w:rsidRPr="00200A5D">
        <w:rPr>
          <w:rFonts w:asciiTheme="minorHAnsi" w:hAnsiTheme="minorHAnsi"/>
          <w:szCs w:val="20"/>
        </w:rPr>
        <w:t xml:space="preserve"> on laboratory confirmed influenza strains showing variation in B strain prevalence from 2013 to 201</w:t>
      </w:r>
      <w:r w:rsidR="00EF403D">
        <w:rPr>
          <w:rFonts w:asciiTheme="minorHAnsi" w:hAnsiTheme="minorHAnsi"/>
          <w:szCs w:val="20"/>
        </w:rPr>
        <w:t>7</w:t>
      </w:r>
      <w:r w:rsidRPr="00200A5D">
        <w:rPr>
          <w:rFonts w:asciiTheme="minorHAnsi" w:hAnsiTheme="minorHAnsi"/>
          <w:szCs w:val="20"/>
        </w:rPr>
        <w:t xml:space="preserve"> of 26%, 10%, 39%</w:t>
      </w:r>
      <w:r w:rsidR="00EF403D">
        <w:rPr>
          <w:rFonts w:asciiTheme="minorHAnsi" w:hAnsiTheme="minorHAnsi"/>
          <w:szCs w:val="20"/>
        </w:rPr>
        <w:t>,</w:t>
      </w:r>
      <w:r w:rsidRPr="00200A5D">
        <w:rPr>
          <w:rFonts w:asciiTheme="minorHAnsi" w:hAnsiTheme="minorHAnsi"/>
          <w:szCs w:val="20"/>
        </w:rPr>
        <w:t xml:space="preserve"> 7</w:t>
      </w:r>
      <w:r w:rsidRPr="00CF2612">
        <w:rPr>
          <w:rFonts w:asciiTheme="minorHAnsi" w:hAnsiTheme="minorHAnsi"/>
          <w:szCs w:val="20"/>
        </w:rPr>
        <w:t>%</w:t>
      </w:r>
      <w:r w:rsidR="00EF403D" w:rsidRPr="00CF2612">
        <w:rPr>
          <w:rFonts w:asciiTheme="minorHAnsi" w:hAnsiTheme="minorHAnsi"/>
          <w:szCs w:val="20"/>
        </w:rPr>
        <w:t xml:space="preserve"> and </w:t>
      </w:r>
      <w:r w:rsidR="003F0C2B">
        <w:rPr>
          <w:rFonts w:asciiTheme="minorHAnsi" w:hAnsiTheme="minorHAnsi"/>
          <w:noProof/>
          <w:color w:val="000000"/>
          <w:szCs w:val="20"/>
          <w:highlight w:val="black"/>
        </w:rPr>
        <w:t>'''''''''</w:t>
      </w:r>
      <w:r w:rsidRPr="00CF2612">
        <w:rPr>
          <w:rFonts w:asciiTheme="minorHAnsi" w:hAnsiTheme="minorHAnsi"/>
          <w:szCs w:val="20"/>
        </w:rPr>
        <w:t xml:space="preserve"> respectively.  The PBAC noted that there was an average of B strain prevalence of </w:t>
      </w:r>
      <w:r w:rsidR="003F0C2B">
        <w:rPr>
          <w:rFonts w:asciiTheme="minorHAnsi" w:hAnsiTheme="minorHAnsi"/>
          <w:noProof/>
          <w:color w:val="000000"/>
          <w:szCs w:val="20"/>
          <w:highlight w:val="black"/>
        </w:rPr>
        <w:t>''''''''</w:t>
      </w:r>
      <w:r w:rsidRPr="00CF2612">
        <w:rPr>
          <w:rFonts w:asciiTheme="minorHAnsi" w:hAnsiTheme="minorHAnsi"/>
          <w:szCs w:val="20"/>
        </w:rPr>
        <w:t xml:space="preserve"> across those years, however this varied </w:t>
      </w:r>
      <w:r w:rsidR="00EF403D" w:rsidRPr="00CF2612">
        <w:rPr>
          <w:rFonts w:asciiTheme="minorHAnsi" w:hAnsiTheme="minorHAnsi"/>
          <w:szCs w:val="20"/>
        </w:rPr>
        <w:t>annually</w:t>
      </w:r>
      <w:r w:rsidRPr="00CF2612">
        <w:rPr>
          <w:rFonts w:asciiTheme="minorHAnsi" w:hAnsiTheme="minorHAnsi"/>
          <w:szCs w:val="20"/>
        </w:rPr>
        <w:t>.</w:t>
      </w:r>
    </w:p>
    <w:p w:rsidR="00200A5D" w:rsidRPr="00200A5D" w:rsidRDefault="00200A5D" w:rsidP="008B6998">
      <w:pPr>
        <w:pStyle w:val="ListParagraph"/>
        <w:widowControl/>
        <w:numPr>
          <w:ilvl w:val="1"/>
          <w:numId w:val="1"/>
        </w:numPr>
        <w:spacing w:after="120"/>
        <w:rPr>
          <w:rFonts w:asciiTheme="minorHAnsi" w:hAnsiTheme="minorHAnsi"/>
          <w:szCs w:val="20"/>
        </w:rPr>
      </w:pPr>
      <w:r w:rsidRPr="00200A5D">
        <w:rPr>
          <w:rFonts w:asciiTheme="minorHAnsi" w:hAnsiTheme="minorHAnsi"/>
          <w:szCs w:val="20"/>
        </w:rPr>
        <w:t xml:space="preserve">The PBAC </w:t>
      </w:r>
      <w:r w:rsidR="005B4037">
        <w:rPr>
          <w:rFonts w:asciiTheme="minorHAnsi" w:hAnsiTheme="minorHAnsi"/>
          <w:szCs w:val="20"/>
        </w:rPr>
        <w:t>not</w:t>
      </w:r>
      <w:r w:rsidRPr="00200A5D">
        <w:rPr>
          <w:rFonts w:asciiTheme="minorHAnsi" w:hAnsiTheme="minorHAnsi"/>
          <w:szCs w:val="20"/>
        </w:rPr>
        <w:t xml:space="preserve">ed additional data (see Table </w:t>
      </w:r>
      <w:r w:rsidR="008E01E7">
        <w:rPr>
          <w:rFonts w:asciiTheme="minorHAnsi" w:hAnsiTheme="minorHAnsi"/>
          <w:szCs w:val="20"/>
        </w:rPr>
        <w:t>6</w:t>
      </w:r>
      <w:r w:rsidRPr="00200A5D">
        <w:rPr>
          <w:rFonts w:asciiTheme="minorHAnsi" w:hAnsiTheme="minorHAnsi"/>
          <w:szCs w:val="20"/>
        </w:rPr>
        <w:t>) from</w:t>
      </w:r>
      <w:r w:rsidR="008E01E7">
        <w:rPr>
          <w:rFonts w:asciiTheme="minorHAnsi" w:hAnsiTheme="minorHAnsi"/>
          <w:szCs w:val="20"/>
        </w:rPr>
        <w:t xml:space="preserve"> ATAGI (Pre-submission advice</w:t>
      </w:r>
      <w:r w:rsidRPr="00200A5D">
        <w:rPr>
          <w:rFonts w:asciiTheme="minorHAnsi" w:hAnsiTheme="minorHAnsi"/>
          <w:szCs w:val="20"/>
        </w:rPr>
        <w:t xml:space="preserve">) which showed that over the six years, 2011 to 2016, B strain was responsible for an average of 18% of hospitalisations in the proposed population, again with high variation across years.  The PBAC noted the variation in B strain prevalence over this period and ATAGI’s advice that there does not appear to be a regular pattern over time in the proportions of A and B strains.  </w:t>
      </w:r>
    </w:p>
    <w:p w:rsidR="00200A5D" w:rsidRPr="008B6998" w:rsidRDefault="00200A5D" w:rsidP="008B6998">
      <w:pPr>
        <w:widowControl/>
        <w:rPr>
          <w:rFonts w:ascii="Arial Narrow" w:hAnsi="Arial Narrow"/>
          <w:b/>
          <w:sz w:val="20"/>
          <w:szCs w:val="20"/>
        </w:rPr>
      </w:pPr>
      <w:r w:rsidRPr="008B6998">
        <w:rPr>
          <w:rFonts w:ascii="Arial Narrow" w:hAnsi="Arial Narrow"/>
          <w:b/>
          <w:sz w:val="20"/>
          <w:szCs w:val="20"/>
        </w:rPr>
        <w:t xml:space="preserve">Table </w:t>
      </w:r>
      <w:r w:rsidR="008E01E7" w:rsidRPr="008B6998">
        <w:rPr>
          <w:rFonts w:ascii="Arial Narrow" w:hAnsi="Arial Narrow"/>
          <w:b/>
          <w:sz w:val="20"/>
          <w:szCs w:val="20"/>
        </w:rPr>
        <w:t>6</w:t>
      </w:r>
      <w:r w:rsidRPr="008B6998">
        <w:rPr>
          <w:rFonts w:ascii="Arial Narrow" w:hAnsi="Arial Narrow"/>
          <w:b/>
          <w:sz w:val="20"/>
          <w:szCs w:val="20"/>
        </w:rPr>
        <w:t xml:space="preserve">: Proportion of cases attributable to influenza types A and B among hospitalised influenza cases aged </w:t>
      </w:r>
      <w:r w:rsidRPr="008B6998">
        <w:rPr>
          <w:rFonts w:ascii="Arial Narrow" w:hAnsi="Arial Narrow" w:cstheme="minorHAnsi"/>
          <w:b/>
          <w:sz w:val="20"/>
          <w:szCs w:val="20"/>
        </w:rPr>
        <w:t>≥</w:t>
      </w:r>
      <w:r w:rsidRPr="008B6998">
        <w:rPr>
          <w:rFonts w:ascii="Arial Narrow" w:hAnsi="Arial Narrow"/>
          <w:b/>
          <w:sz w:val="20"/>
          <w:szCs w:val="20"/>
        </w:rPr>
        <w:t>65 years, 2011-2016</w:t>
      </w:r>
      <w:r w:rsidR="00EF403D" w:rsidRPr="008B6998">
        <w:rPr>
          <w:rFonts w:ascii="Arial Narrow" w:hAnsi="Arial Narrow"/>
          <w:b/>
          <w:sz w:val="20"/>
          <w:szCs w:val="20"/>
        </w:rPr>
        <w:t xml:space="preserve"> (Unpublished data from </w:t>
      </w:r>
      <w:proofErr w:type="spellStart"/>
      <w:r w:rsidR="00EF403D" w:rsidRPr="008B6998">
        <w:rPr>
          <w:rFonts w:ascii="Arial Narrow" w:hAnsi="Arial Narrow"/>
          <w:b/>
          <w:sz w:val="20"/>
          <w:szCs w:val="20"/>
        </w:rPr>
        <w:t>FluCAN</w:t>
      </w:r>
      <w:proofErr w:type="spellEnd"/>
      <w:r w:rsidR="00EF403D" w:rsidRPr="008B6998">
        <w:rPr>
          <w:rFonts w:ascii="Arial Narrow" w:hAnsi="Arial Narrow"/>
          <w:b/>
          <w:sz w:val="20"/>
          <w:szCs w:val="20"/>
        </w:rPr>
        <w:t>)</w:t>
      </w:r>
    </w:p>
    <w:p w:rsidR="00200A5D" w:rsidRPr="008B6998" w:rsidRDefault="00200A5D" w:rsidP="008B6998">
      <w:pPr>
        <w:widowControl/>
        <w:spacing w:after="120"/>
        <w:rPr>
          <w:rFonts w:asciiTheme="minorHAnsi" w:hAnsiTheme="minorHAnsi"/>
          <w:szCs w:val="20"/>
        </w:rPr>
      </w:pPr>
      <w:r>
        <w:rPr>
          <w:noProof/>
          <w:snapToGrid/>
          <w:lang w:eastAsia="en-AU"/>
        </w:rPr>
        <w:drawing>
          <wp:inline distT="0" distB="0" distL="0" distR="0" wp14:anchorId="12065864" wp14:editId="6E9839BB">
            <wp:extent cx="5707380" cy="1057662"/>
            <wp:effectExtent l="0" t="0" r="0" b="9525"/>
            <wp:docPr id="8" name="Picture 8" descr="Table 6: Proportion of cases attributable to influenza types A and B among hospitalised influenza cases aged ≥65 years, 2011-2016 (Unpublished data from FluCAN)" title="Table 6: Proportion of cases attributable to influenza types A and B among hospitalised influenza cases aged ≥65 years, 2011-2016 (Unpublished data from Flu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07380" cy="1057662"/>
                    </a:xfrm>
                    <a:prstGeom prst="rect">
                      <a:avLst/>
                    </a:prstGeom>
                  </pic:spPr>
                </pic:pic>
              </a:graphicData>
            </a:graphic>
          </wp:inline>
        </w:drawing>
      </w:r>
    </w:p>
    <w:p w:rsidR="00200A5D" w:rsidRPr="008B6998" w:rsidRDefault="00200A5D" w:rsidP="008B6998">
      <w:pPr>
        <w:widowControl/>
        <w:spacing w:after="120"/>
        <w:rPr>
          <w:rFonts w:ascii="Arial Narrow" w:hAnsi="Arial Narrow"/>
          <w:sz w:val="20"/>
          <w:szCs w:val="20"/>
        </w:rPr>
      </w:pPr>
      <w:r w:rsidRPr="008B6998">
        <w:rPr>
          <w:rFonts w:ascii="Arial Narrow" w:hAnsi="Arial Narrow"/>
          <w:sz w:val="20"/>
          <w:szCs w:val="20"/>
        </w:rPr>
        <w:t>Source: ATAGI Pre-submission advice</w:t>
      </w:r>
      <w:bookmarkStart w:id="23" w:name="_GoBack"/>
      <w:bookmarkEnd w:id="23"/>
    </w:p>
    <w:p w:rsidR="00200A5D" w:rsidRDefault="00200A5D" w:rsidP="008B6998">
      <w:pPr>
        <w:pStyle w:val="ListParagraph"/>
        <w:widowControl/>
        <w:numPr>
          <w:ilvl w:val="1"/>
          <w:numId w:val="1"/>
        </w:numPr>
        <w:spacing w:after="120"/>
        <w:rPr>
          <w:rFonts w:asciiTheme="minorHAnsi" w:hAnsiTheme="minorHAnsi"/>
          <w:szCs w:val="20"/>
        </w:rPr>
      </w:pPr>
      <w:r>
        <w:rPr>
          <w:rFonts w:asciiTheme="minorHAnsi" w:hAnsiTheme="minorHAnsi"/>
          <w:szCs w:val="20"/>
        </w:rPr>
        <w:t>The PBAC</w:t>
      </w:r>
      <w:r w:rsidR="005B4037">
        <w:rPr>
          <w:rFonts w:asciiTheme="minorHAnsi" w:hAnsiTheme="minorHAnsi"/>
          <w:szCs w:val="20"/>
        </w:rPr>
        <w:t xml:space="preserve"> also</w:t>
      </w:r>
      <w:r>
        <w:rPr>
          <w:rFonts w:asciiTheme="minorHAnsi" w:hAnsiTheme="minorHAnsi"/>
          <w:szCs w:val="20"/>
        </w:rPr>
        <w:t xml:space="preserve"> </w:t>
      </w:r>
      <w:r w:rsidR="005B4037">
        <w:rPr>
          <w:rFonts w:asciiTheme="minorHAnsi" w:hAnsiTheme="minorHAnsi"/>
          <w:szCs w:val="20"/>
        </w:rPr>
        <w:t>not</w:t>
      </w:r>
      <w:r>
        <w:rPr>
          <w:rFonts w:asciiTheme="minorHAnsi" w:hAnsiTheme="minorHAnsi"/>
          <w:szCs w:val="20"/>
        </w:rPr>
        <w:t xml:space="preserve">ed additional data (see </w:t>
      </w:r>
      <w:r w:rsidR="008E01E7">
        <w:rPr>
          <w:rFonts w:asciiTheme="minorHAnsi" w:hAnsiTheme="minorHAnsi"/>
          <w:szCs w:val="20"/>
        </w:rPr>
        <w:t>Table 7</w:t>
      </w:r>
      <w:r>
        <w:rPr>
          <w:rFonts w:asciiTheme="minorHAnsi" w:hAnsiTheme="minorHAnsi"/>
          <w:szCs w:val="20"/>
        </w:rPr>
        <w:t xml:space="preserve">) from ATAGI (Pre-submission advice) which included data across 2002 to 2016 showing the proportion of B strain influenza, distribution of B lineage and vaccine matching success over that time.  </w:t>
      </w:r>
      <w:r w:rsidRPr="00C01D19">
        <w:rPr>
          <w:rFonts w:asciiTheme="minorHAnsi" w:hAnsiTheme="minorHAnsi"/>
          <w:szCs w:val="20"/>
        </w:rPr>
        <w:t>These data showed that the predominant B lineage over time has varied and that the match between the lineage and vaccine inclusion has varied.</w:t>
      </w:r>
    </w:p>
    <w:p w:rsidR="00200A5D" w:rsidRPr="008B6998" w:rsidRDefault="00200A5D" w:rsidP="008B6998">
      <w:pPr>
        <w:keepNext/>
        <w:widowControl/>
        <w:spacing w:after="120"/>
        <w:rPr>
          <w:rFonts w:ascii="Arial Narrow" w:hAnsi="Arial Narrow"/>
          <w:b/>
          <w:sz w:val="20"/>
          <w:szCs w:val="20"/>
        </w:rPr>
      </w:pPr>
      <w:r w:rsidRPr="008B6998">
        <w:rPr>
          <w:rFonts w:ascii="Arial Narrow" w:hAnsi="Arial Narrow"/>
          <w:b/>
          <w:sz w:val="20"/>
          <w:szCs w:val="20"/>
        </w:rPr>
        <w:lastRenderedPageBreak/>
        <w:t xml:space="preserve">Table </w:t>
      </w:r>
      <w:r w:rsidR="006B3AF7" w:rsidRPr="008B6998">
        <w:rPr>
          <w:rFonts w:ascii="Arial Narrow" w:hAnsi="Arial Narrow"/>
          <w:b/>
          <w:sz w:val="20"/>
          <w:szCs w:val="20"/>
        </w:rPr>
        <w:t>7</w:t>
      </w:r>
      <w:r w:rsidRPr="008B6998">
        <w:rPr>
          <w:rFonts w:ascii="Arial Narrow" w:hAnsi="Arial Narrow"/>
          <w:b/>
          <w:sz w:val="20"/>
          <w:szCs w:val="20"/>
        </w:rPr>
        <w:t>: Proportion of B subtypes out of all notified cases with subtype information, and different B lineages in Australians aged ≥65 years, by year, 2002-2016</w:t>
      </w:r>
    </w:p>
    <w:p w:rsidR="00200A5D" w:rsidRPr="008B6998" w:rsidRDefault="00200A5D" w:rsidP="008B6998">
      <w:pPr>
        <w:widowControl/>
        <w:spacing w:after="120"/>
        <w:rPr>
          <w:rFonts w:asciiTheme="minorHAnsi" w:hAnsiTheme="minorHAnsi"/>
          <w:szCs w:val="20"/>
        </w:rPr>
      </w:pPr>
      <w:r>
        <w:rPr>
          <w:noProof/>
          <w:snapToGrid/>
          <w:lang w:eastAsia="en-AU"/>
        </w:rPr>
        <w:drawing>
          <wp:inline distT="0" distB="0" distL="0" distR="0" wp14:anchorId="1027047E" wp14:editId="3776384B">
            <wp:extent cx="5684520" cy="5410200"/>
            <wp:effectExtent l="0" t="0" r="0" b="0"/>
            <wp:docPr id="9" name="Picture 9" descr="Table 7: Proportion of B subtypes out of all notified cases with subtype information, and different B lineages in Australians aged ≥65 years, by year, 2002-2016" title="Table 7: Proportion of B subtypes out of all notified cases with subtype information, and different B lineages in Australians aged ≥65 years, by year, 200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84520" cy="5410200"/>
                    </a:xfrm>
                    <a:prstGeom prst="rect">
                      <a:avLst/>
                    </a:prstGeom>
                  </pic:spPr>
                </pic:pic>
              </a:graphicData>
            </a:graphic>
          </wp:inline>
        </w:drawing>
      </w:r>
    </w:p>
    <w:p w:rsidR="00200A5D" w:rsidRDefault="00200A5D" w:rsidP="008B6998">
      <w:pPr>
        <w:pStyle w:val="ListParagraph"/>
        <w:widowControl/>
        <w:numPr>
          <w:ilvl w:val="1"/>
          <w:numId w:val="1"/>
        </w:numPr>
        <w:spacing w:after="120"/>
        <w:rPr>
          <w:rFonts w:asciiTheme="minorHAnsi" w:hAnsiTheme="minorHAnsi"/>
          <w:szCs w:val="20"/>
        </w:rPr>
      </w:pPr>
      <w:r>
        <w:rPr>
          <w:rFonts w:asciiTheme="minorHAnsi" w:hAnsiTheme="minorHAnsi"/>
          <w:szCs w:val="20"/>
        </w:rPr>
        <w:t xml:space="preserve">The PBAC </w:t>
      </w:r>
      <w:r w:rsidR="005B4037">
        <w:rPr>
          <w:rFonts w:asciiTheme="minorHAnsi" w:hAnsiTheme="minorHAnsi"/>
          <w:szCs w:val="20"/>
        </w:rPr>
        <w:t>not</w:t>
      </w:r>
      <w:r>
        <w:rPr>
          <w:rFonts w:asciiTheme="minorHAnsi" w:hAnsiTheme="minorHAnsi"/>
          <w:szCs w:val="20"/>
        </w:rPr>
        <w:t xml:space="preserve">ed ATAGI’s advice (Pre-submission advice) regarding the unpredictable variation in strain prevalence over time, the likely impact of the lost B strain in the proposed population, cross-protection in a mismatched vaccine, </w:t>
      </w:r>
      <w:r w:rsidR="005B4037">
        <w:rPr>
          <w:rFonts w:asciiTheme="minorHAnsi" w:hAnsiTheme="minorHAnsi"/>
          <w:szCs w:val="20"/>
        </w:rPr>
        <w:t xml:space="preserve">and </w:t>
      </w:r>
      <w:r>
        <w:rPr>
          <w:rFonts w:asciiTheme="minorHAnsi" w:hAnsiTheme="minorHAnsi"/>
          <w:szCs w:val="20"/>
        </w:rPr>
        <w:t xml:space="preserve">the </w:t>
      </w:r>
      <w:r w:rsidR="008A355D">
        <w:rPr>
          <w:rFonts w:asciiTheme="minorHAnsi" w:hAnsiTheme="minorHAnsi"/>
          <w:szCs w:val="20"/>
        </w:rPr>
        <w:t xml:space="preserve">risk </w:t>
      </w:r>
      <w:r>
        <w:rPr>
          <w:rFonts w:asciiTheme="minorHAnsi" w:hAnsiTheme="minorHAnsi"/>
          <w:szCs w:val="20"/>
        </w:rPr>
        <w:t>of B strain mismatch</w:t>
      </w:r>
      <w:r w:rsidR="008A355D">
        <w:rPr>
          <w:rFonts w:asciiTheme="minorHAnsi" w:hAnsiTheme="minorHAnsi"/>
          <w:szCs w:val="20"/>
        </w:rPr>
        <w:t>.</w:t>
      </w:r>
      <w:r>
        <w:rPr>
          <w:rFonts w:asciiTheme="minorHAnsi" w:hAnsiTheme="minorHAnsi"/>
          <w:szCs w:val="20"/>
        </w:rPr>
        <w:t xml:space="preserve"> </w:t>
      </w:r>
      <w:r w:rsidR="008A355D">
        <w:rPr>
          <w:rFonts w:asciiTheme="minorHAnsi" w:hAnsiTheme="minorHAnsi"/>
          <w:szCs w:val="20"/>
        </w:rPr>
        <w:t>T</w:t>
      </w:r>
      <w:r w:rsidR="005B4037">
        <w:rPr>
          <w:rFonts w:asciiTheme="minorHAnsi" w:hAnsiTheme="minorHAnsi"/>
          <w:szCs w:val="20"/>
        </w:rPr>
        <w:t xml:space="preserve">he Committee </w:t>
      </w:r>
      <w:r>
        <w:rPr>
          <w:rFonts w:asciiTheme="minorHAnsi" w:hAnsiTheme="minorHAnsi"/>
          <w:szCs w:val="20"/>
        </w:rPr>
        <w:t xml:space="preserve">considered that although some factors favoured </w:t>
      </w:r>
      <w:r w:rsidR="005B4037">
        <w:rPr>
          <w:rFonts w:asciiTheme="minorHAnsi" w:hAnsiTheme="minorHAnsi"/>
          <w:szCs w:val="20"/>
        </w:rPr>
        <w:t>the argument that TIV-SD may be a suitable proxy for QIV</w:t>
      </w:r>
      <w:r w:rsidR="005B4037">
        <w:rPr>
          <w:rFonts w:asciiTheme="minorHAnsi" w:hAnsiTheme="minorHAnsi"/>
          <w:szCs w:val="20"/>
        </w:rPr>
        <w:softHyphen/>
        <w:t>-SD</w:t>
      </w:r>
      <w:r>
        <w:rPr>
          <w:rFonts w:asciiTheme="minorHAnsi" w:hAnsiTheme="minorHAnsi"/>
          <w:szCs w:val="20"/>
        </w:rPr>
        <w:t xml:space="preserve">, </w:t>
      </w:r>
      <w:r w:rsidR="008A355D">
        <w:rPr>
          <w:rFonts w:asciiTheme="minorHAnsi" w:hAnsiTheme="minorHAnsi"/>
          <w:szCs w:val="20"/>
        </w:rPr>
        <w:t>other factors</w:t>
      </w:r>
      <w:r>
        <w:rPr>
          <w:rFonts w:asciiTheme="minorHAnsi" w:hAnsiTheme="minorHAnsi"/>
          <w:szCs w:val="20"/>
        </w:rPr>
        <w:t xml:space="preserve"> did not. </w:t>
      </w:r>
    </w:p>
    <w:p w:rsidR="00D53E4A" w:rsidRPr="00432850" w:rsidRDefault="00D53E4A" w:rsidP="006B3AF7">
      <w:pPr>
        <w:pStyle w:val="Heading2"/>
        <w:spacing w:after="160"/>
      </w:pPr>
      <w:bookmarkStart w:id="24" w:name="_Toc371170708"/>
      <w:bookmarkStart w:id="25" w:name="_Toc514248221"/>
      <w:r w:rsidRPr="00432850">
        <w:t>Benefits/harms</w:t>
      </w:r>
      <w:bookmarkEnd w:id="24"/>
      <w:bookmarkEnd w:id="25"/>
    </w:p>
    <w:p w:rsidR="00D53E4A" w:rsidRDefault="00D53E4A" w:rsidP="00161E40">
      <w:pPr>
        <w:pStyle w:val="ListParagraph"/>
        <w:widowControl/>
        <w:numPr>
          <w:ilvl w:val="1"/>
          <w:numId w:val="1"/>
        </w:numPr>
      </w:pPr>
      <w:r w:rsidRPr="008B2FD3">
        <w:t xml:space="preserve">A summary of the comparative benefits and harms for TIV-HD versus TIV-SD is presented in </w:t>
      </w:r>
      <w:r w:rsidR="00C62F3B">
        <w:t>Table 8</w:t>
      </w:r>
      <w:r w:rsidRPr="008B2FD3">
        <w:t xml:space="preserve">. The benefit results were only derived from the FIM12 trial as results from the </w:t>
      </w:r>
      <w:proofErr w:type="spellStart"/>
      <w:r w:rsidRPr="008B2FD3">
        <w:t>Gravenstein</w:t>
      </w:r>
      <w:proofErr w:type="spellEnd"/>
      <w:r w:rsidRPr="008B2FD3">
        <w:t xml:space="preserve"> study </w:t>
      </w:r>
      <w:r w:rsidR="00F3716F" w:rsidRPr="008B2FD3">
        <w:t xml:space="preserve">were </w:t>
      </w:r>
      <w:r w:rsidRPr="008B2FD3">
        <w:t>not used in the economic model</w:t>
      </w:r>
      <w:r w:rsidR="009A26BE" w:rsidRPr="008B2FD3">
        <w:t xml:space="preserve"> as the </w:t>
      </w:r>
      <w:proofErr w:type="spellStart"/>
      <w:r w:rsidR="009A26BE" w:rsidRPr="008B2FD3">
        <w:t>Gravenstein</w:t>
      </w:r>
      <w:proofErr w:type="spellEnd"/>
      <w:r w:rsidR="009A26BE" w:rsidRPr="008B2FD3">
        <w:t xml:space="preserve"> study was conducted in the aged care setting </w:t>
      </w:r>
      <w:r w:rsidR="003C74A5" w:rsidRPr="008B2FD3">
        <w:t xml:space="preserve">(a sub-set of the </w:t>
      </w:r>
      <w:r w:rsidR="009A26BE" w:rsidRPr="008B2FD3">
        <w:t>NIP population</w:t>
      </w:r>
      <w:r w:rsidR="003C74A5" w:rsidRPr="008B2FD3">
        <w:t>)</w:t>
      </w:r>
      <w:r w:rsidRPr="008B2FD3">
        <w:t xml:space="preserve">. </w:t>
      </w:r>
    </w:p>
    <w:p w:rsidR="00D53E4A" w:rsidRPr="008B2FD3" w:rsidRDefault="00D53E4A" w:rsidP="00B915FA">
      <w:pPr>
        <w:keepNext/>
        <w:rPr>
          <w:rStyle w:val="CommentReference"/>
        </w:rPr>
      </w:pPr>
      <w:r w:rsidRPr="008B2FD3">
        <w:rPr>
          <w:rStyle w:val="CommentReference"/>
        </w:rPr>
        <w:lastRenderedPageBreak/>
        <w:t xml:space="preserve">Table </w:t>
      </w:r>
      <w:r w:rsidR="00C62F3B">
        <w:rPr>
          <w:rStyle w:val="CommentReference"/>
        </w:rPr>
        <w:t>8</w:t>
      </w:r>
      <w:r w:rsidRPr="008B2FD3">
        <w:rPr>
          <w:rStyle w:val="CommentReference"/>
        </w:rPr>
        <w:t>: Summary of comparative benefits and harms for TIV-HD and TIV-SD</w:t>
      </w:r>
    </w:p>
    <w:tbl>
      <w:tblPr>
        <w:tblW w:w="5000" w:type="pct"/>
        <w:tblLayout w:type="fixed"/>
        <w:tblCellMar>
          <w:left w:w="28" w:type="dxa"/>
          <w:right w:w="28" w:type="dxa"/>
        </w:tblCellMar>
        <w:tblLook w:val="04A0" w:firstRow="1" w:lastRow="0" w:firstColumn="1" w:lastColumn="0" w:noHBand="0" w:noVBand="1"/>
      </w:tblPr>
      <w:tblGrid>
        <w:gridCol w:w="1708"/>
        <w:gridCol w:w="1001"/>
        <w:gridCol w:w="888"/>
        <w:gridCol w:w="1564"/>
        <w:gridCol w:w="1141"/>
        <w:gridCol w:w="91"/>
        <w:gridCol w:w="1135"/>
        <w:gridCol w:w="145"/>
        <w:gridCol w:w="1410"/>
      </w:tblGrid>
      <w:tr w:rsidR="00D53E4A" w:rsidRPr="008B2FD3" w:rsidTr="003B0926">
        <w:trPr>
          <w:trHeight w:val="150"/>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B915FA">
            <w:pPr>
              <w:keepNext/>
              <w:rPr>
                <w:rFonts w:ascii="Arial Narrow" w:hAnsi="Arial Narrow"/>
                <w:b/>
                <w:color w:val="000000"/>
                <w:sz w:val="20"/>
                <w:szCs w:val="18"/>
              </w:rPr>
            </w:pPr>
            <w:r w:rsidRPr="008B2FD3">
              <w:rPr>
                <w:rFonts w:ascii="Arial Narrow" w:hAnsi="Arial Narrow"/>
                <w:b/>
                <w:color w:val="000000"/>
                <w:sz w:val="20"/>
                <w:szCs w:val="18"/>
              </w:rPr>
              <w:t>Trial</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TIV-HD (n)</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TIV-SD (n)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proofErr w:type="spellStart"/>
            <w:r w:rsidRPr="008B2FD3">
              <w:rPr>
                <w:rFonts w:ascii="Arial Narrow" w:hAnsi="Arial Narrow"/>
                <w:b/>
                <w:sz w:val="20"/>
                <w:szCs w:val="20"/>
              </w:rPr>
              <w:t>rVE</w:t>
            </w:r>
            <w:proofErr w:type="spellEnd"/>
            <w:r w:rsidRPr="008B2FD3">
              <w:rPr>
                <w:rFonts w:ascii="Arial Narrow" w:hAnsi="Arial Narrow"/>
                <w:b/>
                <w:color w:val="000000"/>
                <w:sz w:val="20"/>
                <w:szCs w:val="18"/>
              </w:rPr>
              <w:t xml:space="preserve"> </w:t>
            </w:r>
            <w:r w:rsidR="00C62F3B">
              <w:rPr>
                <w:rFonts w:ascii="Arial Narrow" w:hAnsi="Arial Narrow"/>
                <w:b/>
                <w:color w:val="000000"/>
                <w:sz w:val="20"/>
                <w:szCs w:val="18"/>
              </w:rPr>
              <w:br/>
            </w:r>
            <w:r w:rsidRPr="008B2FD3">
              <w:rPr>
                <w:rFonts w:ascii="Arial Narrow" w:hAnsi="Arial Narrow"/>
                <w:b/>
                <w:color w:val="000000"/>
                <w:sz w:val="20"/>
                <w:szCs w:val="18"/>
              </w:rPr>
              <w:t>(95% CI)</w:t>
            </w:r>
          </w:p>
        </w:tc>
        <w:tc>
          <w:tcPr>
            <w:tcW w:w="1303"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 xml:space="preserve">Event rate/1000 patients* </w:t>
            </w:r>
          </w:p>
        </w:tc>
        <w:tc>
          <w:tcPr>
            <w:tcW w:w="856" w:type="pct"/>
            <w:gridSpan w:val="2"/>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RD/1000 patients</w:t>
            </w:r>
          </w:p>
        </w:tc>
      </w:tr>
      <w:tr w:rsidR="00D53E4A" w:rsidRPr="008B2FD3" w:rsidTr="003B0926">
        <w:trPr>
          <w:trHeight w:val="70"/>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B915FA">
            <w:pPr>
              <w:keepNext/>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TIV-HD</w:t>
            </w:r>
          </w:p>
        </w:tc>
        <w:tc>
          <w:tcPr>
            <w:tcW w:w="625"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r w:rsidRPr="008B2FD3">
              <w:rPr>
                <w:rFonts w:ascii="Arial Narrow" w:hAnsi="Arial Narrow"/>
                <w:b/>
                <w:color w:val="000000"/>
                <w:sz w:val="20"/>
                <w:szCs w:val="18"/>
              </w:rPr>
              <w:t>TIV-SD</w:t>
            </w:r>
          </w:p>
        </w:tc>
        <w:tc>
          <w:tcPr>
            <w:tcW w:w="856" w:type="pct"/>
            <w:gridSpan w:val="2"/>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b/>
                <w:color w:val="000000"/>
                <w:sz w:val="20"/>
                <w:szCs w:val="18"/>
              </w:rPr>
            </w:pPr>
          </w:p>
        </w:tc>
      </w:tr>
      <w:tr w:rsidR="00D53E4A" w:rsidRPr="008B2FD3" w:rsidTr="003B0926">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rsidR="00D53E4A" w:rsidRPr="008B2FD3" w:rsidRDefault="00D53E4A" w:rsidP="00B915FA">
            <w:pPr>
              <w:keepNext/>
              <w:rPr>
                <w:rFonts w:ascii="Arial Narrow" w:hAnsi="Arial Narrow"/>
                <w:b/>
                <w:color w:val="000000"/>
                <w:sz w:val="20"/>
                <w:szCs w:val="18"/>
              </w:rPr>
            </w:pPr>
            <w:r w:rsidRPr="008B2FD3">
              <w:rPr>
                <w:rFonts w:ascii="Arial Narrow" w:hAnsi="Arial Narrow"/>
                <w:b/>
                <w:color w:val="000000"/>
                <w:sz w:val="20"/>
                <w:szCs w:val="18"/>
              </w:rPr>
              <w:t>Benefits: FIM12</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B915FA">
            <w:pPr>
              <w:keepNext/>
              <w:rPr>
                <w:rFonts w:ascii="Arial Narrow" w:hAnsi="Arial Narrow"/>
                <w:color w:val="000000"/>
                <w:sz w:val="20"/>
                <w:szCs w:val="18"/>
              </w:rPr>
            </w:pPr>
            <w:r w:rsidRPr="008B2FD3">
              <w:rPr>
                <w:rFonts w:ascii="Arial Narrow" w:hAnsi="Arial Narrow"/>
                <w:sz w:val="20"/>
              </w:rPr>
              <w:t>Associated with PD-ILI</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color w:val="000000"/>
                <w:sz w:val="20"/>
                <w:szCs w:val="18"/>
              </w:rPr>
              <w:t>228</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color w:val="000000"/>
                <w:sz w:val="20"/>
                <w:szCs w:val="18"/>
              </w:rPr>
              <w:t>301</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sz w:val="20"/>
              </w:rPr>
              <w:t xml:space="preserve">24.24% </w:t>
            </w:r>
            <w:r w:rsidR="008B6998">
              <w:rPr>
                <w:rFonts w:ascii="Arial Narrow" w:hAnsi="Arial Narrow"/>
                <w:sz w:val="20"/>
              </w:rPr>
              <w:br/>
            </w:r>
            <w:r w:rsidRPr="008B2FD3">
              <w:rPr>
                <w:rFonts w:ascii="Arial Narrow" w:hAnsi="Arial Narrow"/>
                <w:sz w:val="20"/>
              </w:rPr>
              <w:t>(9.71% to 36.50%)</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color w:val="000000"/>
                <w:sz w:val="20"/>
                <w:szCs w:val="18"/>
              </w:rPr>
              <w:t>14.3</w:t>
            </w:r>
          </w:p>
        </w:tc>
        <w:tc>
          <w:tcPr>
            <w:tcW w:w="625"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color w:val="000000"/>
                <w:sz w:val="20"/>
                <w:szCs w:val="18"/>
              </w:rPr>
              <w:t>18.8</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D53E4A" w:rsidRPr="008B2FD3" w:rsidRDefault="00D53E4A" w:rsidP="00B915FA">
            <w:pPr>
              <w:keepNext/>
              <w:jc w:val="center"/>
              <w:rPr>
                <w:rFonts w:ascii="Arial Narrow" w:hAnsi="Arial Narrow"/>
                <w:color w:val="000000"/>
                <w:sz w:val="20"/>
                <w:szCs w:val="18"/>
              </w:rPr>
            </w:pPr>
            <w:r w:rsidRPr="008B2FD3">
              <w:rPr>
                <w:rFonts w:ascii="Arial Narrow" w:hAnsi="Arial Narrow"/>
                <w:color w:val="000000"/>
                <w:sz w:val="20"/>
                <w:szCs w:val="18"/>
              </w:rPr>
              <w:t>-4.5</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rPr>
                <w:rFonts w:ascii="Arial Narrow" w:hAnsi="Arial Narrow"/>
                <w:sz w:val="20"/>
                <w:szCs w:val="20"/>
              </w:rPr>
            </w:pPr>
            <w:r w:rsidRPr="008B2FD3">
              <w:rPr>
                <w:rFonts w:ascii="Arial Narrow" w:hAnsi="Arial Narrow"/>
                <w:sz w:val="20"/>
                <w:szCs w:val="20"/>
              </w:rPr>
              <w:t>All-cause hospitalisation</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1530</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1643</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sz w:val="20"/>
                <w:szCs w:val="20"/>
              </w:rPr>
              <w:t xml:space="preserve">6.9% </w:t>
            </w:r>
            <w:r w:rsidR="008B6998">
              <w:rPr>
                <w:rFonts w:ascii="Arial Narrow" w:hAnsi="Arial Narrow"/>
                <w:sz w:val="20"/>
                <w:szCs w:val="20"/>
              </w:rPr>
              <w:br/>
            </w:r>
            <w:r w:rsidRPr="008B2FD3">
              <w:rPr>
                <w:rFonts w:ascii="Arial Narrow" w:hAnsi="Arial Narrow"/>
                <w:sz w:val="20"/>
                <w:szCs w:val="20"/>
              </w:rPr>
              <w:t>(0.5% to 12.8%)</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95.68</w:t>
            </w:r>
          </w:p>
        </w:tc>
        <w:tc>
          <w:tcPr>
            <w:tcW w:w="625"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102.73</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-7.05</w:t>
            </w:r>
          </w:p>
        </w:tc>
      </w:tr>
      <w:tr w:rsidR="00D53E4A" w:rsidRPr="008B2FD3" w:rsidTr="003B0926">
        <w:tc>
          <w:tcPr>
            <w:tcW w:w="940" w:type="pct"/>
            <w:tcBorders>
              <w:top w:val="single" w:sz="4" w:space="0" w:color="auto"/>
              <w:left w:val="single" w:sz="4" w:space="0" w:color="auto"/>
              <w:bottom w:val="double" w:sz="4" w:space="0" w:color="auto"/>
              <w:right w:val="single" w:sz="4" w:space="0" w:color="auto"/>
            </w:tcBorders>
            <w:shd w:val="clear" w:color="auto" w:fill="auto"/>
            <w:vAlign w:val="center"/>
          </w:tcPr>
          <w:p w:rsidR="00D53E4A" w:rsidRPr="008B2FD3" w:rsidRDefault="00D53E4A" w:rsidP="003B0926">
            <w:pPr>
              <w:rPr>
                <w:rFonts w:ascii="Arial Narrow" w:hAnsi="Arial Narrow"/>
                <w:color w:val="000000"/>
                <w:sz w:val="20"/>
                <w:szCs w:val="18"/>
              </w:rPr>
            </w:pPr>
            <w:r w:rsidRPr="008B2FD3">
              <w:rPr>
                <w:rFonts w:ascii="Arial Narrow" w:hAnsi="Arial Narrow"/>
                <w:sz w:val="20"/>
                <w:szCs w:val="20"/>
              </w:rPr>
              <w:t>Pneumonia events</w:t>
            </w:r>
          </w:p>
        </w:tc>
        <w:tc>
          <w:tcPr>
            <w:tcW w:w="551" w:type="pct"/>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71</w:t>
            </w:r>
          </w:p>
        </w:tc>
        <w:tc>
          <w:tcPr>
            <w:tcW w:w="489" w:type="pct"/>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118</w:t>
            </w:r>
          </w:p>
        </w:tc>
        <w:tc>
          <w:tcPr>
            <w:tcW w:w="861" w:type="pct"/>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sz w:val="20"/>
                <w:szCs w:val="20"/>
              </w:rPr>
              <w:t xml:space="preserve">39.8% </w:t>
            </w:r>
            <w:r w:rsidR="008B6998">
              <w:rPr>
                <w:rFonts w:ascii="Arial Narrow" w:hAnsi="Arial Narrow"/>
                <w:sz w:val="20"/>
                <w:szCs w:val="20"/>
              </w:rPr>
              <w:br/>
            </w:r>
            <w:r w:rsidRPr="008B2FD3">
              <w:rPr>
                <w:rFonts w:ascii="Arial Narrow" w:hAnsi="Arial Narrow"/>
                <w:sz w:val="20"/>
                <w:szCs w:val="20"/>
              </w:rPr>
              <w:t>(19.3% to 55.1%)</w:t>
            </w:r>
          </w:p>
        </w:tc>
        <w:tc>
          <w:tcPr>
            <w:tcW w:w="678" w:type="pct"/>
            <w:gridSpan w:val="2"/>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4.44</w:t>
            </w:r>
          </w:p>
        </w:tc>
        <w:tc>
          <w:tcPr>
            <w:tcW w:w="625" w:type="pct"/>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7.38</w:t>
            </w:r>
          </w:p>
        </w:tc>
        <w:tc>
          <w:tcPr>
            <w:tcW w:w="856" w:type="pct"/>
            <w:gridSpan w:val="2"/>
            <w:tcBorders>
              <w:top w:val="single" w:sz="4" w:space="0" w:color="auto"/>
              <w:left w:val="single" w:sz="4" w:space="0" w:color="auto"/>
              <w:bottom w:val="doub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-2.94</w:t>
            </w:r>
          </w:p>
        </w:tc>
      </w:tr>
      <w:tr w:rsidR="00D53E4A" w:rsidRPr="008B2FD3" w:rsidTr="003B0926">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rPr>
                <w:rFonts w:ascii="Arial Narrow" w:hAnsi="Arial Narrow"/>
                <w:b/>
                <w:color w:val="000000"/>
                <w:sz w:val="20"/>
                <w:szCs w:val="18"/>
              </w:rPr>
            </w:pPr>
            <w:r w:rsidRPr="008B2FD3">
              <w:rPr>
                <w:rFonts w:ascii="Arial Narrow" w:hAnsi="Arial Narrow"/>
                <w:b/>
                <w:color w:val="000000"/>
                <w:sz w:val="20"/>
                <w:szCs w:val="18"/>
              </w:rPr>
              <w:t xml:space="preserve">Harms </w:t>
            </w:r>
          </w:p>
        </w:tc>
      </w:tr>
      <w:tr w:rsidR="00D53E4A" w:rsidRPr="008B2FD3" w:rsidTr="003B0926">
        <w:trPr>
          <w:trHeight w:val="70"/>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rPr>
                <w:rFonts w:ascii="Arial Narrow" w:hAnsi="Arial Narrow"/>
                <w:b/>
                <w:color w:val="000000"/>
                <w:sz w:val="20"/>
                <w:szCs w:val="18"/>
              </w:rPr>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TIV-HD (n)</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TIV-SD (n)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RR</w:t>
            </w:r>
          </w:p>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 xml:space="preserve">Event rate/100 patients </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RD</w:t>
            </w:r>
          </w:p>
        </w:tc>
      </w:tr>
      <w:tr w:rsidR="00D53E4A" w:rsidRPr="008B2FD3" w:rsidTr="00C62F3B">
        <w:trPr>
          <w:trHeight w:val="91"/>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TIV-HD</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r w:rsidRPr="008B2FD3">
              <w:rPr>
                <w:rFonts w:ascii="Arial Narrow" w:hAnsi="Arial Narrow"/>
                <w:b/>
                <w:color w:val="000000"/>
                <w:sz w:val="20"/>
                <w:szCs w:val="18"/>
              </w:rPr>
              <w:t>TIV-SD</w:t>
            </w:r>
          </w:p>
        </w:tc>
        <w:tc>
          <w:tcPr>
            <w:tcW w:w="776" w:type="pct"/>
            <w:vMerge/>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b/>
                <w:color w:val="000000"/>
                <w:sz w:val="20"/>
                <w:szCs w:val="18"/>
              </w:rPr>
            </w:pPr>
          </w:p>
        </w:tc>
      </w:tr>
      <w:tr w:rsidR="00D53E4A" w:rsidRPr="008B2FD3" w:rsidTr="003B0926">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rPr>
                <w:rFonts w:ascii="Arial Narrow" w:hAnsi="Arial Narrow"/>
                <w:b/>
                <w:color w:val="000000"/>
                <w:sz w:val="20"/>
                <w:szCs w:val="18"/>
              </w:rPr>
            </w:pPr>
            <w:r w:rsidRPr="008B2FD3">
              <w:rPr>
                <w:rFonts w:ascii="Arial Narrow" w:hAnsi="Arial Narrow"/>
                <w:b/>
                <w:color w:val="000000"/>
                <w:sz w:val="20"/>
                <w:szCs w:val="18"/>
              </w:rPr>
              <w:t>FIM12</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SAE</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1323</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1442</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8.27</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9.02</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-0.75%</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Death</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83</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84</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0.52</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0.53</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-0.01%</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AE of Special Interest</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6</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0.02</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0.04</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-0.02%</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SAE leading to study discontinuation</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99</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103</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0.62</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0.64</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-0.02%</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Related SAE</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0.02</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0.02%</w:t>
            </w:r>
          </w:p>
        </w:tc>
      </w:tr>
      <w:tr w:rsidR="00D53E4A" w:rsidRPr="008B2FD3" w:rsidTr="003B0926">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53E4A" w:rsidRPr="008B2FD3" w:rsidRDefault="00D53E4A" w:rsidP="003B0926">
            <w:pPr>
              <w:jc w:val="left"/>
              <w:rPr>
                <w:rFonts w:ascii="Arial Narrow" w:hAnsi="Arial Narrow"/>
                <w:b/>
                <w:color w:val="000000"/>
                <w:sz w:val="20"/>
                <w:szCs w:val="18"/>
              </w:rPr>
            </w:pPr>
            <w:r w:rsidRPr="008B2FD3">
              <w:rPr>
                <w:rFonts w:ascii="Arial Narrow" w:hAnsi="Arial Narrow"/>
                <w:b/>
                <w:color w:val="000000"/>
                <w:sz w:val="20"/>
                <w:szCs w:val="18"/>
              </w:rPr>
              <w:t>FIM05 **</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color w:val="000000"/>
                <w:sz w:val="20"/>
                <w:szCs w:val="18"/>
              </w:rPr>
            </w:pPr>
            <w:r w:rsidRPr="008B2FD3">
              <w:rPr>
                <w:rFonts w:ascii="Arial Narrow" w:hAnsi="Arial Narrow"/>
                <w:color w:val="000000"/>
                <w:sz w:val="20"/>
                <w:szCs w:val="18"/>
              </w:rPr>
              <w:t xml:space="preserve">Solicited reaction (D0 to D7) </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1378</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556</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53.6</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44.1</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9.5%</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color w:val="000000"/>
                <w:sz w:val="20"/>
                <w:szCs w:val="18"/>
              </w:rPr>
            </w:pPr>
            <w:r w:rsidRPr="008B2FD3">
              <w:rPr>
                <w:rFonts w:ascii="Arial Narrow" w:hAnsi="Arial Narrow"/>
                <w:color w:val="000000"/>
                <w:sz w:val="20"/>
                <w:szCs w:val="18"/>
              </w:rPr>
              <w:t xml:space="preserve">Solicited injection site reaction </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1076</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394</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41.8</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31.3</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10.5%</w:t>
            </w:r>
          </w:p>
        </w:tc>
      </w:tr>
      <w:tr w:rsidR="00D53E4A" w:rsidRPr="008B2FD3" w:rsidTr="003B0926">
        <w:tc>
          <w:tcPr>
            <w:tcW w:w="940" w:type="pct"/>
            <w:tcBorders>
              <w:top w:val="single" w:sz="4" w:space="0" w:color="auto"/>
              <w:left w:val="single" w:sz="4" w:space="0" w:color="auto"/>
              <w:bottom w:val="single" w:sz="4" w:space="0" w:color="auto"/>
              <w:right w:val="single" w:sz="4" w:space="0" w:color="auto"/>
            </w:tcBorders>
            <w:shd w:val="clear" w:color="auto" w:fill="auto"/>
          </w:tcPr>
          <w:p w:rsidR="00D53E4A" w:rsidRPr="008B2FD3" w:rsidRDefault="00D53E4A" w:rsidP="003B0926">
            <w:pPr>
              <w:jc w:val="left"/>
              <w:rPr>
                <w:rFonts w:ascii="Arial Narrow" w:hAnsi="Arial Narrow"/>
                <w:color w:val="000000"/>
                <w:sz w:val="20"/>
                <w:szCs w:val="18"/>
              </w:rPr>
            </w:pPr>
            <w:r w:rsidRPr="008B2FD3">
              <w:rPr>
                <w:rFonts w:ascii="Arial Narrow" w:hAnsi="Arial Narrow"/>
                <w:color w:val="000000"/>
                <w:sz w:val="20"/>
                <w:szCs w:val="18"/>
              </w:rPr>
              <w:t xml:space="preserve">Solicited systemic reaction </w:t>
            </w:r>
          </w:p>
        </w:tc>
        <w:tc>
          <w:tcPr>
            <w:tcW w:w="55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882</w:t>
            </w:r>
          </w:p>
        </w:tc>
        <w:tc>
          <w:tcPr>
            <w:tcW w:w="489"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370</w:t>
            </w:r>
          </w:p>
        </w:tc>
        <w:tc>
          <w:tcPr>
            <w:tcW w:w="861"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NA</w:t>
            </w:r>
          </w:p>
        </w:tc>
        <w:tc>
          <w:tcPr>
            <w:tcW w:w="62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34.3</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29.4</w:t>
            </w:r>
          </w:p>
        </w:tc>
        <w:tc>
          <w:tcPr>
            <w:tcW w:w="776"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color w:val="000000"/>
                <w:sz w:val="20"/>
                <w:szCs w:val="18"/>
              </w:rPr>
            </w:pPr>
            <w:r w:rsidRPr="008B2FD3">
              <w:rPr>
                <w:rFonts w:ascii="Arial Narrow" w:hAnsi="Arial Narrow"/>
                <w:color w:val="000000"/>
                <w:sz w:val="20"/>
                <w:szCs w:val="18"/>
              </w:rPr>
              <w:t>4.9%</w:t>
            </w:r>
          </w:p>
        </w:tc>
      </w:tr>
    </w:tbl>
    <w:p w:rsidR="00D53E4A" w:rsidRPr="008B2FD3" w:rsidRDefault="00D53E4A" w:rsidP="00D53E4A">
      <w:pPr>
        <w:pStyle w:val="TableFooter"/>
      </w:pPr>
      <w:r w:rsidRPr="008B2FD3">
        <w:t>* Duration of follow-up: FIM12: 2 years</w:t>
      </w:r>
    </w:p>
    <w:p w:rsidR="00D53E4A" w:rsidRPr="008B2FD3" w:rsidRDefault="00D53E4A" w:rsidP="00D53E4A">
      <w:pPr>
        <w:pStyle w:val="TableFooter"/>
      </w:pPr>
      <w:r w:rsidRPr="008B2FD3">
        <w:t>** As FIM12 did not capture immediate reactions or non-serious AEs, the submission reported data on injection site reactions and low grade systemic reactions such as fever, headache, malaise, and myalgia from the FIM05 trial.</w:t>
      </w:r>
    </w:p>
    <w:p w:rsidR="00D53E4A" w:rsidRPr="008B2FD3" w:rsidRDefault="00D53E4A" w:rsidP="00D53E4A">
      <w:pPr>
        <w:pStyle w:val="TableFooter"/>
      </w:pPr>
      <w:r w:rsidRPr="008B2FD3">
        <w:t xml:space="preserve">CI: confidence intervals; NA: not applicable; PD-ILI: Protocol-defined influenza like illness; </w:t>
      </w:r>
      <w:r w:rsidRPr="008B2FD3">
        <w:rPr>
          <w:szCs w:val="18"/>
        </w:rPr>
        <w:t>TIV-HD: High dose trivalent influenza vaccine; TIV-SD: Standard dose trivalent influenza vaccine;</w:t>
      </w:r>
      <w:r w:rsidRPr="008B2FD3">
        <w:t xml:space="preserve"> RD</w:t>
      </w:r>
      <w:r w:rsidR="001050B2" w:rsidRPr="008B2FD3">
        <w:t>:</w:t>
      </w:r>
      <w:r w:rsidRPr="008B2FD3">
        <w:t xml:space="preserve"> risk difference; </w:t>
      </w:r>
    </w:p>
    <w:p w:rsidR="00D53E4A" w:rsidRPr="008B2FD3" w:rsidRDefault="00D53E4A" w:rsidP="00D53E4A">
      <w:pPr>
        <w:pStyle w:val="TableFooter"/>
        <w:rPr>
          <w:sz w:val="20"/>
        </w:rPr>
      </w:pPr>
      <w:r w:rsidRPr="008B2FD3">
        <w:t>Source: Table 2.5.1, p43-44 of the submission; Table 2.5.3, p45 of the submission; Table 2.5.6, p48 of the submission, Table 2.5.7, p50 of the submission and calculated during evaluation.</w:t>
      </w:r>
    </w:p>
    <w:p w:rsidR="00D53E4A" w:rsidRPr="008B2FD3" w:rsidRDefault="00D53E4A" w:rsidP="00432850">
      <w:pPr>
        <w:pStyle w:val="ListParagraph"/>
        <w:widowControl/>
        <w:numPr>
          <w:ilvl w:val="1"/>
          <w:numId w:val="1"/>
        </w:numPr>
        <w:spacing w:before="120"/>
      </w:pPr>
      <w:r w:rsidRPr="008B2FD3">
        <w:t>On the basis of direct evidence presented by the submission, for every 1</w:t>
      </w:r>
      <w:r w:rsidR="00B915FA" w:rsidRPr="008B2FD3">
        <w:t>,</w:t>
      </w:r>
      <w:r w:rsidRPr="008B2FD3">
        <w:t>000 patients treated with TIV-HD in comparison to TIV-SD and over a 2 years duration of follow-up:</w:t>
      </w:r>
    </w:p>
    <w:p w:rsidR="00D53E4A" w:rsidRPr="008B2FD3" w:rsidRDefault="00D53E4A" w:rsidP="00161E40">
      <w:pPr>
        <w:pStyle w:val="ListParagraph"/>
        <w:widowControl/>
        <w:numPr>
          <w:ilvl w:val="0"/>
          <w:numId w:val="6"/>
        </w:numPr>
        <w:ind w:left="993" w:hanging="284"/>
      </w:pPr>
      <w:r w:rsidRPr="008B2FD3">
        <w:t>Approximately 4 fewer patients would have the protocol-defined influenza like illness;</w:t>
      </w:r>
    </w:p>
    <w:p w:rsidR="00D53E4A" w:rsidRPr="008B2FD3" w:rsidRDefault="00D53E4A" w:rsidP="00161E40">
      <w:pPr>
        <w:pStyle w:val="ListParagraph"/>
        <w:widowControl/>
        <w:numPr>
          <w:ilvl w:val="0"/>
          <w:numId w:val="6"/>
        </w:numPr>
        <w:ind w:left="993" w:hanging="284"/>
      </w:pPr>
      <w:r w:rsidRPr="008B2FD3">
        <w:t>Approximately 7 fewer patients would have all-cause hospitalisation;</w:t>
      </w:r>
    </w:p>
    <w:p w:rsidR="00D53E4A" w:rsidRPr="008B2FD3" w:rsidRDefault="00D53E4A" w:rsidP="00161E40">
      <w:pPr>
        <w:pStyle w:val="ListParagraph"/>
        <w:widowControl/>
        <w:numPr>
          <w:ilvl w:val="0"/>
          <w:numId w:val="6"/>
        </w:numPr>
        <w:ind w:left="993" w:hanging="284"/>
      </w:pPr>
      <w:r w:rsidRPr="008B2FD3">
        <w:t>Approximately 3 fewer patients would have pneumonia events;</w:t>
      </w:r>
    </w:p>
    <w:p w:rsidR="00D53E4A" w:rsidRPr="008B2FD3" w:rsidRDefault="00D53E4A" w:rsidP="00161E40">
      <w:pPr>
        <w:pStyle w:val="ListParagraph"/>
        <w:widowControl/>
        <w:numPr>
          <w:ilvl w:val="0"/>
          <w:numId w:val="6"/>
        </w:numPr>
        <w:ind w:left="993" w:hanging="284"/>
      </w:pPr>
      <w:r w:rsidRPr="008B2FD3">
        <w:t>Approximately 8 fewer serious adverse events;</w:t>
      </w:r>
    </w:p>
    <w:p w:rsidR="00D53E4A" w:rsidRPr="008B2FD3" w:rsidRDefault="00D53E4A" w:rsidP="00161E40">
      <w:pPr>
        <w:pStyle w:val="ListParagraph"/>
        <w:widowControl/>
        <w:numPr>
          <w:ilvl w:val="0"/>
          <w:numId w:val="6"/>
        </w:numPr>
        <w:ind w:left="993" w:hanging="284"/>
      </w:pPr>
      <w:r w:rsidRPr="008B2FD3">
        <w:t>Approximately 95 additional solicited reactions;</w:t>
      </w:r>
    </w:p>
    <w:p w:rsidR="00D53E4A" w:rsidRPr="008B2FD3" w:rsidRDefault="00D53E4A" w:rsidP="00161E40">
      <w:pPr>
        <w:pStyle w:val="ListParagraph"/>
        <w:widowControl/>
        <w:numPr>
          <w:ilvl w:val="0"/>
          <w:numId w:val="6"/>
        </w:numPr>
        <w:ind w:left="993" w:hanging="284"/>
      </w:pPr>
      <w:r w:rsidRPr="008B2FD3">
        <w:t>Approximately 105 additional solicited injection site reactions; and</w:t>
      </w:r>
    </w:p>
    <w:p w:rsidR="00D53E4A" w:rsidRDefault="00D53E4A" w:rsidP="00161E40">
      <w:pPr>
        <w:pStyle w:val="ListParagraph"/>
        <w:widowControl/>
        <w:numPr>
          <w:ilvl w:val="0"/>
          <w:numId w:val="6"/>
        </w:numPr>
        <w:ind w:left="993" w:hanging="284"/>
      </w:pPr>
      <w:r w:rsidRPr="008B2FD3">
        <w:t>Approximately 4.9 additional solicited systemic reactions.</w:t>
      </w:r>
    </w:p>
    <w:p w:rsidR="00607BAC" w:rsidRDefault="00607BAC" w:rsidP="00607BAC">
      <w:pPr>
        <w:pStyle w:val="ListParagraph"/>
        <w:widowControl/>
        <w:numPr>
          <w:ilvl w:val="1"/>
          <w:numId w:val="1"/>
        </w:numPr>
      </w:pPr>
      <w:r>
        <w:lastRenderedPageBreak/>
        <w:t>This benefit</w:t>
      </w:r>
      <w:r w:rsidR="006B3AF7">
        <w:t>s</w:t>
      </w:r>
      <w:r>
        <w:t xml:space="preserve">/harms information relates to the comparison of TIV-HD to TIV-SD, not the comparator </w:t>
      </w:r>
      <w:r w:rsidR="002670D3">
        <w:t xml:space="preserve">for the submission, </w:t>
      </w:r>
      <w:r>
        <w:t>QIV</w:t>
      </w:r>
      <w:r w:rsidR="002670D3">
        <w:t>-SD</w:t>
      </w:r>
      <w:r>
        <w:t>.</w:t>
      </w:r>
    </w:p>
    <w:p w:rsidR="00C644F0" w:rsidRPr="008B2FD3" w:rsidRDefault="00C644F0" w:rsidP="00607BAC">
      <w:pPr>
        <w:pStyle w:val="ListParagraph"/>
        <w:widowControl/>
        <w:numPr>
          <w:ilvl w:val="1"/>
          <w:numId w:val="1"/>
        </w:numPr>
      </w:pPr>
      <w:r>
        <w:t xml:space="preserve">The PBAC noted that the benefits/harms table relied on data from influenza seasons </w:t>
      </w:r>
      <w:r w:rsidR="0020280A">
        <w:t xml:space="preserve">in </w:t>
      </w:r>
      <w:r w:rsidR="006B3AF7">
        <w:t>North America</w:t>
      </w:r>
      <w:r w:rsidR="0020280A">
        <w:t xml:space="preserve"> </w:t>
      </w:r>
      <w:r>
        <w:t>with a low prevalence of B strain</w:t>
      </w:r>
      <w:r w:rsidR="0020280A">
        <w:t xml:space="preserve"> influenza</w:t>
      </w:r>
      <w:r>
        <w:t xml:space="preserve">, </w:t>
      </w:r>
      <w:r w:rsidR="0020280A">
        <w:t>which increase</w:t>
      </w:r>
      <w:r w:rsidR="00174729">
        <w:t>d</w:t>
      </w:r>
      <w:r w:rsidR="0020280A">
        <w:t xml:space="preserve"> </w:t>
      </w:r>
      <w:r>
        <w:t>uncertainty around the impact of TIV-</w:t>
      </w:r>
      <w:r w:rsidR="0020280A">
        <w:t>H</w:t>
      </w:r>
      <w:r w:rsidR="00157F18">
        <w:t xml:space="preserve">D on B strains in terms of relative efficacy </w:t>
      </w:r>
      <w:r w:rsidR="00174729">
        <w:t xml:space="preserve">given the </w:t>
      </w:r>
      <w:r w:rsidR="00767DDD">
        <w:t xml:space="preserve">loss of a </w:t>
      </w:r>
      <w:r w:rsidR="00174729">
        <w:t>B strain in TIV versus the QIV</w:t>
      </w:r>
      <w:r w:rsidR="00C7775F">
        <w:t>-SD</w:t>
      </w:r>
      <w:r w:rsidR="00174729">
        <w:t xml:space="preserve"> comparator</w:t>
      </w:r>
      <w:r>
        <w:t>.</w:t>
      </w:r>
    </w:p>
    <w:p w:rsidR="00D53E4A" w:rsidRPr="00432850" w:rsidRDefault="00D53E4A" w:rsidP="00432850">
      <w:pPr>
        <w:pStyle w:val="Heading2"/>
        <w:keepNext/>
        <w:spacing w:before="120" w:after="160"/>
      </w:pPr>
      <w:bookmarkStart w:id="26" w:name="_Toc371170709"/>
      <w:bookmarkStart w:id="27" w:name="_Toc514248222"/>
      <w:r w:rsidRPr="00432850">
        <w:t>Clinical claim</w:t>
      </w:r>
      <w:bookmarkEnd w:id="26"/>
      <w:bookmarkEnd w:id="27"/>
    </w:p>
    <w:p w:rsidR="00D53E4A" w:rsidRPr="008B2FD3" w:rsidRDefault="003C74A5" w:rsidP="00161E40">
      <w:pPr>
        <w:pStyle w:val="ListParagraph"/>
        <w:widowControl/>
        <w:numPr>
          <w:ilvl w:val="1"/>
          <w:numId w:val="1"/>
        </w:numPr>
      </w:pPr>
      <w:r w:rsidRPr="008B2FD3">
        <w:t>The submission claimed that</w:t>
      </w:r>
      <w:r w:rsidR="0048534D">
        <w:t>, based on the evidence available</w:t>
      </w:r>
      <w:r w:rsidRPr="008B2FD3">
        <w:t>:</w:t>
      </w:r>
    </w:p>
    <w:p w:rsidR="00D53E4A" w:rsidRPr="008B2FD3" w:rsidRDefault="00D53E4A" w:rsidP="00161E40">
      <w:pPr>
        <w:pStyle w:val="ListParagraph"/>
        <w:widowControl/>
        <w:numPr>
          <w:ilvl w:val="2"/>
          <w:numId w:val="8"/>
        </w:numPr>
        <w:ind w:left="1276" w:hanging="567"/>
      </w:pPr>
      <w:r w:rsidRPr="008B2FD3">
        <w:t>TIV-HD is superior to TIV-SD in terms of reductions in cases of clinically diagnosed and lab</w:t>
      </w:r>
      <w:r w:rsidR="00DE744D">
        <w:t>oratory confirmed influenza</w:t>
      </w:r>
    </w:p>
    <w:p w:rsidR="00D53E4A" w:rsidRPr="008B2FD3" w:rsidRDefault="00D53E4A" w:rsidP="00161E40">
      <w:pPr>
        <w:pStyle w:val="ListParagraph"/>
        <w:widowControl/>
        <w:numPr>
          <w:ilvl w:val="2"/>
          <w:numId w:val="8"/>
        </w:numPr>
        <w:ind w:left="1276" w:hanging="567"/>
      </w:pPr>
      <w:r w:rsidRPr="008B2FD3">
        <w:t>TIV-HD is superior to TIV-SD in ter</w:t>
      </w:r>
      <w:r w:rsidR="00CE68C8" w:rsidRPr="008B2FD3">
        <w:t>ms of reduction in cardio</w:t>
      </w:r>
      <w:r w:rsidRPr="008B2FD3">
        <w:t>respiratory hosp</w:t>
      </w:r>
      <w:r w:rsidR="00DE744D">
        <w:t>italisations</w:t>
      </w:r>
    </w:p>
    <w:p w:rsidR="00D53E4A" w:rsidRPr="008B2FD3" w:rsidRDefault="00D53E4A" w:rsidP="00161E40">
      <w:pPr>
        <w:pStyle w:val="ListParagraph"/>
        <w:widowControl/>
        <w:numPr>
          <w:ilvl w:val="2"/>
          <w:numId w:val="8"/>
        </w:numPr>
        <w:ind w:left="1276" w:hanging="567"/>
      </w:pPr>
      <w:r w:rsidRPr="008B2FD3">
        <w:t>TIV-HD is well tolerated wi</w:t>
      </w:r>
      <w:r w:rsidR="00DE744D">
        <w:t>th an acceptable safety profile</w:t>
      </w:r>
    </w:p>
    <w:p w:rsidR="00D53E4A" w:rsidRPr="008B2FD3" w:rsidRDefault="00D53E4A" w:rsidP="00161E40">
      <w:pPr>
        <w:pStyle w:val="ListParagraph"/>
        <w:widowControl/>
        <w:numPr>
          <w:ilvl w:val="2"/>
          <w:numId w:val="8"/>
        </w:numPr>
        <w:ind w:left="1276" w:hanging="567"/>
      </w:pPr>
      <w:r w:rsidRPr="008B2FD3">
        <w:t>When comparing with the QIV-SD, the absence of the additional lineage in TIV-HD is not expected to result in substantially reduced protection from influenza infection in the proposed NIP patient population</w:t>
      </w:r>
      <w:r w:rsidR="00F3716F" w:rsidRPr="008B2FD3">
        <w:t>.</w:t>
      </w:r>
    </w:p>
    <w:p w:rsidR="00161E40" w:rsidRPr="0020280A" w:rsidRDefault="005530AC" w:rsidP="00161E40">
      <w:pPr>
        <w:pStyle w:val="ListParagraph"/>
        <w:widowControl/>
        <w:numPr>
          <w:ilvl w:val="1"/>
          <w:numId w:val="1"/>
        </w:numPr>
      </w:pPr>
      <w:r w:rsidRPr="0020280A">
        <w:t>The ESC considered i</w:t>
      </w:r>
      <w:r w:rsidR="00D53E4A" w:rsidRPr="0020280A">
        <w:t xml:space="preserve">t </w:t>
      </w:r>
      <w:r w:rsidR="00100D12">
        <w:t>wa</w:t>
      </w:r>
      <w:r w:rsidR="00D53E4A" w:rsidRPr="0020280A">
        <w:t xml:space="preserve">s reasonable to claim that TIV-HD is superior to TIV-SD in terms of reductions in cases of clinically diagnosed and laboratory confirmed influenza, and that TIV-HD is well tolerated with an acceptable safety profile. However, the claim that TIV-HD is superior to TIV-SD in terms of </w:t>
      </w:r>
      <w:r w:rsidR="0095639B" w:rsidRPr="0020280A">
        <w:t>reducing</w:t>
      </w:r>
      <w:r w:rsidR="00D53E4A" w:rsidRPr="0020280A">
        <w:t xml:space="preserve"> cardiorespiratory hospitalisations</w:t>
      </w:r>
      <w:r w:rsidR="009F3EE8" w:rsidRPr="0020280A">
        <w:t xml:space="preserve"> as a composite outcome</w:t>
      </w:r>
      <w:r w:rsidR="00D53E4A" w:rsidRPr="0020280A">
        <w:t xml:space="preserve"> is not </w:t>
      </w:r>
      <w:r w:rsidR="00A4560F">
        <w:t xml:space="preserve">adequately </w:t>
      </w:r>
      <w:r w:rsidR="00D53E4A" w:rsidRPr="0020280A">
        <w:t xml:space="preserve">supported given that the vaccine efficacy was only significant in </w:t>
      </w:r>
      <w:r w:rsidR="00B915FA" w:rsidRPr="0020280A">
        <w:t>reducing</w:t>
      </w:r>
      <w:r w:rsidR="00D53E4A" w:rsidRPr="0020280A">
        <w:t xml:space="preserve"> pneumonia but not in other cardiorespiratory events.</w:t>
      </w:r>
    </w:p>
    <w:p w:rsidR="00BB5607" w:rsidRPr="00BB5607" w:rsidRDefault="006B15DF" w:rsidP="00246C9B">
      <w:pPr>
        <w:pStyle w:val="ListParagraph"/>
        <w:widowControl/>
        <w:numPr>
          <w:ilvl w:val="1"/>
          <w:numId w:val="1"/>
        </w:numPr>
      </w:pPr>
      <w:r w:rsidRPr="0020280A">
        <w:t xml:space="preserve">The ATAGI </w:t>
      </w:r>
      <w:r>
        <w:t xml:space="preserve">pre-submission advice </w:t>
      </w:r>
      <w:r w:rsidRPr="0020280A">
        <w:t>noted that the key question associated with the submission was whether the additional protection of the high-dose formulation of TIV is greater than the protection conferred by the additional antigenically distinct alterna</w:t>
      </w:r>
      <w:r>
        <w:t>tive B lineage included in QIV</w:t>
      </w:r>
      <w:r w:rsidRPr="0020280A">
        <w:t xml:space="preserve">. </w:t>
      </w:r>
      <w:r w:rsidR="00246C9B">
        <w:t xml:space="preserve">The </w:t>
      </w:r>
      <w:r w:rsidR="00C7775F">
        <w:t>evaluation</w:t>
      </w:r>
      <w:r w:rsidR="00246C9B">
        <w:t xml:space="preserve"> considered that w</w:t>
      </w:r>
      <w:r w:rsidR="00B915FA" w:rsidRPr="008B2FD3">
        <w:t>ithout head-</w:t>
      </w:r>
      <w:r w:rsidR="00D53E4A" w:rsidRPr="008B2FD3">
        <w:t>to</w:t>
      </w:r>
      <w:r w:rsidR="00B915FA" w:rsidRPr="008B2FD3">
        <w:t>-</w:t>
      </w:r>
      <w:r w:rsidR="00D53E4A" w:rsidRPr="008B2FD3">
        <w:t>head comparison between TIV-HD to QIV-SD, it remained uncertain whether TIV-HD was superior compared to QIV-SD</w:t>
      </w:r>
      <w:r w:rsidR="00E03166" w:rsidRPr="008B2FD3">
        <w:t xml:space="preserve"> given the previous finding </w:t>
      </w:r>
      <w:r w:rsidR="00E508CD" w:rsidRPr="008B2FD3">
        <w:t>that</w:t>
      </w:r>
      <w:r w:rsidR="00E03166" w:rsidRPr="008B2FD3">
        <w:t xml:space="preserve"> QIV</w:t>
      </w:r>
      <w:r w:rsidR="00E508CD" w:rsidRPr="008B2FD3">
        <w:noBreakHyphen/>
      </w:r>
      <w:r w:rsidR="00E03166" w:rsidRPr="008B2FD3">
        <w:t>SD</w:t>
      </w:r>
      <w:r w:rsidR="00E508CD" w:rsidRPr="008B2FD3">
        <w:t xml:space="preserve"> might be superior</w:t>
      </w:r>
      <w:r w:rsidR="00E03166" w:rsidRPr="008B2FD3">
        <w:t xml:space="preserve"> </w:t>
      </w:r>
      <w:r w:rsidR="00E508CD" w:rsidRPr="008B2FD3">
        <w:t xml:space="preserve">in immunogenicity results </w:t>
      </w:r>
      <w:r w:rsidR="00E03166" w:rsidRPr="008B2FD3">
        <w:t xml:space="preserve">compared to TIV-SD against </w:t>
      </w:r>
      <w:r w:rsidR="003C74A5" w:rsidRPr="008B2FD3">
        <w:t xml:space="preserve">the </w:t>
      </w:r>
      <w:r w:rsidR="00E03166" w:rsidRPr="008B2FD3">
        <w:t xml:space="preserve">influenza B strain not included in the TIV-SD </w:t>
      </w:r>
      <w:r w:rsidR="00D03AF5" w:rsidRPr="008B2FD3">
        <w:t>vaccine</w:t>
      </w:r>
      <w:r w:rsidR="00E508CD" w:rsidRPr="00645F5B">
        <w:rPr>
          <w:rStyle w:val="FootnoteReference"/>
        </w:rPr>
        <w:footnoteReference w:id="7"/>
      </w:r>
      <w:r w:rsidR="00D53E4A" w:rsidRPr="00645F5B">
        <w:t>.</w:t>
      </w:r>
      <w:r w:rsidR="005530AC" w:rsidRPr="006B15DF">
        <w:rPr>
          <w:szCs w:val="24"/>
        </w:rPr>
        <w:t xml:space="preserve"> </w:t>
      </w:r>
      <w:r w:rsidR="00E3508B" w:rsidRPr="0020280A">
        <w:t xml:space="preserve"> </w:t>
      </w:r>
      <w:r w:rsidR="005530AC" w:rsidRPr="006B15DF">
        <w:rPr>
          <w:szCs w:val="24"/>
        </w:rPr>
        <w:t>The</w:t>
      </w:r>
      <w:r w:rsidR="003D6ABC" w:rsidRPr="006B15DF">
        <w:rPr>
          <w:szCs w:val="24"/>
        </w:rPr>
        <w:t xml:space="preserve"> </w:t>
      </w:r>
      <w:r w:rsidR="005530AC" w:rsidRPr="006B15DF">
        <w:rPr>
          <w:szCs w:val="24"/>
        </w:rPr>
        <w:t xml:space="preserve">PSCR suggested the loss of the alternate B lineage will likely be less relevant given most infections in the target population are A/H3N2. The ESC sought additional verbal advice from ATAGI during </w:t>
      </w:r>
      <w:r w:rsidR="005530AC" w:rsidRPr="006B15DF">
        <w:rPr>
          <w:szCs w:val="24"/>
        </w:rPr>
        <w:lastRenderedPageBreak/>
        <w:t xml:space="preserve">the meeting on this issue and was advised that there is sufficient evidence that the effect of TIV-HD compared to TIV-SD could be a proxy for the effect of TIV-HD compared to QIV-SD. The value of the additional benefit of TIV-HD compared to QIV-SD beyond 12 months is unclear. </w:t>
      </w:r>
    </w:p>
    <w:p w:rsidR="00A20D43" w:rsidRPr="00A20D43" w:rsidRDefault="00E3508B" w:rsidP="00246C9B">
      <w:pPr>
        <w:pStyle w:val="ListParagraph"/>
        <w:widowControl/>
        <w:numPr>
          <w:ilvl w:val="1"/>
          <w:numId w:val="1"/>
        </w:numPr>
      </w:pPr>
      <w:r w:rsidRPr="006B15DF">
        <w:rPr>
          <w:szCs w:val="24"/>
        </w:rPr>
        <w:t>The PBAC noted the ATAGI verbal advice and considered that although the clinical trials supported benefit of TIV-HD compared to TIV</w:t>
      </w:r>
      <w:r w:rsidR="00D14D0E">
        <w:rPr>
          <w:szCs w:val="24"/>
        </w:rPr>
        <w:t>-SD</w:t>
      </w:r>
      <w:r w:rsidRPr="006B15DF">
        <w:rPr>
          <w:szCs w:val="24"/>
        </w:rPr>
        <w:t>, the extrapolation of this</w:t>
      </w:r>
      <w:r w:rsidR="00E61D4D" w:rsidRPr="006B15DF">
        <w:rPr>
          <w:szCs w:val="24"/>
        </w:rPr>
        <w:t xml:space="preserve"> effect</w:t>
      </w:r>
      <w:r w:rsidRPr="006B15DF">
        <w:rPr>
          <w:szCs w:val="24"/>
        </w:rPr>
        <w:t xml:space="preserve"> to QIV-SD was uncertain </w:t>
      </w:r>
      <w:r w:rsidR="00D14D0E">
        <w:rPr>
          <w:szCs w:val="24"/>
        </w:rPr>
        <w:t>gi</w:t>
      </w:r>
      <w:r w:rsidR="005B4037">
        <w:rPr>
          <w:szCs w:val="24"/>
        </w:rPr>
        <w:t>v</w:t>
      </w:r>
      <w:r w:rsidR="00D14D0E">
        <w:rPr>
          <w:szCs w:val="24"/>
        </w:rPr>
        <w:t xml:space="preserve">en the </w:t>
      </w:r>
      <w:r w:rsidR="008A355D">
        <w:rPr>
          <w:szCs w:val="24"/>
        </w:rPr>
        <w:t xml:space="preserve">marked </w:t>
      </w:r>
      <w:r w:rsidR="005B4037">
        <w:rPr>
          <w:szCs w:val="24"/>
        </w:rPr>
        <w:t>variation in</w:t>
      </w:r>
      <w:r w:rsidR="00D14D0E">
        <w:rPr>
          <w:szCs w:val="24"/>
        </w:rPr>
        <w:t xml:space="preserve"> B </w:t>
      </w:r>
      <w:r w:rsidR="005B4037">
        <w:rPr>
          <w:szCs w:val="24"/>
        </w:rPr>
        <w:t>strain</w:t>
      </w:r>
      <w:r w:rsidR="00D14D0E">
        <w:rPr>
          <w:szCs w:val="24"/>
        </w:rPr>
        <w:t xml:space="preserve"> prevalence across different influenza seasons </w:t>
      </w:r>
      <w:r w:rsidRPr="006B15DF">
        <w:rPr>
          <w:szCs w:val="24"/>
        </w:rPr>
        <w:t xml:space="preserve">and there was </w:t>
      </w:r>
      <w:r w:rsidR="008A355D">
        <w:rPr>
          <w:szCs w:val="24"/>
        </w:rPr>
        <w:t xml:space="preserve">therefore </w:t>
      </w:r>
      <w:r w:rsidRPr="006B15DF">
        <w:rPr>
          <w:szCs w:val="24"/>
        </w:rPr>
        <w:t>insufficient evidence on which to determine cost effectiveness.</w:t>
      </w:r>
    </w:p>
    <w:p w:rsidR="00161E40" w:rsidRPr="00BF5C1E" w:rsidRDefault="00161E40" w:rsidP="00BB5607">
      <w:pPr>
        <w:pStyle w:val="ListParagraph"/>
        <w:widowControl/>
        <w:numPr>
          <w:ilvl w:val="1"/>
          <w:numId w:val="1"/>
        </w:numPr>
        <w:rPr>
          <w:rFonts w:asciiTheme="minorHAnsi" w:hAnsiTheme="minorHAnsi"/>
          <w:szCs w:val="20"/>
        </w:rPr>
      </w:pPr>
      <w:r w:rsidRPr="00BB5607">
        <w:rPr>
          <w:szCs w:val="24"/>
        </w:rPr>
        <w:t>The</w:t>
      </w:r>
      <w:r w:rsidRPr="00BF5C1E">
        <w:rPr>
          <w:rFonts w:asciiTheme="minorHAnsi" w:hAnsiTheme="minorHAnsi"/>
          <w:szCs w:val="20"/>
        </w:rPr>
        <w:t xml:space="preserve"> PBAC considered that the claim of </w:t>
      </w:r>
      <w:r w:rsidR="00BF5C1E" w:rsidRPr="00BF5C1E">
        <w:rPr>
          <w:rFonts w:asciiTheme="minorHAnsi" w:hAnsiTheme="minorHAnsi"/>
          <w:szCs w:val="20"/>
        </w:rPr>
        <w:t xml:space="preserve">an acceptable </w:t>
      </w:r>
      <w:r w:rsidRPr="00BF5C1E">
        <w:rPr>
          <w:rFonts w:asciiTheme="minorHAnsi" w:hAnsiTheme="minorHAnsi"/>
          <w:szCs w:val="20"/>
        </w:rPr>
        <w:t xml:space="preserve">comparative safety </w:t>
      </w:r>
      <w:r w:rsidR="00BF5C1E" w:rsidRPr="00BF5C1E">
        <w:rPr>
          <w:rFonts w:asciiTheme="minorHAnsi" w:hAnsiTheme="minorHAnsi"/>
          <w:szCs w:val="20"/>
        </w:rPr>
        <w:t xml:space="preserve">profile </w:t>
      </w:r>
      <w:r w:rsidRPr="00BF5C1E">
        <w:rPr>
          <w:rFonts w:asciiTheme="minorHAnsi" w:hAnsiTheme="minorHAnsi"/>
          <w:szCs w:val="20"/>
        </w:rPr>
        <w:t>was reasonable</w:t>
      </w:r>
      <w:r w:rsidR="00E631A9">
        <w:rPr>
          <w:rFonts w:asciiTheme="minorHAnsi" w:hAnsiTheme="minorHAnsi"/>
          <w:szCs w:val="20"/>
        </w:rPr>
        <w:t>, noting the increased frequency of mild to moderate injection site reactions</w:t>
      </w:r>
      <w:r w:rsidRPr="00BF5C1E">
        <w:rPr>
          <w:rFonts w:asciiTheme="minorHAnsi" w:hAnsiTheme="minorHAnsi"/>
          <w:szCs w:val="20"/>
        </w:rPr>
        <w:t>.</w:t>
      </w:r>
    </w:p>
    <w:p w:rsidR="00D53E4A" w:rsidRPr="00432850" w:rsidRDefault="00D53E4A" w:rsidP="005530AC">
      <w:pPr>
        <w:pStyle w:val="Heading2"/>
        <w:spacing w:after="160"/>
      </w:pPr>
      <w:bookmarkStart w:id="28" w:name="_Toc380679757"/>
      <w:bookmarkStart w:id="29" w:name="_Toc380742614"/>
      <w:bookmarkStart w:id="30" w:name="_Toc380746181"/>
      <w:bookmarkStart w:id="31" w:name="_Toc380746307"/>
      <w:bookmarkStart w:id="32" w:name="_Toc380746588"/>
      <w:bookmarkStart w:id="33" w:name="_Toc388350638"/>
      <w:bookmarkStart w:id="34" w:name="_Toc514248223"/>
      <w:r w:rsidRPr="00432850">
        <w:t>Economic analysis – cost-utility</w:t>
      </w:r>
      <w:bookmarkEnd w:id="28"/>
      <w:bookmarkEnd w:id="29"/>
      <w:bookmarkEnd w:id="30"/>
      <w:bookmarkEnd w:id="31"/>
      <w:bookmarkEnd w:id="32"/>
      <w:bookmarkEnd w:id="33"/>
      <w:bookmarkEnd w:id="34"/>
    </w:p>
    <w:p w:rsidR="000D66E1" w:rsidRDefault="00D53E4A" w:rsidP="00161E40">
      <w:pPr>
        <w:pStyle w:val="ListParagraph"/>
        <w:widowControl/>
        <w:numPr>
          <w:ilvl w:val="1"/>
          <w:numId w:val="1"/>
        </w:numPr>
      </w:pPr>
      <w:r w:rsidRPr="008B2FD3">
        <w:t xml:space="preserve">A cost-effectiveness (cost per life year gained) and cost-utility (cost per </w:t>
      </w:r>
      <w:r w:rsidR="00B915FA" w:rsidRPr="008B2FD3">
        <w:t>quality adjusted life year (</w:t>
      </w:r>
      <w:r w:rsidRPr="008B2FD3">
        <w:t>QALY</w:t>
      </w:r>
      <w:r w:rsidR="00B915FA" w:rsidRPr="008B2FD3">
        <w:t>)</w:t>
      </w:r>
      <w:r w:rsidRPr="008B2FD3">
        <w:t xml:space="preserve"> gained) analysis comparing a national TIV-HD immunisation program with QIV-SD immunisation across the Australian population aged ≥ 65 years was conducted. Health benefits for the vaccinated cohort were estimated directly using a 1-year static Markov model and no indirect herd immunity benefits were included. </w:t>
      </w:r>
    </w:p>
    <w:p w:rsidR="00D53E4A" w:rsidRPr="008B2FD3" w:rsidRDefault="00D53E4A" w:rsidP="00D53E4A">
      <w:pPr>
        <w:keepNext/>
        <w:rPr>
          <w:rStyle w:val="CommentReference"/>
        </w:rPr>
      </w:pPr>
      <w:r w:rsidRPr="008B2FD3">
        <w:rPr>
          <w:rStyle w:val="CommentReference"/>
        </w:rPr>
        <w:t>Table</w:t>
      </w:r>
      <w:r w:rsidR="00C62F3B">
        <w:rPr>
          <w:rStyle w:val="CommentReference"/>
        </w:rPr>
        <w:t xml:space="preserve"> 9</w:t>
      </w:r>
      <w:r w:rsidRPr="008B2FD3">
        <w:rPr>
          <w:rStyle w:val="CommentReference"/>
        </w:rPr>
        <w:t>: Summary of model structure and rationale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41"/>
        <w:gridCol w:w="2356"/>
        <w:gridCol w:w="5696"/>
      </w:tblGrid>
      <w:tr w:rsidR="00D53E4A" w:rsidRPr="008B2FD3" w:rsidTr="00C62F3B">
        <w:trPr>
          <w:cantSplit/>
          <w:trHeight w:val="240"/>
          <w:tblHeader/>
        </w:trPr>
        <w:tc>
          <w:tcPr>
            <w:tcW w:w="0" w:type="auto"/>
            <w:shd w:val="clear" w:color="auto" w:fill="auto"/>
          </w:tcPr>
          <w:p w:rsidR="00D53E4A" w:rsidRPr="008B2FD3" w:rsidRDefault="00D53E4A" w:rsidP="003B0926">
            <w:pPr>
              <w:rPr>
                <w:rFonts w:ascii="Arial Narrow" w:hAnsi="Arial Narrow"/>
                <w:b/>
                <w:sz w:val="20"/>
              </w:rPr>
            </w:pPr>
            <w:r w:rsidRPr="008B2FD3">
              <w:rPr>
                <w:rFonts w:ascii="Arial Narrow" w:hAnsi="Arial Narrow"/>
                <w:b/>
                <w:sz w:val="20"/>
              </w:rPr>
              <w:t>Component</w:t>
            </w:r>
          </w:p>
        </w:tc>
        <w:tc>
          <w:tcPr>
            <w:tcW w:w="8052" w:type="dxa"/>
            <w:gridSpan w:val="2"/>
            <w:shd w:val="clear" w:color="auto" w:fill="auto"/>
          </w:tcPr>
          <w:p w:rsidR="00D53E4A" w:rsidRPr="008B2FD3" w:rsidRDefault="00D53E4A" w:rsidP="003B0926">
            <w:pPr>
              <w:jc w:val="center"/>
              <w:rPr>
                <w:rFonts w:ascii="Arial Narrow" w:hAnsi="Arial Narrow"/>
                <w:b/>
                <w:sz w:val="20"/>
              </w:rPr>
            </w:pPr>
            <w:r w:rsidRPr="008B2FD3">
              <w:rPr>
                <w:rFonts w:ascii="Arial Narrow" w:hAnsi="Arial Narrow"/>
                <w:b/>
                <w:sz w:val="20"/>
              </w:rPr>
              <w:t>Summary</w:t>
            </w:r>
          </w:p>
        </w:tc>
      </w:tr>
      <w:tr w:rsidR="00D53E4A" w:rsidRPr="008B2FD3" w:rsidTr="00C62F3B">
        <w:trPr>
          <w:cantSplit/>
          <w:trHeight w:val="64"/>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Time horizon</w:t>
            </w:r>
          </w:p>
        </w:tc>
        <w:tc>
          <w:tcPr>
            <w:tcW w:w="8052" w:type="dxa"/>
            <w:gridSpan w:val="2"/>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1 year, with the loss of future years of life due to premature mortality were discounted to the 1-year horizon of the model.</w:t>
            </w:r>
          </w:p>
        </w:tc>
      </w:tr>
      <w:tr w:rsidR="00D53E4A" w:rsidRPr="008B2FD3" w:rsidTr="00C62F3B">
        <w:trPr>
          <w:cantSplit/>
          <w:trHeight w:val="239"/>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Outcomes</w:t>
            </w:r>
          </w:p>
        </w:tc>
        <w:tc>
          <w:tcPr>
            <w:tcW w:w="8052" w:type="dxa"/>
            <w:gridSpan w:val="2"/>
            <w:shd w:val="clear" w:color="auto" w:fill="auto"/>
          </w:tcPr>
          <w:p w:rsidR="00D53E4A" w:rsidRPr="008B2FD3" w:rsidRDefault="004D656E" w:rsidP="003B0926">
            <w:pPr>
              <w:jc w:val="left"/>
              <w:rPr>
                <w:rFonts w:ascii="Arial Narrow" w:hAnsi="Arial Narrow"/>
                <w:sz w:val="20"/>
              </w:rPr>
            </w:pPr>
            <w:r w:rsidRPr="008B2FD3">
              <w:rPr>
                <w:rFonts w:ascii="Arial Narrow" w:hAnsi="Arial Narrow"/>
                <w:sz w:val="20"/>
              </w:rPr>
              <w:t xml:space="preserve">Confirmed influenza cases, hospitalisations, </w:t>
            </w:r>
            <w:r w:rsidR="00D53E4A" w:rsidRPr="008B2FD3">
              <w:rPr>
                <w:rFonts w:ascii="Arial Narrow" w:hAnsi="Arial Narrow"/>
                <w:sz w:val="20"/>
              </w:rPr>
              <w:t>fatal influenza events prevented, years of life and QALYs.</w:t>
            </w:r>
          </w:p>
        </w:tc>
      </w:tr>
      <w:tr w:rsidR="00D53E4A" w:rsidRPr="008B2FD3" w:rsidTr="00C62F3B">
        <w:trPr>
          <w:cantSplit/>
          <w:trHeight w:val="183"/>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Methods used to generate results</w:t>
            </w:r>
          </w:p>
        </w:tc>
        <w:tc>
          <w:tcPr>
            <w:tcW w:w="8052" w:type="dxa"/>
            <w:gridSpan w:val="2"/>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Decision analysis.</w:t>
            </w:r>
          </w:p>
        </w:tc>
      </w:tr>
      <w:tr w:rsidR="000446FD" w:rsidRPr="008B2FD3" w:rsidTr="00C62F3B">
        <w:trPr>
          <w:cantSplit/>
          <w:trHeight w:val="183"/>
        </w:trPr>
        <w:tc>
          <w:tcPr>
            <w:tcW w:w="0" w:type="auto"/>
            <w:shd w:val="clear" w:color="auto" w:fill="auto"/>
          </w:tcPr>
          <w:p w:rsidR="000446FD" w:rsidRPr="008B2FD3" w:rsidRDefault="000446FD" w:rsidP="003B0926">
            <w:pPr>
              <w:jc w:val="left"/>
              <w:rPr>
                <w:rFonts w:ascii="Arial Narrow" w:hAnsi="Arial Narrow"/>
                <w:sz w:val="20"/>
              </w:rPr>
            </w:pPr>
            <w:r w:rsidRPr="008B2FD3">
              <w:rPr>
                <w:rFonts w:ascii="Arial Narrow" w:hAnsi="Arial Narrow"/>
                <w:sz w:val="20"/>
              </w:rPr>
              <w:lastRenderedPageBreak/>
              <w:t>Health states</w:t>
            </w:r>
          </w:p>
        </w:tc>
        <w:tc>
          <w:tcPr>
            <w:tcW w:w="2356" w:type="dxa"/>
            <w:shd w:val="clear" w:color="auto" w:fill="auto"/>
          </w:tcPr>
          <w:p w:rsidR="000446FD" w:rsidRPr="008B2FD3" w:rsidRDefault="000446FD" w:rsidP="003B0926">
            <w:pPr>
              <w:pStyle w:val="TableText0"/>
              <w:spacing w:before="0" w:after="0"/>
              <w:rPr>
                <w:rFonts w:ascii="Arial Narrow" w:eastAsia="Times New Roman" w:hAnsi="Arial Narrow" w:cs="Arial"/>
                <w:snapToGrid w:val="0"/>
                <w:sz w:val="20"/>
                <w:szCs w:val="22"/>
              </w:rPr>
            </w:pPr>
            <w:r w:rsidRPr="008B2FD3">
              <w:rPr>
                <w:rFonts w:ascii="Arial Narrow" w:eastAsia="Times New Roman" w:hAnsi="Arial Narrow" w:cs="Arial"/>
                <w:snapToGrid w:val="0"/>
                <w:sz w:val="20"/>
                <w:szCs w:val="22"/>
              </w:rPr>
              <w:t>Well</w:t>
            </w:r>
          </w:p>
          <w:p w:rsidR="000446FD" w:rsidRPr="008B2FD3" w:rsidRDefault="000446FD" w:rsidP="003B0926">
            <w:pPr>
              <w:pStyle w:val="TableText0"/>
              <w:spacing w:before="0" w:after="0"/>
              <w:rPr>
                <w:rFonts w:ascii="Arial Narrow" w:eastAsia="Times New Roman" w:hAnsi="Arial Narrow" w:cs="Arial"/>
                <w:snapToGrid w:val="0"/>
                <w:sz w:val="20"/>
                <w:szCs w:val="22"/>
              </w:rPr>
            </w:pPr>
            <w:r w:rsidRPr="008B2FD3">
              <w:rPr>
                <w:rFonts w:ascii="Arial Narrow" w:eastAsia="Times New Roman" w:hAnsi="Arial Narrow" w:cs="Arial"/>
                <w:snapToGrid w:val="0"/>
                <w:sz w:val="20"/>
                <w:szCs w:val="22"/>
              </w:rPr>
              <w:t>Confirmed influenza cases (resulting in GP visits, ED visits or neither)</w:t>
            </w:r>
          </w:p>
          <w:p w:rsidR="000446FD" w:rsidRPr="008B2FD3" w:rsidRDefault="000446FD" w:rsidP="003B0926">
            <w:pPr>
              <w:pStyle w:val="TableText0"/>
              <w:spacing w:before="0" w:after="0"/>
              <w:rPr>
                <w:rFonts w:ascii="Arial Narrow" w:eastAsia="Times New Roman" w:hAnsi="Arial Narrow" w:cs="Arial"/>
                <w:snapToGrid w:val="0"/>
                <w:sz w:val="20"/>
                <w:szCs w:val="22"/>
              </w:rPr>
            </w:pPr>
            <w:r w:rsidRPr="008B2FD3">
              <w:rPr>
                <w:rFonts w:ascii="Arial Narrow" w:eastAsia="Times New Roman" w:hAnsi="Arial Narrow" w:cs="Arial"/>
                <w:snapToGrid w:val="0"/>
                <w:sz w:val="20"/>
                <w:szCs w:val="22"/>
              </w:rPr>
              <w:t>Hospitalisations (influenza-related and cardiovascular-related)</w:t>
            </w:r>
          </w:p>
          <w:p w:rsidR="000446FD" w:rsidRPr="008B2FD3" w:rsidRDefault="000446FD" w:rsidP="000446FD">
            <w:pPr>
              <w:pStyle w:val="TableText0"/>
              <w:spacing w:before="0" w:after="0"/>
              <w:rPr>
                <w:rFonts w:ascii="Arial Narrow" w:eastAsia="Times New Roman" w:hAnsi="Arial Narrow" w:cs="Arial"/>
                <w:snapToGrid w:val="0"/>
                <w:sz w:val="20"/>
                <w:szCs w:val="22"/>
              </w:rPr>
            </w:pPr>
            <w:r w:rsidRPr="008B2FD3">
              <w:rPr>
                <w:rFonts w:ascii="Arial Narrow" w:eastAsia="Times New Roman" w:hAnsi="Arial Narrow" w:cs="Arial"/>
                <w:snapToGrid w:val="0"/>
                <w:sz w:val="20"/>
                <w:szCs w:val="22"/>
              </w:rPr>
              <w:t>Influenza related mortality</w:t>
            </w:r>
          </w:p>
          <w:p w:rsidR="000446FD" w:rsidRPr="008B2FD3" w:rsidRDefault="000446FD" w:rsidP="000446FD">
            <w:pPr>
              <w:pStyle w:val="TableText0"/>
              <w:spacing w:before="0" w:after="0"/>
              <w:rPr>
                <w:rFonts w:ascii="Arial Narrow" w:eastAsia="Times New Roman" w:hAnsi="Arial Narrow" w:cs="Arial"/>
                <w:snapToGrid w:val="0"/>
                <w:sz w:val="20"/>
                <w:szCs w:val="22"/>
              </w:rPr>
            </w:pPr>
            <w:r w:rsidRPr="008B2FD3">
              <w:rPr>
                <w:rFonts w:ascii="Arial Narrow" w:hAnsi="Arial Narrow"/>
                <w:sz w:val="20"/>
              </w:rPr>
              <w:t>Background mortality</w:t>
            </w:r>
          </w:p>
        </w:tc>
        <w:tc>
          <w:tcPr>
            <w:tcW w:w="5696" w:type="dxa"/>
            <w:shd w:val="clear" w:color="auto" w:fill="auto"/>
          </w:tcPr>
          <w:p w:rsidR="000446FD" w:rsidRPr="00DE12DB" w:rsidDel="00654AE8" w:rsidRDefault="000446FD" w:rsidP="00AE7975">
            <w:pPr>
              <w:jc w:val="left"/>
              <w:rPr>
                <w:rFonts w:ascii="Arial Narrow" w:hAnsi="Arial Narrow"/>
                <w:sz w:val="20"/>
              </w:rPr>
            </w:pPr>
            <w:r w:rsidRPr="008B2FD3">
              <w:rPr>
                <w:rFonts w:ascii="Arial Narrow" w:hAnsi="Arial Narrow"/>
                <w:sz w:val="20"/>
              </w:rPr>
              <w:t xml:space="preserve">The model estimated the number of influenza cases (resulting in GP visits, ED visits or neither) and the number of hospitalisations (influenza-related and cardiovascular-related) separately. This in theory is </w:t>
            </w:r>
            <w:r w:rsidR="008B6998" w:rsidRPr="008B2FD3">
              <w:rPr>
                <w:rFonts w:ascii="Arial Narrow" w:hAnsi="Arial Narrow"/>
                <w:sz w:val="20"/>
              </w:rPr>
              <w:t>reasonable;</w:t>
            </w:r>
            <w:r w:rsidRPr="008B2FD3">
              <w:rPr>
                <w:rFonts w:ascii="Arial Narrow" w:hAnsi="Arial Narrow"/>
                <w:sz w:val="20"/>
              </w:rPr>
              <w:t xml:space="preserve"> however the estimated number of hospitalisations was greater than the number of confirmed influenza cases. This may be because of a) more than one hospitalisation per case or b) case confirmation and hospitalisation attribution approaches used in the FIM12 trial.</w:t>
            </w:r>
            <w:r w:rsidR="009B2234">
              <w:rPr>
                <w:rFonts w:ascii="Arial Narrow" w:hAnsi="Arial Narrow"/>
                <w:sz w:val="20"/>
              </w:rPr>
              <w:t xml:space="preserve"> </w:t>
            </w:r>
            <w:r w:rsidR="00B85A3A" w:rsidRPr="00645F5B">
              <w:rPr>
                <w:rFonts w:ascii="Arial Narrow" w:hAnsi="Arial Narrow"/>
                <w:sz w:val="20"/>
              </w:rPr>
              <w:t xml:space="preserve">The PSCR stated this was a deliberate </w:t>
            </w:r>
            <w:r w:rsidR="00ED4C24" w:rsidRPr="00645F5B">
              <w:rPr>
                <w:rFonts w:ascii="Arial Narrow" w:hAnsi="Arial Narrow"/>
                <w:sz w:val="20"/>
              </w:rPr>
              <w:t xml:space="preserve">decision </w:t>
            </w:r>
            <w:r w:rsidR="009B2234" w:rsidRPr="00645F5B">
              <w:rPr>
                <w:rFonts w:ascii="Arial Narrow" w:hAnsi="Arial Narrow"/>
                <w:sz w:val="20"/>
              </w:rPr>
              <w:t>given</w:t>
            </w:r>
            <w:r w:rsidR="00B85A3A" w:rsidRPr="00645F5B">
              <w:rPr>
                <w:rFonts w:ascii="Arial Narrow" w:hAnsi="Arial Narrow"/>
                <w:sz w:val="20"/>
              </w:rPr>
              <w:t xml:space="preserve"> the supplementary analysis </w:t>
            </w:r>
            <w:r w:rsidR="00B85B2D" w:rsidRPr="00645F5B">
              <w:rPr>
                <w:rFonts w:ascii="Arial Narrow" w:hAnsi="Arial Narrow"/>
                <w:sz w:val="20"/>
              </w:rPr>
              <w:t>includ</w:t>
            </w:r>
            <w:r w:rsidR="00B85A3A" w:rsidRPr="00645F5B">
              <w:rPr>
                <w:rFonts w:ascii="Arial Narrow" w:hAnsi="Arial Narrow"/>
                <w:sz w:val="20"/>
              </w:rPr>
              <w:t xml:space="preserve">ed </w:t>
            </w:r>
            <w:r w:rsidR="00B85B2D" w:rsidRPr="00645F5B">
              <w:rPr>
                <w:rFonts w:ascii="Arial Narrow" w:hAnsi="Arial Narrow"/>
                <w:sz w:val="20"/>
              </w:rPr>
              <w:t xml:space="preserve">influenza-related hospitalisations based on any hospital admission with a Medical Dictionary for Regulatory Activities </w:t>
            </w:r>
            <w:r w:rsidR="009B2234" w:rsidRPr="00645F5B">
              <w:rPr>
                <w:rFonts w:ascii="Arial Narrow" w:hAnsi="Arial Narrow"/>
                <w:sz w:val="20"/>
              </w:rPr>
              <w:t>(</w:t>
            </w:r>
            <w:r w:rsidR="00B85B2D" w:rsidRPr="00645F5B">
              <w:rPr>
                <w:rFonts w:ascii="Arial Narrow" w:hAnsi="Arial Narrow"/>
                <w:sz w:val="20"/>
              </w:rPr>
              <w:t>MEDRA</w:t>
            </w:r>
            <w:r w:rsidR="009B2234" w:rsidRPr="00645F5B">
              <w:rPr>
                <w:rFonts w:ascii="Arial Narrow" w:hAnsi="Arial Narrow"/>
                <w:sz w:val="20"/>
              </w:rPr>
              <w:t>)</w:t>
            </w:r>
            <w:r w:rsidR="00B85B2D" w:rsidRPr="00645F5B">
              <w:rPr>
                <w:rFonts w:ascii="Arial Narrow" w:hAnsi="Arial Narrow"/>
                <w:sz w:val="20"/>
              </w:rPr>
              <w:t xml:space="preserve"> code independently adjudicated as being possibly related to influenza, irrespective of whether the patient met the relevant clinical or laboratory case definitions</w:t>
            </w:r>
            <w:r w:rsidR="00B85A3A" w:rsidRPr="00645F5B">
              <w:rPr>
                <w:rFonts w:ascii="Arial Narrow" w:hAnsi="Arial Narrow"/>
                <w:sz w:val="20"/>
              </w:rPr>
              <w:t xml:space="preserve">.  </w:t>
            </w:r>
            <w:r w:rsidR="00C50EC4" w:rsidRPr="00645F5B">
              <w:rPr>
                <w:rFonts w:ascii="Arial Narrow" w:hAnsi="Arial Narrow"/>
                <w:sz w:val="20"/>
              </w:rPr>
              <w:t>The</w:t>
            </w:r>
            <w:r w:rsidR="00292A06" w:rsidRPr="00645F5B">
              <w:rPr>
                <w:rFonts w:ascii="Arial Narrow" w:hAnsi="Arial Narrow"/>
                <w:sz w:val="20"/>
              </w:rPr>
              <w:t xml:space="preserve"> ESC considered that the</w:t>
            </w:r>
            <w:r w:rsidR="00C50EC4" w:rsidRPr="00645F5B">
              <w:rPr>
                <w:rFonts w:ascii="Arial Narrow" w:hAnsi="Arial Narrow"/>
                <w:sz w:val="20"/>
              </w:rPr>
              <w:t xml:space="preserve"> submission did not verify the proportion of individuals in the FIM12 trial who had both a respiratory and a cardiovascular hospitalisation, and whether the model results accurately reflect</w:t>
            </w:r>
            <w:r w:rsidR="00B85A3A" w:rsidRPr="00645F5B">
              <w:rPr>
                <w:rFonts w:ascii="Arial Narrow" w:hAnsi="Arial Narrow"/>
                <w:sz w:val="20"/>
              </w:rPr>
              <w:t>ed this</w:t>
            </w:r>
            <w:r w:rsidR="009B2234" w:rsidRPr="00645F5B">
              <w:rPr>
                <w:rFonts w:ascii="Arial Narrow" w:hAnsi="Arial Narrow"/>
                <w:sz w:val="20"/>
              </w:rPr>
              <w:t>;</w:t>
            </w:r>
            <w:r w:rsidR="00B85A3A" w:rsidRPr="00645F5B">
              <w:rPr>
                <w:rFonts w:ascii="Arial Narrow" w:hAnsi="Arial Narrow"/>
                <w:sz w:val="20"/>
              </w:rPr>
              <w:t xml:space="preserve"> the approach to modelling hospitalisation may overestimate those related to influenza, impacting the cost-effectiveness of TIV-HD.</w:t>
            </w:r>
            <w:r w:rsidR="00ED4C24" w:rsidRPr="009B2234">
              <w:rPr>
                <w:rFonts w:ascii="Arial Narrow" w:hAnsi="Arial Narrow"/>
                <w:i/>
                <w:sz w:val="20"/>
              </w:rPr>
              <w:t xml:space="preserve"> </w:t>
            </w:r>
            <w:r w:rsidR="00DE12DB">
              <w:rPr>
                <w:rFonts w:ascii="Arial Narrow" w:hAnsi="Arial Narrow"/>
                <w:sz w:val="20"/>
              </w:rPr>
              <w:t xml:space="preserve">The Pre-PBAC </w:t>
            </w:r>
            <w:proofErr w:type="gramStart"/>
            <w:r w:rsidR="00DE12DB">
              <w:rPr>
                <w:rFonts w:ascii="Arial Narrow" w:hAnsi="Arial Narrow"/>
                <w:sz w:val="20"/>
              </w:rPr>
              <w:t>Response  stated</w:t>
            </w:r>
            <w:proofErr w:type="gramEnd"/>
            <w:r w:rsidR="00DE12DB">
              <w:rPr>
                <w:rFonts w:ascii="Arial Narrow" w:hAnsi="Arial Narrow"/>
                <w:sz w:val="20"/>
              </w:rPr>
              <w:t xml:space="preserve"> that the number of individuals with both a </w:t>
            </w:r>
            <w:r w:rsidR="00930B17">
              <w:rPr>
                <w:rFonts w:ascii="Arial Narrow" w:hAnsi="Arial Narrow"/>
                <w:sz w:val="20"/>
              </w:rPr>
              <w:t>respiratory</w:t>
            </w:r>
            <w:r w:rsidR="00DE12DB">
              <w:rPr>
                <w:rFonts w:ascii="Arial Narrow" w:hAnsi="Arial Narrow"/>
                <w:sz w:val="20"/>
              </w:rPr>
              <w:t xml:space="preserve"> and </w:t>
            </w:r>
            <w:r w:rsidR="00930B17">
              <w:rPr>
                <w:rFonts w:ascii="Arial Narrow" w:hAnsi="Arial Narrow"/>
                <w:sz w:val="20"/>
              </w:rPr>
              <w:t>cardiovascular</w:t>
            </w:r>
            <w:r w:rsidR="00DE12DB">
              <w:rPr>
                <w:rFonts w:ascii="Arial Narrow" w:hAnsi="Arial Narrow"/>
                <w:sz w:val="20"/>
              </w:rPr>
              <w:t xml:space="preserve"> hospitalisation was not available.  It added that </w:t>
            </w:r>
            <w:r w:rsidR="00674858">
              <w:rPr>
                <w:rFonts w:ascii="Arial Narrow" w:hAnsi="Arial Narrow"/>
                <w:sz w:val="20"/>
              </w:rPr>
              <w:t>t</w:t>
            </w:r>
            <w:r w:rsidR="00DE12DB">
              <w:rPr>
                <w:rFonts w:ascii="Arial Narrow" w:hAnsi="Arial Narrow"/>
                <w:sz w:val="20"/>
              </w:rPr>
              <w:t xml:space="preserve">he economic model considered the actual number of </w:t>
            </w:r>
            <w:r w:rsidR="00930B17">
              <w:rPr>
                <w:rFonts w:ascii="Arial Narrow" w:hAnsi="Arial Narrow"/>
                <w:sz w:val="20"/>
              </w:rPr>
              <w:t>hospitalisations</w:t>
            </w:r>
            <w:r w:rsidR="00DE12DB">
              <w:rPr>
                <w:rFonts w:ascii="Arial Narrow" w:hAnsi="Arial Narrow"/>
                <w:sz w:val="20"/>
              </w:rPr>
              <w:t xml:space="preserve"> with a primary diagnosis determined to be possibl</w:t>
            </w:r>
            <w:r w:rsidR="00DE744D">
              <w:rPr>
                <w:rFonts w:ascii="Arial Narrow" w:hAnsi="Arial Narrow"/>
                <w:sz w:val="20"/>
              </w:rPr>
              <w:t>y</w:t>
            </w:r>
            <w:r w:rsidR="00DE12DB">
              <w:rPr>
                <w:rFonts w:ascii="Arial Narrow" w:hAnsi="Arial Narrow"/>
                <w:sz w:val="20"/>
              </w:rPr>
              <w:t xml:space="preserve"> related to influenza.</w:t>
            </w:r>
          </w:p>
        </w:tc>
      </w:tr>
      <w:tr w:rsidR="00D53E4A" w:rsidRPr="008B2FD3" w:rsidTr="00C62F3B">
        <w:trPr>
          <w:cantSplit/>
          <w:trHeight w:val="994"/>
        </w:trPr>
        <w:tc>
          <w:tcPr>
            <w:tcW w:w="0" w:type="auto"/>
            <w:vMerge w:val="restart"/>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Transition probabilities</w:t>
            </w:r>
          </w:p>
        </w:tc>
        <w:tc>
          <w:tcPr>
            <w:tcW w:w="2356" w:type="dxa"/>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Background incident rates of influenza: FIM12 trial. The same attack rates were applied to the unvaccinated QIV-SD and TIV-HD arms.</w:t>
            </w:r>
          </w:p>
        </w:tc>
        <w:tc>
          <w:tcPr>
            <w:tcW w:w="5696" w:type="dxa"/>
            <w:shd w:val="clear" w:color="auto" w:fill="auto"/>
          </w:tcPr>
          <w:p w:rsidR="00D53E4A" w:rsidRPr="008B2FD3" w:rsidRDefault="00D53E4A" w:rsidP="00AE7975">
            <w:pPr>
              <w:pStyle w:val="Default"/>
              <w:jc w:val="both"/>
              <w:rPr>
                <w:rFonts w:ascii="Arial Narrow" w:hAnsi="Arial Narrow"/>
                <w:color w:val="000000" w:themeColor="text1"/>
                <w:sz w:val="20"/>
                <w:szCs w:val="20"/>
              </w:rPr>
            </w:pPr>
            <w:r w:rsidRPr="008B2FD3">
              <w:rPr>
                <w:rFonts w:ascii="Arial Narrow" w:hAnsi="Arial Narrow"/>
                <w:sz w:val="20"/>
                <w:szCs w:val="20"/>
              </w:rPr>
              <w:t>ATAGI recommended the FIM12 trial should be used given the systematic under reporting of influenza cases (</w:t>
            </w:r>
            <w:r w:rsidR="005B7E06" w:rsidRPr="008B2FD3">
              <w:rPr>
                <w:rFonts w:ascii="Arial Narrow" w:hAnsi="Arial Narrow"/>
                <w:sz w:val="20"/>
                <w:szCs w:val="20"/>
              </w:rPr>
              <w:t>ATAGI February 2018 pre-submission advice</w:t>
            </w:r>
            <w:r w:rsidRPr="008B2FD3">
              <w:rPr>
                <w:rFonts w:ascii="Arial Narrow" w:hAnsi="Arial Narrow"/>
                <w:sz w:val="20"/>
                <w:szCs w:val="20"/>
              </w:rPr>
              <w:t>). The FIM12 trial was conducted over high and low incidence influenza seasons in North America</w:t>
            </w:r>
            <w:r w:rsidR="00B915FA" w:rsidRPr="008B2FD3">
              <w:rPr>
                <w:rFonts w:ascii="Arial Narrow" w:hAnsi="Arial Narrow"/>
                <w:sz w:val="20"/>
                <w:szCs w:val="20"/>
              </w:rPr>
              <w:t xml:space="preserve">, but with high influenza type </w:t>
            </w:r>
            <w:proofErr w:type="gramStart"/>
            <w:r w:rsidR="00B915FA" w:rsidRPr="008B2FD3">
              <w:rPr>
                <w:rFonts w:ascii="Arial Narrow" w:hAnsi="Arial Narrow"/>
                <w:sz w:val="20"/>
                <w:szCs w:val="20"/>
              </w:rPr>
              <w:t>A prevalence</w:t>
            </w:r>
            <w:proofErr w:type="gramEnd"/>
            <w:r w:rsidR="00B915FA" w:rsidRPr="008B2FD3">
              <w:rPr>
                <w:rFonts w:ascii="Arial Narrow" w:hAnsi="Arial Narrow"/>
                <w:sz w:val="20"/>
                <w:szCs w:val="20"/>
              </w:rPr>
              <w:t>.</w:t>
            </w:r>
            <w:r w:rsidRPr="008B2FD3">
              <w:rPr>
                <w:rFonts w:ascii="Arial Narrow" w:hAnsi="Arial Narrow"/>
                <w:sz w:val="20"/>
                <w:szCs w:val="20"/>
              </w:rPr>
              <w:t xml:space="preserve"> Although undertaken in North America, the use of FIM12 trial data, as opposed to using assumed multiples of recorded Australian cases, provides real world data.</w:t>
            </w:r>
          </w:p>
        </w:tc>
      </w:tr>
      <w:tr w:rsidR="00D53E4A" w:rsidRPr="008B2FD3" w:rsidTr="00C62F3B">
        <w:trPr>
          <w:cantSplit/>
          <w:trHeight w:val="405"/>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sz w:val="20"/>
              </w:rPr>
            </w:pPr>
            <w:r w:rsidRPr="008B2FD3">
              <w:rPr>
                <w:rFonts w:ascii="Arial Narrow" w:hAnsi="Arial Narrow" w:cs="Times New Roman"/>
                <w:sz w:val="20"/>
              </w:rPr>
              <w:t>Background influenza A subtypes strain prevalence: NNDSS time series 2002-2016 data</w:t>
            </w:r>
          </w:p>
        </w:tc>
        <w:tc>
          <w:tcPr>
            <w:tcW w:w="5696" w:type="dxa"/>
            <w:shd w:val="clear" w:color="auto" w:fill="auto"/>
          </w:tcPr>
          <w:p w:rsidR="00D53E4A" w:rsidRPr="008B2FD3" w:rsidRDefault="00D53E4A" w:rsidP="00AE7975">
            <w:pPr>
              <w:pStyle w:val="Default"/>
              <w:jc w:val="both"/>
              <w:rPr>
                <w:rFonts w:ascii="Arial Narrow" w:hAnsi="Arial Narrow"/>
                <w:color w:val="000000" w:themeColor="text1"/>
                <w:sz w:val="20"/>
                <w:szCs w:val="20"/>
              </w:rPr>
            </w:pPr>
            <w:r w:rsidRPr="008B2FD3">
              <w:rPr>
                <w:rFonts w:ascii="Arial Narrow" w:hAnsi="Arial Narrow" w:cs="Times New Roman"/>
                <w:sz w:val="20"/>
              </w:rPr>
              <w:t>The data source is appropriate. Although ATAGI noted data on the proportion of influenza A disease attributable to A subtypes is generally not reliable in Australia</w:t>
            </w:r>
            <w:r w:rsidR="005B7E06" w:rsidRPr="008B2FD3">
              <w:rPr>
                <w:rFonts w:ascii="Arial Narrow" w:hAnsi="Arial Narrow" w:cs="Times New Roman"/>
                <w:sz w:val="20"/>
              </w:rPr>
              <w:t xml:space="preserve"> (</w:t>
            </w:r>
            <w:r w:rsidR="005B7E06" w:rsidRPr="008B2FD3">
              <w:rPr>
                <w:rFonts w:ascii="Arial Narrow" w:hAnsi="Arial Narrow"/>
                <w:sz w:val="20"/>
                <w:szCs w:val="20"/>
              </w:rPr>
              <w:t>ATAGI February 2018 pre-submission advice)</w:t>
            </w:r>
            <w:r w:rsidRPr="008B2FD3">
              <w:rPr>
                <w:rFonts w:ascii="Arial Narrow" w:hAnsi="Arial Narrow" w:cs="Times New Roman"/>
                <w:sz w:val="20"/>
              </w:rPr>
              <w:t>. ATAGI also did not consider it appropriate to use a simple average estimate of the proportion of influenza due to different subtypes over a longitudinal period</w:t>
            </w:r>
            <w:r w:rsidR="005B7E06" w:rsidRPr="008B2FD3">
              <w:rPr>
                <w:rFonts w:ascii="Arial Narrow" w:hAnsi="Arial Narrow" w:cs="Times New Roman"/>
                <w:sz w:val="20"/>
              </w:rPr>
              <w:t xml:space="preserve"> (</w:t>
            </w:r>
            <w:r w:rsidR="005B7E06" w:rsidRPr="008B2FD3">
              <w:rPr>
                <w:rFonts w:ascii="Arial Narrow" w:hAnsi="Arial Narrow"/>
                <w:sz w:val="20"/>
                <w:szCs w:val="20"/>
              </w:rPr>
              <w:t>ATAGI February 2018 pre-submission advice)</w:t>
            </w:r>
            <w:r w:rsidRPr="008B2FD3">
              <w:rPr>
                <w:rFonts w:ascii="Arial Narrow" w:hAnsi="Arial Narrow" w:cs="Times New Roman"/>
                <w:sz w:val="20"/>
              </w:rPr>
              <w:t>.</w:t>
            </w:r>
          </w:p>
        </w:tc>
      </w:tr>
      <w:tr w:rsidR="00D53E4A" w:rsidRPr="008B2FD3" w:rsidTr="00C62F3B">
        <w:trPr>
          <w:cantSplit/>
          <w:trHeight w:val="70"/>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sz w:val="20"/>
              </w:rPr>
            </w:pPr>
            <w:r w:rsidRPr="008B2FD3">
              <w:rPr>
                <w:rFonts w:ascii="Arial Narrow" w:hAnsi="Arial Narrow" w:cs="Times New Roman"/>
                <w:sz w:val="20"/>
              </w:rPr>
              <w:t>Background influenza B lineage prevalence: WHO-CC time series data 2002-2015</w:t>
            </w:r>
          </w:p>
        </w:tc>
        <w:tc>
          <w:tcPr>
            <w:tcW w:w="5696" w:type="dxa"/>
            <w:shd w:val="clear" w:color="auto" w:fill="auto"/>
          </w:tcPr>
          <w:p w:rsidR="00D53E4A" w:rsidRPr="008B2FD3" w:rsidRDefault="00D53E4A" w:rsidP="00AE7975">
            <w:pPr>
              <w:pStyle w:val="Default"/>
              <w:jc w:val="both"/>
              <w:rPr>
                <w:rFonts w:ascii="Arial Narrow" w:hAnsi="Arial Narrow"/>
                <w:color w:val="000000" w:themeColor="text1"/>
                <w:sz w:val="20"/>
                <w:szCs w:val="20"/>
              </w:rPr>
            </w:pPr>
            <w:r w:rsidRPr="008B2FD3">
              <w:rPr>
                <w:rFonts w:ascii="Arial Narrow" w:hAnsi="Arial Narrow" w:cs="Times New Roman"/>
                <w:sz w:val="20"/>
              </w:rPr>
              <w:t>The data source is appropriate. Although ATAGI did not consider it appropriate to use a simple average estimate of the proportion of influenza due to different subtypes over a longitudinal period</w:t>
            </w:r>
            <w:r w:rsidR="005B7E06" w:rsidRPr="008B2FD3">
              <w:rPr>
                <w:rFonts w:ascii="Arial Narrow" w:hAnsi="Arial Narrow" w:cs="Times New Roman"/>
                <w:sz w:val="20"/>
              </w:rPr>
              <w:t xml:space="preserve"> (</w:t>
            </w:r>
            <w:r w:rsidR="005B7E06" w:rsidRPr="008B2FD3">
              <w:rPr>
                <w:rFonts w:ascii="Arial Narrow" w:hAnsi="Arial Narrow"/>
                <w:sz w:val="20"/>
                <w:szCs w:val="20"/>
              </w:rPr>
              <w:t>ATAGI February 2018 pre-submission advice)</w:t>
            </w:r>
            <w:r w:rsidRPr="008B2FD3">
              <w:rPr>
                <w:rFonts w:ascii="Arial Narrow" w:hAnsi="Arial Narrow" w:cs="Times New Roman"/>
                <w:sz w:val="20"/>
              </w:rPr>
              <w:t>.</w:t>
            </w:r>
          </w:p>
        </w:tc>
      </w:tr>
      <w:tr w:rsidR="00D53E4A" w:rsidRPr="008B2FD3" w:rsidTr="00C62F3B">
        <w:trPr>
          <w:cantSplit/>
          <w:trHeight w:val="285"/>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sz w:val="20"/>
                <w:szCs w:val="20"/>
              </w:rPr>
            </w:pPr>
            <w:r w:rsidRPr="008B2FD3">
              <w:rPr>
                <w:rFonts w:ascii="Arial Narrow" w:hAnsi="Arial Narrow"/>
                <w:sz w:val="20"/>
                <w:szCs w:val="20"/>
              </w:rPr>
              <w:t>VE against confirmed cases:</w:t>
            </w:r>
          </w:p>
          <w:p w:rsidR="00D53E4A" w:rsidRPr="008B2FD3" w:rsidRDefault="00D53E4A" w:rsidP="003B0926">
            <w:pPr>
              <w:jc w:val="left"/>
              <w:rPr>
                <w:rFonts w:ascii="Arial Narrow" w:hAnsi="Arial Narrow"/>
                <w:sz w:val="20"/>
                <w:szCs w:val="20"/>
              </w:rPr>
            </w:pPr>
          </w:p>
          <w:p w:rsidR="00D53E4A" w:rsidRPr="008B2FD3" w:rsidRDefault="00D53E4A" w:rsidP="003B0926">
            <w:pPr>
              <w:jc w:val="left"/>
              <w:rPr>
                <w:rFonts w:ascii="Arial Narrow" w:hAnsi="Arial Narrow"/>
                <w:sz w:val="20"/>
                <w:szCs w:val="20"/>
              </w:rPr>
            </w:pPr>
            <w:r w:rsidRPr="008B2FD3">
              <w:rPr>
                <w:rFonts w:ascii="Arial Narrow" w:hAnsi="Arial Narrow"/>
                <w:sz w:val="20"/>
                <w:szCs w:val="20"/>
              </w:rPr>
              <w:t>Estimated indirectly using strain specific VE from Clements et al., 2014 for TIV</w:t>
            </w:r>
            <w:r w:rsidR="00E63740" w:rsidRPr="008B2FD3">
              <w:rPr>
                <w:rFonts w:ascii="Arial Narrow" w:hAnsi="Arial Narrow"/>
                <w:sz w:val="20"/>
                <w:szCs w:val="20"/>
              </w:rPr>
              <w:noBreakHyphen/>
            </w:r>
            <w:r w:rsidRPr="008B2FD3">
              <w:rPr>
                <w:rFonts w:ascii="Arial Narrow" w:hAnsi="Arial Narrow"/>
                <w:sz w:val="20"/>
                <w:szCs w:val="20"/>
              </w:rPr>
              <w:t>SD and QIV-SD against Type A and matched/unmatched B lineages in Australia and weighted by prevalence of Type A and B lineages.</w:t>
            </w:r>
          </w:p>
          <w:p w:rsidR="00D53E4A" w:rsidRPr="008B2FD3" w:rsidRDefault="00D53E4A" w:rsidP="003B0926">
            <w:pPr>
              <w:jc w:val="left"/>
              <w:rPr>
                <w:rFonts w:ascii="Arial Narrow" w:hAnsi="Arial Narrow"/>
                <w:sz w:val="20"/>
                <w:szCs w:val="20"/>
              </w:rPr>
            </w:pPr>
          </w:p>
          <w:p w:rsidR="00D53E4A" w:rsidRPr="008B2FD3" w:rsidRDefault="00D53E4A" w:rsidP="00E63740">
            <w:pPr>
              <w:jc w:val="left"/>
              <w:rPr>
                <w:rFonts w:ascii="Arial Narrow" w:hAnsi="Arial Narrow"/>
                <w:sz w:val="20"/>
              </w:rPr>
            </w:pPr>
            <w:r w:rsidRPr="008B2FD3">
              <w:rPr>
                <w:rFonts w:ascii="Arial Narrow" w:hAnsi="Arial Narrow"/>
                <w:sz w:val="20"/>
                <w:szCs w:val="20"/>
              </w:rPr>
              <w:t>Relative VE for TIV-HD vs TIV</w:t>
            </w:r>
            <w:r w:rsidR="00E63740" w:rsidRPr="008B2FD3">
              <w:rPr>
                <w:rFonts w:ascii="Arial Narrow" w:hAnsi="Arial Narrow"/>
                <w:sz w:val="20"/>
                <w:szCs w:val="20"/>
              </w:rPr>
              <w:noBreakHyphen/>
            </w:r>
            <w:r w:rsidRPr="008B2FD3">
              <w:rPr>
                <w:rFonts w:ascii="Arial Narrow" w:hAnsi="Arial Narrow"/>
                <w:sz w:val="20"/>
                <w:szCs w:val="20"/>
              </w:rPr>
              <w:t>SD (24.2%) was based on the FIM12 trial.</w:t>
            </w:r>
          </w:p>
        </w:tc>
        <w:tc>
          <w:tcPr>
            <w:tcW w:w="5696" w:type="dxa"/>
            <w:shd w:val="clear" w:color="auto" w:fill="auto"/>
          </w:tcPr>
          <w:p w:rsidR="00D53E4A" w:rsidRPr="008B2FD3" w:rsidRDefault="00D53E4A" w:rsidP="003B0926">
            <w:pPr>
              <w:pStyle w:val="Default"/>
              <w:jc w:val="both"/>
              <w:rPr>
                <w:rFonts w:ascii="Arial Narrow" w:hAnsi="Arial Narrow"/>
                <w:color w:val="000000" w:themeColor="text1"/>
                <w:sz w:val="20"/>
                <w:szCs w:val="20"/>
              </w:rPr>
            </w:pPr>
            <w:r w:rsidRPr="008B2FD3">
              <w:rPr>
                <w:rFonts w:ascii="Arial Narrow" w:hAnsi="Arial Narrow"/>
                <w:sz w:val="20"/>
                <w:szCs w:val="20"/>
              </w:rPr>
              <w:t xml:space="preserve">The proportion of influenza cases attributable to A and B strains varies with season, which confounds the weighted VE calculations. </w:t>
            </w:r>
          </w:p>
        </w:tc>
      </w:tr>
      <w:tr w:rsidR="00D53E4A" w:rsidRPr="008B2FD3" w:rsidTr="00C62F3B">
        <w:trPr>
          <w:cantSplit/>
          <w:trHeight w:val="58"/>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pStyle w:val="Tabletext"/>
              <w:rPr>
                <w:szCs w:val="20"/>
              </w:rPr>
            </w:pPr>
            <w:r w:rsidRPr="008B2FD3">
              <w:rPr>
                <w:szCs w:val="20"/>
              </w:rPr>
              <w:t>VE against hospitalisations: Supplementary analysis of the FIM12 trial.</w:t>
            </w:r>
          </w:p>
          <w:p w:rsidR="00D53E4A" w:rsidRPr="008B2FD3" w:rsidRDefault="00D53E4A" w:rsidP="003B0926">
            <w:pPr>
              <w:pStyle w:val="Tabletext"/>
              <w:rPr>
                <w:szCs w:val="20"/>
              </w:rPr>
            </w:pPr>
          </w:p>
          <w:p w:rsidR="00D53E4A" w:rsidRPr="008B2FD3" w:rsidRDefault="00D53E4A" w:rsidP="003B0926">
            <w:pPr>
              <w:jc w:val="left"/>
              <w:rPr>
                <w:rFonts w:ascii="Arial Narrow" w:hAnsi="Arial Narrow" w:cs="Times New Roman"/>
                <w:snapToGrid/>
                <w:sz w:val="20"/>
                <w:szCs w:val="20"/>
              </w:rPr>
            </w:pPr>
            <w:r w:rsidRPr="008B2FD3">
              <w:rPr>
                <w:rFonts w:ascii="Arial Narrow" w:hAnsi="Arial Narrow" w:cs="Times New Roman"/>
                <w:snapToGrid/>
                <w:sz w:val="20"/>
                <w:szCs w:val="20"/>
              </w:rPr>
              <w:t>VE against respiratory hospitalisation outcomes for TIV-SD and QIV-SD: 30%</w:t>
            </w:r>
          </w:p>
          <w:p w:rsidR="00D53E4A" w:rsidRPr="008B2FD3" w:rsidRDefault="00D53E4A" w:rsidP="003B0926">
            <w:pPr>
              <w:jc w:val="left"/>
              <w:rPr>
                <w:rFonts w:ascii="Arial Narrow" w:hAnsi="Arial Narrow" w:cs="Times New Roman"/>
                <w:snapToGrid/>
                <w:sz w:val="20"/>
                <w:szCs w:val="20"/>
              </w:rPr>
            </w:pPr>
          </w:p>
          <w:p w:rsidR="00D53E4A" w:rsidRPr="008B2FD3" w:rsidRDefault="00D53E4A" w:rsidP="003B0926">
            <w:pPr>
              <w:jc w:val="left"/>
              <w:rPr>
                <w:rFonts w:ascii="Arial Narrow" w:hAnsi="Arial Narrow" w:cs="Times New Roman"/>
                <w:snapToGrid/>
                <w:sz w:val="20"/>
                <w:szCs w:val="20"/>
              </w:rPr>
            </w:pPr>
            <w:r w:rsidRPr="008B2FD3">
              <w:rPr>
                <w:rFonts w:ascii="Arial Narrow" w:hAnsi="Arial Narrow" w:cs="Times New Roman"/>
                <w:snapToGrid/>
                <w:sz w:val="20"/>
                <w:szCs w:val="20"/>
              </w:rPr>
              <w:t>VE against hospitalisation for cardiovascular events for TIV</w:t>
            </w:r>
            <w:r w:rsidR="00E63740" w:rsidRPr="008B2FD3">
              <w:rPr>
                <w:rFonts w:ascii="Arial Narrow" w:hAnsi="Arial Narrow" w:cs="Times New Roman"/>
                <w:snapToGrid/>
                <w:sz w:val="20"/>
                <w:szCs w:val="20"/>
              </w:rPr>
              <w:noBreakHyphen/>
            </w:r>
            <w:r w:rsidRPr="008B2FD3">
              <w:rPr>
                <w:rFonts w:ascii="Arial Narrow" w:hAnsi="Arial Narrow" w:cs="Times New Roman"/>
                <w:snapToGrid/>
                <w:sz w:val="20"/>
                <w:szCs w:val="20"/>
              </w:rPr>
              <w:t>SD and QIV-SD: 20%</w:t>
            </w:r>
          </w:p>
          <w:p w:rsidR="00D53E4A" w:rsidRPr="008B2FD3" w:rsidRDefault="00D53E4A" w:rsidP="003B0926">
            <w:pPr>
              <w:pStyle w:val="Tabletext"/>
              <w:rPr>
                <w:szCs w:val="20"/>
              </w:rPr>
            </w:pPr>
          </w:p>
          <w:p w:rsidR="00D53E4A" w:rsidRPr="008B2FD3" w:rsidRDefault="00D53E4A" w:rsidP="003B0926">
            <w:pPr>
              <w:jc w:val="left"/>
              <w:rPr>
                <w:rFonts w:ascii="Arial Narrow" w:hAnsi="Arial Narrow" w:cs="Times New Roman"/>
                <w:snapToGrid/>
                <w:sz w:val="20"/>
                <w:szCs w:val="20"/>
              </w:rPr>
            </w:pPr>
            <w:r w:rsidRPr="008B2FD3">
              <w:rPr>
                <w:rFonts w:ascii="Arial Narrow" w:hAnsi="Arial Narrow" w:cs="Times New Roman"/>
                <w:snapToGrid/>
                <w:sz w:val="20"/>
                <w:szCs w:val="20"/>
              </w:rPr>
              <w:t>Relative VE against respiratory hospitalisation TIV-HD vs TIV</w:t>
            </w:r>
            <w:r w:rsidR="00E63740" w:rsidRPr="008B2FD3">
              <w:rPr>
                <w:rFonts w:ascii="Arial Narrow" w:hAnsi="Arial Narrow" w:cs="Times New Roman"/>
                <w:snapToGrid/>
                <w:sz w:val="20"/>
                <w:szCs w:val="20"/>
              </w:rPr>
              <w:noBreakHyphen/>
            </w:r>
            <w:r w:rsidRPr="008B2FD3">
              <w:rPr>
                <w:rFonts w:ascii="Arial Narrow" w:hAnsi="Arial Narrow" w:cs="Times New Roman"/>
                <w:snapToGrid/>
                <w:sz w:val="20"/>
                <w:szCs w:val="20"/>
              </w:rPr>
              <w:t>SD: 27.3%.</w:t>
            </w:r>
          </w:p>
          <w:p w:rsidR="00D53E4A" w:rsidRPr="008B2FD3" w:rsidRDefault="00D53E4A" w:rsidP="003B0926">
            <w:pPr>
              <w:jc w:val="left"/>
              <w:rPr>
                <w:rFonts w:ascii="Arial Narrow" w:hAnsi="Arial Narrow" w:cs="Times New Roman"/>
                <w:snapToGrid/>
                <w:sz w:val="20"/>
                <w:szCs w:val="20"/>
              </w:rPr>
            </w:pPr>
          </w:p>
          <w:p w:rsidR="00D53E4A" w:rsidRPr="008B2FD3" w:rsidRDefault="00D53E4A" w:rsidP="003B0926">
            <w:pPr>
              <w:jc w:val="left"/>
              <w:rPr>
                <w:rFonts w:ascii="Arial Narrow" w:hAnsi="Arial Narrow" w:cs="Times New Roman"/>
                <w:snapToGrid/>
                <w:sz w:val="20"/>
                <w:szCs w:val="20"/>
              </w:rPr>
            </w:pPr>
            <w:r w:rsidRPr="008B2FD3">
              <w:rPr>
                <w:rFonts w:ascii="Arial Narrow" w:hAnsi="Arial Narrow" w:cs="Times New Roman"/>
                <w:snapToGrid/>
                <w:sz w:val="20"/>
                <w:szCs w:val="20"/>
              </w:rPr>
              <w:t>Relative VE against cardiovascular hospitalisation TIV-HD vs TIV-SD: 9.4%</w:t>
            </w:r>
          </w:p>
        </w:tc>
        <w:tc>
          <w:tcPr>
            <w:tcW w:w="5696" w:type="dxa"/>
            <w:shd w:val="clear" w:color="auto" w:fill="auto"/>
          </w:tcPr>
          <w:p w:rsidR="00D53E4A" w:rsidRPr="008B2FD3" w:rsidRDefault="00D53E4A" w:rsidP="003B0926">
            <w:pPr>
              <w:jc w:val="left"/>
              <w:rPr>
                <w:rFonts w:ascii="Arial Narrow" w:hAnsi="Arial Narrow" w:cs="Times New Roman"/>
                <w:snapToGrid/>
                <w:sz w:val="20"/>
                <w:szCs w:val="20"/>
              </w:rPr>
            </w:pPr>
            <w:r w:rsidRPr="008B2FD3">
              <w:rPr>
                <w:rFonts w:ascii="Arial Narrow" w:hAnsi="Arial Narrow" w:cs="Times New Roman"/>
                <w:snapToGrid/>
                <w:sz w:val="20"/>
                <w:szCs w:val="20"/>
              </w:rPr>
              <w:t>ATAGI considered that cardiovascular disease should not be included as a potential health benefit</w:t>
            </w:r>
            <w:r w:rsidR="005B7E06" w:rsidRPr="008B2FD3">
              <w:rPr>
                <w:rFonts w:ascii="Arial Narrow" w:hAnsi="Arial Narrow" w:cs="Times New Roman"/>
                <w:snapToGrid/>
                <w:sz w:val="20"/>
                <w:szCs w:val="20"/>
              </w:rPr>
              <w:t xml:space="preserve"> (ATAGI February 2018 pre-submission advice)</w:t>
            </w:r>
            <w:r w:rsidRPr="008B2FD3">
              <w:rPr>
                <w:rFonts w:ascii="Arial Narrow" w:hAnsi="Arial Narrow" w:cs="Times New Roman"/>
                <w:snapToGrid/>
                <w:sz w:val="20"/>
                <w:szCs w:val="20"/>
              </w:rPr>
              <w:t xml:space="preserve">, and results from the FIM12 trial do not support the use of a relative risk reduction in cardiovascular hospitalisation being associated with TIV-HD vaccination – due to </w:t>
            </w:r>
            <w:r w:rsidR="00C50EC4">
              <w:rPr>
                <w:rFonts w:ascii="Arial Narrow" w:hAnsi="Arial Narrow" w:cs="Times New Roman"/>
                <w:snapToGrid/>
                <w:sz w:val="20"/>
                <w:szCs w:val="20"/>
              </w:rPr>
              <w:t xml:space="preserve">the </w:t>
            </w:r>
            <w:r w:rsidRPr="008B2FD3">
              <w:rPr>
                <w:rFonts w:ascii="Arial Narrow" w:hAnsi="Arial Narrow" w:cs="Times New Roman"/>
                <w:snapToGrid/>
                <w:sz w:val="20"/>
                <w:szCs w:val="20"/>
              </w:rPr>
              <w:t xml:space="preserve">effect being driven by pneumonia. It is </w:t>
            </w:r>
            <w:r w:rsidR="00C50EC4">
              <w:rPr>
                <w:rFonts w:ascii="Arial Narrow" w:hAnsi="Arial Narrow" w:cs="Times New Roman"/>
                <w:snapToGrid/>
                <w:sz w:val="20"/>
                <w:szCs w:val="20"/>
              </w:rPr>
              <w:t>in</w:t>
            </w:r>
            <w:r w:rsidRPr="008B2FD3">
              <w:rPr>
                <w:rFonts w:ascii="Arial Narrow" w:hAnsi="Arial Narrow" w:cs="Times New Roman"/>
                <w:snapToGrid/>
                <w:sz w:val="20"/>
                <w:szCs w:val="20"/>
              </w:rPr>
              <w:t xml:space="preserve">appropriate to include cardiovascular hospitalisation in the </w:t>
            </w:r>
            <w:r w:rsidR="00730D6A" w:rsidRPr="008B2FD3">
              <w:rPr>
                <w:rFonts w:ascii="Arial Narrow" w:hAnsi="Arial Narrow" w:cs="Times New Roman"/>
                <w:snapToGrid/>
                <w:sz w:val="20"/>
                <w:szCs w:val="20"/>
              </w:rPr>
              <w:t>base case</w:t>
            </w:r>
            <w:r w:rsidRPr="008B2FD3">
              <w:rPr>
                <w:rFonts w:ascii="Arial Narrow" w:hAnsi="Arial Narrow" w:cs="Times New Roman"/>
                <w:snapToGrid/>
                <w:sz w:val="20"/>
                <w:szCs w:val="20"/>
              </w:rPr>
              <w:t>.</w:t>
            </w:r>
          </w:p>
          <w:p w:rsidR="00D53E4A" w:rsidRPr="008B2FD3" w:rsidRDefault="00D53E4A" w:rsidP="003B0926">
            <w:pPr>
              <w:jc w:val="left"/>
              <w:rPr>
                <w:rFonts w:ascii="Arial Narrow" w:hAnsi="Arial Narrow" w:cs="Times New Roman"/>
                <w:snapToGrid/>
                <w:sz w:val="20"/>
                <w:szCs w:val="20"/>
              </w:rPr>
            </w:pPr>
          </w:p>
          <w:p w:rsidR="00B9786B" w:rsidRPr="00645F5B" w:rsidRDefault="00B9786B" w:rsidP="003B0926">
            <w:pPr>
              <w:jc w:val="left"/>
              <w:rPr>
                <w:rFonts w:ascii="Arial Narrow" w:hAnsi="Arial Narrow" w:cs="Times New Roman"/>
                <w:snapToGrid/>
                <w:sz w:val="20"/>
                <w:szCs w:val="20"/>
              </w:rPr>
            </w:pPr>
            <w:r w:rsidRPr="00645F5B">
              <w:rPr>
                <w:rFonts w:ascii="Arial Narrow" w:hAnsi="Arial Narrow" w:cs="Times New Roman"/>
                <w:snapToGrid/>
                <w:sz w:val="20"/>
                <w:szCs w:val="20"/>
              </w:rPr>
              <w:t xml:space="preserve">The VE </w:t>
            </w:r>
            <w:r w:rsidR="00386358" w:rsidRPr="00645F5B">
              <w:rPr>
                <w:rFonts w:ascii="Arial Narrow" w:hAnsi="Arial Narrow" w:cs="Times New Roman"/>
                <w:snapToGrid/>
                <w:sz w:val="20"/>
                <w:szCs w:val="20"/>
              </w:rPr>
              <w:t xml:space="preserve">of TIV-SD </w:t>
            </w:r>
            <w:r w:rsidRPr="00645F5B">
              <w:rPr>
                <w:rFonts w:ascii="Arial Narrow" w:hAnsi="Arial Narrow" w:cs="Times New Roman"/>
                <w:snapToGrid/>
                <w:sz w:val="20"/>
                <w:szCs w:val="20"/>
              </w:rPr>
              <w:t xml:space="preserve">against the </w:t>
            </w:r>
            <w:r w:rsidRPr="00645F5B">
              <w:rPr>
                <w:rFonts w:ascii="Arial Narrow" w:hAnsi="Arial Narrow" w:cs="Times New Roman"/>
                <w:snapToGrid/>
                <w:sz w:val="20"/>
                <w:szCs w:val="20"/>
                <w:u w:val="single"/>
              </w:rPr>
              <w:t>risk</w:t>
            </w:r>
            <w:r w:rsidR="00B44DC1" w:rsidRPr="00645F5B">
              <w:rPr>
                <w:rFonts w:ascii="Arial Narrow" w:hAnsi="Arial Narrow" w:cs="Times New Roman"/>
                <w:snapToGrid/>
                <w:sz w:val="20"/>
                <w:szCs w:val="20"/>
                <w:u w:val="single"/>
              </w:rPr>
              <w:t>s</w:t>
            </w:r>
            <w:r w:rsidRPr="00645F5B">
              <w:rPr>
                <w:rFonts w:ascii="Arial Narrow" w:hAnsi="Arial Narrow" w:cs="Times New Roman"/>
                <w:snapToGrid/>
                <w:sz w:val="20"/>
                <w:szCs w:val="20"/>
                <w:u w:val="single"/>
              </w:rPr>
              <w:t xml:space="preserve"> </w:t>
            </w:r>
            <w:r w:rsidRPr="00645F5B">
              <w:rPr>
                <w:rFonts w:ascii="Arial Narrow" w:hAnsi="Arial Narrow" w:cs="Times New Roman"/>
                <w:snapToGrid/>
                <w:sz w:val="20"/>
                <w:szCs w:val="20"/>
              </w:rPr>
              <w:t xml:space="preserve">of hospitalisation </w:t>
            </w:r>
            <w:proofErr w:type="gramStart"/>
            <w:r w:rsidRPr="00645F5B">
              <w:rPr>
                <w:rFonts w:ascii="Arial Narrow" w:hAnsi="Arial Narrow" w:cs="Times New Roman"/>
                <w:snapToGrid/>
                <w:sz w:val="20"/>
                <w:szCs w:val="20"/>
              </w:rPr>
              <w:t>were</w:t>
            </w:r>
            <w:proofErr w:type="gramEnd"/>
            <w:r w:rsidRPr="00645F5B">
              <w:rPr>
                <w:rFonts w:ascii="Arial Narrow" w:hAnsi="Arial Narrow" w:cs="Times New Roman"/>
                <w:snapToGrid/>
                <w:sz w:val="20"/>
                <w:szCs w:val="20"/>
              </w:rPr>
              <w:t xml:space="preserve"> based on rates of illness (influenza/pneumonia, respiratory and cardiorespiratory) from the supplementary analysis FIM12 trial. However, t</w:t>
            </w:r>
            <w:r w:rsidR="00D53E4A" w:rsidRPr="00645F5B">
              <w:rPr>
                <w:rFonts w:ascii="Arial Narrow" w:hAnsi="Arial Narrow" w:cs="Times New Roman"/>
                <w:snapToGrid/>
                <w:sz w:val="20"/>
                <w:szCs w:val="20"/>
              </w:rPr>
              <w:t xml:space="preserve">he submission </w:t>
            </w:r>
            <w:r w:rsidR="003C0DFB" w:rsidRPr="00645F5B">
              <w:rPr>
                <w:rFonts w:ascii="Arial Narrow" w:hAnsi="Arial Narrow" w:cs="Times New Roman"/>
                <w:snapToGrid/>
                <w:sz w:val="20"/>
                <w:szCs w:val="20"/>
              </w:rPr>
              <w:t>did not use t</w:t>
            </w:r>
            <w:r w:rsidRPr="00645F5B">
              <w:rPr>
                <w:rFonts w:ascii="Arial Narrow" w:hAnsi="Arial Narrow" w:cs="Times New Roman"/>
                <w:sz w:val="20"/>
              </w:rPr>
              <w:t xml:space="preserve">he </w:t>
            </w:r>
            <w:r w:rsidRPr="00645F5B">
              <w:rPr>
                <w:rFonts w:ascii="Arial Narrow" w:hAnsi="Arial Narrow" w:cs="Times New Roman"/>
                <w:sz w:val="20"/>
                <w:u w:val="single"/>
              </w:rPr>
              <w:t xml:space="preserve">rates </w:t>
            </w:r>
            <w:r w:rsidRPr="00645F5B">
              <w:rPr>
                <w:rFonts w:ascii="Arial Narrow" w:hAnsi="Arial Narrow" w:cs="Times New Roman"/>
                <w:sz w:val="20"/>
              </w:rPr>
              <w:t xml:space="preserve">of </w:t>
            </w:r>
            <w:r w:rsidR="00730D6A" w:rsidRPr="00645F5B">
              <w:rPr>
                <w:rFonts w:ascii="Arial Narrow" w:hAnsi="Arial Narrow" w:cs="Times New Roman"/>
                <w:sz w:val="20"/>
              </w:rPr>
              <w:t>hospitalisations</w:t>
            </w:r>
            <w:r w:rsidR="003C0DFB" w:rsidRPr="00645F5B">
              <w:rPr>
                <w:rFonts w:ascii="Arial Narrow" w:hAnsi="Arial Narrow" w:cs="Times New Roman"/>
                <w:sz w:val="20"/>
              </w:rPr>
              <w:t xml:space="preserve"> from trial FIM12</w:t>
            </w:r>
            <w:r w:rsidRPr="00645F5B">
              <w:rPr>
                <w:rFonts w:ascii="Arial Narrow" w:hAnsi="Arial Narrow" w:cs="Times New Roman"/>
                <w:snapToGrid/>
                <w:sz w:val="20"/>
                <w:szCs w:val="20"/>
              </w:rPr>
              <w:t>. The basis for the assum</w:t>
            </w:r>
            <w:r w:rsidR="003C0DFB" w:rsidRPr="00645F5B">
              <w:rPr>
                <w:rFonts w:ascii="Arial Narrow" w:hAnsi="Arial Narrow" w:cs="Times New Roman"/>
                <w:snapToGrid/>
                <w:sz w:val="20"/>
                <w:szCs w:val="20"/>
              </w:rPr>
              <w:t>ed hospitalisation rates</w:t>
            </w:r>
            <w:r w:rsidR="00D53E4A" w:rsidRPr="00645F5B">
              <w:rPr>
                <w:rFonts w:ascii="Arial Narrow" w:hAnsi="Arial Narrow" w:cs="Times New Roman"/>
                <w:snapToGrid/>
                <w:sz w:val="20"/>
                <w:szCs w:val="20"/>
              </w:rPr>
              <w:t xml:space="preserve"> was unclear. </w:t>
            </w:r>
            <w:r w:rsidRPr="00645F5B">
              <w:rPr>
                <w:rFonts w:ascii="Arial Narrow" w:hAnsi="Arial Narrow" w:cs="Times New Roman"/>
                <w:snapToGrid/>
                <w:sz w:val="20"/>
                <w:szCs w:val="20"/>
              </w:rPr>
              <w:t xml:space="preserve">The relative </w:t>
            </w:r>
            <w:r w:rsidR="00386358" w:rsidRPr="00645F5B">
              <w:rPr>
                <w:rFonts w:ascii="Arial Narrow" w:hAnsi="Arial Narrow" w:cs="Times New Roman"/>
                <w:snapToGrid/>
                <w:sz w:val="20"/>
                <w:szCs w:val="20"/>
              </w:rPr>
              <w:t>VE of TIV-HD for</w:t>
            </w:r>
            <w:r w:rsidRPr="00645F5B">
              <w:rPr>
                <w:rFonts w:ascii="Arial Narrow" w:hAnsi="Arial Narrow" w:cs="Times New Roman"/>
                <w:snapToGrid/>
                <w:sz w:val="20"/>
                <w:szCs w:val="20"/>
              </w:rPr>
              <w:t xml:space="preserve"> hospitalisations w</w:t>
            </w:r>
            <w:r w:rsidR="00386358" w:rsidRPr="00645F5B">
              <w:rPr>
                <w:rFonts w:ascii="Arial Narrow" w:hAnsi="Arial Narrow" w:cs="Times New Roman"/>
                <w:snapToGrid/>
                <w:sz w:val="20"/>
                <w:szCs w:val="20"/>
              </w:rPr>
              <w:t>as</w:t>
            </w:r>
            <w:r w:rsidRPr="00645F5B">
              <w:rPr>
                <w:rFonts w:ascii="Arial Narrow" w:hAnsi="Arial Narrow" w:cs="Times New Roman"/>
                <w:snapToGrid/>
                <w:sz w:val="20"/>
                <w:szCs w:val="20"/>
              </w:rPr>
              <w:t xml:space="preserve"> based on the FIM12 trial. </w:t>
            </w:r>
            <w:r w:rsidR="00AE7975">
              <w:rPr>
                <w:rFonts w:ascii="Arial Narrow" w:hAnsi="Arial Narrow" w:cs="Times New Roman"/>
                <w:snapToGrid/>
                <w:sz w:val="20"/>
                <w:szCs w:val="20"/>
              </w:rPr>
              <w:t xml:space="preserve">The PSCR </w:t>
            </w:r>
            <w:r w:rsidR="007B3657" w:rsidRPr="00645F5B">
              <w:rPr>
                <w:rFonts w:ascii="Arial Narrow" w:hAnsi="Arial Narrow" w:cs="Times New Roman"/>
                <w:snapToGrid/>
                <w:sz w:val="20"/>
                <w:szCs w:val="20"/>
              </w:rPr>
              <w:t>sta</w:t>
            </w:r>
            <w:r w:rsidRPr="00645F5B">
              <w:rPr>
                <w:rFonts w:ascii="Arial Narrow" w:hAnsi="Arial Narrow" w:cs="Times New Roman"/>
                <w:snapToGrid/>
                <w:sz w:val="20"/>
                <w:szCs w:val="20"/>
              </w:rPr>
              <w:t>ted that the absolute efficacy of influenza vaccines against hospitalisation is subject to considerable debate, and that available studies and meta-analyses have produced relatively heterogeneous results, and the sponsor is open to re-specification of assumptions if alternative data sources are identified.</w:t>
            </w:r>
          </w:p>
          <w:p w:rsidR="00B9786B" w:rsidRPr="00645F5B" w:rsidRDefault="00B9786B" w:rsidP="003B0926">
            <w:pPr>
              <w:jc w:val="left"/>
              <w:rPr>
                <w:rFonts w:ascii="Arial Narrow" w:hAnsi="Arial Narrow" w:cs="Times New Roman"/>
                <w:snapToGrid/>
                <w:sz w:val="20"/>
                <w:szCs w:val="20"/>
              </w:rPr>
            </w:pPr>
          </w:p>
          <w:p w:rsidR="00D53E4A" w:rsidRPr="00645F5B" w:rsidRDefault="00D53E4A" w:rsidP="003B0926">
            <w:pPr>
              <w:jc w:val="left"/>
              <w:rPr>
                <w:rFonts w:ascii="Arial Narrow" w:hAnsi="Arial Narrow" w:cs="Times New Roman"/>
                <w:snapToGrid/>
                <w:sz w:val="20"/>
                <w:szCs w:val="20"/>
              </w:rPr>
            </w:pPr>
            <w:r w:rsidRPr="00645F5B">
              <w:rPr>
                <w:rFonts w:ascii="Arial Narrow" w:hAnsi="Arial Narrow" w:cs="Times New Roman"/>
                <w:snapToGrid/>
                <w:sz w:val="20"/>
                <w:szCs w:val="20"/>
              </w:rPr>
              <w:t xml:space="preserve">The submission also assumed QIV-SD and TIV-SD have the same vaccine efficacy against hospitalisations. </w:t>
            </w:r>
            <w:r w:rsidR="00B9786B" w:rsidRPr="00645F5B">
              <w:rPr>
                <w:rFonts w:ascii="Arial Narrow" w:hAnsi="Arial Narrow" w:cs="Times New Roman"/>
                <w:snapToGrid/>
                <w:sz w:val="20"/>
                <w:szCs w:val="20"/>
              </w:rPr>
              <w:t xml:space="preserve">Although the benefits of TIV-HD may outweigh the potential loss of protection against the mismatched B strain in QIV-SD compared to TIV-SD, </w:t>
            </w:r>
            <w:r w:rsidR="00BE40FC">
              <w:rPr>
                <w:rFonts w:ascii="Arial Narrow" w:hAnsi="Arial Narrow" w:cs="Times New Roman"/>
                <w:snapToGrid/>
                <w:sz w:val="20"/>
                <w:szCs w:val="20"/>
              </w:rPr>
              <w:t>the ESC considered t</w:t>
            </w:r>
            <w:r w:rsidR="00B9786B" w:rsidRPr="00645F5B">
              <w:rPr>
                <w:rFonts w:ascii="Arial Narrow" w:hAnsi="Arial Narrow" w:cs="Times New Roman"/>
                <w:snapToGrid/>
                <w:sz w:val="20"/>
                <w:szCs w:val="20"/>
              </w:rPr>
              <w:t>here is likely to be some value in the alternative B strain not accounted for in the model.</w:t>
            </w:r>
            <w:r w:rsidR="00F223BB">
              <w:rPr>
                <w:rFonts w:ascii="Arial Narrow" w:hAnsi="Arial Narrow" w:cs="Times New Roman"/>
                <w:snapToGrid/>
                <w:sz w:val="20"/>
                <w:szCs w:val="20"/>
              </w:rPr>
              <w:t xml:space="preserve"> </w:t>
            </w:r>
          </w:p>
          <w:p w:rsidR="00B9786B" w:rsidRDefault="00B9786B" w:rsidP="003B0926">
            <w:pPr>
              <w:pStyle w:val="Default"/>
              <w:jc w:val="both"/>
              <w:rPr>
                <w:rFonts w:ascii="Arial Narrow" w:hAnsi="Arial Narrow" w:cs="Times New Roman"/>
                <w:color w:val="auto"/>
                <w:sz w:val="20"/>
                <w:szCs w:val="20"/>
                <w:lang w:eastAsia="en-US"/>
              </w:rPr>
            </w:pPr>
          </w:p>
          <w:p w:rsidR="00D53E4A" w:rsidRPr="008B2FD3" w:rsidRDefault="00D53E4A" w:rsidP="003B0926">
            <w:pPr>
              <w:pStyle w:val="Default"/>
              <w:jc w:val="both"/>
              <w:rPr>
                <w:rFonts w:ascii="Arial Narrow" w:hAnsi="Arial Narrow" w:cs="Times New Roman"/>
                <w:color w:val="auto"/>
                <w:sz w:val="20"/>
                <w:szCs w:val="20"/>
                <w:lang w:eastAsia="en-US"/>
              </w:rPr>
            </w:pPr>
            <w:r w:rsidRPr="008B2FD3">
              <w:rPr>
                <w:rFonts w:ascii="Arial Narrow" w:hAnsi="Arial Narrow" w:cs="Times New Roman"/>
                <w:color w:val="auto"/>
                <w:sz w:val="20"/>
                <w:szCs w:val="20"/>
                <w:lang w:eastAsia="en-US"/>
              </w:rPr>
              <w:t>The results were sensitive to the TIV-HD vs comparator (TIV-SD or QIV-SD) VE relative risks against hospitalisation.</w:t>
            </w:r>
          </w:p>
        </w:tc>
      </w:tr>
      <w:tr w:rsidR="00D53E4A" w:rsidRPr="008B2FD3" w:rsidTr="00C62F3B">
        <w:trPr>
          <w:cantSplit/>
          <w:trHeight w:val="70"/>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szCs w:val="20"/>
              </w:rPr>
              <w:t>Vaccine coverage: AIHW 2009 Adult vaccination survey</w:t>
            </w:r>
          </w:p>
        </w:tc>
        <w:tc>
          <w:tcPr>
            <w:tcW w:w="5696" w:type="dxa"/>
            <w:shd w:val="clear" w:color="auto" w:fill="auto"/>
          </w:tcPr>
          <w:p w:rsidR="00D53E4A" w:rsidRPr="008B2FD3" w:rsidRDefault="00D53E4A" w:rsidP="003B0926">
            <w:pPr>
              <w:pStyle w:val="Default"/>
              <w:jc w:val="both"/>
              <w:rPr>
                <w:rFonts w:ascii="Arial Narrow" w:hAnsi="Arial Narrow"/>
                <w:color w:val="000000" w:themeColor="text1"/>
                <w:sz w:val="20"/>
                <w:szCs w:val="20"/>
              </w:rPr>
            </w:pPr>
            <w:r w:rsidRPr="008B2FD3">
              <w:rPr>
                <w:rFonts w:ascii="Arial Narrow" w:hAnsi="Arial Narrow"/>
                <w:sz w:val="20"/>
                <w:szCs w:val="20"/>
              </w:rPr>
              <w:t>This may understate coverage given the survey is dated and recent high incidence seasons are likely to have increased community awareness.</w:t>
            </w:r>
          </w:p>
        </w:tc>
      </w:tr>
      <w:tr w:rsidR="00D53E4A" w:rsidRPr="008B2FD3" w:rsidTr="00C62F3B">
        <w:trPr>
          <w:cantSplit/>
          <w:trHeight w:val="259"/>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szCs w:val="20"/>
              </w:rPr>
              <w:t>Herd immunity: None</w:t>
            </w:r>
          </w:p>
        </w:tc>
        <w:tc>
          <w:tcPr>
            <w:tcW w:w="5696" w:type="dxa"/>
            <w:shd w:val="clear" w:color="auto" w:fill="auto"/>
          </w:tcPr>
          <w:p w:rsidR="00D53E4A" w:rsidRPr="008B2FD3" w:rsidRDefault="00D53E4A" w:rsidP="00767DDD">
            <w:pPr>
              <w:pStyle w:val="Default"/>
              <w:jc w:val="both"/>
              <w:rPr>
                <w:rFonts w:ascii="Arial Narrow" w:hAnsi="Arial Narrow"/>
                <w:color w:val="000000" w:themeColor="text1"/>
                <w:sz w:val="20"/>
                <w:szCs w:val="20"/>
              </w:rPr>
            </w:pPr>
            <w:r w:rsidRPr="008B2FD3">
              <w:rPr>
                <w:rFonts w:ascii="Arial Narrow" w:hAnsi="Arial Narrow"/>
                <w:sz w:val="20"/>
                <w:szCs w:val="20"/>
              </w:rPr>
              <w:t xml:space="preserve">This is most likely a conservative assumption as a large population (65+ year old Australians) would be targeted with a higher dose vaccine. This population has the highest incidence of influenza. </w:t>
            </w:r>
          </w:p>
        </w:tc>
      </w:tr>
      <w:tr w:rsidR="00D53E4A" w:rsidRPr="008B2FD3" w:rsidTr="00C62F3B">
        <w:trPr>
          <w:cantSplit/>
          <w:trHeight w:val="70"/>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cs="Times New Roman"/>
                <w:sz w:val="20"/>
              </w:rPr>
            </w:pPr>
            <w:r w:rsidRPr="008B2FD3">
              <w:rPr>
                <w:rFonts w:ascii="Arial Narrow" w:hAnsi="Arial Narrow" w:cs="Times New Roman"/>
                <w:sz w:val="20"/>
              </w:rPr>
              <w:t>Hospital case-fatality rate: AIHW national hospital morbidity database for Australia</w:t>
            </w:r>
          </w:p>
        </w:tc>
        <w:tc>
          <w:tcPr>
            <w:tcW w:w="5696" w:type="dxa"/>
            <w:shd w:val="clear" w:color="auto" w:fill="auto"/>
          </w:tcPr>
          <w:p w:rsidR="00D53E4A" w:rsidRPr="008B2FD3" w:rsidRDefault="00D53E4A" w:rsidP="003B0926">
            <w:pPr>
              <w:pStyle w:val="Default"/>
              <w:jc w:val="both"/>
              <w:rPr>
                <w:rFonts w:ascii="Arial Narrow" w:hAnsi="Arial Narrow" w:cs="Times New Roman"/>
                <w:snapToGrid w:val="0"/>
                <w:color w:val="auto"/>
                <w:sz w:val="20"/>
                <w:szCs w:val="22"/>
                <w:lang w:eastAsia="en-US"/>
              </w:rPr>
            </w:pPr>
            <w:r w:rsidRPr="008B2FD3">
              <w:rPr>
                <w:rFonts w:ascii="Arial Narrow" w:hAnsi="Arial Narrow" w:cs="Times New Roman"/>
                <w:snapToGrid w:val="0"/>
                <w:color w:val="auto"/>
                <w:sz w:val="20"/>
                <w:szCs w:val="22"/>
                <w:lang w:eastAsia="en-US"/>
              </w:rPr>
              <w:t>This is appropriate.</w:t>
            </w:r>
          </w:p>
        </w:tc>
      </w:tr>
      <w:tr w:rsidR="00D53E4A" w:rsidRPr="008B2FD3" w:rsidTr="00C62F3B">
        <w:trPr>
          <w:cantSplit/>
          <w:trHeight w:val="70"/>
        </w:trPr>
        <w:tc>
          <w:tcPr>
            <w:tcW w:w="0" w:type="auto"/>
            <w:vMerge/>
            <w:shd w:val="clear" w:color="auto" w:fill="auto"/>
          </w:tcPr>
          <w:p w:rsidR="00D53E4A" w:rsidRPr="008B2FD3" w:rsidRDefault="00D53E4A" w:rsidP="003B0926">
            <w:pPr>
              <w:jc w:val="left"/>
              <w:rPr>
                <w:rFonts w:ascii="Arial Narrow" w:hAnsi="Arial Narrow"/>
                <w:sz w:val="20"/>
              </w:rPr>
            </w:pPr>
          </w:p>
        </w:tc>
        <w:tc>
          <w:tcPr>
            <w:tcW w:w="2356" w:type="dxa"/>
            <w:shd w:val="clear" w:color="auto" w:fill="auto"/>
          </w:tcPr>
          <w:p w:rsidR="00D53E4A" w:rsidRPr="008B2FD3" w:rsidRDefault="00D53E4A" w:rsidP="003B0926">
            <w:pPr>
              <w:jc w:val="left"/>
              <w:rPr>
                <w:rFonts w:ascii="Arial Narrow" w:hAnsi="Arial Narrow" w:cs="Times New Roman"/>
                <w:sz w:val="20"/>
              </w:rPr>
            </w:pPr>
            <w:r w:rsidRPr="008B2FD3">
              <w:rPr>
                <w:rFonts w:ascii="Arial Narrow" w:hAnsi="Arial Narrow" w:cs="Times New Roman"/>
                <w:sz w:val="20"/>
              </w:rPr>
              <w:t>Background mortality: Australian Bureau of Statistics</w:t>
            </w:r>
          </w:p>
        </w:tc>
        <w:tc>
          <w:tcPr>
            <w:tcW w:w="5696" w:type="dxa"/>
            <w:shd w:val="clear" w:color="auto" w:fill="auto"/>
          </w:tcPr>
          <w:p w:rsidR="00D53E4A" w:rsidRPr="008B2FD3" w:rsidRDefault="00D53E4A" w:rsidP="003B0926">
            <w:pPr>
              <w:pStyle w:val="Default"/>
              <w:jc w:val="both"/>
              <w:rPr>
                <w:rFonts w:ascii="Arial Narrow" w:hAnsi="Arial Narrow" w:cs="Times New Roman"/>
                <w:snapToGrid w:val="0"/>
                <w:color w:val="auto"/>
                <w:sz w:val="20"/>
                <w:szCs w:val="22"/>
                <w:lang w:eastAsia="en-US"/>
              </w:rPr>
            </w:pPr>
            <w:r w:rsidRPr="008B2FD3">
              <w:rPr>
                <w:rFonts w:ascii="Arial Narrow" w:hAnsi="Arial Narrow" w:cs="Times New Roman"/>
                <w:snapToGrid w:val="0"/>
                <w:color w:val="auto"/>
                <w:sz w:val="20"/>
                <w:szCs w:val="22"/>
                <w:lang w:eastAsia="en-US"/>
              </w:rPr>
              <w:t>This is appropriate.</w:t>
            </w:r>
          </w:p>
        </w:tc>
      </w:tr>
      <w:tr w:rsidR="00D53E4A" w:rsidRPr="008B2FD3" w:rsidTr="00C62F3B">
        <w:trPr>
          <w:cantSplit/>
          <w:trHeight w:val="70"/>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cs="Times New Roman"/>
                <w:sz w:val="20"/>
              </w:rPr>
              <w:t>Utilities</w:t>
            </w:r>
          </w:p>
        </w:tc>
        <w:tc>
          <w:tcPr>
            <w:tcW w:w="2356" w:type="dxa"/>
            <w:shd w:val="clear" w:color="auto" w:fill="auto"/>
          </w:tcPr>
          <w:p w:rsidR="00D53E4A" w:rsidRPr="008B2FD3" w:rsidRDefault="00D53E4A" w:rsidP="003B0926">
            <w:pPr>
              <w:jc w:val="left"/>
              <w:rPr>
                <w:rFonts w:ascii="Arial Narrow" w:hAnsi="Arial Narrow" w:cs="Times New Roman"/>
                <w:sz w:val="20"/>
              </w:rPr>
            </w:pPr>
            <w:r w:rsidRPr="008B2FD3">
              <w:rPr>
                <w:rFonts w:ascii="Arial Narrow" w:hAnsi="Arial Narrow" w:cs="Times New Roman"/>
                <w:sz w:val="20"/>
              </w:rPr>
              <w:t>Published studies including Turner et al., 2003, McPhail and Haines, 2010 and Hawthorne et al., 2013</w:t>
            </w:r>
          </w:p>
        </w:tc>
        <w:tc>
          <w:tcPr>
            <w:tcW w:w="5696" w:type="dxa"/>
            <w:shd w:val="clear" w:color="auto" w:fill="auto"/>
          </w:tcPr>
          <w:p w:rsidR="00D53E4A" w:rsidRPr="008B2FD3" w:rsidRDefault="00D53E4A" w:rsidP="00E63740">
            <w:pPr>
              <w:pStyle w:val="Default"/>
              <w:jc w:val="both"/>
              <w:rPr>
                <w:rFonts w:ascii="Arial Narrow" w:hAnsi="Arial Narrow" w:cs="Times New Roman"/>
                <w:snapToGrid w:val="0"/>
                <w:color w:val="auto"/>
                <w:sz w:val="20"/>
                <w:szCs w:val="22"/>
                <w:lang w:eastAsia="en-US"/>
              </w:rPr>
            </w:pPr>
            <w:r w:rsidRPr="008B2FD3">
              <w:rPr>
                <w:rFonts w:ascii="Arial Narrow" w:hAnsi="Arial Narrow" w:cs="Times New Roman"/>
                <w:snapToGrid w:val="0"/>
                <w:color w:val="auto"/>
                <w:sz w:val="20"/>
                <w:szCs w:val="22"/>
                <w:lang w:eastAsia="en-US"/>
              </w:rPr>
              <w:t>These sources are appropriate.</w:t>
            </w:r>
            <w:r w:rsidRPr="008B2FD3">
              <w:t xml:space="preserve"> </w:t>
            </w:r>
            <w:r w:rsidRPr="008B2FD3">
              <w:rPr>
                <w:rFonts w:ascii="Arial Narrow" w:hAnsi="Arial Narrow" w:cs="Times New Roman"/>
                <w:snapToGrid w:val="0"/>
                <w:color w:val="auto"/>
                <w:sz w:val="20"/>
                <w:szCs w:val="22"/>
                <w:lang w:eastAsia="en-US"/>
              </w:rPr>
              <w:t>The McPhail and Haines 2010 study used EQ</w:t>
            </w:r>
            <w:r w:rsidR="00E63740" w:rsidRPr="008B2FD3">
              <w:rPr>
                <w:rFonts w:ascii="Arial Narrow" w:hAnsi="Arial Narrow" w:cs="Times New Roman"/>
                <w:snapToGrid w:val="0"/>
                <w:color w:val="auto"/>
                <w:sz w:val="20"/>
                <w:szCs w:val="22"/>
                <w:lang w:eastAsia="en-US"/>
              </w:rPr>
              <w:noBreakHyphen/>
            </w:r>
            <w:r w:rsidRPr="008B2FD3">
              <w:rPr>
                <w:rFonts w:ascii="Arial Narrow" w:hAnsi="Arial Narrow" w:cs="Times New Roman"/>
                <w:snapToGrid w:val="0"/>
                <w:color w:val="auto"/>
                <w:sz w:val="20"/>
                <w:szCs w:val="22"/>
                <w:lang w:eastAsia="en-US"/>
              </w:rPr>
              <w:t xml:space="preserve">5D utility and VAS and Turner (2003) used VAS equivalent scores </w:t>
            </w:r>
            <w:r w:rsidR="00ED0251" w:rsidRPr="008B2FD3">
              <w:rPr>
                <w:rFonts w:ascii="Arial Narrow" w:hAnsi="Arial Narrow" w:cs="Times New Roman"/>
                <w:snapToGrid w:val="0"/>
                <w:color w:val="auto"/>
                <w:sz w:val="20"/>
                <w:szCs w:val="22"/>
                <w:lang w:eastAsia="en-US"/>
              </w:rPr>
              <w:t xml:space="preserve">which </w:t>
            </w:r>
            <w:r w:rsidRPr="008B2FD3">
              <w:rPr>
                <w:rFonts w:ascii="Arial Narrow" w:hAnsi="Arial Narrow" w:cs="Times New Roman"/>
                <w:snapToGrid w:val="0"/>
                <w:color w:val="auto"/>
                <w:sz w:val="20"/>
                <w:szCs w:val="22"/>
                <w:lang w:eastAsia="en-US"/>
              </w:rPr>
              <w:t xml:space="preserve">were converted to TTO from a series of randomised trials. </w:t>
            </w:r>
            <w:r w:rsidR="00384A36" w:rsidRPr="008B2FD3">
              <w:rPr>
                <w:rFonts w:ascii="Arial Narrow" w:hAnsi="Arial Narrow" w:cs="Times New Roman"/>
                <w:snapToGrid w:val="0"/>
                <w:color w:val="auto"/>
                <w:sz w:val="20"/>
                <w:szCs w:val="22"/>
                <w:lang w:eastAsia="en-US"/>
              </w:rPr>
              <w:t xml:space="preserve">The method for the estimation of age-related </w:t>
            </w:r>
            <w:proofErr w:type="spellStart"/>
            <w:r w:rsidR="00384A36" w:rsidRPr="008B2FD3">
              <w:rPr>
                <w:rFonts w:ascii="Arial Narrow" w:hAnsi="Arial Narrow" w:cs="Times New Roman"/>
                <w:snapToGrid w:val="0"/>
                <w:color w:val="auto"/>
                <w:sz w:val="20"/>
                <w:szCs w:val="22"/>
                <w:lang w:eastAsia="en-US"/>
              </w:rPr>
              <w:t>disutilit</w:t>
            </w:r>
            <w:r w:rsidR="0095639B" w:rsidRPr="008B2FD3">
              <w:rPr>
                <w:rFonts w:ascii="Arial Narrow" w:hAnsi="Arial Narrow" w:cs="Times New Roman"/>
                <w:snapToGrid w:val="0"/>
                <w:color w:val="auto"/>
                <w:sz w:val="20"/>
                <w:szCs w:val="22"/>
                <w:lang w:eastAsia="en-US"/>
              </w:rPr>
              <w:t>ie</w:t>
            </w:r>
            <w:r w:rsidR="00384A36" w:rsidRPr="008B2FD3">
              <w:rPr>
                <w:rFonts w:ascii="Arial Narrow" w:hAnsi="Arial Narrow" w:cs="Times New Roman"/>
                <w:snapToGrid w:val="0"/>
                <w:color w:val="auto"/>
                <w:sz w:val="20"/>
                <w:szCs w:val="22"/>
                <w:lang w:eastAsia="en-US"/>
              </w:rPr>
              <w:t>s</w:t>
            </w:r>
            <w:proofErr w:type="spellEnd"/>
            <w:r w:rsidR="00384A36" w:rsidRPr="008B2FD3">
              <w:rPr>
                <w:rFonts w:ascii="Arial Narrow" w:hAnsi="Arial Narrow" w:cs="Times New Roman"/>
                <w:snapToGrid w:val="0"/>
                <w:color w:val="auto"/>
                <w:sz w:val="20"/>
                <w:szCs w:val="22"/>
                <w:lang w:eastAsia="en-US"/>
              </w:rPr>
              <w:t xml:space="preserve"> for cases and hospitalisation was not clear. For example, </w:t>
            </w:r>
            <w:proofErr w:type="spellStart"/>
            <w:r w:rsidR="00ED0251" w:rsidRPr="008B2FD3">
              <w:rPr>
                <w:rFonts w:ascii="Arial Narrow" w:hAnsi="Arial Narrow" w:cs="Times New Roman"/>
                <w:snapToGrid w:val="0"/>
                <w:color w:val="auto"/>
                <w:sz w:val="20"/>
                <w:szCs w:val="22"/>
                <w:lang w:eastAsia="en-US"/>
              </w:rPr>
              <w:t>di</w:t>
            </w:r>
            <w:r w:rsidR="0095639B" w:rsidRPr="008B2FD3">
              <w:rPr>
                <w:rFonts w:ascii="Arial Narrow" w:hAnsi="Arial Narrow" w:cs="Times New Roman"/>
                <w:snapToGrid w:val="0"/>
                <w:color w:val="auto"/>
                <w:sz w:val="20"/>
                <w:szCs w:val="22"/>
                <w:lang w:eastAsia="en-US"/>
              </w:rPr>
              <w:t>s</w:t>
            </w:r>
            <w:r w:rsidR="00384A36" w:rsidRPr="008B2FD3">
              <w:rPr>
                <w:rFonts w:ascii="Arial Narrow" w:hAnsi="Arial Narrow" w:cs="Times New Roman"/>
                <w:snapToGrid w:val="0"/>
                <w:color w:val="auto"/>
                <w:sz w:val="20"/>
                <w:szCs w:val="22"/>
                <w:lang w:eastAsia="en-US"/>
              </w:rPr>
              <w:t>u</w:t>
            </w:r>
            <w:r w:rsidRPr="008B2FD3">
              <w:rPr>
                <w:rFonts w:ascii="Arial Narrow" w:hAnsi="Arial Narrow" w:cs="Times New Roman"/>
                <w:snapToGrid w:val="0"/>
                <w:color w:val="auto"/>
                <w:sz w:val="20"/>
                <w:szCs w:val="22"/>
                <w:lang w:eastAsia="en-US"/>
              </w:rPr>
              <w:t>tilities</w:t>
            </w:r>
            <w:proofErr w:type="spellEnd"/>
            <w:r w:rsidRPr="008B2FD3">
              <w:rPr>
                <w:rFonts w:ascii="Arial Narrow" w:hAnsi="Arial Narrow" w:cs="Times New Roman"/>
                <w:snapToGrid w:val="0"/>
                <w:color w:val="auto"/>
                <w:sz w:val="20"/>
                <w:szCs w:val="22"/>
                <w:lang w:eastAsia="en-US"/>
              </w:rPr>
              <w:t xml:space="preserve"> per day in hospital </w:t>
            </w:r>
            <w:r w:rsidR="003B0926" w:rsidRPr="008B2FD3">
              <w:rPr>
                <w:rFonts w:ascii="Arial Narrow" w:hAnsi="Arial Narrow" w:cs="Times New Roman"/>
                <w:snapToGrid w:val="0"/>
                <w:color w:val="auto"/>
                <w:sz w:val="20"/>
                <w:szCs w:val="22"/>
                <w:lang w:eastAsia="en-US"/>
              </w:rPr>
              <w:t>of 0.2620</w:t>
            </w:r>
            <w:r w:rsidRPr="008B2FD3">
              <w:rPr>
                <w:rFonts w:ascii="Arial Narrow" w:hAnsi="Arial Narrow" w:cs="Times New Roman"/>
                <w:snapToGrid w:val="0"/>
                <w:color w:val="auto"/>
                <w:sz w:val="20"/>
                <w:szCs w:val="22"/>
                <w:lang w:eastAsia="en-US"/>
              </w:rPr>
              <w:t xml:space="preserve"> were subtracted from ‘well’ expected </w:t>
            </w:r>
            <w:r w:rsidR="00ED0251" w:rsidRPr="008B2FD3">
              <w:rPr>
                <w:rFonts w:ascii="Arial Narrow" w:hAnsi="Arial Narrow" w:cs="Times New Roman"/>
                <w:snapToGrid w:val="0"/>
                <w:color w:val="auto"/>
                <w:sz w:val="20"/>
                <w:szCs w:val="22"/>
                <w:lang w:eastAsia="en-US"/>
              </w:rPr>
              <w:t xml:space="preserve">for 65+ year olds </w:t>
            </w:r>
            <w:r w:rsidR="003B0926" w:rsidRPr="008B2FD3">
              <w:rPr>
                <w:rFonts w:ascii="Arial Narrow" w:hAnsi="Arial Narrow" w:cs="Times New Roman"/>
                <w:snapToGrid w:val="0"/>
                <w:color w:val="auto"/>
                <w:sz w:val="20"/>
                <w:szCs w:val="22"/>
                <w:lang w:eastAsia="en-US"/>
              </w:rPr>
              <w:t xml:space="preserve">which </w:t>
            </w:r>
            <w:proofErr w:type="gramStart"/>
            <w:r w:rsidR="003B0926" w:rsidRPr="008B2FD3">
              <w:rPr>
                <w:rFonts w:ascii="Arial Narrow" w:hAnsi="Arial Narrow" w:cs="Times New Roman"/>
                <w:snapToGrid w:val="0"/>
                <w:color w:val="auto"/>
                <w:sz w:val="20"/>
                <w:szCs w:val="22"/>
                <w:lang w:eastAsia="en-US"/>
              </w:rPr>
              <w:t>differs</w:t>
            </w:r>
            <w:proofErr w:type="gramEnd"/>
            <w:r w:rsidR="003B0926" w:rsidRPr="008B2FD3">
              <w:rPr>
                <w:rFonts w:ascii="Arial Narrow" w:hAnsi="Arial Narrow" w:cs="Times New Roman"/>
                <w:snapToGrid w:val="0"/>
                <w:color w:val="auto"/>
                <w:sz w:val="20"/>
                <w:szCs w:val="22"/>
                <w:lang w:eastAsia="en-US"/>
              </w:rPr>
              <w:t xml:space="preserve"> from 0.2870 for conventional </w:t>
            </w:r>
            <w:r w:rsidR="00ED0251" w:rsidRPr="008B2FD3">
              <w:rPr>
                <w:rFonts w:ascii="Arial Narrow" w:hAnsi="Arial Narrow" w:cs="Times New Roman"/>
                <w:snapToGrid w:val="0"/>
                <w:color w:val="auto"/>
                <w:sz w:val="20"/>
                <w:szCs w:val="22"/>
                <w:lang w:eastAsia="en-US"/>
              </w:rPr>
              <w:t>EQ</w:t>
            </w:r>
            <w:r w:rsidR="00E63740" w:rsidRPr="008B2FD3">
              <w:rPr>
                <w:rFonts w:ascii="Arial Narrow" w:hAnsi="Arial Narrow" w:cs="Times New Roman"/>
                <w:snapToGrid w:val="0"/>
                <w:color w:val="auto"/>
                <w:sz w:val="20"/>
                <w:szCs w:val="22"/>
                <w:lang w:eastAsia="en-US"/>
              </w:rPr>
              <w:noBreakHyphen/>
            </w:r>
            <w:r w:rsidR="00ED0251" w:rsidRPr="008B2FD3">
              <w:rPr>
                <w:rFonts w:ascii="Arial Narrow" w:hAnsi="Arial Narrow" w:cs="Times New Roman"/>
                <w:snapToGrid w:val="0"/>
                <w:color w:val="auto"/>
                <w:sz w:val="20"/>
                <w:szCs w:val="22"/>
                <w:lang w:eastAsia="en-US"/>
              </w:rPr>
              <w:t xml:space="preserve">5D </w:t>
            </w:r>
            <w:r w:rsidR="003B0926" w:rsidRPr="008B2FD3">
              <w:rPr>
                <w:rFonts w:ascii="Arial Narrow" w:hAnsi="Arial Narrow" w:cs="Times New Roman"/>
                <w:snapToGrid w:val="0"/>
                <w:color w:val="auto"/>
                <w:sz w:val="20"/>
                <w:szCs w:val="22"/>
                <w:lang w:eastAsia="en-US"/>
              </w:rPr>
              <w:t xml:space="preserve">change in </w:t>
            </w:r>
            <w:r w:rsidR="00ED0251" w:rsidRPr="008B2FD3">
              <w:rPr>
                <w:rFonts w:ascii="Arial Narrow" w:hAnsi="Arial Narrow" w:cs="Times New Roman"/>
                <w:snapToGrid w:val="0"/>
                <w:color w:val="auto"/>
                <w:sz w:val="20"/>
                <w:szCs w:val="22"/>
                <w:lang w:eastAsia="en-US"/>
              </w:rPr>
              <w:t xml:space="preserve">McPhail and Haines 2010 study. </w:t>
            </w:r>
            <w:r w:rsidRPr="008B2FD3">
              <w:rPr>
                <w:rFonts w:ascii="Arial Narrow" w:hAnsi="Arial Narrow" w:cs="Times New Roman"/>
                <w:snapToGrid w:val="0"/>
                <w:color w:val="auto"/>
                <w:sz w:val="20"/>
                <w:szCs w:val="22"/>
                <w:lang w:eastAsia="en-US"/>
              </w:rPr>
              <w:t>This issue only has a minor impact given 95% of incremental QALYs were associated with mortality impacts.</w:t>
            </w:r>
          </w:p>
        </w:tc>
      </w:tr>
      <w:tr w:rsidR="00D53E4A" w:rsidRPr="008B2FD3" w:rsidTr="00C62F3B">
        <w:trPr>
          <w:cantSplit/>
          <w:trHeight w:val="240"/>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Costs</w:t>
            </w:r>
          </w:p>
        </w:tc>
        <w:tc>
          <w:tcPr>
            <w:tcW w:w="8052" w:type="dxa"/>
            <w:gridSpan w:val="2"/>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Direct medical costs, including vaccine administration costs, GP and ED treatment of confirmed cases, along with averaged AR-DRG costs for cardiovascular and respiratory-related influenza hospital admissions.</w:t>
            </w:r>
          </w:p>
        </w:tc>
      </w:tr>
      <w:tr w:rsidR="00D53E4A" w:rsidRPr="008B2FD3" w:rsidTr="00C62F3B">
        <w:trPr>
          <w:cantSplit/>
          <w:trHeight w:val="64"/>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Perspective</w:t>
            </w:r>
          </w:p>
        </w:tc>
        <w:tc>
          <w:tcPr>
            <w:tcW w:w="8052" w:type="dxa"/>
            <w:gridSpan w:val="2"/>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Australian health system</w:t>
            </w:r>
          </w:p>
        </w:tc>
      </w:tr>
      <w:tr w:rsidR="00D53E4A" w:rsidRPr="008B2FD3" w:rsidTr="00C62F3B">
        <w:trPr>
          <w:cantSplit/>
          <w:trHeight w:val="240"/>
        </w:trPr>
        <w:tc>
          <w:tcPr>
            <w:tcW w:w="0" w:type="auto"/>
            <w:shd w:val="clear" w:color="auto" w:fill="auto"/>
          </w:tcPr>
          <w:p w:rsidR="00D53E4A" w:rsidRPr="008B2FD3" w:rsidRDefault="00D53E4A" w:rsidP="003B0926">
            <w:pPr>
              <w:jc w:val="left"/>
              <w:rPr>
                <w:rFonts w:ascii="Arial Narrow" w:hAnsi="Arial Narrow"/>
                <w:sz w:val="20"/>
              </w:rPr>
            </w:pPr>
            <w:r w:rsidRPr="008B2FD3">
              <w:rPr>
                <w:rFonts w:ascii="Arial Narrow" w:hAnsi="Arial Narrow"/>
                <w:sz w:val="20"/>
              </w:rPr>
              <w:t>Discount rate</w:t>
            </w:r>
          </w:p>
        </w:tc>
        <w:tc>
          <w:tcPr>
            <w:tcW w:w="8052" w:type="dxa"/>
            <w:gridSpan w:val="2"/>
            <w:shd w:val="clear" w:color="auto" w:fill="auto"/>
          </w:tcPr>
          <w:p w:rsidR="00D53E4A" w:rsidRPr="008B2FD3" w:rsidRDefault="00D53E4A" w:rsidP="00E63740">
            <w:pPr>
              <w:jc w:val="left"/>
              <w:rPr>
                <w:rFonts w:ascii="Arial Narrow" w:hAnsi="Arial Narrow"/>
                <w:sz w:val="20"/>
              </w:rPr>
            </w:pPr>
            <w:r w:rsidRPr="008B2FD3">
              <w:rPr>
                <w:rFonts w:ascii="Arial Narrow" w:hAnsi="Arial Narrow"/>
                <w:sz w:val="20"/>
              </w:rPr>
              <w:t xml:space="preserve">The standard PBAC discounting approach of 5% </w:t>
            </w:r>
            <w:r w:rsidR="00E63740" w:rsidRPr="008B2FD3">
              <w:rPr>
                <w:rFonts w:ascii="Arial Narrow" w:hAnsi="Arial Narrow"/>
                <w:sz w:val="20"/>
              </w:rPr>
              <w:t>per annum</w:t>
            </w:r>
            <w:r w:rsidRPr="008B2FD3">
              <w:rPr>
                <w:rFonts w:ascii="Arial Narrow" w:hAnsi="Arial Narrow"/>
                <w:sz w:val="20"/>
              </w:rPr>
              <w:t xml:space="preserve"> for estimated foregone </w:t>
            </w:r>
            <w:r w:rsidR="0095639B" w:rsidRPr="008B2FD3">
              <w:rPr>
                <w:rFonts w:ascii="Arial Narrow" w:hAnsi="Arial Narrow"/>
                <w:sz w:val="20"/>
              </w:rPr>
              <w:t>QALYs</w:t>
            </w:r>
            <w:r w:rsidRPr="008B2FD3">
              <w:rPr>
                <w:rFonts w:ascii="Arial Narrow" w:hAnsi="Arial Narrow"/>
                <w:sz w:val="20"/>
              </w:rPr>
              <w:t xml:space="preserve"> as a result of premature mortality.</w:t>
            </w:r>
          </w:p>
        </w:tc>
      </w:tr>
    </w:tbl>
    <w:p w:rsidR="00D53E4A" w:rsidRPr="008B2FD3" w:rsidRDefault="00E63740" w:rsidP="00A037F5">
      <w:pPr>
        <w:pStyle w:val="TableFooter"/>
        <w:spacing w:after="160"/>
      </w:pPr>
      <w:r w:rsidRPr="008B2FD3">
        <w:rPr>
          <w:szCs w:val="18"/>
        </w:rPr>
        <w:t xml:space="preserve">ED: Emergency department; GP: General practitioner; </w:t>
      </w:r>
      <w:r w:rsidRPr="008B2FD3">
        <w:t xml:space="preserve">QALY: quality adjusted life years; QIV-SD: Standard dose </w:t>
      </w:r>
      <w:proofErr w:type="spellStart"/>
      <w:r w:rsidRPr="008B2FD3">
        <w:t>quadrivalent</w:t>
      </w:r>
      <w:proofErr w:type="spellEnd"/>
      <w:r w:rsidRPr="008B2FD3">
        <w:t xml:space="preserve"> influenza vaccine; </w:t>
      </w:r>
      <w:r w:rsidRPr="008B2FD3">
        <w:rPr>
          <w:szCs w:val="18"/>
        </w:rPr>
        <w:t>TIV-HD: High dose trivalent influenza vaccine; TIV-SD: Standard dose trivalent influenza vaccine</w:t>
      </w:r>
      <w:r w:rsidRPr="008B2FD3">
        <w:t>; TTO: time trade-off; VAS: visual analogue scale; VE: vaccine efficacy.</w:t>
      </w:r>
    </w:p>
    <w:p w:rsidR="00674858" w:rsidRDefault="00B534AA" w:rsidP="00161E40">
      <w:pPr>
        <w:pStyle w:val="ListParagraph"/>
        <w:widowControl/>
        <w:numPr>
          <w:ilvl w:val="1"/>
          <w:numId w:val="1"/>
        </w:numPr>
      </w:pPr>
      <w:r w:rsidRPr="004522D1">
        <w:lastRenderedPageBreak/>
        <w:t>The ESC noted that the model estimated 98,196 influenza cases, 69,733 influenza-related hospitalisations and 2,427 influenza</w:t>
      </w:r>
      <w:r w:rsidR="008B6998">
        <w:t>-</w:t>
      </w:r>
      <w:r w:rsidRPr="004522D1">
        <w:t>attributable deaths for the QIV-SD arm</w:t>
      </w:r>
      <w:r w:rsidR="004A29AB" w:rsidRPr="004522D1">
        <w:t xml:space="preserve"> using inputs estimated using FIM12 data for TIV-SD</w:t>
      </w:r>
      <w:r w:rsidRPr="004522D1">
        <w:t>. These estimates are substantially higher than the National Notifiable Diseases Surveillance System estimates for 2017</w:t>
      </w:r>
      <w:r w:rsidRPr="004522D1">
        <w:rPr>
          <w:rStyle w:val="FootnoteReference"/>
        </w:rPr>
        <w:footnoteReference w:id="8"/>
      </w:r>
      <w:r w:rsidRPr="004522D1">
        <w:t xml:space="preserve"> and result in significant cost-savings. This approach favours TIV-HD. The ESC </w:t>
      </w:r>
      <w:r w:rsidR="00E608DD" w:rsidRPr="004522D1">
        <w:t>note</w:t>
      </w:r>
      <w:r w:rsidRPr="004522D1">
        <w:t xml:space="preserve">d data (see </w:t>
      </w:r>
      <w:r w:rsidR="003D6ABC" w:rsidRPr="004522D1">
        <w:t>F</w:t>
      </w:r>
      <w:r w:rsidRPr="004522D1">
        <w:t xml:space="preserve">igure </w:t>
      </w:r>
      <w:r w:rsidR="009B6ECE" w:rsidRPr="004522D1">
        <w:t>3</w:t>
      </w:r>
      <w:r w:rsidRPr="004522D1">
        <w:t xml:space="preserve">) presenting the number of influenza cases in Australia in 2016 and 2017 and the numbers estimated in the model and questioned whether the model had overestimated the number of cases at 98,196 compared to </w:t>
      </w:r>
      <w:r w:rsidR="00E470FA" w:rsidRPr="004522D1">
        <w:t>54,061</w:t>
      </w:r>
      <w:r w:rsidRPr="004522D1">
        <w:t xml:space="preserve"> in 2017, almost double the number seen in 2017. Similarly, the ESC questioned the number of influenza-related </w:t>
      </w:r>
      <w:r w:rsidR="008B6998" w:rsidRPr="004522D1">
        <w:t>hospitalisations;</w:t>
      </w:r>
      <w:r w:rsidRPr="004522D1">
        <w:t xml:space="preserve"> given Australian data from 2017 reported 29,000 cases, compared to the model estimates of 69,733, over double the number seen in 2017, see </w:t>
      </w:r>
      <w:r w:rsidR="003D6ABC" w:rsidRPr="004522D1">
        <w:t>F</w:t>
      </w:r>
      <w:r w:rsidRPr="004522D1">
        <w:t xml:space="preserve">igure </w:t>
      </w:r>
      <w:r w:rsidR="009B6ECE" w:rsidRPr="004522D1">
        <w:t>4</w:t>
      </w:r>
      <w:r w:rsidRPr="004522D1">
        <w:t>.</w:t>
      </w:r>
      <w:r w:rsidR="00530EAE" w:rsidRPr="004522D1">
        <w:t xml:space="preserve"> NNDSS influenza-attributable death data was also substantially lower than estimated in the model (see Figure </w:t>
      </w:r>
      <w:r w:rsidR="009B6ECE" w:rsidRPr="004522D1">
        <w:t xml:space="preserve">5 </w:t>
      </w:r>
      <w:r w:rsidR="00530EAE" w:rsidRPr="004522D1">
        <w:t>below).</w:t>
      </w:r>
      <w:r w:rsidRPr="004522D1">
        <w:t xml:space="preserve">  </w:t>
      </w:r>
    </w:p>
    <w:p w:rsidR="004522D1" w:rsidRPr="004522D1" w:rsidRDefault="00767078" w:rsidP="00161E40">
      <w:pPr>
        <w:pStyle w:val="ListParagraph"/>
        <w:widowControl/>
        <w:numPr>
          <w:ilvl w:val="1"/>
          <w:numId w:val="1"/>
        </w:numPr>
      </w:pPr>
      <w:r>
        <w:t xml:space="preserve">The Pre-PBAC Response </w:t>
      </w:r>
      <w:r w:rsidR="007E103B" w:rsidRPr="004522D1">
        <w:t>stated that given surveillance systems are widely acknowledged to under-ascertain the true influenza burden, use of the estimates of disease burden from a RCT with intensive follow up such as the FIM12 was a reasonable source of estimate of the true average burden of disease in Australia and the variation of this with the NNDSS data further highlights under ascertainment in the NNDSS.</w:t>
      </w:r>
      <w:r w:rsidR="00674858">
        <w:t xml:space="preserve"> </w:t>
      </w:r>
      <w:r w:rsidR="004522D1">
        <w:t xml:space="preserve">The PBAC </w:t>
      </w:r>
      <w:r w:rsidR="00674858">
        <w:t xml:space="preserve">acknowledged the issues of under-reporting in the surveillance data, however it was considered the modelled </w:t>
      </w:r>
      <w:r w:rsidR="004522D1">
        <w:t>influenza illness and hospitalisation estimates were high</w:t>
      </w:r>
      <w:r w:rsidR="00E61D4D">
        <w:t xml:space="preserve"> compared to recent years in Australia and may be overestimated</w:t>
      </w:r>
      <w:r w:rsidR="004522D1">
        <w:t>.</w:t>
      </w:r>
    </w:p>
    <w:p w:rsidR="00B534AA" w:rsidRPr="00C62F3B" w:rsidRDefault="00B534AA" w:rsidP="00432850">
      <w:pPr>
        <w:pStyle w:val="PBACHeading1"/>
        <w:keepNext/>
        <w:numPr>
          <w:ilvl w:val="0"/>
          <w:numId w:val="0"/>
        </w:numPr>
        <w:spacing w:before="0"/>
        <w:rPr>
          <w:rFonts w:ascii="Arial Narrow" w:hAnsi="Arial Narrow"/>
          <w:sz w:val="20"/>
          <w:szCs w:val="20"/>
        </w:rPr>
      </w:pPr>
      <w:r w:rsidRPr="00C62F3B">
        <w:rPr>
          <w:rFonts w:ascii="Arial Narrow" w:hAnsi="Arial Narrow"/>
          <w:sz w:val="20"/>
          <w:szCs w:val="20"/>
        </w:rPr>
        <w:lastRenderedPageBreak/>
        <w:t xml:space="preserve">Figure </w:t>
      </w:r>
      <w:r w:rsidR="009B6ECE" w:rsidRPr="00C62F3B">
        <w:rPr>
          <w:rFonts w:ascii="Arial Narrow" w:hAnsi="Arial Narrow"/>
          <w:sz w:val="20"/>
          <w:szCs w:val="20"/>
        </w:rPr>
        <w:t>3</w:t>
      </w:r>
      <w:r w:rsidR="00E608DD" w:rsidRPr="00C62F3B">
        <w:rPr>
          <w:rFonts w:ascii="Arial Narrow" w:hAnsi="Arial Narrow"/>
          <w:sz w:val="20"/>
          <w:szCs w:val="20"/>
        </w:rPr>
        <w:t>: Influenza cases identified by National Notifiable Diseases Survei</w:t>
      </w:r>
      <w:r w:rsidR="008B6998" w:rsidRPr="00C62F3B">
        <w:rPr>
          <w:rFonts w:ascii="Arial Narrow" w:hAnsi="Arial Narrow"/>
          <w:sz w:val="20"/>
          <w:szCs w:val="20"/>
        </w:rPr>
        <w:t xml:space="preserve">llance Scheme (NNDSS) (2016–17) </w:t>
      </w:r>
      <w:r w:rsidR="00E608DD" w:rsidRPr="00C62F3B">
        <w:rPr>
          <w:rFonts w:ascii="Arial Narrow" w:hAnsi="Arial Narrow"/>
          <w:sz w:val="20"/>
          <w:szCs w:val="20"/>
        </w:rPr>
        <w:t>vs model</w:t>
      </w:r>
    </w:p>
    <w:p w:rsidR="00B534AA" w:rsidRPr="008B6998" w:rsidRDefault="00E470FA" w:rsidP="00432850">
      <w:pPr>
        <w:pStyle w:val="PBACHeading1"/>
        <w:keepNext/>
        <w:numPr>
          <w:ilvl w:val="0"/>
          <w:numId w:val="0"/>
        </w:numPr>
        <w:tabs>
          <w:tab w:val="left" w:pos="1273"/>
        </w:tabs>
        <w:ind w:hanging="11"/>
        <w:rPr>
          <w:rFonts w:ascii="Arial Narrow" w:hAnsi="Arial Narrow"/>
          <w:b w:val="0"/>
          <w:i/>
          <w:sz w:val="18"/>
          <w:szCs w:val="18"/>
        </w:rPr>
      </w:pPr>
      <w:r>
        <w:rPr>
          <w:noProof/>
          <w:snapToGrid/>
          <w:lang w:eastAsia="en-AU"/>
        </w:rPr>
        <w:drawing>
          <wp:inline distT="0" distB="0" distL="0" distR="0" wp14:anchorId="6B1AA688" wp14:editId="7873A15E">
            <wp:extent cx="5478780" cy="2743200"/>
            <wp:effectExtent l="0" t="0" r="26670" b="19050"/>
            <wp:docPr id="1" name="Chart 1" descr="Figure 3: Influenza cases identified by National Notifiable Diseases Surveillance Scheme (NNDSS) (2016–17) vs model" title="Figure 3: Influenza cases identified by National Notifiable Diseases Surveillance Scheme (NNDSS) (2016–17) vs model">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7137FB2-7A51-4CD6-A95C-05F165CBD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608DD" w:rsidRPr="008B6998">
        <w:rPr>
          <w:rFonts w:ascii="Arial Narrow" w:hAnsi="Arial Narrow"/>
          <w:b w:val="0"/>
          <w:i/>
          <w:sz w:val="18"/>
          <w:szCs w:val="18"/>
        </w:rPr>
        <w:t>Source: constructed during the ESC</w:t>
      </w:r>
      <w:r w:rsidR="000D7470" w:rsidRPr="008B6998">
        <w:rPr>
          <w:rStyle w:val="FootnoteReference"/>
          <w:rFonts w:ascii="Arial Narrow" w:hAnsi="Arial Narrow"/>
          <w:b w:val="0"/>
          <w:i/>
          <w:sz w:val="18"/>
          <w:szCs w:val="18"/>
        </w:rPr>
        <w:footnoteReference w:id="9"/>
      </w:r>
    </w:p>
    <w:p w:rsidR="00B534AA" w:rsidRPr="00C62F3B" w:rsidRDefault="003826C6" w:rsidP="008B6998">
      <w:pPr>
        <w:keepNext/>
        <w:widowControl/>
        <w:jc w:val="left"/>
        <w:rPr>
          <w:rFonts w:ascii="Arial Narrow" w:hAnsi="Arial Narrow"/>
          <w:b/>
          <w:sz w:val="20"/>
          <w:szCs w:val="20"/>
        </w:rPr>
      </w:pPr>
      <w:r w:rsidRPr="00C62F3B">
        <w:rPr>
          <w:rFonts w:ascii="Arial Narrow" w:hAnsi="Arial Narrow"/>
          <w:b/>
          <w:sz w:val="20"/>
          <w:szCs w:val="20"/>
        </w:rPr>
        <w:t>F</w:t>
      </w:r>
      <w:r w:rsidR="00B534AA" w:rsidRPr="00C62F3B">
        <w:rPr>
          <w:rFonts w:ascii="Arial Narrow" w:hAnsi="Arial Narrow"/>
          <w:b/>
          <w:sz w:val="20"/>
          <w:szCs w:val="20"/>
        </w:rPr>
        <w:t xml:space="preserve">igure </w:t>
      </w:r>
      <w:r w:rsidR="009B6ECE" w:rsidRPr="00C62F3B">
        <w:rPr>
          <w:rFonts w:ascii="Arial Narrow" w:hAnsi="Arial Narrow"/>
          <w:b/>
          <w:sz w:val="20"/>
          <w:szCs w:val="20"/>
        </w:rPr>
        <w:t xml:space="preserve">4: </w:t>
      </w:r>
      <w:r w:rsidR="00402A54" w:rsidRPr="00C62F3B">
        <w:rPr>
          <w:rFonts w:ascii="Arial Narrow" w:hAnsi="Arial Narrow"/>
          <w:b/>
          <w:sz w:val="20"/>
          <w:szCs w:val="20"/>
        </w:rPr>
        <w:t>Influenza</w:t>
      </w:r>
      <w:r w:rsidR="00E608DD" w:rsidRPr="00C62F3B">
        <w:rPr>
          <w:rFonts w:ascii="Arial Narrow" w:hAnsi="Arial Narrow"/>
          <w:b/>
          <w:sz w:val="20"/>
          <w:szCs w:val="20"/>
        </w:rPr>
        <w:t xml:space="preserve">-related hospitalisations — NDSS (2017) and Newell (2008) vs model </w:t>
      </w:r>
    </w:p>
    <w:p w:rsidR="00E608DD" w:rsidRPr="00432850" w:rsidRDefault="00933A5B" w:rsidP="00432850">
      <w:pPr>
        <w:pStyle w:val="PBACHeading1"/>
        <w:keepNext/>
        <w:numPr>
          <w:ilvl w:val="0"/>
          <w:numId w:val="0"/>
        </w:numPr>
        <w:tabs>
          <w:tab w:val="left" w:pos="1273"/>
        </w:tabs>
        <w:ind w:hanging="11"/>
      </w:pPr>
      <w:r>
        <w:rPr>
          <w:noProof/>
          <w:snapToGrid/>
          <w:lang w:eastAsia="en-AU"/>
        </w:rPr>
        <w:drawing>
          <wp:inline distT="0" distB="0" distL="0" distR="0" wp14:anchorId="36B779A5" wp14:editId="37C27CF1">
            <wp:extent cx="5615940" cy="2743200"/>
            <wp:effectExtent l="0" t="0" r="22860" b="19050"/>
            <wp:docPr id="4" name="Chart 4" descr="Figure 4: Influenza-related hospitalisations — NDSS (2017) and Newell (2008) vs model " title="Figure 4: Influenza-related hospitalisations — NDSS (2017) and Newell (2008) vs model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1D8DDBA-63EE-42DE-95C2-D90068B04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608DD" w:rsidRPr="008B6998">
        <w:rPr>
          <w:rFonts w:ascii="Arial Narrow" w:hAnsi="Arial Narrow"/>
          <w:b w:val="0"/>
          <w:i/>
          <w:sz w:val="18"/>
          <w:szCs w:val="18"/>
        </w:rPr>
        <w:t>Source: constructed during the ESC</w:t>
      </w:r>
      <w:r w:rsidR="000D7470" w:rsidRPr="008B6998">
        <w:rPr>
          <w:rStyle w:val="FootnoteReference"/>
          <w:rFonts w:ascii="Arial Narrow" w:hAnsi="Arial Narrow"/>
          <w:b w:val="0"/>
          <w:i/>
          <w:sz w:val="18"/>
          <w:szCs w:val="18"/>
        </w:rPr>
        <w:footnoteReference w:id="10"/>
      </w:r>
    </w:p>
    <w:p w:rsidR="00432850" w:rsidRDefault="00432850">
      <w:pPr>
        <w:widowControl/>
        <w:jc w:val="left"/>
        <w:rPr>
          <w:rFonts w:ascii="Arial Narrow" w:hAnsi="Arial Narrow"/>
          <w:b/>
          <w:sz w:val="20"/>
          <w:szCs w:val="20"/>
        </w:rPr>
      </w:pPr>
      <w:r>
        <w:rPr>
          <w:rFonts w:ascii="Arial Narrow" w:hAnsi="Arial Narrow"/>
          <w:sz w:val="20"/>
          <w:szCs w:val="20"/>
        </w:rPr>
        <w:br w:type="page"/>
      </w:r>
    </w:p>
    <w:p w:rsidR="003826C6" w:rsidRPr="00C62F3B" w:rsidRDefault="003826C6" w:rsidP="00C62F3B">
      <w:pPr>
        <w:pStyle w:val="PBACHeading1"/>
        <w:keepNext/>
        <w:numPr>
          <w:ilvl w:val="0"/>
          <w:numId w:val="0"/>
        </w:numPr>
        <w:tabs>
          <w:tab w:val="left" w:pos="1273"/>
        </w:tabs>
        <w:ind w:left="720" w:hanging="720"/>
        <w:rPr>
          <w:rFonts w:ascii="Arial Narrow" w:hAnsi="Arial Narrow"/>
          <w:sz w:val="20"/>
          <w:szCs w:val="20"/>
        </w:rPr>
      </w:pPr>
      <w:r w:rsidRPr="00C62F3B">
        <w:rPr>
          <w:rFonts w:ascii="Arial Narrow" w:hAnsi="Arial Narrow"/>
          <w:sz w:val="20"/>
          <w:szCs w:val="20"/>
        </w:rPr>
        <w:lastRenderedPageBreak/>
        <w:t xml:space="preserve">Figure </w:t>
      </w:r>
      <w:r w:rsidR="009B6ECE" w:rsidRPr="00C62F3B">
        <w:rPr>
          <w:rFonts w:ascii="Arial Narrow" w:hAnsi="Arial Narrow"/>
          <w:sz w:val="20"/>
          <w:szCs w:val="20"/>
        </w:rPr>
        <w:t>5: I</w:t>
      </w:r>
      <w:r w:rsidRPr="00C62F3B">
        <w:rPr>
          <w:rFonts w:ascii="Arial Narrow" w:hAnsi="Arial Narrow"/>
          <w:sz w:val="20"/>
          <w:szCs w:val="20"/>
        </w:rPr>
        <w:t xml:space="preserve">nfluenza-related hospitalisations — NDSS (2017) and Newell (2008) vs model </w:t>
      </w:r>
    </w:p>
    <w:p w:rsidR="003826C6" w:rsidRPr="00432850" w:rsidRDefault="00933A5B" w:rsidP="00D53E4A">
      <w:pPr>
        <w:keepNext/>
        <w:rPr>
          <w:rStyle w:val="CommentReference"/>
          <w:i/>
          <w:sz w:val="18"/>
          <w:szCs w:val="18"/>
        </w:rPr>
      </w:pPr>
      <w:r>
        <w:rPr>
          <w:noProof/>
          <w:snapToGrid/>
          <w:lang w:eastAsia="en-AU"/>
        </w:rPr>
        <w:drawing>
          <wp:inline distT="0" distB="0" distL="0" distR="0" wp14:anchorId="2CBA9F36" wp14:editId="0E7AA7DF">
            <wp:extent cx="5615940" cy="2743200"/>
            <wp:effectExtent l="0" t="0" r="22860" b="19050"/>
            <wp:docPr id="7" name="Chart 7" descr="Figure 5: Influenza-related hospitalisations — NDSS (2017) and Newell (2008) vs model " title="Figure 5: Influenza-related hospitalisations — NDSS (2017) and Newell (2008) vs model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36E005D-FD5D-4A8B-952C-2A03056FE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826C6" w:rsidRPr="008B6998">
        <w:rPr>
          <w:rFonts w:ascii="Arial Narrow" w:hAnsi="Arial Narrow"/>
          <w:i/>
          <w:sz w:val="18"/>
          <w:szCs w:val="18"/>
        </w:rPr>
        <w:t>Source: constructed during the ESC</w:t>
      </w:r>
      <w:r w:rsidR="00214F41" w:rsidRPr="008B6998">
        <w:rPr>
          <w:rStyle w:val="FootnoteReference"/>
          <w:rFonts w:ascii="Arial Narrow" w:hAnsi="Arial Narrow"/>
          <w:i/>
          <w:sz w:val="18"/>
          <w:szCs w:val="18"/>
        </w:rPr>
        <w:footnoteReference w:id="11"/>
      </w:r>
    </w:p>
    <w:p w:rsidR="00002B76" w:rsidRDefault="00002B76">
      <w:pPr>
        <w:widowControl/>
        <w:jc w:val="left"/>
        <w:rPr>
          <w:rStyle w:val="CommentReference"/>
        </w:rPr>
      </w:pPr>
      <w:r>
        <w:rPr>
          <w:rStyle w:val="CommentReference"/>
        </w:rPr>
        <w:br w:type="page"/>
      </w:r>
    </w:p>
    <w:p w:rsidR="00D53E4A" w:rsidRPr="008B2FD3" w:rsidRDefault="00C62F3B" w:rsidP="00D53E4A">
      <w:pPr>
        <w:keepNext/>
        <w:rPr>
          <w:rStyle w:val="CommentReference"/>
        </w:rPr>
      </w:pPr>
      <w:r>
        <w:rPr>
          <w:rStyle w:val="CommentReference"/>
        </w:rPr>
        <w:lastRenderedPageBreak/>
        <w:t>Table 10</w:t>
      </w:r>
      <w:r w:rsidR="00D53E4A" w:rsidRPr="008B2FD3">
        <w:rPr>
          <w:rStyle w:val="CommentReference"/>
        </w:rPr>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3"/>
        <w:gridCol w:w="5672"/>
        <w:gridCol w:w="1648"/>
      </w:tblGrid>
      <w:tr w:rsidR="00D53E4A" w:rsidRPr="00645F5B" w:rsidTr="00C62F3B">
        <w:trPr>
          <w:cantSplit/>
          <w:trHeight w:val="222"/>
          <w:tblHeader/>
        </w:trPr>
        <w:tc>
          <w:tcPr>
            <w:tcW w:w="0" w:type="auto"/>
            <w:shd w:val="clear" w:color="auto" w:fill="auto"/>
          </w:tcPr>
          <w:p w:rsidR="00D53E4A" w:rsidRPr="00645F5B" w:rsidRDefault="00D53E4A" w:rsidP="003B0926">
            <w:pPr>
              <w:keepNext/>
              <w:rPr>
                <w:rFonts w:ascii="Arial Narrow" w:hAnsi="Arial Narrow"/>
                <w:b/>
                <w:sz w:val="20"/>
              </w:rPr>
            </w:pPr>
            <w:r w:rsidRPr="00645F5B">
              <w:rPr>
                <w:rFonts w:ascii="Arial Narrow" w:hAnsi="Arial Narrow"/>
                <w:b/>
                <w:sz w:val="20"/>
              </w:rPr>
              <w:t>Description</w:t>
            </w:r>
          </w:p>
        </w:tc>
        <w:tc>
          <w:tcPr>
            <w:tcW w:w="0" w:type="auto"/>
            <w:shd w:val="clear" w:color="auto" w:fill="auto"/>
          </w:tcPr>
          <w:p w:rsidR="00D53E4A" w:rsidRPr="00645F5B" w:rsidRDefault="00D53E4A" w:rsidP="003B0926">
            <w:pPr>
              <w:keepNext/>
              <w:jc w:val="center"/>
              <w:rPr>
                <w:rFonts w:ascii="Arial Narrow" w:hAnsi="Arial Narrow"/>
                <w:b/>
                <w:sz w:val="20"/>
              </w:rPr>
            </w:pPr>
            <w:r w:rsidRPr="00645F5B">
              <w:rPr>
                <w:rFonts w:ascii="Arial Narrow" w:hAnsi="Arial Narrow"/>
                <w:b/>
                <w:sz w:val="20"/>
              </w:rPr>
              <w:t>Method/value</w:t>
            </w:r>
          </w:p>
        </w:tc>
        <w:tc>
          <w:tcPr>
            <w:tcW w:w="0" w:type="auto"/>
            <w:shd w:val="clear" w:color="auto" w:fill="auto"/>
          </w:tcPr>
          <w:p w:rsidR="00D53E4A" w:rsidRPr="00645F5B" w:rsidRDefault="00D53E4A" w:rsidP="003B0926">
            <w:pPr>
              <w:keepNext/>
              <w:jc w:val="center"/>
              <w:rPr>
                <w:rFonts w:ascii="Arial Narrow" w:hAnsi="Arial Narrow"/>
                <w:b/>
                <w:sz w:val="20"/>
              </w:rPr>
            </w:pPr>
            <w:r w:rsidRPr="00645F5B">
              <w:rPr>
                <w:rFonts w:ascii="Arial Narrow" w:hAnsi="Arial Narrow"/>
                <w:b/>
                <w:sz w:val="20"/>
              </w:rPr>
              <w:t xml:space="preserve">Impact </w:t>
            </w:r>
          </w:p>
        </w:tc>
      </w:tr>
      <w:tr w:rsidR="00D53E4A" w:rsidRPr="00645F5B" w:rsidTr="00C62F3B">
        <w:trPr>
          <w:cantSplit/>
          <w:trHeight w:val="1217"/>
        </w:trPr>
        <w:tc>
          <w:tcPr>
            <w:tcW w:w="0" w:type="auto"/>
            <w:shd w:val="clear" w:color="auto" w:fill="auto"/>
            <w:vAlign w:val="center"/>
          </w:tcPr>
          <w:p w:rsidR="00D53E4A" w:rsidRPr="00645F5B" w:rsidRDefault="00D53E4A" w:rsidP="003B0926">
            <w:pPr>
              <w:jc w:val="left"/>
              <w:rPr>
                <w:rFonts w:ascii="Arial Narrow" w:hAnsi="Arial Narrow"/>
                <w:sz w:val="20"/>
              </w:rPr>
            </w:pPr>
            <w:r w:rsidRPr="00645F5B">
              <w:rPr>
                <w:rFonts w:ascii="Arial Narrow" w:hAnsi="Arial Narrow"/>
                <w:sz w:val="20"/>
              </w:rPr>
              <w:t>Increasing background influenza attack rates in Australia</w:t>
            </w:r>
          </w:p>
        </w:tc>
        <w:tc>
          <w:tcPr>
            <w:tcW w:w="0" w:type="auto"/>
            <w:shd w:val="clear" w:color="auto" w:fill="auto"/>
            <w:vAlign w:val="center"/>
          </w:tcPr>
          <w:p w:rsidR="00D53E4A" w:rsidRPr="00645F5B" w:rsidRDefault="00433878" w:rsidP="00AE7975">
            <w:pPr>
              <w:jc w:val="left"/>
              <w:rPr>
                <w:rFonts w:ascii="Arial Narrow" w:hAnsi="Arial Narrow"/>
                <w:sz w:val="20"/>
              </w:rPr>
            </w:pPr>
            <w:r w:rsidRPr="00645F5B">
              <w:rPr>
                <w:rFonts w:ascii="Arial Narrow" w:hAnsi="Arial Narrow"/>
                <w:sz w:val="20"/>
              </w:rPr>
              <w:t>The b</w:t>
            </w:r>
            <w:r w:rsidR="00D53E4A" w:rsidRPr="00645F5B">
              <w:rPr>
                <w:rFonts w:ascii="Arial Narrow" w:hAnsi="Arial Narrow"/>
                <w:sz w:val="20"/>
              </w:rPr>
              <w:t xml:space="preserve">ackground attack rates were taken from the FIM12 trial in North America, where high and low influenza activity was evident, but with high </w:t>
            </w:r>
            <w:r w:rsidRPr="00645F5B">
              <w:rPr>
                <w:rFonts w:ascii="Arial Narrow" w:hAnsi="Arial Narrow"/>
                <w:sz w:val="20"/>
              </w:rPr>
              <w:t>influenza type</w:t>
            </w:r>
            <w:r w:rsidR="00D53E4A" w:rsidRPr="00645F5B">
              <w:rPr>
                <w:rFonts w:ascii="Arial Narrow" w:hAnsi="Arial Narrow"/>
                <w:sz w:val="20"/>
              </w:rPr>
              <w:t xml:space="preserve"> </w:t>
            </w:r>
            <w:proofErr w:type="gramStart"/>
            <w:r w:rsidR="00D53E4A" w:rsidRPr="00645F5B">
              <w:rPr>
                <w:rFonts w:ascii="Arial Narrow" w:hAnsi="Arial Narrow"/>
                <w:sz w:val="20"/>
              </w:rPr>
              <w:t>A prevalence</w:t>
            </w:r>
            <w:proofErr w:type="gramEnd"/>
            <w:r w:rsidR="00D53E4A" w:rsidRPr="00645F5B">
              <w:rPr>
                <w:rFonts w:ascii="Arial Narrow" w:hAnsi="Arial Narrow"/>
                <w:sz w:val="20"/>
              </w:rPr>
              <w:t>. The results of the economic model are confounded by the cyclical nature of low-moderate-</w:t>
            </w:r>
            <w:r w:rsidRPr="00645F5B">
              <w:rPr>
                <w:rFonts w:ascii="Arial Narrow" w:hAnsi="Arial Narrow"/>
                <w:sz w:val="20"/>
              </w:rPr>
              <w:t>high</w:t>
            </w:r>
            <w:r w:rsidR="00D53E4A" w:rsidRPr="00645F5B">
              <w:rPr>
                <w:rFonts w:ascii="Arial Narrow" w:hAnsi="Arial Narrow"/>
                <w:sz w:val="20"/>
              </w:rPr>
              <w:t xml:space="preserve"> influenza seasons, and the proportion attributable to A and B strains.</w:t>
            </w:r>
            <w:r w:rsidR="00AE7975">
              <w:rPr>
                <w:rFonts w:ascii="Arial Narrow" w:hAnsi="Arial Narrow"/>
                <w:sz w:val="20"/>
              </w:rPr>
              <w:t xml:space="preserve"> The PSCR </w:t>
            </w:r>
            <w:r w:rsidR="0091757E" w:rsidRPr="00645F5B">
              <w:rPr>
                <w:rFonts w:ascii="Arial Narrow" w:hAnsi="Arial Narrow"/>
                <w:sz w:val="20"/>
              </w:rPr>
              <w:t>argued that it is impossible to accurately predict the intensity and strain composition of future influenza seasons. The ESC considered this to be reasonable, however it was unclear whether 2017 is the peak of the influenza cycle and the incidence would return to lower levels in future years.</w:t>
            </w:r>
            <w:r w:rsidR="00671AB5">
              <w:rPr>
                <w:rFonts w:ascii="Arial Narrow" w:hAnsi="Arial Narrow"/>
                <w:sz w:val="20"/>
              </w:rPr>
              <w:t xml:space="preserve"> </w:t>
            </w:r>
            <w:r w:rsidR="00767078">
              <w:rPr>
                <w:rFonts w:ascii="Arial Narrow" w:hAnsi="Arial Narrow"/>
                <w:sz w:val="20"/>
              </w:rPr>
              <w:t xml:space="preserve">The Pre-PBAC Response </w:t>
            </w:r>
            <w:r w:rsidR="00671AB5">
              <w:rPr>
                <w:rFonts w:ascii="Arial Narrow" w:hAnsi="Arial Narrow"/>
                <w:sz w:val="20"/>
              </w:rPr>
              <w:t xml:space="preserve">noted that the economic evaluation relied on </w:t>
            </w:r>
            <w:r w:rsidR="00573BA5">
              <w:rPr>
                <w:rFonts w:ascii="Arial Narrow" w:hAnsi="Arial Narrow"/>
                <w:sz w:val="20"/>
              </w:rPr>
              <w:t>two</w:t>
            </w:r>
            <w:r w:rsidR="00671AB5">
              <w:rPr>
                <w:rFonts w:ascii="Arial Narrow" w:hAnsi="Arial Narrow"/>
                <w:sz w:val="20"/>
              </w:rPr>
              <w:t xml:space="preserve"> low and one moderate North American influenza season, not the Australian 2017 season.  </w:t>
            </w:r>
          </w:p>
        </w:tc>
        <w:tc>
          <w:tcPr>
            <w:tcW w:w="0" w:type="auto"/>
            <w:shd w:val="clear" w:color="auto" w:fill="auto"/>
            <w:vAlign w:val="center"/>
          </w:tcPr>
          <w:p w:rsidR="0090593E" w:rsidRDefault="00D53E4A" w:rsidP="003B0926">
            <w:pPr>
              <w:jc w:val="center"/>
              <w:rPr>
                <w:rFonts w:ascii="Arial Narrow" w:hAnsi="Arial Narrow"/>
                <w:sz w:val="20"/>
              </w:rPr>
            </w:pPr>
            <w:r w:rsidRPr="00645F5B">
              <w:rPr>
                <w:rFonts w:ascii="Arial Narrow" w:hAnsi="Arial Narrow"/>
                <w:sz w:val="20"/>
              </w:rPr>
              <w:t xml:space="preserve">High. </w:t>
            </w:r>
          </w:p>
          <w:p w:rsidR="00D53E4A" w:rsidRPr="00645F5B" w:rsidRDefault="00D53E4A" w:rsidP="003B0926">
            <w:pPr>
              <w:jc w:val="center"/>
              <w:rPr>
                <w:rFonts w:ascii="Arial Narrow" w:hAnsi="Arial Narrow"/>
                <w:sz w:val="20"/>
              </w:rPr>
            </w:pPr>
            <w:r w:rsidRPr="00645F5B">
              <w:rPr>
                <w:rFonts w:ascii="Arial Narrow" w:hAnsi="Arial Narrow"/>
                <w:sz w:val="20"/>
              </w:rPr>
              <w:t xml:space="preserve">Favours TIV-HD if Australian attack rates fall or the proportion due to influenza type B rises. </w:t>
            </w:r>
          </w:p>
        </w:tc>
      </w:tr>
      <w:tr w:rsidR="00D53E4A" w:rsidRPr="00645F5B" w:rsidTr="00C62F3B">
        <w:trPr>
          <w:cantSplit/>
          <w:trHeight w:val="222"/>
        </w:trPr>
        <w:tc>
          <w:tcPr>
            <w:tcW w:w="0" w:type="auto"/>
            <w:shd w:val="clear" w:color="auto" w:fill="auto"/>
            <w:vAlign w:val="center"/>
          </w:tcPr>
          <w:p w:rsidR="00D53E4A" w:rsidRPr="00645F5B" w:rsidRDefault="00D53E4A" w:rsidP="003B0926">
            <w:pPr>
              <w:jc w:val="left"/>
              <w:rPr>
                <w:rFonts w:ascii="Arial Narrow" w:hAnsi="Arial Narrow"/>
                <w:sz w:val="20"/>
              </w:rPr>
            </w:pPr>
            <w:r w:rsidRPr="00645F5B">
              <w:rPr>
                <w:rFonts w:ascii="Arial Narrow" w:hAnsi="Arial Narrow"/>
                <w:sz w:val="20"/>
              </w:rPr>
              <w:t>Inclusion of avoided cardiovascular hospitalisations</w:t>
            </w:r>
          </w:p>
        </w:tc>
        <w:tc>
          <w:tcPr>
            <w:tcW w:w="0" w:type="auto"/>
            <w:shd w:val="clear" w:color="auto" w:fill="auto"/>
            <w:vAlign w:val="center"/>
          </w:tcPr>
          <w:p w:rsidR="00D53E4A" w:rsidRPr="00645F5B" w:rsidRDefault="00D53E4A" w:rsidP="00AE7975">
            <w:pPr>
              <w:jc w:val="left"/>
              <w:rPr>
                <w:rFonts w:ascii="Arial Narrow" w:hAnsi="Arial Narrow"/>
                <w:sz w:val="20"/>
              </w:rPr>
            </w:pPr>
            <w:r w:rsidRPr="00645F5B">
              <w:rPr>
                <w:rFonts w:ascii="Arial Narrow" w:hAnsi="Arial Narrow"/>
                <w:sz w:val="20"/>
              </w:rPr>
              <w:t xml:space="preserve">The </w:t>
            </w:r>
            <w:r w:rsidR="00730D6A" w:rsidRPr="00645F5B">
              <w:rPr>
                <w:rFonts w:ascii="Arial Narrow" w:hAnsi="Arial Narrow"/>
                <w:sz w:val="20"/>
              </w:rPr>
              <w:t>model</w:t>
            </w:r>
            <w:r w:rsidRPr="00645F5B">
              <w:rPr>
                <w:rFonts w:ascii="Arial Narrow" w:hAnsi="Arial Narrow"/>
                <w:sz w:val="20"/>
              </w:rPr>
              <w:t xml:space="preserve"> included the impact of TIV-HD on influenza related hospitalisations using data from the FIM12 trial. </w:t>
            </w:r>
            <w:r w:rsidR="003C74A5" w:rsidRPr="00645F5B">
              <w:rPr>
                <w:rFonts w:ascii="Arial Narrow" w:hAnsi="Arial Narrow"/>
                <w:sz w:val="20"/>
              </w:rPr>
              <w:t>Differences in cardiovascular hospitalisations were only statistically significant for pneumonia, yet vaccine efficacy against other cardiorespiratory events were included in the model.</w:t>
            </w:r>
            <w:r w:rsidR="00AE7975">
              <w:rPr>
                <w:rFonts w:ascii="Arial Narrow" w:hAnsi="Arial Narrow"/>
                <w:sz w:val="20"/>
              </w:rPr>
              <w:t xml:space="preserve"> The PSCR </w:t>
            </w:r>
            <w:r w:rsidR="009B150D" w:rsidRPr="00645F5B">
              <w:rPr>
                <w:rFonts w:ascii="Arial Narrow" w:hAnsi="Arial Narrow"/>
                <w:sz w:val="20"/>
              </w:rPr>
              <w:t xml:space="preserve">reiterated that three alternative case definitions based on hospitalised cases were modelled and all suggested TIV-HD was cost-effective. The complications from influenza are broad, however the ESC considered that the use of the broader category of all-cause hospitalisations was inappropriate as there was inadequate evidence of improved efficacy against serious cardiorespiratory events beyond pneumonia and the model would attribute benefits to the vaccine which </w:t>
            </w:r>
            <w:r w:rsidR="008241C7">
              <w:rPr>
                <w:rFonts w:ascii="Arial Narrow" w:hAnsi="Arial Narrow"/>
                <w:sz w:val="20"/>
              </w:rPr>
              <w:t>may</w:t>
            </w:r>
            <w:r w:rsidR="008241C7" w:rsidRPr="00645F5B">
              <w:rPr>
                <w:rFonts w:ascii="Arial Narrow" w:hAnsi="Arial Narrow"/>
                <w:sz w:val="20"/>
              </w:rPr>
              <w:t xml:space="preserve"> </w:t>
            </w:r>
            <w:r w:rsidR="009B150D" w:rsidRPr="00645F5B">
              <w:rPr>
                <w:rFonts w:ascii="Arial Narrow" w:hAnsi="Arial Narrow"/>
                <w:sz w:val="20"/>
              </w:rPr>
              <w:t xml:space="preserve">not be realised in clinical practice should patients be hospitalised for other causes which remain without the presence of flu-like illness. As noted above, the model has estimated substantially higher cases and costs for hospitalisations for QIV-SD than the </w:t>
            </w:r>
            <w:r w:rsidR="00767078">
              <w:rPr>
                <w:rFonts w:ascii="Arial Narrow" w:hAnsi="Arial Narrow"/>
                <w:sz w:val="20"/>
              </w:rPr>
              <w:t>NNDSS</w:t>
            </w:r>
            <w:r w:rsidR="009B150D" w:rsidRPr="00645F5B">
              <w:rPr>
                <w:rFonts w:ascii="Arial Narrow" w:hAnsi="Arial Narrow"/>
                <w:sz w:val="20"/>
              </w:rPr>
              <w:t xml:space="preserve"> estimates from 2017.</w:t>
            </w:r>
          </w:p>
        </w:tc>
        <w:tc>
          <w:tcPr>
            <w:tcW w:w="0" w:type="auto"/>
            <w:shd w:val="clear" w:color="auto" w:fill="auto"/>
            <w:vAlign w:val="center"/>
          </w:tcPr>
          <w:p w:rsidR="00D53E4A" w:rsidRPr="00645F5B" w:rsidRDefault="00D53E4A" w:rsidP="003B0926">
            <w:pPr>
              <w:jc w:val="center"/>
              <w:rPr>
                <w:rFonts w:ascii="Arial Narrow" w:hAnsi="Arial Narrow"/>
                <w:sz w:val="20"/>
              </w:rPr>
            </w:pPr>
            <w:r w:rsidRPr="00645F5B">
              <w:rPr>
                <w:rFonts w:ascii="Arial Narrow" w:hAnsi="Arial Narrow"/>
                <w:sz w:val="20"/>
              </w:rPr>
              <w:t>High, favours TIV-HD</w:t>
            </w:r>
          </w:p>
        </w:tc>
      </w:tr>
      <w:tr w:rsidR="00D53E4A" w:rsidRPr="00645F5B" w:rsidTr="00C62F3B">
        <w:trPr>
          <w:cantSplit/>
          <w:trHeight w:val="158"/>
        </w:trPr>
        <w:tc>
          <w:tcPr>
            <w:tcW w:w="0" w:type="auto"/>
            <w:shd w:val="clear" w:color="auto" w:fill="auto"/>
            <w:vAlign w:val="center"/>
          </w:tcPr>
          <w:p w:rsidR="00D53E4A" w:rsidRPr="00645F5B" w:rsidRDefault="00D53E4A" w:rsidP="003B0926">
            <w:pPr>
              <w:jc w:val="left"/>
              <w:rPr>
                <w:rFonts w:ascii="Arial Narrow" w:hAnsi="Arial Narrow"/>
                <w:sz w:val="20"/>
              </w:rPr>
            </w:pPr>
            <w:r w:rsidRPr="00645F5B">
              <w:rPr>
                <w:rFonts w:ascii="Arial Narrow" w:hAnsi="Arial Narrow"/>
                <w:sz w:val="20"/>
              </w:rPr>
              <w:t>QIV-SD and TIV-SD VEs against hospi</w:t>
            </w:r>
            <w:r w:rsidR="00E63740" w:rsidRPr="00645F5B">
              <w:rPr>
                <w:rFonts w:ascii="Arial Narrow" w:hAnsi="Arial Narrow"/>
                <w:sz w:val="20"/>
              </w:rPr>
              <w:t>talisations assumed to the same</w:t>
            </w:r>
          </w:p>
        </w:tc>
        <w:tc>
          <w:tcPr>
            <w:tcW w:w="0" w:type="auto"/>
            <w:shd w:val="clear" w:color="auto" w:fill="auto"/>
            <w:vAlign w:val="center"/>
          </w:tcPr>
          <w:p w:rsidR="00D53E4A" w:rsidRPr="00645F5B" w:rsidRDefault="00D53E4A" w:rsidP="003C74A5">
            <w:pPr>
              <w:jc w:val="left"/>
              <w:rPr>
                <w:rFonts w:ascii="Arial Narrow" w:hAnsi="Arial Narrow"/>
                <w:sz w:val="20"/>
              </w:rPr>
            </w:pPr>
            <w:r w:rsidRPr="00645F5B">
              <w:rPr>
                <w:rFonts w:ascii="Arial Narrow" w:hAnsi="Arial Narrow"/>
                <w:sz w:val="20"/>
              </w:rPr>
              <w:t>The submission assumed the VE of TIV-SD. The basis for this assumption was unclear. Furthermore, the submission also assumed QIV-SD and TIV</w:t>
            </w:r>
            <w:r w:rsidR="003C74A5" w:rsidRPr="00645F5B">
              <w:rPr>
                <w:rFonts w:ascii="Arial Narrow" w:hAnsi="Arial Narrow"/>
                <w:sz w:val="20"/>
              </w:rPr>
              <w:noBreakHyphen/>
            </w:r>
            <w:r w:rsidRPr="00645F5B">
              <w:rPr>
                <w:rFonts w:ascii="Arial Narrow" w:hAnsi="Arial Narrow"/>
                <w:sz w:val="20"/>
              </w:rPr>
              <w:t>SD have the same vaccine efficacy against hospitalisations. This assumption ignores the benefit of the mismatched B strain in QIV-SD.</w:t>
            </w:r>
          </w:p>
        </w:tc>
        <w:tc>
          <w:tcPr>
            <w:tcW w:w="0" w:type="auto"/>
            <w:shd w:val="clear" w:color="auto" w:fill="auto"/>
            <w:vAlign w:val="center"/>
          </w:tcPr>
          <w:p w:rsidR="00D53E4A" w:rsidRPr="00645F5B" w:rsidRDefault="00D53E4A" w:rsidP="003B0926">
            <w:pPr>
              <w:jc w:val="center"/>
              <w:rPr>
                <w:rFonts w:ascii="Arial Narrow" w:hAnsi="Arial Narrow"/>
                <w:sz w:val="20"/>
              </w:rPr>
            </w:pPr>
            <w:r w:rsidRPr="00645F5B">
              <w:rPr>
                <w:rFonts w:ascii="Arial Narrow" w:hAnsi="Arial Narrow"/>
                <w:sz w:val="20"/>
              </w:rPr>
              <w:t>Moderate, favours TIV-HD.</w:t>
            </w:r>
          </w:p>
        </w:tc>
      </w:tr>
      <w:tr w:rsidR="00D53E4A" w:rsidRPr="00645F5B" w:rsidTr="00C62F3B">
        <w:trPr>
          <w:cantSplit/>
          <w:trHeight w:val="222"/>
        </w:trPr>
        <w:tc>
          <w:tcPr>
            <w:tcW w:w="0" w:type="auto"/>
            <w:shd w:val="clear" w:color="auto" w:fill="auto"/>
            <w:vAlign w:val="center"/>
          </w:tcPr>
          <w:p w:rsidR="00D53E4A" w:rsidRPr="00645F5B" w:rsidRDefault="00D53E4A" w:rsidP="00E63740">
            <w:pPr>
              <w:keepNext/>
              <w:jc w:val="left"/>
              <w:rPr>
                <w:rFonts w:ascii="Arial Narrow" w:hAnsi="Arial Narrow"/>
                <w:sz w:val="20"/>
              </w:rPr>
            </w:pPr>
            <w:r w:rsidRPr="00645F5B">
              <w:rPr>
                <w:rFonts w:ascii="Arial Narrow" w:hAnsi="Arial Narrow"/>
                <w:sz w:val="20"/>
              </w:rPr>
              <w:t>High cost of</w:t>
            </w:r>
            <w:r w:rsidR="00E63740" w:rsidRPr="00645F5B">
              <w:rPr>
                <w:rFonts w:ascii="Arial Narrow" w:hAnsi="Arial Narrow"/>
                <w:sz w:val="20"/>
              </w:rPr>
              <w:t xml:space="preserve"> respiratory hospital admission</w:t>
            </w:r>
          </w:p>
        </w:tc>
        <w:tc>
          <w:tcPr>
            <w:tcW w:w="0" w:type="auto"/>
            <w:shd w:val="clear" w:color="auto" w:fill="auto"/>
            <w:vAlign w:val="center"/>
          </w:tcPr>
          <w:p w:rsidR="00D53E4A" w:rsidRPr="00645F5B" w:rsidRDefault="00D53E4A" w:rsidP="00AE7975">
            <w:pPr>
              <w:keepNext/>
              <w:jc w:val="left"/>
              <w:rPr>
                <w:rFonts w:ascii="Arial Narrow" w:hAnsi="Arial Narrow"/>
                <w:sz w:val="20"/>
              </w:rPr>
            </w:pPr>
            <w:r w:rsidRPr="00645F5B">
              <w:rPr>
                <w:rFonts w:ascii="Arial Narrow" w:hAnsi="Arial Narrow"/>
                <w:sz w:val="20"/>
              </w:rPr>
              <w:t>Costs of respiratory and cardiovascular hospitalisations</w:t>
            </w:r>
            <w:r w:rsidRPr="00645F5B">
              <w:t xml:space="preserve"> </w:t>
            </w:r>
            <w:r w:rsidRPr="00645F5B">
              <w:rPr>
                <w:rFonts w:ascii="Arial Narrow" w:hAnsi="Arial Narrow"/>
                <w:sz w:val="20"/>
              </w:rPr>
              <w:t xml:space="preserve">were estimated using averaged Round 19 Australian public hospital AR-DRGs. The distribution of severity was not discussed in the FIM12 trial, nor was the average number of days per admission. In the event there </w:t>
            </w:r>
            <w:proofErr w:type="gramStart"/>
            <w:r w:rsidRPr="00645F5B">
              <w:rPr>
                <w:rFonts w:ascii="Arial Narrow" w:hAnsi="Arial Narrow"/>
                <w:sz w:val="20"/>
              </w:rPr>
              <w:t>is a greater proportion of lower complexity admissions</w:t>
            </w:r>
            <w:proofErr w:type="gramEnd"/>
            <w:r w:rsidRPr="00645F5B">
              <w:rPr>
                <w:rFonts w:ascii="Arial Narrow" w:hAnsi="Arial Narrow"/>
                <w:sz w:val="20"/>
              </w:rPr>
              <w:t>, the use of the average would overestimate avoided costs.</w:t>
            </w:r>
            <w:r w:rsidR="00AE7975">
              <w:rPr>
                <w:rFonts w:ascii="Arial Narrow" w:hAnsi="Arial Narrow"/>
                <w:sz w:val="20"/>
              </w:rPr>
              <w:t xml:space="preserve"> The PSCR </w:t>
            </w:r>
            <w:r w:rsidR="009B150D" w:rsidRPr="00645F5B">
              <w:rPr>
                <w:rFonts w:ascii="Arial Narrow" w:hAnsi="Arial Narrow"/>
                <w:sz w:val="20"/>
              </w:rPr>
              <w:t xml:space="preserve">acknowledged the uncertainty around the estimates and argued as the AR-DRG data are not age specific, it would not be unreasonable to assume that those ≥65 might on average present with more complex admissions, which would reduce the ICER. The ESC considered that the estimate of avoided costs was uncertain, however it was possible that costs associated with respiratory hospital admissions </w:t>
            </w:r>
            <w:r w:rsidR="004A2283" w:rsidRPr="00645F5B">
              <w:rPr>
                <w:rFonts w:ascii="Arial Narrow" w:hAnsi="Arial Narrow"/>
                <w:sz w:val="20"/>
              </w:rPr>
              <w:t>due to</w:t>
            </w:r>
            <w:r w:rsidR="002B7181">
              <w:rPr>
                <w:rFonts w:ascii="Arial Narrow" w:hAnsi="Arial Narrow"/>
                <w:sz w:val="20"/>
              </w:rPr>
              <w:t xml:space="preserve"> in</w:t>
            </w:r>
            <w:r w:rsidR="004A2283" w:rsidRPr="00645F5B">
              <w:rPr>
                <w:rFonts w:ascii="Arial Narrow" w:hAnsi="Arial Narrow"/>
                <w:sz w:val="20"/>
              </w:rPr>
              <w:t>flu</w:t>
            </w:r>
            <w:r w:rsidR="002B7181">
              <w:rPr>
                <w:rFonts w:ascii="Arial Narrow" w:hAnsi="Arial Narrow"/>
                <w:sz w:val="20"/>
              </w:rPr>
              <w:t>enza</w:t>
            </w:r>
            <w:r w:rsidR="004A2283" w:rsidRPr="00645F5B">
              <w:rPr>
                <w:rFonts w:ascii="Arial Narrow" w:hAnsi="Arial Narrow"/>
                <w:sz w:val="20"/>
              </w:rPr>
              <w:t xml:space="preserve"> like illness and pneumonia </w:t>
            </w:r>
            <w:r w:rsidR="009B150D" w:rsidRPr="00645F5B">
              <w:rPr>
                <w:rFonts w:ascii="Arial Narrow" w:hAnsi="Arial Narrow"/>
                <w:sz w:val="20"/>
              </w:rPr>
              <w:t>are less severe and complex compared to the average AR-DRG.</w:t>
            </w:r>
          </w:p>
        </w:tc>
        <w:tc>
          <w:tcPr>
            <w:tcW w:w="0" w:type="auto"/>
            <w:shd w:val="clear" w:color="auto" w:fill="auto"/>
            <w:vAlign w:val="center"/>
          </w:tcPr>
          <w:p w:rsidR="00D53E4A" w:rsidRPr="00645F5B" w:rsidRDefault="00D53E4A" w:rsidP="00E63740">
            <w:pPr>
              <w:keepNext/>
              <w:jc w:val="center"/>
              <w:rPr>
                <w:rFonts w:ascii="Arial Narrow" w:hAnsi="Arial Narrow"/>
                <w:sz w:val="20"/>
              </w:rPr>
            </w:pPr>
            <w:r w:rsidRPr="00645F5B">
              <w:rPr>
                <w:rFonts w:ascii="Arial Narrow" w:hAnsi="Arial Narrow"/>
                <w:sz w:val="20"/>
              </w:rPr>
              <w:t>Moderate, favours TIV-HD.</w:t>
            </w:r>
          </w:p>
        </w:tc>
      </w:tr>
    </w:tbl>
    <w:p w:rsidR="00E63740" w:rsidRPr="008B2FD3" w:rsidRDefault="00E63740" w:rsidP="00E63740">
      <w:pPr>
        <w:pStyle w:val="TableFooter"/>
      </w:pPr>
      <w:r w:rsidRPr="008B2FD3">
        <w:t xml:space="preserve">QIV-SD: Standard dose </w:t>
      </w:r>
      <w:proofErr w:type="spellStart"/>
      <w:r w:rsidRPr="008B2FD3">
        <w:t>quadrivalent</w:t>
      </w:r>
      <w:proofErr w:type="spellEnd"/>
      <w:r w:rsidRPr="008B2FD3">
        <w:t xml:space="preserve"> influenza vaccine; </w:t>
      </w:r>
      <w:r w:rsidRPr="008B2FD3">
        <w:rPr>
          <w:szCs w:val="18"/>
        </w:rPr>
        <w:t>TIV-HD: High dose trivalent influenza vaccine; TIV-SD: Standard dose trivalent influenza vaccine</w:t>
      </w:r>
      <w:r w:rsidRPr="008B2FD3">
        <w:t>; VE: vaccine efficacy.</w:t>
      </w:r>
    </w:p>
    <w:p w:rsidR="00D53E4A" w:rsidRPr="008B2FD3" w:rsidRDefault="00D53E4A" w:rsidP="00767078">
      <w:pPr>
        <w:pStyle w:val="TableFooter"/>
        <w:spacing w:after="160"/>
      </w:pPr>
      <w:r w:rsidRPr="008B2FD3">
        <w:t>Source: compiled during the evaluation</w:t>
      </w:r>
    </w:p>
    <w:p w:rsidR="00D53E4A" w:rsidRPr="008B2FD3" w:rsidRDefault="00D53E4A" w:rsidP="008B6998">
      <w:pPr>
        <w:keepNext/>
        <w:rPr>
          <w:rStyle w:val="CommentReference"/>
        </w:rPr>
      </w:pPr>
      <w:r w:rsidRPr="008B2FD3">
        <w:rPr>
          <w:rStyle w:val="CommentReference"/>
        </w:rPr>
        <w:lastRenderedPageBreak/>
        <w:t xml:space="preserve">Table </w:t>
      </w:r>
      <w:r w:rsidR="00C62F3B">
        <w:rPr>
          <w:rStyle w:val="CommentReference"/>
        </w:rPr>
        <w:t>11</w:t>
      </w:r>
      <w:r w:rsidRPr="008B2FD3">
        <w:rPr>
          <w:rStyle w:val="CommentReference"/>
        </w:rPr>
        <w:t xml:space="preserve">: Results of the economic evaluation </w:t>
      </w:r>
    </w:p>
    <w:tbl>
      <w:tblPr>
        <w:tblStyle w:val="TableGrid"/>
        <w:tblW w:w="9072" w:type="dxa"/>
        <w:tblInd w:w="108" w:type="dxa"/>
        <w:tblLook w:val="04A0" w:firstRow="1" w:lastRow="0" w:firstColumn="1" w:lastColumn="0" w:noHBand="0" w:noVBand="1"/>
        <w:tblCaption w:val="Table 11: Results of the economic evaluation "/>
        <w:tblDescription w:val="Table 11: Results of the economic evaluation "/>
      </w:tblPr>
      <w:tblGrid>
        <w:gridCol w:w="1163"/>
        <w:gridCol w:w="1559"/>
        <w:gridCol w:w="1276"/>
        <w:gridCol w:w="1276"/>
        <w:gridCol w:w="1276"/>
        <w:gridCol w:w="2522"/>
      </w:tblGrid>
      <w:tr w:rsidR="00D53E4A" w:rsidRPr="008B2FD3" w:rsidTr="008E1E73">
        <w:trPr>
          <w:trHeight w:val="152"/>
          <w:tblHeader/>
        </w:trPr>
        <w:tc>
          <w:tcPr>
            <w:tcW w:w="9072" w:type="dxa"/>
            <w:gridSpan w:val="6"/>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rPr>
                <w:rFonts w:ascii="Arial Narrow" w:hAnsi="Arial Narrow"/>
                <w:b/>
                <w:sz w:val="20"/>
                <w:szCs w:val="20"/>
                <w:lang w:eastAsia="en-AU"/>
              </w:rPr>
            </w:pPr>
            <w:r w:rsidRPr="008B2FD3">
              <w:rPr>
                <w:rFonts w:ascii="Arial Narrow" w:hAnsi="Arial Narrow"/>
                <w:b/>
                <w:sz w:val="20"/>
                <w:szCs w:val="20"/>
                <w:lang w:eastAsia="en-AU"/>
              </w:rPr>
              <w:t>Cost-Effectiveness Results (LYs)</w:t>
            </w:r>
          </w:p>
        </w:tc>
      </w:tr>
      <w:tr w:rsidR="00D53E4A"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rPr>
                <w:rFonts w:ascii="Arial Narrow" w:hAnsi="Arial Narrow"/>
                <w:b/>
                <w:sz w:val="20"/>
                <w:szCs w:val="20"/>
                <w:lang w:eastAsia="en-AU"/>
              </w:rPr>
            </w:pPr>
            <w:r w:rsidRPr="008B2FD3">
              <w:rPr>
                <w:rFonts w:ascii="Arial Narrow" w:hAnsi="Arial Narrow"/>
                <w:b/>
                <w:sz w:val="20"/>
                <w:szCs w:val="20"/>
                <w:lang w:eastAsia="en-AU"/>
              </w:rPr>
              <w:t>Vaccine</w:t>
            </w:r>
          </w:p>
        </w:tc>
        <w:tc>
          <w:tcPr>
            <w:tcW w:w="1559"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Total Costs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Total LYs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proofErr w:type="spellStart"/>
            <w:r w:rsidRPr="008B2FD3">
              <w:rPr>
                <w:rFonts w:ascii="Arial Narrow" w:hAnsi="Arial Narrow"/>
                <w:b/>
                <w:sz w:val="20"/>
                <w:szCs w:val="20"/>
                <w:lang w:eastAsia="en-AU"/>
              </w:rPr>
              <w:t>Inc</w:t>
            </w:r>
            <w:proofErr w:type="spellEnd"/>
            <w:r w:rsidRPr="008B2FD3">
              <w:rPr>
                <w:rFonts w:ascii="Arial Narrow" w:hAnsi="Arial Narrow"/>
                <w:b/>
                <w:sz w:val="20"/>
                <w:szCs w:val="20"/>
                <w:lang w:eastAsia="en-AU"/>
              </w:rPr>
              <w:t xml:space="preserve"> Costs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proofErr w:type="spellStart"/>
            <w:r w:rsidRPr="008B2FD3">
              <w:rPr>
                <w:rFonts w:ascii="Arial Narrow" w:hAnsi="Arial Narrow"/>
                <w:b/>
                <w:sz w:val="20"/>
                <w:szCs w:val="20"/>
                <w:lang w:eastAsia="en-AU"/>
              </w:rPr>
              <w:t>Inc</w:t>
            </w:r>
            <w:proofErr w:type="spellEnd"/>
            <w:r w:rsidRPr="008B2FD3">
              <w:rPr>
                <w:rFonts w:ascii="Arial Narrow" w:hAnsi="Arial Narrow"/>
                <w:b/>
                <w:sz w:val="20"/>
                <w:szCs w:val="20"/>
                <w:lang w:eastAsia="en-AU"/>
              </w:rPr>
              <w:t xml:space="preserve"> LYs</w:t>
            </w:r>
          </w:p>
        </w:tc>
        <w:tc>
          <w:tcPr>
            <w:tcW w:w="2522" w:type="dxa"/>
            <w:tcBorders>
              <w:top w:val="single" w:sz="4" w:space="0" w:color="auto"/>
              <w:left w:val="single" w:sz="4" w:space="0" w:color="auto"/>
              <w:bottom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ICER</w:t>
            </w:r>
          </w:p>
        </w:tc>
      </w:tr>
      <w:tr w:rsidR="003C74A5"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r w:rsidRPr="008B2FD3">
              <w:rPr>
                <w:rFonts w:ascii="Arial Narrow" w:hAnsi="Arial Narrow"/>
                <w:sz w:val="20"/>
                <w:szCs w:val="20"/>
                <w:lang w:eastAsia="en-AU"/>
              </w:rPr>
              <w:t>TIV-HD</w:t>
            </w:r>
          </w:p>
        </w:tc>
        <w:tc>
          <w:tcPr>
            <w:tcW w:w="1559"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9.5299</w:t>
            </w:r>
          </w:p>
        </w:tc>
        <w:tc>
          <w:tcPr>
            <w:tcW w:w="1276" w:type="dxa"/>
            <w:vMerge w:val="restart"/>
            <w:tcBorders>
              <w:top w:val="single" w:sz="4" w:space="0" w:color="auto"/>
              <w:left w:val="single" w:sz="4" w:space="0" w:color="auto"/>
              <w:right w:val="single" w:sz="4" w:space="0" w:color="auto"/>
            </w:tcBorders>
            <w:noWrap/>
            <w:vAlign w:val="center"/>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vMerge w:val="restart"/>
            <w:tcBorders>
              <w:top w:val="single" w:sz="4" w:space="0" w:color="auto"/>
              <w:left w:val="single" w:sz="4" w:space="0" w:color="auto"/>
              <w:right w:val="single" w:sz="4" w:space="0" w:color="auto"/>
            </w:tcBorders>
            <w:noWrap/>
            <w:vAlign w:val="center"/>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0.0010</w:t>
            </w:r>
          </w:p>
        </w:tc>
        <w:tc>
          <w:tcPr>
            <w:tcW w:w="2522" w:type="dxa"/>
            <w:vMerge w:val="restart"/>
            <w:tcBorders>
              <w:top w:val="single" w:sz="4" w:space="0" w:color="auto"/>
              <w:left w:val="single" w:sz="4" w:space="0" w:color="auto"/>
              <w:bottom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TIV-HD dominates QIV-SD:</w:t>
            </w:r>
          </w:p>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Cheaper and more effective</w:t>
            </w:r>
          </w:p>
        </w:tc>
      </w:tr>
      <w:tr w:rsidR="003C74A5"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r w:rsidRPr="008B2FD3">
              <w:rPr>
                <w:rFonts w:ascii="Arial Narrow" w:hAnsi="Arial Narrow"/>
                <w:sz w:val="20"/>
                <w:szCs w:val="20"/>
                <w:lang w:eastAsia="en-AU"/>
              </w:rPr>
              <w:t>QIV-SD</w:t>
            </w:r>
          </w:p>
        </w:tc>
        <w:tc>
          <w:tcPr>
            <w:tcW w:w="1559"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9.5288</w:t>
            </w:r>
          </w:p>
        </w:tc>
        <w:tc>
          <w:tcPr>
            <w:tcW w:w="1276" w:type="dxa"/>
            <w:vMerge/>
            <w:tcBorders>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c>
          <w:tcPr>
            <w:tcW w:w="1276" w:type="dxa"/>
            <w:vMerge/>
            <w:tcBorders>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c>
          <w:tcPr>
            <w:tcW w:w="2522" w:type="dxa"/>
            <w:vMerge/>
            <w:tcBorders>
              <w:top w:val="single" w:sz="4" w:space="0" w:color="auto"/>
              <w:left w:val="single" w:sz="4" w:space="0" w:color="auto"/>
              <w:bottom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r>
      <w:tr w:rsidR="00D53E4A" w:rsidRPr="008B2FD3" w:rsidTr="008B6998">
        <w:trPr>
          <w:trHeight w:val="58"/>
        </w:trPr>
        <w:tc>
          <w:tcPr>
            <w:tcW w:w="9072" w:type="dxa"/>
            <w:gridSpan w:val="6"/>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rPr>
                <w:rFonts w:ascii="Arial Narrow" w:hAnsi="Arial Narrow"/>
                <w:b/>
                <w:sz w:val="20"/>
                <w:szCs w:val="20"/>
                <w:lang w:eastAsia="en-AU"/>
              </w:rPr>
            </w:pPr>
            <w:r w:rsidRPr="008B2FD3">
              <w:rPr>
                <w:rFonts w:ascii="Arial Narrow" w:hAnsi="Arial Narrow"/>
                <w:b/>
                <w:sz w:val="20"/>
                <w:szCs w:val="20"/>
                <w:lang w:eastAsia="en-AU"/>
              </w:rPr>
              <w:t>Cost-Effectiveness Results (QALYs)</w:t>
            </w:r>
          </w:p>
        </w:tc>
      </w:tr>
      <w:tr w:rsidR="00D53E4A"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rPr>
                <w:rFonts w:ascii="Arial Narrow" w:hAnsi="Arial Narrow"/>
                <w:b/>
                <w:sz w:val="20"/>
                <w:szCs w:val="20"/>
                <w:lang w:eastAsia="en-AU"/>
              </w:rPr>
            </w:pPr>
            <w:r w:rsidRPr="008B2FD3">
              <w:rPr>
                <w:rFonts w:ascii="Arial Narrow" w:hAnsi="Arial Narrow"/>
                <w:b/>
                <w:sz w:val="20"/>
                <w:szCs w:val="20"/>
                <w:lang w:eastAsia="en-AU"/>
              </w:rPr>
              <w:t>Vaccine</w:t>
            </w:r>
          </w:p>
        </w:tc>
        <w:tc>
          <w:tcPr>
            <w:tcW w:w="1559"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Total Costs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Total QALYs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proofErr w:type="spellStart"/>
            <w:r w:rsidRPr="008B2FD3">
              <w:rPr>
                <w:rFonts w:ascii="Arial Narrow" w:hAnsi="Arial Narrow"/>
                <w:b/>
                <w:sz w:val="20"/>
                <w:szCs w:val="20"/>
                <w:lang w:eastAsia="en-AU"/>
              </w:rPr>
              <w:t>Inc</w:t>
            </w:r>
            <w:proofErr w:type="spellEnd"/>
            <w:r w:rsidRPr="008B2FD3">
              <w:rPr>
                <w:rFonts w:ascii="Arial Narrow" w:hAnsi="Arial Narrow"/>
                <w:b/>
                <w:sz w:val="20"/>
                <w:szCs w:val="20"/>
                <w:lang w:eastAsia="en-AU"/>
              </w:rPr>
              <w:t xml:space="preserve"> Costs</w:t>
            </w:r>
          </w:p>
        </w:tc>
        <w:tc>
          <w:tcPr>
            <w:tcW w:w="1276" w:type="dxa"/>
            <w:tcBorders>
              <w:top w:val="single" w:sz="4" w:space="0" w:color="auto"/>
              <w:left w:val="single" w:sz="4" w:space="0" w:color="auto"/>
              <w:bottom w:val="single" w:sz="4" w:space="0" w:color="auto"/>
              <w:right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proofErr w:type="spellStart"/>
            <w:r w:rsidRPr="008B2FD3">
              <w:rPr>
                <w:rFonts w:ascii="Arial Narrow" w:hAnsi="Arial Narrow"/>
                <w:b/>
                <w:sz w:val="20"/>
                <w:szCs w:val="20"/>
                <w:lang w:eastAsia="en-AU"/>
              </w:rPr>
              <w:t>Inc</w:t>
            </w:r>
            <w:proofErr w:type="spellEnd"/>
            <w:r w:rsidRPr="008B2FD3">
              <w:rPr>
                <w:rFonts w:ascii="Arial Narrow" w:hAnsi="Arial Narrow"/>
                <w:b/>
                <w:sz w:val="20"/>
                <w:szCs w:val="20"/>
                <w:lang w:eastAsia="en-AU"/>
              </w:rPr>
              <w:t xml:space="preserve"> QALYs</w:t>
            </w:r>
          </w:p>
        </w:tc>
        <w:tc>
          <w:tcPr>
            <w:tcW w:w="2522" w:type="dxa"/>
            <w:tcBorders>
              <w:top w:val="single" w:sz="4" w:space="0" w:color="auto"/>
              <w:left w:val="single" w:sz="4" w:space="0" w:color="auto"/>
              <w:bottom w:val="single" w:sz="4" w:space="0" w:color="auto"/>
            </w:tcBorders>
            <w:noWrap/>
            <w:hideMark/>
          </w:tcPr>
          <w:p w:rsidR="00D53E4A" w:rsidRPr="008B2FD3" w:rsidRDefault="00D53E4A" w:rsidP="008B6998">
            <w:pPr>
              <w:pStyle w:val="TableText0"/>
              <w:keepNext/>
              <w:spacing w:before="0" w:after="0"/>
              <w:jc w:val="center"/>
              <w:rPr>
                <w:rFonts w:ascii="Arial Narrow" w:hAnsi="Arial Narrow"/>
                <w:b/>
                <w:sz w:val="20"/>
                <w:szCs w:val="20"/>
                <w:lang w:eastAsia="en-AU"/>
              </w:rPr>
            </w:pPr>
            <w:r w:rsidRPr="008B2FD3">
              <w:rPr>
                <w:rFonts w:ascii="Arial Narrow" w:hAnsi="Arial Narrow"/>
                <w:b/>
                <w:sz w:val="20"/>
                <w:szCs w:val="20"/>
                <w:lang w:eastAsia="en-AU"/>
              </w:rPr>
              <w:t>ICER</w:t>
            </w:r>
          </w:p>
        </w:tc>
      </w:tr>
      <w:tr w:rsidR="003C74A5"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r w:rsidRPr="008B2FD3">
              <w:rPr>
                <w:rFonts w:ascii="Arial Narrow" w:hAnsi="Arial Narrow"/>
                <w:sz w:val="20"/>
                <w:szCs w:val="20"/>
                <w:lang w:eastAsia="en-AU"/>
              </w:rPr>
              <w:t>TIV-HD</w:t>
            </w:r>
          </w:p>
        </w:tc>
        <w:tc>
          <w:tcPr>
            <w:tcW w:w="1559"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7.2500</w:t>
            </w:r>
          </w:p>
        </w:tc>
        <w:tc>
          <w:tcPr>
            <w:tcW w:w="1276" w:type="dxa"/>
            <w:vMerge w:val="restart"/>
            <w:tcBorders>
              <w:top w:val="single" w:sz="4" w:space="0" w:color="auto"/>
              <w:left w:val="single" w:sz="4" w:space="0" w:color="auto"/>
              <w:right w:val="single" w:sz="4" w:space="0" w:color="auto"/>
            </w:tcBorders>
            <w:noWrap/>
            <w:vAlign w:val="center"/>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vMerge w:val="restart"/>
            <w:tcBorders>
              <w:top w:val="single" w:sz="4" w:space="0" w:color="auto"/>
              <w:left w:val="single" w:sz="4" w:space="0" w:color="auto"/>
              <w:right w:val="single" w:sz="4" w:space="0" w:color="auto"/>
            </w:tcBorders>
            <w:noWrap/>
            <w:vAlign w:val="center"/>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0.0008</w:t>
            </w:r>
          </w:p>
        </w:tc>
        <w:tc>
          <w:tcPr>
            <w:tcW w:w="2522" w:type="dxa"/>
            <w:vMerge w:val="restart"/>
            <w:tcBorders>
              <w:top w:val="single" w:sz="4" w:space="0" w:color="auto"/>
              <w:left w:val="single" w:sz="4" w:space="0" w:color="auto"/>
              <w:bottom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TIV-HD dominates QIV-SD:</w:t>
            </w:r>
          </w:p>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Cheaper and more effective</w:t>
            </w:r>
          </w:p>
        </w:tc>
      </w:tr>
      <w:tr w:rsidR="003C74A5" w:rsidRPr="008B2FD3" w:rsidTr="008B6998">
        <w:trPr>
          <w:trHeight w:val="58"/>
        </w:trPr>
        <w:tc>
          <w:tcPr>
            <w:tcW w:w="1163"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r w:rsidRPr="008B2FD3">
              <w:rPr>
                <w:rFonts w:ascii="Arial Narrow" w:hAnsi="Arial Narrow"/>
                <w:sz w:val="20"/>
                <w:szCs w:val="20"/>
                <w:lang w:eastAsia="en-AU"/>
              </w:rPr>
              <w:t>QIV-SD</w:t>
            </w:r>
          </w:p>
        </w:tc>
        <w:tc>
          <w:tcPr>
            <w:tcW w:w="1559"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w:t>
            </w:r>
            <w:r w:rsidR="005B0F33">
              <w:rPr>
                <w:rFonts w:ascii="Arial Narrow" w:hAnsi="Arial Narrow"/>
                <w:noProof/>
                <w:color w:val="000000"/>
                <w:sz w:val="20"/>
                <w:szCs w:val="20"/>
                <w:highlight w:val="black"/>
                <w:lang w:eastAsia="en-AU"/>
              </w:rPr>
              <w:t>'''''''''''''''''</w:t>
            </w:r>
          </w:p>
        </w:tc>
        <w:tc>
          <w:tcPr>
            <w:tcW w:w="1276" w:type="dxa"/>
            <w:tcBorders>
              <w:top w:val="single" w:sz="4" w:space="0" w:color="auto"/>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jc w:val="center"/>
              <w:rPr>
                <w:rFonts w:ascii="Arial Narrow" w:hAnsi="Arial Narrow"/>
                <w:sz w:val="20"/>
                <w:szCs w:val="20"/>
                <w:lang w:eastAsia="en-AU"/>
              </w:rPr>
            </w:pPr>
            <w:r w:rsidRPr="008B2FD3">
              <w:rPr>
                <w:rFonts w:ascii="Arial Narrow" w:hAnsi="Arial Narrow"/>
                <w:sz w:val="20"/>
                <w:szCs w:val="20"/>
                <w:lang w:eastAsia="en-AU"/>
              </w:rPr>
              <w:t>7.2492</w:t>
            </w:r>
          </w:p>
        </w:tc>
        <w:tc>
          <w:tcPr>
            <w:tcW w:w="1276" w:type="dxa"/>
            <w:vMerge/>
            <w:tcBorders>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c>
          <w:tcPr>
            <w:tcW w:w="1276" w:type="dxa"/>
            <w:vMerge/>
            <w:tcBorders>
              <w:left w:val="single" w:sz="4" w:space="0" w:color="auto"/>
              <w:bottom w:val="single" w:sz="4" w:space="0" w:color="auto"/>
              <w:right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c>
          <w:tcPr>
            <w:tcW w:w="2522" w:type="dxa"/>
            <w:vMerge/>
            <w:tcBorders>
              <w:top w:val="single" w:sz="4" w:space="0" w:color="auto"/>
              <w:left w:val="single" w:sz="4" w:space="0" w:color="auto"/>
              <w:bottom w:val="single" w:sz="4" w:space="0" w:color="auto"/>
            </w:tcBorders>
            <w:noWrap/>
            <w:hideMark/>
          </w:tcPr>
          <w:p w:rsidR="003C74A5" w:rsidRPr="008B2FD3" w:rsidRDefault="003C74A5" w:rsidP="008B6998">
            <w:pPr>
              <w:pStyle w:val="TableText0"/>
              <w:keepNext/>
              <w:spacing w:before="0" w:after="0"/>
              <w:rPr>
                <w:rFonts w:ascii="Arial Narrow" w:hAnsi="Arial Narrow"/>
                <w:sz w:val="20"/>
                <w:szCs w:val="20"/>
                <w:lang w:eastAsia="en-AU"/>
              </w:rPr>
            </w:pPr>
          </w:p>
        </w:tc>
      </w:tr>
    </w:tbl>
    <w:p w:rsidR="00D53E4A" w:rsidRPr="008B2FD3" w:rsidRDefault="00D53E4A" w:rsidP="00D53E4A">
      <w:pPr>
        <w:pStyle w:val="TableFooter"/>
        <w:rPr>
          <w:szCs w:val="18"/>
        </w:rPr>
      </w:pPr>
      <w:r w:rsidRPr="008B2FD3">
        <w:rPr>
          <w:szCs w:val="18"/>
        </w:rPr>
        <w:t xml:space="preserve">LY: Life years; QALYs: quality adjusted life years. ICER: incremental cost-effectiveness ratio; </w:t>
      </w:r>
      <w:r w:rsidRPr="008B2FD3">
        <w:t>TIV-HD</w:t>
      </w:r>
      <w:r w:rsidR="001050B2" w:rsidRPr="008B2FD3">
        <w:t>:</w:t>
      </w:r>
      <w:r w:rsidRPr="008B2FD3">
        <w:t xml:space="preserve"> Trivalent Influenza Vaccine – High Dose, QIV-SD</w:t>
      </w:r>
      <w:r w:rsidR="001050B2" w:rsidRPr="008B2FD3">
        <w:t>:</w:t>
      </w:r>
      <w:r w:rsidRPr="008B2FD3">
        <w:t xml:space="preserve"> </w:t>
      </w:r>
      <w:proofErr w:type="spellStart"/>
      <w:r w:rsidR="00E63740" w:rsidRPr="008B2FD3">
        <w:t>Quadrivalent</w:t>
      </w:r>
      <w:proofErr w:type="spellEnd"/>
      <w:r w:rsidRPr="008B2FD3">
        <w:t xml:space="preserve"> Influenza Vaccine – Standa</w:t>
      </w:r>
      <w:r w:rsidR="00E63740" w:rsidRPr="008B2FD3">
        <w:t>rd Dose.</w:t>
      </w:r>
    </w:p>
    <w:p w:rsidR="00D53E4A" w:rsidRPr="008B2FD3" w:rsidRDefault="00D53E4A" w:rsidP="00767078">
      <w:pPr>
        <w:pStyle w:val="TableFooter"/>
        <w:spacing w:after="160"/>
        <w:rPr>
          <w:szCs w:val="18"/>
        </w:rPr>
      </w:pPr>
      <w:r w:rsidRPr="008B2FD3">
        <w:rPr>
          <w:szCs w:val="18"/>
        </w:rPr>
        <w:t>Source: p82 of the submission</w:t>
      </w:r>
    </w:p>
    <w:p w:rsidR="001F5783" w:rsidRPr="00645F5B" w:rsidRDefault="001F5783" w:rsidP="00767078">
      <w:pPr>
        <w:pStyle w:val="ListParagraph"/>
        <w:widowControl/>
        <w:numPr>
          <w:ilvl w:val="1"/>
          <w:numId w:val="1"/>
        </w:numPr>
      </w:pPr>
      <w:r w:rsidRPr="00645F5B">
        <w:t xml:space="preserve">The trial evidence suggested a reduction in hospitalisations and deaths from influenza is associated with TIV-HD; however there is uncertainty around the model’s hospitalisation estimates, its applicability to the Australian population and whether the influenza burden will continue to increase in time. </w:t>
      </w:r>
      <w:r w:rsidR="00FF54F2">
        <w:t>The ESC noted that n</w:t>
      </w:r>
      <w:r w:rsidRPr="00645F5B">
        <w:t xml:space="preserve">o stepped economic evaluation was conducted which made the </w:t>
      </w:r>
      <w:r w:rsidR="0090593E">
        <w:t>results</w:t>
      </w:r>
      <w:r w:rsidRPr="00645F5B">
        <w:t xml:space="preserve"> less transparent.</w:t>
      </w:r>
      <w:r w:rsidR="00767078">
        <w:t xml:space="preserve"> The Pre-PBAC Response </w:t>
      </w:r>
      <w:r w:rsidR="00382D56">
        <w:t xml:space="preserve">acknowledged the uncertainty around </w:t>
      </w:r>
      <w:r w:rsidR="001C378C">
        <w:t>hospitalisation</w:t>
      </w:r>
      <w:r w:rsidR="00382D56">
        <w:t xml:space="preserve"> estimates but argued that the relative effect of TIV-HD in reducing </w:t>
      </w:r>
      <w:r w:rsidR="001C378C">
        <w:t>hospitalisations</w:t>
      </w:r>
      <w:r w:rsidR="00382D56">
        <w:t xml:space="preserve"> associated with influenza is robust, applicable to the Australian setting, irrespective of </w:t>
      </w:r>
      <w:r w:rsidR="001C378C">
        <w:t>absolute</w:t>
      </w:r>
      <w:r w:rsidR="00382D56">
        <w:t xml:space="preserve"> burden of influenza over time and is supported by </w:t>
      </w:r>
      <w:r w:rsidR="001C378C">
        <w:t xml:space="preserve">the FIM12 and </w:t>
      </w:r>
      <w:proofErr w:type="spellStart"/>
      <w:r w:rsidR="00382D56">
        <w:t>Gravenstein</w:t>
      </w:r>
      <w:proofErr w:type="spellEnd"/>
      <w:r w:rsidR="00382D56">
        <w:t xml:space="preserve"> </w:t>
      </w:r>
      <w:r w:rsidR="001C378C">
        <w:t>trials</w:t>
      </w:r>
      <w:r w:rsidR="00382D56">
        <w:t>.</w:t>
      </w:r>
    </w:p>
    <w:p w:rsidR="00D93480" w:rsidRDefault="00BB7A31" w:rsidP="00E61D4D">
      <w:pPr>
        <w:pStyle w:val="ListParagraph"/>
        <w:widowControl/>
        <w:numPr>
          <w:ilvl w:val="1"/>
          <w:numId w:val="1"/>
        </w:numPr>
      </w:pPr>
      <w:r w:rsidRPr="008B2FD3">
        <w:t xml:space="preserve">TIV-HD resulted in higher QALYs (0.0008) and was cost-saving. </w:t>
      </w:r>
      <w:r w:rsidR="00D53E4A" w:rsidRPr="008B2FD3">
        <w:t>Correspondingly, TIV</w:t>
      </w:r>
      <w:r w:rsidRPr="008B2FD3">
        <w:noBreakHyphen/>
      </w:r>
      <w:r w:rsidR="00D53E4A" w:rsidRPr="008B2FD3">
        <w:t>HD was the dominant strategy.</w:t>
      </w:r>
      <w:r w:rsidR="000241E7">
        <w:t xml:space="preserve"> </w:t>
      </w:r>
    </w:p>
    <w:p w:rsidR="003C74A5" w:rsidRPr="008B2FD3" w:rsidRDefault="003C74A5" w:rsidP="00C62F3B">
      <w:pPr>
        <w:keepNext/>
        <w:rPr>
          <w:rStyle w:val="CommentReference"/>
        </w:rPr>
      </w:pPr>
      <w:r w:rsidRPr="008B2FD3">
        <w:rPr>
          <w:rStyle w:val="CommentReference"/>
        </w:rPr>
        <w:t xml:space="preserve">Table </w:t>
      </w:r>
      <w:r w:rsidR="00C62F3B">
        <w:rPr>
          <w:rStyle w:val="CommentReference"/>
        </w:rPr>
        <w:t>12</w:t>
      </w:r>
      <w:r w:rsidRPr="008B2FD3">
        <w:rPr>
          <w:rStyle w:val="CommentReference"/>
        </w:rPr>
        <w:t>: Health care resource items: disaggregated summary of cost impacts in the economic evaluation</w:t>
      </w:r>
    </w:p>
    <w:tbl>
      <w:tblPr>
        <w:tblStyle w:val="TableGrid"/>
        <w:tblW w:w="9072" w:type="dxa"/>
        <w:tblInd w:w="108" w:type="dxa"/>
        <w:tblLook w:val="04A0" w:firstRow="1" w:lastRow="0" w:firstColumn="1" w:lastColumn="0" w:noHBand="0" w:noVBand="1"/>
        <w:tblCaption w:val="Table 12: Health care resource items: disaggregated summary of cost impacts in the economic evaluation"/>
        <w:tblDescription w:val="Table 12: Health care resource items: disaggregated summary of cost impacts in the economic evaluation"/>
      </w:tblPr>
      <w:tblGrid>
        <w:gridCol w:w="3544"/>
        <w:gridCol w:w="2013"/>
        <w:gridCol w:w="1814"/>
        <w:gridCol w:w="1701"/>
      </w:tblGrid>
      <w:tr w:rsidR="003C74A5" w:rsidRPr="008B2FD3" w:rsidTr="008B6998">
        <w:trPr>
          <w:trHeight w:val="58"/>
          <w:tblHeader/>
        </w:trPr>
        <w:tc>
          <w:tcPr>
            <w:tcW w:w="3544" w:type="dxa"/>
            <w:hideMark/>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Outcomes</w:t>
            </w:r>
          </w:p>
        </w:tc>
        <w:tc>
          <w:tcPr>
            <w:tcW w:w="2013" w:type="dxa"/>
            <w:vAlign w:val="center"/>
            <w:hideMark/>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lang w:eastAsia="en-AU"/>
              </w:rPr>
              <w:t>QIV-SD</w:t>
            </w:r>
          </w:p>
        </w:tc>
        <w:tc>
          <w:tcPr>
            <w:tcW w:w="1814" w:type="dxa"/>
            <w:vAlign w:val="center"/>
            <w:hideMark/>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lang w:eastAsia="en-AU"/>
              </w:rPr>
              <w:t>TIV-HD</w:t>
            </w:r>
          </w:p>
        </w:tc>
        <w:tc>
          <w:tcPr>
            <w:tcW w:w="1701" w:type="dxa"/>
            <w:vAlign w:val="center"/>
            <w:hideMark/>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lang w:eastAsia="en-AU"/>
              </w:rPr>
              <w:t>Net Difference</w:t>
            </w:r>
          </w:p>
        </w:tc>
      </w:tr>
      <w:tr w:rsidR="003C74A5" w:rsidRPr="008B2FD3" w:rsidTr="008B6998">
        <w:trPr>
          <w:trHeight w:val="58"/>
        </w:trPr>
        <w:tc>
          <w:tcPr>
            <w:tcW w:w="9072" w:type="dxa"/>
            <w:gridSpan w:val="4"/>
            <w:noWrap/>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Costs</w:t>
            </w:r>
          </w:p>
        </w:tc>
      </w:tr>
      <w:tr w:rsidR="003C74A5" w:rsidRPr="008B2FD3" w:rsidTr="008B6998">
        <w:trPr>
          <w:trHeight w:val="70"/>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Vaccination</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1701" w:type="dxa"/>
            <w:noWrap/>
            <w:vAlign w:val="center"/>
          </w:tcPr>
          <w:p w:rsidR="003C74A5" w:rsidRPr="005B0F33" w:rsidRDefault="005B0F33" w:rsidP="00C62F3B">
            <w:pPr>
              <w:pStyle w:val="TableText0"/>
              <w:keepNext/>
              <w:widowControl w:val="0"/>
              <w:spacing w:before="0" w:after="0"/>
              <w:jc w:val="center"/>
              <w:rPr>
                <w:rFonts w:ascii="Arial Narrow" w:hAnsi="Arial Narrow"/>
                <w:sz w:val="20"/>
                <w:szCs w:val="20"/>
                <w:highlight w:val="black"/>
                <w:lang w:eastAsia="en-AU"/>
              </w:rPr>
            </w:pPr>
            <w:r>
              <w:rPr>
                <w:rFonts w:ascii="Arial Narrow" w:hAnsi="Arial Narrow"/>
                <w:noProof/>
                <w:color w:val="000000"/>
                <w:sz w:val="20"/>
                <w:szCs w:val="20"/>
                <w:highlight w:val="black"/>
              </w:rPr>
              <w:t>''''''''''''''''''''''''''''''''</w:t>
            </w:r>
          </w:p>
        </w:tc>
      </w:tr>
      <w:tr w:rsidR="003C74A5" w:rsidRPr="008B2FD3" w:rsidTr="008B6998">
        <w:trPr>
          <w:trHeight w:val="58"/>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Vaccine a</w:t>
            </w:r>
            <w:r w:rsidR="003C74A5" w:rsidRPr="008B2FD3">
              <w:rPr>
                <w:rFonts w:ascii="Arial Narrow" w:hAnsi="Arial Narrow"/>
                <w:sz w:val="20"/>
                <w:szCs w:val="20"/>
                <w:lang w:eastAsia="en-AU"/>
              </w:rPr>
              <w:t>dministration</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r w:rsidR="003C74A5" w:rsidRPr="008B2FD3" w:rsidTr="008B6998">
        <w:trPr>
          <w:trHeight w:val="58"/>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Prescription m</w:t>
            </w:r>
            <w:r w:rsidR="003C74A5" w:rsidRPr="008B2FD3">
              <w:rPr>
                <w:rFonts w:ascii="Arial Narrow" w:hAnsi="Arial Narrow"/>
                <w:sz w:val="20"/>
                <w:szCs w:val="20"/>
                <w:lang w:eastAsia="en-AU"/>
              </w:rPr>
              <w:t>eds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$433,493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$383,326</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-$50,168</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GP Visits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$1,829,263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$1,617,565</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-$211,699</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ED Visits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$1,340,333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$1,185,218</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-$155,115</w:t>
            </w:r>
          </w:p>
        </w:tc>
      </w:tr>
      <w:tr w:rsidR="003C74A5" w:rsidRPr="008B2FD3" w:rsidTr="008B6998">
        <w:trPr>
          <w:trHeight w:val="71"/>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h</w:t>
            </w:r>
            <w:r w:rsidR="003C74A5" w:rsidRPr="008B2FD3">
              <w:rPr>
                <w:rFonts w:ascii="Arial Narrow" w:hAnsi="Arial Narrow"/>
                <w:sz w:val="20"/>
                <w:szCs w:val="20"/>
                <w:lang w:eastAsia="en-AU"/>
              </w:rPr>
              <w:t>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$500,053,271</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$408,110,173</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-$91,943,098</w:t>
            </w:r>
          </w:p>
        </w:tc>
      </w:tr>
      <w:tr w:rsidR="003C74A5" w:rsidRPr="008B2FD3" w:rsidTr="008B6998">
        <w:trPr>
          <w:trHeight w:val="58"/>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Cardiovascular-related h</w:t>
            </w:r>
            <w:r w:rsidR="003C74A5" w:rsidRPr="008B2FD3">
              <w:rPr>
                <w:rFonts w:ascii="Arial Narrow" w:hAnsi="Arial Narrow"/>
                <w:sz w:val="20"/>
                <w:szCs w:val="20"/>
                <w:lang w:eastAsia="en-AU"/>
              </w:rPr>
              <w:t>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$763,532,879</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$713,187,811</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-$50,345,068</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Total Direct Healthcare</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rPr>
              <w:t>$</w:t>
            </w:r>
            <w:r w:rsidR="005B0F33">
              <w:rPr>
                <w:rFonts w:ascii="Arial Narrow" w:hAnsi="Arial Narrow"/>
                <w:b/>
                <w:noProof/>
                <w:color w:val="000000"/>
                <w:sz w:val="20"/>
                <w:szCs w:val="20"/>
                <w:highlight w:val="black"/>
              </w:rPr>
              <w:t>'''''''''''''''''''''''''</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rPr>
              <w:t>$</w:t>
            </w:r>
            <w:r w:rsidR="005B0F33">
              <w:rPr>
                <w:rFonts w:ascii="Arial Narrow" w:hAnsi="Arial Narrow"/>
                <w:b/>
                <w:noProof/>
                <w:color w:val="000000"/>
                <w:sz w:val="20"/>
                <w:szCs w:val="20"/>
                <w:highlight w:val="black"/>
              </w:rPr>
              <w:t>'''''''''''''''''''''''''</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b/>
                <w:sz w:val="20"/>
                <w:szCs w:val="20"/>
                <w:lang w:eastAsia="en-AU"/>
              </w:rPr>
            </w:pPr>
            <w:r w:rsidRPr="008B2FD3">
              <w:rPr>
                <w:rFonts w:ascii="Arial Narrow" w:hAnsi="Arial Narrow"/>
                <w:b/>
                <w:sz w:val="20"/>
                <w:szCs w:val="20"/>
              </w:rPr>
              <w:t>-$</w:t>
            </w:r>
            <w:r w:rsidR="005B0F33">
              <w:rPr>
                <w:rFonts w:ascii="Arial Narrow" w:hAnsi="Arial Narrow"/>
                <w:b/>
                <w:noProof/>
                <w:color w:val="000000"/>
                <w:sz w:val="20"/>
                <w:szCs w:val="20"/>
                <w:highlight w:val="black"/>
              </w:rPr>
              <w:t>'''''''''''''''''''</w:t>
            </w:r>
          </w:p>
        </w:tc>
      </w:tr>
      <w:tr w:rsidR="003C74A5" w:rsidRPr="008B2FD3" w:rsidTr="008B6998">
        <w:trPr>
          <w:trHeight w:val="58"/>
        </w:trPr>
        <w:tc>
          <w:tcPr>
            <w:tcW w:w="9072" w:type="dxa"/>
            <w:gridSpan w:val="4"/>
            <w:noWrap/>
            <w:hideMark/>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Outcomes</w:t>
            </w:r>
          </w:p>
        </w:tc>
      </w:tr>
      <w:tr w:rsidR="003C74A5" w:rsidRPr="008B2FD3" w:rsidTr="008B6998">
        <w:trPr>
          <w:trHeight w:val="58"/>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 c</w:t>
            </w:r>
            <w:r w:rsidR="003C74A5" w:rsidRPr="008B2FD3">
              <w:rPr>
                <w:rFonts w:ascii="Arial Narrow" w:hAnsi="Arial Narrow"/>
                <w:sz w:val="20"/>
                <w:szCs w:val="20"/>
                <w:lang w:eastAsia="en-AU"/>
              </w:rPr>
              <w:t>ases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98,196</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86,832</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-11,364</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GP Visits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49,373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43,659</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-5,714</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ED Visits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2,985</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2,640</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-345</w:t>
            </w:r>
          </w:p>
        </w:tc>
      </w:tr>
      <w:tr w:rsidR="003C74A5" w:rsidRPr="008B2FD3" w:rsidTr="008B6998">
        <w:trPr>
          <w:trHeight w:val="95"/>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Influenza-related h</w:t>
            </w:r>
            <w:r w:rsidR="003C74A5" w:rsidRPr="008B2FD3">
              <w:rPr>
                <w:rFonts w:ascii="Arial Narrow" w:hAnsi="Arial Narrow"/>
                <w:sz w:val="20"/>
                <w:szCs w:val="20"/>
                <w:lang w:eastAsia="en-AU"/>
              </w:rPr>
              <w:t>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69,733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56,911</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-12,822</w:t>
            </w:r>
          </w:p>
        </w:tc>
      </w:tr>
      <w:tr w:rsidR="003C74A5" w:rsidRPr="008B2FD3" w:rsidTr="008B6998">
        <w:trPr>
          <w:trHeight w:val="142"/>
        </w:trPr>
        <w:tc>
          <w:tcPr>
            <w:tcW w:w="3544" w:type="dxa"/>
            <w:noWrap/>
            <w:hideMark/>
          </w:tcPr>
          <w:p w:rsidR="003C74A5" w:rsidRPr="008B2FD3" w:rsidRDefault="003B28C9"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Cardiovascular-related h</w:t>
            </w:r>
            <w:r w:rsidR="003C74A5" w:rsidRPr="008B2FD3">
              <w:rPr>
                <w:rFonts w:ascii="Arial Narrow" w:hAnsi="Arial Narrow"/>
                <w:sz w:val="20"/>
                <w:szCs w:val="20"/>
                <w:lang w:eastAsia="en-AU"/>
              </w:rPr>
              <w:t>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72,106</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67,352</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-4,754</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Deaths (All-cause)</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79,393</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78,956</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-437</w:t>
            </w:r>
          </w:p>
        </w:tc>
      </w:tr>
      <w:tr w:rsidR="003C74A5" w:rsidRPr="008B2FD3" w:rsidTr="008B6998">
        <w:trPr>
          <w:trHeight w:val="92"/>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Deaths (Influenza-related hospitalisations)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2,427</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1,981</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-446</w:t>
            </w:r>
          </w:p>
        </w:tc>
      </w:tr>
      <w:tr w:rsidR="003C74A5" w:rsidRPr="008B2FD3" w:rsidTr="008B6998">
        <w:trPr>
          <w:trHeight w:val="137"/>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Deaths (CV-related hospitalisations)</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0</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0</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0</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sz w:val="20"/>
                <w:szCs w:val="20"/>
                <w:lang w:eastAsia="en-AU"/>
              </w:rPr>
            </w:pPr>
            <w:r w:rsidRPr="008B2FD3">
              <w:rPr>
                <w:rFonts w:ascii="Arial Narrow" w:hAnsi="Arial Narrow"/>
                <w:sz w:val="20"/>
                <w:szCs w:val="20"/>
                <w:lang w:eastAsia="en-AU"/>
              </w:rPr>
              <w:t>Deaths (Other)</w:t>
            </w:r>
          </w:p>
        </w:tc>
        <w:tc>
          <w:tcPr>
            <w:tcW w:w="2013"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76,966</w:t>
            </w:r>
          </w:p>
        </w:tc>
        <w:tc>
          <w:tcPr>
            <w:tcW w:w="1814"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76,975</w:t>
            </w:r>
          </w:p>
        </w:tc>
        <w:tc>
          <w:tcPr>
            <w:tcW w:w="1701" w:type="dxa"/>
            <w:noWrap/>
            <w:vAlign w:val="center"/>
          </w:tcPr>
          <w:p w:rsidR="003C74A5" w:rsidRPr="008B2FD3" w:rsidRDefault="003C74A5" w:rsidP="00C62F3B">
            <w:pPr>
              <w:pStyle w:val="TableText0"/>
              <w:keepNext/>
              <w:widowControl w:val="0"/>
              <w:spacing w:before="0" w:after="0"/>
              <w:jc w:val="center"/>
              <w:rPr>
                <w:rFonts w:ascii="Arial Narrow" w:hAnsi="Arial Narrow"/>
                <w:sz w:val="20"/>
                <w:szCs w:val="20"/>
                <w:lang w:eastAsia="en-AU"/>
              </w:rPr>
            </w:pPr>
            <w:r w:rsidRPr="008B2FD3">
              <w:rPr>
                <w:rFonts w:ascii="Arial Narrow" w:hAnsi="Arial Narrow"/>
                <w:sz w:val="20"/>
                <w:szCs w:val="20"/>
              </w:rPr>
              <w:t>9</w:t>
            </w:r>
          </w:p>
        </w:tc>
      </w:tr>
      <w:tr w:rsidR="003C74A5" w:rsidRPr="008B2FD3" w:rsidTr="008B6998">
        <w:trPr>
          <w:trHeight w:val="215"/>
        </w:trPr>
        <w:tc>
          <w:tcPr>
            <w:tcW w:w="3544" w:type="dxa"/>
            <w:noWrap/>
            <w:hideMark/>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LYs</w:t>
            </w:r>
          </w:p>
        </w:tc>
        <w:tc>
          <w:tcPr>
            <w:tcW w:w="2013"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c>
          <w:tcPr>
            <w:tcW w:w="1814"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c>
          <w:tcPr>
            <w:tcW w:w="1701"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r>
      <w:tr w:rsidR="003C74A5" w:rsidRPr="008B2FD3" w:rsidTr="008B6998">
        <w:trPr>
          <w:trHeight w:val="58"/>
        </w:trPr>
        <w:tc>
          <w:tcPr>
            <w:tcW w:w="3544" w:type="dxa"/>
            <w:noWrap/>
            <w:hideMark/>
          </w:tcPr>
          <w:p w:rsidR="003C74A5" w:rsidRPr="008B2FD3" w:rsidRDefault="003C74A5" w:rsidP="00C62F3B">
            <w:pPr>
              <w:pStyle w:val="TableText0"/>
              <w:keepNext/>
              <w:widowControl w:val="0"/>
              <w:spacing w:before="0" w:after="0"/>
              <w:rPr>
                <w:rFonts w:ascii="Arial Narrow" w:hAnsi="Arial Narrow"/>
                <w:b/>
                <w:sz w:val="20"/>
                <w:szCs w:val="20"/>
                <w:lang w:eastAsia="en-AU"/>
              </w:rPr>
            </w:pPr>
            <w:r w:rsidRPr="008B2FD3">
              <w:rPr>
                <w:rFonts w:ascii="Arial Narrow" w:hAnsi="Arial Narrow"/>
                <w:b/>
                <w:sz w:val="20"/>
                <w:szCs w:val="20"/>
                <w:lang w:eastAsia="en-AU"/>
              </w:rPr>
              <w:t>QALYs</w:t>
            </w:r>
          </w:p>
        </w:tc>
        <w:tc>
          <w:tcPr>
            <w:tcW w:w="2013"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c>
          <w:tcPr>
            <w:tcW w:w="1814"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c>
          <w:tcPr>
            <w:tcW w:w="1701" w:type="dxa"/>
            <w:noWrap/>
            <w:vAlign w:val="center"/>
          </w:tcPr>
          <w:p w:rsidR="003C74A5" w:rsidRPr="005B0F33" w:rsidRDefault="005B0F33" w:rsidP="00C62F3B">
            <w:pPr>
              <w:pStyle w:val="TableText0"/>
              <w:keepNext/>
              <w:widowControl w:val="0"/>
              <w:spacing w:before="0" w:after="0"/>
              <w:jc w:val="center"/>
              <w:rPr>
                <w:rFonts w:ascii="Arial Narrow" w:hAnsi="Arial Narrow"/>
                <w:b/>
                <w:sz w:val="20"/>
                <w:szCs w:val="20"/>
                <w:highlight w:val="black"/>
                <w:lang w:eastAsia="en-AU"/>
              </w:rPr>
            </w:pPr>
            <w:r>
              <w:rPr>
                <w:rFonts w:ascii="Arial Narrow" w:hAnsi="Arial Narrow"/>
                <w:b/>
                <w:noProof/>
                <w:color w:val="000000"/>
                <w:sz w:val="20"/>
                <w:szCs w:val="20"/>
                <w:highlight w:val="black"/>
              </w:rPr>
              <w:t>'''''''''''</w:t>
            </w:r>
          </w:p>
        </w:tc>
      </w:tr>
    </w:tbl>
    <w:p w:rsidR="003C74A5" w:rsidRPr="008B2FD3" w:rsidRDefault="003C74A5" w:rsidP="00002B76">
      <w:pPr>
        <w:rPr>
          <w:rFonts w:ascii="Arial Narrow" w:hAnsi="Arial Narrow"/>
          <w:sz w:val="18"/>
          <w:szCs w:val="18"/>
        </w:rPr>
      </w:pPr>
      <w:r w:rsidRPr="008B2FD3">
        <w:rPr>
          <w:rFonts w:ascii="Arial Narrow" w:hAnsi="Arial Narrow"/>
          <w:sz w:val="18"/>
          <w:szCs w:val="18"/>
        </w:rPr>
        <w:t xml:space="preserve">ED: emergency department, GP: general practitioner, TIV-HD: Trivalent Influenza Vaccine – High Dose, QIV-SD: </w:t>
      </w:r>
      <w:proofErr w:type="spellStart"/>
      <w:r w:rsidRPr="008B2FD3">
        <w:rPr>
          <w:rFonts w:ascii="Arial Narrow" w:hAnsi="Arial Narrow"/>
          <w:sz w:val="18"/>
          <w:szCs w:val="18"/>
        </w:rPr>
        <w:t>Quadrivalent</w:t>
      </w:r>
      <w:proofErr w:type="spellEnd"/>
      <w:r w:rsidRPr="008B2FD3">
        <w:rPr>
          <w:rFonts w:ascii="Arial Narrow" w:hAnsi="Arial Narrow"/>
          <w:sz w:val="18"/>
          <w:szCs w:val="18"/>
        </w:rPr>
        <w:t xml:space="preserve"> Influenza Vaccine – Standard Dose</w:t>
      </w:r>
      <w:r w:rsidR="00002B76">
        <w:rPr>
          <w:rFonts w:ascii="Arial Narrow" w:hAnsi="Arial Narrow"/>
          <w:sz w:val="18"/>
          <w:szCs w:val="18"/>
        </w:rPr>
        <w:t xml:space="preserve">. </w:t>
      </w:r>
      <w:r w:rsidRPr="008B2FD3">
        <w:rPr>
          <w:rFonts w:ascii="Arial Narrow" w:hAnsi="Arial Narrow"/>
          <w:sz w:val="18"/>
          <w:szCs w:val="18"/>
        </w:rPr>
        <w:t>Source: Table 3.8.1, p81 of the submission</w:t>
      </w:r>
    </w:p>
    <w:p w:rsidR="00FB7C56" w:rsidRPr="008B2FD3" w:rsidRDefault="00767078" w:rsidP="00161E40">
      <w:pPr>
        <w:pStyle w:val="ListParagraph"/>
        <w:widowControl/>
        <w:numPr>
          <w:ilvl w:val="1"/>
          <w:numId w:val="1"/>
        </w:numPr>
      </w:pPr>
      <w:r>
        <w:lastRenderedPageBreak/>
        <w:t>T</w:t>
      </w:r>
      <w:r w:rsidR="00FB7C56" w:rsidRPr="008B2FD3">
        <w:t>he combined total of respiratory (56,911 with TIV-HD) and cardiovascular (67,352 with TIV-HD</w:t>
      </w:r>
      <w:r w:rsidR="00206DD2" w:rsidRPr="008B2FD3">
        <w:t>)</w:t>
      </w:r>
      <w:r w:rsidR="00FB7C56" w:rsidRPr="008B2FD3">
        <w:t xml:space="preserve"> hospitalisations </w:t>
      </w:r>
      <w:r w:rsidR="003C74A5" w:rsidRPr="008B2FD3">
        <w:t>was</w:t>
      </w:r>
      <w:r w:rsidR="00FB7C56" w:rsidRPr="008B2FD3">
        <w:t xml:space="preserve"> higher than the number of confirmed cases (86,832) in the base case model results.</w:t>
      </w:r>
      <w:r w:rsidR="003C74A5" w:rsidRPr="008B2FD3">
        <w:t xml:space="preserve"> This may be because of a) more than one hospitalisation per case or b) </w:t>
      </w:r>
      <w:r w:rsidR="003C74A5" w:rsidRPr="008B2FD3">
        <w:rPr>
          <w:rFonts w:cstheme="minorHAnsi"/>
          <w:szCs w:val="24"/>
        </w:rPr>
        <w:t xml:space="preserve">confirmed case definition and the approach taken to attributing hospital cases undertaken in the FIM12 trial and reported in </w:t>
      </w:r>
      <w:proofErr w:type="spellStart"/>
      <w:r w:rsidR="003C74A5" w:rsidRPr="008B2FD3">
        <w:rPr>
          <w:rFonts w:cstheme="minorHAnsi"/>
          <w:szCs w:val="24"/>
        </w:rPr>
        <w:t>DiazGrandos</w:t>
      </w:r>
      <w:proofErr w:type="spellEnd"/>
      <w:r w:rsidR="003C74A5" w:rsidRPr="008B2FD3">
        <w:rPr>
          <w:rFonts w:cstheme="minorHAnsi"/>
          <w:szCs w:val="24"/>
        </w:rPr>
        <w:t xml:space="preserve"> (2015)</w:t>
      </w:r>
      <w:r w:rsidR="003C74A5" w:rsidRPr="008B2FD3">
        <w:rPr>
          <w:rStyle w:val="FootnoteReference"/>
        </w:rPr>
        <w:t xml:space="preserve"> </w:t>
      </w:r>
      <w:r w:rsidR="003C74A5" w:rsidRPr="008B2FD3">
        <w:rPr>
          <w:rStyle w:val="FootnoteReference"/>
        </w:rPr>
        <w:footnoteReference w:id="12"/>
      </w:r>
      <w:r w:rsidR="003C74A5" w:rsidRPr="008B2FD3">
        <w:rPr>
          <w:rFonts w:cstheme="minorHAnsi"/>
          <w:szCs w:val="24"/>
        </w:rPr>
        <w:t>.</w:t>
      </w:r>
    </w:p>
    <w:p w:rsidR="00D53E4A" w:rsidRPr="008B2FD3" w:rsidRDefault="00D53E4A" w:rsidP="00161E40">
      <w:pPr>
        <w:pStyle w:val="ListParagraph"/>
        <w:widowControl/>
        <w:numPr>
          <w:ilvl w:val="1"/>
          <w:numId w:val="1"/>
        </w:numPr>
      </w:pPr>
      <w:r w:rsidRPr="008B2FD3">
        <w:t xml:space="preserve">The </w:t>
      </w:r>
      <w:r w:rsidR="00963099">
        <w:t>evaluation</w:t>
      </w:r>
      <w:r w:rsidR="00EF4C54">
        <w:t xml:space="preserve"> considered that the </w:t>
      </w:r>
      <w:r w:rsidRPr="008B2FD3">
        <w:t xml:space="preserve">results should be considered with caution </w:t>
      </w:r>
      <w:r w:rsidR="00BB7A31" w:rsidRPr="008B2FD3">
        <w:t>due to</w:t>
      </w:r>
      <w:r w:rsidRPr="008B2FD3">
        <w:t>:</w:t>
      </w:r>
    </w:p>
    <w:p w:rsidR="00292A06" w:rsidRPr="00645F5B" w:rsidRDefault="008B6998" w:rsidP="00161E40">
      <w:pPr>
        <w:pStyle w:val="BodyText"/>
        <w:widowControl/>
        <w:numPr>
          <w:ilvl w:val="0"/>
          <w:numId w:val="5"/>
        </w:numPr>
        <w:ind w:left="1080"/>
        <w:jc w:val="both"/>
        <w:rPr>
          <w:rFonts w:asciiTheme="minorHAnsi" w:hAnsiTheme="minorHAnsi" w:cstheme="minorHAnsi"/>
        </w:rPr>
      </w:pPr>
      <w:r>
        <w:rPr>
          <w:rFonts w:asciiTheme="minorHAnsi" w:hAnsiTheme="minorHAnsi" w:cstheme="minorHAnsi"/>
        </w:rPr>
        <w:t>T</w:t>
      </w:r>
      <w:r w:rsidR="00292A06" w:rsidRPr="00645F5B">
        <w:rPr>
          <w:rFonts w:asciiTheme="minorHAnsi" w:hAnsiTheme="minorHAnsi" w:cstheme="minorHAnsi"/>
        </w:rPr>
        <w:t xml:space="preserve">he model estimates appear to </w:t>
      </w:r>
      <w:r w:rsidR="00980EA5" w:rsidRPr="00645F5B">
        <w:rPr>
          <w:rFonts w:asciiTheme="minorHAnsi" w:hAnsiTheme="minorHAnsi" w:cstheme="minorHAnsi"/>
        </w:rPr>
        <w:t>lack</w:t>
      </w:r>
      <w:r w:rsidR="00292A06" w:rsidRPr="00645F5B">
        <w:rPr>
          <w:rFonts w:asciiTheme="minorHAnsi" w:hAnsiTheme="minorHAnsi" w:cstheme="minorHAnsi"/>
        </w:rPr>
        <w:t xml:space="preserve"> face validity. There </w:t>
      </w:r>
      <w:r w:rsidR="00CD6112" w:rsidRPr="00645F5B">
        <w:rPr>
          <w:rFonts w:asciiTheme="minorHAnsi" w:hAnsiTheme="minorHAnsi" w:cstheme="minorHAnsi"/>
        </w:rPr>
        <w:t>are</w:t>
      </w:r>
      <w:r w:rsidR="00292A06" w:rsidRPr="00645F5B">
        <w:rPr>
          <w:rFonts w:asciiTheme="minorHAnsi" w:hAnsiTheme="minorHAnsi" w:cstheme="minorHAnsi"/>
        </w:rPr>
        <w:t xml:space="preserve"> substantially more influenza cases as well as influenza- and cardiovascular hospitalisations when compared to the 2017 National Notifiable Diseases Surveillance System.</w:t>
      </w:r>
    </w:p>
    <w:p w:rsidR="00D53E4A" w:rsidRPr="00645F5B" w:rsidRDefault="00D53E4A" w:rsidP="00161E40">
      <w:pPr>
        <w:pStyle w:val="BodyText"/>
        <w:widowControl/>
        <w:numPr>
          <w:ilvl w:val="0"/>
          <w:numId w:val="5"/>
        </w:numPr>
        <w:ind w:left="1080"/>
        <w:jc w:val="both"/>
        <w:rPr>
          <w:rFonts w:asciiTheme="minorHAnsi" w:hAnsiTheme="minorHAnsi" w:cstheme="minorHAnsi"/>
        </w:rPr>
      </w:pPr>
      <w:r w:rsidRPr="00645F5B">
        <w:rPr>
          <w:rFonts w:asciiTheme="minorHAnsi" w:hAnsiTheme="minorHAnsi" w:cstheme="minorHAnsi"/>
        </w:rPr>
        <w:t>Seasonal variations in influenza incidence and strain circulation.</w:t>
      </w:r>
    </w:p>
    <w:p w:rsidR="00D53E4A" w:rsidRPr="00645F5B" w:rsidRDefault="00D53E4A" w:rsidP="00161E40">
      <w:pPr>
        <w:pStyle w:val="BodyText"/>
        <w:widowControl/>
        <w:numPr>
          <w:ilvl w:val="0"/>
          <w:numId w:val="5"/>
        </w:numPr>
        <w:ind w:left="1080"/>
        <w:jc w:val="both"/>
        <w:rPr>
          <w:rFonts w:asciiTheme="minorHAnsi" w:hAnsiTheme="minorHAnsi" w:cstheme="minorHAnsi"/>
        </w:rPr>
      </w:pPr>
      <w:r w:rsidRPr="00645F5B">
        <w:rPr>
          <w:rFonts w:asciiTheme="minorHAnsi" w:hAnsiTheme="minorHAnsi" w:cstheme="minorHAnsi"/>
        </w:rPr>
        <w:t xml:space="preserve">The impact of TIV-HD on </w:t>
      </w:r>
      <w:r w:rsidR="003C74A5" w:rsidRPr="00645F5B">
        <w:rPr>
          <w:rFonts w:asciiTheme="minorHAnsi" w:hAnsiTheme="minorHAnsi" w:cstheme="minorHAnsi"/>
        </w:rPr>
        <w:t>cardiorespiratory</w:t>
      </w:r>
      <w:r w:rsidRPr="00645F5B">
        <w:rPr>
          <w:rFonts w:asciiTheme="minorHAnsi" w:hAnsiTheme="minorHAnsi" w:cstheme="minorHAnsi"/>
        </w:rPr>
        <w:t xml:space="preserve"> hospitalisations </w:t>
      </w:r>
      <w:r w:rsidR="003C74A5" w:rsidRPr="00645F5B">
        <w:rPr>
          <w:rFonts w:asciiTheme="minorHAnsi" w:hAnsiTheme="minorHAnsi" w:cstheme="minorHAnsi"/>
        </w:rPr>
        <w:t>other than pneumonia w</w:t>
      </w:r>
      <w:r w:rsidR="00D03AF5" w:rsidRPr="00645F5B">
        <w:rPr>
          <w:rFonts w:asciiTheme="minorHAnsi" w:hAnsiTheme="minorHAnsi" w:cstheme="minorHAnsi"/>
        </w:rPr>
        <w:t>as</w:t>
      </w:r>
      <w:r w:rsidRPr="00645F5B">
        <w:rPr>
          <w:rFonts w:asciiTheme="minorHAnsi" w:hAnsiTheme="minorHAnsi" w:cstheme="minorHAnsi"/>
        </w:rPr>
        <w:t xml:space="preserve"> included. </w:t>
      </w:r>
    </w:p>
    <w:p w:rsidR="00D53E4A" w:rsidRPr="00645F5B" w:rsidRDefault="00D53E4A" w:rsidP="00161E40">
      <w:pPr>
        <w:pStyle w:val="BodyText"/>
        <w:widowControl/>
        <w:numPr>
          <w:ilvl w:val="0"/>
          <w:numId w:val="5"/>
        </w:numPr>
        <w:ind w:left="1080"/>
        <w:jc w:val="both"/>
        <w:rPr>
          <w:rFonts w:asciiTheme="minorHAnsi" w:hAnsiTheme="minorHAnsi" w:cstheme="minorHAnsi"/>
        </w:rPr>
      </w:pPr>
      <w:r w:rsidRPr="00645F5B">
        <w:rPr>
          <w:rFonts w:asciiTheme="minorHAnsi" w:hAnsiTheme="minorHAnsi" w:cstheme="minorHAnsi"/>
        </w:rPr>
        <w:t>The submission assumed the vaccine efficacy of TIV-SD against hospitalisations. The basis for this assumption was unclear.</w:t>
      </w:r>
    </w:p>
    <w:p w:rsidR="004B2CF0" w:rsidRDefault="00D53E4A" w:rsidP="004B2CF0">
      <w:pPr>
        <w:pStyle w:val="BodyText"/>
        <w:widowControl/>
        <w:numPr>
          <w:ilvl w:val="0"/>
          <w:numId w:val="5"/>
        </w:numPr>
        <w:ind w:left="1080"/>
        <w:jc w:val="both"/>
        <w:rPr>
          <w:rFonts w:asciiTheme="minorHAnsi" w:hAnsiTheme="minorHAnsi" w:cstheme="minorHAnsi"/>
        </w:rPr>
      </w:pPr>
      <w:r w:rsidRPr="00645F5B">
        <w:rPr>
          <w:rFonts w:asciiTheme="minorHAnsi" w:hAnsiTheme="minorHAnsi" w:cstheme="minorHAnsi"/>
        </w:rPr>
        <w:t>QIV-SD and TIV-SD vaccination was assumed to result in having the same vaccine efficacy against hospitalisation</w:t>
      </w:r>
      <w:r w:rsidR="00BD5131" w:rsidRPr="00645F5B">
        <w:rPr>
          <w:rFonts w:asciiTheme="minorHAnsi" w:hAnsiTheme="minorHAnsi" w:cstheme="minorHAnsi"/>
        </w:rPr>
        <w:t>,</w:t>
      </w:r>
      <w:r w:rsidR="00B9786B" w:rsidRPr="00645F5B">
        <w:rPr>
          <w:rFonts w:asciiTheme="minorHAnsi" w:hAnsiTheme="minorHAnsi" w:cstheme="minorHAnsi"/>
        </w:rPr>
        <w:t xml:space="preserve"> which ignore</w:t>
      </w:r>
      <w:r w:rsidR="00BD5131" w:rsidRPr="00645F5B">
        <w:rPr>
          <w:rFonts w:asciiTheme="minorHAnsi" w:hAnsiTheme="minorHAnsi" w:cstheme="minorHAnsi"/>
        </w:rPr>
        <w:t>d</w:t>
      </w:r>
      <w:r w:rsidR="00B9786B" w:rsidRPr="00645F5B">
        <w:rPr>
          <w:rFonts w:asciiTheme="minorHAnsi" w:hAnsiTheme="minorHAnsi" w:cstheme="minorHAnsi"/>
        </w:rPr>
        <w:t xml:space="preserve"> the </w:t>
      </w:r>
      <w:r w:rsidR="00BD5131" w:rsidRPr="00645F5B">
        <w:rPr>
          <w:rFonts w:asciiTheme="minorHAnsi" w:hAnsiTheme="minorHAnsi" w:cstheme="minorHAnsi"/>
        </w:rPr>
        <w:t xml:space="preserve">potential </w:t>
      </w:r>
      <w:r w:rsidR="00B9786B" w:rsidRPr="00645F5B">
        <w:t>value in the alternative B strain</w:t>
      </w:r>
      <w:r w:rsidR="00BD5131" w:rsidRPr="00645F5B">
        <w:t xml:space="preserve"> protecting against some hospitalisations</w:t>
      </w:r>
      <w:r w:rsidRPr="00645F5B">
        <w:rPr>
          <w:rFonts w:asciiTheme="minorHAnsi" w:hAnsiTheme="minorHAnsi" w:cstheme="minorHAnsi"/>
        </w:rPr>
        <w:t xml:space="preserve">. </w:t>
      </w:r>
    </w:p>
    <w:p w:rsidR="00D53E4A" w:rsidRPr="004B2CF0" w:rsidRDefault="00D53E4A" w:rsidP="004B2CF0">
      <w:pPr>
        <w:pStyle w:val="BodyText"/>
        <w:widowControl/>
        <w:numPr>
          <w:ilvl w:val="0"/>
          <w:numId w:val="5"/>
        </w:numPr>
        <w:spacing w:after="160"/>
        <w:ind w:left="1077" w:hanging="357"/>
        <w:jc w:val="both"/>
        <w:rPr>
          <w:rFonts w:asciiTheme="minorHAnsi" w:hAnsiTheme="minorHAnsi" w:cstheme="minorHAnsi"/>
        </w:rPr>
      </w:pPr>
      <w:r w:rsidRPr="004B2CF0">
        <w:rPr>
          <w:rFonts w:asciiTheme="minorHAnsi" w:hAnsiTheme="minorHAnsi" w:cstheme="minorHAnsi"/>
        </w:rPr>
        <w:t xml:space="preserve">The cost of </w:t>
      </w:r>
      <w:r w:rsidRPr="004B2CF0">
        <w:rPr>
          <w:rFonts w:cstheme="minorHAnsi"/>
          <w:szCs w:val="24"/>
        </w:rPr>
        <w:t>respiratory hospitalisations may be overestimated.</w:t>
      </w:r>
    </w:p>
    <w:p w:rsidR="00C52D93" w:rsidRPr="00645F5B" w:rsidRDefault="00D53E4A" w:rsidP="00161E40">
      <w:pPr>
        <w:pStyle w:val="ListParagraph"/>
        <w:widowControl/>
        <w:numPr>
          <w:ilvl w:val="1"/>
          <w:numId w:val="1"/>
        </w:numPr>
      </w:pPr>
      <w:bookmarkStart w:id="36" w:name="_Toc380679758"/>
      <w:bookmarkStart w:id="37" w:name="_Toc380742615"/>
      <w:bookmarkStart w:id="38" w:name="_Toc380746182"/>
      <w:bookmarkStart w:id="39" w:name="_Toc380746308"/>
      <w:bookmarkStart w:id="40" w:name="_Toc380746589"/>
      <w:r w:rsidRPr="004B2CF0">
        <w:rPr>
          <w:rFonts w:cstheme="minorHAnsi"/>
          <w:szCs w:val="24"/>
        </w:rPr>
        <w:t xml:space="preserve">The </w:t>
      </w:r>
      <w:r w:rsidR="00BB7A31" w:rsidRPr="004B2CF0">
        <w:rPr>
          <w:rFonts w:cstheme="minorHAnsi"/>
          <w:szCs w:val="24"/>
        </w:rPr>
        <w:t>s</w:t>
      </w:r>
      <w:r w:rsidRPr="004B2CF0">
        <w:rPr>
          <w:rFonts w:cstheme="minorHAnsi"/>
          <w:szCs w:val="24"/>
        </w:rPr>
        <w:t>ubmission presented a number of one-way sensitivity analyses. The model results were most</w:t>
      </w:r>
      <w:r w:rsidRPr="00645F5B">
        <w:t xml:space="preserve"> sensitive to assumed attack rates, </w:t>
      </w:r>
      <w:r w:rsidR="00A44C9F" w:rsidRPr="00645F5B">
        <w:t xml:space="preserve">hospitalisation rates, </w:t>
      </w:r>
      <w:r w:rsidRPr="00645F5B">
        <w:t>avoided hospitalisation costs and</w:t>
      </w:r>
      <w:r w:rsidR="008B6998">
        <w:t>,</w:t>
      </w:r>
      <w:r w:rsidRPr="00645F5B">
        <w:t xml:space="preserve"> to a lesser extent</w:t>
      </w:r>
      <w:r w:rsidR="008B6998">
        <w:t>,</w:t>
      </w:r>
      <w:r w:rsidRPr="00645F5B">
        <w:t xml:space="preserve"> averted mortality.</w:t>
      </w:r>
      <w:r w:rsidR="005E5FAA" w:rsidRPr="00645F5B">
        <w:t xml:space="preserve"> </w:t>
      </w:r>
    </w:p>
    <w:p w:rsidR="00845817" w:rsidRPr="008B2FD3" w:rsidRDefault="00845817" w:rsidP="00DD7F3A">
      <w:pPr>
        <w:pStyle w:val="TableHeading0"/>
        <w:spacing w:after="0"/>
      </w:pPr>
      <w:r w:rsidRPr="008B2FD3">
        <w:t>Table 1</w:t>
      </w:r>
      <w:r w:rsidR="00C62F3B">
        <w:t>3</w:t>
      </w:r>
      <w:r w:rsidRPr="008B2FD3">
        <w:t>: Results of key univariate and scenario sensitivity analyses</w:t>
      </w:r>
    </w:p>
    <w:tbl>
      <w:tblPr>
        <w:tblStyle w:val="TableGrid"/>
        <w:tblW w:w="4907" w:type="pct"/>
        <w:tblInd w:w="108" w:type="dxa"/>
        <w:tblLook w:val="00A0" w:firstRow="1" w:lastRow="0" w:firstColumn="1" w:lastColumn="0" w:noHBand="0" w:noVBand="0"/>
        <w:tblCaption w:val="Table 13: Results of key univariate and scenario sensitivity analyses"/>
        <w:tblDescription w:val="Table 13: Results of key univariate and scenario sensitivity analyses"/>
      </w:tblPr>
      <w:tblGrid>
        <w:gridCol w:w="5813"/>
        <w:gridCol w:w="992"/>
        <w:gridCol w:w="992"/>
        <w:gridCol w:w="1274"/>
      </w:tblGrid>
      <w:tr w:rsidR="008B6998" w:rsidRPr="008B2FD3" w:rsidTr="008B6998">
        <w:trPr>
          <w:trHeight w:val="227"/>
          <w:tblHeader/>
        </w:trPr>
        <w:tc>
          <w:tcPr>
            <w:tcW w:w="3204" w:type="pct"/>
          </w:tcPr>
          <w:p w:rsidR="008B6998" w:rsidRPr="008B2FD3" w:rsidRDefault="008B6998" w:rsidP="00DD7F3A">
            <w:pPr>
              <w:pStyle w:val="TableText0"/>
              <w:keepNext/>
              <w:spacing w:before="0" w:after="0"/>
              <w:rPr>
                <w:rFonts w:ascii="Arial Narrow" w:hAnsi="Arial Narrow"/>
                <w:b/>
                <w:sz w:val="20"/>
                <w:szCs w:val="20"/>
              </w:rPr>
            </w:pPr>
            <w:r w:rsidRPr="008B2FD3">
              <w:rPr>
                <w:rFonts w:ascii="Arial Narrow" w:hAnsi="Arial Narrow"/>
                <w:b/>
                <w:sz w:val="20"/>
                <w:szCs w:val="20"/>
              </w:rPr>
              <w:t>Analysis</w:t>
            </w:r>
          </w:p>
        </w:tc>
        <w:tc>
          <w:tcPr>
            <w:tcW w:w="547" w:type="pct"/>
          </w:tcPr>
          <w:p w:rsidR="008B6998" w:rsidRPr="008B2FD3" w:rsidRDefault="008B6998" w:rsidP="00DD7F3A">
            <w:pPr>
              <w:pStyle w:val="TableText0"/>
              <w:keepNext/>
              <w:spacing w:before="0" w:after="0"/>
              <w:rPr>
                <w:rFonts w:ascii="Arial Narrow" w:hAnsi="Arial Narrow"/>
                <w:b/>
                <w:sz w:val="20"/>
                <w:szCs w:val="20"/>
              </w:rPr>
            </w:pPr>
            <w:proofErr w:type="spellStart"/>
            <w:r w:rsidRPr="008B2FD3">
              <w:rPr>
                <w:rFonts w:ascii="Arial Narrow" w:hAnsi="Arial Narrow"/>
                <w:b/>
                <w:sz w:val="20"/>
                <w:szCs w:val="20"/>
              </w:rPr>
              <w:t>Inc</w:t>
            </w:r>
            <w:proofErr w:type="spellEnd"/>
            <w:r w:rsidRPr="008B2FD3">
              <w:rPr>
                <w:rFonts w:ascii="Arial Narrow" w:hAnsi="Arial Narrow"/>
                <w:b/>
                <w:sz w:val="20"/>
                <w:szCs w:val="20"/>
              </w:rPr>
              <w:t xml:space="preserve"> Cost</w:t>
            </w:r>
          </w:p>
        </w:tc>
        <w:tc>
          <w:tcPr>
            <w:tcW w:w="547" w:type="pct"/>
          </w:tcPr>
          <w:p w:rsidR="008B6998" w:rsidRPr="008B2FD3" w:rsidRDefault="008B6998" w:rsidP="00DD7F3A">
            <w:pPr>
              <w:pStyle w:val="TableText0"/>
              <w:keepNext/>
              <w:spacing w:before="0" w:after="0"/>
              <w:rPr>
                <w:rFonts w:ascii="Arial Narrow" w:hAnsi="Arial Narrow"/>
                <w:b/>
                <w:sz w:val="20"/>
                <w:szCs w:val="20"/>
              </w:rPr>
            </w:pPr>
            <w:proofErr w:type="spellStart"/>
            <w:r w:rsidRPr="008B2FD3">
              <w:rPr>
                <w:rFonts w:ascii="Arial Narrow" w:hAnsi="Arial Narrow"/>
                <w:b/>
                <w:sz w:val="20"/>
                <w:szCs w:val="20"/>
              </w:rPr>
              <w:t>Inc</w:t>
            </w:r>
            <w:proofErr w:type="spellEnd"/>
            <w:r w:rsidRPr="008B2FD3">
              <w:rPr>
                <w:rFonts w:ascii="Arial Narrow" w:hAnsi="Arial Narrow"/>
                <w:b/>
                <w:sz w:val="20"/>
                <w:szCs w:val="20"/>
              </w:rPr>
              <w:t xml:space="preserve"> QALY</w:t>
            </w:r>
          </w:p>
        </w:tc>
        <w:tc>
          <w:tcPr>
            <w:tcW w:w="702" w:type="pct"/>
          </w:tcPr>
          <w:p w:rsidR="008B6998" w:rsidRPr="008B2FD3" w:rsidRDefault="008B6998" w:rsidP="00DD7F3A">
            <w:pPr>
              <w:pStyle w:val="TableText0"/>
              <w:keepNext/>
              <w:spacing w:before="0" w:after="0"/>
              <w:jc w:val="center"/>
              <w:rPr>
                <w:rFonts w:ascii="Arial Narrow" w:hAnsi="Arial Narrow"/>
                <w:b/>
                <w:sz w:val="20"/>
                <w:szCs w:val="20"/>
              </w:rPr>
            </w:pPr>
            <w:r w:rsidRPr="008B2FD3">
              <w:rPr>
                <w:rFonts w:ascii="Arial Narrow" w:hAnsi="Arial Narrow"/>
                <w:b/>
                <w:sz w:val="20"/>
                <w:szCs w:val="20"/>
              </w:rPr>
              <w:t>ICER $/QALY</w:t>
            </w:r>
          </w:p>
        </w:tc>
      </w:tr>
      <w:tr w:rsidR="00845817" w:rsidRPr="008B2FD3" w:rsidTr="008B6998">
        <w:trPr>
          <w:trHeight w:val="227"/>
        </w:trPr>
        <w:tc>
          <w:tcPr>
            <w:tcW w:w="3204" w:type="pct"/>
          </w:tcPr>
          <w:p w:rsidR="00845817" w:rsidRPr="008B2FD3" w:rsidRDefault="00845817" w:rsidP="00DD7F3A">
            <w:pPr>
              <w:pStyle w:val="TableText0"/>
              <w:keepNext/>
              <w:spacing w:before="0" w:after="0"/>
              <w:rPr>
                <w:rFonts w:ascii="Arial Narrow" w:hAnsi="Arial Narrow"/>
                <w:b/>
                <w:sz w:val="20"/>
                <w:szCs w:val="20"/>
              </w:rPr>
            </w:pPr>
            <w:r w:rsidRPr="008B2FD3">
              <w:rPr>
                <w:rFonts w:ascii="Arial Narrow" w:hAnsi="Arial Narrow"/>
                <w:b/>
                <w:sz w:val="20"/>
                <w:szCs w:val="20"/>
              </w:rPr>
              <w:t>Base case</w:t>
            </w:r>
          </w:p>
        </w:tc>
        <w:tc>
          <w:tcPr>
            <w:tcW w:w="547" w:type="pct"/>
          </w:tcPr>
          <w:p w:rsidR="00845817" w:rsidRPr="008B2FD3" w:rsidRDefault="00845817" w:rsidP="00DD7F3A">
            <w:pPr>
              <w:pStyle w:val="TableText0"/>
              <w:keepNext/>
              <w:spacing w:before="0" w:after="0"/>
              <w:rPr>
                <w:rFonts w:ascii="Arial Narrow" w:hAnsi="Arial Narrow"/>
                <w:b/>
                <w:sz w:val="20"/>
                <w:szCs w:val="20"/>
              </w:rPr>
            </w:pPr>
            <w:r w:rsidRPr="008B2FD3">
              <w:rPr>
                <w:rFonts w:ascii="Arial Narrow" w:hAnsi="Arial Narrow"/>
                <w:b/>
                <w:sz w:val="20"/>
                <w:szCs w:val="20"/>
              </w:rPr>
              <w:t>-$</w:t>
            </w:r>
            <w:r w:rsidR="005B0F33">
              <w:rPr>
                <w:rFonts w:ascii="Arial Narrow" w:hAnsi="Arial Narrow"/>
                <w:b/>
                <w:noProof/>
                <w:color w:val="000000"/>
                <w:sz w:val="20"/>
                <w:szCs w:val="20"/>
                <w:highlight w:val="black"/>
              </w:rPr>
              <w:t>''''''''''</w:t>
            </w:r>
          </w:p>
        </w:tc>
        <w:tc>
          <w:tcPr>
            <w:tcW w:w="547" w:type="pct"/>
          </w:tcPr>
          <w:p w:rsidR="00845817" w:rsidRPr="008B2FD3" w:rsidRDefault="00845817" w:rsidP="00DD7F3A">
            <w:pPr>
              <w:pStyle w:val="TableText0"/>
              <w:keepNext/>
              <w:spacing w:before="0" w:after="0"/>
              <w:rPr>
                <w:rFonts w:ascii="Arial Narrow" w:hAnsi="Arial Narrow"/>
                <w:b/>
                <w:sz w:val="20"/>
                <w:szCs w:val="20"/>
              </w:rPr>
            </w:pPr>
            <w:r w:rsidRPr="008B2FD3">
              <w:rPr>
                <w:rFonts w:ascii="Arial Narrow" w:hAnsi="Arial Narrow"/>
                <w:b/>
                <w:sz w:val="20"/>
                <w:szCs w:val="20"/>
              </w:rPr>
              <w:t>0.0008</w:t>
            </w:r>
          </w:p>
        </w:tc>
        <w:tc>
          <w:tcPr>
            <w:tcW w:w="702" w:type="pct"/>
          </w:tcPr>
          <w:p w:rsidR="00845817" w:rsidRPr="008B2FD3" w:rsidRDefault="00845817" w:rsidP="00DD7F3A">
            <w:pPr>
              <w:pStyle w:val="TableText0"/>
              <w:keepNext/>
              <w:spacing w:before="0" w:after="0"/>
              <w:rPr>
                <w:rFonts w:ascii="Arial Narrow" w:hAnsi="Arial Narrow"/>
                <w:b/>
                <w:sz w:val="20"/>
                <w:szCs w:val="20"/>
              </w:rPr>
            </w:pPr>
            <w:r w:rsidRPr="008B2FD3">
              <w:rPr>
                <w:rFonts w:ascii="Arial Narrow" w:hAnsi="Arial Narrow"/>
                <w:b/>
                <w:sz w:val="20"/>
                <w:szCs w:val="20"/>
              </w:rPr>
              <w:t>Dominant</w:t>
            </w:r>
          </w:p>
        </w:tc>
      </w:tr>
      <w:tr w:rsidR="00845817" w:rsidRPr="008B2FD3" w:rsidTr="008B6998">
        <w:trPr>
          <w:trHeight w:val="154"/>
        </w:trPr>
        <w:tc>
          <w:tcPr>
            <w:tcW w:w="3204"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Lower unvaccinated attack rates of 3% for confirmed influenza, along with proportional changes in the relative hospitalisation rates (66% of base) for respiratory-related influenza. No cardiovascular outcomes included</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0.0005</w:t>
            </w:r>
          </w:p>
        </w:tc>
        <w:tc>
          <w:tcPr>
            <w:tcW w:w="702"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r w:rsidR="00845817" w:rsidRPr="008B2FD3" w:rsidTr="008B6998">
        <w:trPr>
          <w:trHeight w:val="154"/>
        </w:trPr>
        <w:tc>
          <w:tcPr>
            <w:tcW w:w="3204"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Respiratory-related influenza hospitalisation limited to pneumonia, and no cardiovascular outcomes included</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0.0004</w:t>
            </w:r>
          </w:p>
        </w:tc>
        <w:tc>
          <w:tcPr>
            <w:tcW w:w="702"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r w:rsidR="00845817" w:rsidRPr="008B2FD3" w:rsidTr="008B6998">
        <w:trPr>
          <w:trHeight w:val="154"/>
        </w:trPr>
        <w:tc>
          <w:tcPr>
            <w:tcW w:w="3204"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A lower unit cost of $5,248 included for respiratory-related influenza hospitalisation, and no cardiovascular outcomes were included</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547"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0.0008</w:t>
            </w:r>
          </w:p>
        </w:tc>
        <w:tc>
          <w:tcPr>
            <w:tcW w:w="702" w:type="pct"/>
          </w:tcPr>
          <w:p w:rsidR="00845817" w:rsidRPr="008B2FD3" w:rsidRDefault="00845817" w:rsidP="00C44D92">
            <w:pPr>
              <w:pStyle w:val="TableText0"/>
              <w:spacing w:before="0" w:after="0"/>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bl>
    <w:p w:rsidR="00845817" w:rsidRPr="008B2FD3" w:rsidRDefault="00845817" w:rsidP="00845817">
      <w:pPr>
        <w:rPr>
          <w:rFonts w:ascii="Arial Narrow" w:hAnsi="Arial Narrow"/>
          <w:sz w:val="18"/>
          <w:szCs w:val="18"/>
        </w:rPr>
      </w:pPr>
      <w:r w:rsidRPr="008B2FD3">
        <w:rPr>
          <w:rFonts w:ascii="Arial Narrow" w:hAnsi="Arial Narrow"/>
          <w:sz w:val="18"/>
          <w:szCs w:val="18"/>
        </w:rPr>
        <w:t xml:space="preserve">ACM: All-Cause Mortality; CFR: Case Fatality Ratio; CI: Confirmed Influenza; CV: Cardiovascular; ED: Emergency Department; GP: General Practitioner; H: Hospitalised; I: Incremental; I/P: Confirmed/Suspected Influenza and/or Pneumonia; TIV-HD: Trivalent Influenza Vaccine – High Dose, QIV-SD: </w:t>
      </w:r>
      <w:proofErr w:type="spellStart"/>
      <w:r w:rsidRPr="008B2FD3">
        <w:rPr>
          <w:rFonts w:ascii="Arial Narrow" w:hAnsi="Arial Narrow"/>
          <w:sz w:val="18"/>
          <w:szCs w:val="18"/>
        </w:rPr>
        <w:t>Quadrivalent</w:t>
      </w:r>
      <w:proofErr w:type="spellEnd"/>
      <w:r w:rsidRPr="008B2FD3">
        <w:rPr>
          <w:rFonts w:ascii="Arial Narrow" w:hAnsi="Arial Narrow"/>
          <w:sz w:val="18"/>
          <w:szCs w:val="18"/>
        </w:rPr>
        <w:t xml:space="preserve"> Influenza Vaccine – Standard Dose, RVE: Relative Vaccine Efficacy; PM: Prescription Medicines; R: Respiratory; VE: Vaccine Efficacy</w:t>
      </w:r>
    </w:p>
    <w:p w:rsidR="00845817" w:rsidRPr="008B2FD3" w:rsidRDefault="00845817" w:rsidP="004B2CF0">
      <w:pPr>
        <w:spacing w:after="160"/>
        <w:rPr>
          <w:rFonts w:ascii="Arial Narrow" w:hAnsi="Arial Narrow"/>
          <w:sz w:val="18"/>
          <w:szCs w:val="18"/>
        </w:rPr>
      </w:pPr>
      <w:r w:rsidRPr="008B2FD3">
        <w:rPr>
          <w:rFonts w:ascii="Arial Narrow" w:hAnsi="Arial Narrow"/>
          <w:sz w:val="18"/>
          <w:szCs w:val="18"/>
        </w:rPr>
        <w:t>Source: Submission Table 3.9.3, p85 and conducted during the evaluation.</w:t>
      </w:r>
    </w:p>
    <w:p w:rsidR="00645F5B" w:rsidRDefault="00A44C9F" w:rsidP="00161E40">
      <w:pPr>
        <w:pStyle w:val="ListParagraph"/>
        <w:widowControl/>
        <w:numPr>
          <w:ilvl w:val="1"/>
          <w:numId w:val="1"/>
        </w:numPr>
      </w:pPr>
      <w:r w:rsidRPr="00645F5B">
        <w:lastRenderedPageBreak/>
        <w:t xml:space="preserve">Increasing influenza attack rates have been reported in Australia. Background attack rates were taken from the FIM12 trial in North America for the economic model, where moderate and low influenza activity was evident, but with high influenza Type </w:t>
      </w:r>
      <w:proofErr w:type="gramStart"/>
      <w:r w:rsidRPr="00645F5B">
        <w:t>A</w:t>
      </w:r>
      <w:proofErr w:type="gramEnd"/>
      <w:r w:rsidRPr="00645F5B">
        <w:t xml:space="preserve"> prevalence. Since the year 2000</w:t>
      </w:r>
      <w:r w:rsidR="004B2CF0">
        <w:t>,</w:t>
      </w:r>
      <w:r w:rsidRPr="00645F5B">
        <w:t xml:space="preserve"> reported cases have increased more than 20-fold in Australia, so attack rates in the FIM12 trial could understate the evolving conditions in Australia without TIV-HD vaccination. Large increases in influenza incidence improve the cost-effectiveness of a more effective vaccine introduction. Estimating cost-effectiveness is </w:t>
      </w:r>
      <w:r w:rsidR="004052A2">
        <w:t>complicated</w:t>
      </w:r>
      <w:r w:rsidR="004052A2" w:rsidRPr="00645F5B">
        <w:t xml:space="preserve"> </w:t>
      </w:r>
      <w:r w:rsidRPr="00645F5B">
        <w:t xml:space="preserve">by the cyclical nature of low-moderate-high influenza seasons. </w:t>
      </w:r>
      <w:r w:rsidRPr="00645F5B">
        <w:rPr>
          <w:snapToGrid/>
        </w:rPr>
        <w:t xml:space="preserve">There is uncertainty as to whether 2017 is the peak of influenza cycles and incidence would return to 1998-2005 levels, or whether the burden would continue to increase. A reduction in the unvaccinated confirmed influenza attack rates </w:t>
      </w:r>
      <w:r w:rsidR="00027639" w:rsidRPr="00645F5B">
        <w:t xml:space="preserve">(from 4.5% to 3%), and no cardiovascular outcomes included, </w:t>
      </w:r>
      <w:r w:rsidRPr="00645F5B">
        <w:rPr>
          <w:snapToGrid/>
        </w:rPr>
        <w:t xml:space="preserve">increased the ICER to </w:t>
      </w:r>
      <w:r w:rsidR="00E76139">
        <w:rPr>
          <w:snapToGrid/>
        </w:rPr>
        <w:t xml:space="preserve">less than </w:t>
      </w:r>
      <w:r w:rsidRPr="00645F5B">
        <w:rPr>
          <w:snapToGrid/>
        </w:rPr>
        <w:t>$</w:t>
      </w:r>
      <w:r w:rsidR="00A25C50">
        <w:rPr>
          <w:snapToGrid/>
        </w:rPr>
        <w:t>15,000</w:t>
      </w:r>
      <w:r w:rsidRPr="00645F5B">
        <w:rPr>
          <w:snapToGrid/>
        </w:rPr>
        <w:t xml:space="preserve"> per QALY gained.</w:t>
      </w:r>
      <w:r w:rsidR="009567A2" w:rsidRPr="00645F5B">
        <w:t xml:space="preserve"> The PSCR argued that it is impossible to accurately predict the intensity and strain composition of future </w:t>
      </w:r>
      <w:r w:rsidR="009567A2" w:rsidRPr="004A29AB">
        <w:t>influenza seasons.</w:t>
      </w:r>
      <w:r w:rsidR="00B534AA" w:rsidRPr="004A29AB">
        <w:t xml:space="preserve"> The ESC </w:t>
      </w:r>
      <w:r w:rsidR="00B534AA" w:rsidRPr="004A29AB">
        <w:rPr>
          <w:szCs w:val="24"/>
        </w:rPr>
        <w:t xml:space="preserve">considered this reasonable, </w:t>
      </w:r>
      <w:r w:rsidR="004A29AB" w:rsidRPr="004A29AB">
        <w:t>however it was unclear whether 2017 is the peak of the influenza cycle and if the incidence would return to lower levels in future years.</w:t>
      </w:r>
    </w:p>
    <w:p w:rsidR="00E07125" w:rsidRPr="00645F5B" w:rsidRDefault="00D53E4A" w:rsidP="00161E40">
      <w:pPr>
        <w:pStyle w:val="ListParagraph"/>
        <w:widowControl/>
        <w:numPr>
          <w:ilvl w:val="1"/>
          <w:numId w:val="1"/>
        </w:numPr>
      </w:pPr>
      <w:r w:rsidRPr="00645F5B">
        <w:t xml:space="preserve">The </w:t>
      </w:r>
      <w:r w:rsidR="00730D6A" w:rsidRPr="00645F5B">
        <w:t>submission</w:t>
      </w:r>
      <w:r w:rsidRPr="00645F5B">
        <w:t xml:space="preserve"> included the impact of TIV-HD on influenza related hospitalisations using data from the FIM12 trial. </w:t>
      </w:r>
      <w:r w:rsidR="00F95F50" w:rsidRPr="00645F5B">
        <w:t xml:space="preserve">Differences in hospitalisations were only statistically significant for pneumonia, yet vaccine efficacy against other cardiorespiratory events (e.g. asthma/COPD/bronchial, congestive heart failure </w:t>
      </w:r>
      <w:proofErr w:type="spellStart"/>
      <w:r w:rsidR="00F95F50" w:rsidRPr="00645F5B">
        <w:t>etc</w:t>
      </w:r>
      <w:proofErr w:type="spellEnd"/>
      <w:r w:rsidR="00F95F50" w:rsidRPr="00645F5B">
        <w:t xml:space="preserve">) were included in the model. ATAGI indicated that it was “appropriate to include estimates of the additional cases of pneumonia prevented by TIV-HD over TIV-SD, but not for other cardiorespiratory outcomes” (ATAGI February 2018 pre-submission advice). A sensitivity analysis </w:t>
      </w:r>
      <w:r w:rsidR="006B4307" w:rsidRPr="00645F5B">
        <w:t>with</w:t>
      </w:r>
      <w:r w:rsidR="00F95F50" w:rsidRPr="00645F5B">
        <w:t xml:space="preserve"> only influenza/pneumonia hospitalisations was conducted during the evaluation. The ICER increased to $</w:t>
      </w:r>
      <w:r w:rsidR="00E76139">
        <w:t>15,000 - $45,000</w:t>
      </w:r>
      <w:r w:rsidR="00F95F50" w:rsidRPr="00645F5B">
        <w:t xml:space="preserve"> per QALY gained.</w:t>
      </w:r>
      <w:r w:rsidR="00CD6112" w:rsidRPr="00645F5B">
        <w:t xml:space="preserve"> </w:t>
      </w:r>
      <w:r w:rsidR="00675782" w:rsidRPr="00645F5B">
        <w:rPr>
          <w:rFonts w:cstheme="minorHAnsi"/>
        </w:rPr>
        <w:t xml:space="preserve">The ESC considered that the use of the broader category of all-cause hospitalisations was inappropriate and as noted above, the model has estimated substantially higher cases and costs for hospitalisations for QIV-SD than the </w:t>
      </w:r>
      <w:r w:rsidR="004B2CF0">
        <w:rPr>
          <w:rFonts w:cstheme="minorHAnsi"/>
        </w:rPr>
        <w:t>NNDSS</w:t>
      </w:r>
      <w:r w:rsidR="00675782" w:rsidRPr="00645F5B">
        <w:rPr>
          <w:rFonts w:cstheme="minorHAnsi"/>
        </w:rPr>
        <w:t xml:space="preserve"> estimates from 2017</w:t>
      </w:r>
      <w:r w:rsidR="00AE7975">
        <w:rPr>
          <w:rFonts w:cstheme="minorHAnsi"/>
        </w:rPr>
        <w:t>.</w:t>
      </w:r>
    </w:p>
    <w:p w:rsidR="00E354F9" w:rsidRPr="00E07125" w:rsidRDefault="00F95F50" w:rsidP="00E07125">
      <w:pPr>
        <w:pStyle w:val="ListParagraph"/>
        <w:widowControl/>
        <w:numPr>
          <w:ilvl w:val="1"/>
          <w:numId w:val="1"/>
        </w:numPr>
        <w:rPr>
          <w:rFonts w:asciiTheme="minorHAnsi" w:hAnsiTheme="minorHAnsi"/>
          <w:bCs/>
          <w:i/>
          <w:szCs w:val="24"/>
          <w:lang w:val="en-GB"/>
        </w:rPr>
      </w:pPr>
      <w:r w:rsidRPr="00645F5B">
        <w:t xml:space="preserve">The submission estimated the costs of hospitalised influenza management for respiratory and cardiovascular using averaged Round 19 Australian public hospital AR-DRGs. The distribution of severity was not discussed in the FIM12 trial, nor was the average number of days per admission. In the event there </w:t>
      </w:r>
      <w:proofErr w:type="gramStart"/>
      <w:r w:rsidRPr="00645F5B">
        <w:t>is a greater proportion of lower complexity admissions</w:t>
      </w:r>
      <w:proofErr w:type="gramEnd"/>
      <w:r w:rsidRPr="00645F5B">
        <w:t xml:space="preserve"> per separation, then use of the average would overstate avoided costs as a result of TIV-HD adoption. The ICER increased to</w:t>
      </w:r>
      <w:r w:rsidR="00E76139">
        <w:t xml:space="preserve"> less than</w:t>
      </w:r>
      <w:r w:rsidRPr="00645F5B">
        <w:t xml:space="preserve"> $</w:t>
      </w:r>
      <w:r w:rsidR="00E76139">
        <w:t>15,000</w:t>
      </w:r>
      <w:r w:rsidRPr="00645F5B">
        <w:t xml:space="preserve"> when lower unit costs are included.</w:t>
      </w:r>
      <w:r w:rsidR="00E354F9" w:rsidRPr="00645F5B">
        <w:t xml:space="preserve"> </w:t>
      </w:r>
      <w:r w:rsidR="00CD6112" w:rsidRPr="00645F5B">
        <w:t xml:space="preserve">The ESC </w:t>
      </w:r>
      <w:r w:rsidR="00E354F9" w:rsidRPr="00645F5B">
        <w:t>considered</w:t>
      </w:r>
      <w:r w:rsidR="00CD6112" w:rsidRPr="00645F5B">
        <w:t xml:space="preserve"> that </w:t>
      </w:r>
      <w:r w:rsidR="00675782" w:rsidRPr="00645F5B">
        <w:t xml:space="preserve">estimate of avoided costs remained uncertain however, </w:t>
      </w:r>
      <w:r w:rsidR="00CD6112" w:rsidRPr="00645F5B">
        <w:t xml:space="preserve">the costs associated with respiratory hospital submissions </w:t>
      </w:r>
      <w:r w:rsidR="00F12FE4" w:rsidRPr="00645F5B">
        <w:t>may be</w:t>
      </w:r>
      <w:r w:rsidR="00CD6112" w:rsidRPr="00645F5B">
        <w:t xml:space="preserve"> le</w:t>
      </w:r>
      <w:r w:rsidR="00F12FE4" w:rsidRPr="00645F5B">
        <w:t xml:space="preserve">ss severe and complex compared </w:t>
      </w:r>
      <w:r w:rsidR="00CD6112" w:rsidRPr="00645F5B">
        <w:t>t</w:t>
      </w:r>
      <w:r w:rsidR="00F12FE4" w:rsidRPr="00645F5B">
        <w:t>o</w:t>
      </w:r>
      <w:r w:rsidR="00CD6112" w:rsidRPr="00645F5B">
        <w:t xml:space="preserve"> the average AR-DRG.</w:t>
      </w:r>
      <w:r w:rsidR="00F12FE4" w:rsidRPr="00645F5B">
        <w:t xml:space="preserve"> </w:t>
      </w:r>
    </w:p>
    <w:p w:rsidR="00002B76" w:rsidRDefault="00002B76">
      <w:pPr>
        <w:widowControl/>
        <w:jc w:val="left"/>
        <w:rPr>
          <w:b/>
          <w:sz w:val="28"/>
        </w:rPr>
      </w:pPr>
      <w:bookmarkStart w:id="41" w:name="_Toc371170711"/>
      <w:bookmarkStart w:id="42" w:name="_Toc514248224"/>
      <w:r>
        <w:rPr>
          <w:i/>
        </w:rPr>
        <w:br w:type="page"/>
      </w:r>
    </w:p>
    <w:p w:rsidR="00D53E4A" w:rsidRPr="008B2FD3" w:rsidRDefault="00D53E4A" w:rsidP="008B6998">
      <w:pPr>
        <w:pStyle w:val="Heading2"/>
        <w:spacing w:after="120"/>
        <w:rPr>
          <w:i w:val="0"/>
        </w:rPr>
      </w:pPr>
      <w:r w:rsidRPr="008B2FD3">
        <w:rPr>
          <w:i w:val="0"/>
        </w:rPr>
        <w:lastRenderedPageBreak/>
        <w:t>Drug cost/patient/course</w:t>
      </w:r>
      <w:bookmarkEnd w:id="41"/>
      <w:bookmarkEnd w:id="42"/>
    </w:p>
    <w:p w:rsidR="00E67706" w:rsidRPr="008B2FD3" w:rsidRDefault="00D53E4A" w:rsidP="00161E40">
      <w:pPr>
        <w:pStyle w:val="ListParagraph"/>
        <w:keepNext/>
        <w:widowControl/>
        <w:numPr>
          <w:ilvl w:val="1"/>
          <w:numId w:val="1"/>
        </w:numPr>
      </w:pPr>
      <w:r w:rsidRPr="008B2FD3">
        <w:t>The proposed price for TIV-HD is $</w:t>
      </w:r>
      <w:r w:rsidR="005B0F33">
        <w:rPr>
          <w:noProof/>
          <w:color w:val="000000"/>
          <w:highlight w:val="black"/>
        </w:rPr>
        <w:t>''''''''''</w:t>
      </w:r>
      <w:r w:rsidRPr="008B2FD3">
        <w:t xml:space="preserve"> per dose which would be administered once per 65+ year old </w:t>
      </w:r>
      <w:r w:rsidRPr="00645F5B">
        <w:t>patient per year at an administration cost of $</w:t>
      </w:r>
      <w:r w:rsidR="005B0F33">
        <w:rPr>
          <w:noProof/>
          <w:color w:val="000000"/>
          <w:highlight w:val="black"/>
        </w:rPr>
        <w:t>'''''</w:t>
      </w:r>
      <w:r w:rsidRPr="00645F5B">
        <w:t xml:space="preserve"> per subject.</w:t>
      </w:r>
      <w:r w:rsidR="000241E7" w:rsidRPr="00645F5B">
        <w:t xml:space="preserve"> The ESC noted that this is approximately </w:t>
      </w:r>
      <w:r w:rsidR="005B0F33">
        <w:rPr>
          <w:noProof/>
          <w:color w:val="000000"/>
          <w:highlight w:val="black"/>
        </w:rPr>
        <w:t>'''''''' ''''''''''</w:t>
      </w:r>
      <w:r w:rsidR="000241E7" w:rsidRPr="00645F5B">
        <w:t xml:space="preserve"> the cost of the current QIV vaccine on the NIP.</w:t>
      </w:r>
    </w:p>
    <w:p w:rsidR="00D53E4A" w:rsidRPr="008B2FD3" w:rsidRDefault="00D53E4A" w:rsidP="008B6998">
      <w:pPr>
        <w:pStyle w:val="Heading2"/>
        <w:spacing w:after="120"/>
        <w:rPr>
          <w:i w:val="0"/>
        </w:rPr>
      </w:pPr>
      <w:bookmarkStart w:id="43" w:name="_Toc388350640"/>
      <w:bookmarkStart w:id="44" w:name="_Toc514248225"/>
      <w:r w:rsidRPr="008B2FD3">
        <w:rPr>
          <w:i w:val="0"/>
        </w:rPr>
        <w:t>Estimated NIP usage and financial implications</w:t>
      </w:r>
      <w:bookmarkEnd w:id="36"/>
      <w:bookmarkEnd w:id="37"/>
      <w:bookmarkEnd w:id="38"/>
      <w:bookmarkEnd w:id="39"/>
      <w:bookmarkEnd w:id="40"/>
      <w:bookmarkEnd w:id="43"/>
      <w:bookmarkEnd w:id="44"/>
    </w:p>
    <w:p w:rsidR="00D53E4A" w:rsidRPr="008B2FD3" w:rsidRDefault="00D53E4A" w:rsidP="00161E40">
      <w:pPr>
        <w:pStyle w:val="ListParagraph"/>
        <w:keepNext/>
        <w:widowControl/>
        <w:numPr>
          <w:ilvl w:val="1"/>
          <w:numId w:val="1"/>
        </w:numPr>
      </w:pPr>
      <w:r w:rsidRPr="008B2FD3">
        <w:t xml:space="preserve">This submission </w:t>
      </w:r>
      <w:r w:rsidR="009308C7">
        <w:t>was</w:t>
      </w:r>
      <w:r w:rsidR="000C2F56" w:rsidRPr="008B2FD3">
        <w:t xml:space="preserve"> </w:t>
      </w:r>
      <w:r w:rsidRPr="008B2FD3">
        <w:t>not</w:t>
      </w:r>
      <w:r w:rsidR="000C2F56" w:rsidRPr="008B2FD3">
        <w:t xml:space="preserve"> </w:t>
      </w:r>
      <w:r w:rsidRPr="008B2FD3">
        <w:t>considered by DUSC</w:t>
      </w:r>
      <w:r w:rsidR="00A35F0E" w:rsidRPr="008B2FD3">
        <w:t xml:space="preserve">. </w:t>
      </w:r>
      <w:r w:rsidRPr="008B2FD3">
        <w:rPr>
          <w:szCs w:val="24"/>
        </w:rPr>
        <w:t xml:space="preserve">The submission employed an epidemiological approach to estimate the financial implications from the substitution of QIV-SD vaccines (primarily used in the </w:t>
      </w:r>
      <w:r w:rsidR="00A35F0E" w:rsidRPr="008B2FD3">
        <w:rPr>
          <w:szCs w:val="24"/>
        </w:rPr>
        <w:t>NIP</w:t>
      </w:r>
      <w:r w:rsidRPr="008B2FD3">
        <w:rPr>
          <w:szCs w:val="24"/>
        </w:rPr>
        <w:t xml:space="preserve"> for patients aged ≥65 years), with TIV</w:t>
      </w:r>
      <w:r w:rsidR="00A35F0E" w:rsidRPr="008B2FD3">
        <w:rPr>
          <w:szCs w:val="24"/>
        </w:rPr>
        <w:noBreakHyphen/>
      </w:r>
      <w:r w:rsidRPr="008B2FD3">
        <w:rPr>
          <w:szCs w:val="24"/>
        </w:rPr>
        <w:t>HD</w:t>
      </w:r>
      <w:r w:rsidR="00A35F0E" w:rsidRPr="008B2FD3">
        <w:rPr>
          <w:szCs w:val="24"/>
        </w:rPr>
        <w:t>.</w:t>
      </w:r>
    </w:p>
    <w:p w:rsidR="00D53E4A" w:rsidRPr="008B2FD3" w:rsidRDefault="00D53E4A" w:rsidP="00D53E4A">
      <w:pPr>
        <w:keepNext/>
        <w:rPr>
          <w:rStyle w:val="CommentReference"/>
        </w:rPr>
      </w:pPr>
      <w:r w:rsidRPr="008B2FD3">
        <w:rPr>
          <w:rStyle w:val="CommentReference"/>
        </w:rPr>
        <w:t xml:space="preserve">Table </w:t>
      </w:r>
      <w:r w:rsidR="003C74A5" w:rsidRPr="008B2FD3">
        <w:rPr>
          <w:rStyle w:val="CommentReference"/>
        </w:rPr>
        <w:t>1</w:t>
      </w:r>
      <w:r w:rsidR="00C62F3B">
        <w:rPr>
          <w:rStyle w:val="CommentReference"/>
        </w:rPr>
        <w:t>4</w:t>
      </w:r>
      <w:r w:rsidRPr="008B2FD3">
        <w:rPr>
          <w:rStyle w:val="CommentReference"/>
        </w:rPr>
        <w:t>: Estimated use and financial implications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36"/>
        <w:gridCol w:w="1143"/>
        <w:gridCol w:w="1143"/>
        <w:gridCol w:w="1283"/>
        <w:gridCol w:w="1143"/>
        <w:gridCol w:w="1143"/>
        <w:gridCol w:w="1108"/>
      </w:tblGrid>
      <w:tr w:rsidR="00F95F50" w:rsidRPr="008B2FD3" w:rsidTr="00B809A6">
        <w:trPr>
          <w:trHeight w:val="66"/>
          <w:tblHeader/>
        </w:trPr>
        <w:tc>
          <w:tcPr>
            <w:tcW w:w="1174" w:type="pct"/>
            <w:noWrap/>
            <w:vAlign w:val="center"/>
          </w:tcPr>
          <w:p w:rsidR="00F95F50" w:rsidRPr="008B2FD3" w:rsidRDefault="00F95F50" w:rsidP="00F95F50">
            <w:pPr>
              <w:keepNext/>
              <w:jc w:val="left"/>
              <w:rPr>
                <w:rFonts w:ascii="Arial Narrow" w:hAnsi="Arial Narrow"/>
                <w:b/>
                <w:sz w:val="20"/>
              </w:rPr>
            </w:pPr>
          </w:p>
        </w:tc>
        <w:tc>
          <w:tcPr>
            <w:tcW w:w="628" w:type="pct"/>
            <w:noWrap/>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2019</w:t>
            </w:r>
          </w:p>
        </w:tc>
        <w:tc>
          <w:tcPr>
            <w:tcW w:w="628" w:type="pct"/>
            <w:noWrap/>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2020</w:t>
            </w:r>
          </w:p>
        </w:tc>
        <w:tc>
          <w:tcPr>
            <w:tcW w:w="705" w:type="pct"/>
            <w:noWrap/>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2021</w:t>
            </w:r>
          </w:p>
        </w:tc>
        <w:tc>
          <w:tcPr>
            <w:tcW w:w="628" w:type="pct"/>
            <w:noWrap/>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2022</w:t>
            </w:r>
          </w:p>
        </w:tc>
        <w:tc>
          <w:tcPr>
            <w:tcW w:w="628" w:type="pct"/>
            <w:noWrap/>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2023</w:t>
            </w:r>
          </w:p>
        </w:tc>
        <w:tc>
          <w:tcPr>
            <w:tcW w:w="608" w:type="pct"/>
          </w:tcPr>
          <w:p w:rsidR="00F95F50" w:rsidRPr="008B2FD3" w:rsidRDefault="00F95F50" w:rsidP="00F95F50">
            <w:pPr>
              <w:keepNext/>
              <w:jc w:val="center"/>
              <w:rPr>
                <w:rFonts w:ascii="Arial Narrow" w:hAnsi="Arial Narrow"/>
                <w:b/>
                <w:sz w:val="20"/>
              </w:rPr>
            </w:pPr>
            <w:r w:rsidRPr="008B2FD3">
              <w:rPr>
                <w:rFonts w:ascii="Arial Narrow" w:hAnsi="Arial Narrow"/>
                <w:b/>
                <w:sz w:val="20"/>
                <w:szCs w:val="20"/>
              </w:rPr>
              <w:t>2024</w:t>
            </w:r>
          </w:p>
        </w:tc>
      </w:tr>
      <w:tr w:rsidR="00D53E4A" w:rsidRPr="008B2FD3" w:rsidTr="00B809A6">
        <w:trPr>
          <w:trHeight w:val="86"/>
        </w:trPr>
        <w:tc>
          <w:tcPr>
            <w:tcW w:w="5000" w:type="pct"/>
            <w:gridSpan w:val="7"/>
            <w:noWrap/>
            <w:vAlign w:val="center"/>
          </w:tcPr>
          <w:p w:rsidR="00D53E4A" w:rsidRPr="008B2FD3" w:rsidRDefault="00D53E4A" w:rsidP="003B0926">
            <w:pPr>
              <w:keepNext/>
              <w:jc w:val="left"/>
              <w:rPr>
                <w:rFonts w:ascii="Arial Narrow" w:hAnsi="Arial Narrow"/>
                <w:b/>
                <w:sz w:val="20"/>
                <w:szCs w:val="20"/>
              </w:rPr>
            </w:pPr>
            <w:r w:rsidRPr="008B2FD3">
              <w:rPr>
                <w:rFonts w:ascii="Arial Narrow" w:hAnsi="Arial Narrow"/>
                <w:b/>
                <w:sz w:val="20"/>
              </w:rPr>
              <w:t>Costs of TIV-HD</w:t>
            </w:r>
          </w:p>
        </w:tc>
      </w:tr>
      <w:tr w:rsidR="001B7C32" w:rsidRPr="008B2FD3" w:rsidTr="00B809A6">
        <w:trPr>
          <w:trHeight w:val="141"/>
        </w:trPr>
        <w:tc>
          <w:tcPr>
            <w:tcW w:w="1174" w:type="pct"/>
            <w:noWrap/>
            <w:vAlign w:val="center"/>
          </w:tcPr>
          <w:p w:rsidR="00D53E4A" w:rsidRPr="008B2FD3" w:rsidRDefault="00D53E4A" w:rsidP="001B7C32">
            <w:pPr>
              <w:jc w:val="left"/>
              <w:rPr>
                <w:rFonts w:ascii="Arial Narrow" w:hAnsi="Arial Narrow"/>
                <w:sz w:val="20"/>
              </w:rPr>
            </w:pPr>
            <w:r w:rsidRPr="008B2FD3">
              <w:rPr>
                <w:rFonts w:ascii="Arial Narrow" w:hAnsi="Arial Narrow"/>
                <w:sz w:val="20"/>
                <w:szCs w:val="20"/>
              </w:rPr>
              <w:t>Eligible subjects</w:t>
            </w:r>
          </w:p>
        </w:tc>
        <w:tc>
          <w:tcPr>
            <w:tcW w:w="628" w:type="pct"/>
            <w:noWrap/>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c>
          <w:tcPr>
            <w:tcW w:w="628" w:type="pct"/>
            <w:noWrap/>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c>
          <w:tcPr>
            <w:tcW w:w="705" w:type="pct"/>
            <w:noWrap/>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c>
          <w:tcPr>
            <w:tcW w:w="628" w:type="pct"/>
            <w:noWrap/>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c>
          <w:tcPr>
            <w:tcW w:w="628" w:type="pct"/>
            <w:noWrap/>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c>
          <w:tcPr>
            <w:tcW w:w="608" w:type="pct"/>
            <w:vAlign w:val="center"/>
          </w:tcPr>
          <w:p w:rsidR="00D53E4A" w:rsidRPr="005B0F33" w:rsidRDefault="005B0F33" w:rsidP="003B0926">
            <w:pPr>
              <w:jc w:val="center"/>
              <w:rPr>
                <w:rFonts w:ascii="Arial Narrow" w:hAnsi="Arial Narrow"/>
                <w:sz w:val="20"/>
                <w:highlight w:val="black"/>
              </w:rPr>
            </w:pPr>
            <w:r>
              <w:rPr>
                <w:rFonts w:ascii="Arial Narrow" w:hAnsi="Arial Narrow"/>
                <w:noProof/>
                <w:color w:val="000000"/>
                <w:sz w:val="20"/>
                <w:szCs w:val="20"/>
                <w:highlight w:val="black"/>
              </w:rPr>
              <w:t xml:space="preserve">''''''''''''''''''''''' </w:t>
            </w:r>
          </w:p>
        </w:tc>
      </w:tr>
      <w:tr w:rsidR="001B7C32" w:rsidRPr="008B2FD3" w:rsidTr="00B809A6">
        <w:trPr>
          <w:trHeight w:val="141"/>
        </w:trPr>
        <w:tc>
          <w:tcPr>
            <w:tcW w:w="1174" w:type="pct"/>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Uptake</w:t>
            </w:r>
          </w:p>
        </w:tc>
        <w:tc>
          <w:tcPr>
            <w:tcW w:w="628" w:type="pct"/>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c>
          <w:tcPr>
            <w:tcW w:w="628" w:type="pct"/>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c>
          <w:tcPr>
            <w:tcW w:w="705" w:type="pct"/>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c>
          <w:tcPr>
            <w:tcW w:w="628" w:type="pct"/>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c>
          <w:tcPr>
            <w:tcW w:w="628" w:type="pct"/>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c>
          <w:tcPr>
            <w:tcW w:w="608" w:type="pct"/>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74.6%</w:t>
            </w:r>
          </w:p>
        </w:tc>
      </w:tr>
      <w:tr w:rsidR="001B7C32" w:rsidRPr="008B2FD3" w:rsidTr="00B809A6">
        <w:trPr>
          <w:trHeight w:val="141"/>
        </w:trPr>
        <w:tc>
          <w:tcPr>
            <w:tcW w:w="1174" w:type="pct"/>
            <w:noWrap/>
            <w:vAlign w:val="center"/>
          </w:tcPr>
          <w:p w:rsidR="00D53E4A" w:rsidRPr="008B2FD3" w:rsidRDefault="00D53E4A" w:rsidP="001B7C32">
            <w:pPr>
              <w:jc w:val="left"/>
              <w:rPr>
                <w:rFonts w:ascii="Arial Narrow" w:hAnsi="Arial Narrow"/>
                <w:b/>
                <w:sz w:val="20"/>
                <w:szCs w:val="20"/>
              </w:rPr>
            </w:pPr>
            <w:r w:rsidRPr="008B2FD3">
              <w:rPr>
                <w:rFonts w:ascii="Arial Narrow" w:hAnsi="Arial Narrow"/>
                <w:sz w:val="20"/>
                <w:szCs w:val="20"/>
              </w:rPr>
              <w:t>Subjects vaccinated</w:t>
            </w:r>
          </w:p>
        </w:tc>
        <w:tc>
          <w:tcPr>
            <w:tcW w:w="628" w:type="pct"/>
            <w:noWrap/>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c>
          <w:tcPr>
            <w:tcW w:w="628" w:type="pct"/>
            <w:noWrap/>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c>
          <w:tcPr>
            <w:tcW w:w="705" w:type="pct"/>
            <w:noWrap/>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c>
          <w:tcPr>
            <w:tcW w:w="628" w:type="pct"/>
            <w:noWrap/>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c>
          <w:tcPr>
            <w:tcW w:w="628" w:type="pct"/>
            <w:noWrap/>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c>
          <w:tcPr>
            <w:tcW w:w="608" w:type="pct"/>
          </w:tcPr>
          <w:p w:rsidR="00D53E4A" w:rsidRPr="005B0F33" w:rsidRDefault="005B0F33" w:rsidP="003B0926">
            <w:pPr>
              <w:jc w:val="center"/>
              <w:rPr>
                <w:rFonts w:ascii="Arial Narrow" w:hAnsi="Arial Narrow"/>
                <w:b/>
                <w:sz w:val="20"/>
                <w:szCs w:val="20"/>
                <w:highlight w:val="black"/>
              </w:rPr>
            </w:pPr>
            <w:r>
              <w:rPr>
                <w:rFonts w:ascii="Arial Narrow" w:hAnsi="Arial Narrow"/>
                <w:noProof/>
                <w:color w:val="000000"/>
                <w:sz w:val="20"/>
                <w:szCs w:val="20"/>
                <w:highlight w:val="black"/>
              </w:rPr>
              <w:t xml:space="preserve">'''''''''''''''''''''''''' </w:t>
            </w:r>
          </w:p>
        </w:tc>
      </w:tr>
      <w:tr w:rsidR="001B7C32" w:rsidRPr="008B2FD3" w:rsidTr="00B809A6">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Doses per subject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c>
          <w:tcPr>
            <w:tcW w:w="705"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c>
          <w:tcPr>
            <w:tcW w:w="608" w:type="pct"/>
            <w:tcBorders>
              <w:top w:val="single" w:sz="4" w:space="0" w:color="auto"/>
              <w:left w:val="single" w:sz="4" w:space="0" w:color="auto"/>
              <w:bottom w:val="single" w:sz="4" w:space="0" w:color="auto"/>
              <w:right w:val="single" w:sz="4" w:space="0" w:color="auto"/>
            </w:tcBorders>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1</w:t>
            </w:r>
          </w:p>
        </w:tc>
      </w:tr>
      <w:tr w:rsidR="001B7C32" w:rsidRPr="008B2FD3" w:rsidTr="00B809A6">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Doses administered</w:t>
            </w:r>
          </w:p>
        </w:tc>
        <w:tc>
          <w:tcPr>
            <w:tcW w:w="628" w:type="pct"/>
            <w:tcBorders>
              <w:top w:val="single" w:sz="4" w:space="0" w:color="auto"/>
              <w:left w:val="single" w:sz="4" w:space="0" w:color="auto"/>
              <w:bottom w:val="single" w:sz="4" w:space="0" w:color="auto"/>
              <w:right w:val="single" w:sz="4" w:space="0" w:color="auto"/>
            </w:tcBorders>
            <w:noWrap/>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8" w:type="pct"/>
            <w:tcBorders>
              <w:top w:val="single" w:sz="4" w:space="0" w:color="auto"/>
              <w:left w:val="single" w:sz="4" w:space="0" w:color="auto"/>
              <w:bottom w:val="single" w:sz="4" w:space="0" w:color="auto"/>
              <w:right w:val="single" w:sz="4" w:space="0" w:color="auto"/>
            </w:tcBorders>
            <w:noWrap/>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705" w:type="pct"/>
            <w:tcBorders>
              <w:top w:val="single" w:sz="4" w:space="0" w:color="auto"/>
              <w:left w:val="single" w:sz="4" w:space="0" w:color="auto"/>
              <w:bottom w:val="single" w:sz="4" w:space="0" w:color="auto"/>
              <w:right w:val="single" w:sz="4" w:space="0" w:color="auto"/>
            </w:tcBorders>
            <w:noWrap/>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8" w:type="pct"/>
            <w:tcBorders>
              <w:top w:val="single" w:sz="4" w:space="0" w:color="auto"/>
              <w:left w:val="single" w:sz="4" w:space="0" w:color="auto"/>
              <w:bottom w:val="single" w:sz="4" w:space="0" w:color="auto"/>
              <w:right w:val="single" w:sz="4" w:space="0" w:color="auto"/>
            </w:tcBorders>
            <w:noWrap/>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8" w:type="pct"/>
            <w:tcBorders>
              <w:top w:val="single" w:sz="4" w:space="0" w:color="auto"/>
              <w:left w:val="single" w:sz="4" w:space="0" w:color="auto"/>
              <w:bottom w:val="single" w:sz="4" w:space="0" w:color="auto"/>
              <w:right w:val="single" w:sz="4" w:space="0" w:color="auto"/>
            </w:tcBorders>
            <w:noWrap/>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08" w:type="pct"/>
            <w:tcBorders>
              <w:top w:val="single" w:sz="4" w:space="0" w:color="auto"/>
              <w:left w:val="single" w:sz="4" w:space="0" w:color="auto"/>
              <w:bottom w:val="single" w:sz="4" w:space="0" w:color="auto"/>
              <w:right w:val="single" w:sz="4" w:space="0" w:color="auto"/>
            </w:tcBorders>
          </w:tcPr>
          <w:p w:rsidR="00D53E4A" w:rsidRPr="005B0F33" w:rsidRDefault="005B0F33" w:rsidP="003B0926">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1B7C32" w:rsidRPr="008B2FD3" w:rsidTr="00B8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Cost per dose</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705"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r w:rsidR="001B7C32" w:rsidRPr="008B2FD3" w:rsidTr="00B8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Co-payments</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c>
          <w:tcPr>
            <w:tcW w:w="705"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c>
          <w:tcPr>
            <w:tcW w:w="608" w:type="pct"/>
            <w:tcBorders>
              <w:top w:val="single" w:sz="4" w:space="0" w:color="auto"/>
              <w:left w:val="single" w:sz="4" w:space="0" w:color="auto"/>
              <w:bottom w:val="single" w:sz="4" w:space="0" w:color="auto"/>
              <w:right w:val="single" w:sz="4" w:space="0" w:color="auto"/>
            </w:tcBorders>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$0</w:t>
            </w:r>
          </w:p>
        </w:tc>
      </w:tr>
      <w:tr w:rsidR="001B7C32" w:rsidRPr="008B2FD3" w:rsidTr="00B8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Total cost the NIP</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705"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c>
          <w:tcPr>
            <w:tcW w:w="608" w:type="pct"/>
            <w:tcBorders>
              <w:top w:val="single" w:sz="4" w:space="0" w:color="auto"/>
              <w:left w:val="single" w:sz="4" w:space="0" w:color="auto"/>
              <w:bottom w:val="single" w:sz="4" w:space="0" w:color="auto"/>
              <w:right w:val="single" w:sz="4" w:space="0" w:color="auto"/>
            </w:tcBorders>
          </w:tcPr>
          <w:p w:rsidR="00D53E4A" w:rsidRPr="008B2FD3" w:rsidRDefault="00D53E4A" w:rsidP="003B0926">
            <w:pPr>
              <w:jc w:val="center"/>
              <w:rPr>
                <w:rFonts w:ascii="Arial Narrow" w:hAnsi="Arial Narrow"/>
                <w:sz w:val="20"/>
                <w:szCs w:val="20"/>
              </w:rPr>
            </w:pPr>
            <w:r w:rsidRPr="008B2FD3">
              <w:rPr>
                <w:rFonts w:ascii="Arial Narrow" w:hAnsi="Arial Narrow"/>
                <w:sz w:val="20"/>
                <w:szCs w:val="20"/>
              </w:rPr>
              <w:t>$</w:t>
            </w:r>
            <w:r w:rsidR="005B0F33">
              <w:rPr>
                <w:rFonts w:ascii="Arial Narrow" w:hAnsi="Arial Narrow"/>
                <w:noProof/>
                <w:color w:val="000000"/>
                <w:sz w:val="20"/>
                <w:szCs w:val="20"/>
                <w:highlight w:val="black"/>
              </w:rPr>
              <w:t>'''''''''''''''''''''''''''''</w:t>
            </w:r>
          </w:p>
        </w:tc>
      </w:tr>
      <w:tr w:rsidR="0041719C" w:rsidRPr="008B2FD3" w:rsidTr="00B8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41719C" w:rsidRPr="008B2FD3" w:rsidRDefault="0041719C" w:rsidP="0041719C">
            <w:pPr>
              <w:jc w:val="left"/>
              <w:rPr>
                <w:rFonts w:ascii="Arial Narrow" w:hAnsi="Arial Narrow"/>
                <w:sz w:val="20"/>
                <w:szCs w:val="20"/>
              </w:rPr>
            </w:pPr>
            <w:r w:rsidRPr="008B2FD3">
              <w:rPr>
                <w:rFonts w:ascii="Arial Narrow" w:hAnsi="Arial Narrow"/>
                <w:b/>
                <w:bCs/>
                <w:color w:val="000000"/>
                <w:sz w:val="20"/>
              </w:rPr>
              <w:t>Estimated net cost to NIP/MBS</w:t>
            </w:r>
          </w:p>
        </w:tc>
      </w:tr>
      <w:tr w:rsidR="001B7C32" w:rsidRPr="008B2FD3" w:rsidTr="00B809A6">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Net Cost to the NIP</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c>
          <w:tcPr>
            <w:tcW w:w="705"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sz w:val="20"/>
                <w:szCs w:val="20"/>
              </w:rPr>
            </w:pPr>
            <w:r w:rsidRPr="008B2FD3">
              <w:rPr>
                <w:rFonts w:ascii="Arial Narrow" w:hAnsi="Arial Narrow" w:cs="Calibri"/>
                <w:sz w:val="20"/>
                <w:szCs w:val="20"/>
              </w:rPr>
              <w:t>$</w:t>
            </w:r>
            <w:r w:rsidR="005B0F33">
              <w:rPr>
                <w:rFonts w:ascii="Arial Narrow" w:hAnsi="Arial Narrow" w:cs="Calibri"/>
                <w:noProof/>
                <w:color w:val="000000"/>
                <w:sz w:val="20"/>
                <w:szCs w:val="20"/>
                <w:highlight w:val="black"/>
              </w:rPr>
              <w:t>''''''''''''''''''''''''''''</w:t>
            </w:r>
          </w:p>
        </w:tc>
      </w:tr>
      <w:tr w:rsidR="001B7C32" w:rsidRPr="008B2FD3" w:rsidTr="00B809A6">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sz w:val="20"/>
                <w:szCs w:val="20"/>
              </w:rPr>
              <w:t>Cost to the MBS</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705"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r>
      <w:tr w:rsidR="001B7C32" w:rsidRPr="008B2FD3" w:rsidTr="00B809A6">
        <w:trPr>
          <w:trHeight w:val="141"/>
        </w:trPr>
        <w:tc>
          <w:tcPr>
            <w:tcW w:w="1174"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1B7C32">
            <w:pPr>
              <w:jc w:val="left"/>
              <w:rPr>
                <w:rFonts w:ascii="Arial Narrow" w:hAnsi="Arial Narrow"/>
                <w:sz w:val="20"/>
                <w:szCs w:val="20"/>
              </w:rPr>
            </w:pPr>
            <w:r w:rsidRPr="008B2FD3">
              <w:rPr>
                <w:rFonts w:ascii="Arial Narrow" w:hAnsi="Arial Narrow"/>
                <w:b/>
                <w:sz w:val="20"/>
                <w:szCs w:val="20"/>
              </w:rPr>
              <w:t>Overall net co</w:t>
            </w:r>
            <w:r w:rsidR="00B809A6">
              <w:rPr>
                <w:rFonts w:ascii="Arial Narrow" w:hAnsi="Arial Narrow"/>
                <w:b/>
                <w:sz w:val="20"/>
                <w:szCs w:val="20"/>
              </w:rPr>
              <w:t>st to government health budget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705"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D53E4A" w:rsidRPr="008B2FD3" w:rsidRDefault="00D53E4A" w:rsidP="003B0926">
            <w:pPr>
              <w:jc w:val="center"/>
              <w:rPr>
                <w:rFonts w:ascii="Arial Narrow" w:hAnsi="Arial Narrow"/>
                <w:sz w:val="20"/>
                <w:szCs w:val="20"/>
              </w:rPr>
            </w:pPr>
            <w:r w:rsidRPr="008B2FD3">
              <w:rPr>
                <w:rFonts w:ascii="Arial Narrow" w:hAnsi="Arial Narrow"/>
                <w:color w:val="000000"/>
                <w:sz w:val="20"/>
                <w:szCs w:val="20"/>
              </w:rPr>
              <w:t>$</w:t>
            </w:r>
            <w:r w:rsidR="005B0F33">
              <w:rPr>
                <w:rFonts w:ascii="Arial Narrow" w:hAnsi="Arial Narrow"/>
                <w:noProof/>
                <w:color w:val="000000"/>
                <w:sz w:val="20"/>
                <w:szCs w:val="20"/>
                <w:highlight w:val="black"/>
              </w:rPr>
              <w:t>'''''''''''''''''''''''''''</w:t>
            </w:r>
          </w:p>
        </w:tc>
      </w:tr>
    </w:tbl>
    <w:p w:rsidR="00D53E4A" w:rsidRPr="008B2FD3" w:rsidRDefault="00D53E4A" w:rsidP="00D53E4A">
      <w:pPr>
        <w:pStyle w:val="TableFooter"/>
      </w:pPr>
      <w:r w:rsidRPr="008B2FD3">
        <w:t>NIP</w:t>
      </w:r>
      <w:r w:rsidR="001050B2" w:rsidRPr="008B2FD3">
        <w:t>:</w:t>
      </w:r>
      <w:r w:rsidRPr="008B2FD3">
        <w:t xml:space="preserve"> National Immunisation Program, TIV-HD</w:t>
      </w:r>
      <w:r w:rsidR="001050B2" w:rsidRPr="008B2FD3">
        <w:t>:</w:t>
      </w:r>
      <w:r w:rsidRPr="008B2FD3">
        <w:t xml:space="preserve"> Trivalent Influenza Vaccine – High Dose</w:t>
      </w:r>
    </w:p>
    <w:p w:rsidR="00D53E4A" w:rsidRPr="008B2FD3" w:rsidRDefault="00D53E4A" w:rsidP="00D53E4A">
      <w:pPr>
        <w:pStyle w:val="TableFooter"/>
      </w:pPr>
      <w:r w:rsidRPr="008B2FD3">
        <w:t xml:space="preserve">Source: Table 4.2.2, p87 of the </w:t>
      </w:r>
      <w:r w:rsidR="00C52D93" w:rsidRPr="008B2FD3">
        <w:t>submission</w:t>
      </w:r>
    </w:p>
    <w:p w:rsidR="001D7615" w:rsidRDefault="001D7615" w:rsidP="00AE7975">
      <w:pPr>
        <w:keepNext/>
        <w:widowControl/>
        <w:spacing w:before="240"/>
      </w:pPr>
      <w:r>
        <w:t xml:space="preserve">The redacted table shows that over 6 years, the estimated number of subjects vaccinated was over 200,000 per year. </w:t>
      </w:r>
    </w:p>
    <w:p w:rsidR="001D7615" w:rsidRDefault="001D7615" w:rsidP="001D7615">
      <w:pPr>
        <w:keepNext/>
        <w:widowControl/>
      </w:pPr>
    </w:p>
    <w:p w:rsidR="00D53E4A" w:rsidRPr="00645F5B" w:rsidRDefault="00D53E4A" w:rsidP="00161E40">
      <w:pPr>
        <w:pStyle w:val="ListParagraph"/>
        <w:keepNext/>
        <w:widowControl/>
        <w:numPr>
          <w:ilvl w:val="1"/>
          <w:numId w:val="1"/>
        </w:numPr>
      </w:pPr>
      <w:r w:rsidRPr="00645F5B">
        <w:t>The cost to the NIP from TIV-HD is likely to exceed $</w:t>
      </w:r>
      <w:r w:rsidR="006A2D96">
        <w:t>100</w:t>
      </w:r>
      <w:r w:rsidR="006A2D96" w:rsidRPr="00645F5B">
        <w:t xml:space="preserve"> </w:t>
      </w:r>
      <w:r w:rsidRPr="00645F5B">
        <w:t>million per year</w:t>
      </w:r>
      <w:r w:rsidR="000C2F56" w:rsidRPr="00645F5B">
        <w:t xml:space="preserve"> in year</w:t>
      </w:r>
      <w:r w:rsidR="00F95F50" w:rsidRPr="00645F5B">
        <w:t> </w:t>
      </w:r>
      <w:r w:rsidR="000C2F56" w:rsidRPr="00645F5B">
        <w:t>6</w:t>
      </w:r>
      <w:r w:rsidRPr="00645F5B">
        <w:t>, and the net cost $</w:t>
      </w:r>
      <w:r w:rsidR="006A2D96">
        <w:t>60 - $100</w:t>
      </w:r>
      <w:r w:rsidR="006A2D96" w:rsidRPr="00645F5B">
        <w:t xml:space="preserve"> </w:t>
      </w:r>
      <w:r w:rsidRPr="00645F5B">
        <w:t>million when substitution with QIV-SD is considered.</w:t>
      </w:r>
      <w:r w:rsidR="000C2E7E">
        <w:t xml:space="preserve">  </w:t>
      </w:r>
    </w:p>
    <w:p w:rsidR="00F12FE4" w:rsidRPr="00645F5B" w:rsidRDefault="00D53E4A" w:rsidP="00161E40">
      <w:pPr>
        <w:pStyle w:val="ListParagraph"/>
        <w:keepNext/>
        <w:widowControl/>
        <w:numPr>
          <w:ilvl w:val="1"/>
          <w:numId w:val="1"/>
        </w:numPr>
      </w:pPr>
      <w:r w:rsidRPr="00645F5B">
        <w:t xml:space="preserve">The uptake rate of TIV-HD was based on the uptake rate reported in </w:t>
      </w:r>
      <w:r w:rsidR="00FF54F2" w:rsidRPr="00C61DED">
        <w:t>Australian Institute for Health and Welfare (</w:t>
      </w:r>
      <w:r w:rsidRPr="00645F5B">
        <w:t>AIHW</w:t>
      </w:r>
      <w:r w:rsidR="00FF54F2">
        <w:t>)</w:t>
      </w:r>
      <w:r w:rsidRPr="00645F5B">
        <w:t xml:space="preserve"> Adult Vaccination Survey (2009) (74.6%). This survey is dated and there is likely to be greater vaccination awareness with higher burdens of influenza disease in recent years. Vaccination coverage may have increased, which given the large population being targeted could result in </w:t>
      </w:r>
      <w:r w:rsidR="001B7C32" w:rsidRPr="00645F5B">
        <w:t xml:space="preserve">a </w:t>
      </w:r>
      <w:r w:rsidRPr="00645F5B">
        <w:t xml:space="preserve">higher </w:t>
      </w:r>
      <w:r w:rsidR="001B7C32" w:rsidRPr="00645F5B">
        <w:t>financial</w:t>
      </w:r>
      <w:r w:rsidRPr="00645F5B">
        <w:t xml:space="preserve"> impact.</w:t>
      </w:r>
      <w:r w:rsidR="00372A79" w:rsidRPr="00645F5B">
        <w:t xml:space="preserve"> </w:t>
      </w:r>
      <w:r w:rsidR="00F12FE4" w:rsidRPr="00645F5B">
        <w:t xml:space="preserve">The ESC considered that the uptake rate for influenza vaccine in the population may be </w:t>
      </w:r>
      <w:r w:rsidR="0092382A" w:rsidRPr="00645F5B">
        <w:t>underestimated.</w:t>
      </w:r>
    </w:p>
    <w:p w:rsidR="0092382A" w:rsidRDefault="00D53E4A" w:rsidP="00161E40">
      <w:pPr>
        <w:pStyle w:val="ListParagraph"/>
        <w:keepNext/>
        <w:widowControl/>
        <w:numPr>
          <w:ilvl w:val="1"/>
          <w:numId w:val="1"/>
        </w:numPr>
      </w:pPr>
      <w:r w:rsidRPr="00645F5B">
        <w:t xml:space="preserve">Substitution of TIV-HD for the currently used QIV-SD </w:t>
      </w:r>
      <w:r w:rsidR="00543720" w:rsidRPr="00645F5B">
        <w:t>was</w:t>
      </w:r>
      <w:r w:rsidRPr="00645F5B">
        <w:t xml:space="preserve"> 100% from 2019. This assumed the current NIP </w:t>
      </w:r>
      <w:r w:rsidR="004D656E" w:rsidRPr="00645F5B">
        <w:t>would</w:t>
      </w:r>
      <w:r w:rsidRPr="00645F5B">
        <w:t xml:space="preserve"> exclusively supply QIV-SD, and ignored the </w:t>
      </w:r>
      <w:r w:rsidRPr="00645F5B">
        <w:lastRenderedPageBreak/>
        <w:t>availability of other influenza vaccines. Ignoring the availability of other influenza vaccines</w:t>
      </w:r>
      <w:r w:rsidRPr="00645F5B" w:rsidDel="00BE3879">
        <w:t xml:space="preserve"> </w:t>
      </w:r>
      <w:r w:rsidRPr="00645F5B">
        <w:t>and the potential for QIV-SD to be used in some instances overstates the</w:t>
      </w:r>
      <w:r w:rsidRPr="008B2FD3">
        <w:t xml:space="preserve"> </w:t>
      </w:r>
      <w:r w:rsidRPr="00645F5B">
        <w:t>cost differential between projected NIP costs with TIV-HD and the current situation.</w:t>
      </w:r>
      <w:r w:rsidR="00F12FE4" w:rsidRPr="00645F5B">
        <w:t xml:space="preserve"> </w:t>
      </w:r>
      <w:r w:rsidR="00675782" w:rsidRPr="00645F5B">
        <w:t>The ESC considered that the substitution rate for TIV-HD may be overestimated as it was unlikely that 100% of use in the proposed population would be with TIV-HD given the increased frequency of mild to moderate injection site reactions associated with its use, and this overstated the cost differential.</w:t>
      </w:r>
      <w:r w:rsidR="00F93D55">
        <w:t xml:space="preserve"> </w:t>
      </w:r>
    </w:p>
    <w:p w:rsidR="00D53E4A" w:rsidRPr="00645F5B" w:rsidRDefault="00D53E4A" w:rsidP="008B6998">
      <w:pPr>
        <w:pStyle w:val="Heading2"/>
        <w:keepNext/>
        <w:spacing w:after="120"/>
        <w:rPr>
          <w:i w:val="0"/>
        </w:rPr>
      </w:pPr>
      <w:bookmarkStart w:id="45" w:name="_Toc371170713"/>
      <w:bookmarkStart w:id="46" w:name="_Toc514248226"/>
      <w:r w:rsidRPr="00645F5B">
        <w:rPr>
          <w:i w:val="0"/>
        </w:rPr>
        <w:t>Quality Use of Medicines</w:t>
      </w:r>
      <w:bookmarkEnd w:id="45"/>
      <w:bookmarkEnd w:id="46"/>
    </w:p>
    <w:p w:rsidR="009308C7" w:rsidRPr="009B425D" w:rsidRDefault="00D53E4A" w:rsidP="00161E40">
      <w:pPr>
        <w:pStyle w:val="ListParagraph"/>
        <w:widowControl/>
        <w:numPr>
          <w:ilvl w:val="1"/>
          <w:numId w:val="1"/>
        </w:numPr>
        <w:rPr>
          <w:rFonts w:eastAsia="Calibri"/>
        </w:rPr>
      </w:pPr>
      <w:r w:rsidRPr="00645F5B">
        <w:t xml:space="preserve">No quality of use of medicines information was provided in the submission. </w:t>
      </w:r>
    </w:p>
    <w:p w:rsidR="009B425D" w:rsidRPr="009E2A0C" w:rsidRDefault="009B425D" w:rsidP="009E2A0C">
      <w:pPr>
        <w:pStyle w:val="ListParagraph"/>
        <w:ind w:left="709"/>
        <w:rPr>
          <w:rFonts w:asciiTheme="minorHAnsi" w:hAnsiTheme="minorHAnsi"/>
          <w:i/>
        </w:rPr>
      </w:pPr>
      <w:r w:rsidRPr="00117A7A">
        <w:rPr>
          <w:rFonts w:asciiTheme="minorHAnsi" w:hAnsiTheme="minorHAnsi"/>
          <w:i/>
        </w:rPr>
        <w:t>For more detail on PBAC’s view, see section 7 PBAC outcome.</w:t>
      </w:r>
    </w:p>
    <w:bookmarkEnd w:id="0"/>
    <w:bookmarkEnd w:id="1"/>
    <w:bookmarkEnd w:id="2"/>
    <w:bookmarkEnd w:id="3"/>
    <w:bookmarkEnd w:id="4"/>
    <w:bookmarkEnd w:id="5"/>
    <w:bookmarkEnd w:id="6"/>
    <w:bookmarkEnd w:id="7"/>
    <w:p w:rsidR="00161E40" w:rsidRPr="00502F2C" w:rsidRDefault="00161E40" w:rsidP="00502F2C">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r w:rsidRPr="00502F2C">
        <w:rPr>
          <w:rFonts w:asciiTheme="minorHAnsi" w:eastAsiaTheme="majorEastAsia" w:hAnsiTheme="minorHAnsi" w:cstheme="majorBidi"/>
          <w:caps w:val="0"/>
          <w:snapToGrid/>
          <w:szCs w:val="28"/>
        </w:rPr>
        <w:t>PBAC Outcome</w:t>
      </w:r>
    </w:p>
    <w:p w:rsidR="001A2DC1" w:rsidRPr="00502F2C" w:rsidRDefault="001F5E90" w:rsidP="00502F2C">
      <w:pPr>
        <w:numPr>
          <w:ilvl w:val="1"/>
          <w:numId w:val="1"/>
        </w:numPr>
        <w:spacing w:after="120"/>
        <w:rPr>
          <w:rFonts w:asciiTheme="minorHAnsi" w:hAnsiTheme="minorHAnsi"/>
          <w:bCs/>
          <w:szCs w:val="24"/>
        </w:rPr>
      </w:pPr>
      <w:r w:rsidRPr="001F5E90">
        <w:rPr>
          <w:rFonts w:asciiTheme="minorHAnsi" w:hAnsiTheme="minorHAnsi"/>
          <w:bCs/>
          <w:szCs w:val="24"/>
          <w:lang w:val="en-GB"/>
        </w:rPr>
        <w:t xml:space="preserve">The PBAC did not recommend the </w:t>
      </w:r>
      <w:r w:rsidR="00C972BC">
        <w:rPr>
          <w:rFonts w:asciiTheme="minorHAnsi" w:hAnsiTheme="minorHAnsi"/>
          <w:bCs/>
          <w:szCs w:val="24"/>
          <w:lang w:val="en-GB"/>
        </w:rPr>
        <w:t xml:space="preserve">requested </w:t>
      </w:r>
      <w:r w:rsidRPr="001F5E90">
        <w:rPr>
          <w:rFonts w:asciiTheme="minorHAnsi" w:hAnsiTheme="minorHAnsi"/>
          <w:bCs/>
          <w:szCs w:val="24"/>
          <w:lang w:val="en-GB"/>
        </w:rPr>
        <w:t xml:space="preserve">change to the </w:t>
      </w:r>
      <w:r w:rsidR="00502F2C">
        <w:rPr>
          <w:rFonts w:asciiTheme="minorHAnsi" w:hAnsiTheme="minorHAnsi"/>
          <w:bCs/>
          <w:szCs w:val="24"/>
          <w:lang w:val="en-GB"/>
        </w:rPr>
        <w:t xml:space="preserve">price of the </w:t>
      </w:r>
      <w:r w:rsidRPr="001F5E90">
        <w:rPr>
          <w:rFonts w:asciiTheme="minorHAnsi" w:hAnsiTheme="minorHAnsi"/>
          <w:bCs/>
          <w:szCs w:val="24"/>
          <w:lang w:val="en-GB"/>
        </w:rPr>
        <w:t>National Immunisation Program (NIP) listing of inactivated trivalent influenza vaccine (</w:t>
      </w:r>
      <w:proofErr w:type="spellStart"/>
      <w:r w:rsidRPr="001F5E90">
        <w:rPr>
          <w:rFonts w:asciiTheme="minorHAnsi" w:hAnsiTheme="minorHAnsi"/>
          <w:bCs/>
          <w:szCs w:val="24"/>
          <w:lang w:val="en-GB"/>
        </w:rPr>
        <w:t>Fluzone</w:t>
      </w:r>
      <w:proofErr w:type="spellEnd"/>
      <w:r w:rsidRPr="001F5E90">
        <w:rPr>
          <w:rFonts w:asciiTheme="minorHAnsi" w:hAnsiTheme="minorHAnsi"/>
          <w:bCs/>
          <w:szCs w:val="24"/>
          <w:lang w:val="en-GB"/>
        </w:rPr>
        <w:t>®</w:t>
      </w:r>
      <w:r>
        <w:rPr>
          <w:rFonts w:asciiTheme="minorHAnsi" w:hAnsiTheme="minorHAnsi"/>
          <w:bCs/>
          <w:szCs w:val="24"/>
          <w:lang w:val="en-GB"/>
        </w:rPr>
        <w:t xml:space="preserve"> High-Dose</w:t>
      </w:r>
      <w:r w:rsidR="00BC77F9">
        <w:rPr>
          <w:rFonts w:asciiTheme="minorHAnsi" w:hAnsiTheme="minorHAnsi"/>
          <w:bCs/>
          <w:szCs w:val="24"/>
          <w:lang w:val="en-GB"/>
        </w:rPr>
        <w:t>, TIV-HD</w:t>
      </w:r>
      <w:r>
        <w:rPr>
          <w:rFonts w:asciiTheme="minorHAnsi" w:hAnsiTheme="minorHAnsi"/>
          <w:bCs/>
          <w:szCs w:val="24"/>
          <w:lang w:val="en-GB"/>
        </w:rPr>
        <w:t>)</w:t>
      </w:r>
      <w:r w:rsidRPr="001F5E90">
        <w:rPr>
          <w:rFonts w:asciiTheme="minorHAnsi" w:hAnsiTheme="minorHAnsi"/>
          <w:bCs/>
          <w:szCs w:val="24"/>
          <w:lang w:val="en-GB"/>
        </w:rPr>
        <w:t xml:space="preserve">, for active immunisation against influenza in adults aged ≥65 years. This decision was made on the basis of the high financial implications of the proposed </w:t>
      </w:r>
      <w:r w:rsidR="00502F2C">
        <w:rPr>
          <w:rFonts w:asciiTheme="minorHAnsi" w:hAnsiTheme="minorHAnsi"/>
          <w:bCs/>
          <w:szCs w:val="24"/>
          <w:lang w:val="en-GB"/>
        </w:rPr>
        <w:t>price increase</w:t>
      </w:r>
      <w:r w:rsidRPr="001F5E90">
        <w:rPr>
          <w:rFonts w:asciiTheme="minorHAnsi" w:hAnsiTheme="minorHAnsi"/>
          <w:bCs/>
          <w:szCs w:val="24"/>
          <w:lang w:val="en-GB"/>
        </w:rPr>
        <w:t xml:space="preserve">, the uncertainty around the loss of protection against the alternative B lineage </w:t>
      </w:r>
      <w:r w:rsidR="00502F2C">
        <w:rPr>
          <w:rFonts w:asciiTheme="minorHAnsi" w:hAnsiTheme="minorHAnsi"/>
          <w:bCs/>
          <w:szCs w:val="24"/>
          <w:lang w:val="en-GB"/>
        </w:rPr>
        <w:t>and</w:t>
      </w:r>
      <w:r w:rsidR="0039037F">
        <w:rPr>
          <w:rFonts w:asciiTheme="minorHAnsi" w:hAnsiTheme="minorHAnsi"/>
          <w:bCs/>
          <w:szCs w:val="24"/>
          <w:lang w:val="en-GB"/>
        </w:rPr>
        <w:t xml:space="preserve"> the incremental benefit of the strains matched with the comparator vaccine, </w:t>
      </w:r>
      <w:r w:rsidRPr="001F5E90">
        <w:rPr>
          <w:rFonts w:asciiTheme="minorHAnsi" w:hAnsiTheme="minorHAnsi"/>
          <w:bCs/>
          <w:szCs w:val="24"/>
          <w:lang w:val="en-GB"/>
        </w:rPr>
        <w:t xml:space="preserve">and the associated uncertainty in assessing the </w:t>
      </w:r>
      <w:r w:rsidR="00502F2C">
        <w:rPr>
          <w:rFonts w:asciiTheme="minorHAnsi" w:hAnsiTheme="minorHAnsi"/>
          <w:bCs/>
          <w:szCs w:val="24"/>
          <w:lang w:val="en-GB"/>
        </w:rPr>
        <w:t xml:space="preserve">incremental </w:t>
      </w:r>
      <w:r w:rsidRPr="001F5E90">
        <w:rPr>
          <w:rFonts w:asciiTheme="minorHAnsi" w:hAnsiTheme="minorHAnsi"/>
          <w:bCs/>
          <w:szCs w:val="24"/>
          <w:lang w:val="en-GB"/>
        </w:rPr>
        <w:t xml:space="preserve">cost-effectiveness of the vaccine. </w:t>
      </w:r>
      <w:r w:rsidR="001A2DC1" w:rsidRPr="00502F2C">
        <w:rPr>
          <w:rFonts w:asciiTheme="minorHAnsi" w:hAnsiTheme="minorHAnsi"/>
          <w:bCs/>
          <w:szCs w:val="24"/>
        </w:rPr>
        <w:t xml:space="preserve">Given </w:t>
      </w:r>
      <w:r w:rsidR="00502F2C">
        <w:rPr>
          <w:rFonts w:asciiTheme="minorHAnsi" w:hAnsiTheme="minorHAnsi"/>
          <w:bCs/>
          <w:szCs w:val="24"/>
        </w:rPr>
        <w:t xml:space="preserve">the </w:t>
      </w:r>
      <w:r w:rsidR="001A2DC1" w:rsidRPr="00502F2C">
        <w:rPr>
          <w:rFonts w:asciiTheme="minorHAnsi" w:hAnsiTheme="minorHAnsi"/>
          <w:bCs/>
          <w:szCs w:val="24"/>
        </w:rPr>
        <w:t>very large opportunity cost</w:t>
      </w:r>
      <w:r w:rsidR="00502F2C">
        <w:rPr>
          <w:rFonts w:asciiTheme="minorHAnsi" w:hAnsiTheme="minorHAnsi"/>
          <w:bCs/>
          <w:szCs w:val="24"/>
        </w:rPr>
        <w:t xml:space="preserve"> of the proposed price change</w:t>
      </w:r>
      <w:r w:rsidR="001A2DC1" w:rsidRPr="00502F2C">
        <w:rPr>
          <w:rFonts w:asciiTheme="minorHAnsi" w:hAnsiTheme="minorHAnsi"/>
          <w:bCs/>
          <w:szCs w:val="24"/>
        </w:rPr>
        <w:t xml:space="preserve">, </w:t>
      </w:r>
      <w:r w:rsidR="00502F2C">
        <w:rPr>
          <w:rFonts w:asciiTheme="minorHAnsi" w:hAnsiTheme="minorHAnsi"/>
          <w:bCs/>
          <w:szCs w:val="24"/>
        </w:rPr>
        <w:t xml:space="preserve">the PBAC considered </w:t>
      </w:r>
      <w:r w:rsidR="001A2DC1" w:rsidRPr="00502F2C">
        <w:rPr>
          <w:rFonts w:asciiTheme="minorHAnsi" w:hAnsiTheme="minorHAnsi"/>
          <w:bCs/>
          <w:szCs w:val="24"/>
        </w:rPr>
        <w:t>better modelling and scenario analys</w:t>
      </w:r>
      <w:r w:rsidR="00871035">
        <w:rPr>
          <w:rFonts w:asciiTheme="minorHAnsi" w:hAnsiTheme="minorHAnsi"/>
          <w:bCs/>
          <w:szCs w:val="24"/>
        </w:rPr>
        <w:t>e</w:t>
      </w:r>
      <w:r w:rsidR="001A2DC1" w:rsidRPr="00502F2C">
        <w:rPr>
          <w:rFonts w:asciiTheme="minorHAnsi" w:hAnsiTheme="minorHAnsi"/>
          <w:bCs/>
          <w:szCs w:val="24"/>
        </w:rPr>
        <w:t xml:space="preserve">s around </w:t>
      </w:r>
      <w:r w:rsidR="00E90B00">
        <w:rPr>
          <w:rFonts w:asciiTheme="minorHAnsi" w:hAnsiTheme="minorHAnsi"/>
          <w:bCs/>
          <w:szCs w:val="24"/>
        </w:rPr>
        <w:t>TIV-HD</w:t>
      </w:r>
      <w:r w:rsidR="001A2DC1" w:rsidRPr="00502F2C">
        <w:rPr>
          <w:rFonts w:asciiTheme="minorHAnsi" w:hAnsiTheme="minorHAnsi"/>
          <w:bCs/>
          <w:szCs w:val="24"/>
        </w:rPr>
        <w:t xml:space="preserve"> </w:t>
      </w:r>
      <w:r w:rsidR="00871035">
        <w:rPr>
          <w:rFonts w:asciiTheme="minorHAnsi" w:hAnsiTheme="minorHAnsi"/>
          <w:bCs/>
          <w:szCs w:val="24"/>
        </w:rPr>
        <w:t>compared with</w:t>
      </w:r>
      <w:r w:rsidR="001A2DC1" w:rsidRPr="00502F2C">
        <w:rPr>
          <w:rFonts w:asciiTheme="minorHAnsi" w:hAnsiTheme="minorHAnsi"/>
          <w:bCs/>
          <w:szCs w:val="24"/>
        </w:rPr>
        <w:t xml:space="preserve"> </w:t>
      </w:r>
      <w:r w:rsidR="00E90B00">
        <w:rPr>
          <w:rFonts w:asciiTheme="minorHAnsi" w:hAnsiTheme="minorHAnsi"/>
          <w:bCs/>
          <w:szCs w:val="24"/>
        </w:rPr>
        <w:t>QIV-SD</w:t>
      </w:r>
      <w:r w:rsidR="001A2DC1" w:rsidRPr="00502F2C">
        <w:rPr>
          <w:rFonts w:asciiTheme="minorHAnsi" w:hAnsiTheme="minorHAnsi"/>
          <w:bCs/>
          <w:szCs w:val="24"/>
        </w:rPr>
        <w:t xml:space="preserve"> using data from </w:t>
      </w:r>
      <w:r w:rsidR="0091085C">
        <w:rPr>
          <w:rFonts w:asciiTheme="minorHAnsi" w:hAnsiTheme="minorHAnsi"/>
          <w:bCs/>
          <w:szCs w:val="24"/>
        </w:rPr>
        <w:t xml:space="preserve">Australian experience over </w:t>
      </w:r>
      <w:r w:rsidR="001A2DC1" w:rsidRPr="00502F2C">
        <w:rPr>
          <w:rFonts w:asciiTheme="minorHAnsi" w:hAnsiTheme="minorHAnsi"/>
          <w:bCs/>
          <w:szCs w:val="24"/>
        </w:rPr>
        <w:t>a longer time-frame</w:t>
      </w:r>
      <w:r w:rsidR="00502F2C">
        <w:rPr>
          <w:rFonts w:asciiTheme="minorHAnsi" w:hAnsiTheme="minorHAnsi"/>
          <w:bCs/>
          <w:szCs w:val="24"/>
        </w:rPr>
        <w:t xml:space="preserve"> was required.</w:t>
      </w:r>
    </w:p>
    <w:p w:rsidR="00DD43DF" w:rsidRDefault="0014298E" w:rsidP="00767DDD">
      <w:pPr>
        <w:widowControl/>
        <w:numPr>
          <w:ilvl w:val="1"/>
          <w:numId w:val="1"/>
        </w:numPr>
        <w:spacing w:after="120"/>
        <w:rPr>
          <w:rFonts w:asciiTheme="minorHAnsi" w:hAnsiTheme="minorHAnsi"/>
          <w:bCs/>
          <w:szCs w:val="24"/>
          <w:lang w:val="en-GB"/>
        </w:rPr>
      </w:pPr>
      <w:r>
        <w:rPr>
          <w:rFonts w:asciiTheme="minorHAnsi" w:hAnsiTheme="minorHAnsi"/>
          <w:bCs/>
          <w:szCs w:val="24"/>
          <w:lang w:val="en-GB"/>
        </w:rPr>
        <w:t xml:space="preserve">The PBAC agreed with the proposed clinical place for TIV-HD, </w:t>
      </w:r>
      <w:r w:rsidR="00C972BC">
        <w:rPr>
          <w:rFonts w:asciiTheme="minorHAnsi" w:hAnsiTheme="minorHAnsi"/>
          <w:bCs/>
          <w:szCs w:val="24"/>
          <w:lang w:val="en-GB"/>
        </w:rPr>
        <w:t>noting the high incidence of influenza,</w:t>
      </w:r>
      <w:r w:rsidR="007250E8">
        <w:rPr>
          <w:rFonts w:asciiTheme="minorHAnsi" w:hAnsiTheme="minorHAnsi"/>
          <w:bCs/>
          <w:szCs w:val="24"/>
          <w:lang w:val="en-GB"/>
        </w:rPr>
        <w:t xml:space="preserve"> </w:t>
      </w:r>
      <w:r w:rsidR="00C972BC">
        <w:rPr>
          <w:rFonts w:asciiTheme="minorHAnsi" w:hAnsiTheme="minorHAnsi"/>
          <w:bCs/>
          <w:szCs w:val="24"/>
          <w:lang w:val="en-GB"/>
        </w:rPr>
        <w:t>hig</w:t>
      </w:r>
      <w:r w:rsidR="007250E8">
        <w:rPr>
          <w:rFonts w:asciiTheme="minorHAnsi" w:hAnsiTheme="minorHAnsi"/>
          <w:bCs/>
          <w:szCs w:val="24"/>
          <w:lang w:val="en-GB"/>
        </w:rPr>
        <w:t>h mortality and hospitalisation</w:t>
      </w:r>
      <w:r w:rsidR="00C972BC">
        <w:rPr>
          <w:rFonts w:asciiTheme="minorHAnsi" w:hAnsiTheme="minorHAnsi"/>
          <w:bCs/>
          <w:szCs w:val="24"/>
          <w:lang w:val="en-GB"/>
        </w:rPr>
        <w:t xml:space="preserve"> rates associated with influenza and </w:t>
      </w:r>
      <w:r w:rsidR="00DD43DF">
        <w:rPr>
          <w:rFonts w:asciiTheme="minorHAnsi" w:hAnsiTheme="minorHAnsi"/>
          <w:bCs/>
          <w:szCs w:val="24"/>
          <w:lang w:val="en-GB"/>
        </w:rPr>
        <w:t>reduced</w:t>
      </w:r>
      <w:r w:rsidR="00C972BC">
        <w:rPr>
          <w:rFonts w:asciiTheme="minorHAnsi" w:hAnsiTheme="minorHAnsi"/>
          <w:bCs/>
          <w:szCs w:val="24"/>
          <w:lang w:val="en-GB"/>
        </w:rPr>
        <w:t xml:space="preserve"> vaccine efficacy</w:t>
      </w:r>
      <w:r w:rsidR="001F72AD">
        <w:rPr>
          <w:rFonts w:asciiTheme="minorHAnsi" w:hAnsiTheme="minorHAnsi"/>
          <w:bCs/>
          <w:szCs w:val="24"/>
          <w:lang w:val="en-GB"/>
        </w:rPr>
        <w:t xml:space="preserve"> against the predominant </w:t>
      </w:r>
      <w:r w:rsidR="00D37170">
        <w:rPr>
          <w:rFonts w:asciiTheme="minorHAnsi" w:hAnsiTheme="minorHAnsi"/>
          <w:bCs/>
          <w:szCs w:val="24"/>
          <w:lang w:val="en-GB"/>
        </w:rPr>
        <w:t xml:space="preserve">strain </w:t>
      </w:r>
      <w:r w:rsidR="001F72AD">
        <w:rPr>
          <w:rFonts w:asciiTheme="minorHAnsi" w:hAnsiTheme="minorHAnsi"/>
          <w:bCs/>
          <w:szCs w:val="24"/>
          <w:lang w:val="en-GB"/>
        </w:rPr>
        <w:t>(A/H3N2)</w:t>
      </w:r>
      <w:r w:rsidR="00C972BC">
        <w:rPr>
          <w:rFonts w:asciiTheme="minorHAnsi" w:hAnsiTheme="minorHAnsi"/>
          <w:bCs/>
          <w:szCs w:val="24"/>
          <w:lang w:val="en-GB"/>
        </w:rPr>
        <w:t xml:space="preserve"> </w:t>
      </w:r>
      <w:r w:rsidR="001F72AD">
        <w:rPr>
          <w:rFonts w:asciiTheme="minorHAnsi" w:hAnsiTheme="minorHAnsi"/>
          <w:bCs/>
          <w:szCs w:val="24"/>
          <w:lang w:val="en-GB"/>
        </w:rPr>
        <w:t>during</w:t>
      </w:r>
      <w:r w:rsidR="00C972BC">
        <w:rPr>
          <w:rFonts w:asciiTheme="minorHAnsi" w:hAnsiTheme="minorHAnsi"/>
          <w:bCs/>
          <w:szCs w:val="24"/>
          <w:lang w:val="en-GB"/>
        </w:rPr>
        <w:t xml:space="preserve"> the 2017 influenza season, </w:t>
      </w:r>
      <w:r w:rsidR="001F72AD">
        <w:rPr>
          <w:rFonts w:asciiTheme="minorHAnsi" w:hAnsiTheme="minorHAnsi"/>
          <w:bCs/>
          <w:szCs w:val="24"/>
          <w:lang w:val="en-GB"/>
        </w:rPr>
        <w:t>as well as</w:t>
      </w:r>
      <w:r w:rsidR="00D37170">
        <w:rPr>
          <w:rFonts w:asciiTheme="minorHAnsi" w:hAnsiTheme="minorHAnsi"/>
          <w:bCs/>
          <w:szCs w:val="24"/>
          <w:lang w:val="en-GB"/>
        </w:rPr>
        <w:t xml:space="preserve"> </w:t>
      </w:r>
      <w:r w:rsidR="007250E8">
        <w:rPr>
          <w:rFonts w:asciiTheme="minorHAnsi" w:hAnsiTheme="minorHAnsi"/>
          <w:bCs/>
          <w:szCs w:val="24"/>
          <w:lang w:val="en-GB"/>
        </w:rPr>
        <w:t xml:space="preserve">the </w:t>
      </w:r>
      <w:r w:rsidR="00BC77F9">
        <w:rPr>
          <w:rFonts w:asciiTheme="minorHAnsi" w:hAnsiTheme="minorHAnsi"/>
          <w:bCs/>
          <w:szCs w:val="24"/>
          <w:lang w:val="en-GB"/>
        </w:rPr>
        <w:t>typically</w:t>
      </w:r>
      <w:r w:rsidR="00F74C36">
        <w:rPr>
          <w:rFonts w:asciiTheme="minorHAnsi" w:hAnsiTheme="minorHAnsi"/>
          <w:bCs/>
          <w:szCs w:val="24"/>
          <w:lang w:val="en-GB"/>
        </w:rPr>
        <w:t xml:space="preserve"> </w:t>
      </w:r>
      <w:r w:rsidR="007250E8">
        <w:rPr>
          <w:rFonts w:asciiTheme="minorHAnsi" w:hAnsiTheme="minorHAnsi"/>
          <w:bCs/>
          <w:szCs w:val="24"/>
          <w:lang w:val="en-GB"/>
        </w:rPr>
        <w:t>lower</w:t>
      </w:r>
      <w:r w:rsidR="001F72AD">
        <w:rPr>
          <w:rFonts w:asciiTheme="minorHAnsi" w:hAnsiTheme="minorHAnsi"/>
          <w:bCs/>
          <w:szCs w:val="24"/>
          <w:lang w:val="en-GB"/>
        </w:rPr>
        <w:t xml:space="preserve"> vaccine effectivenes</w:t>
      </w:r>
      <w:r w:rsidR="00BC77F9">
        <w:rPr>
          <w:rFonts w:asciiTheme="minorHAnsi" w:hAnsiTheme="minorHAnsi"/>
          <w:bCs/>
          <w:szCs w:val="24"/>
          <w:lang w:val="en-GB"/>
        </w:rPr>
        <w:t>s</w:t>
      </w:r>
      <w:r w:rsidR="00C972BC">
        <w:rPr>
          <w:rFonts w:asciiTheme="minorHAnsi" w:hAnsiTheme="minorHAnsi"/>
          <w:bCs/>
          <w:szCs w:val="24"/>
          <w:lang w:val="en-GB"/>
        </w:rPr>
        <w:t xml:space="preserve"> </w:t>
      </w:r>
      <w:r w:rsidR="007250E8">
        <w:rPr>
          <w:rFonts w:asciiTheme="minorHAnsi" w:hAnsiTheme="minorHAnsi"/>
          <w:bCs/>
          <w:szCs w:val="24"/>
          <w:lang w:val="en-GB"/>
        </w:rPr>
        <w:t xml:space="preserve">observed </w:t>
      </w:r>
      <w:r w:rsidR="00C972BC">
        <w:rPr>
          <w:rFonts w:asciiTheme="minorHAnsi" w:hAnsiTheme="minorHAnsi"/>
          <w:bCs/>
          <w:szCs w:val="24"/>
          <w:lang w:val="en-GB"/>
        </w:rPr>
        <w:t xml:space="preserve">in the proposed population. </w:t>
      </w:r>
      <w:r w:rsidR="00DD43DF">
        <w:rPr>
          <w:rFonts w:asciiTheme="minorHAnsi" w:hAnsiTheme="minorHAnsi"/>
          <w:bCs/>
          <w:szCs w:val="24"/>
          <w:lang w:val="en-GB"/>
        </w:rPr>
        <w:t xml:space="preserve">  The PBAC </w:t>
      </w:r>
      <w:r w:rsidR="00117A7A">
        <w:rPr>
          <w:rFonts w:asciiTheme="minorHAnsi" w:hAnsiTheme="minorHAnsi"/>
          <w:bCs/>
          <w:szCs w:val="24"/>
          <w:lang w:val="en-GB"/>
        </w:rPr>
        <w:t>noted</w:t>
      </w:r>
      <w:r w:rsidR="00DD43DF">
        <w:rPr>
          <w:rFonts w:asciiTheme="minorHAnsi" w:hAnsiTheme="minorHAnsi"/>
          <w:bCs/>
          <w:szCs w:val="24"/>
          <w:lang w:val="en-GB"/>
        </w:rPr>
        <w:t xml:space="preserve"> that </w:t>
      </w:r>
      <w:r w:rsidR="001F72AD">
        <w:rPr>
          <w:rFonts w:asciiTheme="minorHAnsi" w:hAnsiTheme="minorHAnsi"/>
          <w:bCs/>
          <w:szCs w:val="24"/>
          <w:lang w:val="en-GB"/>
        </w:rPr>
        <w:t xml:space="preserve">community awareness and </w:t>
      </w:r>
      <w:r w:rsidR="00DD43DF">
        <w:rPr>
          <w:rFonts w:asciiTheme="minorHAnsi" w:hAnsiTheme="minorHAnsi"/>
          <w:bCs/>
          <w:szCs w:val="24"/>
          <w:lang w:val="en-GB"/>
        </w:rPr>
        <w:t xml:space="preserve">influenza testing </w:t>
      </w:r>
      <w:r w:rsidR="001F72AD">
        <w:rPr>
          <w:rFonts w:asciiTheme="minorHAnsi" w:hAnsiTheme="minorHAnsi"/>
          <w:bCs/>
          <w:szCs w:val="24"/>
          <w:lang w:val="en-GB"/>
        </w:rPr>
        <w:t>have increased</w:t>
      </w:r>
      <w:r w:rsidR="0039037F" w:rsidRPr="0039037F">
        <w:rPr>
          <w:rFonts w:asciiTheme="minorHAnsi" w:hAnsiTheme="minorHAnsi"/>
          <w:bCs/>
          <w:szCs w:val="24"/>
          <w:lang w:val="en-GB"/>
        </w:rPr>
        <w:t xml:space="preserve"> </w:t>
      </w:r>
      <w:r w:rsidR="0039037F">
        <w:rPr>
          <w:rFonts w:asciiTheme="minorHAnsi" w:hAnsiTheme="minorHAnsi"/>
          <w:bCs/>
          <w:szCs w:val="24"/>
          <w:lang w:val="en-GB"/>
        </w:rPr>
        <w:t>over time</w:t>
      </w:r>
      <w:r w:rsidR="001F72AD">
        <w:rPr>
          <w:rFonts w:asciiTheme="minorHAnsi" w:hAnsiTheme="minorHAnsi"/>
          <w:bCs/>
          <w:szCs w:val="24"/>
          <w:lang w:val="en-GB"/>
        </w:rPr>
        <w:t>, making laboratory confirmed rates of influenza</w:t>
      </w:r>
      <w:r w:rsidR="00D37170">
        <w:rPr>
          <w:rFonts w:asciiTheme="minorHAnsi" w:hAnsiTheme="minorHAnsi"/>
          <w:bCs/>
          <w:szCs w:val="24"/>
          <w:lang w:val="en-GB"/>
        </w:rPr>
        <w:t xml:space="preserve"> </w:t>
      </w:r>
      <w:r w:rsidR="0039037F">
        <w:rPr>
          <w:rFonts w:asciiTheme="minorHAnsi" w:hAnsiTheme="minorHAnsi"/>
          <w:bCs/>
          <w:szCs w:val="24"/>
          <w:lang w:val="en-GB"/>
        </w:rPr>
        <w:t>data</w:t>
      </w:r>
      <w:r w:rsidR="001F72AD">
        <w:rPr>
          <w:rFonts w:asciiTheme="minorHAnsi" w:hAnsiTheme="minorHAnsi"/>
          <w:bCs/>
          <w:szCs w:val="24"/>
          <w:lang w:val="en-GB"/>
        </w:rPr>
        <w:t xml:space="preserve"> </w:t>
      </w:r>
      <w:r w:rsidR="00D37170">
        <w:rPr>
          <w:rFonts w:asciiTheme="minorHAnsi" w:hAnsiTheme="minorHAnsi"/>
          <w:bCs/>
          <w:szCs w:val="24"/>
          <w:lang w:val="en-GB"/>
        </w:rPr>
        <w:t xml:space="preserve">difficult to </w:t>
      </w:r>
      <w:r w:rsidR="0039037F">
        <w:rPr>
          <w:rFonts w:asciiTheme="minorHAnsi" w:hAnsiTheme="minorHAnsi"/>
          <w:bCs/>
          <w:szCs w:val="24"/>
          <w:lang w:val="en-GB"/>
        </w:rPr>
        <w:t>compare</w:t>
      </w:r>
      <w:r w:rsidR="00871035">
        <w:rPr>
          <w:rFonts w:asciiTheme="minorHAnsi" w:hAnsiTheme="minorHAnsi"/>
          <w:bCs/>
          <w:szCs w:val="24"/>
          <w:lang w:val="en-GB"/>
        </w:rPr>
        <w:t xml:space="preserve"> over time</w:t>
      </w:r>
      <w:r w:rsidR="001F72AD">
        <w:rPr>
          <w:rFonts w:asciiTheme="minorHAnsi" w:hAnsiTheme="minorHAnsi"/>
          <w:bCs/>
          <w:szCs w:val="24"/>
          <w:lang w:val="en-GB"/>
        </w:rPr>
        <w:t>.</w:t>
      </w:r>
    </w:p>
    <w:p w:rsidR="00325CE1" w:rsidRDefault="0014298E" w:rsidP="00767DDD">
      <w:pPr>
        <w:widowControl/>
        <w:numPr>
          <w:ilvl w:val="1"/>
          <w:numId w:val="1"/>
        </w:numPr>
        <w:spacing w:after="120"/>
        <w:rPr>
          <w:rFonts w:asciiTheme="minorHAnsi" w:hAnsiTheme="minorHAnsi"/>
          <w:bCs/>
          <w:szCs w:val="24"/>
          <w:lang w:val="en-GB"/>
        </w:rPr>
      </w:pPr>
      <w:r>
        <w:rPr>
          <w:rFonts w:asciiTheme="minorHAnsi" w:hAnsiTheme="minorHAnsi"/>
          <w:bCs/>
          <w:szCs w:val="24"/>
          <w:lang w:val="en-GB"/>
        </w:rPr>
        <w:t>The PBAC agree</w:t>
      </w:r>
      <w:r w:rsidR="00E479BA">
        <w:rPr>
          <w:rFonts w:asciiTheme="minorHAnsi" w:hAnsiTheme="minorHAnsi"/>
          <w:bCs/>
          <w:szCs w:val="24"/>
          <w:lang w:val="en-GB"/>
        </w:rPr>
        <w:t xml:space="preserve">d </w:t>
      </w:r>
      <w:r w:rsidR="007E6B8F">
        <w:rPr>
          <w:rFonts w:asciiTheme="minorHAnsi" w:hAnsiTheme="minorHAnsi"/>
          <w:bCs/>
          <w:szCs w:val="24"/>
          <w:lang w:val="en-GB"/>
        </w:rPr>
        <w:t>that</w:t>
      </w:r>
      <w:r w:rsidR="00E479BA">
        <w:rPr>
          <w:rFonts w:asciiTheme="minorHAnsi" w:hAnsiTheme="minorHAnsi"/>
          <w:bCs/>
          <w:szCs w:val="24"/>
          <w:lang w:val="en-GB"/>
        </w:rPr>
        <w:t xml:space="preserve"> the proposed comparator</w:t>
      </w:r>
      <w:r w:rsidR="007E6B8F">
        <w:rPr>
          <w:rFonts w:asciiTheme="minorHAnsi" w:hAnsiTheme="minorHAnsi"/>
          <w:bCs/>
          <w:szCs w:val="24"/>
          <w:lang w:val="en-GB"/>
        </w:rPr>
        <w:t>,</w:t>
      </w:r>
      <w:r w:rsidR="00E479BA">
        <w:rPr>
          <w:rFonts w:asciiTheme="minorHAnsi" w:hAnsiTheme="minorHAnsi"/>
          <w:bCs/>
          <w:szCs w:val="24"/>
          <w:lang w:val="en-GB"/>
        </w:rPr>
        <w:t xml:space="preserve"> </w:t>
      </w:r>
      <w:proofErr w:type="spellStart"/>
      <w:r>
        <w:rPr>
          <w:rFonts w:asciiTheme="minorHAnsi" w:hAnsiTheme="minorHAnsi"/>
          <w:bCs/>
          <w:szCs w:val="24"/>
          <w:lang w:val="en-GB"/>
        </w:rPr>
        <w:t>quadrivalent</w:t>
      </w:r>
      <w:proofErr w:type="spellEnd"/>
      <w:r>
        <w:rPr>
          <w:rFonts w:asciiTheme="minorHAnsi" w:hAnsiTheme="minorHAnsi"/>
          <w:bCs/>
          <w:szCs w:val="24"/>
          <w:lang w:val="en-GB"/>
        </w:rPr>
        <w:t xml:space="preserve"> influenza vaccine (QIV</w:t>
      </w:r>
      <w:r w:rsidR="001648BC">
        <w:rPr>
          <w:rFonts w:asciiTheme="minorHAnsi" w:hAnsiTheme="minorHAnsi"/>
          <w:bCs/>
          <w:szCs w:val="24"/>
          <w:lang w:val="en-GB"/>
        </w:rPr>
        <w:t>-</w:t>
      </w:r>
      <w:r w:rsidR="00E479BA">
        <w:rPr>
          <w:rFonts w:asciiTheme="minorHAnsi" w:hAnsiTheme="minorHAnsi"/>
          <w:bCs/>
          <w:szCs w:val="24"/>
          <w:lang w:val="en-GB"/>
        </w:rPr>
        <w:t>SD</w:t>
      </w:r>
      <w:r>
        <w:rPr>
          <w:rFonts w:asciiTheme="minorHAnsi" w:hAnsiTheme="minorHAnsi"/>
          <w:bCs/>
          <w:szCs w:val="24"/>
          <w:lang w:val="en-GB"/>
        </w:rPr>
        <w:t>) currently listed on the NIP for use in the proposed population</w:t>
      </w:r>
      <w:r w:rsidR="007E6B8F">
        <w:rPr>
          <w:rFonts w:asciiTheme="minorHAnsi" w:hAnsiTheme="minorHAnsi"/>
          <w:bCs/>
          <w:szCs w:val="24"/>
          <w:lang w:val="en-GB"/>
        </w:rPr>
        <w:t>, was appropriate.</w:t>
      </w:r>
      <w:r w:rsidR="00E479BA">
        <w:rPr>
          <w:rFonts w:asciiTheme="minorHAnsi" w:hAnsiTheme="minorHAnsi"/>
          <w:bCs/>
          <w:szCs w:val="24"/>
          <w:lang w:val="en-GB"/>
        </w:rPr>
        <w:t xml:space="preserve">  The PBAC considered </w:t>
      </w:r>
      <w:proofErr w:type="spellStart"/>
      <w:r w:rsidR="00E479BA">
        <w:rPr>
          <w:rFonts w:asciiTheme="minorHAnsi" w:hAnsiTheme="minorHAnsi"/>
          <w:bCs/>
          <w:szCs w:val="24"/>
          <w:lang w:val="en-GB"/>
        </w:rPr>
        <w:t>aTIV</w:t>
      </w:r>
      <w:proofErr w:type="spellEnd"/>
      <w:r w:rsidR="00E479BA">
        <w:rPr>
          <w:rFonts w:asciiTheme="minorHAnsi" w:hAnsiTheme="minorHAnsi"/>
          <w:bCs/>
          <w:szCs w:val="24"/>
          <w:lang w:val="en-GB"/>
        </w:rPr>
        <w:t xml:space="preserve"> to be a </w:t>
      </w:r>
      <w:r w:rsidR="00505C18">
        <w:rPr>
          <w:rFonts w:asciiTheme="minorHAnsi" w:hAnsiTheme="minorHAnsi"/>
          <w:bCs/>
          <w:szCs w:val="24"/>
          <w:lang w:val="en-GB"/>
        </w:rPr>
        <w:t>near-market</w:t>
      </w:r>
      <w:r w:rsidR="00E479BA">
        <w:rPr>
          <w:rFonts w:asciiTheme="minorHAnsi" w:hAnsiTheme="minorHAnsi"/>
          <w:bCs/>
          <w:szCs w:val="24"/>
          <w:lang w:val="en-GB"/>
        </w:rPr>
        <w:t xml:space="preserve"> comparator</w:t>
      </w:r>
      <w:r w:rsidR="007E6B8F">
        <w:rPr>
          <w:rFonts w:asciiTheme="minorHAnsi" w:hAnsiTheme="minorHAnsi"/>
          <w:bCs/>
          <w:szCs w:val="24"/>
          <w:lang w:val="en-GB"/>
        </w:rPr>
        <w:t xml:space="preserve"> as </w:t>
      </w:r>
      <w:proofErr w:type="spellStart"/>
      <w:r w:rsidR="00325CE1">
        <w:rPr>
          <w:rFonts w:asciiTheme="minorHAnsi" w:hAnsiTheme="minorHAnsi"/>
          <w:bCs/>
          <w:szCs w:val="24"/>
          <w:lang w:val="en-GB"/>
        </w:rPr>
        <w:t>aTIV</w:t>
      </w:r>
      <w:proofErr w:type="spellEnd"/>
      <w:r w:rsidR="00325CE1">
        <w:rPr>
          <w:rFonts w:asciiTheme="minorHAnsi" w:hAnsiTheme="minorHAnsi"/>
          <w:bCs/>
          <w:szCs w:val="24"/>
          <w:lang w:val="en-GB"/>
        </w:rPr>
        <w:t xml:space="preserve"> is listed on the NIP for 2018. </w:t>
      </w:r>
    </w:p>
    <w:p w:rsidR="00011358" w:rsidRPr="00011358" w:rsidRDefault="002B7181" w:rsidP="002B7181">
      <w:pPr>
        <w:pStyle w:val="ListParagraph"/>
        <w:widowControl/>
        <w:numPr>
          <w:ilvl w:val="1"/>
          <w:numId w:val="1"/>
        </w:numPr>
      </w:pPr>
      <w:r>
        <w:rPr>
          <w:rFonts w:asciiTheme="minorHAnsi" w:hAnsiTheme="minorHAnsi"/>
          <w:bCs/>
          <w:szCs w:val="24"/>
          <w:lang w:val="en-GB"/>
        </w:rPr>
        <w:t xml:space="preserve">The PBAC </w:t>
      </w:r>
      <w:r w:rsidR="00D37170">
        <w:rPr>
          <w:rFonts w:asciiTheme="minorHAnsi" w:hAnsiTheme="minorHAnsi"/>
          <w:bCs/>
          <w:szCs w:val="24"/>
          <w:lang w:val="en-GB"/>
        </w:rPr>
        <w:t>noted</w:t>
      </w:r>
      <w:r w:rsidRPr="002B7181">
        <w:rPr>
          <w:rFonts w:cs="Calibri"/>
          <w:snapToGrid/>
          <w:szCs w:val="24"/>
          <w:lang w:eastAsia="en-AU"/>
        </w:rPr>
        <w:t xml:space="preserve"> </w:t>
      </w:r>
      <w:r>
        <w:rPr>
          <w:rFonts w:cs="Calibri"/>
          <w:snapToGrid/>
          <w:szCs w:val="24"/>
          <w:lang w:eastAsia="en-AU"/>
        </w:rPr>
        <w:t>t</w:t>
      </w:r>
      <w:r w:rsidRPr="0048534D">
        <w:rPr>
          <w:rFonts w:cs="Calibri"/>
          <w:snapToGrid/>
          <w:szCs w:val="24"/>
          <w:lang w:eastAsia="en-AU"/>
        </w:rPr>
        <w:t xml:space="preserve">he submission was based on two </w:t>
      </w:r>
      <w:r w:rsidR="009B41A4">
        <w:rPr>
          <w:rFonts w:cs="Calibri"/>
          <w:snapToGrid/>
          <w:szCs w:val="24"/>
          <w:lang w:eastAsia="en-AU"/>
        </w:rPr>
        <w:t xml:space="preserve">large </w:t>
      </w:r>
      <w:r w:rsidR="0039037F">
        <w:rPr>
          <w:rFonts w:cs="Calibri"/>
          <w:snapToGrid/>
          <w:szCs w:val="24"/>
          <w:lang w:eastAsia="en-AU"/>
        </w:rPr>
        <w:t>randomised controlled trials (</w:t>
      </w:r>
      <w:r>
        <w:rPr>
          <w:rFonts w:cs="Calibri"/>
          <w:snapToGrid/>
          <w:szCs w:val="24"/>
          <w:lang w:eastAsia="en-AU"/>
        </w:rPr>
        <w:t>RCTs</w:t>
      </w:r>
      <w:r w:rsidR="0039037F">
        <w:rPr>
          <w:rFonts w:cs="Calibri"/>
          <w:snapToGrid/>
          <w:szCs w:val="24"/>
          <w:lang w:eastAsia="en-AU"/>
        </w:rPr>
        <w:t>)</w:t>
      </w:r>
      <w:r w:rsidRPr="0048534D">
        <w:rPr>
          <w:rFonts w:cs="Calibri"/>
          <w:snapToGrid/>
          <w:szCs w:val="24"/>
          <w:lang w:eastAsia="en-AU"/>
        </w:rPr>
        <w:t xml:space="preserve"> comparing TIV-HD to TIV-SD</w:t>
      </w:r>
      <w:r>
        <w:rPr>
          <w:rFonts w:cs="Calibri"/>
          <w:snapToGrid/>
          <w:szCs w:val="24"/>
          <w:lang w:eastAsia="en-AU"/>
        </w:rPr>
        <w:t xml:space="preserve"> </w:t>
      </w:r>
      <w:r w:rsidR="007E43FB">
        <w:rPr>
          <w:rFonts w:cs="Calibri"/>
          <w:snapToGrid/>
          <w:szCs w:val="24"/>
          <w:lang w:eastAsia="en-AU"/>
        </w:rPr>
        <w:t>(</w:t>
      </w:r>
      <w:r w:rsidR="007E43FB" w:rsidRPr="0048534D">
        <w:rPr>
          <w:rFonts w:cs="Calibri"/>
          <w:snapToGrid/>
          <w:szCs w:val="24"/>
          <w:lang w:eastAsia="en-AU"/>
        </w:rPr>
        <w:t>FIM12</w:t>
      </w:r>
      <w:r w:rsidR="007E43FB">
        <w:rPr>
          <w:rFonts w:cs="Calibri"/>
          <w:snapToGrid/>
          <w:szCs w:val="24"/>
          <w:lang w:eastAsia="en-AU"/>
        </w:rPr>
        <w:t xml:space="preserve"> and </w:t>
      </w:r>
      <w:proofErr w:type="spellStart"/>
      <w:r w:rsidR="007E43FB" w:rsidRPr="008B2FD3">
        <w:t>Gravenstein</w:t>
      </w:r>
      <w:proofErr w:type="spellEnd"/>
      <w:r w:rsidR="007E43FB">
        <w:t>)</w:t>
      </w:r>
      <w:r w:rsidR="007E43FB">
        <w:rPr>
          <w:rFonts w:cs="Calibri"/>
          <w:snapToGrid/>
          <w:szCs w:val="24"/>
          <w:lang w:eastAsia="en-AU"/>
        </w:rPr>
        <w:t xml:space="preserve"> </w:t>
      </w:r>
      <w:r>
        <w:rPr>
          <w:rFonts w:cs="Calibri"/>
          <w:snapToGrid/>
          <w:szCs w:val="24"/>
          <w:lang w:eastAsia="en-AU"/>
        </w:rPr>
        <w:t xml:space="preserve">and a supplementary analysis of </w:t>
      </w:r>
      <w:r w:rsidR="007E43FB" w:rsidRPr="0048534D">
        <w:rPr>
          <w:rFonts w:cs="Calibri"/>
          <w:snapToGrid/>
          <w:szCs w:val="24"/>
          <w:lang w:eastAsia="en-AU"/>
        </w:rPr>
        <w:t>FIM12</w:t>
      </w:r>
      <w:r w:rsidR="007E43FB">
        <w:rPr>
          <w:rFonts w:cs="Calibri"/>
          <w:snapToGrid/>
          <w:szCs w:val="24"/>
          <w:lang w:eastAsia="en-AU"/>
        </w:rPr>
        <w:t xml:space="preserve"> (</w:t>
      </w:r>
      <w:proofErr w:type="spellStart"/>
      <w:r w:rsidR="007E43FB" w:rsidRPr="008B2FD3">
        <w:rPr>
          <w:rFonts w:cs="Calibri"/>
          <w:snapToGrid/>
          <w:szCs w:val="24"/>
          <w:lang w:eastAsia="en-AU"/>
        </w:rPr>
        <w:t>DiazGranados</w:t>
      </w:r>
      <w:proofErr w:type="spellEnd"/>
      <w:r w:rsidR="007E43FB">
        <w:rPr>
          <w:rFonts w:cs="Calibri"/>
          <w:snapToGrid/>
          <w:szCs w:val="24"/>
          <w:lang w:eastAsia="en-AU"/>
        </w:rPr>
        <w:t>)</w:t>
      </w:r>
      <w:r>
        <w:rPr>
          <w:rFonts w:cs="Calibri"/>
          <w:snapToGrid/>
          <w:szCs w:val="24"/>
          <w:lang w:eastAsia="en-AU"/>
        </w:rPr>
        <w:t xml:space="preserve">.  The PBAC noted that the studies were conducted in </w:t>
      </w:r>
      <w:r w:rsidR="009E522F">
        <w:rPr>
          <w:rFonts w:cs="Calibri"/>
          <w:snapToGrid/>
          <w:szCs w:val="24"/>
          <w:lang w:eastAsia="en-AU"/>
        </w:rPr>
        <w:t>North America</w:t>
      </w:r>
      <w:r w:rsidR="00573BA5">
        <w:rPr>
          <w:rFonts w:cs="Calibri"/>
          <w:snapToGrid/>
          <w:szCs w:val="24"/>
          <w:lang w:eastAsia="en-AU"/>
        </w:rPr>
        <w:t xml:space="preserve"> over two</w:t>
      </w:r>
      <w:r w:rsidR="006E76E9">
        <w:rPr>
          <w:rFonts w:cs="Calibri"/>
          <w:snapToGrid/>
          <w:szCs w:val="24"/>
          <w:lang w:eastAsia="en-AU"/>
        </w:rPr>
        <w:t xml:space="preserve"> low and </w:t>
      </w:r>
      <w:r w:rsidR="00325CE1">
        <w:rPr>
          <w:rFonts w:cs="Calibri"/>
          <w:snapToGrid/>
          <w:szCs w:val="24"/>
          <w:lang w:eastAsia="en-AU"/>
        </w:rPr>
        <w:t>one</w:t>
      </w:r>
      <w:r w:rsidR="006E76E9">
        <w:rPr>
          <w:rFonts w:cs="Calibri"/>
          <w:snapToGrid/>
          <w:szCs w:val="24"/>
          <w:lang w:eastAsia="en-AU"/>
        </w:rPr>
        <w:t xml:space="preserve"> moderate influenza season</w:t>
      </w:r>
      <w:r w:rsidR="002D29F9">
        <w:rPr>
          <w:rFonts w:cs="Calibri"/>
          <w:snapToGrid/>
          <w:szCs w:val="24"/>
          <w:lang w:eastAsia="en-AU"/>
        </w:rPr>
        <w:t>.</w:t>
      </w:r>
      <w:r w:rsidR="002B0904">
        <w:rPr>
          <w:rFonts w:cs="Calibri"/>
          <w:snapToGrid/>
          <w:szCs w:val="24"/>
          <w:lang w:eastAsia="en-AU"/>
        </w:rPr>
        <w:t xml:space="preserve">  </w:t>
      </w:r>
    </w:p>
    <w:p w:rsidR="003C47AD" w:rsidRPr="00B83749" w:rsidRDefault="002B7181" w:rsidP="003C47AD">
      <w:pPr>
        <w:pStyle w:val="ListParagraph"/>
        <w:widowControl/>
        <w:numPr>
          <w:ilvl w:val="1"/>
          <w:numId w:val="1"/>
        </w:numPr>
        <w:rPr>
          <w:rFonts w:cs="Calibri"/>
          <w:snapToGrid/>
          <w:szCs w:val="24"/>
          <w:lang w:eastAsia="en-AU"/>
        </w:rPr>
      </w:pPr>
      <w:r>
        <w:rPr>
          <w:rFonts w:asciiTheme="minorHAnsi" w:hAnsiTheme="minorHAnsi"/>
          <w:bCs/>
          <w:szCs w:val="24"/>
          <w:lang w:val="en-GB"/>
        </w:rPr>
        <w:lastRenderedPageBreak/>
        <w:t>T</w:t>
      </w:r>
      <w:r w:rsidR="0014298E">
        <w:rPr>
          <w:rFonts w:asciiTheme="minorHAnsi" w:hAnsiTheme="minorHAnsi"/>
          <w:bCs/>
          <w:szCs w:val="24"/>
          <w:lang w:val="en-GB"/>
        </w:rPr>
        <w:t>he PBAC considered that the clinical trials supporti</w:t>
      </w:r>
      <w:r w:rsidR="0039037F">
        <w:rPr>
          <w:rFonts w:asciiTheme="minorHAnsi" w:hAnsiTheme="minorHAnsi"/>
          <w:bCs/>
          <w:szCs w:val="24"/>
          <w:lang w:val="en-GB"/>
        </w:rPr>
        <w:t>ng the submission demonstrated</w:t>
      </w:r>
      <w:r w:rsidR="00560707">
        <w:rPr>
          <w:rFonts w:asciiTheme="minorHAnsi" w:hAnsiTheme="minorHAnsi"/>
          <w:bCs/>
          <w:szCs w:val="24"/>
          <w:lang w:val="en-GB"/>
        </w:rPr>
        <w:t xml:space="preserve"> </w:t>
      </w:r>
      <w:r w:rsidR="0014298E">
        <w:rPr>
          <w:rFonts w:asciiTheme="minorHAnsi" w:hAnsiTheme="minorHAnsi"/>
          <w:bCs/>
          <w:szCs w:val="24"/>
          <w:lang w:val="en-GB"/>
        </w:rPr>
        <w:t>benefit</w:t>
      </w:r>
      <w:r w:rsidR="00B0060E">
        <w:rPr>
          <w:rFonts w:asciiTheme="minorHAnsi" w:hAnsiTheme="minorHAnsi"/>
          <w:bCs/>
          <w:szCs w:val="24"/>
          <w:lang w:val="en-GB"/>
        </w:rPr>
        <w:t>s</w:t>
      </w:r>
      <w:r w:rsidR="0014298E">
        <w:rPr>
          <w:rFonts w:asciiTheme="minorHAnsi" w:hAnsiTheme="minorHAnsi"/>
          <w:bCs/>
          <w:szCs w:val="24"/>
          <w:lang w:val="en-GB"/>
        </w:rPr>
        <w:t xml:space="preserve"> of TIV-HD compared to TIV</w:t>
      </w:r>
      <w:r w:rsidR="001A2DC1">
        <w:rPr>
          <w:rFonts w:asciiTheme="minorHAnsi" w:hAnsiTheme="minorHAnsi"/>
          <w:bCs/>
          <w:szCs w:val="24"/>
          <w:lang w:val="en-GB"/>
        </w:rPr>
        <w:t>-SD</w:t>
      </w:r>
      <w:r w:rsidR="0014298E">
        <w:rPr>
          <w:rFonts w:asciiTheme="minorHAnsi" w:hAnsiTheme="minorHAnsi"/>
          <w:bCs/>
          <w:szCs w:val="24"/>
          <w:lang w:val="en-GB"/>
        </w:rPr>
        <w:t xml:space="preserve"> in </w:t>
      </w:r>
      <w:r w:rsidR="00142542" w:rsidRPr="008B2FD3">
        <w:rPr>
          <w:rFonts w:cs="Calibri"/>
          <w:snapToGrid/>
          <w:szCs w:val="24"/>
          <w:lang w:eastAsia="en-AU"/>
        </w:rPr>
        <w:t>laboratory</w:t>
      </w:r>
      <w:r w:rsidR="00142542" w:rsidRPr="008B2FD3">
        <w:rPr>
          <w:rFonts w:cs="Calibri"/>
          <w:snapToGrid/>
          <w:szCs w:val="24"/>
          <w:lang w:eastAsia="en-AU"/>
        </w:rPr>
        <w:noBreakHyphen/>
        <w:t>confirmed influenza and associated cardio-respiratory events</w:t>
      </w:r>
      <w:r w:rsidR="00912407">
        <w:rPr>
          <w:rFonts w:cs="Calibri"/>
          <w:snapToGrid/>
          <w:szCs w:val="24"/>
          <w:lang w:eastAsia="en-AU"/>
        </w:rPr>
        <w:t xml:space="preserve">. The PBAC noted that </w:t>
      </w:r>
      <w:r w:rsidR="00767DDD">
        <w:rPr>
          <w:rFonts w:cs="Calibri"/>
          <w:snapToGrid/>
          <w:szCs w:val="24"/>
          <w:lang w:eastAsia="en-AU"/>
        </w:rPr>
        <w:t xml:space="preserve">in the FIM12 study </w:t>
      </w:r>
      <w:r w:rsidR="00912407">
        <w:rPr>
          <w:rFonts w:cs="Calibri"/>
          <w:snapToGrid/>
          <w:szCs w:val="24"/>
          <w:lang w:eastAsia="en-AU"/>
        </w:rPr>
        <w:t xml:space="preserve">TIV-HD demonstrated </w:t>
      </w:r>
      <w:r w:rsidR="00D03A1D">
        <w:rPr>
          <w:rFonts w:cs="Calibri"/>
          <w:snapToGrid/>
          <w:szCs w:val="24"/>
          <w:lang w:eastAsia="en-AU"/>
        </w:rPr>
        <w:t xml:space="preserve">a relative vaccine efficacy of </w:t>
      </w:r>
      <w:r w:rsidR="00560707">
        <w:rPr>
          <w:rFonts w:cs="Calibri"/>
          <w:snapToGrid/>
          <w:szCs w:val="24"/>
          <w:lang w:eastAsia="en-AU"/>
        </w:rPr>
        <w:t>24.2</w:t>
      </w:r>
      <w:r w:rsidR="00B31133">
        <w:rPr>
          <w:rFonts w:cs="Calibri"/>
          <w:snapToGrid/>
          <w:szCs w:val="24"/>
          <w:lang w:eastAsia="en-AU"/>
        </w:rPr>
        <w:t xml:space="preserve">% against </w:t>
      </w:r>
      <w:r w:rsidR="00F63B4D">
        <w:rPr>
          <w:rFonts w:cs="Calibri"/>
          <w:snapToGrid/>
          <w:szCs w:val="24"/>
          <w:lang w:eastAsia="en-AU"/>
        </w:rPr>
        <w:t>protocol defined influenza lik</w:t>
      </w:r>
      <w:r w:rsidR="00F63B4D" w:rsidRPr="00F63B4D">
        <w:rPr>
          <w:rFonts w:cs="Calibri"/>
          <w:snapToGrid/>
          <w:szCs w:val="24"/>
          <w:lang w:eastAsia="en-AU"/>
        </w:rPr>
        <w:t>e illness</w:t>
      </w:r>
      <w:r w:rsidR="005C718B" w:rsidRPr="00F63B4D">
        <w:rPr>
          <w:rFonts w:cs="Calibri"/>
          <w:snapToGrid/>
          <w:szCs w:val="24"/>
          <w:lang w:eastAsia="en-AU"/>
        </w:rPr>
        <w:t>,</w:t>
      </w:r>
      <w:r w:rsidR="00062304" w:rsidRPr="00F63B4D">
        <w:rPr>
          <w:rFonts w:cs="Calibri"/>
          <w:snapToGrid/>
          <w:szCs w:val="24"/>
          <w:lang w:eastAsia="en-AU"/>
        </w:rPr>
        <w:t xml:space="preserve"> </w:t>
      </w:r>
      <w:r w:rsidR="00767DDD">
        <w:rPr>
          <w:rFonts w:cs="Calibri"/>
          <w:snapToGrid/>
          <w:szCs w:val="24"/>
          <w:lang w:eastAsia="en-AU"/>
        </w:rPr>
        <w:t xml:space="preserve">a </w:t>
      </w:r>
      <w:r w:rsidR="00560707">
        <w:rPr>
          <w:rFonts w:cs="Calibri"/>
          <w:snapToGrid/>
          <w:szCs w:val="24"/>
          <w:lang w:eastAsia="en-AU"/>
        </w:rPr>
        <w:t>relative</w:t>
      </w:r>
      <w:r w:rsidR="00062304" w:rsidRPr="00F63B4D">
        <w:rPr>
          <w:rFonts w:cs="Calibri"/>
          <w:snapToGrid/>
          <w:szCs w:val="24"/>
          <w:lang w:eastAsia="en-AU"/>
        </w:rPr>
        <w:t xml:space="preserve"> efficacy against A/H3N2</w:t>
      </w:r>
      <w:r w:rsidR="003C47AD">
        <w:rPr>
          <w:rFonts w:cs="Calibri"/>
          <w:snapToGrid/>
          <w:szCs w:val="24"/>
          <w:lang w:eastAsia="en-AU"/>
        </w:rPr>
        <w:t xml:space="preserve"> of 23.3%</w:t>
      </w:r>
      <w:r w:rsidR="00062304" w:rsidRPr="00F63B4D">
        <w:rPr>
          <w:rFonts w:cs="Calibri"/>
          <w:snapToGrid/>
          <w:szCs w:val="24"/>
          <w:lang w:eastAsia="en-AU"/>
        </w:rPr>
        <w:t xml:space="preserve">, </w:t>
      </w:r>
      <w:r w:rsidR="005C718B" w:rsidRPr="00F63B4D">
        <w:rPr>
          <w:rFonts w:cs="Calibri"/>
          <w:snapToGrid/>
          <w:szCs w:val="24"/>
          <w:lang w:eastAsia="en-AU"/>
        </w:rPr>
        <w:t xml:space="preserve">a </w:t>
      </w:r>
      <w:r w:rsidR="005C718B" w:rsidRPr="005C718B">
        <w:rPr>
          <w:rFonts w:cs="Calibri"/>
          <w:snapToGrid/>
          <w:szCs w:val="24"/>
          <w:lang w:eastAsia="en-AU"/>
        </w:rPr>
        <w:t xml:space="preserve">6.9% </w:t>
      </w:r>
      <w:r w:rsidR="00B214DC">
        <w:rPr>
          <w:rFonts w:cs="Calibri"/>
          <w:snapToGrid/>
          <w:szCs w:val="24"/>
          <w:lang w:eastAsia="en-AU"/>
        </w:rPr>
        <w:t xml:space="preserve">relative </w:t>
      </w:r>
      <w:r w:rsidR="005C718B" w:rsidRPr="005C718B">
        <w:rPr>
          <w:rFonts w:cs="Calibri"/>
          <w:snapToGrid/>
          <w:szCs w:val="24"/>
          <w:lang w:eastAsia="en-AU"/>
        </w:rPr>
        <w:t xml:space="preserve">reduction in all-cause </w:t>
      </w:r>
      <w:r w:rsidR="005C718B">
        <w:rPr>
          <w:rFonts w:cs="Calibri"/>
          <w:snapToGrid/>
          <w:szCs w:val="24"/>
          <w:lang w:eastAsia="en-AU"/>
        </w:rPr>
        <w:t>hospitalisation</w:t>
      </w:r>
      <w:r w:rsidR="00B214DC">
        <w:rPr>
          <w:rFonts w:cs="Calibri"/>
          <w:snapToGrid/>
          <w:szCs w:val="24"/>
          <w:lang w:eastAsia="en-AU"/>
        </w:rPr>
        <w:t xml:space="preserve"> and </w:t>
      </w:r>
      <w:r w:rsidR="00767DDD">
        <w:rPr>
          <w:rFonts w:cs="Calibri"/>
          <w:snapToGrid/>
          <w:szCs w:val="24"/>
          <w:lang w:eastAsia="en-AU"/>
        </w:rPr>
        <w:t xml:space="preserve">a </w:t>
      </w:r>
      <w:r w:rsidR="00062304">
        <w:rPr>
          <w:rFonts w:cs="Calibri"/>
          <w:snapToGrid/>
          <w:szCs w:val="24"/>
          <w:lang w:eastAsia="en-AU"/>
        </w:rPr>
        <w:t>3</w:t>
      </w:r>
      <w:r w:rsidR="005C718B" w:rsidRPr="005C718B">
        <w:rPr>
          <w:rFonts w:cs="Calibri"/>
          <w:snapToGrid/>
          <w:szCs w:val="24"/>
          <w:lang w:eastAsia="en-AU"/>
        </w:rPr>
        <w:t>9.</w:t>
      </w:r>
      <w:r w:rsidR="003C47AD">
        <w:rPr>
          <w:rFonts w:cs="Calibri"/>
          <w:snapToGrid/>
          <w:szCs w:val="24"/>
          <w:lang w:eastAsia="en-AU"/>
        </w:rPr>
        <w:t>8%</w:t>
      </w:r>
      <w:r w:rsidR="00062304">
        <w:rPr>
          <w:rFonts w:cs="Calibri"/>
          <w:snapToGrid/>
          <w:szCs w:val="24"/>
          <w:lang w:eastAsia="en-AU"/>
        </w:rPr>
        <w:t xml:space="preserve"> </w:t>
      </w:r>
      <w:r w:rsidR="00B214DC">
        <w:rPr>
          <w:rFonts w:cs="Calibri"/>
          <w:snapToGrid/>
          <w:szCs w:val="24"/>
          <w:lang w:eastAsia="en-AU"/>
        </w:rPr>
        <w:t xml:space="preserve">relative </w:t>
      </w:r>
      <w:r w:rsidR="00062304">
        <w:rPr>
          <w:rFonts w:cs="Calibri"/>
          <w:snapToGrid/>
          <w:szCs w:val="24"/>
          <w:lang w:eastAsia="en-AU"/>
        </w:rPr>
        <w:t>efficacy against pneumonia</w:t>
      </w:r>
      <w:r w:rsidR="00B31133">
        <w:rPr>
          <w:rFonts w:cs="Calibri"/>
          <w:snapToGrid/>
          <w:szCs w:val="24"/>
          <w:lang w:eastAsia="en-AU"/>
        </w:rPr>
        <w:t xml:space="preserve"> </w:t>
      </w:r>
      <w:r w:rsidR="00912407">
        <w:rPr>
          <w:rFonts w:cs="Calibri"/>
          <w:snapToGrid/>
          <w:szCs w:val="24"/>
          <w:lang w:eastAsia="en-AU"/>
        </w:rPr>
        <w:t xml:space="preserve">events. </w:t>
      </w:r>
      <w:r w:rsidR="00B31133">
        <w:rPr>
          <w:rFonts w:cs="Calibri"/>
          <w:snapToGrid/>
          <w:szCs w:val="24"/>
          <w:lang w:eastAsia="en-AU"/>
        </w:rPr>
        <w:t xml:space="preserve">The PBAC noted </w:t>
      </w:r>
      <w:r w:rsidR="003C47AD">
        <w:rPr>
          <w:rFonts w:asciiTheme="minorHAnsi" w:hAnsiTheme="minorHAnsi"/>
          <w:bCs/>
          <w:szCs w:val="24"/>
          <w:lang w:val="en-GB"/>
        </w:rPr>
        <w:t xml:space="preserve">that </w:t>
      </w:r>
      <w:r w:rsidR="00062304">
        <w:rPr>
          <w:rFonts w:asciiTheme="minorHAnsi" w:hAnsiTheme="minorHAnsi"/>
          <w:bCs/>
          <w:szCs w:val="24"/>
          <w:lang w:val="en-GB"/>
        </w:rPr>
        <w:t xml:space="preserve">reductions </w:t>
      </w:r>
      <w:r w:rsidR="003C47AD">
        <w:rPr>
          <w:rFonts w:asciiTheme="minorHAnsi" w:hAnsiTheme="minorHAnsi"/>
          <w:bCs/>
          <w:szCs w:val="24"/>
          <w:lang w:val="en-GB"/>
        </w:rPr>
        <w:t xml:space="preserve">were seen </w:t>
      </w:r>
      <w:r w:rsidR="00062304">
        <w:rPr>
          <w:rFonts w:asciiTheme="minorHAnsi" w:hAnsiTheme="minorHAnsi"/>
          <w:bCs/>
          <w:szCs w:val="24"/>
          <w:lang w:val="en-GB"/>
        </w:rPr>
        <w:t xml:space="preserve">in a range of other cardiorespiratory diagnoses </w:t>
      </w:r>
      <w:r w:rsidR="003C47AD">
        <w:rPr>
          <w:rFonts w:asciiTheme="minorHAnsi" w:hAnsiTheme="minorHAnsi"/>
          <w:bCs/>
          <w:szCs w:val="24"/>
          <w:lang w:val="en-GB"/>
        </w:rPr>
        <w:t>in FIM12</w:t>
      </w:r>
      <w:r w:rsidR="004052A2">
        <w:rPr>
          <w:rFonts w:asciiTheme="minorHAnsi" w:hAnsiTheme="minorHAnsi"/>
          <w:bCs/>
          <w:szCs w:val="24"/>
          <w:lang w:val="en-GB"/>
        </w:rPr>
        <w:t xml:space="preserve"> although </w:t>
      </w:r>
      <w:r w:rsidR="00062304">
        <w:rPr>
          <w:rFonts w:asciiTheme="minorHAnsi" w:hAnsiTheme="minorHAnsi"/>
          <w:bCs/>
          <w:szCs w:val="24"/>
          <w:lang w:val="en-GB"/>
        </w:rPr>
        <w:t xml:space="preserve">these were not statistically </w:t>
      </w:r>
      <w:r w:rsidR="00062304" w:rsidRPr="00B83749">
        <w:rPr>
          <w:rFonts w:asciiTheme="minorHAnsi" w:hAnsiTheme="minorHAnsi"/>
          <w:bCs/>
          <w:szCs w:val="24"/>
          <w:lang w:val="en-GB"/>
        </w:rPr>
        <w:t>significant</w:t>
      </w:r>
      <w:r w:rsidR="004052A2">
        <w:rPr>
          <w:rFonts w:asciiTheme="minorHAnsi" w:hAnsiTheme="minorHAnsi"/>
          <w:bCs/>
          <w:szCs w:val="24"/>
          <w:lang w:val="en-GB"/>
        </w:rPr>
        <w:t xml:space="preserve"> in isolation</w:t>
      </w:r>
      <w:r w:rsidR="0014298E" w:rsidRPr="00B83749">
        <w:rPr>
          <w:rFonts w:asciiTheme="minorHAnsi" w:hAnsiTheme="minorHAnsi"/>
          <w:bCs/>
          <w:szCs w:val="24"/>
          <w:lang w:val="en-GB"/>
        </w:rPr>
        <w:t xml:space="preserve">.  </w:t>
      </w:r>
      <w:r w:rsidR="00D03A1D" w:rsidRPr="00B83749">
        <w:rPr>
          <w:rFonts w:asciiTheme="minorHAnsi" w:hAnsiTheme="minorHAnsi"/>
          <w:bCs/>
          <w:szCs w:val="24"/>
          <w:lang w:val="en-GB"/>
        </w:rPr>
        <w:t xml:space="preserve">The PBAC noted that the </w:t>
      </w:r>
      <w:r w:rsidR="00396EB9" w:rsidRPr="00B83749">
        <w:rPr>
          <w:rFonts w:asciiTheme="minorHAnsi" w:hAnsiTheme="minorHAnsi"/>
          <w:bCs/>
          <w:szCs w:val="24"/>
          <w:lang w:val="en-GB"/>
        </w:rPr>
        <w:t>data from</w:t>
      </w:r>
      <w:r w:rsidR="00B214DC" w:rsidRPr="00B83749">
        <w:rPr>
          <w:rFonts w:asciiTheme="minorHAnsi" w:hAnsiTheme="minorHAnsi"/>
          <w:bCs/>
          <w:szCs w:val="24"/>
          <w:lang w:val="en-GB"/>
        </w:rPr>
        <w:t xml:space="preserve"> the</w:t>
      </w:r>
      <w:r w:rsidR="00396EB9" w:rsidRPr="00B83749">
        <w:rPr>
          <w:rFonts w:asciiTheme="minorHAnsi" w:hAnsiTheme="minorHAnsi"/>
          <w:bCs/>
          <w:szCs w:val="24"/>
          <w:lang w:val="en-GB"/>
        </w:rPr>
        <w:t xml:space="preserve"> </w:t>
      </w:r>
      <w:proofErr w:type="spellStart"/>
      <w:r w:rsidR="00396EB9" w:rsidRPr="00B83749">
        <w:rPr>
          <w:rFonts w:asciiTheme="minorHAnsi" w:hAnsiTheme="minorHAnsi"/>
          <w:bCs/>
          <w:szCs w:val="24"/>
          <w:lang w:val="en-GB"/>
        </w:rPr>
        <w:t>Gravenstein</w:t>
      </w:r>
      <w:proofErr w:type="spellEnd"/>
      <w:r w:rsidR="00396EB9" w:rsidRPr="00B83749">
        <w:rPr>
          <w:rFonts w:asciiTheme="minorHAnsi" w:hAnsiTheme="minorHAnsi"/>
          <w:bCs/>
          <w:szCs w:val="24"/>
          <w:lang w:val="en-GB"/>
        </w:rPr>
        <w:t xml:space="preserve"> </w:t>
      </w:r>
      <w:r w:rsidR="00B214DC" w:rsidRPr="00B83749">
        <w:rPr>
          <w:rFonts w:asciiTheme="minorHAnsi" w:hAnsiTheme="minorHAnsi"/>
          <w:bCs/>
          <w:szCs w:val="24"/>
          <w:lang w:val="en-GB"/>
        </w:rPr>
        <w:t xml:space="preserve">trial </w:t>
      </w:r>
      <w:r w:rsidR="00FC346C" w:rsidRPr="00B83749">
        <w:rPr>
          <w:rFonts w:asciiTheme="minorHAnsi" w:hAnsiTheme="minorHAnsi"/>
          <w:bCs/>
          <w:szCs w:val="24"/>
          <w:lang w:val="en-GB"/>
        </w:rPr>
        <w:t>demonstrated</w:t>
      </w:r>
      <w:r w:rsidR="00396EB9" w:rsidRPr="00B83749">
        <w:rPr>
          <w:rFonts w:asciiTheme="minorHAnsi" w:hAnsiTheme="minorHAnsi"/>
          <w:bCs/>
          <w:szCs w:val="24"/>
          <w:lang w:val="en-GB"/>
        </w:rPr>
        <w:t xml:space="preserve"> a reduction in hospitalisations for respiratory illnesses and all-cause</w:t>
      </w:r>
      <w:r w:rsidR="003C47AD" w:rsidRPr="00B83749">
        <w:rPr>
          <w:rFonts w:asciiTheme="minorHAnsi" w:hAnsiTheme="minorHAnsi"/>
          <w:bCs/>
          <w:szCs w:val="24"/>
          <w:lang w:val="en-GB"/>
        </w:rPr>
        <w:t>s</w:t>
      </w:r>
      <w:r w:rsidR="004A1E67" w:rsidRPr="00B83749">
        <w:rPr>
          <w:rFonts w:asciiTheme="minorHAnsi" w:hAnsiTheme="minorHAnsi"/>
          <w:bCs/>
          <w:szCs w:val="24"/>
          <w:lang w:val="en-GB"/>
        </w:rPr>
        <w:t xml:space="preserve">. </w:t>
      </w:r>
    </w:p>
    <w:p w:rsidR="0029136B" w:rsidRPr="00B83749" w:rsidRDefault="0014298E" w:rsidP="00767DDD">
      <w:pPr>
        <w:widowControl/>
        <w:numPr>
          <w:ilvl w:val="1"/>
          <w:numId w:val="1"/>
        </w:numPr>
        <w:spacing w:after="120"/>
        <w:rPr>
          <w:rFonts w:asciiTheme="minorHAnsi" w:hAnsiTheme="minorHAnsi"/>
          <w:bCs/>
          <w:i/>
          <w:szCs w:val="24"/>
          <w:lang w:val="en-GB"/>
        </w:rPr>
      </w:pPr>
      <w:r w:rsidRPr="00B83749">
        <w:rPr>
          <w:rFonts w:asciiTheme="minorHAnsi" w:hAnsiTheme="minorHAnsi"/>
          <w:bCs/>
          <w:szCs w:val="24"/>
          <w:lang w:val="en-GB"/>
        </w:rPr>
        <w:t>The PBAC noted that in the absenc</w:t>
      </w:r>
      <w:r w:rsidR="00C644F0" w:rsidRPr="00B83749">
        <w:rPr>
          <w:rFonts w:asciiTheme="minorHAnsi" w:hAnsiTheme="minorHAnsi"/>
          <w:bCs/>
          <w:szCs w:val="24"/>
          <w:lang w:val="en-GB"/>
        </w:rPr>
        <w:t xml:space="preserve">e of data comparing TIV-HD with the comparator </w:t>
      </w:r>
      <w:r w:rsidRPr="00B83749">
        <w:rPr>
          <w:rFonts w:asciiTheme="minorHAnsi" w:hAnsiTheme="minorHAnsi"/>
          <w:bCs/>
          <w:szCs w:val="24"/>
          <w:lang w:val="en-GB"/>
        </w:rPr>
        <w:t>QIV</w:t>
      </w:r>
      <w:r w:rsidR="004A1E67" w:rsidRPr="00B83749">
        <w:rPr>
          <w:rFonts w:asciiTheme="minorHAnsi" w:hAnsiTheme="minorHAnsi"/>
          <w:bCs/>
          <w:szCs w:val="24"/>
          <w:lang w:val="en-GB"/>
        </w:rPr>
        <w:t>-SD</w:t>
      </w:r>
      <w:r w:rsidRPr="00B83749">
        <w:rPr>
          <w:rFonts w:asciiTheme="minorHAnsi" w:hAnsiTheme="minorHAnsi"/>
          <w:bCs/>
          <w:szCs w:val="24"/>
          <w:lang w:val="en-GB"/>
        </w:rPr>
        <w:t xml:space="preserve">, the submission </w:t>
      </w:r>
      <w:r w:rsidR="00142542" w:rsidRPr="00B83749">
        <w:rPr>
          <w:rFonts w:asciiTheme="minorHAnsi" w:hAnsiTheme="minorHAnsi"/>
          <w:bCs/>
          <w:szCs w:val="24"/>
          <w:lang w:val="en-GB"/>
        </w:rPr>
        <w:t>referred to the PBAC’s previous conclusion of non-</w:t>
      </w:r>
      <w:r w:rsidR="002B0904" w:rsidRPr="00B83749">
        <w:rPr>
          <w:rFonts w:asciiTheme="minorHAnsi" w:hAnsiTheme="minorHAnsi"/>
          <w:bCs/>
          <w:szCs w:val="24"/>
          <w:lang w:val="en-GB"/>
        </w:rPr>
        <w:t>inferiority</w:t>
      </w:r>
      <w:r w:rsidR="00142542" w:rsidRPr="00B83749">
        <w:rPr>
          <w:rFonts w:asciiTheme="minorHAnsi" w:hAnsiTheme="minorHAnsi"/>
          <w:bCs/>
          <w:szCs w:val="24"/>
          <w:lang w:val="en-GB"/>
        </w:rPr>
        <w:t xml:space="preserve"> of QIV-SD </w:t>
      </w:r>
      <w:r w:rsidR="003C47AD" w:rsidRPr="00B83749">
        <w:rPr>
          <w:rFonts w:asciiTheme="minorHAnsi" w:hAnsiTheme="minorHAnsi"/>
          <w:bCs/>
          <w:szCs w:val="24"/>
          <w:lang w:val="en-GB"/>
        </w:rPr>
        <w:t>to</w:t>
      </w:r>
      <w:r w:rsidR="00142542" w:rsidRPr="00B83749">
        <w:rPr>
          <w:rFonts w:asciiTheme="minorHAnsi" w:hAnsiTheme="minorHAnsi"/>
          <w:bCs/>
          <w:szCs w:val="24"/>
          <w:lang w:val="en-GB"/>
        </w:rPr>
        <w:t xml:space="preserve"> TIV-SD</w:t>
      </w:r>
      <w:r w:rsidRPr="00B83749">
        <w:rPr>
          <w:rFonts w:asciiTheme="minorHAnsi" w:hAnsiTheme="minorHAnsi"/>
          <w:bCs/>
          <w:szCs w:val="24"/>
          <w:lang w:val="en-GB"/>
        </w:rPr>
        <w:t xml:space="preserve">.  </w:t>
      </w:r>
      <w:r w:rsidR="00B83749">
        <w:rPr>
          <w:rFonts w:asciiTheme="minorHAnsi" w:hAnsiTheme="minorHAnsi"/>
          <w:bCs/>
          <w:szCs w:val="24"/>
          <w:lang w:val="en-GB"/>
        </w:rPr>
        <w:t>The PBAC considered ATAGI’s p</w:t>
      </w:r>
      <w:r w:rsidR="00040E9F" w:rsidRPr="00B83749">
        <w:rPr>
          <w:rFonts w:asciiTheme="minorHAnsi" w:hAnsiTheme="minorHAnsi"/>
          <w:bCs/>
          <w:szCs w:val="24"/>
          <w:lang w:val="en-GB"/>
        </w:rPr>
        <w:t>re-submission advice</w:t>
      </w:r>
      <w:r w:rsidR="00B83749">
        <w:rPr>
          <w:rFonts w:asciiTheme="minorHAnsi" w:hAnsiTheme="minorHAnsi"/>
          <w:bCs/>
          <w:szCs w:val="24"/>
          <w:lang w:val="en-GB"/>
        </w:rPr>
        <w:t xml:space="preserve"> </w:t>
      </w:r>
      <w:r w:rsidR="00040E9F" w:rsidRPr="00B83749">
        <w:rPr>
          <w:rFonts w:asciiTheme="minorHAnsi" w:hAnsiTheme="minorHAnsi"/>
          <w:bCs/>
          <w:szCs w:val="24"/>
          <w:lang w:val="en-GB"/>
        </w:rPr>
        <w:t xml:space="preserve">that </w:t>
      </w:r>
      <w:r w:rsidR="00040E9F" w:rsidRPr="00B83749">
        <w:rPr>
          <w:szCs w:val="24"/>
        </w:rPr>
        <w:t>most years the potential additional disease burden due to the alternative B lineage not included in the TIV-HD is likely to be offset by the potential additional protection provided by the TIV-HD against the common vaccine strains, due to the superior protection afforded by the vaccine against the A/H3 strain, relative to TIV-SD.</w:t>
      </w:r>
      <w:r w:rsidR="0072377B" w:rsidRPr="00B83749">
        <w:rPr>
          <w:szCs w:val="24"/>
        </w:rPr>
        <w:t xml:space="preserve"> However, the PBAC considered that </w:t>
      </w:r>
      <w:r w:rsidR="004052A2">
        <w:rPr>
          <w:szCs w:val="24"/>
        </w:rPr>
        <w:t>the extent to which</w:t>
      </w:r>
      <w:r w:rsidR="0072377B" w:rsidRPr="00B83749">
        <w:rPr>
          <w:szCs w:val="24"/>
        </w:rPr>
        <w:t xml:space="preserve"> the benefits of TIV-HD outweighed the potential loss of protection against the mismatched B strain in QIV-SD compared to TIV-SD remained uncertain given year to year variability in influenza strains and severity of the season. The PBAC noted the NDSS data and ATAGI pre-submission advice (see paragraphs 6.21</w:t>
      </w:r>
      <w:r w:rsidR="00AB0F9A">
        <w:rPr>
          <w:szCs w:val="24"/>
        </w:rPr>
        <w:t xml:space="preserve"> </w:t>
      </w:r>
      <w:r w:rsidR="0072377B" w:rsidRPr="00B83749">
        <w:rPr>
          <w:szCs w:val="24"/>
        </w:rPr>
        <w:t>–</w:t>
      </w:r>
      <w:r w:rsidR="00AB0F9A">
        <w:rPr>
          <w:szCs w:val="24"/>
        </w:rPr>
        <w:t xml:space="preserve"> </w:t>
      </w:r>
      <w:r w:rsidR="0072377B" w:rsidRPr="00B83749">
        <w:rPr>
          <w:szCs w:val="24"/>
        </w:rPr>
        <w:t xml:space="preserve">6.24) that the </w:t>
      </w:r>
      <w:r w:rsidR="0072377B" w:rsidRPr="00B83749">
        <w:rPr>
          <w:rFonts w:asciiTheme="minorHAnsi" w:hAnsiTheme="minorHAnsi"/>
          <w:szCs w:val="20"/>
        </w:rPr>
        <w:t xml:space="preserve">variation in B strain prevalence, </w:t>
      </w:r>
      <w:r w:rsidR="0072377B" w:rsidRPr="00B83749">
        <w:rPr>
          <w:szCs w:val="24"/>
        </w:rPr>
        <w:t>proportion of cases attributable to influenza types A and B among hospitalised influenza cases in the eligible population, and different lineages of B</w:t>
      </w:r>
      <w:r w:rsidR="00BB5607" w:rsidRPr="00B83749">
        <w:rPr>
          <w:szCs w:val="24"/>
        </w:rPr>
        <w:t xml:space="preserve"> strain all varied substantially </w:t>
      </w:r>
      <w:r w:rsidR="004052A2">
        <w:rPr>
          <w:szCs w:val="24"/>
        </w:rPr>
        <w:t>from year to year</w:t>
      </w:r>
      <w:r w:rsidR="00BB5607" w:rsidRPr="00B83749">
        <w:rPr>
          <w:szCs w:val="24"/>
        </w:rPr>
        <w:t xml:space="preserve">. Thus, </w:t>
      </w:r>
      <w:r w:rsidR="004052A2">
        <w:rPr>
          <w:szCs w:val="24"/>
        </w:rPr>
        <w:t xml:space="preserve">while </w:t>
      </w:r>
      <w:r w:rsidR="00BB5607" w:rsidRPr="00B83749">
        <w:rPr>
          <w:szCs w:val="24"/>
        </w:rPr>
        <w:t>the Committee</w:t>
      </w:r>
      <w:r w:rsidR="004052A2">
        <w:rPr>
          <w:szCs w:val="24"/>
        </w:rPr>
        <w:t xml:space="preserve"> accepted that </w:t>
      </w:r>
      <w:r w:rsidR="004A4DA6">
        <w:rPr>
          <w:szCs w:val="24"/>
        </w:rPr>
        <w:t>TIV-HD is likely to be superior to QIV-SD in the target population on average, the Committee</w:t>
      </w:r>
      <w:r w:rsidR="00BB5607" w:rsidRPr="00B83749">
        <w:rPr>
          <w:szCs w:val="24"/>
        </w:rPr>
        <w:t xml:space="preserve"> was not confident </w:t>
      </w:r>
      <w:r w:rsidR="004052A2">
        <w:rPr>
          <w:szCs w:val="24"/>
        </w:rPr>
        <w:t>of</w:t>
      </w:r>
      <w:r w:rsidR="004052A2" w:rsidRPr="00B83749">
        <w:rPr>
          <w:szCs w:val="24"/>
        </w:rPr>
        <w:t xml:space="preserve"> </w:t>
      </w:r>
      <w:r w:rsidR="00BB5607" w:rsidRPr="00B83749">
        <w:rPr>
          <w:szCs w:val="24"/>
        </w:rPr>
        <w:t xml:space="preserve">the </w:t>
      </w:r>
      <w:r w:rsidR="004052A2">
        <w:rPr>
          <w:szCs w:val="24"/>
        </w:rPr>
        <w:t xml:space="preserve">size of any </w:t>
      </w:r>
      <w:r w:rsidR="00BB5607" w:rsidRPr="00B83749">
        <w:rPr>
          <w:szCs w:val="24"/>
        </w:rPr>
        <w:t xml:space="preserve">additional benefit of TIV-HD </w:t>
      </w:r>
      <w:r w:rsidR="004052A2">
        <w:rPr>
          <w:szCs w:val="24"/>
        </w:rPr>
        <w:t>given</w:t>
      </w:r>
      <w:r w:rsidR="00B83749">
        <w:rPr>
          <w:szCs w:val="24"/>
        </w:rPr>
        <w:t xml:space="preserve"> the loss of the additional B stain</w:t>
      </w:r>
      <w:r w:rsidR="00BB5607" w:rsidRPr="00B83749">
        <w:rPr>
          <w:szCs w:val="24"/>
        </w:rPr>
        <w:t>.</w:t>
      </w:r>
    </w:p>
    <w:p w:rsidR="0014298E" w:rsidRDefault="0014298E" w:rsidP="00767DDD">
      <w:pPr>
        <w:widowControl/>
        <w:numPr>
          <w:ilvl w:val="1"/>
          <w:numId w:val="1"/>
        </w:numPr>
        <w:spacing w:after="120"/>
        <w:rPr>
          <w:rFonts w:asciiTheme="minorHAnsi" w:hAnsiTheme="minorHAnsi"/>
          <w:bCs/>
          <w:szCs w:val="24"/>
          <w:lang w:val="en-GB"/>
        </w:rPr>
      </w:pPr>
      <w:r>
        <w:rPr>
          <w:rFonts w:asciiTheme="minorHAnsi" w:hAnsiTheme="minorHAnsi"/>
          <w:bCs/>
          <w:szCs w:val="24"/>
          <w:lang w:val="en-GB"/>
        </w:rPr>
        <w:t xml:space="preserve">The PBAC considered the claim of </w:t>
      </w:r>
      <w:r w:rsidR="00CB61A2">
        <w:rPr>
          <w:rFonts w:asciiTheme="minorHAnsi" w:hAnsiTheme="minorHAnsi"/>
          <w:bCs/>
          <w:szCs w:val="24"/>
          <w:lang w:val="en-GB"/>
        </w:rPr>
        <w:t xml:space="preserve">acceptable </w:t>
      </w:r>
      <w:r>
        <w:rPr>
          <w:rFonts w:asciiTheme="minorHAnsi" w:hAnsiTheme="minorHAnsi"/>
          <w:bCs/>
          <w:szCs w:val="24"/>
          <w:lang w:val="en-GB"/>
        </w:rPr>
        <w:t xml:space="preserve">comparative safety was reasonable.  The PBAC </w:t>
      </w:r>
      <w:r w:rsidR="004A31C1">
        <w:rPr>
          <w:rFonts w:asciiTheme="minorHAnsi" w:hAnsiTheme="minorHAnsi"/>
          <w:bCs/>
          <w:szCs w:val="24"/>
          <w:lang w:val="en-GB"/>
        </w:rPr>
        <w:t>considered</w:t>
      </w:r>
      <w:r>
        <w:rPr>
          <w:rFonts w:asciiTheme="minorHAnsi" w:hAnsiTheme="minorHAnsi"/>
          <w:bCs/>
          <w:szCs w:val="24"/>
          <w:lang w:val="en-GB"/>
        </w:rPr>
        <w:t xml:space="preserve"> that </w:t>
      </w:r>
      <w:r w:rsidR="004A31C1">
        <w:rPr>
          <w:rFonts w:asciiTheme="minorHAnsi" w:hAnsiTheme="minorHAnsi"/>
          <w:bCs/>
          <w:szCs w:val="24"/>
          <w:lang w:val="en-GB"/>
        </w:rPr>
        <w:t>although there was an increased frequency of injection site reactions, these were</w:t>
      </w:r>
      <w:r>
        <w:rPr>
          <w:rFonts w:asciiTheme="minorHAnsi" w:hAnsiTheme="minorHAnsi"/>
          <w:bCs/>
          <w:szCs w:val="24"/>
          <w:lang w:val="en-GB"/>
        </w:rPr>
        <w:t xml:space="preserve"> </w:t>
      </w:r>
      <w:r w:rsidR="004A31C1">
        <w:rPr>
          <w:rFonts w:asciiTheme="minorHAnsi" w:hAnsiTheme="minorHAnsi"/>
          <w:bCs/>
          <w:szCs w:val="24"/>
          <w:lang w:val="en-GB"/>
        </w:rPr>
        <w:t xml:space="preserve">mild to moderate in nature. </w:t>
      </w:r>
      <w:r>
        <w:rPr>
          <w:rFonts w:asciiTheme="minorHAnsi" w:hAnsiTheme="minorHAnsi"/>
          <w:bCs/>
          <w:szCs w:val="24"/>
          <w:lang w:val="en-GB"/>
        </w:rPr>
        <w:t xml:space="preserve">The PBAC </w:t>
      </w:r>
      <w:r w:rsidR="004A31C1">
        <w:rPr>
          <w:rFonts w:asciiTheme="minorHAnsi" w:hAnsiTheme="minorHAnsi"/>
          <w:bCs/>
          <w:szCs w:val="24"/>
          <w:lang w:val="en-GB"/>
        </w:rPr>
        <w:t>recalled that in January 2018 it accepted that TIV-HD had an acceptable safety profile, albeit with a higher frequency of mild to moderate of injection-site reactions compared with TIV-SD</w:t>
      </w:r>
      <w:r w:rsidR="004A31C1">
        <w:rPr>
          <w:rStyle w:val="FootnoteReference"/>
          <w:rFonts w:asciiTheme="minorHAnsi" w:hAnsiTheme="minorHAnsi"/>
          <w:bCs/>
          <w:szCs w:val="24"/>
          <w:lang w:val="en-GB"/>
        </w:rPr>
        <w:footnoteReference w:id="13"/>
      </w:r>
      <w:r w:rsidR="004A31C1">
        <w:rPr>
          <w:rFonts w:asciiTheme="minorHAnsi" w:hAnsiTheme="minorHAnsi"/>
          <w:bCs/>
          <w:szCs w:val="24"/>
          <w:lang w:val="en-GB"/>
        </w:rPr>
        <w:t>.</w:t>
      </w:r>
    </w:p>
    <w:p w:rsidR="0090593E" w:rsidRDefault="00A853D7" w:rsidP="00767DDD">
      <w:pPr>
        <w:widowControl/>
        <w:numPr>
          <w:ilvl w:val="1"/>
          <w:numId w:val="1"/>
        </w:numPr>
        <w:spacing w:after="120"/>
        <w:rPr>
          <w:rFonts w:asciiTheme="minorHAnsi" w:hAnsiTheme="minorHAnsi"/>
          <w:bCs/>
          <w:szCs w:val="24"/>
          <w:lang w:val="en-GB"/>
        </w:rPr>
      </w:pPr>
      <w:r w:rsidRPr="005955F2">
        <w:rPr>
          <w:rFonts w:asciiTheme="minorHAnsi" w:hAnsiTheme="minorHAnsi"/>
          <w:bCs/>
          <w:szCs w:val="24"/>
          <w:lang w:val="en-GB"/>
        </w:rPr>
        <w:t xml:space="preserve">The PBAC </w:t>
      </w:r>
      <w:r w:rsidR="00C3576D" w:rsidRPr="005955F2">
        <w:rPr>
          <w:rFonts w:asciiTheme="minorHAnsi" w:hAnsiTheme="minorHAnsi"/>
          <w:bCs/>
          <w:szCs w:val="24"/>
          <w:lang w:val="en-GB"/>
        </w:rPr>
        <w:t xml:space="preserve">considered </w:t>
      </w:r>
      <w:r w:rsidR="00674858">
        <w:rPr>
          <w:rFonts w:asciiTheme="minorHAnsi" w:hAnsiTheme="minorHAnsi"/>
          <w:bCs/>
          <w:szCs w:val="24"/>
          <w:lang w:val="en-GB"/>
        </w:rPr>
        <w:t xml:space="preserve">the incremental cost-effectiveness </w:t>
      </w:r>
      <w:r w:rsidR="0090593E">
        <w:rPr>
          <w:rFonts w:asciiTheme="minorHAnsi" w:hAnsiTheme="minorHAnsi"/>
          <w:bCs/>
          <w:szCs w:val="24"/>
          <w:lang w:val="en-GB"/>
        </w:rPr>
        <w:t xml:space="preserve">presented </w:t>
      </w:r>
      <w:r w:rsidR="00674858">
        <w:rPr>
          <w:rFonts w:asciiTheme="minorHAnsi" w:hAnsiTheme="minorHAnsi"/>
          <w:bCs/>
          <w:szCs w:val="24"/>
          <w:lang w:val="en-GB"/>
        </w:rPr>
        <w:t xml:space="preserve">to be unreliable </w:t>
      </w:r>
      <w:r w:rsidR="00767DDD">
        <w:rPr>
          <w:rFonts w:asciiTheme="minorHAnsi" w:hAnsiTheme="minorHAnsi"/>
          <w:bCs/>
          <w:szCs w:val="24"/>
          <w:lang w:val="en-GB"/>
        </w:rPr>
        <w:t>given</w:t>
      </w:r>
      <w:r w:rsidR="00674858">
        <w:rPr>
          <w:rFonts w:asciiTheme="minorHAnsi" w:hAnsiTheme="minorHAnsi"/>
          <w:bCs/>
          <w:szCs w:val="24"/>
          <w:lang w:val="en-GB"/>
        </w:rPr>
        <w:t xml:space="preserve"> the clinical issues above and </w:t>
      </w:r>
      <w:r w:rsidR="0090593E">
        <w:rPr>
          <w:rFonts w:asciiTheme="minorHAnsi" w:hAnsiTheme="minorHAnsi"/>
          <w:bCs/>
          <w:szCs w:val="24"/>
          <w:lang w:val="en-GB"/>
        </w:rPr>
        <w:t>considered</w:t>
      </w:r>
      <w:r w:rsidR="00674858">
        <w:rPr>
          <w:rFonts w:asciiTheme="minorHAnsi" w:hAnsiTheme="minorHAnsi"/>
          <w:bCs/>
          <w:szCs w:val="24"/>
          <w:lang w:val="en-GB"/>
        </w:rPr>
        <w:t xml:space="preserve"> scenario analyses</w:t>
      </w:r>
      <w:r w:rsidR="0090593E">
        <w:rPr>
          <w:rFonts w:asciiTheme="minorHAnsi" w:hAnsiTheme="minorHAnsi"/>
          <w:bCs/>
          <w:szCs w:val="24"/>
          <w:lang w:val="en-GB"/>
        </w:rPr>
        <w:t xml:space="preserve"> comparing TIV-</w:t>
      </w:r>
      <w:r w:rsidR="004A4DA6">
        <w:rPr>
          <w:rFonts w:asciiTheme="minorHAnsi" w:hAnsiTheme="minorHAnsi"/>
          <w:bCs/>
          <w:szCs w:val="24"/>
          <w:lang w:val="en-GB"/>
        </w:rPr>
        <w:t>H</w:t>
      </w:r>
      <w:r w:rsidR="0090593E">
        <w:rPr>
          <w:rFonts w:asciiTheme="minorHAnsi" w:hAnsiTheme="minorHAnsi"/>
          <w:bCs/>
          <w:szCs w:val="24"/>
          <w:lang w:val="en-GB"/>
        </w:rPr>
        <w:t>D and QIV-SD over a longer time-frame</w:t>
      </w:r>
      <w:r w:rsidR="00674858">
        <w:rPr>
          <w:rFonts w:asciiTheme="minorHAnsi" w:hAnsiTheme="minorHAnsi"/>
          <w:bCs/>
          <w:szCs w:val="24"/>
          <w:lang w:val="en-GB"/>
        </w:rPr>
        <w:t xml:space="preserve"> </w:t>
      </w:r>
      <w:r w:rsidR="0090593E">
        <w:rPr>
          <w:rFonts w:asciiTheme="minorHAnsi" w:hAnsiTheme="minorHAnsi"/>
          <w:bCs/>
          <w:szCs w:val="24"/>
          <w:lang w:val="en-GB"/>
        </w:rPr>
        <w:t xml:space="preserve">and using Australian </w:t>
      </w:r>
      <w:r w:rsidR="004A4DA6">
        <w:rPr>
          <w:rFonts w:asciiTheme="minorHAnsi" w:hAnsiTheme="minorHAnsi"/>
          <w:bCs/>
          <w:szCs w:val="24"/>
          <w:lang w:val="en-GB"/>
        </w:rPr>
        <w:t xml:space="preserve">age-specific burden and </w:t>
      </w:r>
      <w:r w:rsidR="004A4DA6">
        <w:rPr>
          <w:rFonts w:asciiTheme="minorHAnsi" w:hAnsiTheme="minorHAnsi"/>
          <w:bCs/>
          <w:szCs w:val="24"/>
          <w:lang w:val="en-GB"/>
        </w:rPr>
        <w:lastRenderedPageBreak/>
        <w:t xml:space="preserve">influenza type prevalence </w:t>
      </w:r>
      <w:r w:rsidR="0090593E">
        <w:rPr>
          <w:rFonts w:asciiTheme="minorHAnsi" w:hAnsiTheme="minorHAnsi"/>
          <w:bCs/>
          <w:szCs w:val="24"/>
          <w:lang w:val="en-GB"/>
        </w:rPr>
        <w:t xml:space="preserve">data </w:t>
      </w:r>
      <w:r w:rsidR="00963099">
        <w:rPr>
          <w:rFonts w:asciiTheme="minorHAnsi" w:hAnsiTheme="minorHAnsi"/>
          <w:bCs/>
          <w:szCs w:val="24"/>
          <w:lang w:val="en-GB"/>
        </w:rPr>
        <w:t>over the last decade</w:t>
      </w:r>
      <w:r w:rsidR="004A4DA6">
        <w:rPr>
          <w:rFonts w:asciiTheme="minorHAnsi" w:hAnsiTheme="minorHAnsi"/>
          <w:bCs/>
          <w:szCs w:val="24"/>
          <w:lang w:val="en-GB"/>
        </w:rPr>
        <w:t>, as well as data on the frequency of TIV-SD B-strain mismatch over that time,</w:t>
      </w:r>
      <w:r w:rsidR="00963099">
        <w:rPr>
          <w:rFonts w:asciiTheme="minorHAnsi" w:hAnsiTheme="minorHAnsi"/>
          <w:bCs/>
          <w:szCs w:val="24"/>
          <w:lang w:val="en-GB"/>
        </w:rPr>
        <w:t xml:space="preserve"> </w:t>
      </w:r>
      <w:r w:rsidR="0090593E">
        <w:rPr>
          <w:rFonts w:asciiTheme="minorHAnsi" w:hAnsiTheme="minorHAnsi"/>
          <w:bCs/>
          <w:szCs w:val="24"/>
          <w:lang w:val="en-GB"/>
        </w:rPr>
        <w:t>would be informative.</w:t>
      </w:r>
      <w:r w:rsidR="00674858">
        <w:rPr>
          <w:rFonts w:asciiTheme="minorHAnsi" w:hAnsiTheme="minorHAnsi"/>
          <w:bCs/>
          <w:szCs w:val="24"/>
          <w:lang w:val="en-GB"/>
        </w:rPr>
        <w:t xml:space="preserve"> </w:t>
      </w:r>
    </w:p>
    <w:p w:rsidR="00161E40" w:rsidRPr="005955F2" w:rsidRDefault="0090593E" w:rsidP="00767DDD">
      <w:pPr>
        <w:widowControl/>
        <w:numPr>
          <w:ilvl w:val="1"/>
          <w:numId w:val="1"/>
        </w:numPr>
        <w:spacing w:after="120"/>
        <w:rPr>
          <w:rFonts w:asciiTheme="minorHAnsi" w:hAnsiTheme="minorHAnsi"/>
          <w:bCs/>
          <w:szCs w:val="24"/>
          <w:lang w:val="en-GB"/>
        </w:rPr>
      </w:pPr>
      <w:r>
        <w:rPr>
          <w:rFonts w:asciiTheme="minorHAnsi" w:hAnsiTheme="minorHAnsi"/>
          <w:bCs/>
          <w:szCs w:val="24"/>
          <w:lang w:val="en-GB"/>
        </w:rPr>
        <w:t>The PBAC</w:t>
      </w:r>
      <w:r w:rsidR="001648BC" w:rsidRPr="005955F2">
        <w:rPr>
          <w:rFonts w:asciiTheme="minorHAnsi" w:hAnsiTheme="minorHAnsi"/>
          <w:bCs/>
          <w:szCs w:val="24"/>
          <w:lang w:val="en-GB"/>
        </w:rPr>
        <w:t xml:space="preserve"> </w:t>
      </w:r>
      <w:r w:rsidR="00A853D7" w:rsidRPr="005955F2">
        <w:rPr>
          <w:rFonts w:asciiTheme="minorHAnsi" w:hAnsiTheme="minorHAnsi"/>
          <w:bCs/>
          <w:szCs w:val="24"/>
          <w:lang w:val="en-GB"/>
        </w:rPr>
        <w:t xml:space="preserve">noted that the proposed price was </w:t>
      </w:r>
      <w:r w:rsidR="005B0F33">
        <w:rPr>
          <w:rFonts w:asciiTheme="minorHAnsi" w:hAnsiTheme="minorHAnsi"/>
          <w:bCs/>
          <w:noProof/>
          <w:color w:val="000000"/>
          <w:szCs w:val="24"/>
          <w:highlight w:val="black"/>
          <w:lang w:val="en-GB"/>
        </w:rPr>
        <w:t>''''''' '''''''''''</w:t>
      </w:r>
      <w:r w:rsidR="00A853D7" w:rsidRPr="005955F2">
        <w:rPr>
          <w:rFonts w:asciiTheme="minorHAnsi" w:hAnsiTheme="minorHAnsi"/>
          <w:bCs/>
          <w:szCs w:val="24"/>
          <w:lang w:val="en-GB"/>
        </w:rPr>
        <w:t xml:space="preserve"> higher than the </w:t>
      </w:r>
      <w:r w:rsidR="00C3576D" w:rsidRPr="005955F2">
        <w:rPr>
          <w:rFonts w:asciiTheme="minorHAnsi" w:hAnsiTheme="minorHAnsi"/>
          <w:bCs/>
          <w:szCs w:val="24"/>
          <w:lang w:val="en-GB"/>
        </w:rPr>
        <w:t>price for the comparator QIV-SD, and the financial implication</w:t>
      </w:r>
      <w:r w:rsidR="00040E9F">
        <w:rPr>
          <w:rFonts w:asciiTheme="minorHAnsi" w:hAnsiTheme="minorHAnsi"/>
          <w:bCs/>
          <w:szCs w:val="24"/>
          <w:lang w:val="en-GB"/>
        </w:rPr>
        <w:t>s</w:t>
      </w:r>
      <w:r w:rsidR="00C3576D" w:rsidRPr="005955F2">
        <w:rPr>
          <w:rFonts w:asciiTheme="minorHAnsi" w:hAnsiTheme="minorHAnsi"/>
          <w:bCs/>
          <w:szCs w:val="24"/>
          <w:lang w:val="en-GB"/>
        </w:rPr>
        <w:t xml:space="preserve"> of the proposed listing</w:t>
      </w:r>
      <w:r w:rsidR="00040E9F">
        <w:rPr>
          <w:rFonts w:asciiTheme="minorHAnsi" w:hAnsiTheme="minorHAnsi"/>
          <w:bCs/>
          <w:szCs w:val="24"/>
          <w:lang w:val="en-GB"/>
        </w:rPr>
        <w:t xml:space="preserve"> were </w:t>
      </w:r>
      <w:r w:rsidR="00C3576D" w:rsidRPr="005955F2">
        <w:rPr>
          <w:rFonts w:asciiTheme="minorHAnsi" w:hAnsiTheme="minorHAnsi"/>
          <w:bCs/>
          <w:szCs w:val="24"/>
          <w:lang w:val="en-GB"/>
        </w:rPr>
        <w:t xml:space="preserve">significant.  </w:t>
      </w:r>
      <w:r w:rsidR="005955F2">
        <w:rPr>
          <w:rFonts w:asciiTheme="minorHAnsi" w:hAnsiTheme="minorHAnsi"/>
          <w:bCs/>
          <w:szCs w:val="24"/>
          <w:lang w:val="en-GB"/>
        </w:rPr>
        <w:t>The PBAC</w:t>
      </w:r>
      <w:r w:rsidR="005955F2" w:rsidRPr="005955F2">
        <w:rPr>
          <w:rFonts w:asciiTheme="minorHAnsi" w:hAnsiTheme="minorHAnsi"/>
          <w:bCs/>
          <w:szCs w:val="24"/>
          <w:lang w:val="en-GB"/>
        </w:rPr>
        <w:t xml:space="preserve"> </w:t>
      </w:r>
      <w:r w:rsidR="00A853D7" w:rsidRPr="005955F2">
        <w:rPr>
          <w:rFonts w:asciiTheme="minorHAnsi" w:hAnsiTheme="minorHAnsi"/>
          <w:bCs/>
          <w:szCs w:val="24"/>
          <w:lang w:val="en-GB"/>
        </w:rPr>
        <w:t>considered the proposed price</w:t>
      </w:r>
      <w:r w:rsidR="00727056" w:rsidRPr="005955F2">
        <w:rPr>
          <w:rFonts w:asciiTheme="minorHAnsi" w:hAnsiTheme="minorHAnsi"/>
          <w:bCs/>
          <w:szCs w:val="24"/>
          <w:lang w:val="en-GB"/>
        </w:rPr>
        <w:t xml:space="preserve"> </w:t>
      </w:r>
      <w:r w:rsidR="00A853D7" w:rsidRPr="005955F2">
        <w:rPr>
          <w:rFonts w:asciiTheme="minorHAnsi" w:hAnsiTheme="minorHAnsi"/>
          <w:bCs/>
          <w:szCs w:val="24"/>
          <w:lang w:val="en-GB"/>
        </w:rPr>
        <w:t>unreasonable based on the evidence provided to support</w:t>
      </w:r>
      <w:r w:rsidR="001C026F" w:rsidRPr="005955F2">
        <w:rPr>
          <w:rFonts w:asciiTheme="minorHAnsi" w:hAnsiTheme="minorHAnsi"/>
          <w:bCs/>
          <w:szCs w:val="24"/>
          <w:lang w:val="en-GB"/>
        </w:rPr>
        <w:t xml:space="preserve"> </w:t>
      </w:r>
      <w:r w:rsidR="001648BC" w:rsidRPr="005955F2">
        <w:rPr>
          <w:rFonts w:asciiTheme="minorHAnsi" w:hAnsiTheme="minorHAnsi"/>
          <w:bCs/>
          <w:szCs w:val="24"/>
          <w:lang w:val="en-GB"/>
        </w:rPr>
        <w:t>incremental comparative</w:t>
      </w:r>
      <w:r w:rsidR="00624104">
        <w:rPr>
          <w:rFonts w:asciiTheme="minorHAnsi" w:hAnsiTheme="minorHAnsi"/>
          <w:bCs/>
          <w:szCs w:val="24"/>
          <w:lang w:val="en-GB"/>
        </w:rPr>
        <w:t xml:space="preserve"> cost-effectiveness.</w:t>
      </w:r>
    </w:p>
    <w:p w:rsidR="00727056" w:rsidRDefault="00727056" w:rsidP="00767DDD">
      <w:pPr>
        <w:widowControl/>
        <w:numPr>
          <w:ilvl w:val="1"/>
          <w:numId w:val="1"/>
        </w:numPr>
        <w:spacing w:after="120"/>
        <w:rPr>
          <w:rFonts w:asciiTheme="minorHAnsi" w:hAnsiTheme="minorHAnsi"/>
          <w:bCs/>
          <w:szCs w:val="24"/>
          <w:lang w:val="en-GB"/>
        </w:rPr>
      </w:pPr>
      <w:r w:rsidRPr="001648BC">
        <w:rPr>
          <w:rFonts w:asciiTheme="minorHAnsi" w:hAnsiTheme="minorHAnsi"/>
          <w:bCs/>
          <w:szCs w:val="24"/>
          <w:lang w:val="en-GB"/>
        </w:rPr>
        <w:t xml:space="preserve">The PBAC considered the </w:t>
      </w:r>
      <w:r w:rsidR="004A31C1" w:rsidRPr="001648BC">
        <w:rPr>
          <w:rFonts w:asciiTheme="minorHAnsi" w:hAnsiTheme="minorHAnsi"/>
          <w:bCs/>
          <w:szCs w:val="24"/>
          <w:lang w:val="en-GB"/>
        </w:rPr>
        <w:t xml:space="preserve">uptake rate </w:t>
      </w:r>
      <w:r w:rsidRPr="001648BC">
        <w:rPr>
          <w:rFonts w:asciiTheme="minorHAnsi" w:hAnsiTheme="minorHAnsi"/>
          <w:bCs/>
          <w:szCs w:val="24"/>
          <w:lang w:val="en-GB"/>
        </w:rPr>
        <w:t xml:space="preserve">estimates may be </w:t>
      </w:r>
      <w:r w:rsidR="004A31C1" w:rsidRPr="001648BC">
        <w:rPr>
          <w:rFonts w:asciiTheme="minorHAnsi" w:hAnsiTheme="minorHAnsi"/>
          <w:bCs/>
          <w:szCs w:val="24"/>
          <w:lang w:val="en-GB"/>
        </w:rPr>
        <w:t xml:space="preserve">underestimated as they were based on 2009 survey data, and the substitution rates may be overestimated as it would be </w:t>
      </w:r>
      <w:r w:rsidR="004A31C1" w:rsidRPr="001648BC">
        <w:t>unlikely that 100% of use in the proposed population would be with TIV-HD given</w:t>
      </w:r>
      <w:r w:rsidR="004A31C1" w:rsidRPr="00645F5B">
        <w:t xml:space="preserve"> the increased frequency of mild to moderate injection site reactions associated with its use</w:t>
      </w:r>
      <w:r w:rsidRPr="00727056">
        <w:rPr>
          <w:rFonts w:asciiTheme="minorHAnsi" w:hAnsiTheme="minorHAnsi"/>
          <w:bCs/>
          <w:szCs w:val="24"/>
          <w:lang w:val="en-GB"/>
        </w:rPr>
        <w:t>.</w:t>
      </w:r>
    </w:p>
    <w:p w:rsidR="005E0AF7" w:rsidRPr="00727056" w:rsidRDefault="005E0AF7" w:rsidP="00767DDD">
      <w:pPr>
        <w:widowControl/>
        <w:numPr>
          <w:ilvl w:val="1"/>
          <w:numId w:val="1"/>
        </w:numPr>
        <w:spacing w:after="120"/>
        <w:rPr>
          <w:rFonts w:asciiTheme="minorHAnsi" w:hAnsiTheme="minorHAnsi"/>
          <w:bCs/>
          <w:szCs w:val="24"/>
          <w:lang w:val="en-GB"/>
        </w:rPr>
      </w:pPr>
      <w:r w:rsidRPr="00727056">
        <w:rPr>
          <w:rFonts w:asciiTheme="minorHAnsi" w:hAnsiTheme="minorHAnsi"/>
          <w:bCs/>
          <w:szCs w:val="24"/>
          <w:lang w:val="en-GB"/>
        </w:rPr>
        <w:t>The PBAC considered that any future resubmission would need to be a major submission.  The PBAC considered that the provision of further data and modelling comparing TIV-HD to QIV</w:t>
      </w:r>
      <w:r w:rsidR="00B0060E">
        <w:rPr>
          <w:rFonts w:asciiTheme="minorHAnsi" w:hAnsiTheme="minorHAnsi"/>
          <w:bCs/>
          <w:szCs w:val="24"/>
          <w:lang w:val="en-GB"/>
        </w:rPr>
        <w:t>-SD</w:t>
      </w:r>
      <w:r w:rsidRPr="00727056">
        <w:rPr>
          <w:rFonts w:asciiTheme="minorHAnsi" w:hAnsiTheme="minorHAnsi"/>
          <w:bCs/>
          <w:szCs w:val="24"/>
          <w:lang w:val="en-GB"/>
        </w:rPr>
        <w:t xml:space="preserve"> under a range of scenarios using longer-term Australian data to address the uncertainties around the loss of the alternate B strain and the incremental benefit of TIV-HD to QIV</w:t>
      </w:r>
      <w:r w:rsidR="00963099">
        <w:rPr>
          <w:rFonts w:asciiTheme="minorHAnsi" w:hAnsiTheme="minorHAnsi"/>
          <w:bCs/>
          <w:szCs w:val="24"/>
          <w:lang w:val="en-GB"/>
        </w:rPr>
        <w:t>-SD</w:t>
      </w:r>
      <w:r w:rsidRPr="00727056">
        <w:rPr>
          <w:rFonts w:asciiTheme="minorHAnsi" w:hAnsiTheme="minorHAnsi"/>
          <w:bCs/>
          <w:szCs w:val="24"/>
          <w:lang w:val="en-GB"/>
        </w:rPr>
        <w:t xml:space="preserve"> directly</w:t>
      </w:r>
      <w:r w:rsidR="00B0060E">
        <w:rPr>
          <w:rFonts w:asciiTheme="minorHAnsi" w:hAnsiTheme="minorHAnsi"/>
          <w:bCs/>
          <w:szCs w:val="24"/>
          <w:lang w:val="en-GB"/>
        </w:rPr>
        <w:t xml:space="preserve"> would be required</w:t>
      </w:r>
      <w:r w:rsidRPr="00727056">
        <w:rPr>
          <w:rFonts w:asciiTheme="minorHAnsi" w:hAnsiTheme="minorHAnsi"/>
          <w:bCs/>
          <w:szCs w:val="24"/>
          <w:lang w:val="en-GB"/>
        </w:rPr>
        <w:t>.</w:t>
      </w:r>
    </w:p>
    <w:p w:rsidR="00F53FE0" w:rsidRPr="00AF3CB2" w:rsidRDefault="00F53FE0" w:rsidP="00767DDD">
      <w:pPr>
        <w:numPr>
          <w:ilvl w:val="1"/>
          <w:numId w:val="1"/>
        </w:numPr>
        <w:spacing w:after="120"/>
        <w:rPr>
          <w:rFonts w:asciiTheme="minorHAnsi" w:hAnsiTheme="minorHAnsi" w:cstheme="minorHAnsi"/>
          <w:bCs/>
          <w:i/>
          <w:lang w:val="en-GB"/>
        </w:rPr>
      </w:pPr>
      <w:r w:rsidRPr="00AF3CB2">
        <w:rPr>
          <w:rFonts w:asciiTheme="minorHAnsi" w:hAnsiTheme="minorHAnsi" w:cstheme="minorHAnsi"/>
          <w:bCs/>
          <w:lang w:val="en-GB"/>
        </w:rPr>
        <w:t>The PBAC noted that this submission is not eligible for independent review as independent review is only relevant to PBS listing.</w:t>
      </w:r>
    </w:p>
    <w:p w:rsidR="00161E40" w:rsidRPr="00161E40" w:rsidRDefault="00161E40" w:rsidP="00161E40">
      <w:pPr>
        <w:widowControl/>
        <w:spacing w:before="240" w:after="120"/>
        <w:rPr>
          <w:rFonts w:asciiTheme="minorHAnsi" w:hAnsiTheme="minorHAnsi"/>
          <w:b/>
          <w:bCs/>
          <w:szCs w:val="24"/>
          <w:lang w:val="en-GB"/>
        </w:rPr>
      </w:pPr>
      <w:r w:rsidRPr="00161E40">
        <w:rPr>
          <w:rFonts w:asciiTheme="minorHAnsi" w:hAnsiTheme="minorHAnsi"/>
          <w:b/>
          <w:bCs/>
          <w:szCs w:val="24"/>
          <w:lang w:val="en-GB"/>
        </w:rPr>
        <w:t>Outcome:</w:t>
      </w:r>
    </w:p>
    <w:p w:rsidR="00161E40" w:rsidRPr="00161E40" w:rsidRDefault="00161E40" w:rsidP="00161E40">
      <w:pPr>
        <w:widowControl/>
        <w:spacing w:after="120"/>
        <w:rPr>
          <w:rFonts w:asciiTheme="minorHAnsi" w:hAnsiTheme="minorHAnsi"/>
          <w:bCs/>
          <w:szCs w:val="24"/>
          <w:lang w:val="en-GB"/>
        </w:rPr>
      </w:pPr>
      <w:r w:rsidRPr="00161E40">
        <w:rPr>
          <w:rFonts w:asciiTheme="minorHAnsi" w:hAnsiTheme="minorHAnsi"/>
          <w:bCs/>
          <w:szCs w:val="24"/>
          <w:lang w:val="en-GB"/>
        </w:rPr>
        <w:t xml:space="preserve">Rejected </w:t>
      </w:r>
    </w:p>
    <w:p w:rsidR="00161E40" w:rsidRPr="00DA6805" w:rsidRDefault="00161E40" w:rsidP="00DA6805">
      <w:pPr>
        <w:pStyle w:val="Heading1"/>
        <w:keepNext/>
        <w:keepLines/>
        <w:widowControl/>
        <w:numPr>
          <w:ilvl w:val="0"/>
          <w:numId w:val="1"/>
        </w:numPr>
        <w:spacing w:before="240" w:after="120"/>
        <w:ind w:left="709" w:hanging="709"/>
        <w:jc w:val="left"/>
        <w:rPr>
          <w:rFonts w:asciiTheme="minorHAnsi" w:eastAsiaTheme="majorEastAsia" w:hAnsiTheme="minorHAnsi" w:cstheme="majorBidi"/>
          <w:caps w:val="0"/>
          <w:snapToGrid/>
          <w:szCs w:val="28"/>
        </w:rPr>
      </w:pPr>
      <w:r w:rsidRPr="00DA6805">
        <w:rPr>
          <w:rFonts w:asciiTheme="minorHAnsi" w:eastAsiaTheme="majorEastAsia" w:hAnsiTheme="minorHAnsi" w:cstheme="majorBidi"/>
          <w:caps w:val="0"/>
          <w:snapToGrid/>
          <w:szCs w:val="28"/>
        </w:rPr>
        <w:t>Recommended listing</w:t>
      </w:r>
    </w:p>
    <w:p w:rsidR="00161E40" w:rsidRPr="00161E40" w:rsidRDefault="00161E40" w:rsidP="00161E40">
      <w:pPr>
        <w:widowControl/>
        <w:jc w:val="left"/>
        <w:rPr>
          <w:rFonts w:ascii="Times New Roman" w:hAnsi="Times New Roman" w:cs="Times New Roman"/>
          <w:snapToGrid/>
          <w:szCs w:val="24"/>
          <w:lang w:val="en-GB"/>
        </w:rPr>
      </w:pPr>
      <w:r w:rsidRPr="00161E40">
        <w:rPr>
          <w:rFonts w:asciiTheme="minorHAnsi" w:hAnsiTheme="minorHAnsi"/>
          <w:bCs/>
          <w:szCs w:val="24"/>
        </w:rPr>
        <w:t xml:space="preserve">No change to the existing </w:t>
      </w:r>
      <w:r w:rsidR="00F262D6">
        <w:rPr>
          <w:rFonts w:asciiTheme="minorHAnsi" w:hAnsiTheme="minorHAnsi"/>
          <w:bCs/>
          <w:szCs w:val="24"/>
        </w:rPr>
        <w:t xml:space="preserve">NIP </w:t>
      </w:r>
      <w:r w:rsidRPr="00161E40">
        <w:rPr>
          <w:rFonts w:asciiTheme="minorHAnsi" w:hAnsiTheme="minorHAnsi"/>
          <w:bCs/>
          <w:szCs w:val="24"/>
        </w:rPr>
        <w:t>listing</w:t>
      </w:r>
      <w:r w:rsidR="008A193F">
        <w:rPr>
          <w:rFonts w:asciiTheme="minorHAnsi" w:hAnsiTheme="minorHAnsi"/>
          <w:bCs/>
          <w:szCs w:val="24"/>
        </w:rPr>
        <w:t>.</w:t>
      </w:r>
    </w:p>
    <w:p w:rsidR="00DA6805" w:rsidRDefault="00DA6805" w:rsidP="002B4AD3">
      <w:pPr>
        <w:pStyle w:val="PBACHeading1"/>
        <w:outlineLvl w:val="0"/>
        <w:rPr>
          <w:rFonts w:eastAsiaTheme="majorEastAsia"/>
          <w:snapToGrid/>
        </w:rPr>
      </w:pPr>
      <w:r>
        <w:rPr>
          <w:rFonts w:eastAsiaTheme="majorEastAsia"/>
          <w:snapToGrid/>
        </w:rPr>
        <w:t>Context for Decision</w:t>
      </w:r>
    </w:p>
    <w:p w:rsidR="00DA6805" w:rsidRPr="00C07617" w:rsidRDefault="00DA6805" w:rsidP="00DA6805">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A6805" w:rsidRDefault="00DA6805" w:rsidP="002B4AD3">
      <w:pPr>
        <w:pStyle w:val="PBACHeading1"/>
        <w:outlineLvl w:val="0"/>
        <w:rPr>
          <w:rFonts w:eastAsiaTheme="majorEastAsia"/>
          <w:snapToGrid/>
        </w:rPr>
      </w:pPr>
      <w:r>
        <w:rPr>
          <w:rFonts w:eastAsiaTheme="majorEastAsia"/>
          <w:snapToGrid/>
        </w:rPr>
        <w:t xml:space="preserve">Sponsor’s Comment </w:t>
      </w:r>
    </w:p>
    <w:p w:rsidR="00A8253C" w:rsidRPr="00002B76" w:rsidRDefault="00460165" w:rsidP="00002B76">
      <w:pPr>
        <w:spacing w:after="120"/>
        <w:rPr>
          <w:rFonts w:ascii="Arial" w:hAnsi="Arial"/>
          <w:bCs/>
          <w:snapToGrid/>
          <w:sz w:val="22"/>
        </w:rPr>
      </w:pPr>
      <w:r w:rsidRPr="00863469">
        <w:rPr>
          <w:rFonts w:asciiTheme="minorHAnsi" w:hAnsiTheme="minorHAnsi"/>
          <w:bCs/>
          <w:lang w:val="en-GB"/>
        </w:rPr>
        <w:t xml:space="preserve">Sanofi is disappointed with the Committee’s decision not to recommend the change to the current NIP listing for </w:t>
      </w:r>
      <w:proofErr w:type="spellStart"/>
      <w:r w:rsidRPr="00863469">
        <w:rPr>
          <w:rFonts w:asciiTheme="minorHAnsi" w:hAnsiTheme="minorHAnsi"/>
          <w:bCs/>
          <w:lang w:val="en-GB"/>
        </w:rPr>
        <w:t>Fluzone</w:t>
      </w:r>
      <w:proofErr w:type="spellEnd"/>
      <w:r w:rsidRPr="00863469">
        <w:rPr>
          <w:rFonts w:asciiTheme="minorHAnsi" w:hAnsiTheme="minorHAnsi"/>
          <w:bCs/>
          <w:lang w:val="en-GB"/>
        </w:rPr>
        <w:t xml:space="preserve"> High Dose. Large scale clinical trials, supported by emerging data from real world surveillance have demonstrated the benefit that </w:t>
      </w:r>
      <w:proofErr w:type="spellStart"/>
      <w:r w:rsidRPr="00863469">
        <w:rPr>
          <w:rFonts w:asciiTheme="minorHAnsi" w:hAnsiTheme="minorHAnsi"/>
          <w:bCs/>
          <w:lang w:val="en-GB"/>
        </w:rPr>
        <w:t>Fluzone</w:t>
      </w:r>
      <w:proofErr w:type="spellEnd"/>
      <w:r w:rsidRPr="00863469">
        <w:rPr>
          <w:rFonts w:asciiTheme="minorHAnsi" w:hAnsiTheme="minorHAnsi"/>
          <w:bCs/>
          <w:lang w:val="en-GB"/>
        </w:rPr>
        <w:t xml:space="preserve"> High Dose delivers to adults aged 65 and older by reducing the burden of the severe consequences which can result from influenza</w:t>
      </w:r>
      <w:r w:rsidR="00624104">
        <w:rPr>
          <w:rFonts w:asciiTheme="minorHAnsi" w:hAnsiTheme="minorHAnsi"/>
          <w:bCs/>
          <w:lang w:val="en-GB"/>
        </w:rPr>
        <w:t xml:space="preserve"> infection in this population. </w:t>
      </w:r>
      <w:r w:rsidRPr="00863469">
        <w:rPr>
          <w:rFonts w:asciiTheme="minorHAnsi" w:hAnsiTheme="minorHAnsi"/>
          <w:bCs/>
          <w:lang w:val="en-GB"/>
        </w:rPr>
        <w:t>As such we will ensure we make this important vaccine available to the Australian people</w:t>
      </w:r>
      <w:r>
        <w:rPr>
          <w:rFonts w:asciiTheme="minorHAnsi" w:hAnsiTheme="minorHAnsi"/>
          <w:bCs/>
          <w:lang w:val="en-GB"/>
        </w:rPr>
        <w:t>.</w:t>
      </w:r>
    </w:p>
    <w:sectPr w:rsidR="00A8253C" w:rsidRPr="00002B76" w:rsidSect="00CD10EE">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141D6E" w15:done="0"/>
  <w15:commentEx w15:paraId="1EF3BDDD" w15:done="0"/>
  <w15:commentEx w15:paraId="5B23A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41D6E" w16cid:durableId="1F12FB7C"/>
  <w16cid:commentId w16cid:paraId="1EF3BDDD" w16cid:durableId="1F12FB7D"/>
  <w16cid:commentId w16cid:paraId="5B23A128" w16cid:durableId="1F12FB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33" w:rsidRDefault="005B0F33" w:rsidP="00124A51">
      <w:r>
        <w:separator/>
      </w:r>
    </w:p>
    <w:p w:rsidR="005B0F33" w:rsidRDefault="005B0F33"/>
  </w:endnote>
  <w:endnote w:type="continuationSeparator" w:id="0">
    <w:p w:rsidR="005B0F33" w:rsidRDefault="005B0F33" w:rsidP="00124A51">
      <w:r>
        <w:continuationSeparator/>
      </w:r>
    </w:p>
    <w:p w:rsidR="005B0F33" w:rsidRDefault="005B0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abon">
    <w:altName w:val="Cambria"/>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A1" w:rsidRDefault="00C25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83312"/>
      <w:docPartObj>
        <w:docPartGallery w:val="Page Numbers (Bottom of Page)"/>
        <w:docPartUnique/>
      </w:docPartObj>
    </w:sdtPr>
    <w:sdtEndPr>
      <w:rPr>
        <w:noProof/>
      </w:rPr>
    </w:sdtEndPr>
    <w:sdtContent>
      <w:p w:rsidR="00246040" w:rsidRDefault="00246040" w:rsidP="00246040">
        <w:pPr>
          <w:pStyle w:val="Footer"/>
          <w:jc w:val="center"/>
        </w:pPr>
      </w:p>
      <w:p w:rsidR="00E76139" w:rsidRDefault="00E76139" w:rsidP="00246040">
        <w:pPr>
          <w:pStyle w:val="Footer"/>
          <w:jc w:val="center"/>
        </w:pPr>
        <w:r>
          <w:fldChar w:fldCharType="begin"/>
        </w:r>
        <w:r>
          <w:instrText xml:space="preserve"> PAGE   \* MERGEFORMAT </w:instrText>
        </w:r>
        <w:r>
          <w:fldChar w:fldCharType="separate"/>
        </w:r>
        <w:r w:rsidR="009E516E">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A1" w:rsidRDefault="00C25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33" w:rsidRDefault="005B0F33" w:rsidP="00124A51">
      <w:r>
        <w:separator/>
      </w:r>
    </w:p>
    <w:p w:rsidR="005B0F33" w:rsidRDefault="005B0F33"/>
  </w:footnote>
  <w:footnote w:type="continuationSeparator" w:id="0">
    <w:p w:rsidR="005B0F33" w:rsidRDefault="005B0F33" w:rsidP="00124A51">
      <w:r>
        <w:continuationSeparator/>
      </w:r>
    </w:p>
    <w:p w:rsidR="005B0F33" w:rsidRDefault="005B0F33"/>
  </w:footnote>
  <w:footnote w:id="1">
    <w:p w:rsidR="00E76139" w:rsidRPr="002C27BC" w:rsidRDefault="00E76139" w:rsidP="00854BE7">
      <w:pPr>
        <w:pStyle w:val="FootnoteText"/>
      </w:pPr>
      <w:r w:rsidRPr="002C27BC">
        <w:rPr>
          <w:rStyle w:val="FootnoteReference"/>
        </w:rPr>
        <w:footnoteRef/>
      </w:r>
      <w:r w:rsidRPr="002C27BC">
        <w:t xml:space="preserve"> Australian Government Department of Health (2017), 2017 Influenza Season in Australia: A summary from the National Influenza Surveillance Committee</w:t>
      </w:r>
    </w:p>
  </w:footnote>
  <w:footnote w:id="2">
    <w:p w:rsidR="00E76139" w:rsidRPr="002C27BC" w:rsidRDefault="00E76139" w:rsidP="005D4F1B">
      <w:pPr>
        <w:pStyle w:val="FootnoteText"/>
      </w:pPr>
      <w:r w:rsidRPr="002C27BC">
        <w:rPr>
          <w:rStyle w:val="FootnoteReference"/>
        </w:rPr>
        <w:footnoteRef/>
      </w:r>
      <w:r w:rsidRPr="002C27BC">
        <w:t xml:space="preserve"> </w:t>
      </w:r>
      <w:proofErr w:type="gramStart"/>
      <w:r w:rsidRPr="002C27BC">
        <w:t>Literature Review Update on the Efficacy and Effectiveness of High-Dose (</w:t>
      </w:r>
      <w:proofErr w:type="spellStart"/>
      <w:r w:rsidRPr="002C27BC">
        <w:t>Fluzone</w:t>
      </w:r>
      <w:proofErr w:type="spellEnd"/>
      <w:r w:rsidRPr="002C27BC">
        <w:t>® High-Dose) and MF59-Adjuvanted (</w:t>
      </w:r>
      <w:proofErr w:type="spellStart"/>
      <w:r w:rsidRPr="002C27BC">
        <w:t>Fluad</w:t>
      </w:r>
      <w:proofErr w:type="spellEnd"/>
      <w:r w:rsidRPr="002C27BC">
        <w:t>®) Trivalent Inactivated Influenza Vaccines in Adults 65 Years of Age and Older.</w:t>
      </w:r>
      <w:proofErr w:type="gramEnd"/>
      <w:r w:rsidRPr="002C27BC">
        <w:t xml:space="preserve"> </w:t>
      </w:r>
      <w:proofErr w:type="gramStart"/>
      <w:r w:rsidRPr="002C27BC">
        <w:t>National Advisory Committee on Immunization.</w:t>
      </w:r>
      <w:proofErr w:type="gramEnd"/>
      <w:r w:rsidRPr="002C27BC">
        <w:t xml:space="preserve"> 2018. Available at: </w:t>
      </w:r>
      <w:hyperlink r:id="rId1" w:history="1">
        <w:r w:rsidRPr="002C27BC">
          <w:rPr>
            <w:rStyle w:val="Hyperlink"/>
          </w:rPr>
          <w:t>https://www.canada.ca/en/public-health/services/publications/healthy-living/executive-summary-literature-review-update-efficacy-effectiveness-fluzone-high-dose-fluad-trivalent-inactivated-influenza-vaccines-adults-65-older.html</w:t>
        </w:r>
      </w:hyperlink>
    </w:p>
  </w:footnote>
  <w:footnote w:id="3">
    <w:p w:rsidR="00E76139" w:rsidRPr="002C27BC" w:rsidRDefault="00E76139">
      <w:pPr>
        <w:pStyle w:val="FootnoteText"/>
      </w:pPr>
      <w:r w:rsidRPr="002C27BC">
        <w:rPr>
          <w:rStyle w:val="FootnoteReference"/>
        </w:rPr>
        <w:footnoteRef/>
      </w:r>
      <w:r w:rsidRPr="002C27BC">
        <w:t xml:space="preserve"> FLUAD vs. </w:t>
      </w:r>
      <w:proofErr w:type="spellStart"/>
      <w:r w:rsidRPr="002C27BC">
        <w:t>Fluzone</w:t>
      </w:r>
      <w:proofErr w:type="spellEnd"/>
      <w:r w:rsidRPr="002C27BC">
        <w:t xml:space="preserve"> High-Dose Study (</w:t>
      </w:r>
      <w:proofErr w:type="spellStart"/>
      <w:r w:rsidRPr="002C27BC">
        <w:t>ClinicalTrials</w:t>
      </w:r>
      <w:proofErr w:type="spellEnd"/>
      <w:r w:rsidRPr="002C27BC">
        <w:t xml:space="preserve"> Identifier: NCT03183908). </w:t>
      </w:r>
    </w:p>
    <w:p w:rsidR="00E76139" w:rsidRDefault="009E516E">
      <w:pPr>
        <w:pStyle w:val="FootnoteText"/>
      </w:pPr>
      <w:hyperlink r:id="rId2" w:history="1">
        <w:r w:rsidR="00E76139" w:rsidRPr="002C27BC">
          <w:rPr>
            <w:rStyle w:val="Hyperlink"/>
          </w:rPr>
          <w:t>https://clinicaltrials.gov/ct2/show/NCT03183908?term=fluad&amp;age=2&amp;rank=2</w:t>
        </w:r>
      </w:hyperlink>
      <w:r w:rsidR="00E76139" w:rsidRPr="002C27BC">
        <w:t>.</w:t>
      </w:r>
    </w:p>
  </w:footnote>
  <w:footnote w:id="4">
    <w:p w:rsidR="00E76139" w:rsidRPr="002C27BC" w:rsidRDefault="00E76139" w:rsidP="002C27BC">
      <w:pPr>
        <w:pStyle w:val="FootnoteText"/>
        <w:jc w:val="left"/>
      </w:pPr>
      <w:r w:rsidRPr="002C27BC">
        <w:rPr>
          <w:rStyle w:val="FootnoteReference"/>
        </w:rPr>
        <w:footnoteRef/>
      </w:r>
      <w:r w:rsidRPr="002C27BC">
        <w:t xml:space="preserve"> </w:t>
      </w:r>
      <w:proofErr w:type="gramStart"/>
      <w:r w:rsidRPr="002C27BC">
        <w:t>Influenza Vaccine (</w:t>
      </w:r>
      <w:proofErr w:type="spellStart"/>
      <w:r w:rsidRPr="002C27BC">
        <w:t>quadrivalent</w:t>
      </w:r>
      <w:proofErr w:type="spellEnd"/>
      <w:r w:rsidRPr="002C27BC">
        <w:t xml:space="preserve">); 0.5 mL pre-filled syringe; </w:t>
      </w:r>
      <w:proofErr w:type="spellStart"/>
      <w:r w:rsidRPr="002C27BC">
        <w:t>Fluarix</w:t>
      </w:r>
      <w:proofErr w:type="spellEnd"/>
      <w:r w:rsidRPr="002C27BC">
        <w:t xml:space="preserve"> tetra® Public Summary Document, March 2015 PBAC meeting.</w:t>
      </w:r>
      <w:proofErr w:type="gramEnd"/>
      <w:r w:rsidRPr="002C27BC">
        <w:t xml:space="preserve"> Available at: http://www.pbs.gov.au/info/industry/listing/elements/pbac-meetings/psd/2015-03/fluarix-tetra-psd-03-2015</w:t>
      </w:r>
    </w:p>
  </w:footnote>
  <w:footnote w:id="5">
    <w:p w:rsidR="00E76139" w:rsidRDefault="00E76139" w:rsidP="0048534D">
      <w:pPr>
        <w:pStyle w:val="FootnoteText"/>
        <w:jc w:val="left"/>
      </w:pPr>
      <w:r>
        <w:rPr>
          <w:rStyle w:val="FootnoteReference"/>
        </w:rPr>
        <w:footnoteRef/>
      </w:r>
      <w:r>
        <w:t xml:space="preserve"> </w:t>
      </w:r>
      <w:proofErr w:type="gramStart"/>
      <w:r w:rsidRPr="00BC560F">
        <w:t>Influenza Vaccine (</w:t>
      </w:r>
      <w:proofErr w:type="spellStart"/>
      <w:r w:rsidRPr="00BC560F">
        <w:t>quadrivalent</w:t>
      </w:r>
      <w:proofErr w:type="spellEnd"/>
      <w:r w:rsidRPr="00BC560F">
        <w:t xml:space="preserve">); 0.5 mL pre-filled syringe; </w:t>
      </w:r>
      <w:proofErr w:type="spellStart"/>
      <w:r w:rsidRPr="00BC560F">
        <w:t>Fluarix</w:t>
      </w:r>
      <w:proofErr w:type="spellEnd"/>
      <w:r w:rsidRPr="00BC560F">
        <w:t xml:space="preserve"> tetra®</w:t>
      </w:r>
      <w:r>
        <w:t xml:space="preserve"> Public Summary Document</w:t>
      </w:r>
      <w:r w:rsidRPr="00261C58">
        <w:t>, March 2015</w:t>
      </w:r>
      <w:r>
        <w:t xml:space="preserve"> PBAC meeting.</w:t>
      </w:r>
      <w:proofErr w:type="gramEnd"/>
      <w:r>
        <w:t xml:space="preserve"> Available at: </w:t>
      </w:r>
      <w:hyperlink r:id="rId3" w:history="1">
        <w:r w:rsidRPr="00712079">
          <w:rPr>
            <w:rStyle w:val="Hyperlink"/>
          </w:rPr>
          <w:t>http://www.pbs.gov.au/info/industry/listing/elements/pbac-meetings/psd/2015-03/fluarix-tetra-psd-03-2015</w:t>
        </w:r>
      </w:hyperlink>
    </w:p>
  </w:footnote>
  <w:footnote w:id="6">
    <w:p w:rsidR="00E76139" w:rsidRPr="008B6998" w:rsidRDefault="00E76139" w:rsidP="00200A5D">
      <w:pPr>
        <w:pStyle w:val="FootnoteText"/>
        <w:rPr>
          <w:rFonts w:asciiTheme="minorHAnsi" w:hAnsiTheme="minorHAnsi" w:cstheme="minorHAnsi"/>
        </w:rPr>
      </w:pPr>
      <w:r w:rsidRPr="008B6998">
        <w:rPr>
          <w:rStyle w:val="FootnoteReference"/>
          <w:rFonts w:asciiTheme="minorHAnsi" w:hAnsiTheme="minorHAnsi" w:cstheme="minorHAnsi"/>
        </w:rPr>
        <w:footnoteRef/>
      </w:r>
      <w:r w:rsidRPr="008B6998">
        <w:rPr>
          <w:rFonts w:asciiTheme="minorHAnsi" w:hAnsiTheme="minorHAnsi" w:cstheme="minorHAnsi"/>
        </w:rPr>
        <w:t xml:space="preserve"> </w:t>
      </w:r>
      <w:hyperlink r:id="rId4" w:history="1">
        <w:r w:rsidRPr="008B6998">
          <w:rPr>
            <w:rStyle w:val="Hyperlink"/>
            <w:rFonts w:asciiTheme="minorHAnsi" w:hAnsiTheme="minorHAnsi" w:cstheme="minorHAnsi"/>
          </w:rPr>
          <w:t>http://www9.health.gov.au/cda/source/pub_influ.cfm</w:t>
        </w:r>
      </w:hyperlink>
      <w:r w:rsidRPr="008B6998">
        <w:rPr>
          <w:rFonts w:asciiTheme="minorHAnsi" w:hAnsiTheme="minorHAnsi" w:cstheme="minorHAnsi"/>
        </w:rPr>
        <w:t xml:space="preserve">, Influenza (laboratory confirmed) public dataset </w:t>
      </w:r>
    </w:p>
    <w:p w:rsidR="00E76139" w:rsidRPr="00025DD5" w:rsidRDefault="00E76139" w:rsidP="00025DD5">
      <w:pPr>
        <w:rPr>
          <w:rFonts w:ascii="Arial" w:hAnsi="Arial"/>
          <w:i/>
          <w:sz w:val="20"/>
          <w:szCs w:val="20"/>
          <w:lang w:eastAsia="en-AU"/>
        </w:rPr>
      </w:pPr>
      <w:r w:rsidRPr="008B6998">
        <w:rPr>
          <w:rFonts w:asciiTheme="minorHAnsi" w:hAnsiTheme="minorHAnsi" w:cstheme="minorHAnsi"/>
          <w:i/>
          <w:sz w:val="20"/>
          <w:szCs w:val="20"/>
          <w:lang w:eastAsia="en-AU"/>
        </w:rPr>
        <w:t>The data provided were extracted from the NNDSS on 3 July 2018. Due to the dynamic nature of the NNDSS, data in this extract are subject to retrospective revision and may vary from data reported in published NNDSS reports and reports of notification data by states and territories</w:t>
      </w:r>
      <w:r w:rsidRPr="00025DD5">
        <w:rPr>
          <w:rFonts w:ascii="Arial" w:hAnsi="Arial"/>
          <w:i/>
          <w:sz w:val="20"/>
          <w:szCs w:val="20"/>
          <w:lang w:eastAsia="en-AU"/>
        </w:rPr>
        <w:t>.</w:t>
      </w:r>
    </w:p>
  </w:footnote>
  <w:footnote w:id="7">
    <w:p w:rsidR="00E76139" w:rsidRPr="002C27BC" w:rsidRDefault="00E76139" w:rsidP="00E508CD">
      <w:pPr>
        <w:pStyle w:val="FootnoteText"/>
        <w:jc w:val="left"/>
      </w:pPr>
      <w:r w:rsidRPr="002C27BC">
        <w:rPr>
          <w:rStyle w:val="FootnoteReference"/>
        </w:rPr>
        <w:footnoteRef/>
      </w:r>
      <w:r w:rsidRPr="002C27BC">
        <w:t xml:space="preserve"> </w:t>
      </w:r>
      <w:proofErr w:type="gramStart"/>
      <w:r w:rsidRPr="002C27BC">
        <w:t>Influenza Vaccine (</w:t>
      </w:r>
      <w:proofErr w:type="spellStart"/>
      <w:r w:rsidRPr="002C27BC">
        <w:t>quadrivalent</w:t>
      </w:r>
      <w:proofErr w:type="spellEnd"/>
      <w:r w:rsidRPr="002C27BC">
        <w:t xml:space="preserve">); 0.5 mL pre-filled syringe; </w:t>
      </w:r>
      <w:proofErr w:type="spellStart"/>
      <w:r w:rsidRPr="002C27BC">
        <w:t>Fluarix</w:t>
      </w:r>
      <w:proofErr w:type="spellEnd"/>
      <w:r w:rsidRPr="002C27BC">
        <w:t xml:space="preserve"> tetra® Public Summary Document, March 2015 PBAC meeting.</w:t>
      </w:r>
      <w:proofErr w:type="gramEnd"/>
      <w:r w:rsidRPr="002C27BC">
        <w:t xml:space="preserve"> Available at: http://www.pbs.gov.au/info/industry/listing/elements/pbac-meetings/psd/2015-03/fluarix-tetra-psd-03-2015</w:t>
      </w:r>
    </w:p>
  </w:footnote>
  <w:footnote w:id="8">
    <w:p w:rsidR="00E76139" w:rsidRPr="002C27BC" w:rsidRDefault="00E76139" w:rsidP="00214F41">
      <w:pPr>
        <w:jc w:val="left"/>
        <w:rPr>
          <w:rFonts w:asciiTheme="minorHAnsi" w:hAnsiTheme="minorHAnsi" w:cstheme="minorHAnsi"/>
          <w:noProof/>
          <w:sz w:val="20"/>
          <w:szCs w:val="20"/>
        </w:rPr>
      </w:pPr>
      <w:r w:rsidRPr="002C27BC">
        <w:rPr>
          <w:rStyle w:val="FootnoteReference"/>
          <w:rFonts w:asciiTheme="minorHAnsi" w:hAnsiTheme="minorHAnsi" w:cstheme="minorHAnsi"/>
          <w:sz w:val="20"/>
          <w:szCs w:val="20"/>
        </w:rPr>
        <w:footnoteRef/>
      </w:r>
      <w:r>
        <w:rPr>
          <w:rStyle w:val="CommentReference"/>
          <w:rFonts w:asciiTheme="minorHAnsi" w:hAnsiTheme="minorHAnsi" w:cstheme="minorHAnsi"/>
          <w:b w:val="0"/>
          <w:szCs w:val="20"/>
        </w:rPr>
        <w:t xml:space="preserve"> </w:t>
      </w:r>
      <w:r w:rsidRPr="002C27BC">
        <w:rPr>
          <w:rStyle w:val="CommentReference"/>
          <w:rFonts w:asciiTheme="minorHAnsi" w:hAnsiTheme="minorHAnsi" w:cstheme="minorHAnsi"/>
          <w:b w:val="0"/>
          <w:szCs w:val="20"/>
        </w:rPr>
        <w:t>National Notifiable Diseases Surveillance System (NNDSS), Department of Health</w:t>
      </w:r>
      <w:r w:rsidRPr="002C27BC">
        <w:rPr>
          <w:rStyle w:val="CommentReference"/>
          <w:rFonts w:asciiTheme="minorHAnsi" w:hAnsiTheme="minorHAnsi" w:cstheme="minorHAnsi"/>
          <w:b w:val="0"/>
          <w:szCs w:val="20"/>
        </w:rPr>
        <w:br/>
        <w:t>www9.health.gov.au/cda/source/cda-index.cfm</w:t>
      </w:r>
    </w:p>
  </w:footnote>
  <w:footnote w:id="9">
    <w:p w:rsidR="00E76139" w:rsidRDefault="00E76139" w:rsidP="00214F41">
      <w:pPr>
        <w:pStyle w:val="FootnoteText"/>
        <w:jc w:val="left"/>
      </w:pPr>
      <w:r w:rsidRPr="002C27BC">
        <w:rPr>
          <w:rStyle w:val="FootnoteReference"/>
          <w:rFonts w:asciiTheme="minorHAnsi" w:hAnsiTheme="minorHAnsi" w:cstheme="minorHAnsi"/>
        </w:rPr>
        <w:footnoteRef/>
      </w:r>
      <w:r w:rsidRPr="002C27BC">
        <w:rPr>
          <w:rFonts w:asciiTheme="minorHAnsi" w:hAnsiTheme="minorHAnsi" w:cstheme="minorHAnsi"/>
        </w:rPr>
        <w:t xml:space="preserve"> </w:t>
      </w:r>
      <w:r w:rsidRPr="002C27BC">
        <w:rPr>
          <w:rStyle w:val="CommentReference"/>
          <w:rFonts w:asciiTheme="minorHAnsi" w:hAnsiTheme="minorHAnsi" w:cstheme="minorHAnsi"/>
          <w:b w:val="0"/>
          <w:szCs w:val="20"/>
        </w:rPr>
        <w:t>National Notifiable Diseases Surveillance System (NNDSS), Department of Health</w:t>
      </w:r>
      <w:r w:rsidRPr="002C27BC">
        <w:rPr>
          <w:rStyle w:val="CommentReference"/>
          <w:rFonts w:asciiTheme="minorHAnsi" w:hAnsiTheme="minorHAnsi" w:cstheme="minorHAnsi"/>
          <w:b w:val="0"/>
          <w:szCs w:val="20"/>
        </w:rPr>
        <w:br/>
        <w:t>www9.health.gov.au/cda/source/cda-index.cfm</w:t>
      </w:r>
    </w:p>
  </w:footnote>
  <w:footnote w:id="10">
    <w:p w:rsidR="00E76139" w:rsidRPr="002C27BC" w:rsidRDefault="00E76139" w:rsidP="00214F41">
      <w:pPr>
        <w:pStyle w:val="FootnoteText"/>
        <w:jc w:val="left"/>
        <w:rPr>
          <w:rFonts w:asciiTheme="minorHAnsi" w:hAnsiTheme="minorHAnsi" w:cstheme="minorHAnsi"/>
        </w:rPr>
      </w:pPr>
      <w:r w:rsidRPr="002C27BC">
        <w:rPr>
          <w:rStyle w:val="FootnoteReference"/>
          <w:rFonts w:asciiTheme="minorHAnsi" w:hAnsiTheme="minorHAnsi" w:cstheme="minorHAnsi"/>
        </w:rPr>
        <w:footnoteRef/>
      </w:r>
      <w:r w:rsidRPr="002C27BC">
        <w:rPr>
          <w:rFonts w:asciiTheme="minorHAnsi" w:hAnsiTheme="minorHAnsi" w:cstheme="minorHAnsi"/>
        </w:rPr>
        <w:t xml:space="preserve"> </w:t>
      </w:r>
      <w:bookmarkStart w:id="35" w:name="_ENREF_55"/>
      <w:r w:rsidRPr="002C27BC">
        <w:rPr>
          <w:rFonts w:asciiTheme="minorHAnsi" w:hAnsiTheme="minorHAnsi" w:cstheme="minorHAnsi"/>
          <w:noProof/>
        </w:rPr>
        <w:t xml:space="preserve">Newall, A. T., Wood, J. G. &amp; MacIntyre, C. R. 2008b. Influenza-related hospitalisation and death in Australians aged 50 years and older. </w:t>
      </w:r>
      <w:r w:rsidRPr="002C27BC">
        <w:rPr>
          <w:rFonts w:asciiTheme="minorHAnsi" w:hAnsiTheme="minorHAnsi" w:cstheme="minorHAnsi"/>
          <w:i/>
          <w:noProof/>
        </w:rPr>
        <w:t>Vaccine,</w:t>
      </w:r>
      <w:r w:rsidRPr="002C27BC">
        <w:rPr>
          <w:rFonts w:asciiTheme="minorHAnsi" w:hAnsiTheme="minorHAnsi" w:cstheme="minorHAnsi"/>
          <w:noProof/>
        </w:rPr>
        <w:t xml:space="preserve"> 26</w:t>
      </w:r>
      <w:r w:rsidRPr="002C27BC">
        <w:rPr>
          <w:rFonts w:asciiTheme="minorHAnsi" w:hAnsiTheme="minorHAnsi" w:cstheme="minorHAnsi"/>
          <w:b/>
          <w:noProof/>
        </w:rPr>
        <w:t>,</w:t>
      </w:r>
      <w:r w:rsidRPr="002C27BC">
        <w:rPr>
          <w:rFonts w:asciiTheme="minorHAnsi" w:hAnsiTheme="minorHAnsi" w:cstheme="minorHAnsi"/>
          <w:noProof/>
        </w:rPr>
        <w:t xml:space="preserve"> 2135-41</w:t>
      </w:r>
      <w:bookmarkEnd w:id="35"/>
      <w:r w:rsidRPr="002C27BC">
        <w:rPr>
          <w:rFonts w:asciiTheme="minorHAnsi" w:hAnsiTheme="minorHAnsi" w:cstheme="minorHAnsi"/>
          <w:noProof/>
        </w:rPr>
        <w:t xml:space="preserve">; </w:t>
      </w:r>
      <w:r w:rsidRPr="002C27BC">
        <w:rPr>
          <w:rStyle w:val="CommentReference"/>
          <w:rFonts w:asciiTheme="minorHAnsi" w:hAnsiTheme="minorHAnsi" w:cstheme="minorHAnsi"/>
          <w:b w:val="0"/>
        </w:rPr>
        <w:t>National Notifiable Diseases Surveillance System (NNDSS), Department of Health</w:t>
      </w:r>
      <w:r>
        <w:rPr>
          <w:rStyle w:val="CommentReference"/>
          <w:rFonts w:asciiTheme="minorHAnsi" w:hAnsiTheme="minorHAnsi" w:cstheme="minorHAnsi"/>
          <w:b w:val="0"/>
        </w:rPr>
        <w:t xml:space="preserve">, </w:t>
      </w:r>
      <w:r w:rsidRPr="002C27BC">
        <w:rPr>
          <w:rStyle w:val="CommentReference"/>
          <w:rFonts w:asciiTheme="minorHAnsi" w:hAnsiTheme="minorHAnsi" w:cstheme="minorHAnsi"/>
          <w:b w:val="0"/>
        </w:rPr>
        <w:t>www9.health.gov.au/cda/source/cda-index.cfm</w:t>
      </w:r>
    </w:p>
  </w:footnote>
  <w:footnote w:id="11">
    <w:p w:rsidR="00E76139" w:rsidRDefault="00E76139" w:rsidP="00214F41">
      <w:pPr>
        <w:pStyle w:val="FootnoteText"/>
        <w:jc w:val="left"/>
      </w:pPr>
      <w:r w:rsidRPr="002C27BC">
        <w:rPr>
          <w:rStyle w:val="FootnoteReference"/>
          <w:rFonts w:asciiTheme="minorHAnsi" w:hAnsiTheme="minorHAnsi" w:cstheme="minorHAnsi"/>
        </w:rPr>
        <w:footnoteRef/>
      </w:r>
      <w:r w:rsidRPr="002C27BC">
        <w:rPr>
          <w:rFonts w:asciiTheme="minorHAnsi" w:hAnsiTheme="minorHAnsi" w:cstheme="minorHAnsi"/>
        </w:rPr>
        <w:t xml:space="preserve"> </w:t>
      </w:r>
      <w:r w:rsidRPr="002C27BC">
        <w:rPr>
          <w:rStyle w:val="CommentReference"/>
          <w:rFonts w:asciiTheme="minorHAnsi" w:hAnsiTheme="minorHAnsi" w:cstheme="minorHAnsi"/>
          <w:b w:val="0"/>
        </w:rPr>
        <w:t>National Notifiable Diseases Surveillance System (NNDSS), Department of Health</w:t>
      </w:r>
      <w:r w:rsidRPr="002C27BC">
        <w:rPr>
          <w:rStyle w:val="CommentReference"/>
          <w:rFonts w:asciiTheme="minorHAnsi" w:hAnsiTheme="minorHAnsi" w:cstheme="minorHAnsi"/>
          <w:b w:val="0"/>
        </w:rPr>
        <w:br/>
        <w:t>www9.health.gov.au/cda/source/cda-index.cfm</w:t>
      </w:r>
    </w:p>
  </w:footnote>
  <w:footnote w:id="12">
    <w:p w:rsidR="00E76139" w:rsidRPr="00645F5B" w:rsidRDefault="00E76139" w:rsidP="003C74A5">
      <w:pPr>
        <w:pStyle w:val="FootnoteText"/>
      </w:pPr>
      <w:r w:rsidRPr="00645F5B">
        <w:rPr>
          <w:rStyle w:val="FootnoteReference"/>
        </w:rPr>
        <w:footnoteRef/>
      </w:r>
      <w:r w:rsidRPr="00645F5B">
        <w:t xml:space="preserve"> </w:t>
      </w:r>
      <w:proofErr w:type="spellStart"/>
      <w:r w:rsidRPr="00645F5B">
        <w:t>DiazGranados</w:t>
      </w:r>
      <w:proofErr w:type="spellEnd"/>
      <w:r w:rsidRPr="00645F5B">
        <w:t xml:space="preserve"> (2015) noted that attributing a hospital case to influenza was undertaken by “two physicians blinded to treatment group [who] independently reviewed all serious adverse events diagnostic categories that were reported during the study [although] adjudication was done without regard to influenza confirmation in the study” (p4989).</w:t>
      </w:r>
    </w:p>
  </w:footnote>
  <w:footnote w:id="13">
    <w:p w:rsidR="00E76139" w:rsidRPr="00D749FF" w:rsidRDefault="00E76139">
      <w:pPr>
        <w:pStyle w:val="FootnoteText"/>
      </w:pPr>
      <w:r w:rsidRPr="00D749FF">
        <w:rPr>
          <w:rStyle w:val="FootnoteReference"/>
        </w:rPr>
        <w:footnoteRef/>
      </w:r>
      <w:r w:rsidRPr="00D749FF">
        <w:t xml:space="preserve"> Inactivated trivalent influenza vaccine (split </w:t>
      </w:r>
      <w:proofErr w:type="spellStart"/>
      <w:r w:rsidRPr="00D749FF">
        <w:t>virion</w:t>
      </w:r>
      <w:proofErr w:type="spellEnd"/>
      <w:r w:rsidRPr="00D749FF">
        <w:t xml:space="preserve">), suspension for injection, 180mcg single dose in 0.5mL, </w:t>
      </w:r>
      <w:proofErr w:type="spellStart"/>
      <w:r w:rsidRPr="00D749FF">
        <w:t>Fluzone</w:t>
      </w:r>
      <w:proofErr w:type="spellEnd"/>
      <w:r w:rsidRPr="00D749FF">
        <w:t xml:space="preserve">® High-Dose, Public Summary Document, March 2018 PBAC meeting, available at </w:t>
      </w:r>
      <w:hyperlink r:id="rId5" w:history="1">
        <w:r w:rsidRPr="00D749FF">
          <w:rPr>
            <w:rStyle w:val="Hyperlink"/>
          </w:rPr>
          <w:t>http://www.pbs.gov.au/info/industry/listing/elements/pbac-meetings/psd/2018-03/Inactivated-trivalent-influenza-vaccine-%28Split%20Virion%29-suspension-for-injection-psd-march-2018</w:t>
        </w:r>
      </w:hyperlink>
      <w:r w:rsidRPr="00D749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A1" w:rsidRDefault="00C25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39" w:rsidRPr="00DA6805" w:rsidRDefault="00E76139" w:rsidP="00DA6805">
    <w:pPr>
      <w:widowControl/>
      <w:tabs>
        <w:tab w:val="center" w:pos="4513"/>
        <w:tab w:val="right" w:pos="9026"/>
      </w:tabs>
      <w:jc w:val="center"/>
      <w:rPr>
        <w:rFonts w:asciiTheme="minorHAnsi" w:eastAsiaTheme="minorHAnsi" w:hAnsiTheme="minorHAnsi" w:cstheme="minorHAnsi"/>
        <w:i/>
        <w:snapToGrid/>
        <w:color w:val="808080"/>
        <w:sz w:val="22"/>
      </w:rPr>
    </w:pPr>
    <w:r w:rsidRPr="00DA6805">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DA6805">
      <w:rPr>
        <w:rFonts w:asciiTheme="minorHAnsi" w:eastAsiaTheme="minorHAnsi" w:hAnsiTheme="minorHAnsi" w:cstheme="minorHAnsi"/>
        <w:i/>
        <w:snapToGrid/>
        <w:color w:val="808080"/>
        <w:sz w:val="22"/>
      </w:rPr>
      <w:t xml:space="preserve"> PBAC Meeting</w:t>
    </w:r>
  </w:p>
  <w:p w:rsidR="00E76139" w:rsidRPr="00DA6805" w:rsidRDefault="00E76139" w:rsidP="00DA6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A1" w:rsidRDefault="00C25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941DE"/>
    <w:multiLevelType w:val="hybridMultilevel"/>
    <w:tmpl w:val="22A0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B6520A"/>
    <w:multiLevelType w:val="multilevel"/>
    <w:tmpl w:val="3118E7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0536DCA"/>
    <w:multiLevelType w:val="multilevel"/>
    <w:tmpl w:val="70D4D69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20B6ECC"/>
    <w:multiLevelType w:val="hybridMultilevel"/>
    <w:tmpl w:val="8F227534"/>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8">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F2CF8"/>
    <w:multiLevelType w:val="multilevel"/>
    <w:tmpl w:val="D28E1960"/>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13">
    <w:nsid w:val="70286BBA"/>
    <w:multiLevelType w:val="hybridMultilevel"/>
    <w:tmpl w:val="6638C9FA"/>
    <w:lvl w:ilvl="0" w:tplc="50B0CF4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0A04DE"/>
    <w:multiLevelType w:val="hybridMultilevel"/>
    <w:tmpl w:val="D804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2C21E5"/>
    <w:multiLevelType w:val="hybridMultilevel"/>
    <w:tmpl w:val="1798617A"/>
    <w:lvl w:ilvl="0" w:tplc="F5207B6A">
      <w:start w:val="1"/>
      <w:numFmt w:val="bullet"/>
      <w:lvlText w:val="•"/>
      <w:lvlJc w:val="left"/>
      <w:pPr>
        <w:tabs>
          <w:tab w:val="num" w:pos="720"/>
        </w:tabs>
        <w:ind w:left="720" w:hanging="360"/>
      </w:pPr>
      <w:rPr>
        <w:rFonts w:ascii="Arial" w:hAnsi="Arial" w:hint="default"/>
      </w:rPr>
    </w:lvl>
    <w:lvl w:ilvl="1" w:tplc="10389E84" w:tentative="1">
      <w:start w:val="1"/>
      <w:numFmt w:val="bullet"/>
      <w:lvlText w:val="•"/>
      <w:lvlJc w:val="left"/>
      <w:pPr>
        <w:tabs>
          <w:tab w:val="num" w:pos="1440"/>
        </w:tabs>
        <w:ind w:left="1440" w:hanging="360"/>
      </w:pPr>
      <w:rPr>
        <w:rFonts w:ascii="Arial" w:hAnsi="Arial" w:hint="default"/>
      </w:rPr>
    </w:lvl>
    <w:lvl w:ilvl="2" w:tplc="B3E88278" w:tentative="1">
      <w:start w:val="1"/>
      <w:numFmt w:val="bullet"/>
      <w:lvlText w:val="•"/>
      <w:lvlJc w:val="left"/>
      <w:pPr>
        <w:tabs>
          <w:tab w:val="num" w:pos="2160"/>
        </w:tabs>
        <w:ind w:left="2160" w:hanging="360"/>
      </w:pPr>
      <w:rPr>
        <w:rFonts w:ascii="Arial" w:hAnsi="Arial" w:hint="default"/>
      </w:rPr>
    </w:lvl>
    <w:lvl w:ilvl="3" w:tplc="BD120786" w:tentative="1">
      <w:start w:val="1"/>
      <w:numFmt w:val="bullet"/>
      <w:lvlText w:val="•"/>
      <w:lvlJc w:val="left"/>
      <w:pPr>
        <w:tabs>
          <w:tab w:val="num" w:pos="2880"/>
        </w:tabs>
        <w:ind w:left="2880" w:hanging="360"/>
      </w:pPr>
      <w:rPr>
        <w:rFonts w:ascii="Arial" w:hAnsi="Arial" w:hint="default"/>
      </w:rPr>
    </w:lvl>
    <w:lvl w:ilvl="4" w:tplc="FBA8F91C" w:tentative="1">
      <w:start w:val="1"/>
      <w:numFmt w:val="bullet"/>
      <w:lvlText w:val="•"/>
      <w:lvlJc w:val="left"/>
      <w:pPr>
        <w:tabs>
          <w:tab w:val="num" w:pos="3600"/>
        </w:tabs>
        <w:ind w:left="3600" w:hanging="360"/>
      </w:pPr>
      <w:rPr>
        <w:rFonts w:ascii="Arial" w:hAnsi="Arial" w:hint="default"/>
      </w:rPr>
    </w:lvl>
    <w:lvl w:ilvl="5" w:tplc="70A4B93C" w:tentative="1">
      <w:start w:val="1"/>
      <w:numFmt w:val="bullet"/>
      <w:lvlText w:val="•"/>
      <w:lvlJc w:val="left"/>
      <w:pPr>
        <w:tabs>
          <w:tab w:val="num" w:pos="4320"/>
        </w:tabs>
        <w:ind w:left="4320" w:hanging="360"/>
      </w:pPr>
      <w:rPr>
        <w:rFonts w:ascii="Arial" w:hAnsi="Arial" w:hint="default"/>
      </w:rPr>
    </w:lvl>
    <w:lvl w:ilvl="6" w:tplc="A13027A4" w:tentative="1">
      <w:start w:val="1"/>
      <w:numFmt w:val="bullet"/>
      <w:lvlText w:val="•"/>
      <w:lvlJc w:val="left"/>
      <w:pPr>
        <w:tabs>
          <w:tab w:val="num" w:pos="5040"/>
        </w:tabs>
        <w:ind w:left="5040" w:hanging="360"/>
      </w:pPr>
      <w:rPr>
        <w:rFonts w:ascii="Arial" w:hAnsi="Arial" w:hint="default"/>
      </w:rPr>
    </w:lvl>
    <w:lvl w:ilvl="7" w:tplc="15D4C5CC" w:tentative="1">
      <w:start w:val="1"/>
      <w:numFmt w:val="bullet"/>
      <w:lvlText w:val="•"/>
      <w:lvlJc w:val="left"/>
      <w:pPr>
        <w:tabs>
          <w:tab w:val="num" w:pos="5760"/>
        </w:tabs>
        <w:ind w:left="5760" w:hanging="360"/>
      </w:pPr>
      <w:rPr>
        <w:rFonts w:ascii="Arial" w:hAnsi="Arial" w:hint="default"/>
      </w:rPr>
    </w:lvl>
    <w:lvl w:ilvl="8" w:tplc="B1966C0A" w:tentative="1">
      <w:start w:val="1"/>
      <w:numFmt w:val="bullet"/>
      <w:lvlText w:val="•"/>
      <w:lvlJc w:val="left"/>
      <w:pPr>
        <w:tabs>
          <w:tab w:val="num" w:pos="6480"/>
        </w:tabs>
        <w:ind w:left="6480" w:hanging="360"/>
      </w:pPr>
      <w:rPr>
        <w:rFonts w:ascii="Arial" w:hAnsi="Arial" w:hint="default"/>
      </w:rPr>
    </w:lvl>
  </w:abstractNum>
  <w:abstractNum w:abstractNumId="16">
    <w:nsid w:val="784D033C"/>
    <w:multiLevelType w:val="multilevel"/>
    <w:tmpl w:val="2E6A136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7"/>
  </w:num>
  <w:num w:numId="4">
    <w:abstractNumId w:val="12"/>
  </w:num>
  <w:num w:numId="5">
    <w:abstractNumId w:val="14"/>
  </w:num>
  <w:num w:numId="6">
    <w:abstractNumId w:val="2"/>
  </w:num>
  <w:num w:numId="7">
    <w:abstractNumId w:val="1"/>
  </w:num>
  <w:num w:numId="8">
    <w:abstractNumId w:val="5"/>
  </w:num>
  <w:num w:numId="9">
    <w:abstractNumId w:val="6"/>
  </w:num>
  <w:num w:numId="10">
    <w:abstractNumId w:val="10"/>
  </w:num>
  <w:num w:numId="11">
    <w:abstractNumId w:val="11"/>
  </w:num>
  <w:num w:numId="12">
    <w:abstractNumId w:val="3"/>
  </w:num>
  <w:num w:numId="13">
    <w:abstractNumId w:val="0"/>
  </w:num>
  <w:num w:numId="14">
    <w:abstractNumId w:val="4"/>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wtzQzMrYwNDM0MzdW0lEKTi0uzszPAykwrAUAP4Tp3iwAAAA="/>
  </w:docVars>
  <w:rsids>
    <w:rsidRoot w:val="00E65E79"/>
    <w:rsid w:val="00000790"/>
    <w:rsid w:val="00000969"/>
    <w:rsid w:val="0000110B"/>
    <w:rsid w:val="00002076"/>
    <w:rsid w:val="00002B76"/>
    <w:rsid w:val="00003499"/>
    <w:rsid w:val="000039B7"/>
    <w:rsid w:val="00006454"/>
    <w:rsid w:val="000075ED"/>
    <w:rsid w:val="00011358"/>
    <w:rsid w:val="00011866"/>
    <w:rsid w:val="00013247"/>
    <w:rsid w:val="00015723"/>
    <w:rsid w:val="00015886"/>
    <w:rsid w:val="000162EF"/>
    <w:rsid w:val="0002225F"/>
    <w:rsid w:val="0002248C"/>
    <w:rsid w:val="00023763"/>
    <w:rsid w:val="000241E7"/>
    <w:rsid w:val="00024947"/>
    <w:rsid w:val="00025DD5"/>
    <w:rsid w:val="00026E08"/>
    <w:rsid w:val="00027639"/>
    <w:rsid w:val="00031312"/>
    <w:rsid w:val="000318DD"/>
    <w:rsid w:val="0003252E"/>
    <w:rsid w:val="00033863"/>
    <w:rsid w:val="00034202"/>
    <w:rsid w:val="00035DA4"/>
    <w:rsid w:val="00035DC0"/>
    <w:rsid w:val="00036829"/>
    <w:rsid w:val="00040383"/>
    <w:rsid w:val="00040895"/>
    <w:rsid w:val="00040E9F"/>
    <w:rsid w:val="00042D31"/>
    <w:rsid w:val="00043C37"/>
    <w:rsid w:val="000446FD"/>
    <w:rsid w:val="00045017"/>
    <w:rsid w:val="00045A2B"/>
    <w:rsid w:val="000461B8"/>
    <w:rsid w:val="0004698F"/>
    <w:rsid w:val="00047275"/>
    <w:rsid w:val="00050221"/>
    <w:rsid w:val="00052E28"/>
    <w:rsid w:val="000539D0"/>
    <w:rsid w:val="00054621"/>
    <w:rsid w:val="000546D7"/>
    <w:rsid w:val="000552DE"/>
    <w:rsid w:val="000607F4"/>
    <w:rsid w:val="000610A3"/>
    <w:rsid w:val="00062304"/>
    <w:rsid w:val="000623E8"/>
    <w:rsid w:val="00066222"/>
    <w:rsid w:val="00066360"/>
    <w:rsid w:val="00066918"/>
    <w:rsid w:val="00067728"/>
    <w:rsid w:val="000704DC"/>
    <w:rsid w:val="00070B49"/>
    <w:rsid w:val="00071248"/>
    <w:rsid w:val="00071AE4"/>
    <w:rsid w:val="000720B9"/>
    <w:rsid w:val="000737F7"/>
    <w:rsid w:val="00075195"/>
    <w:rsid w:val="00075D1F"/>
    <w:rsid w:val="0007672F"/>
    <w:rsid w:val="000774F0"/>
    <w:rsid w:val="00080188"/>
    <w:rsid w:val="00080909"/>
    <w:rsid w:val="00080E5B"/>
    <w:rsid w:val="0008109C"/>
    <w:rsid w:val="000810B4"/>
    <w:rsid w:val="000812CA"/>
    <w:rsid w:val="0008258D"/>
    <w:rsid w:val="00083E99"/>
    <w:rsid w:val="000856C5"/>
    <w:rsid w:val="00090C7E"/>
    <w:rsid w:val="00092009"/>
    <w:rsid w:val="00092600"/>
    <w:rsid w:val="0009262B"/>
    <w:rsid w:val="00093310"/>
    <w:rsid w:val="0009445C"/>
    <w:rsid w:val="00095FE5"/>
    <w:rsid w:val="00096284"/>
    <w:rsid w:val="000A79F5"/>
    <w:rsid w:val="000A7D08"/>
    <w:rsid w:val="000B0670"/>
    <w:rsid w:val="000B0E75"/>
    <w:rsid w:val="000B1EBC"/>
    <w:rsid w:val="000B4696"/>
    <w:rsid w:val="000B48FB"/>
    <w:rsid w:val="000B6093"/>
    <w:rsid w:val="000B62B3"/>
    <w:rsid w:val="000B6CAC"/>
    <w:rsid w:val="000B7612"/>
    <w:rsid w:val="000C13E8"/>
    <w:rsid w:val="000C2E7E"/>
    <w:rsid w:val="000C2F56"/>
    <w:rsid w:val="000C3DF9"/>
    <w:rsid w:val="000C43E7"/>
    <w:rsid w:val="000C467A"/>
    <w:rsid w:val="000C51D1"/>
    <w:rsid w:val="000C6713"/>
    <w:rsid w:val="000D067F"/>
    <w:rsid w:val="000D1BFC"/>
    <w:rsid w:val="000D281A"/>
    <w:rsid w:val="000D326A"/>
    <w:rsid w:val="000D51FB"/>
    <w:rsid w:val="000D6088"/>
    <w:rsid w:val="000D66E1"/>
    <w:rsid w:val="000D7470"/>
    <w:rsid w:val="000E135D"/>
    <w:rsid w:val="000E1D81"/>
    <w:rsid w:val="000E4F9B"/>
    <w:rsid w:val="000E528D"/>
    <w:rsid w:val="000E5A23"/>
    <w:rsid w:val="000E5F5A"/>
    <w:rsid w:val="000F00BA"/>
    <w:rsid w:val="000F2771"/>
    <w:rsid w:val="000F316A"/>
    <w:rsid w:val="000F3C74"/>
    <w:rsid w:val="000F3CD6"/>
    <w:rsid w:val="000F4BB8"/>
    <w:rsid w:val="000F5871"/>
    <w:rsid w:val="000F6E2F"/>
    <w:rsid w:val="000F7127"/>
    <w:rsid w:val="00100D12"/>
    <w:rsid w:val="00100F8A"/>
    <w:rsid w:val="00102C72"/>
    <w:rsid w:val="001050B2"/>
    <w:rsid w:val="00105AE2"/>
    <w:rsid w:val="001063AF"/>
    <w:rsid w:val="00106B80"/>
    <w:rsid w:val="0011032E"/>
    <w:rsid w:val="0011348B"/>
    <w:rsid w:val="00115982"/>
    <w:rsid w:val="001162D4"/>
    <w:rsid w:val="00116C53"/>
    <w:rsid w:val="00117A7A"/>
    <w:rsid w:val="00120D98"/>
    <w:rsid w:val="00121799"/>
    <w:rsid w:val="001222FC"/>
    <w:rsid w:val="00122351"/>
    <w:rsid w:val="00123568"/>
    <w:rsid w:val="00123B61"/>
    <w:rsid w:val="00124A51"/>
    <w:rsid w:val="00124BA2"/>
    <w:rsid w:val="00126621"/>
    <w:rsid w:val="001301E9"/>
    <w:rsid w:val="00131D82"/>
    <w:rsid w:val="00131EA9"/>
    <w:rsid w:val="00132652"/>
    <w:rsid w:val="00133D36"/>
    <w:rsid w:val="0013462C"/>
    <w:rsid w:val="00135641"/>
    <w:rsid w:val="00137645"/>
    <w:rsid w:val="0014015A"/>
    <w:rsid w:val="00140E99"/>
    <w:rsid w:val="00142542"/>
    <w:rsid w:val="0014298E"/>
    <w:rsid w:val="00143FD5"/>
    <w:rsid w:val="001452C3"/>
    <w:rsid w:val="00145540"/>
    <w:rsid w:val="001456B0"/>
    <w:rsid w:val="0014706D"/>
    <w:rsid w:val="00152865"/>
    <w:rsid w:val="00157130"/>
    <w:rsid w:val="001576B1"/>
    <w:rsid w:val="00157F18"/>
    <w:rsid w:val="00160A4C"/>
    <w:rsid w:val="00161E40"/>
    <w:rsid w:val="001623CC"/>
    <w:rsid w:val="00162913"/>
    <w:rsid w:val="00163EFF"/>
    <w:rsid w:val="001648BC"/>
    <w:rsid w:val="001661FB"/>
    <w:rsid w:val="0016778C"/>
    <w:rsid w:val="00173565"/>
    <w:rsid w:val="00173B07"/>
    <w:rsid w:val="00174729"/>
    <w:rsid w:val="0017671B"/>
    <w:rsid w:val="00181D9C"/>
    <w:rsid w:val="0018752F"/>
    <w:rsid w:val="00192850"/>
    <w:rsid w:val="00194C78"/>
    <w:rsid w:val="00195222"/>
    <w:rsid w:val="0019665A"/>
    <w:rsid w:val="00196F93"/>
    <w:rsid w:val="001975D8"/>
    <w:rsid w:val="001A228B"/>
    <w:rsid w:val="001A2DC1"/>
    <w:rsid w:val="001A43FA"/>
    <w:rsid w:val="001A56D8"/>
    <w:rsid w:val="001A59FB"/>
    <w:rsid w:val="001A6354"/>
    <w:rsid w:val="001A7AE8"/>
    <w:rsid w:val="001B00FC"/>
    <w:rsid w:val="001B204E"/>
    <w:rsid w:val="001B20DC"/>
    <w:rsid w:val="001B2E6C"/>
    <w:rsid w:val="001B3443"/>
    <w:rsid w:val="001B4D20"/>
    <w:rsid w:val="001B7C32"/>
    <w:rsid w:val="001C026F"/>
    <w:rsid w:val="001C2A9B"/>
    <w:rsid w:val="001C378C"/>
    <w:rsid w:val="001C4299"/>
    <w:rsid w:val="001C5F94"/>
    <w:rsid w:val="001C6666"/>
    <w:rsid w:val="001C6E66"/>
    <w:rsid w:val="001D3E26"/>
    <w:rsid w:val="001D40A4"/>
    <w:rsid w:val="001D5904"/>
    <w:rsid w:val="001D7615"/>
    <w:rsid w:val="001E0A45"/>
    <w:rsid w:val="001E0CDB"/>
    <w:rsid w:val="001E238E"/>
    <w:rsid w:val="001E2483"/>
    <w:rsid w:val="001E2B1E"/>
    <w:rsid w:val="001E30D4"/>
    <w:rsid w:val="001E4AE7"/>
    <w:rsid w:val="001E52EB"/>
    <w:rsid w:val="001E61D2"/>
    <w:rsid w:val="001E740C"/>
    <w:rsid w:val="001E7D8F"/>
    <w:rsid w:val="001F042F"/>
    <w:rsid w:val="001F1235"/>
    <w:rsid w:val="001F1CB3"/>
    <w:rsid w:val="001F38B5"/>
    <w:rsid w:val="001F4D7B"/>
    <w:rsid w:val="001F5783"/>
    <w:rsid w:val="001F5E90"/>
    <w:rsid w:val="001F72AD"/>
    <w:rsid w:val="001F7361"/>
    <w:rsid w:val="00200A5D"/>
    <w:rsid w:val="002011B0"/>
    <w:rsid w:val="002015C4"/>
    <w:rsid w:val="00201EBE"/>
    <w:rsid w:val="0020280A"/>
    <w:rsid w:val="00203181"/>
    <w:rsid w:val="00203491"/>
    <w:rsid w:val="00203783"/>
    <w:rsid w:val="00203791"/>
    <w:rsid w:val="0020385F"/>
    <w:rsid w:val="00204B17"/>
    <w:rsid w:val="00206DD2"/>
    <w:rsid w:val="00207021"/>
    <w:rsid w:val="0020732F"/>
    <w:rsid w:val="00207D00"/>
    <w:rsid w:val="00207DDA"/>
    <w:rsid w:val="002100BD"/>
    <w:rsid w:val="00210224"/>
    <w:rsid w:val="002105C1"/>
    <w:rsid w:val="002109CA"/>
    <w:rsid w:val="00211E6C"/>
    <w:rsid w:val="00212219"/>
    <w:rsid w:val="00213416"/>
    <w:rsid w:val="00214F41"/>
    <w:rsid w:val="00215B2A"/>
    <w:rsid w:val="00215BA9"/>
    <w:rsid w:val="00220B1B"/>
    <w:rsid w:val="00223B49"/>
    <w:rsid w:val="00224DD4"/>
    <w:rsid w:val="00225D07"/>
    <w:rsid w:val="002309CC"/>
    <w:rsid w:val="00231F6D"/>
    <w:rsid w:val="0023209F"/>
    <w:rsid w:val="00233D86"/>
    <w:rsid w:val="00234356"/>
    <w:rsid w:val="00234844"/>
    <w:rsid w:val="0023629D"/>
    <w:rsid w:val="00237255"/>
    <w:rsid w:val="00240B76"/>
    <w:rsid w:val="002424AF"/>
    <w:rsid w:val="0024261F"/>
    <w:rsid w:val="002429AF"/>
    <w:rsid w:val="002439DC"/>
    <w:rsid w:val="00244DC8"/>
    <w:rsid w:val="002458BA"/>
    <w:rsid w:val="00245EB0"/>
    <w:rsid w:val="00246040"/>
    <w:rsid w:val="0024636C"/>
    <w:rsid w:val="00246C9B"/>
    <w:rsid w:val="00247925"/>
    <w:rsid w:val="00251C96"/>
    <w:rsid w:val="00252C3D"/>
    <w:rsid w:val="00252F2C"/>
    <w:rsid w:val="00254DCF"/>
    <w:rsid w:val="0025534B"/>
    <w:rsid w:val="00255BB7"/>
    <w:rsid w:val="00257541"/>
    <w:rsid w:val="00260876"/>
    <w:rsid w:val="00262A1A"/>
    <w:rsid w:val="00262A87"/>
    <w:rsid w:val="00264B71"/>
    <w:rsid w:val="00264D26"/>
    <w:rsid w:val="002670D3"/>
    <w:rsid w:val="00267642"/>
    <w:rsid w:val="00267AEA"/>
    <w:rsid w:val="002700E6"/>
    <w:rsid w:val="0027294B"/>
    <w:rsid w:val="00275A3C"/>
    <w:rsid w:val="00275C5A"/>
    <w:rsid w:val="002804C9"/>
    <w:rsid w:val="00281014"/>
    <w:rsid w:val="00283D44"/>
    <w:rsid w:val="00284A37"/>
    <w:rsid w:val="002856C1"/>
    <w:rsid w:val="0029136B"/>
    <w:rsid w:val="00292A06"/>
    <w:rsid w:val="00295CB1"/>
    <w:rsid w:val="002964CA"/>
    <w:rsid w:val="002A14AB"/>
    <w:rsid w:val="002A2F50"/>
    <w:rsid w:val="002A63AC"/>
    <w:rsid w:val="002A685E"/>
    <w:rsid w:val="002B0904"/>
    <w:rsid w:val="002B09A4"/>
    <w:rsid w:val="002B12A6"/>
    <w:rsid w:val="002B1C1F"/>
    <w:rsid w:val="002B1CAA"/>
    <w:rsid w:val="002B2832"/>
    <w:rsid w:val="002B2E3C"/>
    <w:rsid w:val="002B432F"/>
    <w:rsid w:val="002B4AD3"/>
    <w:rsid w:val="002B62B3"/>
    <w:rsid w:val="002B6754"/>
    <w:rsid w:val="002B6CCE"/>
    <w:rsid w:val="002B7181"/>
    <w:rsid w:val="002C0A63"/>
    <w:rsid w:val="002C18B7"/>
    <w:rsid w:val="002C2510"/>
    <w:rsid w:val="002C2775"/>
    <w:rsid w:val="002C27BC"/>
    <w:rsid w:val="002C27C1"/>
    <w:rsid w:val="002C5099"/>
    <w:rsid w:val="002C5889"/>
    <w:rsid w:val="002C71CE"/>
    <w:rsid w:val="002D29F9"/>
    <w:rsid w:val="002D45BC"/>
    <w:rsid w:val="002D577C"/>
    <w:rsid w:val="002D78BE"/>
    <w:rsid w:val="002E15B9"/>
    <w:rsid w:val="002E1ADA"/>
    <w:rsid w:val="002E2158"/>
    <w:rsid w:val="002E2FD6"/>
    <w:rsid w:val="002E3388"/>
    <w:rsid w:val="002E613F"/>
    <w:rsid w:val="002E675A"/>
    <w:rsid w:val="002E6BCC"/>
    <w:rsid w:val="002E7722"/>
    <w:rsid w:val="002F07BA"/>
    <w:rsid w:val="002F0DA9"/>
    <w:rsid w:val="002F4F3D"/>
    <w:rsid w:val="002F643C"/>
    <w:rsid w:val="002F71C0"/>
    <w:rsid w:val="002F76EB"/>
    <w:rsid w:val="00301017"/>
    <w:rsid w:val="0030155F"/>
    <w:rsid w:val="003023F1"/>
    <w:rsid w:val="00302B5E"/>
    <w:rsid w:val="00302E4A"/>
    <w:rsid w:val="003032BE"/>
    <w:rsid w:val="00305141"/>
    <w:rsid w:val="0030587B"/>
    <w:rsid w:val="00305AF8"/>
    <w:rsid w:val="00306D98"/>
    <w:rsid w:val="00307039"/>
    <w:rsid w:val="0030786C"/>
    <w:rsid w:val="0031031A"/>
    <w:rsid w:val="00310981"/>
    <w:rsid w:val="003137BF"/>
    <w:rsid w:val="003146A2"/>
    <w:rsid w:val="00315498"/>
    <w:rsid w:val="00315A57"/>
    <w:rsid w:val="0032018E"/>
    <w:rsid w:val="00322107"/>
    <w:rsid w:val="00322846"/>
    <w:rsid w:val="003239F8"/>
    <w:rsid w:val="00323FCB"/>
    <w:rsid w:val="003249B3"/>
    <w:rsid w:val="00325CE1"/>
    <w:rsid w:val="00326DA7"/>
    <w:rsid w:val="003270E4"/>
    <w:rsid w:val="00330F5C"/>
    <w:rsid w:val="00333476"/>
    <w:rsid w:val="00333743"/>
    <w:rsid w:val="00334F49"/>
    <w:rsid w:val="00335016"/>
    <w:rsid w:val="00335BC5"/>
    <w:rsid w:val="003366C9"/>
    <w:rsid w:val="00336862"/>
    <w:rsid w:val="003371B0"/>
    <w:rsid w:val="00340DF1"/>
    <w:rsid w:val="00341249"/>
    <w:rsid w:val="003457F7"/>
    <w:rsid w:val="00345EEC"/>
    <w:rsid w:val="003517F9"/>
    <w:rsid w:val="0035620E"/>
    <w:rsid w:val="00357F91"/>
    <w:rsid w:val="003624C4"/>
    <w:rsid w:val="003654AC"/>
    <w:rsid w:val="003710CF"/>
    <w:rsid w:val="00371171"/>
    <w:rsid w:val="0037189C"/>
    <w:rsid w:val="00372A79"/>
    <w:rsid w:val="00372AB9"/>
    <w:rsid w:val="0037358A"/>
    <w:rsid w:val="003750F6"/>
    <w:rsid w:val="003760FC"/>
    <w:rsid w:val="00377B49"/>
    <w:rsid w:val="00377E47"/>
    <w:rsid w:val="003803FA"/>
    <w:rsid w:val="003826C6"/>
    <w:rsid w:val="00382D56"/>
    <w:rsid w:val="0038365C"/>
    <w:rsid w:val="0038369B"/>
    <w:rsid w:val="00383B78"/>
    <w:rsid w:val="00384A36"/>
    <w:rsid w:val="00385A9D"/>
    <w:rsid w:val="00386358"/>
    <w:rsid w:val="003902B1"/>
    <w:rsid w:val="0039037F"/>
    <w:rsid w:val="00394F26"/>
    <w:rsid w:val="00396896"/>
    <w:rsid w:val="00396EB9"/>
    <w:rsid w:val="00396FD0"/>
    <w:rsid w:val="003A03C6"/>
    <w:rsid w:val="003A1A7A"/>
    <w:rsid w:val="003A2000"/>
    <w:rsid w:val="003A2392"/>
    <w:rsid w:val="003A2831"/>
    <w:rsid w:val="003A3677"/>
    <w:rsid w:val="003A3ED1"/>
    <w:rsid w:val="003A53A2"/>
    <w:rsid w:val="003B004D"/>
    <w:rsid w:val="003B0926"/>
    <w:rsid w:val="003B28C9"/>
    <w:rsid w:val="003B5B61"/>
    <w:rsid w:val="003B6EBC"/>
    <w:rsid w:val="003C0DFB"/>
    <w:rsid w:val="003C1654"/>
    <w:rsid w:val="003C3034"/>
    <w:rsid w:val="003C47AD"/>
    <w:rsid w:val="003C4ED8"/>
    <w:rsid w:val="003C5F85"/>
    <w:rsid w:val="003C6952"/>
    <w:rsid w:val="003C74A5"/>
    <w:rsid w:val="003C7612"/>
    <w:rsid w:val="003C7911"/>
    <w:rsid w:val="003C7D19"/>
    <w:rsid w:val="003D1828"/>
    <w:rsid w:val="003D1DE4"/>
    <w:rsid w:val="003D2422"/>
    <w:rsid w:val="003D39A1"/>
    <w:rsid w:val="003D3FBF"/>
    <w:rsid w:val="003D45CF"/>
    <w:rsid w:val="003D4A30"/>
    <w:rsid w:val="003D62F0"/>
    <w:rsid w:val="003D6881"/>
    <w:rsid w:val="003D6ABC"/>
    <w:rsid w:val="003D6AC0"/>
    <w:rsid w:val="003D79BB"/>
    <w:rsid w:val="003D7C98"/>
    <w:rsid w:val="003E0543"/>
    <w:rsid w:val="003E21D6"/>
    <w:rsid w:val="003E2D53"/>
    <w:rsid w:val="003E579C"/>
    <w:rsid w:val="003F0C2B"/>
    <w:rsid w:val="003F1082"/>
    <w:rsid w:val="003F11B5"/>
    <w:rsid w:val="003F4156"/>
    <w:rsid w:val="003F53FF"/>
    <w:rsid w:val="003F583A"/>
    <w:rsid w:val="003F6AE1"/>
    <w:rsid w:val="00400B29"/>
    <w:rsid w:val="00402A54"/>
    <w:rsid w:val="0040321D"/>
    <w:rsid w:val="00404BE7"/>
    <w:rsid w:val="0040504B"/>
    <w:rsid w:val="004052A2"/>
    <w:rsid w:val="00406A61"/>
    <w:rsid w:val="00410708"/>
    <w:rsid w:val="00410EC7"/>
    <w:rsid w:val="004112C4"/>
    <w:rsid w:val="00411B39"/>
    <w:rsid w:val="00411DCB"/>
    <w:rsid w:val="00413A1E"/>
    <w:rsid w:val="00414476"/>
    <w:rsid w:val="00414C2E"/>
    <w:rsid w:val="004151CF"/>
    <w:rsid w:val="00416364"/>
    <w:rsid w:val="0041719C"/>
    <w:rsid w:val="00420AA6"/>
    <w:rsid w:val="00420B9F"/>
    <w:rsid w:val="00422260"/>
    <w:rsid w:val="0042413F"/>
    <w:rsid w:val="00426FDD"/>
    <w:rsid w:val="004319F8"/>
    <w:rsid w:val="00431E55"/>
    <w:rsid w:val="00431FF6"/>
    <w:rsid w:val="004321F6"/>
    <w:rsid w:val="00432850"/>
    <w:rsid w:val="00433044"/>
    <w:rsid w:val="00433878"/>
    <w:rsid w:val="0043388A"/>
    <w:rsid w:val="004375B9"/>
    <w:rsid w:val="004428D0"/>
    <w:rsid w:val="0044315C"/>
    <w:rsid w:val="004443A7"/>
    <w:rsid w:val="0044442C"/>
    <w:rsid w:val="00445941"/>
    <w:rsid w:val="004464EB"/>
    <w:rsid w:val="00447D26"/>
    <w:rsid w:val="00451541"/>
    <w:rsid w:val="00451AA2"/>
    <w:rsid w:val="004522D1"/>
    <w:rsid w:val="00455D45"/>
    <w:rsid w:val="00456DEC"/>
    <w:rsid w:val="00460165"/>
    <w:rsid w:val="00461729"/>
    <w:rsid w:val="00461FFC"/>
    <w:rsid w:val="00464595"/>
    <w:rsid w:val="00467917"/>
    <w:rsid w:val="00470139"/>
    <w:rsid w:val="00471D53"/>
    <w:rsid w:val="00472A79"/>
    <w:rsid w:val="00473F19"/>
    <w:rsid w:val="00474794"/>
    <w:rsid w:val="00474AE4"/>
    <w:rsid w:val="00475E22"/>
    <w:rsid w:val="0048088E"/>
    <w:rsid w:val="00482720"/>
    <w:rsid w:val="004835E7"/>
    <w:rsid w:val="0048534D"/>
    <w:rsid w:val="004867E2"/>
    <w:rsid w:val="00491B3A"/>
    <w:rsid w:val="00492766"/>
    <w:rsid w:val="00492CFD"/>
    <w:rsid w:val="00494DD5"/>
    <w:rsid w:val="004951CA"/>
    <w:rsid w:val="0049548D"/>
    <w:rsid w:val="004962D2"/>
    <w:rsid w:val="004A050D"/>
    <w:rsid w:val="004A0DA1"/>
    <w:rsid w:val="004A1E67"/>
    <w:rsid w:val="004A2283"/>
    <w:rsid w:val="004A29AB"/>
    <w:rsid w:val="004A31C1"/>
    <w:rsid w:val="004A45B7"/>
    <w:rsid w:val="004A4D08"/>
    <w:rsid w:val="004A4DA6"/>
    <w:rsid w:val="004A52E9"/>
    <w:rsid w:val="004A6597"/>
    <w:rsid w:val="004A7848"/>
    <w:rsid w:val="004A7BCF"/>
    <w:rsid w:val="004B0618"/>
    <w:rsid w:val="004B0D34"/>
    <w:rsid w:val="004B1CB4"/>
    <w:rsid w:val="004B2CF0"/>
    <w:rsid w:val="004B2F18"/>
    <w:rsid w:val="004B3DDB"/>
    <w:rsid w:val="004B44FD"/>
    <w:rsid w:val="004B5CFC"/>
    <w:rsid w:val="004B624F"/>
    <w:rsid w:val="004B73E2"/>
    <w:rsid w:val="004B774D"/>
    <w:rsid w:val="004C4AED"/>
    <w:rsid w:val="004C5153"/>
    <w:rsid w:val="004C5918"/>
    <w:rsid w:val="004D0CF4"/>
    <w:rsid w:val="004D1F62"/>
    <w:rsid w:val="004D26BE"/>
    <w:rsid w:val="004D2C2D"/>
    <w:rsid w:val="004D3978"/>
    <w:rsid w:val="004D4AE7"/>
    <w:rsid w:val="004D656E"/>
    <w:rsid w:val="004D7227"/>
    <w:rsid w:val="004E0E7F"/>
    <w:rsid w:val="004E0EB8"/>
    <w:rsid w:val="004E2ADC"/>
    <w:rsid w:val="004E43B2"/>
    <w:rsid w:val="004E5A96"/>
    <w:rsid w:val="004F1D02"/>
    <w:rsid w:val="004F2679"/>
    <w:rsid w:val="004F2A37"/>
    <w:rsid w:val="004F2F21"/>
    <w:rsid w:val="004F2F60"/>
    <w:rsid w:val="004F5183"/>
    <w:rsid w:val="004F6913"/>
    <w:rsid w:val="004F7865"/>
    <w:rsid w:val="0050219B"/>
    <w:rsid w:val="00502F2C"/>
    <w:rsid w:val="00503EB2"/>
    <w:rsid w:val="00503F17"/>
    <w:rsid w:val="00505C18"/>
    <w:rsid w:val="00506928"/>
    <w:rsid w:val="0050799A"/>
    <w:rsid w:val="00510B24"/>
    <w:rsid w:val="005118B5"/>
    <w:rsid w:val="005152B5"/>
    <w:rsid w:val="0051791F"/>
    <w:rsid w:val="00521319"/>
    <w:rsid w:val="00522BC8"/>
    <w:rsid w:val="005238EA"/>
    <w:rsid w:val="00523C28"/>
    <w:rsid w:val="00523D3A"/>
    <w:rsid w:val="00524F9C"/>
    <w:rsid w:val="0052767D"/>
    <w:rsid w:val="005302EA"/>
    <w:rsid w:val="00530EAE"/>
    <w:rsid w:val="005352FF"/>
    <w:rsid w:val="00536F42"/>
    <w:rsid w:val="00537182"/>
    <w:rsid w:val="00540478"/>
    <w:rsid w:val="00541852"/>
    <w:rsid w:val="00542743"/>
    <w:rsid w:val="00542C2D"/>
    <w:rsid w:val="00543720"/>
    <w:rsid w:val="00545B54"/>
    <w:rsid w:val="00551985"/>
    <w:rsid w:val="00552BD3"/>
    <w:rsid w:val="005530AC"/>
    <w:rsid w:val="00553DED"/>
    <w:rsid w:val="00553EFF"/>
    <w:rsid w:val="00555109"/>
    <w:rsid w:val="00560707"/>
    <w:rsid w:val="00560D33"/>
    <w:rsid w:val="00561F74"/>
    <w:rsid w:val="0056308C"/>
    <w:rsid w:val="00566406"/>
    <w:rsid w:val="0056696F"/>
    <w:rsid w:val="00572269"/>
    <w:rsid w:val="0057244A"/>
    <w:rsid w:val="00572B05"/>
    <w:rsid w:val="00573B65"/>
    <w:rsid w:val="00573BA5"/>
    <w:rsid w:val="0057551B"/>
    <w:rsid w:val="00575D8D"/>
    <w:rsid w:val="005761E1"/>
    <w:rsid w:val="005765FE"/>
    <w:rsid w:val="00576972"/>
    <w:rsid w:val="00576AAE"/>
    <w:rsid w:val="00583699"/>
    <w:rsid w:val="00585CDD"/>
    <w:rsid w:val="00587058"/>
    <w:rsid w:val="00590BF5"/>
    <w:rsid w:val="00591957"/>
    <w:rsid w:val="00591F15"/>
    <w:rsid w:val="00592245"/>
    <w:rsid w:val="005955F2"/>
    <w:rsid w:val="005960E6"/>
    <w:rsid w:val="005968E4"/>
    <w:rsid w:val="00597AC8"/>
    <w:rsid w:val="00597BF9"/>
    <w:rsid w:val="005A2341"/>
    <w:rsid w:val="005A373D"/>
    <w:rsid w:val="005A6CD3"/>
    <w:rsid w:val="005B0F33"/>
    <w:rsid w:val="005B172B"/>
    <w:rsid w:val="005B30FF"/>
    <w:rsid w:val="005B4037"/>
    <w:rsid w:val="005B5111"/>
    <w:rsid w:val="005B5857"/>
    <w:rsid w:val="005B6A01"/>
    <w:rsid w:val="005B6BF9"/>
    <w:rsid w:val="005B7E06"/>
    <w:rsid w:val="005C1B83"/>
    <w:rsid w:val="005C2D55"/>
    <w:rsid w:val="005C346B"/>
    <w:rsid w:val="005C3AB7"/>
    <w:rsid w:val="005C6AA3"/>
    <w:rsid w:val="005C718B"/>
    <w:rsid w:val="005D044D"/>
    <w:rsid w:val="005D0ABB"/>
    <w:rsid w:val="005D0ABD"/>
    <w:rsid w:val="005D13E8"/>
    <w:rsid w:val="005D18AD"/>
    <w:rsid w:val="005D26B4"/>
    <w:rsid w:val="005D4F1B"/>
    <w:rsid w:val="005D7239"/>
    <w:rsid w:val="005D731C"/>
    <w:rsid w:val="005E0AF7"/>
    <w:rsid w:val="005E4C5A"/>
    <w:rsid w:val="005E5581"/>
    <w:rsid w:val="005E5FAA"/>
    <w:rsid w:val="005E6A6A"/>
    <w:rsid w:val="005E6CBC"/>
    <w:rsid w:val="005E6F7A"/>
    <w:rsid w:val="005E73C0"/>
    <w:rsid w:val="005F0EE0"/>
    <w:rsid w:val="005F146A"/>
    <w:rsid w:val="005F2706"/>
    <w:rsid w:val="005F6A8F"/>
    <w:rsid w:val="005F6DF6"/>
    <w:rsid w:val="00603DB9"/>
    <w:rsid w:val="0060401F"/>
    <w:rsid w:val="00607669"/>
    <w:rsid w:val="00607AFD"/>
    <w:rsid w:val="00607BAC"/>
    <w:rsid w:val="00612F97"/>
    <w:rsid w:val="0061345D"/>
    <w:rsid w:val="0061347E"/>
    <w:rsid w:val="00613D00"/>
    <w:rsid w:val="00616802"/>
    <w:rsid w:val="00616DE6"/>
    <w:rsid w:val="00616FC0"/>
    <w:rsid w:val="00617E12"/>
    <w:rsid w:val="006202BD"/>
    <w:rsid w:val="0062058D"/>
    <w:rsid w:val="00620B7D"/>
    <w:rsid w:val="00621477"/>
    <w:rsid w:val="00624104"/>
    <w:rsid w:val="006279CE"/>
    <w:rsid w:val="00630620"/>
    <w:rsid w:val="0063158F"/>
    <w:rsid w:val="0063164E"/>
    <w:rsid w:val="00631765"/>
    <w:rsid w:val="00631D6B"/>
    <w:rsid w:val="006330A1"/>
    <w:rsid w:val="0063479F"/>
    <w:rsid w:val="006353F0"/>
    <w:rsid w:val="006364A1"/>
    <w:rsid w:val="00637B5D"/>
    <w:rsid w:val="00637BFD"/>
    <w:rsid w:val="00640D04"/>
    <w:rsid w:val="00640F61"/>
    <w:rsid w:val="00641C4E"/>
    <w:rsid w:val="00641DF1"/>
    <w:rsid w:val="006446B8"/>
    <w:rsid w:val="00645503"/>
    <w:rsid w:val="00645F5B"/>
    <w:rsid w:val="006470A3"/>
    <w:rsid w:val="006471CC"/>
    <w:rsid w:val="0064760C"/>
    <w:rsid w:val="0065079F"/>
    <w:rsid w:val="00651F91"/>
    <w:rsid w:val="0065379F"/>
    <w:rsid w:val="006540BB"/>
    <w:rsid w:val="0065534C"/>
    <w:rsid w:val="00655A6C"/>
    <w:rsid w:val="00655CFB"/>
    <w:rsid w:val="00656574"/>
    <w:rsid w:val="00660E41"/>
    <w:rsid w:val="00661C6B"/>
    <w:rsid w:val="00662219"/>
    <w:rsid w:val="00665D4D"/>
    <w:rsid w:val="0067132D"/>
    <w:rsid w:val="00671AB5"/>
    <w:rsid w:val="00671F37"/>
    <w:rsid w:val="00674858"/>
    <w:rsid w:val="00674E42"/>
    <w:rsid w:val="00675782"/>
    <w:rsid w:val="006802DB"/>
    <w:rsid w:val="00682112"/>
    <w:rsid w:val="0068485B"/>
    <w:rsid w:val="00684A7E"/>
    <w:rsid w:val="00686957"/>
    <w:rsid w:val="006872BA"/>
    <w:rsid w:val="006872E0"/>
    <w:rsid w:val="00691648"/>
    <w:rsid w:val="006917D7"/>
    <w:rsid w:val="00694F44"/>
    <w:rsid w:val="006A26CE"/>
    <w:rsid w:val="006A2D96"/>
    <w:rsid w:val="006A301F"/>
    <w:rsid w:val="006A372B"/>
    <w:rsid w:val="006A4433"/>
    <w:rsid w:val="006A4EEC"/>
    <w:rsid w:val="006A7E5F"/>
    <w:rsid w:val="006B15DF"/>
    <w:rsid w:val="006B261B"/>
    <w:rsid w:val="006B2BA3"/>
    <w:rsid w:val="006B2C90"/>
    <w:rsid w:val="006B33FF"/>
    <w:rsid w:val="006B395C"/>
    <w:rsid w:val="006B3AF7"/>
    <w:rsid w:val="006B4307"/>
    <w:rsid w:val="006B45AF"/>
    <w:rsid w:val="006B6B15"/>
    <w:rsid w:val="006B6DD0"/>
    <w:rsid w:val="006C2A8E"/>
    <w:rsid w:val="006C3C0D"/>
    <w:rsid w:val="006C48E1"/>
    <w:rsid w:val="006C771E"/>
    <w:rsid w:val="006D0AA9"/>
    <w:rsid w:val="006D0BB9"/>
    <w:rsid w:val="006D18A0"/>
    <w:rsid w:val="006D3C7D"/>
    <w:rsid w:val="006D5D5F"/>
    <w:rsid w:val="006D7BB9"/>
    <w:rsid w:val="006E0663"/>
    <w:rsid w:val="006E5C6B"/>
    <w:rsid w:val="006E76E9"/>
    <w:rsid w:val="006F23D0"/>
    <w:rsid w:val="006F306C"/>
    <w:rsid w:val="006F31D8"/>
    <w:rsid w:val="006F4265"/>
    <w:rsid w:val="006F4C3E"/>
    <w:rsid w:val="006F4D51"/>
    <w:rsid w:val="006F63A5"/>
    <w:rsid w:val="006F6A93"/>
    <w:rsid w:val="006F7397"/>
    <w:rsid w:val="006F7A9B"/>
    <w:rsid w:val="0070142B"/>
    <w:rsid w:val="0070276E"/>
    <w:rsid w:val="00702974"/>
    <w:rsid w:val="00702F8F"/>
    <w:rsid w:val="0070420E"/>
    <w:rsid w:val="00706F28"/>
    <w:rsid w:val="00711A36"/>
    <w:rsid w:val="0071373A"/>
    <w:rsid w:val="00713E35"/>
    <w:rsid w:val="0071529C"/>
    <w:rsid w:val="007172AD"/>
    <w:rsid w:val="007177AC"/>
    <w:rsid w:val="007179CF"/>
    <w:rsid w:val="00720358"/>
    <w:rsid w:val="00722B1B"/>
    <w:rsid w:val="0072377B"/>
    <w:rsid w:val="0072416F"/>
    <w:rsid w:val="007250E8"/>
    <w:rsid w:val="00727056"/>
    <w:rsid w:val="00727C94"/>
    <w:rsid w:val="00727D29"/>
    <w:rsid w:val="00730D6A"/>
    <w:rsid w:val="00731DA5"/>
    <w:rsid w:val="00731EAE"/>
    <w:rsid w:val="00735033"/>
    <w:rsid w:val="00735328"/>
    <w:rsid w:val="0073573C"/>
    <w:rsid w:val="0073685B"/>
    <w:rsid w:val="007374CD"/>
    <w:rsid w:val="00742467"/>
    <w:rsid w:val="00745734"/>
    <w:rsid w:val="00746A26"/>
    <w:rsid w:val="00747130"/>
    <w:rsid w:val="00752142"/>
    <w:rsid w:val="007523F9"/>
    <w:rsid w:val="00754333"/>
    <w:rsid w:val="00755A20"/>
    <w:rsid w:val="0075642E"/>
    <w:rsid w:val="007573E8"/>
    <w:rsid w:val="00760C4E"/>
    <w:rsid w:val="00763AD2"/>
    <w:rsid w:val="00765B1A"/>
    <w:rsid w:val="00767078"/>
    <w:rsid w:val="00767DDD"/>
    <w:rsid w:val="00770359"/>
    <w:rsid w:val="00777B02"/>
    <w:rsid w:val="00782710"/>
    <w:rsid w:val="007843F2"/>
    <w:rsid w:val="00790D72"/>
    <w:rsid w:val="007926C3"/>
    <w:rsid w:val="00794746"/>
    <w:rsid w:val="0079584A"/>
    <w:rsid w:val="00795C3B"/>
    <w:rsid w:val="007A0A12"/>
    <w:rsid w:val="007A132D"/>
    <w:rsid w:val="007A2F49"/>
    <w:rsid w:val="007A305A"/>
    <w:rsid w:val="007A351C"/>
    <w:rsid w:val="007B0D68"/>
    <w:rsid w:val="007B0F74"/>
    <w:rsid w:val="007B251D"/>
    <w:rsid w:val="007B34B3"/>
    <w:rsid w:val="007B3657"/>
    <w:rsid w:val="007B4515"/>
    <w:rsid w:val="007B4F58"/>
    <w:rsid w:val="007B528D"/>
    <w:rsid w:val="007B69E6"/>
    <w:rsid w:val="007B77D1"/>
    <w:rsid w:val="007C1CD9"/>
    <w:rsid w:val="007C361D"/>
    <w:rsid w:val="007C4B84"/>
    <w:rsid w:val="007C5209"/>
    <w:rsid w:val="007C7D0F"/>
    <w:rsid w:val="007D004F"/>
    <w:rsid w:val="007D0B38"/>
    <w:rsid w:val="007D117D"/>
    <w:rsid w:val="007D12AB"/>
    <w:rsid w:val="007D5440"/>
    <w:rsid w:val="007D54E9"/>
    <w:rsid w:val="007E103B"/>
    <w:rsid w:val="007E2C55"/>
    <w:rsid w:val="007E43FB"/>
    <w:rsid w:val="007E4BCD"/>
    <w:rsid w:val="007E6AFA"/>
    <w:rsid w:val="007E6B8F"/>
    <w:rsid w:val="007F1017"/>
    <w:rsid w:val="007F3C27"/>
    <w:rsid w:val="007F482A"/>
    <w:rsid w:val="007F4A3F"/>
    <w:rsid w:val="007F4A61"/>
    <w:rsid w:val="007F61C2"/>
    <w:rsid w:val="00805142"/>
    <w:rsid w:val="00807A8B"/>
    <w:rsid w:val="00810047"/>
    <w:rsid w:val="00811383"/>
    <w:rsid w:val="00811F39"/>
    <w:rsid w:val="00812149"/>
    <w:rsid w:val="00812CAC"/>
    <w:rsid w:val="008166EF"/>
    <w:rsid w:val="00820429"/>
    <w:rsid w:val="0082257D"/>
    <w:rsid w:val="008241C7"/>
    <w:rsid w:val="00825751"/>
    <w:rsid w:val="00825F86"/>
    <w:rsid w:val="008264EB"/>
    <w:rsid w:val="00833B05"/>
    <w:rsid w:val="0083493E"/>
    <w:rsid w:val="00834DD6"/>
    <w:rsid w:val="008362B4"/>
    <w:rsid w:val="00840175"/>
    <w:rsid w:val="00840CA2"/>
    <w:rsid w:val="0084374F"/>
    <w:rsid w:val="00845817"/>
    <w:rsid w:val="00847DF5"/>
    <w:rsid w:val="00850CEE"/>
    <w:rsid w:val="0085209E"/>
    <w:rsid w:val="0085309D"/>
    <w:rsid w:val="008540F0"/>
    <w:rsid w:val="00854BE7"/>
    <w:rsid w:val="00856597"/>
    <w:rsid w:val="008565A3"/>
    <w:rsid w:val="00856897"/>
    <w:rsid w:val="00856BFD"/>
    <w:rsid w:val="00856E9A"/>
    <w:rsid w:val="0086075D"/>
    <w:rsid w:val="00860BE2"/>
    <w:rsid w:val="0086158A"/>
    <w:rsid w:val="00861A55"/>
    <w:rsid w:val="00862502"/>
    <w:rsid w:val="008660D4"/>
    <w:rsid w:val="008665CA"/>
    <w:rsid w:val="00871035"/>
    <w:rsid w:val="00871FA9"/>
    <w:rsid w:val="008728E9"/>
    <w:rsid w:val="00877330"/>
    <w:rsid w:val="008774C9"/>
    <w:rsid w:val="0088088C"/>
    <w:rsid w:val="00882874"/>
    <w:rsid w:val="00883787"/>
    <w:rsid w:val="008838F3"/>
    <w:rsid w:val="00886CD2"/>
    <w:rsid w:val="008874A9"/>
    <w:rsid w:val="00890007"/>
    <w:rsid w:val="00890EE5"/>
    <w:rsid w:val="008916F9"/>
    <w:rsid w:val="00892A36"/>
    <w:rsid w:val="00893239"/>
    <w:rsid w:val="00893D7C"/>
    <w:rsid w:val="00894489"/>
    <w:rsid w:val="008963A5"/>
    <w:rsid w:val="008A007D"/>
    <w:rsid w:val="008A193F"/>
    <w:rsid w:val="008A3363"/>
    <w:rsid w:val="008A3371"/>
    <w:rsid w:val="008A355D"/>
    <w:rsid w:val="008A3C3E"/>
    <w:rsid w:val="008A742B"/>
    <w:rsid w:val="008A79DE"/>
    <w:rsid w:val="008A7C23"/>
    <w:rsid w:val="008B1757"/>
    <w:rsid w:val="008B2FD3"/>
    <w:rsid w:val="008B4F3C"/>
    <w:rsid w:val="008B6998"/>
    <w:rsid w:val="008B72A5"/>
    <w:rsid w:val="008B7D7E"/>
    <w:rsid w:val="008C0888"/>
    <w:rsid w:val="008C185A"/>
    <w:rsid w:val="008C431B"/>
    <w:rsid w:val="008C605A"/>
    <w:rsid w:val="008C7ECB"/>
    <w:rsid w:val="008D110B"/>
    <w:rsid w:val="008D4755"/>
    <w:rsid w:val="008D4C3D"/>
    <w:rsid w:val="008E01E7"/>
    <w:rsid w:val="008E0D3C"/>
    <w:rsid w:val="008E1B9E"/>
    <w:rsid w:val="008E1E73"/>
    <w:rsid w:val="008E27D8"/>
    <w:rsid w:val="008E3DE9"/>
    <w:rsid w:val="008E4713"/>
    <w:rsid w:val="008E4D9E"/>
    <w:rsid w:val="008E55AB"/>
    <w:rsid w:val="008E7082"/>
    <w:rsid w:val="008F0726"/>
    <w:rsid w:val="008F120A"/>
    <w:rsid w:val="008F27E0"/>
    <w:rsid w:val="008F48EB"/>
    <w:rsid w:val="008F4F0B"/>
    <w:rsid w:val="009028F0"/>
    <w:rsid w:val="009046C4"/>
    <w:rsid w:val="0090593E"/>
    <w:rsid w:val="009062A5"/>
    <w:rsid w:val="0090644F"/>
    <w:rsid w:val="0091085C"/>
    <w:rsid w:val="00911272"/>
    <w:rsid w:val="00911B3F"/>
    <w:rsid w:val="00912407"/>
    <w:rsid w:val="009135D6"/>
    <w:rsid w:val="00914B82"/>
    <w:rsid w:val="00914C77"/>
    <w:rsid w:val="0091757E"/>
    <w:rsid w:val="00922175"/>
    <w:rsid w:val="009223BB"/>
    <w:rsid w:val="00922EA1"/>
    <w:rsid w:val="0092369B"/>
    <w:rsid w:val="0092382A"/>
    <w:rsid w:val="0092464D"/>
    <w:rsid w:val="0092468E"/>
    <w:rsid w:val="0093002D"/>
    <w:rsid w:val="009308C7"/>
    <w:rsid w:val="00930B17"/>
    <w:rsid w:val="009328CA"/>
    <w:rsid w:val="0093344E"/>
    <w:rsid w:val="00933505"/>
    <w:rsid w:val="00933A5B"/>
    <w:rsid w:val="00941683"/>
    <w:rsid w:val="00946124"/>
    <w:rsid w:val="009510A2"/>
    <w:rsid w:val="00953257"/>
    <w:rsid w:val="0095407F"/>
    <w:rsid w:val="00954C5E"/>
    <w:rsid w:val="0095639B"/>
    <w:rsid w:val="009567A2"/>
    <w:rsid w:val="00956AB0"/>
    <w:rsid w:val="00960466"/>
    <w:rsid w:val="00962CB9"/>
    <w:rsid w:val="00963099"/>
    <w:rsid w:val="00963C8E"/>
    <w:rsid w:val="00964312"/>
    <w:rsid w:val="00965B8A"/>
    <w:rsid w:val="00970221"/>
    <w:rsid w:val="009717AC"/>
    <w:rsid w:val="00972BF1"/>
    <w:rsid w:val="00973954"/>
    <w:rsid w:val="00975972"/>
    <w:rsid w:val="00977F02"/>
    <w:rsid w:val="00980EA5"/>
    <w:rsid w:val="00983E57"/>
    <w:rsid w:val="00983FF7"/>
    <w:rsid w:val="0098674D"/>
    <w:rsid w:val="0098675D"/>
    <w:rsid w:val="00991D1A"/>
    <w:rsid w:val="00991DD7"/>
    <w:rsid w:val="00996B1A"/>
    <w:rsid w:val="009A0E20"/>
    <w:rsid w:val="009A2276"/>
    <w:rsid w:val="009A26BE"/>
    <w:rsid w:val="009A6053"/>
    <w:rsid w:val="009A7F10"/>
    <w:rsid w:val="009B0D37"/>
    <w:rsid w:val="009B150D"/>
    <w:rsid w:val="009B2234"/>
    <w:rsid w:val="009B22FC"/>
    <w:rsid w:val="009B3D5B"/>
    <w:rsid w:val="009B3E26"/>
    <w:rsid w:val="009B41A4"/>
    <w:rsid w:val="009B425D"/>
    <w:rsid w:val="009B4C39"/>
    <w:rsid w:val="009B6ECE"/>
    <w:rsid w:val="009C345F"/>
    <w:rsid w:val="009C4553"/>
    <w:rsid w:val="009C6CEA"/>
    <w:rsid w:val="009C72F1"/>
    <w:rsid w:val="009C73A1"/>
    <w:rsid w:val="009C7B85"/>
    <w:rsid w:val="009D1EE7"/>
    <w:rsid w:val="009D5B91"/>
    <w:rsid w:val="009D63C2"/>
    <w:rsid w:val="009D6F2A"/>
    <w:rsid w:val="009D6FC1"/>
    <w:rsid w:val="009D792E"/>
    <w:rsid w:val="009D7A9B"/>
    <w:rsid w:val="009E0DFE"/>
    <w:rsid w:val="009E1024"/>
    <w:rsid w:val="009E2A0C"/>
    <w:rsid w:val="009E39CC"/>
    <w:rsid w:val="009E4C07"/>
    <w:rsid w:val="009E516E"/>
    <w:rsid w:val="009E522F"/>
    <w:rsid w:val="009E69E8"/>
    <w:rsid w:val="009E7877"/>
    <w:rsid w:val="009F05AC"/>
    <w:rsid w:val="009F0F5F"/>
    <w:rsid w:val="009F3EE8"/>
    <w:rsid w:val="009F437D"/>
    <w:rsid w:val="009F44FE"/>
    <w:rsid w:val="00A00378"/>
    <w:rsid w:val="00A00417"/>
    <w:rsid w:val="00A01184"/>
    <w:rsid w:val="00A0265B"/>
    <w:rsid w:val="00A034DC"/>
    <w:rsid w:val="00A037F5"/>
    <w:rsid w:val="00A03CC5"/>
    <w:rsid w:val="00A03D43"/>
    <w:rsid w:val="00A04380"/>
    <w:rsid w:val="00A043C2"/>
    <w:rsid w:val="00A06AD9"/>
    <w:rsid w:val="00A070E5"/>
    <w:rsid w:val="00A11CD0"/>
    <w:rsid w:val="00A13948"/>
    <w:rsid w:val="00A13DF1"/>
    <w:rsid w:val="00A1555B"/>
    <w:rsid w:val="00A155C5"/>
    <w:rsid w:val="00A15B67"/>
    <w:rsid w:val="00A16AD8"/>
    <w:rsid w:val="00A201E5"/>
    <w:rsid w:val="00A20D43"/>
    <w:rsid w:val="00A21CF3"/>
    <w:rsid w:val="00A25C50"/>
    <w:rsid w:val="00A27AEC"/>
    <w:rsid w:val="00A31D06"/>
    <w:rsid w:val="00A31EED"/>
    <w:rsid w:val="00A320DB"/>
    <w:rsid w:val="00A321B3"/>
    <w:rsid w:val="00A33C72"/>
    <w:rsid w:val="00A35D16"/>
    <w:rsid w:val="00A35F0E"/>
    <w:rsid w:val="00A37BCD"/>
    <w:rsid w:val="00A40880"/>
    <w:rsid w:val="00A43C59"/>
    <w:rsid w:val="00A44C9F"/>
    <w:rsid w:val="00A4560F"/>
    <w:rsid w:val="00A509BE"/>
    <w:rsid w:val="00A50ECD"/>
    <w:rsid w:val="00A518F3"/>
    <w:rsid w:val="00A52729"/>
    <w:rsid w:val="00A53675"/>
    <w:rsid w:val="00A564D7"/>
    <w:rsid w:val="00A56790"/>
    <w:rsid w:val="00A56B6A"/>
    <w:rsid w:val="00A575D5"/>
    <w:rsid w:val="00A578DC"/>
    <w:rsid w:val="00A6630C"/>
    <w:rsid w:val="00A6725B"/>
    <w:rsid w:val="00A701C6"/>
    <w:rsid w:val="00A70605"/>
    <w:rsid w:val="00A7202F"/>
    <w:rsid w:val="00A725B4"/>
    <w:rsid w:val="00A73134"/>
    <w:rsid w:val="00A76663"/>
    <w:rsid w:val="00A777B2"/>
    <w:rsid w:val="00A8253C"/>
    <w:rsid w:val="00A85162"/>
    <w:rsid w:val="00A853D7"/>
    <w:rsid w:val="00A85A78"/>
    <w:rsid w:val="00A86E8B"/>
    <w:rsid w:val="00A87164"/>
    <w:rsid w:val="00A93072"/>
    <w:rsid w:val="00A93953"/>
    <w:rsid w:val="00A959D8"/>
    <w:rsid w:val="00AA113D"/>
    <w:rsid w:val="00AA189E"/>
    <w:rsid w:val="00AA22D7"/>
    <w:rsid w:val="00AA4053"/>
    <w:rsid w:val="00AA6C7D"/>
    <w:rsid w:val="00AA7FD6"/>
    <w:rsid w:val="00AB042A"/>
    <w:rsid w:val="00AB0F9A"/>
    <w:rsid w:val="00AB1CD6"/>
    <w:rsid w:val="00AB2D34"/>
    <w:rsid w:val="00AB3430"/>
    <w:rsid w:val="00AB4359"/>
    <w:rsid w:val="00AB4AD1"/>
    <w:rsid w:val="00AB7CFA"/>
    <w:rsid w:val="00AC1544"/>
    <w:rsid w:val="00AC18BF"/>
    <w:rsid w:val="00AC4E6C"/>
    <w:rsid w:val="00AC5B48"/>
    <w:rsid w:val="00AC6F2D"/>
    <w:rsid w:val="00AD39AE"/>
    <w:rsid w:val="00AD4B86"/>
    <w:rsid w:val="00AD5538"/>
    <w:rsid w:val="00AD6502"/>
    <w:rsid w:val="00AD7FC8"/>
    <w:rsid w:val="00AE062B"/>
    <w:rsid w:val="00AE2E2D"/>
    <w:rsid w:val="00AE3725"/>
    <w:rsid w:val="00AE7975"/>
    <w:rsid w:val="00AE7E6E"/>
    <w:rsid w:val="00AF03EC"/>
    <w:rsid w:val="00AF1315"/>
    <w:rsid w:val="00AF19BF"/>
    <w:rsid w:val="00AF2DC3"/>
    <w:rsid w:val="00AF39B2"/>
    <w:rsid w:val="00AF6A5C"/>
    <w:rsid w:val="00AF7155"/>
    <w:rsid w:val="00B0060E"/>
    <w:rsid w:val="00B00CB0"/>
    <w:rsid w:val="00B0197D"/>
    <w:rsid w:val="00B01FF3"/>
    <w:rsid w:val="00B033E5"/>
    <w:rsid w:val="00B03529"/>
    <w:rsid w:val="00B0361A"/>
    <w:rsid w:val="00B03A63"/>
    <w:rsid w:val="00B045D2"/>
    <w:rsid w:val="00B0578A"/>
    <w:rsid w:val="00B0756D"/>
    <w:rsid w:val="00B178D2"/>
    <w:rsid w:val="00B201A4"/>
    <w:rsid w:val="00B213A6"/>
    <w:rsid w:val="00B214DC"/>
    <w:rsid w:val="00B246DD"/>
    <w:rsid w:val="00B24DF6"/>
    <w:rsid w:val="00B31133"/>
    <w:rsid w:val="00B34FE2"/>
    <w:rsid w:val="00B357D8"/>
    <w:rsid w:val="00B37900"/>
    <w:rsid w:val="00B37BFC"/>
    <w:rsid w:val="00B40358"/>
    <w:rsid w:val="00B41614"/>
    <w:rsid w:val="00B41868"/>
    <w:rsid w:val="00B42851"/>
    <w:rsid w:val="00B42CD4"/>
    <w:rsid w:val="00B42D7D"/>
    <w:rsid w:val="00B42F80"/>
    <w:rsid w:val="00B435CB"/>
    <w:rsid w:val="00B44DC1"/>
    <w:rsid w:val="00B4636A"/>
    <w:rsid w:val="00B50DB8"/>
    <w:rsid w:val="00B534AA"/>
    <w:rsid w:val="00B53654"/>
    <w:rsid w:val="00B53905"/>
    <w:rsid w:val="00B54B5B"/>
    <w:rsid w:val="00B5562E"/>
    <w:rsid w:val="00B559D4"/>
    <w:rsid w:val="00B56A1B"/>
    <w:rsid w:val="00B57000"/>
    <w:rsid w:val="00B574BF"/>
    <w:rsid w:val="00B60939"/>
    <w:rsid w:val="00B60AFD"/>
    <w:rsid w:val="00B62715"/>
    <w:rsid w:val="00B6473B"/>
    <w:rsid w:val="00B64D1C"/>
    <w:rsid w:val="00B72435"/>
    <w:rsid w:val="00B74EF1"/>
    <w:rsid w:val="00B75CEC"/>
    <w:rsid w:val="00B77AA2"/>
    <w:rsid w:val="00B809A6"/>
    <w:rsid w:val="00B815A1"/>
    <w:rsid w:val="00B818A4"/>
    <w:rsid w:val="00B823A0"/>
    <w:rsid w:val="00B83749"/>
    <w:rsid w:val="00B84117"/>
    <w:rsid w:val="00B856A3"/>
    <w:rsid w:val="00B85A3A"/>
    <w:rsid w:val="00B85AA2"/>
    <w:rsid w:val="00B85B2D"/>
    <w:rsid w:val="00B85BF2"/>
    <w:rsid w:val="00B8627A"/>
    <w:rsid w:val="00B8649C"/>
    <w:rsid w:val="00B87F0A"/>
    <w:rsid w:val="00B915FA"/>
    <w:rsid w:val="00B92D0B"/>
    <w:rsid w:val="00B93250"/>
    <w:rsid w:val="00B94945"/>
    <w:rsid w:val="00B974E9"/>
    <w:rsid w:val="00B9786B"/>
    <w:rsid w:val="00BA0BF1"/>
    <w:rsid w:val="00BA249F"/>
    <w:rsid w:val="00BA2573"/>
    <w:rsid w:val="00BA322D"/>
    <w:rsid w:val="00BA350A"/>
    <w:rsid w:val="00BA5EAC"/>
    <w:rsid w:val="00BB0B34"/>
    <w:rsid w:val="00BB0BDD"/>
    <w:rsid w:val="00BB2A73"/>
    <w:rsid w:val="00BB4ACC"/>
    <w:rsid w:val="00BB5607"/>
    <w:rsid w:val="00BB703E"/>
    <w:rsid w:val="00BB7405"/>
    <w:rsid w:val="00BB7A31"/>
    <w:rsid w:val="00BC101F"/>
    <w:rsid w:val="00BC3631"/>
    <w:rsid w:val="00BC49C8"/>
    <w:rsid w:val="00BC560F"/>
    <w:rsid w:val="00BC587B"/>
    <w:rsid w:val="00BC5976"/>
    <w:rsid w:val="00BC5F2D"/>
    <w:rsid w:val="00BC63CA"/>
    <w:rsid w:val="00BC77F9"/>
    <w:rsid w:val="00BD029B"/>
    <w:rsid w:val="00BD0D38"/>
    <w:rsid w:val="00BD3EE3"/>
    <w:rsid w:val="00BD4B62"/>
    <w:rsid w:val="00BD5131"/>
    <w:rsid w:val="00BD5ED2"/>
    <w:rsid w:val="00BD68A3"/>
    <w:rsid w:val="00BD6938"/>
    <w:rsid w:val="00BD6CF3"/>
    <w:rsid w:val="00BE0513"/>
    <w:rsid w:val="00BE2180"/>
    <w:rsid w:val="00BE21F2"/>
    <w:rsid w:val="00BE3AC9"/>
    <w:rsid w:val="00BE40FC"/>
    <w:rsid w:val="00BE4275"/>
    <w:rsid w:val="00BE560E"/>
    <w:rsid w:val="00BE6EB3"/>
    <w:rsid w:val="00BE7228"/>
    <w:rsid w:val="00BE7290"/>
    <w:rsid w:val="00BF0F95"/>
    <w:rsid w:val="00BF135A"/>
    <w:rsid w:val="00BF1E20"/>
    <w:rsid w:val="00BF2433"/>
    <w:rsid w:val="00BF2582"/>
    <w:rsid w:val="00BF3520"/>
    <w:rsid w:val="00BF5C1E"/>
    <w:rsid w:val="00BF61C9"/>
    <w:rsid w:val="00BF6C94"/>
    <w:rsid w:val="00C00424"/>
    <w:rsid w:val="00C01D19"/>
    <w:rsid w:val="00C02B1A"/>
    <w:rsid w:val="00C04E1F"/>
    <w:rsid w:val="00C122B5"/>
    <w:rsid w:val="00C128E2"/>
    <w:rsid w:val="00C12C14"/>
    <w:rsid w:val="00C200AA"/>
    <w:rsid w:val="00C237ED"/>
    <w:rsid w:val="00C23EDF"/>
    <w:rsid w:val="00C24632"/>
    <w:rsid w:val="00C24B9A"/>
    <w:rsid w:val="00C25418"/>
    <w:rsid w:val="00C2558B"/>
    <w:rsid w:val="00C25CA1"/>
    <w:rsid w:val="00C25D9C"/>
    <w:rsid w:val="00C2778B"/>
    <w:rsid w:val="00C31649"/>
    <w:rsid w:val="00C31B39"/>
    <w:rsid w:val="00C33919"/>
    <w:rsid w:val="00C33F52"/>
    <w:rsid w:val="00C343BB"/>
    <w:rsid w:val="00C343F5"/>
    <w:rsid w:val="00C34B9E"/>
    <w:rsid w:val="00C3576D"/>
    <w:rsid w:val="00C40385"/>
    <w:rsid w:val="00C44D92"/>
    <w:rsid w:val="00C46F8B"/>
    <w:rsid w:val="00C47365"/>
    <w:rsid w:val="00C475AA"/>
    <w:rsid w:val="00C50A88"/>
    <w:rsid w:val="00C50EC4"/>
    <w:rsid w:val="00C5182C"/>
    <w:rsid w:val="00C52D93"/>
    <w:rsid w:val="00C54A4D"/>
    <w:rsid w:val="00C5562F"/>
    <w:rsid w:val="00C5665E"/>
    <w:rsid w:val="00C60818"/>
    <w:rsid w:val="00C61DED"/>
    <w:rsid w:val="00C62F3B"/>
    <w:rsid w:val="00C6314E"/>
    <w:rsid w:val="00C6332C"/>
    <w:rsid w:val="00C644F0"/>
    <w:rsid w:val="00C65576"/>
    <w:rsid w:val="00C66165"/>
    <w:rsid w:val="00C66331"/>
    <w:rsid w:val="00C675C1"/>
    <w:rsid w:val="00C7151A"/>
    <w:rsid w:val="00C71F60"/>
    <w:rsid w:val="00C72241"/>
    <w:rsid w:val="00C73F46"/>
    <w:rsid w:val="00C750C8"/>
    <w:rsid w:val="00C7560F"/>
    <w:rsid w:val="00C761FB"/>
    <w:rsid w:val="00C7775F"/>
    <w:rsid w:val="00C80A0E"/>
    <w:rsid w:val="00C8213F"/>
    <w:rsid w:val="00C8443F"/>
    <w:rsid w:val="00C85CD3"/>
    <w:rsid w:val="00C87565"/>
    <w:rsid w:val="00C8797A"/>
    <w:rsid w:val="00C87C62"/>
    <w:rsid w:val="00C900B8"/>
    <w:rsid w:val="00C90C71"/>
    <w:rsid w:val="00C931CF"/>
    <w:rsid w:val="00C938CF"/>
    <w:rsid w:val="00C9624D"/>
    <w:rsid w:val="00C969DA"/>
    <w:rsid w:val="00C97254"/>
    <w:rsid w:val="00C972BC"/>
    <w:rsid w:val="00CA027C"/>
    <w:rsid w:val="00CA2C77"/>
    <w:rsid w:val="00CA2CE5"/>
    <w:rsid w:val="00CA41BF"/>
    <w:rsid w:val="00CA444F"/>
    <w:rsid w:val="00CA4A62"/>
    <w:rsid w:val="00CA5245"/>
    <w:rsid w:val="00CA71F4"/>
    <w:rsid w:val="00CA7B09"/>
    <w:rsid w:val="00CB2F2A"/>
    <w:rsid w:val="00CB578E"/>
    <w:rsid w:val="00CB5B1A"/>
    <w:rsid w:val="00CB61A2"/>
    <w:rsid w:val="00CB6B22"/>
    <w:rsid w:val="00CB752B"/>
    <w:rsid w:val="00CB7F5F"/>
    <w:rsid w:val="00CC1B39"/>
    <w:rsid w:val="00CD01B7"/>
    <w:rsid w:val="00CD10EE"/>
    <w:rsid w:val="00CD295C"/>
    <w:rsid w:val="00CD6112"/>
    <w:rsid w:val="00CD6ADC"/>
    <w:rsid w:val="00CD7D74"/>
    <w:rsid w:val="00CE1465"/>
    <w:rsid w:val="00CE17EC"/>
    <w:rsid w:val="00CE4326"/>
    <w:rsid w:val="00CE6274"/>
    <w:rsid w:val="00CE68C8"/>
    <w:rsid w:val="00CE7DC0"/>
    <w:rsid w:val="00CF2612"/>
    <w:rsid w:val="00CF2B8D"/>
    <w:rsid w:val="00CF456B"/>
    <w:rsid w:val="00CF4C92"/>
    <w:rsid w:val="00CF5A22"/>
    <w:rsid w:val="00CF7597"/>
    <w:rsid w:val="00D0262E"/>
    <w:rsid w:val="00D02972"/>
    <w:rsid w:val="00D02B94"/>
    <w:rsid w:val="00D035F0"/>
    <w:rsid w:val="00D03A1D"/>
    <w:rsid w:val="00D03AF5"/>
    <w:rsid w:val="00D04A07"/>
    <w:rsid w:val="00D0559A"/>
    <w:rsid w:val="00D110BD"/>
    <w:rsid w:val="00D110F5"/>
    <w:rsid w:val="00D12BBC"/>
    <w:rsid w:val="00D13675"/>
    <w:rsid w:val="00D141E1"/>
    <w:rsid w:val="00D14D0E"/>
    <w:rsid w:val="00D15784"/>
    <w:rsid w:val="00D17D6C"/>
    <w:rsid w:val="00D2754D"/>
    <w:rsid w:val="00D278CE"/>
    <w:rsid w:val="00D27B27"/>
    <w:rsid w:val="00D33BE9"/>
    <w:rsid w:val="00D33F74"/>
    <w:rsid w:val="00D348C0"/>
    <w:rsid w:val="00D34F9C"/>
    <w:rsid w:val="00D357FF"/>
    <w:rsid w:val="00D36A8E"/>
    <w:rsid w:val="00D37170"/>
    <w:rsid w:val="00D37A2C"/>
    <w:rsid w:val="00D41050"/>
    <w:rsid w:val="00D41ED4"/>
    <w:rsid w:val="00D424C7"/>
    <w:rsid w:val="00D4358A"/>
    <w:rsid w:val="00D43A73"/>
    <w:rsid w:val="00D43B2A"/>
    <w:rsid w:val="00D459C4"/>
    <w:rsid w:val="00D45EBE"/>
    <w:rsid w:val="00D47575"/>
    <w:rsid w:val="00D53D75"/>
    <w:rsid w:val="00D53E4A"/>
    <w:rsid w:val="00D56424"/>
    <w:rsid w:val="00D603BE"/>
    <w:rsid w:val="00D62043"/>
    <w:rsid w:val="00D634A7"/>
    <w:rsid w:val="00D70F16"/>
    <w:rsid w:val="00D7186B"/>
    <w:rsid w:val="00D7478E"/>
    <w:rsid w:val="00D749FF"/>
    <w:rsid w:val="00D76A44"/>
    <w:rsid w:val="00D815EF"/>
    <w:rsid w:val="00D81D80"/>
    <w:rsid w:val="00D8651C"/>
    <w:rsid w:val="00D9008E"/>
    <w:rsid w:val="00D91923"/>
    <w:rsid w:val="00D92D29"/>
    <w:rsid w:val="00D92EE7"/>
    <w:rsid w:val="00D93480"/>
    <w:rsid w:val="00D93753"/>
    <w:rsid w:val="00D97090"/>
    <w:rsid w:val="00DA3167"/>
    <w:rsid w:val="00DA4013"/>
    <w:rsid w:val="00DA43C3"/>
    <w:rsid w:val="00DA45EA"/>
    <w:rsid w:val="00DA4DC3"/>
    <w:rsid w:val="00DA60C6"/>
    <w:rsid w:val="00DA6805"/>
    <w:rsid w:val="00DA684D"/>
    <w:rsid w:val="00DA77A5"/>
    <w:rsid w:val="00DB484F"/>
    <w:rsid w:val="00DC04F6"/>
    <w:rsid w:val="00DC0EBD"/>
    <w:rsid w:val="00DC3C57"/>
    <w:rsid w:val="00DC4F91"/>
    <w:rsid w:val="00DC5501"/>
    <w:rsid w:val="00DC77BF"/>
    <w:rsid w:val="00DD1A8F"/>
    <w:rsid w:val="00DD273C"/>
    <w:rsid w:val="00DD30DD"/>
    <w:rsid w:val="00DD3F28"/>
    <w:rsid w:val="00DD414D"/>
    <w:rsid w:val="00DD43DF"/>
    <w:rsid w:val="00DD4537"/>
    <w:rsid w:val="00DD4E15"/>
    <w:rsid w:val="00DD7F3A"/>
    <w:rsid w:val="00DE12DB"/>
    <w:rsid w:val="00DE1EC2"/>
    <w:rsid w:val="00DE3138"/>
    <w:rsid w:val="00DE37F8"/>
    <w:rsid w:val="00DE4FCB"/>
    <w:rsid w:val="00DE517B"/>
    <w:rsid w:val="00DE744D"/>
    <w:rsid w:val="00DE7832"/>
    <w:rsid w:val="00DF18FC"/>
    <w:rsid w:val="00DF399A"/>
    <w:rsid w:val="00DF4C91"/>
    <w:rsid w:val="00DF5D2B"/>
    <w:rsid w:val="00E00E8E"/>
    <w:rsid w:val="00E013F7"/>
    <w:rsid w:val="00E03166"/>
    <w:rsid w:val="00E05630"/>
    <w:rsid w:val="00E06DBB"/>
    <w:rsid w:val="00E07125"/>
    <w:rsid w:val="00E10149"/>
    <w:rsid w:val="00E143F5"/>
    <w:rsid w:val="00E16095"/>
    <w:rsid w:val="00E16372"/>
    <w:rsid w:val="00E1797A"/>
    <w:rsid w:val="00E17997"/>
    <w:rsid w:val="00E20E4D"/>
    <w:rsid w:val="00E20ED6"/>
    <w:rsid w:val="00E21358"/>
    <w:rsid w:val="00E216F7"/>
    <w:rsid w:val="00E2249B"/>
    <w:rsid w:val="00E22A0D"/>
    <w:rsid w:val="00E24336"/>
    <w:rsid w:val="00E2771E"/>
    <w:rsid w:val="00E27BE1"/>
    <w:rsid w:val="00E333A0"/>
    <w:rsid w:val="00E33BBD"/>
    <w:rsid w:val="00E34948"/>
    <w:rsid w:val="00E3508B"/>
    <w:rsid w:val="00E354F9"/>
    <w:rsid w:val="00E35776"/>
    <w:rsid w:val="00E36232"/>
    <w:rsid w:val="00E37569"/>
    <w:rsid w:val="00E41DCF"/>
    <w:rsid w:val="00E41E30"/>
    <w:rsid w:val="00E423DA"/>
    <w:rsid w:val="00E43D70"/>
    <w:rsid w:val="00E44CFD"/>
    <w:rsid w:val="00E466F3"/>
    <w:rsid w:val="00E46C9C"/>
    <w:rsid w:val="00E470FA"/>
    <w:rsid w:val="00E479BA"/>
    <w:rsid w:val="00E47B2C"/>
    <w:rsid w:val="00E47F97"/>
    <w:rsid w:val="00E508CD"/>
    <w:rsid w:val="00E51560"/>
    <w:rsid w:val="00E54347"/>
    <w:rsid w:val="00E55424"/>
    <w:rsid w:val="00E55BB5"/>
    <w:rsid w:val="00E569E2"/>
    <w:rsid w:val="00E60814"/>
    <w:rsid w:val="00E608DD"/>
    <w:rsid w:val="00E61D4D"/>
    <w:rsid w:val="00E629E9"/>
    <w:rsid w:val="00E631A9"/>
    <w:rsid w:val="00E632A9"/>
    <w:rsid w:val="00E63658"/>
    <w:rsid w:val="00E63740"/>
    <w:rsid w:val="00E65E79"/>
    <w:rsid w:val="00E6653D"/>
    <w:rsid w:val="00E66BA2"/>
    <w:rsid w:val="00E67416"/>
    <w:rsid w:val="00E67706"/>
    <w:rsid w:val="00E718B6"/>
    <w:rsid w:val="00E723BA"/>
    <w:rsid w:val="00E72A31"/>
    <w:rsid w:val="00E73581"/>
    <w:rsid w:val="00E74B3A"/>
    <w:rsid w:val="00E75723"/>
    <w:rsid w:val="00E76139"/>
    <w:rsid w:val="00E773C1"/>
    <w:rsid w:val="00E776C8"/>
    <w:rsid w:val="00E77C2E"/>
    <w:rsid w:val="00E813AD"/>
    <w:rsid w:val="00E81859"/>
    <w:rsid w:val="00E81BE6"/>
    <w:rsid w:val="00E82DB3"/>
    <w:rsid w:val="00E833F7"/>
    <w:rsid w:val="00E83BDF"/>
    <w:rsid w:val="00E8467C"/>
    <w:rsid w:val="00E87A1D"/>
    <w:rsid w:val="00E90686"/>
    <w:rsid w:val="00E90B00"/>
    <w:rsid w:val="00E91BD3"/>
    <w:rsid w:val="00E91CFC"/>
    <w:rsid w:val="00E91E98"/>
    <w:rsid w:val="00E926A5"/>
    <w:rsid w:val="00E971D3"/>
    <w:rsid w:val="00EA17C3"/>
    <w:rsid w:val="00EA1975"/>
    <w:rsid w:val="00EA2CAA"/>
    <w:rsid w:val="00EA3864"/>
    <w:rsid w:val="00EB15B6"/>
    <w:rsid w:val="00EB1E47"/>
    <w:rsid w:val="00EB2E00"/>
    <w:rsid w:val="00EB4916"/>
    <w:rsid w:val="00EB4E7D"/>
    <w:rsid w:val="00EC00C9"/>
    <w:rsid w:val="00EC201A"/>
    <w:rsid w:val="00EC2649"/>
    <w:rsid w:val="00EC3DEE"/>
    <w:rsid w:val="00EC55FC"/>
    <w:rsid w:val="00EC5A7A"/>
    <w:rsid w:val="00EC697C"/>
    <w:rsid w:val="00ED0251"/>
    <w:rsid w:val="00ED2EBA"/>
    <w:rsid w:val="00ED3550"/>
    <w:rsid w:val="00ED4C24"/>
    <w:rsid w:val="00ED57EA"/>
    <w:rsid w:val="00ED6B21"/>
    <w:rsid w:val="00EE07D3"/>
    <w:rsid w:val="00EE0D62"/>
    <w:rsid w:val="00EE22AF"/>
    <w:rsid w:val="00EE4462"/>
    <w:rsid w:val="00EE470D"/>
    <w:rsid w:val="00EE4E09"/>
    <w:rsid w:val="00EE7877"/>
    <w:rsid w:val="00EF0171"/>
    <w:rsid w:val="00EF07EC"/>
    <w:rsid w:val="00EF1B25"/>
    <w:rsid w:val="00EF403D"/>
    <w:rsid w:val="00EF4747"/>
    <w:rsid w:val="00EF4BF8"/>
    <w:rsid w:val="00EF4C54"/>
    <w:rsid w:val="00EF647B"/>
    <w:rsid w:val="00EF7CC9"/>
    <w:rsid w:val="00F000C9"/>
    <w:rsid w:val="00F02172"/>
    <w:rsid w:val="00F02253"/>
    <w:rsid w:val="00F03C2E"/>
    <w:rsid w:val="00F04A66"/>
    <w:rsid w:val="00F0516C"/>
    <w:rsid w:val="00F055A9"/>
    <w:rsid w:val="00F067A2"/>
    <w:rsid w:val="00F102C7"/>
    <w:rsid w:val="00F11865"/>
    <w:rsid w:val="00F1263A"/>
    <w:rsid w:val="00F12999"/>
    <w:rsid w:val="00F12ED8"/>
    <w:rsid w:val="00F12FE4"/>
    <w:rsid w:val="00F14119"/>
    <w:rsid w:val="00F201D6"/>
    <w:rsid w:val="00F223BB"/>
    <w:rsid w:val="00F24837"/>
    <w:rsid w:val="00F2575F"/>
    <w:rsid w:val="00F262D6"/>
    <w:rsid w:val="00F27565"/>
    <w:rsid w:val="00F30043"/>
    <w:rsid w:val="00F310D4"/>
    <w:rsid w:val="00F31D5A"/>
    <w:rsid w:val="00F33DE9"/>
    <w:rsid w:val="00F356AE"/>
    <w:rsid w:val="00F3619A"/>
    <w:rsid w:val="00F3716F"/>
    <w:rsid w:val="00F40AAA"/>
    <w:rsid w:val="00F40BA7"/>
    <w:rsid w:val="00F40C61"/>
    <w:rsid w:val="00F41086"/>
    <w:rsid w:val="00F4159B"/>
    <w:rsid w:val="00F449AE"/>
    <w:rsid w:val="00F46CB6"/>
    <w:rsid w:val="00F47DE8"/>
    <w:rsid w:val="00F47FB0"/>
    <w:rsid w:val="00F53FE0"/>
    <w:rsid w:val="00F542C1"/>
    <w:rsid w:val="00F54C7D"/>
    <w:rsid w:val="00F55E73"/>
    <w:rsid w:val="00F55EDA"/>
    <w:rsid w:val="00F60092"/>
    <w:rsid w:val="00F63068"/>
    <w:rsid w:val="00F63B4D"/>
    <w:rsid w:val="00F65F4B"/>
    <w:rsid w:val="00F70817"/>
    <w:rsid w:val="00F70C9D"/>
    <w:rsid w:val="00F74C36"/>
    <w:rsid w:val="00F74CD9"/>
    <w:rsid w:val="00F75C2A"/>
    <w:rsid w:val="00F80A7B"/>
    <w:rsid w:val="00F80E5D"/>
    <w:rsid w:val="00F81DCB"/>
    <w:rsid w:val="00F83419"/>
    <w:rsid w:val="00F851CE"/>
    <w:rsid w:val="00F9119D"/>
    <w:rsid w:val="00F91219"/>
    <w:rsid w:val="00F9377D"/>
    <w:rsid w:val="00F93D55"/>
    <w:rsid w:val="00F94F6A"/>
    <w:rsid w:val="00F9587E"/>
    <w:rsid w:val="00F95F50"/>
    <w:rsid w:val="00F9706B"/>
    <w:rsid w:val="00F97A78"/>
    <w:rsid w:val="00FA0B20"/>
    <w:rsid w:val="00FA24E7"/>
    <w:rsid w:val="00FA46F1"/>
    <w:rsid w:val="00FA60A9"/>
    <w:rsid w:val="00FA6BF3"/>
    <w:rsid w:val="00FA7C7E"/>
    <w:rsid w:val="00FB2FCB"/>
    <w:rsid w:val="00FB5F8C"/>
    <w:rsid w:val="00FB7C56"/>
    <w:rsid w:val="00FC1074"/>
    <w:rsid w:val="00FC1884"/>
    <w:rsid w:val="00FC346C"/>
    <w:rsid w:val="00FC371D"/>
    <w:rsid w:val="00FC5F0B"/>
    <w:rsid w:val="00FD0B0D"/>
    <w:rsid w:val="00FD15A0"/>
    <w:rsid w:val="00FD20A0"/>
    <w:rsid w:val="00FD2100"/>
    <w:rsid w:val="00FD2C86"/>
    <w:rsid w:val="00FD42A4"/>
    <w:rsid w:val="00FD436C"/>
    <w:rsid w:val="00FD446D"/>
    <w:rsid w:val="00FD6394"/>
    <w:rsid w:val="00FD7BA7"/>
    <w:rsid w:val="00FE0E6C"/>
    <w:rsid w:val="00FE2C27"/>
    <w:rsid w:val="00FE70C3"/>
    <w:rsid w:val="00FE780C"/>
    <w:rsid w:val="00FF230B"/>
    <w:rsid w:val="00FF32A8"/>
    <w:rsid w:val="00FF3DCF"/>
    <w:rsid w:val="00FF492C"/>
    <w:rsid w:val="00FF4A21"/>
    <w:rsid w:val="00FF54F2"/>
    <w:rsid w:val="00FF560C"/>
    <w:rsid w:val="00FF5AA3"/>
    <w:rsid w:val="00FF5AD8"/>
    <w:rsid w:val="00FF68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aption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A6805"/>
    <w:pPr>
      <w:numPr>
        <w:numId w:val="1"/>
      </w:numPr>
      <w:spacing w:before="24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A85A78"/>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basedOn w:val="DefaultParagraphFont"/>
    <w:link w:val="TableText0"/>
    <w:rsid w:val="00A85A78"/>
    <w:rPr>
      <w:rFonts w:asciiTheme="minorHAnsi" w:eastAsiaTheme="minorHAnsi" w:hAnsiTheme="minorHAnsi" w:cstheme="minorHAnsi"/>
      <w:sz w:val="18"/>
      <w:szCs w:val="18"/>
      <w:lang w:eastAsia="en-US"/>
    </w:rPr>
  </w:style>
  <w:style w:type="paragraph" w:customStyle="1" w:styleId="TableFigNoteLast">
    <w:name w:val="TableFigNote Last"/>
    <w:basedOn w:val="Normal"/>
    <w:next w:val="BodyText1"/>
    <w:qFormat/>
    <w:rsid w:val="00143FD5"/>
    <w:pPr>
      <w:widowControl/>
      <w:spacing w:after="120"/>
      <w:jc w:val="left"/>
    </w:pPr>
    <w:rPr>
      <w:rFonts w:asciiTheme="minorHAnsi" w:eastAsiaTheme="minorHAnsi" w:hAnsiTheme="minorHAnsi" w:cstheme="minorBidi"/>
      <w:snapToGrid/>
      <w:sz w:val="16"/>
    </w:rPr>
  </w:style>
  <w:style w:type="paragraph" w:customStyle="1" w:styleId="BodyText1">
    <w:name w:val="Body Text1"/>
    <w:basedOn w:val="Normal"/>
    <w:link w:val="BodytextChar0"/>
    <w:qFormat/>
    <w:rsid w:val="00143FD5"/>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sid w:val="00143FD5"/>
    <w:rPr>
      <w:rFonts w:asciiTheme="minorHAnsi" w:eastAsiaTheme="minorHAnsi" w:hAnsiTheme="minorHAnsi" w:cstheme="minorBidi"/>
      <w:sz w:val="22"/>
      <w:szCs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rsid w:val="00B93250"/>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B93250"/>
    <w:rPr>
      <w:rFonts w:ascii="Calibri" w:hAnsi="Calibri" w:cs="Arial"/>
      <w:snapToGrid w:val="0"/>
      <w:lang w:eastAsia="en-US"/>
    </w:rPr>
  </w:style>
  <w:style w:type="character" w:styleId="FootnoteReference">
    <w:name w:val="footnote reference"/>
    <w:basedOn w:val="DefaultParagraphFont"/>
    <w:unhideWhenUsed/>
    <w:rsid w:val="00B93250"/>
    <w:rPr>
      <w:vertAlign w:val="superscript"/>
    </w:rPr>
  </w:style>
  <w:style w:type="paragraph" w:customStyle="1" w:styleId="Default">
    <w:name w:val="Default"/>
    <w:link w:val="DefaultChar"/>
    <w:rsid w:val="00C31B39"/>
    <w:pPr>
      <w:autoSpaceDE w:val="0"/>
      <w:autoSpaceDN w:val="0"/>
      <w:adjustRightInd w:val="0"/>
    </w:pPr>
    <w:rPr>
      <w:rFonts w:ascii="Arial" w:hAnsi="Arial" w:cs="Arial"/>
      <w:color w:val="000000"/>
      <w:sz w:val="24"/>
      <w:szCs w:val="24"/>
    </w:rPr>
  </w:style>
  <w:style w:type="paragraph" w:customStyle="1" w:styleId="FigureName">
    <w:name w:val="FigureName"/>
    <w:basedOn w:val="Normal"/>
    <w:qFormat/>
    <w:rsid w:val="00CE17EC"/>
    <w:pPr>
      <w:keepNext/>
      <w:widowControl/>
      <w:spacing w:after="240"/>
      <w:ind w:left="1531" w:hanging="1531"/>
      <w:jc w:val="left"/>
    </w:pPr>
    <w:rPr>
      <w:rFonts w:ascii="Franklin Gothic Medium" w:eastAsiaTheme="minorHAnsi" w:hAnsi="Franklin Gothic Medium" w:cstheme="minorBidi"/>
      <w:snapToGrid/>
      <w:sz w:val="22"/>
    </w:rPr>
  </w:style>
  <w:style w:type="character" w:styleId="Emphasis">
    <w:name w:val="Emphasis"/>
    <w:basedOn w:val="DefaultParagraphFont"/>
    <w:uiPriority w:val="20"/>
    <w:rsid w:val="00561F74"/>
    <w:rPr>
      <w:b w:val="0"/>
      <w:i/>
      <w:iCs/>
    </w:rPr>
  </w:style>
  <w:style w:type="paragraph" w:customStyle="1" w:styleId="TableFigNote">
    <w:name w:val="TableFigNote"/>
    <w:basedOn w:val="Normal"/>
    <w:qFormat/>
    <w:rsid w:val="002D78BE"/>
    <w:pPr>
      <w:widowControl/>
      <w:jc w:val="left"/>
    </w:pPr>
    <w:rPr>
      <w:rFonts w:asciiTheme="minorHAnsi" w:eastAsiaTheme="minorHAnsi" w:hAnsiTheme="minorHAnsi" w:cstheme="minorBidi"/>
      <w:snapToGrid/>
      <w:sz w:val="16"/>
    </w:rPr>
  </w:style>
  <w:style w:type="paragraph" w:customStyle="1" w:styleId="NormalBullets">
    <w:name w:val="Normal Bullets"/>
    <w:basedOn w:val="Normal"/>
    <w:uiPriority w:val="3"/>
    <w:qFormat/>
    <w:rsid w:val="00754333"/>
    <w:pPr>
      <w:widowControl/>
      <w:numPr>
        <w:numId w:val="3"/>
      </w:numPr>
      <w:spacing w:after="240" w:line="276" w:lineRule="auto"/>
      <w:contextualSpacing/>
      <w:jc w:val="left"/>
    </w:pPr>
    <w:rPr>
      <w:rFonts w:ascii="Sabon" w:eastAsiaTheme="majorEastAsia" w:hAnsi="Sabon" w:cstheme="majorBidi"/>
      <w:snapToGrid/>
      <w:sz w:val="22"/>
      <w:lang w:bidi="en-US"/>
    </w:rPr>
  </w:style>
  <w:style w:type="paragraph" w:customStyle="1" w:styleId="TableHeading0">
    <w:name w:val="Table Heading"/>
    <w:basedOn w:val="Normal"/>
    <w:qFormat/>
    <w:rsid w:val="00754333"/>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754333"/>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754333"/>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754333"/>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754333"/>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754333"/>
    <w:rPr>
      <w:rFonts w:ascii="Arial Narrow" w:hAnsi="Arial Narrow"/>
      <w:sz w:val="20"/>
    </w:rPr>
  </w:style>
  <w:style w:type="paragraph" w:customStyle="1" w:styleId="V50Tablenote">
    <w:name w:val="V5.0 Tablenote"/>
    <w:basedOn w:val="Normal"/>
    <w:link w:val="V50TablenoteChar"/>
    <w:qFormat/>
    <w:rsid w:val="00754333"/>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754333"/>
    <w:rPr>
      <w:rFonts w:asciiTheme="minorHAnsi" w:eastAsiaTheme="minorHAnsi" w:hAnsiTheme="minorHAnsi" w:cstheme="minorBidi"/>
      <w:sz w:val="18"/>
      <w:szCs w:val="18"/>
      <w:lang w:val="en-US" w:eastAsia="en-US"/>
    </w:rPr>
  </w:style>
  <w:style w:type="table" w:customStyle="1" w:styleId="TableGrid1">
    <w:name w:val="Table Grid1"/>
    <w:basedOn w:val="TableNormal"/>
    <w:next w:val="TableGrid"/>
    <w:uiPriority w:val="59"/>
    <w:rsid w:val="00754333"/>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754333"/>
    <w:pPr>
      <w:widowControl/>
      <w:numPr>
        <w:numId w:val="4"/>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754333"/>
    <w:pPr>
      <w:numPr>
        <w:ilvl w:val="2"/>
      </w:numPr>
    </w:pPr>
  </w:style>
  <w:style w:type="paragraph" w:customStyle="1" w:styleId="ListBulletlvl4">
    <w:name w:val="List Bullet lvl 4"/>
    <w:basedOn w:val="ListBullet"/>
    <w:qFormat/>
    <w:rsid w:val="00754333"/>
    <w:pPr>
      <w:numPr>
        <w:ilvl w:val="3"/>
      </w:numPr>
    </w:pPr>
  </w:style>
  <w:style w:type="paragraph" w:customStyle="1" w:styleId="ListBulletlvl5">
    <w:name w:val="List Bullet lvl 5"/>
    <w:basedOn w:val="ListBullet"/>
    <w:qFormat/>
    <w:rsid w:val="00754333"/>
    <w:pPr>
      <w:numPr>
        <w:ilvl w:val="4"/>
      </w:numPr>
    </w:pPr>
  </w:style>
  <w:style w:type="paragraph" w:customStyle="1" w:styleId="ListBulletlvl6">
    <w:name w:val="List Bullet lvl 6"/>
    <w:basedOn w:val="ListBullet"/>
    <w:qFormat/>
    <w:rsid w:val="00754333"/>
    <w:pPr>
      <w:numPr>
        <w:ilvl w:val="5"/>
      </w:numPr>
    </w:pPr>
  </w:style>
  <w:style w:type="paragraph" w:customStyle="1" w:styleId="ListBulletlvl7">
    <w:name w:val="List Bullet lvl 7"/>
    <w:basedOn w:val="ListBullet"/>
    <w:qFormat/>
    <w:rsid w:val="00754333"/>
    <w:pPr>
      <w:numPr>
        <w:ilvl w:val="6"/>
      </w:numPr>
    </w:pPr>
  </w:style>
  <w:style w:type="paragraph" w:customStyle="1" w:styleId="ListBulletlvl8">
    <w:name w:val="List Bullet lvl 8"/>
    <w:basedOn w:val="ListBullet"/>
    <w:qFormat/>
    <w:rsid w:val="00754333"/>
    <w:pPr>
      <w:numPr>
        <w:ilvl w:val="7"/>
      </w:numPr>
    </w:pPr>
  </w:style>
  <w:style w:type="paragraph" w:customStyle="1" w:styleId="ListBulletlvl9">
    <w:name w:val="List Bullet lvl 9"/>
    <w:basedOn w:val="ListBullet"/>
    <w:qFormat/>
    <w:rsid w:val="00754333"/>
    <w:pPr>
      <w:numPr>
        <w:ilvl w:val="8"/>
      </w:numPr>
    </w:pPr>
  </w:style>
  <w:style w:type="paragraph" w:customStyle="1" w:styleId="LOFHeading">
    <w:name w:val="L.O.F Heading"/>
    <w:basedOn w:val="Normal"/>
    <w:next w:val="Normal"/>
    <w:rsid w:val="00754333"/>
    <w:pPr>
      <w:keepNext/>
      <w:widowControl/>
      <w:spacing w:before="240" w:after="360" w:line="276" w:lineRule="auto"/>
      <w:jc w:val="left"/>
    </w:pPr>
    <w:rPr>
      <w:rFonts w:ascii="Arial" w:hAnsi="Arial" w:cs="Times New Roman"/>
      <w:b/>
      <w:caps/>
      <w:snapToGrid/>
      <w:sz w:val="28"/>
      <w:szCs w:val="28"/>
      <w:lang w:eastAsia="en-AU"/>
    </w:rPr>
  </w:style>
  <w:style w:type="paragraph" w:customStyle="1" w:styleId="TextUnderTable">
    <w:name w:val="Text Under Table"/>
    <w:basedOn w:val="Normal"/>
    <w:qFormat/>
    <w:rsid w:val="00754333"/>
    <w:pPr>
      <w:widowControl/>
      <w:spacing w:before="120" w:after="120" w:line="276" w:lineRule="auto"/>
      <w:contextualSpacing/>
      <w:jc w:val="left"/>
    </w:pPr>
    <w:rPr>
      <w:rFonts w:ascii="Arial" w:hAnsi="Arial" w:cs="Times New Roman"/>
      <w:i/>
      <w:snapToGrid/>
      <w:sz w:val="16"/>
      <w:lang w:eastAsia="en-AU"/>
    </w:rPr>
  </w:style>
  <w:style w:type="paragraph" w:customStyle="1" w:styleId="MainBodyText">
    <w:name w:val="Main Body Text"/>
    <w:basedOn w:val="Normal"/>
    <w:link w:val="MainBodyTextChar"/>
    <w:rsid w:val="00754333"/>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754333"/>
    <w:rPr>
      <w:rFonts w:ascii="Arial" w:hAnsi="Arial"/>
      <w:sz w:val="22"/>
      <w:szCs w:val="22"/>
    </w:rPr>
  </w:style>
  <w:style w:type="paragraph" w:customStyle="1" w:styleId="Tablecentred">
    <w:name w:val="Table centred"/>
    <w:basedOn w:val="TableText0"/>
    <w:qFormat/>
    <w:rsid w:val="00754333"/>
    <w:pPr>
      <w:jc w:val="center"/>
    </w:pPr>
  </w:style>
  <w:style w:type="character" w:customStyle="1" w:styleId="DefaultChar">
    <w:name w:val="Default Char"/>
    <w:basedOn w:val="DefaultParagraphFont"/>
    <w:link w:val="Default"/>
    <w:rsid w:val="00754333"/>
    <w:rPr>
      <w:rFonts w:ascii="Arial" w:hAnsi="Arial" w:cs="Arial"/>
      <w:color w:val="000000"/>
      <w:sz w:val="24"/>
      <w:szCs w:val="24"/>
    </w:rPr>
  </w:style>
  <w:style w:type="character" w:customStyle="1" w:styleId="Heading3Char">
    <w:name w:val="Heading 3 Char"/>
    <w:basedOn w:val="DefaultParagraphFont"/>
    <w:link w:val="Heading3"/>
    <w:rsid w:val="00754333"/>
    <w:rPr>
      <w:rFonts w:ascii="Calibri" w:hAnsi="Calibri" w:cs="Arial"/>
      <w:snapToGrid w:val="0"/>
      <w:sz w:val="24"/>
      <w:szCs w:val="22"/>
      <w:u w:val="single"/>
      <w:lang w:eastAsia="en-US"/>
    </w:rPr>
  </w:style>
  <w:style w:type="character" w:customStyle="1" w:styleId="UnresolvedMention1">
    <w:name w:val="Unresolved Mention1"/>
    <w:basedOn w:val="DefaultParagraphFont"/>
    <w:uiPriority w:val="99"/>
    <w:semiHidden/>
    <w:unhideWhenUsed/>
    <w:rsid w:val="00BC560F"/>
    <w:rPr>
      <w:color w:val="808080"/>
      <w:shd w:val="clear" w:color="auto" w:fill="E6E6E6"/>
    </w:rPr>
  </w:style>
  <w:style w:type="character" w:customStyle="1" w:styleId="Heading1Char">
    <w:name w:val="Heading 1 Char"/>
    <w:basedOn w:val="DefaultParagraphFont"/>
    <w:link w:val="Heading1"/>
    <w:uiPriority w:val="1"/>
    <w:rsid w:val="00F83419"/>
    <w:rPr>
      <w:rFonts w:ascii="Calibri" w:hAnsi="Calibri" w:cs="Arial"/>
      <w:b/>
      <w:caps/>
      <w:snapToGrid w:val="0"/>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aption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A6805"/>
    <w:pPr>
      <w:numPr>
        <w:numId w:val="1"/>
      </w:numPr>
      <w:spacing w:before="24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A85A78"/>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basedOn w:val="DefaultParagraphFont"/>
    <w:link w:val="TableText0"/>
    <w:rsid w:val="00A85A78"/>
    <w:rPr>
      <w:rFonts w:asciiTheme="minorHAnsi" w:eastAsiaTheme="minorHAnsi" w:hAnsiTheme="minorHAnsi" w:cstheme="minorHAnsi"/>
      <w:sz w:val="18"/>
      <w:szCs w:val="18"/>
      <w:lang w:eastAsia="en-US"/>
    </w:rPr>
  </w:style>
  <w:style w:type="paragraph" w:customStyle="1" w:styleId="TableFigNoteLast">
    <w:name w:val="TableFigNote Last"/>
    <w:basedOn w:val="Normal"/>
    <w:next w:val="BodyText1"/>
    <w:qFormat/>
    <w:rsid w:val="00143FD5"/>
    <w:pPr>
      <w:widowControl/>
      <w:spacing w:after="120"/>
      <w:jc w:val="left"/>
    </w:pPr>
    <w:rPr>
      <w:rFonts w:asciiTheme="minorHAnsi" w:eastAsiaTheme="minorHAnsi" w:hAnsiTheme="minorHAnsi" w:cstheme="minorBidi"/>
      <w:snapToGrid/>
      <w:sz w:val="16"/>
    </w:rPr>
  </w:style>
  <w:style w:type="paragraph" w:customStyle="1" w:styleId="BodyText1">
    <w:name w:val="Body Text1"/>
    <w:basedOn w:val="Normal"/>
    <w:link w:val="BodytextChar0"/>
    <w:qFormat/>
    <w:rsid w:val="00143FD5"/>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sid w:val="00143FD5"/>
    <w:rPr>
      <w:rFonts w:asciiTheme="minorHAnsi" w:eastAsiaTheme="minorHAnsi" w:hAnsiTheme="minorHAnsi" w:cstheme="minorBidi"/>
      <w:sz w:val="22"/>
      <w:szCs w:val="22"/>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rsid w:val="00B93250"/>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B93250"/>
    <w:rPr>
      <w:rFonts w:ascii="Calibri" w:hAnsi="Calibri" w:cs="Arial"/>
      <w:snapToGrid w:val="0"/>
      <w:lang w:eastAsia="en-US"/>
    </w:rPr>
  </w:style>
  <w:style w:type="character" w:styleId="FootnoteReference">
    <w:name w:val="footnote reference"/>
    <w:basedOn w:val="DefaultParagraphFont"/>
    <w:unhideWhenUsed/>
    <w:rsid w:val="00B93250"/>
    <w:rPr>
      <w:vertAlign w:val="superscript"/>
    </w:rPr>
  </w:style>
  <w:style w:type="paragraph" w:customStyle="1" w:styleId="Default">
    <w:name w:val="Default"/>
    <w:link w:val="DefaultChar"/>
    <w:rsid w:val="00C31B39"/>
    <w:pPr>
      <w:autoSpaceDE w:val="0"/>
      <w:autoSpaceDN w:val="0"/>
      <w:adjustRightInd w:val="0"/>
    </w:pPr>
    <w:rPr>
      <w:rFonts w:ascii="Arial" w:hAnsi="Arial" w:cs="Arial"/>
      <w:color w:val="000000"/>
      <w:sz w:val="24"/>
      <w:szCs w:val="24"/>
    </w:rPr>
  </w:style>
  <w:style w:type="paragraph" w:customStyle="1" w:styleId="FigureName">
    <w:name w:val="FigureName"/>
    <w:basedOn w:val="Normal"/>
    <w:qFormat/>
    <w:rsid w:val="00CE17EC"/>
    <w:pPr>
      <w:keepNext/>
      <w:widowControl/>
      <w:spacing w:after="240"/>
      <w:ind w:left="1531" w:hanging="1531"/>
      <w:jc w:val="left"/>
    </w:pPr>
    <w:rPr>
      <w:rFonts w:ascii="Franklin Gothic Medium" w:eastAsiaTheme="minorHAnsi" w:hAnsi="Franklin Gothic Medium" w:cstheme="minorBidi"/>
      <w:snapToGrid/>
      <w:sz w:val="22"/>
    </w:rPr>
  </w:style>
  <w:style w:type="character" w:styleId="Emphasis">
    <w:name w:val="Emphasis"/>
    <w:basedOn w:val="DefaultParagraphFont"/>
    <w:uiPriority w:val="20"/>
    <w:rsid w:val="00561F74"/>
    <w:rPr>
      <w:b w:val="0"/>
      <w:i/>
      <w:iCs/>
    </w:rPr>
  </w:style>
  <w:style w:type="paragraph" w:customStyle="1" w:styleId="TableFigNote">
    <w:name w:val="TableFigNote"/>
    <w:basedOn w:val="Normal"/>
    <w:qFormat/>
    <w:rsid w:val="002D78BE"/>
    <w:pPr>
      <w:widowControl/>
      <w:jc w:val="left"/>
    </w:pPr>
    <w:rPr>
      <w:rFonts w:asciiTheme="minorHAnsi" w:eastAsiaTheme="minorHAnsi" w:hAnsiTheme="minorHAnsi" w:cstheme="minorBidi"/>
      <w:snapToGrid/>
      <w:sz w:val="16"/>
    </w:rPr>
  </w:style>
  <w:style w:type="paragraph" w:customStyle="1" w:styleId="NormalBullets">
    <w:name w:val="Normal Bullets"/>
    <w:basedOn w:val="Normal"/>
    <w:uiPriority w:val="3"/>
    <w:qFormat/>
    <w:rsid w:val="00754333"/>
    <w:pPr>
      <w:widowControl/>
      <w:numPr>
        <w:numId w:val="3"/>
      </w:numPr>
      <w:spacing w:after="240" w:line="276" w:lineRule="auto"/>
      <w:contextualSpacing/>
      <w:jc w:val="left"/>
    </w:pPr>
    <w:rPr>
      <w:rFonts w:ascii="Sabon" w:eastAsiaTheme="majorEastAsia" w:hAnsi="Sabon" w:cstheme="majorBidi"/>
      <w:snapToGrid/>
      <w:sz w:val="22"/>
      <w:lang w:bidi="en-US"/>
    </w:rPr>
  </w:style>
  <w:style w:type="paragraph" w:customStyle="1" w:styleId="TableHeading0">
    <w:name w:val="Table Heading"/>
    <w:basedOn w:val="Normal"/>
    <w:qFormat/>
    <w:rsid w:val="00754333"/>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754333"/>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754333"/>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754333"/>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754333"/>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754333"/>
    <w:rPr>
      <w:rFonts w:ascii="Arial Narrow" w:hAnsi="Arial Narrow"/>
      <w:sz w:val="20"/>
    </w:rPr>
  </w:style>
  <w:style w:type="paragraph" w:customStyle="1" w:styleId="V50Tablenote">
    <w:name w:val="V5.0 Tablenote"/>
    <w:basedOn w:val="Normal"/>
    <w:link w:val="V50TablenoteChar"/>
    <w:qFormat/>
    <w:rsid w:val="00754333"/>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754333"/>
    <w:rPr>
      <w:rFonts w:asciiTheme="minorHAnsi" w:eastAsiaTheme="minorHAnsi" w:hAnsiTheme="minorHAnsi" w:cstheme="minorBidi"/>
      <w:sz w:val="18"/>
      <w:szCs w:val="18"/>
      <w:lang w:val="en-US" w:eastAsia="en-US"/>
    </w:rPr>
  </w:style>
  <w:style w:type="table" w:customStyle="1" w:styleId="TableGrid1">
    <w:name w:val="Table Grid1"/>
    <w:basedOn w:val="TableNormal"/>
    <w:next w:val="TableGrid"/>
    <w:uiPriority w:val="59"/>
    <w:rsid w:val="00754333"/>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754333"/>
    <w:pPr>
      <w:widowControl/>
      <w:numPr>
        <w:numId w:val="4"/>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754333"/>
    <w:pPr>
      <w:numPr>
        <w:ilvl w:val="2"/>
      </w:numPr>
    </w:pPr>
  </w:style>
  <w:style w:type="paragraph" w:customStyle="1" w:styleId="ListBulletlvl4">
    <w:name w:val="List Bullet lvl 4"/>
    <w:basedOn w:val="ListBullet"/>
    <w:qFormat/>
    <w:rsid w:val="00754333"/>
    <w:pPr>
      <w:numPr>
        <w:ilvl w:val="3"/>
      </w:numPr>
    </w:pPr>
  </w:style>
  <w:style w:type="paragraph" w:customStyle="1" w:styleId="ListBulletlvl5">
    <w:name w:val="List Bullet lvl 5"/>
    <w:basedOn w:val="ListBullet"/>
    <w:qFormat/>
    <w:rsid w:val="00754333"/>
    <w:pPr>
      <w:numPr>
        <w:ilvl w:val="4"/>
      </w:numPr>
    </w:pPr>
  </w:style>
  <w:style w:type="paragraph" w:customStyle="1" w:styleId="ListBulletlvl6">
    <w:name w:val="List Bullet lvl 6"/>
    <w:basedOn w:val="ListBullet"/>
    <w:qFormat/>
    <w:rsid w:val="00754333"/>
    <w:pPr>
      <w:numPr>
        <w:ilvl w:val="5"/>
      </w:numPr>
    </w:pPr>
  </w:style>
  <w:style w:type="paragraph" w:customStyle="1" w:styleId="ListBulletlvl7">
    <w:name w:val="List Bullet lvl 7"/>
    <w:basedOn w:val="ListBullet"/>
    <w:qFormat/>
    <w:rsid w:val="00754333"/>
    <w:pPr>
      <w:numPr>
        <w:ilvl w:val="6"/>
      </w:numPr>
    </w:pPr>
  </w:style>
  <w:style w:type="paragraph" w:customStyle="1" w:styleId="ListBulletlvl8">
    <w:name w:val="List Bullet lvl 8"/>
    <w:basedOn w:val="ListBullet"/>
    <w:qFormat/>
    <w:rsid w:val="00754333"/>
    <w:pPr>
      <w:numPr>
        <w:ilvl w:val="7"/>
      </w:numPr>
    </w:pPr>
  </w:style>
  <w:style w:type="paragraph" w:customStyle="1" w:styleId="ListBulletlvl9">
    <w:name w:val="List Bullet lvl 9"/>
    <w:basedOn w:val="ListBullet"/>
    <w:qFormat/>
    <w:rsid w:val="00754333"/>
    <w:pPr>
      <w:numPr>
        <w:ilvl w:val="8"/>
      </w:numPr>
    </w:pPr>
  </w:style>
  <w:style w:type="paragraph" w:customStyle="1" w:styleId="LOFHeading">
    <w:name w:val="L.O.F Heading"/>
    <w:basedOn w:val="Normal"/>
    <w:next w:val="Normal"/>
    <w:rsid w:val="00754333"/>
    <w:pPr>
      <w:keepNext/>
      <w:widowControl/>
      <w:spacing w:before="240" w:after="360" w:line="276" w:lineRule="auto"/>
      <w:jc w:val="left"/>
    </w:pPr>
    <w:rPr>
      <w:rFonts w:ascii="Arial" w:hAnsi="Arial" w:cs="Times New Roman"/>
      <w:b/>
      <w:caps/>
      <w:snapToGrid/>
      <w:sz w:val="28"/>
      <w:szCs w:val="28"/>
      <w:lang w:eastAsia="en-AU"/>
    </w:rPr>
  </w:style>
  <w:style w:type="paragraph" w:customStyle="1" w:styleId="TextUnderTable">
    <w:name w:val="Text Under Table"/>
    <w:basedOn w:val="Normal"/>
    <w:qFormat/>
    <w:rsid w:val="00754333"/>
    <w:pPr>
      <w:widowControl/>
      <w:spacing w:before="120" w:after="120" w:line="276" w:lineRule="auto"/>
      <w:contextualSpacing/>
      <w:jc w:val="left"/>
    </w:pPr>
    <w:rPr>
      <w:rFonts w:ascii="Arial" w:hAnsi="Arial" w:cs="Times New Roman"/>
      <w:i/>
      <w:snapToGrid/>
      <w:sz w:val="16"/>
      <w:lang w:eastAsia="en-AU"/>
    </w:rPr>
  </w:style>
  <w:style w:type="paragraph" w:customStyle="1" w:styleId="MainBodyText">
    <w:name w:val="Main Body Text"/>
    <w:basedOn w:val="Normal"/>
    <w:link w:val="MainBodyTextChar"/>
    <w:rsid w:val="00754333"/>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754333"/>
    <w:rPr>
      <w:rFonts w:ascii="Arial" w:hAnsi="Arial"/>
      <w:sz w:val="22"/>
      <w:szCs w:val="22"/>
    </w:rPr>
  </w:style>
  <w:style w:type="paragraph" w:customStyle="1" w:styleId="Tablecentred">
    <w:name w:val="Table centred"/>
    <w:basedOn w:val="TableText0"/>
    <w:qFormat/>
    <w:rsid w:val="00754333"/>
    <w:pPr>
      <w:jc w:val="center"/>
    </w:pPr>
  </w:style>
  <w:style w:type="character" w:customStyle="1" w:styleId="DefaultChar">
    <w:name w:val="Default Char"/>
    <w:basedOn w:val="DefaultParagraphFont"/>
    <w:link w:val="Default"/>
    <w:rsid w:val="00754333"/>
    <w:rPr>
      <w:rFonts w:ascii="Arial" w:hAnsi="Arial" w:cs="Arial"/>
      <w:color w:val="000000"/>
      <w:sz w:val="24"/>
      <w:szCs w:val="24"/>
    </w:rPr>
  </w:style>
  <w:style w:type="character" w:customStyle="1" w:styleId="Heading3Char">
    <w:name w:val="Heading 3 Char"/>
    <w:basedOn w:val="DefaultParagraphFont"/>
    <w:link w:val="Heading3"/>
    <w:rsid w:val="00754333"/>
    <w:rPr>
      <w:rFonts w:ascii="Calibri" w:hAnsi="Calibri" w:cs="Arial"/>
      <w:snapToGrid w:val="0"/>
      <w:sz w:val="24"/>
      <w:szCs w:val="22"/>
      <w:u w:val="single"/>
      <w:lang w:eastAsia="en-US"/>
    </w:rPr>
  </w:style>
  <w:style w:type="character" w:customStyle="1" w:styleId="UnresolvedMention1">
    <w:name w:val="Unresolved Mention1"/>
    <w:basedOn w:val="DefaultParagraphFont"/>
    <w:uiPriority w:val="99"/>
    <w:semiHidden/>
    <w:unhideWhenUsed/>
    <w:rsid w:val="00BC560F"/>
    <w:rPr>
      <w:color w:val="808080"/>
      <w:shd w:val="clear" w:color="auto" w:fill="E6E6E6"/>
    </w:rPr>
  </w:style>
  <w:style w:type="character" w:customStyle="1" w:styleId="Heading1Char">
    <w:name w:val="Heading 1 Char"/>
    <w:basedOn w:val="DefaultParagraphFont"/>
    <w:link w:val="Heading1"/>
    <w:uiPriority w:val="1"/>
    <w:rsid w:val="00F83419"/>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409">
      <w:bodyDiv w:val="1"/>
      <w:marLeft w:val="0"/>
      <w:marRight w:val="0"/>
      <w:marTop w:val="0"/>
      <w:marBottom w:val="0"/>
      <w:divBdr>
        <w:top w:val="none" w:sz="0" w:space="0" w:color="auto"/>
        <w:left w:val="none" w:sz="0" w:space="0" w:color="auto"/>
        <w:bottom w:val="none" w:sz="0" w:space="0" w:color="auto"/>
        <w:right w:val="none" w:sz="0" w:space="0" w:color="auto"/>
      </w:divBdr>
    </w:div>
    <w:div w:id="155153027">
      <w:bodyDiv w:val="1"/>
      <w:marLeft w:val="0"/>
      <w:marRight w:val="0"/>
      <w:marTop w:val="0"/>
      <w:marBottom w:val="0"/>
      <w:divBdr>
        <w:top w:val="none" w:sz="0" w:space="0" w:color="auto"/>
        <w:left w:val="none" w:sz="0" w:space="0" w:color="auto"/>
        <w:bottom w:val="none" w:sz="0" w:space="0" w:color="auto"/>
        <w:right w:val="none" w:sz="0" w:space="0" w:color="auto"/>
      </w:divBdr>
    </w:div>
    <w:div w:id="1876436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270">
          <w:marLeft w:val="360"/>
          <w:marRight w:val="0"/>
          <w:marTop w:val="200"/>
          <w:marBottom w:val="0"/>
          <w:divBdr>
            <w:top w:val="none" w:sz="0" w:space="0" w:color="auto"/>
            <w:left w:val="none" w:sz="0" w:space="0" w:color="auto"/>
            <w:bottom w:val="none" w:sz="0" w:space="0" w:color="auto"/>
            <w:right w:val="none" w:sz="0" w:space="0" w:color="auto"/>
          </w:divBdr>
        </w:div>
      </w:divsChild>
    </w:div>
    <w:div w:id="198902063">
      <w:bodyDiv w:val="1"/>
      <w:marLeft w:val="0"/>
      <w:marRight w:val="0"/>
      <w:marTop w:val="0"/>
      <w:marBottom w:val="0"/>
      <w:divBdr>
        <w:top w:val="none" w:sz="0" w:space="0" w:color="auto"/>
        <w:left w:val="none" w:sz="0" w:space="0" w:color="auto"/>
        <w:bottom w:val="none" w:sz="0" w:space="0" w:color="auto"/>
        <w:right w:val="none" w:sz="0" w:space="0" w:color="auto"/>
      </w:divBdr>
    </w:div>
    <w:div w:id="455608807">
      <w:bodyDiv w:val="1"/>
      <w:marLeft w:val="0"/>
      <w:marRight w:val="0"/>
      <w:marTop w:val="0"/>
      <w:marBottom w:val="0"/>
      <w:divBdr>
        <w:top w:val="none" w:sz="0" w:space="0" w:color="auto"/>
        <w:left w:val="none" w:sz="0" w:space="0" w:color="auto"/>
        <w:bottom w:val="none" w:sz="0" w:space="0" w:color="auto"/>
        <w:right w:val="none" w:sz="0" w:space="0" w:color="auto"/>
      </w:divBdr>
      <w:divsChild>
        <w:div w:id="760948933">
          <w:marLeft w:val="360"/>
          <w:marRight w:val="0"/>
          <w:marTop w:val="200"/>
          <w:marBottom w:val="0"/>
          <w:divBdr>
            <w:top w:val="none" w:sz="0" w:space="0" w:color="auto"/>
            <w:left w:val="none" w:sz="0" w:space="0" w:color="auto"/>
            <w:bottom w:val="none" w:sz="0" w:space="0" w:color="auto"/>
            <w:right w:val="none" w:sz="0" w:space="0" w:color="auto"/>
          </w:divBdr>
        </w:div>
      </w:divsChild>
    </w:div>
    <w:div w:id="1063065460">
      <w:bodyDiv w:val="1"/>
      <w:marLeft w:val="0"/>
      <w:marRight w:val="0"/>
      <w:marTop w:val="0"/>
      <w:marBottom w:val="0"/>
      <w:divBdr>
        <w:top w:val="none" w:sz="0" w:space="0" w:color="auto"/>
        <w:left w:val="none" w:sz="0" w:space="0" w:color="auto"/>
        <w:bottom w:val="none" w:sz="0" w:space="0" w:color="auto"/>
        <w:right w:val="none" w:sz="0" w:space="0" w:color="auto"/>
      </w:divBdr>
    </w:div>
    <w:div w:id="1103183958">
      <w:bodyDiv w:val="1"/>
      <w:marLeft w:val="0"/>
      <w:marRight w:val="0"/>
      <w:marTop w:val="0"/>
      <w:marBottom w:val="0"/>
      <w:divBdr>
        <w:top w:val="none" w:sz="0" w:space="0" w:color="auto"/>
        <w:left w:val="none" w:sz="0" w:space="0" w:color="auto"/>
        <w:bottom w:val="none" w:sz="0" w:space="0" w:color="auto"/>
        <w:right w:val="none" w:sz="0" w:space="0" w:color="auto"/>
      </w:divBdr>
    </w:div>
    <w:div w:id="1419214660">
      <w:bodyDiv w:val="1"/>
      <w:marLeft w:val="0"/>
      <w:marRight w:val="0"/>
      <w:marTop w:val="0"/>
      <w:marBottom w:val="0"/>
      <w:divBdr>
        <w:top w:val="none" w:sz="0" w:space="0" w:color="auto"/>
        <w:left w:val="none" w:sz="0" w:space="0" w:color="auto"/>
        <w:bottom w:val="none" w:sz="0" w:space="0" w:color="auto"/>
        <w:right w:val="none" w:sz="0" w:space="0" w:color="auto"/>
      </w:divBdr>
    </w:div>
    <w:div w:id="1539776632">
      <w:bodyDiv w:val="1"/>
      <w:marLeft w:val="0"/>
      <w:marRight w:val="0"/>
      <w:marTop w:val="0"/>
      <w:marBottom w:val="0"/>
      <w:divBdr>
        <w:top w:val="none" w:sz="0" w:space="0" w:color="auto"/>
        <w:left w:val="none" w:sz="0" w:space="0" w:color="auto"/>
        <w:bottom w:val="none" w:sz="0" w:space="0" w:color="auto"/>
        <w:right w:val="none" w:sz="0" w:space="0" w:color="auto"/>
      </w:divBdr>
      <w:divsChild>
        <w:div w:id="869531690">
          <w:marLeft w:val="1080"/>
          <w:marRight w:val="0"/>
          <w:marTop w:val="0"/>
          <w:marBottom w:val="0"/>
          <w:divBdr>
            <w:top w:val="none" w:sz="0" w:space="0" w:color="auto"/>
            <w:left w:val="none" w:sz="0" w:space="0" w:color="auto"/>
            <w:bottom w:val="none" w:sz="0" w:space="0" w:color="auto"/>
            <w:right w:val="none" w:sz="0" w:space="0" w:color="auto"/>
          </w:divBdr>
        </w:div>
      </w:divsChild>
    </w:div>
    <w:div w:id="1851480392">
      <w:bodyDiv w:val="1"/>
      <w:marLeft w:val="0"/>
      <w:marRight w:val="0"/>
      <w:marTop w:val="0"/>
      <w:marBottom w:val="0"/>
      <w:divBdr>
        <w:top w:val="none" w:sz="0" w:space="0" w:color="auto"/>
        <w:left w:val="none" w:sz="0" w:space="0" w:color="auto"/>
        <w:bottom w:val="none" w:sz="0" w:space="0" w:color="auto"/>
        <w:right w:val="none" w:sz="0" w:space="0" w:color="auto"/>
      </w:divBdr>
    </w:div>
    <w:div w:id="1915970318">
      <w:bodyDiv w:val="1"/>
      <w:marLeft w:val="0"/>
      <w:marRight w:val="0"/>
      <w:marTop w:val="0"/>
      <w:marBottom w:val="0"/>
      <w:divBdr>
        <w:top w:val="none" w:sz="0" w:space="0" w:color="auto"/>
        <w:left w:val="none" w:sz="0" w:space="0" w:color="auto"/>
        <w:bottom w:val="none" w:sz="0" w:space="0" w:color="auto"/>
        <w:right w:val="none" w:sz="0" w:space="0" w:color="auto"/>
      </w:divBdr>
    </w:div>
    <w:div w:id="2015372989">
      <w:bodyDiv w:val="1"/>
      <w:marLeft w:val="0"/>
      <w:marRight w:val="0"/>
      <w:marTop w:val="0"/>
      <w:marBottom w:val="0"/>
      <w:divBdr>
        <w:top w:val="none" w:sz="0" w:space="0" w:color="auto"/>
        <w:left w:val="none" w:sz="0" w:space="0" w:color="auto"/>
        <w:bottom w:val="none" w:sz="0" w:space="0" w:color="auto"/>
        <w:right w:val="none" w:sz="0" w:space="0" w:color="auto"/>
      </w:divBdr>
    </w:div>
    <w:div w:id="2046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fo/industry/listing/elements/pbac-meetings/psd/2015-03/fluarix-tetra-psd-03-2015" TargetMode="External"/><Relationship Id="rId2" Type="http://schemas.openxmlformats.org/officeDocument/2006/relationships/hyperlink" Target="https://clinicaltrials.gov/ct2/show/NCT03183908?term=fluad&amp;age=2&amp;rank=2" TargetMode="External"/><Relationship Id="rId1" Type="http://schemas.openxmlformats.org/officeDocument/2006/relationships/hyperlink" Target="https://www.canada.ca/en/public-health/services/publications/healthy-living/executive-summary-literature-review-update-efficacy-effectiveness-fluzone-high-dose-fluad-trivalent-inactivated-influenza-vaccines-adults-65-older.html" TargetMode="External"/><Relationship Id="rId5" Type="http://schemas.openxmlformats.org/officeDocument/2006/relationships/hyperlink" Target="http://www.pbs.gov.au/info/industry/listing/elements/pbac-meetings/psd/2018-03/Inactivated-trivalent-influenza-vaccine-%28Split%20Virion%29-suspension-for-injection-psd-march-2018" TargetMode="External"/><Relationship Id="rId4" Type="http://schemas.openxmlformats.org/officeDocument/2006/relationships/hyperlink" Target="http://www9.health.gov.au/cda/source/pub_influ.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lung\Dropbox%20(Sydney%20Uni)\ESC\July%202018\My%20allocations\Influenza%20ca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lung\Dropbox%20(Sydney%20Uni)\ESC\July%202018\My%20allocations\Influenza%20ca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lung\Dropbox%20(Sydney%20Uni)\ESC\July%202018\My%20allocations\Influenza%20ca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Laboratory confirmed influenza cases</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Sheet1!$D$15:$F$15</c:f>
              <c:strCache>
                <c:ptCount val="3"/>
                <c:pt idx="0">
                  <c:v>NNDSS 2016</c:v>
                </c:pt>
                <c:pt idx="1">
                  <c:v>NNDSS 2017</c:v>
                </c:pt>
                <c:pt idx="2">
                  <c:v>Economic model (QIV-SD)</c:v>
                </c:pt>
              </c:strCache>
            </c:strRef>
          </c:cat>
          <c:val>
            <c:numRef>
              <c:f>Sheet1!$D$16:$F$16</c:f>
              <c:numCache>
                <c:formatCode>_-* #,##0_-;\-* #,##0_-;_-* "-"??_-;_-@_-</c:formatCode>
                <c:ptCount val="3"/>
                <c:pt idx="0">
                  <c:v>20977</c:v>
                </c:pt>
                <c:pt idx="1">
                  <c:v>54061</c:v>
                </c:pt>
                <c:pt idx="2">
                  <c:v>98196</c:v>
                </c:pt>
              </c:numCache>
            </c:numRef>
          </c:val>
          <c:extLst xmlns:c16r2="http://schemas.microsoft.com/office/drawing/2015/06/chart">
            <c:ext xmlns:c16="http://schemas.microsoft.com/office/drawing/2014/chart" uri="{C3380CC4-5D6E-409C-BE32-E72D297353CC}">
              <c16:uniqueId val="{00000000-81B8-4ACF-B3B2-FD3B500F644A}"/>
            </c:ext>
          </c:extLst>
        </c:ser>
        <c:dLbls>
          <c:showLegendKey val="0"/>
          <c:showVal val="0"/>
          <c:showCatName val="0"/>
          <c:showSerName val="0"/>
          <c:showPercent val="0"/>
          <c:showBubbleSize val="0"/>
        </c:dLbls>
        <c:gapWidth val="219"/>
        <c:overlap val="-27"/>
        <c:axId val="337432960"/>
        <c:axId val="337434880"/>
      </c:barChart>
      <c:catAx>
        <c:axId val="33743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434880"/>
        <c:crossesAt val="0"/>
        <c:auto val="1"/>
        <c:lblAlgn val="ctr"/>
        <c:lblOffset val="100"/>
        <c:noMultiLvlLbl val="0"/>
      </c:catAx>
      <c:valAx>
        <c:axId val="337434880"/>
        <c:scaling>
          <c:orientation val="minMax"/>
          <c:max val="10000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432960"/>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influenza-related hospitalisations</a:t>
            </a:r>
          </a:p>
        </c:rich>
      </c:tx>
      <c:layout>
        <c:manualLayout>
          <c:xMode val="edge"/>
          <c:yMode val="edge"/>
          <c:x val="0.17281955380577427"/>
          <c:y val="3.7037037037037035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Sheet1!$D$19:$F$19</c:f>
              <c:strCache>
                <c:ptCount val="3"/>
                <c:pt idx="0">
                  <c:v>Newall (2008)</c:v>
                </c:pt>
                <c:pt idx="1">
                  <c:v>NNDSS 2017</c:v>
                </c:pt>
                <c:pt idx="2">
                  <c:v>Economic model (QIV-SD)</c:v>
                </c:pt>
              </c:strCache>
            </c:strRef>
          </c:cat>
          <c:val>
            <c:numRef>
              <c:f>Sheet1!$D$20:$F$20</c:f>
              <c:numCache>
                <c:formatCode>#,##0</c:formatCode>
                <c:ptCount val="3"/>
                <c:pt idx="0">
                  <c:v>6000</c:v>
                </c:pt>
                <c:pt idx="1">
                  <c:v>29000</c:v>
                </c:pt>
                <c:pt idx="2">
                  <c:v>69733</c:v>
                </c:pt>
              </c:numCache>
            </c:numRef>
          </c:val>
          <c:extLst xmlns:c16r2="http://schemas.microsoft.com/office/drawing/2015/06/chart">
            <c:ext xmlns:c16="http://schemas.microsoft.com/office/drawing/2014/chart" uri="{C3380CC4-5D6E-409C-BE32-E72D297353CC}">
              <c16:uniqueId val="{00000000-593B-4681-8B65-BDF4EE59BF34}"/>
            </c:ext>
          </c:extLst>
        </c:ser>
        <c:dLbls>
          <c:showLegendKey val="0"/>
          <c:showVal val="0"/>
          <c:showCatName val="0"/>
          <c:showSerName val="0"/>
          <c:showPercent val="0"/>
          <c:showBubbleSize val="0"/>
        </c:dLbls>
        <c:gapWidth val="219"/>
        <c:overlap val="-27"/>
        <c:axId val="351221632"/>
        <c:axId val="374038912"/>
      </c:barChart>
      <c:catAx>
        <c:axId val="35122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38912"/>
        <c:crosses val="autoZero"/>
        <c:auto val="1"/>
        <c:lblAlgn val="ctr"/>
        <c:lblOffset val="100"/>
        <c:noMultiLvlLbl val="0"/>
      </c:catAx>
      <c:valAx>
        <c:axId val="3740389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22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Influenza attributable deaths</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Sheet1!$D$23:$E$23</c:f>
              <c:strCache>
                <c:ptCount val="2"/>
                <c:pt idx="0">
                  <c:v>NNDSS 2017</c:v>
                </c:pt>
                <c:pt idx="1">
                  <c:v>Economic model (QIV-SD)</c:v>
                </c:pt>
              </c:strCache>
            </c:strRef>
          </c:cat>
          <c:val>
            <c:numRef>
              <c:f>Sheet1!$D$24:$E$24</c:f>
              <c:numCache>
                <c:formatCode>#,##0</c:formatCode>
                <c:ptCount val="2"/>
                <c:pt idx="0" formatCode="General">
                  <c:v>745</c:v>
                </c:pt>
                <c:pt idx="1">
                  <c:v>2427</c:v>
                </c:pt>
              </c:numCache>
            </c:numRef>
          </c:val>
          <c:extLst xmlns:c16r2="http://schemas.microsoft.com/office/drawing/2015/06/chart">
            <c:ext xmlns:c16="http://schemas.microsoft.com/office/drawing/2014/chart" uri="{C3380CC4-5D6E-409C-BE32-E72D297353CC}">
              <c16:uniqueId val="{00000000-96F1-4332-B575-23CA276991C7}"/>
            </c:ext>
          </c:extLst>
        </c:ser>
        <c:dLbls>
          <c:showLegendKey val="0"/>
          <c:showVal val="0"/>
          <c:showCatName val="0"/>
          <c:showSerName val="0"/>
          <c:showPercent val="0"/>
          <c:showBubbleSize val="0"/>
        </c:dLbls>
        <c:gapWidth val="219"/>
        <c:overlap val="-27"/>
        <c:axId val="403507072"/>
        <c:axId val="73228288"/>
      </c:barChart>
      <c:catAx>
        <c:axId val="40350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28288"/>
        <c:crosses val="autoZero"/>
        <c:auto val="1"/>
        <c:lblAlgn val="ctr"/>
        <c:lblOffset val="100"/>
        <c:noMultiLvlLbl val="0"/>
      </c:catAx>
      <c:valAx>
        <c:axId val="73228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50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AF1C-B780-493F-AA72-8A99E170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9043</Words>
  <Characters>53494</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2018-10-08T05:53:00Z</dcterms:created>
  <dcterms:modified xsi:type="dcterms:W3CDTF">2018-10-18T06:41:00Z</dcterms:modified>
</cp:coreProperties>
</file>