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577C4D" w:rsidRDefault="00D47CAA" w:rsidP="006D6493">
      <w:pPr>
        <w:pStyle w:val="Title"/>
        <w:spacing w:before="120" w:after="160"/>
        <w:ind w:left="720" w:hanging="720"/>
        <w:rPr>
          <w:rFonts w:asciiTheme="minorHAnsi" w:hAnsiTheme="minorHAnsi"/>
          <w:sz w:val="36"/>
          <w:szCs w:val="36"/>
        </w:rPr>
      </w:pPr>
      <w:r>
        <w:rPr>
          <w:rFonts w:asciiTheme="minorHAnsi" w:hAnsiTheme="minorHAnsi"/>
          <w:sz w:val="36"/>
          <w:szCs w:val="36"/>
        </w:rPr>
        <w:t>7.06</w:t>
      </w:r>
      <w:r>
        <w:rPr>
          <w:rFonts w:asciiTheme="minorHAnsi" w:hAnsiTheme="minorHAnsi"/>
          <w:sz w:val="36"/>
          <w:szCs w:val="36"/>
        </w:rPr>
        <w:tab/>
        <w:t>BRENTUXIMAB VEDOTIN</w:t>
      </w:r>
      <w:r w:rsidR="0091076F">
        <w:rPr>
          <w:rFonts w:asciiTheme="minorHAnsi" w:hAnsiTheme="minorHAnsi"/>
          <w:sz w:val="36"/>
          <w:szCs w:val="36"/>
        </w:rPr>
        <w:br/>
        <w:t>Powder for I.V infusion 50 mg</w:t>
      </w:r>
      <w:proofErr w:type="gramStart"/>
      <w:r>
        <w:rPr>
          <w:rFonts w:asciiTheme="minorHAnsi" w:hAnsiTheme="minorHAnsi"/>
          <w:sz w:val="36"/>
          <w:szCs w:val="36"/>
        </w:rPr>
        <w:t>,</w:t>
      </w:r>
      <w:proofErr w:type="gramEnd"/>
      <w:r w:rsidR="006D6493" w:rsidRPr="002B5596">
        <w:rPr>
          <w:rFonts w:asciiTheme="minorHAnsi" w:hAnsiTheme="minorHAnsi"/>
          <w:sz w:val="36"/>
          <w:szCs w:val="36"/>
        </w:rPr>
        <w:br/>
      </w:r>
      <w:proofErr w:type="spellStart"/>
      <w:r w:rsidR="0091076F">
        <w:rPr>
          <w:rFonts w:asciiTheme="minorHAnsi" w:hAnsiTheme="minorHAnsi"/>
          <w:sz w:val="36"/>
          <w:szCs w:val="36"/>
        </w:rPr>
        <w:t>Adcetris</w:t>
      </w:r>
      <w:proofErr w:type="spellEnd"/>
      <w:r w:rsidR="006D6493" w:rsidRPr="002B5596">
        <w:rPr>
          <w:rFonts w:asciiTheme="minorHAnsi" w:hAnsiTheme="minorHAnsi"/>
          <w:sz w:val="36"/>
          <w:szCs w:val="36"/>
          <w:vertAlign w:val="superscript"/>
        </w:rPr>
        <w:t>®</w:t>
      </w:r>
      <w:r>
        <w:rPr>
          <w:rFonts w:asciiTheme="minorHAnsi" w:hAnsiTheme="minorHAnsi"/>
          <w:sz w:val="36"/>
          <w:szCs w:val="36"/>
        </w:rPr>
        <w:t>,</w:t>
      </w:r>
      <w:r w:rsidR="00165B08">
        <w:rPr>
          <w:rFonts w:asciiTheme="minorHAnsi" w:hAnsiTheme="minorHAnsi"/>
          <w:sz w:val="36"/>
          <w:szCs w:val="36"/>
        </w:rPr>
        <w:br/>
      </w:r>
      <w:r w:rsidR="0091076F">
        <w:rPr>
          <w:rFonts w:asciiTheme="minorHAnsi" w:hAnsiTheme="minorHAnsi"/>
          <w:sz w:val="36"/>
          <w:szCs w:val="36"/>
        </w:rPr>
        <w:t>Takeda Pharmaceuticals Australia Pty Ltd</w:t>
      </w:r>
    </w:p>
    <w:p w:rsidR="008A50F1" w:rsidRPr="00D4572C" w:rsidRDefault="00CE10C4" w:rsidP="00057624">
      <w:pPr>
        <w:pStyle w:val="Heading1"/>
        <w:ind w:left="709" w:hanging="709"/>
      </w:pPr>
      <w:r w:rsidRPr="002B5596">
        <w:t xml:space="preserve">Purpose of </w:t>
      </w:r>
      <w:r w:rsidR="0004240E" w:rsidRPr="002B5596">
        <w:t>Application</w:t>
      </w:r>
    </w:p>
    <w:p w:rsidR="006A12A5" w:rsidRPr="001B2BBC"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 xml:space="preserve">nor </w:t>
      </w:r>
      <w:r w:rsidR="0091076F">
        <w:rPr>
          <w:rFonts w:asciiTheme="minorHAnsi" w:eastAsiaTheme="minorHAnsi" w:hAnsiTheme="minorHAnsi" w:cstheme="minorBidi"/>
          <w:snapToGrid/>
          <w:sz w:val="24"/>
          <w:szCs w:val="22"/>
        </w:rPr>
        <w:t>re</w:t>
      </w:r>
      <w:r w:rsidR="00FF2801" w:rsidRPr="001B2BBC">
        <w:rPr>
          <w:rFonts w:asciiTheme="minorHAnsi" w:eastAsiaTheme="minorHAnsi" w:hAnsiTheme="minorHAnsi" w:cstheme="minorBidi"/>
          <w:snapToGrid/>
          <w:sz w:val="24"/>
          <w:szCs w:val="22"/>
        </w:rPr>
        <w:t xml:space="preserve">submission </w:t>
      </w:r>
      <w:r w:rsidR="0091076F">
        <w:rPr>
          <w:rFonts w:asciiTheme="minorHAnsi" w:eastAsiaTheme="minorHAnsi" w:hAnsiTheme="minorHAnsi" w:cstheme="minorBidi"/>
          <w:snapToGrid/>
          <w:sz w:val="24"/>
          <w:szCs w:val="22"/>
        </w:rPr>
        <w:t xml:space="preserve">requested </w:t>
      </w:r>
      <w:r w:rsidR="0091076F" w:rsidRPr="0091076F">
        <w:rPr>
          <w:rFonts w:asciiTheme="minorHAnsi" w:eastAsiaTheme="minorHAnsi" w:hAnsiTheme="minorHAnsi" w:cstheme="minorBidi"/>
          <w:snapToGrid/>
          <w:sz w:val="24"/>
          <w:szCs w:val="22"/>
        </w:rPr>
        <w:t xml:space="preserve">a Section 100 (Efficient Funding of Chemotherapy) Authority </w:t>
      </w:r>
      <w:proofErr w:type="gramStart"/>
      <w:r w:rsidR="0091076F" w:rsidRPr="0091076F">
        <w:rPr>
          <w:rFonts w:asciiTheme="minorHAnsi" w:eastAsiaTheme="minorHAnsi" w:hAnsiTheme="minorHAnsi" w:cstheme="minorBidi"/>
          <w:snapToGrid/>
          <w:sz w:val="24"/>
          <w:szCs w:val="22"/>
        </w:rPr>
        <w:t>Required</w:t>
      </w:r>
      <w:proofErr w:type="gramEnd"/>
      <w:r w:rsidR="0091076F" w:rsidRPr="0091076F">
        <w:rPr>
          <w:rFonts w:asciiTheme="minorHAnsi" w:eastAsiaTheme="minorHAnsi" w:hAnsiTheme="minorHAnsi" w:cstheme="minorBidi"/>
          <w:snapToGrid/>
          <w:sz w:val="24"/>
          <w:szCs w:val="22"/>
        </w:rPr>
        <w:t xml:space="preserve"> listing for the treatment of refractory or relapsed </w:t>
      </w:r>
      <w:r w:rsidR="00B371A4">
        <w:rPr>
          <w:rFonts w:asciiTheme="minorHAnsi" w:eastAsiaTheme="minorHAnsi" w:hAnsiTheme="minorHAnsi" w:cstheme="minorBidi"/>
          <w:snapToGrid/>
          <w:sz w:val="24"/>
          <w:szCs w:val="22"/>
        </w:rPr>
        <w:t xml:space="preserve">(RR) </w:t>
      </w:r>
      <w:r w:rsidR="0091076F" w:rsidRPr="0091076F">
        <w:rPr>
          <w:rFonts w:asciiTheme="minorHAnsi" w:eastAsiaTheme="minorHAnsi" w:hAnsiTheme="minorHAnsi" w:cstheme="minorBidi"/>
          <w:snapToGrid/>
          <w:sz w:val="24"/>
          <w:szCs w:val="22"/>
        </w:rPr>
        <w:t>CD30 positive cutaneous T-cell lymphomas (CTCL).</w:t>
      </w:r>
      <w:r w:rsidR="0091076F">
        <w:rPr>
          <w:rFonts w:asciiTheme="minorHAnsi" w:eastAsiaTheme="minorHAnsi" w:hAnsiTheme="minorHAnsi" w:cstheme="minorBidi"/>
          <w:snapToGrid/>
          <w:sz w:val="24"/>
          <w:szCs w:val="22"/>
        </w:rPr>
        <w:t xml:space="preserve"> In July 2018 the PBAC did not recommend the listing of </w:t>
      </w:r>
      <w:proofErr w:type="spellStart"/>
      <w:r w:rsidR="0091076F">
        <w:rPr>
          <w:rFonts w:asciiTheme="minorHAnsi" w:eastAsiaTheme="minorHAnsi" w:hAnsiTheme="minorHAnsi" w:cstheme="minorBidi"/>
          <w:snapToGrid/>
          <w:sz w:val="24"/>
          <w:szCs w:val="22"/>
        </w:rPr>
        <w:t>brentuximab</w:t>
      </w:r>
      <w:proofErr w:type="spellEnd"/>
      <w:r w:rsidR="0091076F">
        <w:rPr>
          <w:rFonts w:asciiTheme="minorHAnsi" w:eastAsiaTheme="minorHAnsi" w:hAnsiTheme="minorHAnsi" w:cstheme="minorBidi"/>
          <w:snapToGrid/>
          <w:sz w:val="24"/>
          <w:szCs w:val="22"/>
        </w:rPr>
        <w:t xml:space="preserve"> </w:t>
      </w:r>
      <w:proofErr w:type="spellStart"/>
      <w:r w:rsidR="0091076F">
        <w:rPr>
          <w:rFonts w:asciiTheme="minorHAnsi" w:eastAsiaTheme="minorHAnsi" w:hAnsiTheme="minorHAnsi" w:cstheme="minorBidi"/>
          <w:snapToGrid/>
          <w:sz w:val="24"/>
          <w:szCs w:val="22"/>
        </w:rPr>
        <w:t>vedotin</w:t>
      </w:r>
      <w:proofErr w:type="spellEnd"/>
      <w:r w:rsidR="0091076F">
        <w:rPr>
          <w:rFonts w:asciiTheme="minorHAnsi" w:eastAsiaTheme="minorHAnsi" w:hAnsiTheme="minorHAnsi" w:cstheme="minorBidi"/>
          <w:snapToGrid/>
          <w:sz w:val="24"/>
          <w:szCs w:val="22"/>
        </w:rPr>
        <w:t xml:space="preserve"> </w:t>
      </w:r>
      <w:r w:rsidR="00B82C52">
        <w:rPr>
          <w:rFonts w:asciiTheme="minorHAnsi" w:eastAsiaTheme="minorHAnsi" w:hAnsiTheme="minorHAnsi" w:cstheme="minorBidi"/>
          <w:snapToGrid/>
          <w:sz w:val="24"/>
          <w:szCs w:val="22"/>
        </w:rPr>
        <w:t xml:space="preserve">for this indication </w:t>
      </w:r>
      <w:r w:rsidR="00B82C52" w:rsidRPr="00B82C52">
        <w:rPr>
          <w:rFonts w:asciiTheme="minorHAnsi" w:eastAsiaTheme="minorHAnsi" w:hAnsiTheme="minorHAnsi" w:cstheme="minorBidi"/>
          <w:snapToGrid/>
          <w:sz w:val="24"/>
          <w:szCs w:val="22"/>
        </w:rPr>
        <w:t xml:space="preserve">due to major reservations regarding the naïve comparison with </w:t>
      </w:r>
      <w:proofErr w:type="spellStart"/>
      <w:r w:rsidR="00B82C52" w:rsidRPr="00B82C52">
        <w:rPr>
          <w:rFonts w:asciiTheme="minorHAnsi" w:eastAsiaTheme="minorHAnsi" w:hAnsiTheme="minorHAnsi" w:cstheme="minorBidi"/>
          <w:snapToGrid/>
          <w:sz w:val="24"/>
          <w:szCs w:val="22"/>
        </w:rPr>
        <w:t>vorinostat</w:t>
      </w:r>
      <w:proofErr w:type="spellEnd"/>
      <w:r w:rsidR="00B82C52" w:rsidRPr="00B82C52">
        <w:rPr>
          <w:rFonts w:asciiTheme="minorHAnsi" w:eastAsiaTheme="minorHAnsi" w:hAnsiTheme="minorHAnsi" w:cstheme="minorBidi"/>
          <w:snapToGrid/>
          <w:sz w:val="24"/>
          <w:szCs w:val="22"/>
        </w:rPr>
        <w:t xml:space="preserve">, which meant that cost-effectiveness against </w:t>
      </w:r>
      <w:proofErr w:type="spellStart"/>
      <w:r w:rsidR="00B82C52" w:rsidRPr="00B82C52">
        <w:rPr>
          <w:rFonts w:asciiTheme="minorHAnsi" w:eastAsiaTheme="minorHAnsi" w:hAnsiTheme="minorHAnsi" w:cstheme="minorBidi"/>
          <w:snapToGrid/>
          <w:sz w:val="24"/>
          <w:szCs w:val="22"/>
        </w:rPr>
        <w:t>vorinostat</w:t>
      </w:r>
      <w:proofErr w:type="spellEnd"/>
      <w:r w:rsidR="00B82C52" w:rsidRPr="00B82C52">
        <w:rPr>
          <w:rFonts w:asciiTheme="minorHAnsi" w:eastAsiaTheme="minorHAnsi" w:hAnsiTheme="minorHAnsi" w:cstheme="minorBidi"/>
          <w:snapToGrid/>
          <w:sz w:val="24"/>
          <w:szCs w:val="22"/>
        </w:rPr>
        <w:t xml:space="preserve"> was unable to be assessed. The PBAC also considered that </w:t>
      </w:r>
      <w:proofErr w:type="spellStart"/>
      <w:r w:rsidR="00B82C52" w:rsidRPr="00B82C52">
        <w:rPr>
          <w:rFonts w:asciiTheme="minorHAnsi" w:eastAsiaTheme="minorHAnsi" w:hAnsiTheme="minorHAnsi" w:cstheme="minorBidi"/>
          <w:snapToGrid/>
          <w:sz w:val="24"/>
          <w:szCs w:val="22"/>
        </w:rPr>
        <w:t>brentuximab</w:t>
      </w:r>
      <w:proofErr w:type="spellEnd"/>
      <w:r w:rsidR="00B82C52" w:rsidRPr="00B82C52">
        <w:rPr>
          <w:rFonts w:asciiTheme="minorHAnsi" w:eastAsiaTheme="minorHAnsi" w:hAnsiTheme="minorHAnsi" w:cstheme="minorBidi"/>
          <w:snapToGrid/>
          <w:sz w:val="24"/>
          <w:szCs w:val="22"/>
        </w:rPr>
        <w:t xml:space="preserve"> </w:t>
      </w:r>
      <w:proofErr w:type="spellStart"/>
      <w:r w:rsidR="00B82C52" w:rsidRPr="00B82C52">
        <w:rPr>
          <w:rFonts w:asciiTheme="minorHAnsi" w:eastAsiaTheme="minorHAnsi" w:hAnsiTheme="minorHAnsi" w:cstheme="minorBidi"/>
          <w:snapToGrid/>
          <w:sz w:val="24"/>
          <w:szCs w:val="22"/>
        </w:rPr>
        <w:t>vedotin</w:t>
      </w:r>
      <w:proofErr w:type="spellEnd"/>
      <w:r w:rsidR="00B82C52" w:rsidRPr="00B82C52">
        <w:rPr>
          <w:rFonts w:asciiTheme="minorHAnsi" w:eastAsiaTheme="minorHAnsi" w:hAnsiTheme="minorHAnsi" w:cstheme="minorBidi"/>
          <w:snapToGrid/>
          <w:sz w:val="24"/>
          <w:szCs w:val="22"/>
        </w:rPr>
        <w:t xml:space="preserve"> was not cost-effective compared with methotrexate at the proposed price</w:t>
      </w:r>
      <w:r w:rsidR="00B82C52">
        <w:rPr>
          <w:rFonts w:asciiTheme="minorHAnsi" w:eastAsiaTheme="minorHAnsi" w:hAnsiTheme="minorHAnsi" w:cstheme="minorBidi"/>
          <w:snapToGrid/>
          <w:sz w:val="24"/>
          <w:szCs w:val="22"/>
        </w:rPr>
        <w:t xml:space="preserve"> (Paragraph 7.1, </w:t>
      </w:r>
      <w:proofErr w:type="spellStart"/>
      <w:r w:rsidR="00B82C52">
        <w:rPr>
          <w:rFonts w:asciiTheme="minorHAnsi" w:eastAsiaTheme="minorHAnsi" w:hAnsiTheme="minorHAnsi" w:cstheme="minorBidi"/>
          <w:snapToGrid/>
          <w:sz w:val="24"/>
          <w:szCs w:val="22"/>
        </w:rPr>
        <w:t>brentuximab</w:t>
      </w:r>
      <w:proofErr w:type="spellEnd"/>
      <w:r w:rsidR="00B82C52">
        <w:rPr>
          <w:rFonts w:asciiTheme="minorHAnsi" w:eastAsiaTheme="minorHAnsi" w:hAnsiTheme="minorHAnsi" w:cstheme="minorBidi"/>
          <w:snapToGrid/>
          <w:sz w:val="24"/>
          <w:szCs w:val="22"/>
        </w:rPr>
        <w:t xml:space="preserve"> </w:t>
      </w:r>
      <w:proofErr w:type="spellStart"/>
      <w:r w:rsidR="00B82C52">
        <w:rPr>
          <w:rFonts w:asciiTheme="minorHAnsi" w:eastAsiaTheme="minorHAnsi" w:hAnsiTheme="minorHAnsi" w:cstheme="minorBidi"/>
          <w:snapToGrid/>
          <w:sz w:val="24"/>
          <w:szCs w:val="22"/>
        </w:rPr>
        <w:t>vedotin</w:t>
      </w:r>
      <w:proofErr w:type="spellEnd"/>
      <w:r w:rsidR="00C25977">
        <w:rPr>
          <w:rFonts w:asciiTheme="minorHAnsi" w:eastAsiaTheme="minorHAnsi" w:hAnsiTheme="minorHAnsi" w:cstheme="minorBidi"/>
          <w:snapToGrid/>
          <w:sz w:val="24"/>
          <w:szCs w:val="22"/>
        </w:rPr>
        <w:t xml:space="preserve"> Public Summary Document (PSD),</w:t>
      </w:r>
      <w:r w:rsidR="00B82C52">
        <w:rPr>
          <w:rFonts w:asciiTheme="minorHAnsi" w:eastAsiaTheme="minorHAnsi" w:hAnsiTheme="minorHAnsi" w:cstheme="minorBidi"/>
          <w:snapToGrid/>
          <w:sz w:val="24"/>
          <w:szCs w:val="22"/>
        </w:rPr>
        <w:t xml:space="preserve"> July 2018</w:t>
      </w:r>
      <w:r w:rsidR="00C25977">
        <w:rPr>
          <w:rFonts w:asciiTheme="minorHAnsi" w:eastAsiaTheme="minorHAnsi" w:hAnsiTheme="minorHAnsi" w:cstheme="minorBidi"/>
          <w:snapToGrid/>
          <w:sz w:val="24"/>
          <w:szCs w:val="22"/>
        </w:rPr>
        <w:t xml:space="preserve"> PBAC</w:t>
      </w:r>
      <w:r w:rsidR="00B82C52">
        <w:rPr>
          <w:rFonts w:asciiTheme="minorHAnsi" w:eastAsiaTheme="minorHAnsi" w:hAnsiTheme="minorHAnsi" w:cstheme="minorBidi"/>
          <w:snapToGrid/>
          <w:sz w:val="24"/>
          <w:szCs w:val="22"/>
        </w:rPr>
        <w:t>)</w:t>
      </w:r>
      <w:r w:rsidR="00B82C52" w:rsidRPr="00B82C52">
        <w:rPr>
          <w:rFonts w:asciiTheme="minorHAnsi" w:eastAsiaTheme="minorHAnsi" w:hAnsiTheme="minorHAnsi" w:cstheme="minorBidi"/>
          <w:snapToGrid/>
          <w:sz w:val="24"/>
          <w:szCs w:val="22"/>
        </w:rPr>
        <w:t>.</w:t>
      </w:r>
      <w:r w:rsidR="00B82C52">
        <w:rPr>
          <w:rFonts w:asciiTheme="minorHAnsi" w:eastAsiaTheme="minorHAnsi" w:hAnsiTheme="minorHAnsi" w:cstheme="minorBidi"/>
          <w:snapToGrid/>
          <w:sz w:val="24"/>
          <w:szCs w:val="22"/>
        </w:rPr>
        <w:t xml:space="preserve"> The minor resubmission provided a revised price for </w:t>
      </w:r>
      <w:proofErr w:type="spellStart"/>
      <w:r w:rsidR="00B82C52">
        <w:rPr>
          <w:rFonts w:asciiTheme="minorHAnsi" w:eastAsiaTheme="minorHAnsi" w:hAnsiTheme="minorHAnsi" w:cstheme="minorBidi"/>
          <w:snapToGrid/>
          <w:sz w:val="24"/>
          <w:szCs w:val="22"/>
        </w:rPr>
        <w:t>brentuximab</w:t>
      </w:r>
      <w:proofErr w:type="spellEnd"/>
      <w:r w:rsidR="00B82C52">
        <w:rPr>
          <w:rFonts w:asciiTheme="minorHAnsi" w:eastAsiaTheme="minorHAnsi" w:hAnsiTheme="minorHAnsi" w:cstheme="minorBidi"/>
          <w:snapToGrid/>
          <w:sz w:val="24"/>
          <w:szCs w:val="22"/>
        </w:rPr>
        <w:t xml:space="preserve"> </w:t>
      </w:r>
      <w:proofErr w:type="spellStart"/>
      <w:r w:rsidR="00B82C52">
        <w:rPr>
          <w:rFonts w:asciiTheme="minorHAnsi" w:eastAsiaTheme="minorHAnsi" w:hAnsiTheme="minorHAnsi" w:cstheme="minorBidi"/>
          <w:snapToGrid/>
          <w:sz w:val="24"/>
          <w:szCs w:val="22"/>
        </w:rPr>
        <w:t>vedotin</w:t>
      </w:r>
      <w:proofErr w:type="spellEnd"/>
      <w:r w:rsidR="00B82C52">
        <w:rPr>
          <w:rFonts w:asciiTheme="minorHAnsi" w:eastAsiaTheme="minorHAnsi" w:hAnsiTheme="minorHAnsi" w:cstheme="minorBidi"/>
          <w:snapToGrid/>
          <w:sz w:val="24"/>
          <w:szCs w:val="22"/>
        </w:rPr>
        <w:t xml:space="preserve"> along with a revised proposal for the PBS restriction and additional information to</w:t>
      </w:r>
      <w:r w:rsidR="0096748D">
        <w:rPr>
          <w:rFonts w:asciiTheme="minorHAnsi" w:eastAsiaTheme="minorHAnsi" w:hAnsiTheme="minorHAnsi" w:cstheme="minorBidi"/>
          <w:snapToGrid/>
          <w:sz w:val="24"/>
          <w:szCs w:val="22"/>
        </w:rPr>
        <w:t xml:space="preserve"> support the listing including </w:t>
      </w:r>
      <w:proofErr w:type="spellStart"/>
      <w:r w:rsidR="0096748D">
        <w:rPr>
          <w:rFonts w:asciiTheme="minorHAnsi" w:eastAsiaTheme="minorHAnsi" w:hAnsiTheme="minorHAnsi" w:cstheme="minorBidi"/>
          <w:snapToGrid/>
          <w:sz w:val="24"/>
          <w:szCs w:val="22"/>
        </w:rPr>
        <w:t>l</w:t>
      </w:r>
      <w:r w:rsidR="00B82C52">
        <w:rPr>
          <w:rFonts w:asciiTheme="minorHAnsi" w:eastAsiaTheme="minorHAnsi" w:hAnsiTheme="minorHAnsi" w:cstheme="minorBidi"/>
          <w:snapToGrid/>
          <w:sz w:val="24"/>
          <w:szCs w:val="22"/>
        </w:rPr>
        <w:t>ymphomatoid</w:t>
      </w:r>
      <w:proofErr w:type="spellEnd"/>
      <w:r w:rsidR="00B82C52">
        <w:rPr>
          <w:rFonts w:asciiTheme="minorHAnsi" w:eastAsiaTheme="minorHAnsi" w:hAnsiTheme="minorHAnsi" w:cstheme="minorBidi"/>
          <w:snapToGrid/>
          <w:sz w:val="24"/>
          <w:szCs w:val="22"/>
        </w:rPr>
        <w:t xml:space="preserve"> papulosis (</w:t>
      </w:r>
      <w:proofErr w:type="spellStart"/>
      <w:r w:rsidR="00B82C52">
        <w:rPr>
          <w:rFonts w:asciiTheme="minorHAnsi" w:eastAsiaTheme="minorHAnsi" w:hAnsiTheme="minorHAnsi" w:cstheme="minorBidi"/>
          <w:snapToGrid/>
          <w:sz w:val="24"/>
          <w:szCs w:val="22"/>
        </w:rPr>
        <w:t>LyP</w:t>
      </w:r>
      <w:proofErr w:type="spellEnd"/>
      <w:r w:rsidR="00B82C52">
        <w:rPr>
          <w:rFonts w:asciiTheme="minorHAnsi" w:eastAsiaTheme="minorHAnsi" w:hAnsiTheme="minorHAnsi" w:cstheme="minorBidi"/>
          <w:snapToGrid/>
          <w:sz w:val="24"/>
          <w:szCs w:val="22"/>
        </w:rPr>
        <w:t xml:space="preserve">) and </w:t>
      </w:r>
      <w:proofErr w:type="spellStart"/>
      <w:r w:rsidR="00036EE5">
        <w:rPr>
          <w:rFonts w:asciiTheme="minorHAnsi" w:eastAsiaTheme="minorHAnsi" w:hAnsiTheme="minorHAnsi" w:cstheme="minorBidi"/>
          <w:snapToGrid/>
          <w:sz w:val="24"/>
          <w:szCs w:val="22"/>
        </w:rPr>
        <w:t>S</w:t>
      </w:r>
      <w:r w:rsidR="00540E21" w:rsidRPr="00540E21">
        <w:rPr>
          <w:rFonts w:asciiTheme="minorHAnsi" w:eastAsiaTheme="minorHAnsi" w:hAnsiTheme="minorHAnsi" w:cstheme="minorBidi"/>
          <w:snapToGrid/>
          <w:sz w:val="24"/>
          <w:szCs w:val="22"/>
        </w:rPr>
        <w:t>ézary</w:t>
      </w:r>
      <w:proofErr w:type="spellEnd"/>
      <w:r w:rsidR="00540E21" w:rsidRPr="00540E21">
        <w:rPr>
          <w:rFonts w:asciiTheme="minorHAnsi" w:eastAsiaTheme="minorHAnsi" w:hAnsiTheme="minorHAnsi" w:cstheme="minorBidi"/>
          <w:snapToGrid/>
          <w:sz w:val="24"/>
          <w:szCs w:val="22"/>
        </w:rPr>
        <w:t xml:space="preserve"> syndrome</w:t>
      </w:r>
      <w:r w:rsidR="00540E21">
        <w:rPr>
          <w:rFonts w:asciiTheme="minorHAnsi" w:eastAsiaTheme="minorHAnsi" w:hAnsiTheme="minorHAnsi" w:cstheme="minorBidi"/>
          <w:snapToGrid/>
          <w:sz w:val="24"/>
          <w:szCs w:val="22"/>
        </w:rPr>
        <w:t xml:space="preserve"> (SS).</w:t>
      </w:r>
    </w:p>
    <w:p w:rsidR="006A12A5" w:rsidRPr="00577C4D" w:rsidRDefault="006A12A5" w:rsidP="00057624">
      <w:pPr>
        <w:pStyle w:val="Heading1"/>
        <w:ind w:left="709" w:hanging="709"/>
      </w:pPr>
      <w:r w:rsidRPr="002B5596">
        <w:t>Requested listing</w:t>
      </w:r>
    </w:p>
    <w:p w:rsidR="00826F6D"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w:t>
      </w:r>
      <w:r w:rsidR="003325E8">
        <w:rPr>
          <w:rFonts w:asciiTheme="minorHAnsi" w:eastAsiaTheme="minorHAnsi" w:hAnsiTheme="minorHAnsi" w:cstheme="minorBidi"/>
          <w:snapToGrid/>
          <w:sz w:val="24"/>
          <w:szCs w:val="22"/>
        </w:rPr>
        <w:t xml:space="preserve">minor </w:t>
      </w:r>
      <w:r w:rsidR="00540E21">
        <w:rPr>
          <w:rFonts w:asciiTheme="minorHAnsi" w:eastAsiaTheme="minorHAnsi" w:hAnsiTheme="minorHAnsi" w:cstheme="minorBidi"/>
          <w:snapToGrid/>
          <w:sz w:val="24"/>
          <w:szCs w:val="22"/>
        </w:rPr>
        <w:t>re</w:t>
      </w:r>
      <w:r w:rsidRPr="001B2BBC">
        <w:rPr>
          <w:rFonts w:asciiTheme="minorHAnsi" w:eastAsiaTheme="minorHAnsi" w:hAnsiTheme="minorHAnsi" w:cstheme="minorBidi"/>
          <w:snapToGrid/>
          <w:sz w:val="24"/>
          <w:szCs w:val="22"/>
        </w:rPr>
        <w:t xml:space="preserve">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the following </w:t>
      </w:r>
      <w:r w:rsidR="0076420C" w:rsidRPr="001B2BBC">
        <w:rPr>
          <w:rFonts w:asciiTheme="minorHAnsi" w:eastAsiaTheme="minorHAnsi" w:hAnsiTheme="minorHAnsi" w:cstheme="minorBidi"/>
          <w:snapToGrid/>
          <w:sz w:val="24"/>
          <w:szCs w:val="22"/>
        </w:rPr>
        <w:t xml:space="preserve">new </w:t>
      </w:r>
      <w:r w:rsidRPr="001B2BBC">
        <w:rPr>
          <w:rFonts w:asciiTheme="minorHAnsi" w:eastAsiaTheme="minorHAnsi" w:hAnsiTheme="minorHAnsi" w:cstheme="minorBidi"/>
          <w:snapToGrid/>
          <w:sz w:val="24"/>
          <w:szCs w:val="22"/>
        </w:rPr>
        <w:t>listing</w:t>
      </w:r>
      <w:r w:rsidR="00540E21">
        <w:rPr>
          <w:rFonts w:asciiTheme="minorHAnsi" w:eastAsiaTheme="minorHAnsi" w:hAnsiTheme="minorHAnsi" w:cstheme="minorBidi"/>
          <w:snapToGrid/>
          <w:sz w:val="24"/>
          <w:szCs w:val="22"/>
        </w:rPr>
        <w:t xml:space="preserve"> for the treatment of patients with CD30 positive CTCL</w:t>
      </w:r>
      <w:r w:rsidR="007658DF">
        <w:rPr>
          <w:rFonts w:asciiTheme="minorHAnsi" w:eastAsiaTheme="minorHAnsi" w:hAnsiTheme="minorHAnsi" w:cstheme="minorBidi"/>
          <w:snapToGrid/>
          <w:sz w:val="24"/>
          <w:szCs w:val="22"/>
        </w:rPr>
        <w:t xml:space="preserve">. Separate listings </w:t>
      </w:r>
      <w:proofErr w:type="gramStart"/>
      <w:r w:rsidR="007658DF">
        <w:rPr>
          <w:rFonts w:asciiTheme="minorHAnsi" w:eastAsiaTheme="minorHAnsi" w:hAnsiTheme="minorHAnsi" w:cstheme="minorBidi"/>
          <w:snapToGrid/>
          <w:sz w:val="24"/>
          <w:szCs w:val="22"/>
        </w:rPr>
        <w:t>were proposed</w:t>
      </w:r>
      <w:proofErr w:type="gramEnd"/>
      <w:r w:rsidR="007658DF">
        <w:rPr>
          <w:rFonts w:asciiTheme="minorHAnsi" w:eastAsiaTheme="minorHAnsi" w:hAnsiTheme="minorHAnsi" w:cstheme="minorBidi"/>
          <w:snapToGrid/>
          <w:sz w:val="24"/>
          <w:szCs w:val="22"/>
        </w:rPr>
        <w:t xml:space="preserve"> for in</w:t>
      </w:r>
      <w:r w:rsidR="00D47CAA">
        <w:rPr>
          <w:rFonts w:asciiTheme="minorHAnsi" w:eastAsiaTheme="minorHAnsi" w:hAnsiTheme="minorHAnsi" w:cstheme="minorBidi"/>
          <w:snapToGrid/>
          <w:sz w:val="24"/>
          <w:szCs w:val="22"/>
        </w:rPr>
        <w:t>itial and continuing treatment.</w:t>
      </w:r>
    </w:p>
    <w:p w:rsidR="0067747D" w:rsidRPr="00103323" w:rsidRDefault="0067747D" w:rsidP="0067747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03323">
        <w:rPr>
          <w:rFonts w:asciiTheme="minorHAnsi" w:eastAsiaTheme="minorHAnsi" w:hAnsiTheme="minorHAnsi" w:cstheme="minorBidi"/>
          <w:snapToGrid/>
          <w:sz w:val="24"/>
          <w:szCs w:val="22"/>
        </w:rPr>
        <w:t xml:space="preserve">Suggestions and additions proposed by the Secretariat to the requested listing </w:t>
      </w:r>
      <w:proofErr w:type="gramStart"/>
      <w:r w:rsidRPr="00103323">
        <w:rPr>
          <w:rFonts w:asciiTheme="minorHAnsi" w:eastAsiaTheme="minorHAnsi" w:hAnsiTheme="minorHAnsi" w:cstheme="minorBidi"/>
          <w:snapToGrid/>
          <w:sz w:val="24"/>
          <w:szCs w:val="22"/>
        </w:rPr>
        <w:t>are added</w:t>
      </w:r>
      <w:proofErr w:type="gramEnd"/>
      <w:r w:rsidRPr="00103323">
        <w:rPr>
          <w:rFonts w:asciiTheme="minorHAnsi" w:eastAsiaTheme="minorHAnsi" w:hAnsiTheme="minorHAnsi" w:cstheme="minorBidi"/>
          <w:snapToGrid/>
          <w:sz w:val="24"/>
          <w:szCs w:val="22"/>
        </w:rPr>
        <w:t xml:space="preserve"> in italics and suggested deletions are crossed out with strikethrough.</w:t>
      </w:r>
    </w:p>
    <w:p w:rsidR="007658DF" w:rsidRPr="007658DF" w:rsidRDefault="007658DF" w:rsidP="007658DF">
      <w:pPr>
        <w:spacing w:after="120"/>
        <w:rPr>
          <w:rFonts w:asciiTheme="minorHAnsi" w:eastAsiaTheme="minorHAnsi" w:hAnsiTheme="minorHAnsi" w:cstheme="minorBidi"/>
          <w:i/>
          <w:szCs w:val="22"/>
        </w:rPr>
      </w:pPr>
    </w:p>
    <w:tbl>
      <w:tblPr>
        <w:tblW w:w="5000" w:type="pct"/>
        <w:tblLook w:val="0000" w:firstRow="0" w:lastRow="0" w:firstColumn="0" w:lastColumn="0" w:noHBand="0" w:noVBand="0"/>
      </w:tblPr>
      <w:tblGrid>
        <w:gridCol w:w="2916"/>
        <w:gridCol w:w="834"/>
        <w:gridCol w:w="693"/>
        <w:gridCol w:w="1805"/>
        <w:gridCol w:w="1527"/>
        <w:gridCol w:w="1251"/>
      </w:tblGrid>
      <w:tr w:rsidR="007658DF" w:rsidRPr="006B4436" w:rsidTr="006B4436">
        <w:trPr>
          <w:trHeight w:val="471"/>
        </w:trPr>
        <w:tc>
          <w:tcPr>
            <w:tcW w:w="1615" w:type="pct"/>
            <w:tcBorders>
              <w:bottom w:val="single" w:sz="4" w:space="0" w:color="auto"/>
            </w:tcBorders>
          </w:tcPr>
          <w:p w:rsidR="007658DF" w:rsidRPr="00C31241" w:rsidRDefault="007658DF" w:rsidP="007658DF">
            <w:pPr>
              <w:keepLines/>
              <w:widowControl w:val="0"/>
              <w:ind w:left="-108"/>
              <w:jc w:val="both"/>
              <w:rPr>
                <w:rFonts w:ascii="Arial Narrow" w:hAnsi="Arial Narrow" w:cs="Arial"/>
                <w:b/>
                <w:snapToGrid w:val="0"/>
                <w:sz w:val="20"/>
                <w:szCs w:val="20"/>
                <w:lang w:eastAsia="en-US"/>
              </w:rPr>
            </w:pPr>
            <w:r w:rsidRPr="00C31241">
              <w:rPr>
                <w:rFonts w:ascii="Arial Narrow" w:hAnsi="Arial Narrow" w:cs="Arial"/>
                <w:b/>
                <w:snapToGrid w:val="0"/>
                <w:sz w:val="20"/>
                <w:szCs w:val="20"/>
                <w:lang w:eastAsia="en-US"/>
              </w:rPr>
              <w:t>Name, Restriction,</w:t>
            </w:r>
          </w:p>
          <w:p w:rsidR="007658DF" w:rsidRPr="00C31241" w:rsidRDefault="007658DF" w:rsidP="007658DF">
            <w:pPr>
              <w:keepLines/>
              <w:widowControl w:val="0"/>
              <w:ind w:left="-108"/>
              <w:jc w:val="both"/>
              <w:rPr>
                <w:rFonts w:ascii="Arial Narrow" w:hAnsi="Arial Narrow" w:cs="Arial"/>
                <w:b/>
                <w:snapToGrid w:val="0"/>
                <w:sz w:val="20"/>
                <w:szCs w:val="20"/>
                <w:lang w:eastAsia="en-US"/>
              </w:rPr>
            </w:pPr>
            <w:r w:rsidRPr="00C31241">
              <w:rPr>
                <w:rFonts w:ascii="Arial Narrow" w:hAnsi="Arial Narrow" w:cs="Arial"/>
                <w:b/>
                <w:snapToGrid w:val="0"/>
                <w:sz w:val="20"/>
                <w:szCs w:val="20"/>
                <w:lang w:eastAsia="en-US"/>
              </w:rPr>
              <w:t>Manner of administration and form</w:t>
            </w:r>
          </w:p>
        </w:tc>
        <w:tc>
          <w:tcPr>
            <w:tcW w:w="462" w:type="pct"/>
            <w:tcBorders>
              <w:bottom w:val="single" w:sz="4" w:space="0" w:color="auto"/>
            </w:tcBorders>
          </w:tcPr>
          <w:p w:rsidR="007658DF" w:rsidRPr="00C31241" w:rsidRDefault="007658DF" w:rsidP="007658DF">
            <w:pPr>
              <w:widowControl w:val="0"/>
              <w:ind w:left="-108"/>
              <w:jc w:val="both"/>
              <w:rPr>
                <w:rFonts w:ascii="Arial Narrow" w:hAnsi="Arial Narrow" w:cs="Arial"/>
                <w:b/>
                <w:snapToGrid w:val="0"/>
                <w:sz w:val="20"/>
                <w:szCs w:val="20"/>
                <w:lang w:eastAsia="en-US"/>
              </w:rPr>
            </w:pPr>
            <w:r w:rsidRPr="00C31241">
              <w:rPr>
                <w:rFonts w:ascii="Arial Narrow" w:hAnsi="Arial Narrow" w:cs="Arial"/>
                <w:b/>
                <w:snapToGrid w:val="0"/>
                <w:sz w:val="20"/>
                <w:szCs w:val="20"/>
                <w:lang w:eastAsia="en-US"/>
              </w:rPr>
              <w:t>Max.</w:t>
            </w:r>
          </w:p>
          <w:p w:rsidR="007658DF" w:rsidRPr="00C31241" w:rsidRDefault="007658DF" w:rsidP="007658DF">
            <w:pPr>
              <w:widowControl w:val="0"/>
              <w:ind w:left="-108"/>
              <w:jc w:val="both"/>
              <w:rPr>
                <w:rFonts w:ascii="Arial Narrow" w:hAnsi="Arial Narrow" w:cs="Arial"/>
                <w:b/>
                <w:snapToGrid w:val="0"/>
                <w:sz w:val="20"/>
                <w:szCs w:val="20"/>
                <w:lang w:eastAsia="en-US"/>
              </w:rPr>
            </w:pPr>
            <w:proofErr w:type="spellStart"/>
            <w:r w:rsidRPr="00C31241">
              <w:rPr>
                <w:rFonts w:ascii="Arial Narrow" w:hAnsi="Arial Narrow" w:cs="Arial"/>
                <w:b/>
                <w:snapToGrid w:val="0"/>
                <w:sz w:val="20"/>
                <w:szCs w:val="20"/>
                <w:lang w:eastAsia="en-US"/>
              </w:rPr>
              <w:t>Qty</w:t>
            </w:r>
            <w:proofErr w:type="spellEnd"/>
          </w:p>
        </w:tc>
        <w:tc>
          <w:tcPr>
            <w:tcW w:w="384" w:type="pct"/>
            <w:tcBorders>
              <w:bottom w:val="single" w:sz="4" w:space="0" w:color="auto"/>
            </w:tcBorders>
          </w:tcPr>
          <w:p w:rsidR="007658DF" w:rsidRPr="00C31241" w:rsidRDefault="007658DF" w:rsidP="007658DF">
            <w:pPr>
              <w:widowControl w:val="0"/>
              <w:ind w:left="-108"/>
              <w:jc w:val="both"/>
              <w:rPr>
                <w:rFonts w:ascii="Arial Narrow" w:hAnsi="Arial Narrow" w:cs="Arial"/>
                <w:b/>
                <w:snapToGrid w:val="0"/>
                <w:sz w:val="20"/>
                <w:szCs w:val="20"/>
                <w:lang w:eastAsia="en-US"/>
              </w:rPr>
            </w:pPr>
            <w:r w:rsidRPr="00C31241">
              <w:rPr>
                <w:rFonts w:ascii="Arial Narrow" w:hAnsi="Arial Narrow" w:cs="Arial"/>
                <w:b/>
                <w:snapToGrid w:val="0"/>
                <w:sz w:val="20"/>
                <w:szCs w:val="20"/>
                <w:lang w:eastAsia="en-US"/>
              </w:rPr>
              <w:t>№.of</w:t>
            </w:r>
          </w:p>
          <w:p w:rsidR="007658DF" w:rsidRPr="00C31241" w:rsidRDefault="007658DF" w:rsidP="007658DF">
            <w:pPr>
              <w:widowControl w:val="0"/>
              <w:ind w:left="-108"/>
              <w:jc w:val="both"/>
              <w:rPr>
                <w:rFonts w:ascii="Arial Narrow" w:hAnsi="Arial Narrow" w:cs="Arial"/>
                <w:b/>
                <w:snapToGrid w:val="0"/>
                <w:sz w:val="20"/>
                <w:szCs w:val="20"/>
                <w:lang w:eastAsia="en-US"/>
              </w:rPr>
            </w:pPr>
            <w:proofErr w:type="spellStart"/>
            <w:r w:rsidRPr="00C31241">
              <w:rPr>
                <w:rFonts w:ascii="Arial Narrow" w:hAnsi="Arial Narrow" w:cs="Arial"/>
                <w:b/>
                <w:snapToGrid w:val="0"/>
                <w:sz w:val="20"/>
                <w:szCs w:val="20"/>
                <w:lang w:eastAsia="en-US"/>
              </w:rPr>
              <w:t>Rpts</w:t>
            </w:r>
            <w:proofErr w:type="spellEnd"/>
          </w:p>
        </w:tc>
        <w:tc>
          <w:tcPr>
            <w:tcW w:w="1000" w:type="pct"/>
            <w:tcBorders>
              <w:bottom w:val="single" w:sz="4" w:space="0" w:color="auto"/>
            </w:tcBorders>
          </w:tcPr>
          <w:p w:rsidR="007658DF" w:rsidRPr="00C31241" w:rsidRDefault="007658DF" w:rsidP="007658DF">
            <w:pPr>
              <w:widowControl w:val="0"/>
              <w:ind w:left="-108"/>
              <w:jc w:val="both"/>
              <w:rPr>
                <w:rFonts w:ascii="Arial Narrow" w:hAnsi="Arial Narrow" w:cs="Arial"/>
                <w:b/>
                <w:snapToGrid w:val="0"/>
                <w:sz w:val="20"/>
                <w:szCs w:val="20"/>
                <w:lang w:eastAsia="en-US"/>
              </w:rPr>
            </w:pPr>
            <w:r w:rsidRPr="00C31241">
              <w:rPr>
                <w:rFonts w:ascii="Arial Narrow" w:hAnsi="Arial Narrow" w:cs="Arial"/>
                <w:b/>
                <w:snapToGrid w:val="0"/>
                <w:sz w:val="20"/>
                <w:szCs w:val="20"/>
                <w:lang w:eastAsia="en-US"/>
              </w:rPr>
              <w:t xml:space="preserve">Dispensed Price for Max. </w:t>
            </w:r>
            <w:proofErr w:type="spellStart"/>
            <w:r w:rsidRPr="00C31241">
              <w:rPr>
                <w:rFonts w:ascii="Arial Narrow" w:hAnsi="Arial Narrow" w:cs="Arial"/>
                <w:b/>
                <w:snapToGrid w:val="0"/>
                <w:sz w:val="20"/>
                <w:szCs w:val="20"/>
                <w:lang w:eastAsia="en-US"/>
              </w:rPr>
              <w:t>Qty</w:t>
            </w:r>
            <w:proofErr w:type="spellEnd"/>
            <w:r w:rsidR="00F22B60" w:rsidRPr="00C31241">
              <w:rPr>
                <w:rStyle w:val="FootnoteReference"/>
                <w:rFonts w:ascii="Arial Narrow" w:hAnsi="Arial Narrow" w:cs="Arial"/>
                <w:b/>
                <w:snapToGrid w:val="0"/>
                <w:sz w:val="20"/>
                <w:szCs w:val="20"/>
                <w:lang w:eastAsia="en-US"/>
              </w:rPr>
              <w:footnoteReference w:id="1"/>
            </w:r>
          </w:p>
        </w:tc>
        <w:tc>
          <w:tcPr>
            <w:tcW w:w="1539" w:type="pct"/>
            <w:gridSpan w:val="2"/>
            <w:tcBorders>
              <w:bottom w:val="single" w:sz="4" w:space="0" w:color="auto"/>
            </w:tcBorders>
          </w:tcPr>
          <w:p w:rsidR="007658DF" w:rsidRPr="00C31241" w:rsidRDefault="007658DF" w:rsidP="007658DF">
            <w:pPr>
              <w:widowControl w:val="0"/>
              <w:jc w:val="both"/>
              <w:rPr>
                <w:rFonts w:ascii="Arial Narrow" w:hAnsi="Arial Narrow" w:cs="Arial"/>
                <w:b/>
                <w:snapToGrid w:val="0"/>
                <w:sz w:val="20"/>
                <w:szCs w:val="20"/>
                <w:lang w:val="fr-FR" w:eastAsia="en-US"/>
              </w:rPr>
            </w:pPr>
            <w:r w:rsidRPr="00C31241">
              <w:rPr>
                <w:rFonts w:ascii="Arial Narrow" w:hAnsi="Arial Narrow" w:cs="Arial"/>
                <w:b/>
                <w:snapToGrid w:val="0"/>
                <w:sz w:val="20"/>
                <w:szCs w:val="20"/>
                <w:lang w:eastAsia="en-US"/>
              </w:rPr>
              <w:t>Proprietary Name and Manufacturer</w:t>
            </w:r>
          </w:p>
        </w:tc>
      </w:tr>
      <w:tr w:rsidR="007658DF" w:rsidRPr="006B4436" w:rsidTr="006B4436">
        <w:trPr>
          <w:trHeight w:val="577"/>
        </w:trPr>
        <w:tc>
          <w:tcPr>
            <w:tcW w:w="1615" w:type="pct"/>
          </w:tcPr>
          <w:p w:rsidR="007658DF" w:rsidRPr="006B4436" w:rsidRDefault="007658DF" w:rsidP="007658DF">
            <w:pPr>
              <w:keepLines/>
              <w:widowControl w:val="0"/>
              <w:ind w:left="-108"/>
              <w:jc w:val="both"/>
              <w:rPr>
                <w:rFonts w:ascii="Arial Narrow" w:hAnsi="Arial Narrow" w:cs="Arial"/>
                <w:snapToGrid w:val="0"/>
                <w:sz w:val="20"/>
                <w:szCs w:val="20"/>
                <w:lang w:eastAsia="en-US"/>
              </w:rPr>
            </w:pPr>
            <w:proofErr w:type="spellStart"/>
            <w:r w:rsidRPr="006B4436">
              <w:rPr>
                <w:rFonts w:ascii="Arial Narrow" w:hAnsi="Arial Narrow" w:cs="Calibri"/>
                <w:smallCaps/>
                <w:snapToGrid w:val="0"/>
                <w:sz w:val="20"/>
                <w:szCs w:val="20"/>
                <w:lang w:eastAsia="en-US"/>
              </w:rPr>
              <w:t>Brentuximab</w:t>
            </w:r>
            <w:proofErr w:type="spellEnd"/>
            <w:r w:rsidRPr="006B4436">
              <w:rPr>
                <w:rFonts w:ascii="Arial Narrow" w:hAnsi="Arial Narrow" w:cs="Calibri"/>
                <w:smallCaps/>
                <w:snapToGrid w:val="0"/>
                <w:sz w:val="20"/>
                <w:szCs w:val="20"/>
                <w:lang w:eastAsia="en-US"/>
              </w:rPr>
              <w:t xml:space="preserve"> </w:t>
            </w:r>
            <w:proofErr w:type="spellStart"/>
            <w:r w:rsidRPr="006B4436">
              <w:rPr>
                <w:rFonts w:ascii="Arial Narrow" w:hAnsi="Arial Narrow" w:cs="Calibri"/>
                <w:smallCaps/>
                <w:snapToGrid w:val="0"/>
                <w:sz w:val="20"/>
                <w:szCs w:val="20"/>
                <w:lang w:eastAsia="en-US"/>
              </w:rPr>
              <w:t>vedotin</w:t>
            </w:r>
            <w:proofErr w:type="spellEnd"/>
          </w:p>
          <w:p w:rsidR="007658DF" w:rsidRPr="006B4436" w:rsidRDefault="007658DF" w:rsidP="007658DF">
            <w:pPr>
              <w:keepLines/>
              <w:widowControl w:val="0"/>
              <w:ind w:left="-108"/>
              <w:jc w:val="both"/>
              <w:rPr>
                <w:rFonts w:ascii="Arial Narrow" w:hAnsi="Arial Narrow" w:cs="Arial"/>
                <w:snapToGrid w:val="0"/>
                <w:sz w:val="20"/>
                <w:szCs w:val="20"/>
                <w:lang w:eastAsia="en-US"/>
              </w:rPr>
            </w:pPr>
            <w:r w:rsidRPr="006B4436">
              <w:rPr>
                <w:rFonts w:ascii="Arial Narrow" w:hAnsi="Arial Narrow" w:cs="Calibri"/>
                <w:snapToGrid w:val="0"/>
                <w:sz w:val="20"/>
                <w:szCs w:val="20"/>
                <w:lang w:eastAsia="en-US"/>
              </w:rPr>
              <w:t>50 mg injection, 1 vial</w:t>
            </w:r>
          </w:p>
        </w:tc>
        <w:tc>
          <w:tcPr>
            <w:tcW w:w="462" w:type="pct"/>
          </w:tcPr>
          <w:p w:rsidR="007658DF" w:rsidRPr="006B4436" w:rsidRDefault="007658DF" w:rsidP="007658DF">
            <w:pPr>
              <w:keepLines/>
              <w:widowControl w:val="0"/>
              <w:ind w:left="-108"/>
              <w:jc w:val="both"/>
              <w:rPr>
                <w:rFonts w:ascii="Arial Narrow" w:hAnsi="Arial Narrow" w:cs="Arial"/>
                <w:snapToGrid w:val="0"/>
                <w:sz w:val="20"/>
                <w:szCs w:val="20"/>
                <w:lang w:eastAsia="en-US"/>
              </w:rPr>
            </w:pPr>
            <w:r w:rsidRPr="006B4436">
              <w:rPr>
                <w:rFonts w:ascii="Arial Narrow" w:hAnsi="Arial Narrow" w:cs="Arial"/>
                <w:snapToGrid w:val="0"/>
                <w:sz w:val="20"/>
                <w:szCs w:val="20"/>
                <w:lang w:eastAsia="en-US"/>
              </w:rPr>
              <w:t>200 mg</w:t>
            </w:r>
          </w:p>
        </w:tc>
        <w:tc>
          <w:tcPr>
            <w:tcW w:w="384" w:type="pct"/>
          </w:tcPr>
          <w:p w:rsidR="007658DF" w:rsidRPr="006B4436" w:rsidRDefault="007658DF" w:rsidP="007658DF">
            <w:pPr>
              <w:keepLines/>
              <w:widowControl w:val="0"/>
              <w:ind w:left="-108"/>
              <w:jc w:val="both"/>
              <w:rPr>
                <w:rFonts w:ascii="Arial Narrow" w:hAnsi="Arial Narrow" w:cs="Arial"/>
                <w:snapToGrid w:val="0"/>
                <w:sz w:val="20"/>
                <w:szCs w:val="20"/>
                <w:lang w:eastAsia="en-US"/>
              </w:rPr>
            </w:pPr>
            <w:r w:rsidRPr="006B4436">
              <w:rPr>
                <w:rFonts w:ascii="Arial Narrow" w:hAnsi="Arial Narrow" w:cs="Arial"/>
                <w:snapToGrid w:val="0"/>
                <w:sz w:val="20"/>
                <w:szCs w:val="20"/>
                <w:lang w:eastAsia="en-US"/>
              </w:rPr>
              <w:t>3</w:t>
            </w:r>
          </w:p>
        </w:tc>
        <w:tc>
          <w:tcPr>
            <w:tcW w:w="1000" w:type="pct"/>
          </w:tcPr>
          <w:p w:rsidR="007658DF" w:rsidRPr="006B4436" w:rsidRDefault="007658DF" w:rsidP="007658DF">
            <w:pPr>
              <w:keepLines/>
              <w:widowControl w:val="0"/>
              <w:ind w:left="-108"/>
              <w:jc w:val="both"/>
              <w:rPr>
                <w:rFonts w:ascii="Arial Narrow" w:hAnsi="Arial Narrow" w:cs="Arial"/>
                <w:snapToGrid w:val="0"/>
                <w:sz w:val="20"/>
                <w:szCs w:val="20"/>
                <w:u w:val="single"/>
                <w:lang w:eastAsia="en-US"/>
              </w:rPr>
            </w:pPr>
            <w:r w:rsidRPr="006B4436">
              <w:rPr>
                <w:rFonts w:ascii="Arial Narrow" w:hAnsi="Arial Narrow" w:cs="Arial"/>
                <w:snapToGrid w:val="0"/>
                <w:sz w:val="20"/>
                <w:szCs w:val="20"/>
                <w:u w:val="single"/>
                <w:lang w:eastAsia="en-US"/>
              </w:rPr>
              <w:t>Published</w:t>
            </w:r>
          </w:p>
          <w:p w:rsidR="007658DF" w:rsidRPr="006B4436" w:rsidRDefault="007658DF" w:rsidP="007658DF">
            <w:pPr>
              <w:keepLines/>
              <w:widowControl w:val="0"/>
              <w:ind w:left="-108"/>
              <w:jc w:val="both"/>
              <w:rPr>
                <w:rFonts w:ascii="Arial Narrow" w:hAnsi="Arial Narrow" w:cs="Arial"/>
                <w:snapToGrid w:val="0"/>
                <w:sz w:val="20"/>
                <w:szCs w:val="20"/>
                <w:lang w:eastAsia="en-US"/>
              </w:rPr>
            </w:pPr>
            <w:r w:rsidRPr="006B4436">
              <w:rPr>
                <w:rFonts w:ascii="Arial Narrow" w:hAnsi="Arial Narrow" w:cs="Arial"/>
                <w:snapToGrid w:val="0"/>
                <w:sz w:val="20"/>
                <w:szCs w:val="20"/>
                <w:lang w:eastAsia="en-US"/>
              </w:rPr>
              <w:t xml:space="preserve">Public: </w:t>
            </w:r>
            <w:r w:rsidR="00E778C7" w:rsidRPr="006B4436">
              <w:rPr>
                <w:rFonts w:ascii="Arial Narrow" w:hAnsi="Arial Narrow" w:cs="Arial"/>
                <w:snapToGrid w:val="0"/>
                <w:sz w:val="20"/>
                <w:szCs w:val="20"/>
                <w:lang w:eastAsia="en-US"/>
              </w:rPr>
              <w:t>$21,283.83</w:t>
            </w:r>
          </w:p>
          <w:p w:rsidR="007658DF" w:rsidRPr="006B4436" w:rsidRDefault="007658DF" w:rsidP="007658DF">
            <w:pPr>
              <w:keepLines/>
              <w:widowControl w:val="0"/>
              <w:ind w:left="-108"/>
              <w:jc w:val="both"/>
              <w:rPr>
                <w:rFonts w:ascii="Arial Narrow" w:hAnsi="Arial Narrow" w:cs="Arial"/>
                <w:snapToGrid w:val="0"/>
                <w:sz w:val="20"/>
                <w:szCs w:val="20"/>
                <w:lang w:eastAsia="en-US"/>
              </w:rPr>
            </w:pPr>
            <w:r w:rsidRPr="006B4436">
              <w:rPr>
                <w:rFonts w:ascii="Arial Narrow" w:hAnsi="Arial Narrow" w:cs="Arial"/>
                <w:snapToGrid w:val="0"/>
                <w:sz w:val="20"/>
                <w:szCs w:val="20"/>
                <w:lang w:eastAsia="en-US"/>
              </w:rPr>
              <w:t xml:space="preserve">Private: </w:t>
            </w:r>
            <w:r w:rsidR="00F22B60" w:rsidRPr="006B4436">
              <w:rPr>
                <w:rFonts w:ascii="Arial Narrow" w:hAnsi="Arial Narrow" w:cs="Arial"/>
                <w:snapToGrid w:val="0"/>
                <w:sz w:val="20"/>
                <w:szCs w:val="20"/>
                <w:lang w:eastAsia="en-US"/>
              </w:rPr>
              <w:t>$21,619.27</w:t>
            </w:r>
          </w:p>
          <w:p w:rsidR="007658DF" w:rsidRPr="006B4436" w:rsidRDefault="007658DF" w:rsidP="007658DF">
            <w:pPr>
              <w:keepLines/>
              <w:widowControl w:val="0"/>
              <w:ind w:left="-108"/>
              <w:jc w:val="both"/>
              <w:rPr>
                <w:rFonts w:ascii="Arial Narrow" w:hAnsi="Arial Narrow" w:cs="Arial"/>
                <w:snapToGrid w:val="0"/>
                <w:sz w:val="20"/>
                <w:szCs w:val="20"/>
                <w:u w:val="single"/>
                <w:lang w:eastAsia="en-US"/>
              </w:rPr>
            </w:pPr>
            <w:r w:rsidRPr="006B4436">
              <w:rPr>
                <w:rFonts w:ascii="Arial Narrow" w:hAnsi="Arial Narrow" w:cs="Arial"/>
                <w:snapToGrid w:val="0"/>
                <w:sz w:val="20"/>
                <w:szCs w:val="20"/>
                <w:u w:val="single"/>
                <w:lang w:eastAsia="en-US"/>
              </w:rPr>
              <w:t>Effective</w:t>
            </w:r>
          </w:p>
          <w:p w:rsidR="007658DF" w:rsidRPr="006B4436" w:rsidRDefault="007658DF" w:rsidP="007658DF">
            <w:pPr>
              <w:keepLines/>
              <w:widowControl w:val="0"/>
              <w:ind w:left="-108"/>
              <w:jc w:val="both"/>
              <w:rPr>
                <w:rFonts w:ascii="Arial Narrow" w:hAnsi="Arial Narrow" w:cs="Arial"/>
                <w:snapToGrid w:val="0"/>
                <w:sz w:val="20"/>
                <w:szCs w:val="20"/>
                <w:lang w:eastAsia="en-US"/>
              </w:rPr>
            </w:pPr>
            <w:r w:rsidRPr="006B4436">
              <w:rPr>
                <w:rFonts w:ascii="Arial Narrow" w:hAnsi="Arial Narrow" w:cs="Arial"/>
                <w:snapToGrid w:val="0"/>
                <w:sz w:val="20"/>
                <w:szCs w:val="20"/>
                <w:lang w:eastAsia="en-US"/>
              </w:rPr>
              <w:t xml:space="preserve">Public: </w:t>
            </w:r>
            <w:r w:rsidR="00F22B60" w:rsidRPr="006B4436">
              <w:rPr>
                <w:rFonts w:ascii="Arial Narrow" w:hAnsi="Arial Narrow" w:cs="Arial"/>
                <w:snapToGrid w:val="0"/>
                <w:sz w:val="20"/>
                <w:szCs w:val="20"/>
                <w:lang w:eastAsia="en-US"/>
              </w:rPr>
              <w:t>$</w:t>
            </w:r>
            <w:r w:rsidR="00146494">
              <w:rPr>
                <w:rFonts w:ascii="Arial Narrow" w:hAnsi="Arial Narrow" w:cs="Arial"/>
                <w:noProof/>
                <w:snapToGrid w:val="0"/>
                <w:color w:val="000000"/>
                <w:sz w:val="20"/>
                <w:szCs w:val="20"/>
                <w:highlight w:val="black"/>
                <w:lang w:eastAsia="en-US"/>
              </w:rPr>
              <w:t>'''''''''''''''''''''''</w:t>
            </w:r>
          </w:p>
          <w:p w:rsidR="007658DF" w:rsidRPr="006B4436" w:rsidRDefault="007658DF" w:rsidP="007658DF">
            <w:pPr>
              <w:keepLines/>
              <w:widowControl w:val="0"/>
              <w:ind w:left="-108"/>
              <w:jc w:val="both"/>
              <w:rPr>
                <w:rFonts w:ascii="Arial Narrow" w:hAnsi="Arial Narrow" w:cs="Arial"/>
                <w:snapToGrid w:val="0"/>
                <w:sz w:val="20"/>
                <w:szCs w:val="20"/>
                <w:lang w:eastAsia="en-US"/>
              </w:rPr>
            </w:pPr>
            <w:r w:rsidRPr="006B4436">
              <w:rPr>
                <w:rFonts w:ascii="Arial Narrow" w:hAnsi="Arial Narrow" w:cs="Arial"/>
                <w:snapToGrid w:val="0"/>
                <w:sz w:val="20"/>
                <w:szCs w:val="20"/>
                <w:lang w:eastAsia="en-US"/>
              </w:rPr>
              <w:t xml:space="preserve">Private: </w:t>
            </w:r>
            <w:r w:rsidR="00F22B60" w:rsidRPr="006B4436">
              <w:rPr>
                <w:rFonts w:ascii="Arial Narrow" w:hAnsi="Arial Narrow" w:cs="Arial"/>
                <w:snapToGrid w:val="0"/>
                <w:sz w:val="20"/>
                <w:szCs w:val="20"/>
                <w:lang w:eastAsia="en-US"/>
              </w:rPr>
              <w:t>$</w:t>
            </w:r>
            <w:r w:rsidR="00146494">
              <w:rPr>
                <w:rFonts w:ascii="Arial Narrow" w:hAnsi="Arial Narrow" w:cs="Arial"/>
                <w:noProof/>
                <w:snapToGrid w:val="0"/>
                <w:color w:val="000000"/>
                <w:sz w:val="20"/>
                <w:szCs w:val="20"/>
                <w:highlight w:val="black"/>
                <w:lang w:eastAsia="en-US"/>
              </w:rPr>
              <w:t>'''''''''''''''''''</w:t>
            </w:r>
          </w:p>
          <w:p w:rsidR="007658DF" w:rsidRPr="006B4436" w:rsidRDefault="007658DF" w:rsidP="007658DF">
            <w:pPr>
              <w:keepLines/>
              <w:widowControl w:val="0"/>
              <w:ind w:left="-108"/>
              <w:jc w:val="both"/>
              <w:rPr>
                <w:rFonts w:ascii="Arial Narrow" w:hAnsi="Arial Narrow" w:cs="Arial"/>
                <w:snapToGrid w:val="0"/>
                <w:sz w:val="20"/>
                <w:szCs w:val="20"/>
                <w:lang w:eastAsia="en-US"/>
              </w:rPr>
            </w:pPr>
          </w:p>
        </w:tc>
        <w:tc>
          <w:tcPr>
            <w:tcW w:w="846" w:type="pct"/>
          </w:tcPr>
          <w:p w:rsidR="007658DF" w:rsidRPr="006B4436" w:rsidRDefault="007658DF" w:rsidP="007658DF">
            <w:pPr>
              <w:keepLines/>
              <w:widowControl w:val="0"/>
              <w:jc w:val="both"/>
              <w:rPr>
                <w:rFonts w:ascii="Arial Narrow" w:hAnsi="Arial Narrow" w:cs="Arial"/>
                <w:snapToGrid w:val="0"/>
                <w:sz w:val="20"/>
                <w:szCs w:val="20"/>
                <w:lang w:eastAsia="en-US"/>
              </w:rPr>
            </w:pPr>
            <w:proofErr w:type="spellStart"/>
            <w:r w:rsidRPr="006B4436">
              <w:rPr>
                <w:rFonts w:ascii="Arial Narrow" w:hAnsi="Arial Narrow" w:cs="Arial"/>
                <w:snapToGrid w:val="0"/>
                <w:sz w:val="20"/>
                <w:szCs w:val="20"/>
                <w:lang w:eastAsia="en-US"/>
              </w:rPr>
              <w:t>Adcetris</w:t>
            </w:r>
            <w:proofErr w:type="spellEnd"/>
          </w:p>
        </w:tc>
        <w:tc>
          <w:tcPr>
            <w:tcW w:w="693" w:type="pct"/>
          </w:tcPr>
          <w:p w:rsidR="007658DF" w:rsidRPr="006B4436" w:rsidRDefault="007658DF" w:rsidP="007658DF">
            <w:pPr>
              <w:keepLines/>
              <w:widowControl w:val="0"/>
              <w:jc w:val="both"/>
              <w:rPr>
                <w:rFonts w:ascii="Arial Narrow" w:hAnsi="Arial Narrow" w:cs="Arial"/>
                <w:snapToGrid w:val="0"/>
                <w:sz w:val="20"/>
                <w:szCs w:val="20"/>
                <w:lang w:eastAsia="en-US"/>
              </w:rPr>
            </w:pPr>
            <w:r w:rsidRPr="006B4436">
              <w:rPr>
                <w:rFonts w:ascii="Arial Narrow" w:hAnsi="Arial Narrow" w:cs="Arial"/>
                <w:snapToGrid w:val="0"/>
                <w:sz w:val="20"/>
                <w:szCs w:val="20"/>
                <w:lang w:eastAsia="en-US"/>
              </w:rPr>
              <w:t>Takeda</w:t>
            </w:r>
          </w:p>
        </w:tc>
      </w:tr>
    </w:tbl>
    <w:p w:rsidR="006B4436" w:rsidRPr="006B4436" w:rsidRDefault="006B4436">
      <w:pPr>
        <w:rPr>
          <w:rFonts w:ascii="Arial Narrow" w:hAnsi="Arial Narrow"/>
        </w:rPr>
      </w:pPr>
    </w:p>
    <w:tbl>
      <w:tblPr>
        <w:tblW w:w="5000" w:type="pct"/>
        <w:tblLook w:val="0000" w:firstRow="0" w:lastRow="0" w:firstColumn="0" w:lastColumn="0" w:noHBand="0" w:noVBand="0"/>
      </w:tblPr>
      <w:tblGrid>
        <w:gridCol w:w="2577"/>
        <w:gridCol w:w="6439"/>
      </w:tblGrid>
      <w:tr w:rsidR="006B4436" w:rsidRPr="006B4436" w:rsidTr="007C127C">
        <w:trPr>
          <w:cantSplit/>
          <w:trHeight w:val="360"/>
        </w:trPr>
        <w:tc>
          <w:tcPr>
            <w:tcW w:w="2701"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lastRenderedPageBreak/>
              <w:t>Category / program</w:t>
            </w:r>
          </w:p>
        </w:tc>
        <w:tc>
          <w:tcPr>
            <w:tcW w:w="6876"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t>Section 100 – Efficient Funding of Chemotherapy</w:t>
            </w:r>
          </w:p>
        </w:tc>
      </w:tr>
      <w:tr w:rsidR="006B4436" w:rsidRPr="006B4436" w:rsidTr="007C127C">
        <w:trPr>
          <w:cantSplit/>
          <w:trHeight w:val="360"/>
        </w:trPr>
        <w:tc>
          <w:tcPr>
            <w:tcW w:w="2701"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b/>
                <w:strike/>
                <w:snapToGrid w:val="0"/>
                <w:sz w:val="20"/>
                <w:szCs w:val="20"/>
                <w:lang w:eastAsia="en-US"/>
              </w:rPr>
            </w:pPr>
            <w:proofErr w:type="spellStart"/>
            <w:r w:rsidRPr="006B4436">
              <w:rPr>
                <w:rFonts w:ascii="Arial Narrow" w:hAnsi="Arial Narrow" w:cs="Calibri"/>
                <w:b/>
                <w:strike/>
                <w:snapToGrid w:val="0"/>
                <w:sz w:val="20"/>
                <w:szCs w:val="20"/>
                <w:lang w:eastAsia="en-US"/>
              </w:rPr>
              <w:t>Episodicity</w:t>
            </w:r>
            <w:proofErr w:type="spellEnd"/>
            <w:r w:rsidRPr="006B4436">
              <w:rPr>
                <w:rFonts w:ascii="Arial Narrow" w:hAnsi="Arial Narrow" w:cs="Calibri"/>
                <w:b/>
                <w:strike/>
                <w:snapToGrid w:val="0"/>
                <w:sz w:val="20"/>
                <w:szCs w:val="20"/>
                <w:lang w:eastAsia="en-US"/>
              </w:rPr>
              <w:t>:</w:t>
            </w:r>
          </w:p>
        </w:tc>
        <w:tc>
          <w:tcPr>
            <w:tcW w:w="6876"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strike/>
                <w:snapToGrid w:val="0"/>
                <w:sz w:val="20"/>
                <w:szCs w:val="20"/>
                <w:lang w:eastAsia="en-US"/>
              </w:rPr>
            </w:pPr>
            <w:r w:rsidRPr="006B4436">
              <w:rPr>
                <w:rFonts w:ascii="Arial Narrow" w:hAnsi="Arial Narrow" w:cs="Calibri"/>
                <w:strike/>
                <w:snapToGrid w:val="0"/>
                <w:sz w:val="20"/>
                <w:szCs w:val="20"/>
                <w:lang w:eastAsia="en-US"/>
              </w:rPr>
              <w:t>Chronic</w:t>
            </w:r>
          </w:p>
        </w:tc>
      </w:tr>
      <w:tr w:rsidR="006B4436" w:rsidRPr="006B4436" w:rsidTr="007C127C">
        <w:trPr>
          <w:cantSplit/>
          <w:trHeight w:val="360"/>
        </w:trPr>
        <w:tc>
          <w:tcPr>
            <w:tcW w:w="2701"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b/>
                <w:strike/>
                <w:snapToGrid w:val="0"/>
                <w:sz w:val="20"/>
                <w:szCs w:val="20"/>
                <w:lang w:eastAsia="en-US"/>
              </w:rPr>
            </w:pPr>
            <w:r w:rsidRPr="006B4436">
              <w:rPr>
                <w:rFonts w:ascii="Arial Narrow" w:hAnsi="Arial Narrow" w:cs="Calibri"/>
                <w:b/>
                <w:strike/>
                <w:snapToGrid w:val="0"/>
                <w:sz w:val="20"/>
                <w:szCs w:val="20"/>
                <w:lang w:eastAsia="en-US"/>
              </w:rPr>
              <w:t>Severity:</w:t>
            </w:r>
          </w:p>
        </w:tc>
        <w:tc>
          <w:tcPr>
            <w:tcW w:w="6876"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strike/>
                <w:snapToGrid w:val="0"/>
                <w:sz w:val="20"/>
                <w:szCs w:val="20"/>
                <w:lang w:eastAsia="en-US"/>
              </w:rPr>
            </w:pPr>
            <w:r w:rsidRPr="006B4436">
              <w:rPr>
                <w:rFonts w:ascii="Arial Narrow" w:hAnsi="Arial Narrow" w:cs="Calibri"/>
                <w:strike/>
                <w:snapToGrid w:val="0"/>
                <w:sz w:val="20"/>
                <w:szCs w:val="20"/>
                <w:lang w:eastAsia="en-US"/>
              </w:rPr>
              <w:t xml:space="preserve">NA </w:t>
            </w:r>
          </w:p>
        </w:tc>
      </w:tr>
      <w:tr w:rsidR="006B4436" w:rsidRPr="006B4436" w:rsidTr="007C127C">
        <w:trPr>
          <w:cantSplit/>
          <w:trHeight w:val="360"/>
        </w:trPr>
        <w:tc>
          <w:tcPr>
            <w:tcW w:w="2701"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Condition:</w:t>
            </w:r>
          </w:p>
        </w:tc>
        <w:tc>
          <w:tcPr>
            <w:tcW w:w="6876"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snapToGrid w:val="0"/>
                <w:sz w:val="20"/>
                <w:szCs w:val="20"/>
                <w:lang w:eastAsia="en-US"/>
              </w:rPr>
            </w:pPr>
            <w:r w:rsidRPr="006B4436">
              <w:rPr>
                <w:rFonts w:ascii="Arial Narrow" w:hAnsi="Arial Narrow" w:cs="Calibri"/>
                <w:strike/>
                <w:snapToGrid w:val="0"/>
                <w:sz w:val="20"/>
                <w:szCs w:val="20"/>
                <w:lang w:eastAsia="en-US"/>
              </w:rPr>
              <w:t xml:space="preserve">CD30 positive </w:t>
            </w:r>
            <w:r w:rsidRPr="006B4436">
              <w:rPr>
                <w:rFonts w:ascii="Arial Narrow" w:hAnsi="Arial Narrow" w:cs="Calibri"/>
                <w:snapToGrid w:val="0"/>
                <w:sz w:val="20"/>
                <w:szCs w:val="20"/>
                <w:lang w:eastAsia="en-US"/>
              </w:rPr>
              <w:t>cutaneous T-cell lymphoma</w:t>
            </w:r>
          </w:p>
        </w:tc>
      </w:tr>
      <w:tr w:rsidR="006B4436" w:rsidRPr="006B4436" w:rsidTr="007C127C">
        <w:trPr>
          <w:cantSplit/>
          <w:trHeight w:val="360"/>
        </w:trPr>
        <w:tc>
          <w:tcPr>
            <w:tcW w:w="2701"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PBS Indication:</w:t>
            </w:r>
          </w:p>
        </w:tc>
        <w:tc>
          <w:tcPr>
            <w:tcW w:w="6876"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snapToGrid w:val="0"/>
                <w:sz w:val="20"/>
                <w:szCs w:val="20"/>
                <w:lang w:eastAsia="en-US"/>
              </w:rPr>
            </w:pPr>
            <w:r w:rsidRPr="006B4436">
              <w:rPr>
                <w:rFonts w:ascii="Arial Narrow" w:hAnsi="Arial Narrow" w:cs="Calibri"/>
                <w:strike/>
                <w:snapToGrid w:val="0"/>
                <w:sz w:val="20"/>
                <w:szCs w:val="20"/>
                <w:lang w:eastAsia="en-US"/>
              </w:rPr>
              <w:t xml:space="preserve">CD30 positive </w:t>
            </w:r>
            <w:r w:rsidRPr="006B4436">
              <w:rPr>
                <w:rFonts w:ascii="Arial Narrow" w:hAnsi="Arial Narrow" w:cs="Calibri"/>
                <w:snapToGrid w:val="0"/>
                <w:sz w:val="20"/>
                <w:szCs w:val="20"/>
                <w:lang w:eastAsia="en-US"/>
              </w:rPr>
              <w:t>cutaneous T-cell lymphoma</w:t>
            </w:r>
          </w:p>
        </w:tc>
      </w:tr>
      <w:tr w:rsidR="006B4436" w:rsidRPr="006B4436" w:rsidTr="007C127C">
        <w:trPr>
          <w:cantSplit/>
          <w:trHeight w:val="360"/>
        </w:trPr>
        <w:tc>
          <w:tcPr>
            <w:tcW w:w="2701"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Treatment phase:</w:t>
            </w:r>
          </w:p>
        </w:tc>
        <w:tc>
          <w:tcPr>
            <w:tcW w:w="6876"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t>Initial treatment</w:t>
            </w:r>
          </w:p>
        </w:tc>
      </w:tr>
      <w:tr w:rsidR="006B4436" w:rsidRPr="006B4436" w:rsidTr="007C127C">
        <w:trPr>
          <w:cantSplit/>
          <w:trHeight w:val="360"/>
        </w:trPr>
        <w:tc>
          <w:tcPr>
            <w:tcW w:w="2701"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Restriction:</w:t>
            </w:r>
          </w:p>
          <w:p w:rsidR="006B4436" w:rsidRPr="006B4436" w:rsidRDefault="006B4436" w:rsidP="007C127C">
            <w:pPr>
              <w:keepLines/>
              <w:widowControl w:val="0"/>
              <w:contextualSpacing/>
              <w:jc w:val="both"/>
              <w:rPr>
                <w:rFonts w:ascii="Arial Narrow" w:hAnsi="Arial Narrow" w:cs="Calibri"/>
                <w:snapToGrid w:val="0"/>
                <w:sz w:val="20"/>
                <w:szCs w:val="20"/>
                <w:lang w:eastAsia="en-US"/>
              </w:rPr>
            </w:pPr>
          </w:p>
        </w:tc>
        <w:tc>
          <w:tcPr>
            <w:tcW w:w="6876"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fldChar w:fldCharType="begin">
                <w:ffData>
                  <w:name w:val="Check1"/>
                  <w:enabled/>
                  <w:calcOnExit w:val="0"/>
                  <w:checkBox>
                    <w:sizeAuto/>
                    <w:default w:val="0"/>
                  </w:checkBox>
                </w:ffData>
              </w:fldChar>
            </w:r>
            <w:r w:rsidRPr="006B4436">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6B4436">
              <w:rPr>
                <w:rFonts w:ascii="Arial Narrow" w:hAnsi="Arial Narrow" w:cs="Calibri"/>
                <w:snapToGrid w:val="0"/>
                <w:sz w:val="20"/>
                <w:szCs w:val="20"/>
                <w:lang w:eastAsia="en-US"/>
              </w:rPr>
              <w:fldChar w:fldCharType="end"/>
            </w:r>
            <w:r w:rsidRPr="006B4436">
              <w:rPr>
                <w:rFonts w:ascii="Arial Narrow" w:hAnsi="Arial Narrow" w:cs="Calibri"/>
                <w:snapToGrid w:val="0"/>
                <w:sz w:val="20"/>
                <w:szCs w:val="20"/>
                <w:lang w:eastAsia="en-US"/>
              </w:rPr>
              <w:t>Restricted benefit</w:t>
            </w:r>
          </w:p>
          <w:p w:rsidR="006B4436" w:rsidRPr="006B4436" w:rsidRDefault="006B4436" w:rsidP="007C127C">
            <w:pPr>
              <w:keepLines/>
              <w:widowControl w:val="0"/>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fldChar w:fldCharType="begin">
                <w:ffData>
                  <w:name w:val=""/>
                  <w:enabled/>
                  <w:calcOnExit w:val="0"/>
                  <w:checkBox>
                    <w:sizeAuto/>
                    <w:default w:val="1"/>
                  </w:checkBox>
                </w:ffData>
              </w:fldChar>
            </w:r>
            <w:r w:rsidRPr="006B4436">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6B4436">
              <w:rPr>
                <w:rFonts w:ascii="Arial Narrow" w:hAnsi="Arial Narrow" w:cs="Calibri"/>
                <w:snapToGrid w:val="0"/>
                <w:sz w:val="20"/>
                <w:szCs w:val="20"/>
                <w:lang w:eastAsia="en-US"/>
              </w:rPr>
              <w:fldChar w:fldCharType="end"/>
            </w:r>
            <w:r w:rsidRPr="006B4436">
              <w:rPr>
                <w:rFonts w:ascii="Arial Narrow" w:hAnsi="Arial Narrow" w:cs="Calibri"/>
                <w:snapToGrid w:val="0"/>
                <w:sz w:val="20"/>
                <w:szCs w:val="20"/>
                <w:lang w:eastAsia="en-US"/>
              </w:rPr>
              <w:t>Authority Required - In Writing</w:t>
            </w:r>
          </w:p>
          <w:p w:rsidR="006B4436" w:rsidRPr="006B4436" w:rsidRDefault="006B4436" w:rsidP="007C127C">
            <w:pPr>
              <w:keepLines/>
              <w:widowControl w:val="0"/>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fldChar w:fldCharType="begin">
                <w:ffData>
                  <w:name w:val="Check3"/>
                  <w:enabled/>
                  <w:calcOnExit w:val="0"/>
                  <w:checkBox>
                    <w:sizeAuto/>
                    <w:default w:val="0"/>
                  </w:checkBox>
                </w:ffData>
              </w:fldChar>
            </w:r>
            <w:r w:rsidRPr="006B4436">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6B4436">
              <w:rPr>
                <w:rFonts w:ascii="Arial Narrow" w:hAnsi="Arial Narrow" w:cs="Calibri"/>
                <w:snapToGrid w:val="0"/>
                <w:sz w:val="20"/>
                <w:szCs w:val="20"/>
                <w:lang w:eastAsia="en-US"/>
              </w:rPr>
              <w:fldChar w:fldCharType="end"/>
            </w:r>
            <w:r w:rsidRPr="006B4436">
              <w:rPr>
                <w:rFonts w:ascii="Arial Narrow" w:hAnsi="Arial Narrow" w:cs="Calibri"/>
                <w:snapToGrid w:val="0"/>
                <w:sz w:val="20"/>
                <w:szCs w:val="20"/>
                <w:lang w:eastAsia="en-US"/>
              </w:rPr>
              <w:t>Authority Required - Telephone</w:t>
            </w:r>
          </w:p>
          <w:p w:rsidR="006B4436" w:rsidRPr="006B4436" w:rsidRDefault="006B4436" w:rsidP="007C127C">
            <w:pPr>
              <w:keepLines/>
              <w:widowControl w:val="0"/>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fldChar w:fldCharType="begin">
                <w:ffData>
                  <w:name w:val=""/>
                  <w:enabled/>
                  <w:calcOnExit w:val="0"/>
                  <w:checkBox>
                    <w:sizeAuto/>
                    <w:default w:val="0"/>
                  </w:checkBox>
                </w:ffData>
              </w:fldChar>
            </w:r>
            <w:r w:rsidRPr="006B4436">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6B4436">
              <w:rPr>
                <w:rFonts w:ascii="Arial Narrow" w:hAnsi="Arial Narrow" w:cs="Calibri"/>
                <w:snapToGrid w:val="0"/>
                <w:sz w:val="20"/>
                <w:szCs w:val="20"/>
                <w:lang w:eastAsia="en-US"/>
              </w:rPr>
              <w:fldChar w:fldCharType="end"/>
            </w:r>
            <w:r w:rsidRPr="006B4436">
              <w:rPr>
                <w:rFonts w:ascii="Arial Narrow" w:hAnsi="Arial Narrow" w:cs="Calibri"/>
                <w:snapToGrid w:val="0"/>
                <w:sz w:val="20"/>
                <w:szCs w:val="20"/>
                <w:lang w:eastAsia="en-US"/>
              </w:rPr>
              <w:t>Authority Required – Emergency</w:t>
            </w:r>
          </w:p>
          <w:p w:rsidR="006B4436" w:rsidRPr="006B4436" w:rsidRDefault="006B4436" w:rsidP="007C127C">
            <w:pPr>
              <w:keepLines/>
              <w:widowControl w:val="0"/>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fldChar w:fldCharType="begin">
                <w:ffData>
                  <w:name w:val="Check5"/>
                  <w:enabled/>
                  <w:calcOnExit w:val="0"/>
                  <w:checkBox>
                    <w:sizeAuto/>
                    <w:default w:val="0"/>
                  </w:checkBox>
                </w:ffData>
              </w:fldChar>
            </w:r>
            <w:r w:rsidRPr="006B4436">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6B4436">
              <w:rPr>
                <w:rFonts w:ascii="Arial Narrow" w:hAnsi="Arial Narrow" w:cs="Calibri"/>
                <w:snapToGrid w:val="0"/>
                <w:sz w:val="20"/>
                <w:szCs w:val="20"/>
                <w:lang w:eastAsia="en-US"/>
              </w:rPr>
              <w:fldChar w:fldCharType="end"/>
            </w:r>
            <w:r w:rsidRPr="006B4436">
              <w:rPr>
                <w:rFonts w:ascii="Arial Narrow" w:hAnsi="Arial Narrow" w:cs="Calibri"/>
                <w:snapToGrid w:val="0"/>
                <w:sz w:val="20"/>
                <w:szCs w:val="20"/>
                <w:lang w:eastAsia="en-US"/>
              </w:rPr>
              <w:t>Authority Required - Electronic</w:t>
            </w:r>
          </w:p>
          <w:p w:rsidR="006B4436" w:rsidRPr="006B4436" w:rsidRDefault="006B4436" w:rsidP="007C127C">
            <w:pPr>
              <w:keepLines/>
              <w:widowControl w:val="0"/>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fldChar w:fldCharType="begin">
                <w:ffData>
                  <w:name w:val="Check5"/>
                  <w:enabled/>
                  <w:calcOnExit w:val="0"/>
                  <w:checkBox>
                    <w:sizeAuto/>
                    <w:default w:val="0"/>
                  </w:checkBox>
                </w:ffData>
              </w:fldChar>
            </w:r>
            <w:r w:rsidRPr="006B4436">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6B4436">
              <w:rPr>
                <w:rFonts w:ascii="Arial Narrow" w:hAnsi="Arial Narrow" w:cs="Calibri"/>
                <w:snapToGrid w:val="0"/>
                <w:sz w:val="20"/>
                <w:szCs w:val="20"/>
                <w:lang w:eastAsia="en-US"/>
              </w:rPr>
              <w:fldChar w:fldCharType="end"/>
            </w:r>
            <w:r w:rsidRPr="006B4436">
              <w:rPr>
                <w:rFonts w:ascii="Arial Narrow" w:hAnsi="Arial Narrow" w:cs="Calibri"/>
                <w:snapToGrid w:val="0"/>
                <w:sz w:val="20"/>
                <w:szCs w:val="20"/>
                <w:lang w:eastAsia="en-US"/>
              </w:rPr>
              <w:t>Streamlined</w:t>
            </w:r>
          </w:p>
        </w:tc>
      </w:tr>
      <w:tr w:rsidR="006B4436" w:rsidRPr="006B4436" w:rsidTr="007C127C">
        <w:trPr>
          <w:cantSplit/>
          <w:trHeight w:val="360"/>
        </w:trPr>
        <w:tc>
          <w:tcPr>
            <w:tcW w:w="2701"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b/>
                <w:strike/>
                <w:snapToGrid w:val="0"/>
                <w:sz w:val="20"/>
                <w:szCs w:val="20"/>
                <w:lang w:eastAsia="en-US"/>
              </w:rPr>
            </w:pPr>
            <w:r w:rsidRPr="006B4436">
              <w:rPr>
                <w:rFonts w:ascii="Arial Narrow" w:hAnsi="Arial Narrow" w:cs="Calibri"/>
                <w:b/>
                <w:strike/>
                <w:snapToGrid w:val="0"/>
                <w:sz w:val="20"/>
                <w:szCs w:val="20"/>
                <w:lang w:eastAsia="en-US"/>
              </w:rPr>
              <w:t>Treatment criteria:</w:t>
            </w:r>
          </w:p>
        </w:tc>
        <w:tc>
          <w:tcPr>
            <w:tcW w:w="6876" w:type="dxa"/>
            <w:tcBorders>
              <w:top w:val="single" w:sz="4" w:space="0" w:color="auto"/>
              <w:left w:val="single" w:sz="4" w:space="0" w:color="auto"/>
              <w:bottom w:val="single" w:sz="4" w:space="0" w:color="auto"/>
              <w:right w:val="single" w:sz="4" w:space="0" w:color="auto"/>
            </w:tcBorders>
            <w:vAlign w:val="center"/>
          </w:tcPr>
          <w:p w:rsidR="006B4436" w:rsidRPr="006B4436" w:rsidRDefault="006B4436" w:rsidP="007C127C">
            <w:pPr>
              <w:keepLines/>
              <w:widowControl w:val="0"/>
              <w:contextualSpacing/>
              <w:jc w:val="both"/>
              <w:rPr>
                <w:rFonts w:ascii="Arial Narrow" w:hAnsi="Arial Narrow" w:cs="Calibri"/>
                <w:strike/>
                <w:snapToGrid w:val="0"/>
                <w:sz w:val="20"/>
                <w:szCs w:val="20"/>
                <w:lang w:eastAsia="en-US"/>
              </w:rPr>
            </w:pPr>
            <w:r w:rsidRPr="006B4436">
              <w:rPr>
                <w:rFonts w:ascii="Arial Narrow" w:hAnsi="Arial Narrow" w:cs="Calibri"/>
                <w:strike/>
                <w:snapToGrid w:val="0"/>
                <w:sz w:val="20"/>
                <w:szCs w:val="20"/>
                <w:lang w:eastAsia="en-US"/>
              </w:rPr>
              <w:t>N/A</w:t>
            </w:r>
          </w:p>
        </w:tc>
      </w:tr>
      <w:tr w:rsidR="006B4436" w:rsidRPr="006B4436" w:rsidTr="007C127C">
        <w:trPr>
          <w:cantSplit/>
          <w:trHeight w:val="360"/>
        </w:trPr>
        <w:tc>
          <w:tcPr>
            <w:tcW w:w="2701"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Clinical criteria:</w:t>
            </w:r>
          </w:p>
          <w:p w:rsidR="006B4436" w:rsidRPr="006B4436" w:rsidRDefault="006B4436" w:rsidP="007C127C">
            <w:pPr>
              <w:keepLines/>
              <w:widowControl w:val="0"/>
              <w:contextualSpacing/>
              <w:jc w:val="both"/>
              <w:rPr>
                <w:rFonts w:ascii="Arial Narrow" w:hAnsi="Arial Narrow" w:cs="Calibri"/>
                <w:snapToGrid w:val="0"/>
                <w:sz w:val="20"/>
                <w:szCs w:val="20"/>
                <w:lang w:eastAsia="en-US"/>
              </w:rPr>
            </w:pPr>
          </w:p>
        </w:tc>
        <w:tc>
          <w:tcPr>
            <w:tcW w:w="6876"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snapToGrid w:val="0"/>
                <w:sz w:val="20"/>
                <w:szCs w:val="20"/>
                <w:lang w:eastAsia="en-US"/>
              </w:rPr>
            </w:pPr>
            <w:r w:rsidRPr="006B4436">
              <w:rPr>
                <w:rFonts w:ascii="Arial Narrow" w:hAnsi="Arial Narrow" w:cs="Calibri"/>
                <w:strike/>
                <w:snapToGrid w:val="0"/>
                <w:sz w:val="20"/>
                <w:szCs w:val="20"/>
                <w:lang w:eastAsia="en-US"/>
              </w:rPr>
              <w:t>Patient must have confirmed</w:t>
            </w:r>
            <w:r w:rsidRPr="006B4436">
              <w:rPr>
                <w:rFonts w:ascii="Arial Narrow" w:hAnsi="Arial Narrow" w:cs="Calibri"/>
                <w:snapToGrid w:val="0"/>
                <w:sz w:val="20"/>
                <w:szCs w:val="20"/>
                <w:lang w:eastAsia="en-US"/>
              </w:rPr>
              <w:t xml:space="preserve"> </w:t>
            </w:r>
            <w:r w:rsidRPr="006B4436">
              <w:rPr>
                <w:rFonts w:ascii="Arial Narrow" w:hAnsi="Arial Narrow" w:cs="Calibri"/>
                <w:i/>
                <w:snapToGrid w:val="0"/>
                <w:sz w:val="20"/>
                <w:szCs w:val="20"/>
                <w:lang w:eastAsia="en-US"/>
              </w:rPr>
              <w:t xml:space="preserve">The condition must be </w:t>
            </w:r>
            <w:r w:rsidRPr="006B4436">
              <w:rPr>
                <w:rFonts w:ascii="Arial Narrow" w:hAnsi="Arial Narrow" w:cs="Calibri"/>
                <w:snapToGrid w:val="0"/>
                <w:sz w:val="20"/>
                <w:szCs w:val="20"/>
                <w:lang w:eastAsia="en-US"/>
              </w:rPr>
              <w:t>CD30 positive</w:t>
            </w:r>
            <w:r w:rsidRPr="006B4436">
              <w:rPr>
                <w:rFonts w:ascii="Arial Narrow" w:hAnsi="Arial Narrow" w:cs="Calibri"/>
                <w:strike/>
                <w:snapToGrid w:val="0"/>
                <w:sz w:val="20"/>
                <w:szCs w:val="20"/>
                <w:lang w:eastAsia="en-US"/>
              </w:rPr>
              <w:t xml:space="preserve"> disease</w:t>
            </w:r>
            <w:r w:rsidRPr="006B4436">
              <w:rPr>
                <w:rFonts w:ascii="Arial Narrow" w:hAnsi="Arial Narrow" w:cs="Calibri"/>
                <w:snapToGrid w:val="0"/>
                <w:sz w:val="20"/>
                <w:szCs w:val="20"/>
                <w:lang w:eastAsia="en-US"/>
              </w:rPr>
              <w:t>,</w:t>
            </w:r>
          </w:p>
          <w:p w:rsidR="006B4436" w:rsidRPr="006B4436" w:rsidRDefault="006B4436" w:rsidP="007C127C">
            <w:pPr>
              <w:keepLines/>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AND</w:t>
            </w:r>
          </w:p>
          <w:p w:rsidR="006B4436" w:rsidRPr="006B4436" w:rsidRDefault="006B4436" w:rsidP="007C127C">
            <w:pPr>
              <w:keepLines/>
              <w:widowControl w:val="0"/>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t xml:space="preserve">Patient must have </w:t>
            </w:r>
            <w:r w:rsidRPr="006B4436">
              <w:rPr>
                <w:rFonts w:ascii="Arial Narrow" w:hAnsi="Arial Narrow" w:cs="Calibri"/>
                <w:strike/>
                <w:snapToGrid w:val="0"/>
                <w:sz w:val="20"/>
                <w:szCs w:val="20"/>
                <w:lang w:eastAsia="en-US"/>
              </w:rPr>
              <w:t>had</w:t>
            </w:r>
            <w:r w:rsidRPr="006B4436">
              <w:rPr>
                <w:rFonts w:ascii="Arial Narrow" w:hAnsi="Arial Narrow" w:cs="Calibri"/>
                <w:snapToGrid w:val="0"/>
                <w:sz w:val="20"/>
                <w:szCs w:val="20"/>
                <w:lang w:eastAsia="en-US"/>
              </w:rPr>
              <w:t xml:space="preserve"> </w:t>
            </w:r>
            <w:r w:rsidRPr="006B4436">
              <w:rPr>
                <w:rFonts w:ascii="Arial Narrow" w:hAnsi="Arial Narrow" w:cs="Calibri"/>
                <w:i/>
                <w:snapToGrid w:val="0"/>
                <w:sz w:val="20"/>
                <w:szCs w:val="20"/>
                <w:lang w:eastAsia="en-US"/>
              </w:rPr>
              <w:t xml:space="preserve">received </w:t>
            </w:r>
            <w:r w:rsidRPr="006B4436">
              <w:rPr>
                <w:rFonts w:ascii="Arial Narrow" w:hAnsi="Arial Narrow" w:cs="Calibri"/>
                <w:snapToGrid w:val="0"/>
                <w:sz w:val="20"/>
                <w:szCs w:val="20"/>
                <w:lang w:eastAsia="en-US"/>
              </w:rPr>
              <w:t>prior systemic treatment</w:t>
            </w:r>
            <w:r w:rsidRPr="006B4436">
              <w:rPr>
                <w:rFonts w:ascii="Arial Narrow" w:hAnsi="Arial Narrow" w:cs="Calibri"/>
                <w:i/>
                <w:snapToGrid w:val="0"/>
                <w:sz w:val="20"/>
                <w:szCs w:val="20"/>
                <w:lang w:eastAsia="en-US"/>
              </w:rPr>
              <w:t xml:space="preserve"> for this condition</w:t>
            </w:r>
            <w:r w:rsidRPr="006B4436">
              <w:rPr>
                <w:rFonts w:ascii="Arial Narrow" w:hAnsi="Arial Narrow" w:cs="Calibri"/>
                <w:snapToGrid w:val="0"/>
                <w:sz w:val="20"/>
                <w:szCs w:val="20"/>
                <w:lang w:eastAsia="en-US"/>
              </w:rPr>
              <w:t>,</w:t>
            </w:r>
          </w:p>
          <w:p w:rsidR="006B4436" w:rsidRPr="006B4436" w:rsidRDefault="006B4436" w:rsidP="007C127C">
            <w:pPr>
              <w:keepLines/>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AND</w:t>
            </w:r>
          </w:p>
          <w:p w:rsidR="006B4436" w:rsidRPr="006B4436" w:rsidRDefault="006B4436" w:rsidP="007C127C">
            <w:pPr>
              <w:keepLines/>
              <w:widowControl w:val="0"/>
              <w:contextualSpacing/>
              <w:jc w:val="both"/>
              <w:rPr>
                <w:rFonts w:ascii="Arial Narrow" w:hAnsi="Arial Narrow" w:cs="Calibri"/>
                <w:strike/>
                <w:snapToGrid w:val="0"/>
                <w:sz w:val="20"/>
                <w:szCs w:val="20"/>
                <w:lang w:eastAsia="en-US"/>
              </w:rPr>
            </w:pPr>
            <w:r w:rsidRPr="006B4436">
              <w:rPr>
                <w:rFonts w:ascii="Arial Narrow" w:hAnsi="Arial Narrow" w:cs="Calibri"/>
                <w:strike/>
                <w:snapToGrid w:val="0"/>
                <w:sz w:val="20"/>
                <w:szCs w:val="20"/>
                <w:lang w:eastAsia="en-US"/>
              </w:rPr>
              <w:t>Patient must demonstrate relapsed or refractory disease,</w:t>
            </w:r>
          </w:p>
          <w:p w:rsidR="006B4436" w:rsidRPr="006B4436" w:rsidRDefault="006B4436" w:rsidP="007C127C">
            <w:pPr>
              <w:keepLines/>
              <w:widowControl w:val="0"/>
              <w:contextualSpacing/>
              <w:jc w:val="both"/>
              <w:rPr>
                <w:rFonts w:ascii="Arial Narrow" w:hAnsi="Arial Narrow" w:cs="Calibri"/>
                <w:i/>
                <w:snapToGrid w:val="0"/>
                <w:sz w:val="20"/>
                <w:szCs w:val="20"/>
                <w:lang w:eastAsia="en-US"/>
              </w:rPr>
            </w:pPr>
            <w:r w:rsidRPr="006B4436">
              <w:rPr>
                <w:rFonts w:ascii="Arial Narrow" w:hAnsi="Arial Narrow" w:cs="Calibri"/>
                <w:i/>
                <w:snapToGrid w:val="0"/>
                <w:sz w:val="20"/>
                <w:szCs w:val="20"/>
                <w:lang w:eastAsia="en-US"/>
              </w:rPr>
              <w:t>The condition must be relapsed or chemotherapy-refractory</w:t>
            </w:r>
          </w:p>
          <w:p w:rsidR="006B4436" w:rsidRPr="006B4436" w:rsidRDefault="006B4436" w:rsidP="007C127C">
            <w:pPr>
              <w:keepLines/>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AND</w:t>
            </w:r>
          </w:p>
          <w:p w:rsidR="006B4436" w:rsidRPr="006B4436" w:rsidRDefault="006B4436" w:rsidP="007C127C">
            <w:pPr>
              <w:keepLines/>
              <w:widowControl w:val="0"/>
              <w:contextualSpacing/>
              <w:jc w:val="both"/>
              <w:rPr>
                <w:rFonts w:ascii="Arial Narrow" w:hAnsi="Arial Narrow" w:cs="Calibri"/>
                <w:snapToGrid w:val="0"/>
                <w:sz w:val="20"/>
                <w:szCs w:val="20"/>
                <w:lang w:eastAsia="en-US"/>
              </w:rPr>
            </w:pPr>
            <w:r w:rsidRPr="006B4436">
              <w:rPr>
                <w:rFonts w:ascii="Arial Narrow" w:hAnsi="Arial Narrow" w:cs="Calibri"/>
                <w:i/>
                <w:snapToGrid w:val="0"/>
                <w:sz w:val="20"/>
                <w:szCs w:val="20"/>
                <w:lang w:eastAsia="en-US"/>
              </w:rPr>
              <w:t xml:space="preserve">The treatment must not exceed 4 cycles </w:t>
            </w:r>
            <w:r w:rsidRPr="006B4436">
              <w:rPr>
                <w:rFonts w:ascii="Arial Narrow" w:hAnsi="Arial Narrow" w:cs="Calibri"/>
                <w:strike/>
                <w:snapToGrid w:val="0"/>
                <w:sz w:val="20"/>
                <w:szCs w:val="20"/>
                <w:lang w:eastAsia="en-US"/>
              </w:rPr>
              <w:t xml:space="preserve">Patient must not receive more than 4 cycles of treatment </w:t>
            </w:r>
            <w:r w:rsidRPr="006B4436">
              <w:rPr>
                <w:rFonts w:ascii="Arial Narrow" w:hAnsi="Arial Narrow" w:cs="Calibri"/>
                <w:snapToGrid w:val="0"/>
                <w:sz w:val="20"/>
                <w:szCs w:val="20"/>
                <w:lang w:eastAsia="en-US"/>
              </w:rPr>
              <w:t>under this restriction,</w:t>
            </w:r>
          </w:p>
          <w:p w:rsidR="006B4436" w:rsidRPr="006B4436" w:rsidRDefault="006B4436" w:rsidP="007C127C">
            <w:pPr>
              <w:keepLines/>
              <w:widowControl w:val="0"/>
              <w:contextualSpacing/>
              <w:jc w:val="both"/>
              <w:rPr>
                <w:rFonts w:ascii="Arial Narrow" w:hAnsi="Arial Narrow" w:cs="Calibri"/>
                <w:b/>
                <w:i/>
                <w:snapToGrid w:val="0"/>
                <w:sz w:val="20"/>
                <w:szCs w:val="20"/>
                <w:lang w:eastAsia="en-US"/>
              </w:rPr>
            </w:pPr>
            <w:r w:rsidRPr="006B4436">
              <w:rPr>
                <w:rFonts w:ascii="Arial Narrow" w:hAnsi="Arial Narrow" w:cs="Calibri"/>
                <w:b/>
                <w:i/>
                <w:snapToGrid w:val="0"/>
                <w:sz w:val="20"/>
                <w:szCs w:val="20"/>
                <w:lang w:eastAsia="en-US"/>
              </w:rPr>
              <w:t>AND</w:t>
            </w:r>
          </w:p>
          <w:p w:rsidR="006B4436" w:rsidRPr="006B4436" w:rsidRDefault="006B4436" w:rsidP="007C127C">
            <w:pPr>
              <w:keepLines/>
              <w:widowControl w:val="0"/>
              <w:contextualSpacing/>
              <w:jc w:val="both"/>
              <w:rPr>
                <w:rFonts w:ascii="Arial Narrow" w:hAnsi="Arial Narrow" w:cs="Calibri"/>
                <w:i/>
                <w:snapToGrid w:val="0"/>
                <w:sz w:val="20"/>
                <w:szCs w:val="20"/>
                <w:lang w:eastAsia="en-US"/>
              </w:rPr>
            </w:pPr>
            <w:r w:rsidRPr="006B4436">
              <w:rPr>
                <w:rFonts w:ascii="Arial Narrow" w:hAnsi="Arial Narrow" w:cs="Calibri"/>
                <w:i/>
                <w:snapToGrid w:val="0"/>
                <w:sz w:val="20"/>
                <w:szCs w:val="20"/>
                <w:lang w:eastAsia="en-US"/>
              </w:rPr>
              <w:t>The treatment must be the sole PBS-subsidised therapy for this condition.</w:t>
            </w:r>
          </w:p>
          <w:p w:rsidR="006B4436" w:rsidRPr="006B4436" w:rsidRDefault="006B4436" w:rsidP="007C127C">
            <w:pPr>
              <w:keepLines/>
              <w:widowControl w:val="0"/>
              <w:contextualSpacing/>
              <w:jc w:val="both"/>
              <w:rPr>
                <w:rFonts w:ascii="Arial Narrow" w:hAnsi="Arial Narrow" w:cs="Calibri"/>
                <w:i/>
                <w:snapToGrid w:val="0"/>
                <w:sz w:val="20"/>
                <w:szCs w:val="20"/>
                <w:lang w:eastAsia="en-US"/>
              </w:rPr>
            </w:pPr>
            <w:r w:rsidRPr="006B4436">
              <w:rPr>
                <w:rFonts w:ascii="Arial Narrow" w:hAnsi="Arial Narrow" w:cs="Calibri"/>
                <w:i/>
                <w:snapToGrid w:val="0"/>
                <w:sz w:val="20"/>
                <w:szCs w:val="20"/>
                <w:lang w:eastAsia="en-US"/>
              </w:rPr>
              <w:t>AND</w:t>
            </w:r>
          </w:p>
          <w:p w:rsidR="006B4436" w:rsidRPr="006B4436" w:rsidRDefault="006B4436" w:rsidP="007C127C">
            <w:pPr>
              <w:keepLines/>
              <w:widowControl w:val="0"/>
              <w:contextualSpacing/>
              <w:jc w:val="both"/>
              <w:rPr>
                <w:rFonts w:ascii="Arial Narrow" w:hAnsi="Arial Narrow" w:cs="Calibri"/>
                <w:snapToGrid w:val="0"/>
                <w:sz w:val="20"/>
                <w:szCs w:val="20"/>
                <w:lang w:eastAsia="en-US"/>
              </w:rPr>
            </w:pPr>
            <w:r w:rsidRPr="006B4436">
              <w:rPr>
                <w:rFonts w:ascii="Arial Narrow" w:hAnsi="Arial Narrow" w:cs="Calibri"/>
                <w:i/>
                <w:snapToGrid w:val="0"/>
                <w:sz w:val="20"/>
                <w:szCs w:val="20"/>
                <w:lang w:eastAsia="en-US"/>
              </w:rPr>
              <w:t xml:space="preserve">Patient must not have previously received PBS-subsidised treatment with </w:t>
            </w:r>
            <w:proofErr w:type="spellStart"/>
            <w:r w:rsidRPr="006B4436">
              <w:rPr>
                <w:rFonts w:ascii="Arial Narrow" w:hAnsi="Arial Narrow" w:cs="Calibri"/>
                <w:i/>
                <w:snapToGrid w:val="0"/>
                <w:sz w:val="20"/>
                <w:szCs w:val="20"/>
                <w:lang w:eastAsia="en-US"/>
              </w:rPr>
              <w:t>vorinostat</w:t>
            </w:r>
            <w:proofErr w:type="spellEnd"/>
            <w:r w:rsidRPr="006B4436">
              <w:rPr>
                <w:rFonts w:ascii="Arial Narrow" w:hAnsi="Arial Narrow" w:cs="Calibri"/>
                <w:i/>
                <w:snapToGrid w:val="0"/>
                <w:sz w:val="20"/>
                <w:szCs w:val="20"/>
                <w:lang w:eastAsia="en-US"/>
              </w:rPr>
              <w:t xml:space="preserve"> for this condition.</w:t>
            </w:r>
          </w:p>
        </w:tc>
      </w:tr>
      <w:tr w:rsidR="006B4436" w:rsidRPr="006B4436" w:rsidTr="007C127C">
        <w:trPr>
          <w:cantSplit/>
          <w:trHeight w:val="360"/>
        </w:trPr>
        <w:tc>
          <w:tcPr>
            <w:tcW w:w="2701" w:type="dxa"/>
            <w:tcBorders>
              <w:top w:val="single" w:sz="4" w:space="0" w:color="auto"/>
              <w:left w:val="single" w:sz="4" w:space="0" w:color="auto"/>
              <w:bottom w:val="single" w:sz="4" w:space="0" w:color="auto"/>
              <w:right w:val="single" w:sz="4" w:space="0" w:color="auto"/>
            </w:tcBorders>
            <w:vAlign w:val="center"/>
          </w:tcPr>
          <w:p w:rsidR="006B4436" w:rsidRPr="006B4436" w:rsidRDefault="006B4436" w:rsidP="007C127C">
            <w:pPr>
              <w:keepLines/>
              <w:widowControl w:val="0"/>
              <w:contextualSpacing/>
              <w:jc w:val="both"/>
              <w:rPr>
                <w:rFonts w:ascii="Arial Narrow" w:hAnsi="Arial Narrow" w:cs="Calibri"/>
                <w:b/>
                <w:strike/>
                <w:snapToGrid w:val="0"/>
                <w:sz w:val="20"/>
                <w:szCs w:val="20"/>
                <w:lang w:eastAsia="en-US"/>
              </w:rPr>
            </w:pPr>
            <w:r w:rsidRPr="006B4436">
              <w:rPr>
                <w:rFonts w:ascii="Arial Narrow" w:hAnsi="Arial Narrow" w:cs="Calibri"/>
                <w:b/>
                <w:strike/>
                <w:snapToGrid w:val="0"/>
                <w:sz w:val="20"/>
                <w:szCs w:val="20"/>
                <w:lang w:eastAsia="en-US"/>
              </w:rPr>
              <w:t>Population criteria:</w:t>
            </w:r>
          </w:p>
        </w:tc>
        <w:tc>
          <w:tcPr>
            <w:tcW w:w="6876" w:type="dxa"/>
            <w:tcBorders>
              <w:top w:val="single" w:sz="4" w:space="0" w:color="auto"/>
              <w:left w:val="single" w:sz="4" w:space="0" w:color="auto"/>
              <w:bottom w:val="single" w:sz="4" w:space="0" w:color="auto"/>
              <w:right w:val="single" w:sz="4" w:space="0" w:color="auto"/>
            </w:tcBorders>
            <w:vAlign w:val="bottom"/>
          </w:tcPr>
          <w:p w:rsidR="006B4436" w:rsidRPr="006B4436" w:rsidRDefault="006B4436" w:rsidP="007C127C">
            <w:pPr>
              <w:keepLines/>
              <w:widowControl w:val="0"/>
              <w:contextualSpacing/>
              <w:jc w:val="both"/>
              <w:rPr>
                <w:rFonts w:ascii="Arial Narrow" w:hAnsi="Arial Narrow" w:cs="Calibri"/>
                <w:strike/>
                <w:snapToGrid w:val="0"/>
                <w:sz w:val="20"/>
                <w:szCs w:val="20"/>
                <w:lang w:eastAsia="en-US"/>
              </w:rPr>
            </w:pPr>
            <w:r w:rsidRPr="006B4436">
              <w:rPr>
                <w:rFonts w:ascii="Arial Narrow" w:hAnsi="Arial Narrow" w:cs="Calibri"/>
                <w:strike/>
                <w:snapToGrid w:val="0"/>
                <w:sz w:val="20"/>
                <w:szCs w:val="20"/>
                <w:lang w:eastAsia="en-US"/>
              </w:rPr>
              <w:t>N/A</w:t>
            </w:r>
          </w:p>
        </w:tc>
      </w:tr>
      <w:tr w:rsidR="006B4436" w:rsidRPr="006B4436" w:rsidTr="007C127C">
        <w:trPr>
          <w:cantSplit/>
          <w:trHeight w:val="360"/>
        </w:trPr>
        <w:tc>
          <w:tcPr>
            <w:tcW w:w="2701"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b/>
                <w:strike/>
                <w:snapToGrid w:val="0"/>
                <w:sz w:val="20"/>
                <w:szCs w:val="20"/>
                <w:lang w:eastAsia="en-US"/>
              </w:rPr>
            </w:pPr>
            <w:r w:rsidRPr="006B4436">
              <w:rPr>
                <w:rFonts w:ascii="Arial Narrow" w:hAnsi="Arial Narrow" w:cs="Calibri"/>
                <w:b/>
                <w:strike/>
                <w:snapToGrid w:val="0"/>
                <w:sz w:val="20"/>
                <w:szCs w:val="20"/>
                <w:lang w:eastAsia="en-US"/>
              </w:rPr>
              <w:t>Foreword</w:t>
            </w:r>
          </w:p>
        </w:tc>
        <w:tc>
          <w:tcPr>
            <w:tcW w:w="6876" w:type="dxa"/>
            <w:tcBorders>
              <w:top w:val="single" w:sz="4" w:space="0" w:color="auto"/>
              <w:left w:val="single" w:sz="4" w:space="0" w:color="auto"/>
              <w:bottom w:val="single" w:sz="4" w:space="0" w:color="auto"/>
              <w:right w:val="single" w:sz="4" w:space="0" w:color="auto"/>
            </w:tcBorders>
            <w:vAlign w:val="bottom"/>
          </w:tcPr>
          <w:p w:rsidR="006B4436" w:rsidRPr="006B4436" w:rsidRDefault="006B4436" w:rsidP="007C127C">
            <w:pPr>
              <w:keepLines/>
              <w:widowControl w:val="0"/>
              <w:contextualSpacing/>
              <w:jc w:val="both"/>
              <w:rPr>
                <w:rFonts w:ascii="Arial Narrow" w:hAnsi="Arial Narrow" w:cs="Calibri"/>
                <w:strike/>
                <w:snapToGrid w:val="0"/>
                <w:sz w:val="20"/>
                <w:szCs w:val="20"/>
                <w:lang w:eastAsia="en-US"/>
              </w:rPr>
            </w:pPr>
            <w:r w:rsidRPr="006B4436">
              <w:rPr>
                <w:rFonts w:ascii="Arial Narrow" w:hAnsi="Arial Narrow" w:cs="Calibri"/>
                <w:strike/>
                <w:snapToGrid w:val="0"/>
                <w:sz w:val="20"/>
                <w:szCs w:val="20"/>
                <w:lang w:eastAsia="en-US"/>
              </w:rPr>
              <w:t>N/A</w:t>
            </w:r>
          </w:p>
        </w:tc>
      </w:tr>
      <w:tr w:rsidR="006B4436" w:rsidRPr="006B4436" w:rsidTr="007C127C">
        <w:trPr>
          <w:cantSplit/>
          <w:trHeight w:val="360"/>
        </w:trPr>
        <w:tc>
          <w:tcPr>
            <w:tcW w:w="2701"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b/>
                <w:strike/>
                <w:snapToGrid w:val="0"/>
                <w:sz w:val="20"/>
                <w:szCs w:val="20"/>
                <w:lang w:eastAsia="en-US"/>
              </w:rPr>
            </w:pPr>
            <w:r w:rsidRPr="006B4436">
              <w:rPr>
                <w:rFonts w:ascii="Arial Narrow" w:hAnsi="Arial Narrow" w:cs="Calibri"/>
                <w:b/>
                <w:strike/>
                <w:snapToGrid w:val="0"/>
                <w:sz w:val="20"/>
                <w:szCs w:val="20"/>
                <w:lang w:eastAsia="en-US"/>
              </w:rPr>
              <w:t>Definitions</w:t>
            </w:r>
          </w:p>
        </w:tc>
        <w:tc>
          <w:tcPr>
            <w:tcW w:w="6876"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strike/>
                <w:snapToGrid w:val="0"/>
                <w:sz w:val="20"/>
                <w:szCs w:val="20"/>
                <w:lang w:eastAsia="en-US"/>
              </w:rPr>
            </w:pPr>
            <w:r w:rsidRPr="006B4436">
              <w:rPr>
                <w:rFonts w:ascii="Arial Narrow" w:hAnsi="Arial Narrow" w:cs="Calibri"/>
                <w:strike/>
                <w:snapToGrid w:val="0"/>
                <w:sz w:val="20"/>
                <w:szCs w:val="20"/>
                <w:lang w:eastAsia="en-US"/>
              </w:rPr>
              <w:t>N/A</w:t>
            </w:r>
          </w:p>
        </w:tc>
      </w:tr>
      <w:tr w:rsidR="006B4436" w:rsidRPr="006B4436" w:rsidTr="007C127C">
        <w:trPr>
          <w:cantSplit/>
          <w:trHeight w:val="360"/>
        </w:trPr>
        <w:tc>
          <w:tcPr>
            <w:tcW w:w="2701"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Prescriber Instructions</w:t>
            </w:r>
          </w:p>
          <w:p w:rsidR="006B4436" w:rsidRPr="006B4436" w:rsidRDefault="006B4436" w:rsidP="007C127C">
            <w:pPr>
              <w:keepLines/>
              <w:widowControl w:val="0"/>
              <w:contextualSpacing/>
              <w:jc w:val="both"/>
              <w:rPr>
                <w:rFonts w:ascii="Arial Narrow" w:hAnsi="Arial Narrow" w:cs="Calibri"/>
                <w:snapToGrid w:val="0"/>
                <w:sz w:val="20"/>
                <w:szCs w:val="20"/>
                <w:lang w:eastAsia="en-US"/>
              </w:rPr>
            </w:pPr>
          </w:p>
        </w:tc>
        <w:tc>
          <w:tcPr>
            <w:tcW w:w="6876"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contextualSpacing/>
              <w:jc w:val="both"/>
              <w:rPr>
                <w:rFonts w:ascii="Arial Narrow" w:hAnsi="Arial Narrow" w:cs="Calibri"/>
                <w:snapToGrid w:val="0"/>
                <w:sz w:val="20"/>
                <w:szCs w:val="20"/>
                <w:lang w:eastAsia="en-US"/>
              </w:rPr>
            </w:pPr>
            <w:r w:rsidRPr="006B4436">
              <w:rPr>
                <w:rFonts w:ascii="Arial Narrow" w:hAnsi="Arial Narrow" w:cs="Calibri"/>
                <w:i/>
                <w:snapToGrid w:val="0"/>
                <w:sz w:val="20"/>
                <w:szCs w:val="20"/>
                <w:lang w:eastAsia="en-US"/>
              </w:rPr>
              <w:t xml:space="preserve">The authority application must be made in writing </w:t>
            </w:r>
            <w:r w:rsidRPr="006B4436">
              <w:rPr>
                <w:rFonts w:ascii="Arial Narrow" w:hAnsi="Arial Narrow" w:cs="Calibri"/>
                <w:strike/>
                <w:snapToGrid w:val="0"/>
                <w:sz w:val="20"/>
                <w:szCs w:val="20"/>
                <w:lang w:eastAsia="en-US"/>
              </w:rPr>
              <w:t>Applications for authorisation of initial treatment must be in writing</w:t>
            </w:r>
            <w:r w:rsidRPr="006B4436">
              <w:rPr>
                <w:rFonts w:ascii="Arial Narrow" w:hAnsi="Arial Narrow" w:cs="Calibri"/>
                <w:snapToGrid w:val="0"/>
                <w:sz w:val="20"/>
                <w:szCs w:val="20"/>
                <w:lang w:eastAsia="en-US"/>
              </w:rPr>
              <w:t xml:space="preserve"> and must include:</w:t>
            </w:r>
          </w:p>
          <w:p w:rsidR="006B4436" w:rsidRPr="006B4436" w:rsidRDefault="006B4436" w:rsidP="007C127C">
            <w:pPr>
              <w:numPr>
                <w:ilvl w:val="0"/>
                <w:numId w:val="15"/>
              </w:numPr>
              <w:tabs>
                <w:tab w:val="left" w:pos="4381"/>
              </w:tabs>
              <w:spacing w:before="120" w:after="120" w:line="276" w:lineRule="auto"/>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t>a completed authority prescription form; and</w:t>
            </w:r>
          </w:p>
          <w:p w:rsidR="006B4436" w:rsidRPr="006B4436" w:rsidRDefault="006B4436" w:rsidP="007C127C">
            <w:pPr>
              <w:numPr>
                <w:ilvl w:val="0"/>
                <w:numId w:val="15"/>
              </w:numPr>
              <w:spacing w:before="120" w:after="120" w:line="276" w:lineRule="auto"/>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t xml:space="preserve">a completed cutaneous T-cell lymphoma (CTCL) </w:t>
            </w:r>
            <w:proofErr w:type="spellStart"/>
            <w:r w:rsidRPr="006B4436">
              <w:rPr>
                <w:rFonts w:ascii="Arial Narrow" w:hAnsi="Arial Narrow" w:cs="Calibri"/>
                <w:snapToGrid w:val="0"/>
                <w:sz w:val="20"/>
                <w:szCs w:val="20"/>
                <w:lang w:eastAsia="en-US"/>
              </w:rPr>
              <w:t>brentuximab</w:t>
            </w:r>
            <w:proofErr w:type="spellEnd"/>
            <w:r w:rsidRPr="006B4436">
              <w:rPr>
                <w:rFonts w:ascii="Arial Narrow" w:hAnsi="Arial Narrow" w:cs="Calibri"/>
                <w:snapToGrid w:val="0"/>
                <w:sz w:val="20"/>
                <w:szCs w:val="20"/>
                <w:lang w:eastAsia="en-US"/>
              </w:rPr>
              <w:t xml:space="preserve"> </w:t>
            </w:r>
            <w:proofErr w:type="spellStart"/>
            <w:r w:rsidRPr="006B4436">
              <w:rPr>
                <w:rFonts w:ascii="Arial Narrow" w:hAnsi="Arial Narrow" w:cs="Calibri"/>
                <w:snapToGrid w:val="0"/>
                <w:sz w:val="20"/>
                <w:szCs w:val="20"/>
                <w:lang w:eastAsia="en-US"/>
              </w:rPr>
              <w:t>vedotin</w:t>
            </w:r>
            <w:proofErr w:type="spellEnd"/>
            <w:r w:rsidRPr="006B4436">
              <w:rPr>
                <w:rFonts w:ascii="Arial Narrow" w:hAnsi="Arial Narrow" w:cs="Calibri"/>
                <w:snapToGrid w:val="0"/>
                <w:sz w:val="20"/>
                <w:szCs w:val="20"/>
                <w:lang w:eastAsia="en-US"/>
              </w:rPr>
              <w:t xml:space="preserve"> PBS Authority Application Supporting Information Form which includes the following:</w:t>
            </w:r>
          </w:p>
          <w:p w:rsidR="006B4436" w:rsidRPr="006B4436" w:rsidRDefault="006B4436" w:rsidP="007C127C">
            <w:pPr>
              <w:numPr>
                <w:ilvl w:val="0"/>
                <w:numId w:val="18"/>
              </w:numPr>
              <w:spacing w:before="120" w:after="120" w:line="276" w:lineRule="auto"/>
              <w:ind w:left="742" w:hanging="425"/>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t xml:space="preserve">Evidence of CD30 positivity, either from a histology report on the tumour sample or from a flow </w:t>
            </w:r>
            <w:proofErr w:type="spellStart"/>
            <w:r w:rsidRPr="006B4436">
              <w:rPr>
                <w:rFonts w:ascii="Arial Narrow" w:hAnsi="Arial Narrow" w:cs="Calibri"/>
                <w:snapToGrid w:val="0"/>
                <w:sz w:val="20"/>
                <w:szCs w:val="20"/>
                <w:lang w:eastAsia="en-US"/>
              </w:rPr>
              <w:t>cytometric</w:t>
            </w:r>
            <w:proofErr w:type="spellEnd"/>
            <w:r w:rsidRPr="006B4436">
              <w:rPr>
                <w:rFonts w:ascii="Arial Narrow" w:hAnsi="Arial Narrow" w:cs="Calibri"/>
                <w:snapToGrid w:val="0"/>
                <w:sz w:val="20"/>
                <w:szCs w:val="20"/>
                <w:lang w:eastAsia="en-US"/>
              </w:rPr>
              <w:t xml:space="preserve"> analysis of the blood; </w:t>
            </w:r>
            <w:r w:rsidRPr="006B4436">
              <w:rPr>
                <w:rFonts w:ascii="Arial Narrow" w:hAnsi="Arial Narrow" w:cs="Calibri"/>
                <w:i/>
                <w:snapToGrid w:val="0"/>
                <w:sz w:val="20"/>
                <w:szCs w:val="20"/>
                <w:lang w:eastAsia="en-US"/>
              </w:rPr>
              <w:t>and</w:t>
            </w:r>
          </w:p>
          <w:p w:rsidR="006B4436" w:rsidRPr="006B4436" w:rsidRDefault="006B4436" w:rsidP="007C127C">
            <w:pPr>
              <w:numPr>
                <w:ilvl w:val="0"/>
                <w:numId w:val="18"/>
              </w:numPr>
              <w:spacing w:before="120" w:after="120" w:line="276" w:lineRule="auto"/>
              <w:ind w:left="742" w:hanging="425"/>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t>Date of commencement and completion of the most r</w:t>
            </w:r>
            <w:r w:rsidR="00D47CAA">
              <w:rPr>
                <w:rFonts w:ascii="Arial Narrow" w:hAnsi="Arial Narrow" w:cs="Calibri"/>
                <w:snapToGrid w:val="0"/>
                <w:sz w:val="20"/>
                <w:szCs w:val="20"/>
                <w:lang w:eastAsia="en-US"/>
              </w:rPr>
              <w:t>ecent prior systemic treatment.</w:t>
            </w:r>
          </w:p>
          <w:p w:rsidR="006B4436" w:rsidRPr="00EF2336" w:rsidRDefault="006B4436" w:rsidP="007C127C">
            <w:pPr>
              <w:numPr>
                <w:ilvl w:val="0"/>
                <w:numId w:val="18"/>
              </w:numPr>
              <w:spacing w:before="120" w:after="120" w:line="276" w:lineRule="auto"/>
              <w:ind w:left="742" w:hanging="425"/>
              <w:contextualSpacing/>
              <w:jc w:val="both"/>
              <w:rPr>
                <w:rFonts w:ascii="Arial Narrow" w:hAnsi="Arial Narrow" w:cs="Calibri"/>
                <w:strike/>
                <w:snapToGrid w:val="0"/>
                <w:sz w:val="20"/>
                <w:szCs w:val="20"/>
                <w:lang w:eastAsia="en-US"/>
              </w:rPr>
            </w:pPr>
            <w:r w:rsidRPr="006B4436">
              <w:rPr>
                <w:rFonts w:ascii="Arial Narrow" w:hAnsi="Arial Narrow" w:cs="Calibri"/>
                <w:strike/>
                <w:snapToGrid w:val="0"/>
                <w:sz w:val="20"/>
                <w:szCs w:val="20"/>
                <w:lang w:eastAsia="en-US"/>
              </w:rPr>
              <w:t>A declaration of whether the patient's disease is relapsed or refractory, and the date and means by which the patient's disease was assessed as being relapsed or refractory.</w:t>
            </w:r>
          </w:p>
        </w:tc>
      </w:tr>
      <w:tr w:rsidR="006B4436" w:rsidRPr="006B4436" w:rsidTr="007C127C">
        <w:trPr>
          <w:cantSplit/>
          <w:trHeight w:val="360"/>
        </w:trPr>
        <w:tc>
          <w:tcPr>
            <w:tcW w:w="2701"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Administrative Advice</w:t>
            </w:r>
          </w:p>
        </w:tc>
        <w:tc>
          <w:tcPr>
            <w:tcW w:w="6876"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jc w:val="both"/>
              <w:rPr>
                <w:rFonts w:ascii="Arial Narrow" w:hAnsi="Arial Narrow" w:cs="Calibri"/>
                <w:i/>
                <w:snapToGrid w:val="0"/>
                <w:sz w:val="20"/>
                <w:szCs w:val="22"/>
                <w:lang w:eastAsia="en-US"/>
              </w:rPr>
            </w:pPr>
            <w:r w:rsidRPr="006B4436">
              <w:rPr>
                <w:rFonts w:ascii="Arial Narrow" w:hAnsi="Arial Narrow" w:cs="Calibri"/>
                <w:i/>
                <w:snapToGrid w:val="0"/>
                <w:sz w:val="20"/>
                <w:szCs w:val="22"/>
                <w:lang w:eastAsia="en-US"/>
              </w:rPr>
              <w:t>No increase in the maximum numbe</w:t>
            </w:r>
            <w:r w:rsidR="00D47CAA">
              <w:rPr>
                <w:rFonts w:ascii="Arial Narrow" w:hAnsi="Arial Narrow" w:cs="Calibri"/>
                <w:i/>
                <w:snapToGrid w:val="0"/>
                <w:sz w:val="20"/>
                <w:szCs w:val="22"/>
                <w:lang w:eastAsia="en-US"/>
              </w:rPr>
              <w:t>r of repeats may be authorised.</w:t>
            </w:r>
          </w:p>
          <w:p w:rsidR="006B4436" w:rsidRPr="006B4436" w:rsidRDefault="006B4436" w:rsidP="007C127C">
            <w:pPr>
              <w:keepLines/>
              <w:widowControl w:val="0"/>
              <w:contextualSpacing/>
              <w:jc w:val="both"/>
              <w:rPr>
                <w:rFonts w:ascii="Arial Narrow" w:hAnsi="Arial Narrow" w:cs="Calibri"/>
                <w:i/>
                <w:snapToGrid w:val="0"/>
                <w:sz w:val="20"/>
                <w:szCs w:val="22"/>
                <w:lang w:eastAsia="en-US"/>
              </w:rPr>
            </w:pPr>
            <w:r w:rsidRPr="006B4436">
              <w:rPr>
                <w:rFonts w:ascii="Arial Narrow" w:hAnsi="Arial Narrow" w:cs="Calibri"/>
                <w:i/>
                <w:snapToGrid w:val="0"/>
                <w:sz w:val="20"/>
                <w:szCs w:val="22"/>
                <w:lang w:eastAsia="en-US"/>
              </w:rPr>
              <w:t>No increase in the maximum quantity or number of units may be authorised.</w:t>
            </w:r>
          </w:p>
          <w:p w:rsidR="006B4436" w:rsidRPr="006B4436" w:rsidRDefault="006B4436" w:rsidP="007C127C">
            <w:pPr>
              <w:keepLines/>
              <w:widowControl w:val="0"/>
              <w:contextualSpacing/>
              <w:jc w:val="both"/>
              <w:rPr>
                <w:rFonts w:ascii="Arial Narrow" w:hAnsi="Arial Narrow" w:cs="Calibri"/>
                <w:i/>
                <w:snapToGrid w:val="0"/>
                <w:sz w:val="20"/>
                <w:szCs w:val="22"/>
                <w:lang w:eastAsia="en-US"/>
              </w:rPr>
            </w:pPr>
            <w:r w:rsidRPr="006B4436">
              <w:rPr>
                <w:rFonts w:ascii="Arial Narrow" w:hAnsi="Arial Narrow" w:cs="Calibri"/>
                <w:i/>
                <w:snapToGrid w:val="0"/>
                <w:sz w:val="20"/>
                <w:szCs w:val="22"/>
                <w:lang w:eastAsia="en-US"/>
              </w:rPr>
              <w:t>Special Pricing Arrangements apply.</w:t>
            </w:r>
          </w:p>
        </w:tc>
      </w:tr>
      <w:tr w:rsidR="006B4436" w:rsidRPr="006B4436" w:rsidTr="007C127C">
        <w:trPr>
          <w:cantSplit/>
          <w:trHeight w:val="360"/>
        </w:trPr>
        <w:tc>
          <w:tcPr>
            <w:tcW w:w="2701"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Cautions</w:t>
            </w:r>
          </w:p>
        </w:tc>
        <w:tc>
          <w:tcPr>
            <w:tcW w:w="6876" w:type="dxa"/>
            <w:tcBorders>
              <w:top w:val="single" w:sz="4" w:space="0" w:color="auto"/>
              <w:left w:val="single" w:sz="4" w:space="0" w:color="auto"/>
              <w:bottom w:val="single" w:sz="4" w:space="0" w:color="auto"/>
              <w:right w:val="single" w:sz="4" w:space="0" w:color="auto"/>
            </w:tcBorders>
          </w:tcPr>
          <w:p w:rsidR="006B4436" w:rsidRPr="006B4436" w:rsidRDefault="006B4436" w:rsidP="007C127C">
            <w:pPr>
              <w:keepLines/>
              <w:widowControl w:val="0"/>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t>N/A</w:t>
            </w:r>
          </w:p>
        </w:tc>
      </w:tr>
    </w:tbl>
    <w:p w:rsidR="00083BDD" w:rsidRDefault="00083BDD"/>
    <w:tbl>
      <w:tblPr>
        <w:tblW w:w="5000" w:type="pct"/>
        <w:tblLook w:val="0000" w:firstRow="0" w:lastRow="0" w:firstColumn="0" w:lastColumn="0" w:noHBand="0" w:noVBand="0"/>
      </w:tblPr>
      <w:tblGrid>
        <w:gridCol w:w="2916"/>
        <w:gridCol w:w="834"/>
        <w:gridCol w:w="693"/>
        <w:gridCol w:w="1805"/>
        <w:gridCol w:w="1527"/>
        <w:gridCol w:w="1251"/>
      </w:tblGrid>
      <w:tr w:rsidR="007658DF" w:rsidRPr="006B4436" w:rsidTr="006B4436">
        <w:trPr>
          <w:trHeight w:val="471"/>
        </w:trPr>
        <w:tc>
          <w:tcPr>
            <w:tcW w:w="1615" w:type="pct"/>
            <w:tcBorders>
              <w:bottom w:val="single" w:sz="4" w:space="0" w:color="auto"/>
            </w:tcBorders>
          </w:tcPr>
          <w:p w:rsidR="007658DF" w:rsidRPr="006B4436" w:rsidRDefault="007658DF" w:rsidP="007658DF">
            <w:pPr>
              <w:widowControl w:val="0"/>
              <w:ind w:left="-108"/>
              <w:jc w:val="both"/>
              <w:rPr>
                <w:rFonts w:ascii="Arial Narrow" w:hAnsi="Arial Narrow" w:cs="Arial"/>
                <w:b/>
                <w:snapToGrid w:val="0"/>
                <w:sz w:val="20"/>
                <w:szCs w:val="20"/>
                <w:lang w:eastAsia="en-US"/>
              </w:rPr>
            </w:pPr>
            <w:r w:rsidRPr="006B4436">
              <w:rPr>
                <w:rFonts w:ascii="Arial Narrow" w:hAnsi="Arial Narrow" w:cs="Arial"/>
                <w:b/>
                <w:snapToGrid w:val="0"/>
                <w:sz w:val="20"/>
                <w:szCs w:val="20"/>
                <w:lang w:eastAsia="en-US"/>
              </w:rPr>
              <w:t>Name, Restriction,</w:t>
            </w:r>
          </w:p>
          <w:p w:rsidR="007658DF" w:rsidRPr="006B4436" w:rsidRDefault="007658DF" w:rsidP="007658DF">
            <w:pPr>
              <w:widowControl w:val="0"/>
              <w:ind w:left="-108"/>
              <w:jc w:val="both"/>
              <w:rPr>
                <w:rFonts w:ascii="Arial Narrow" w:hAnsi="Arial Narrow" w:cs="Arial"/>
                <w:b/>
                <w:snapToGrid w:val="0"/>
                <w:sz w:val="20"/>
                <w:szCs w:val="20"/>
                <w:lang w:eastAsia="en-US"/>
              </w:rPr>
            </w:pPr>
            <w:r w:rsidRPr="006B4436">
              <w:rPr>
                <w:rFonts w:ascii="Arial Narrow" w:hAnsi="Arial Narrow" w:cs="Arial"/>
                <w:b/>
                <w:snapToGrid w:val="0"/>
                <w:sz w:val="20"/>
                <w:szCs w:val="20"/>
                <w:lang w:eastAsia="en-US"/>
              </w:rPr>
              <w:t>Manner of administration and form</w:t>
            </w:r>
          </w:p>
        </w:tc>
        <w:tc>
          <w:tcPr>
            <w:tcW w:w="462" w:type="pct"/>
            <w:tcBorders>
              <w:bottom w:val="single" w:sz="4" w:space="0" w:color="auto"/>
            </w:tcBorders>
          </w:tcPr>
          <w:p w:rsidR="007658DF" w:rsidRPr="006B4436" w:rsidRDefault="007658DF" w:rsidP="007658DF">
            <w:pPr>
              <w:widowControl w:val="0"/>
              <w:ind w:left="-108"/>
              <w:jc w:val="both"/>
              <w:rPr>
                <w:rFonts w:ascii="Arial Narrow" w:hAnsi="Arial Narrow" w:cs="Arial"/>
                <w:b/>
                <w:snapToGrid w:val="0"/>
                <w:sz w:val="20"/>
                <w:szCs w:val="20"/>
                <w:lang w:eastAsia="en-US"/>
              </w:rPr>
            </w:pPr>
            <w:r w:rsidRPr="006B4436">
              <w:rPr>
                <w:rFonts w:ascii="Arial Narrow" w:hAnsi="Arial Narrow" w:cs="Arial"/>
                <w:b/>
                <w:snapToGrid w:val="0"/>
                <w:sz w:val="20"/>
                <w:szCs w:val="20"/>
                <w:lang w:eastAsia="en-US"/>
              </w:rPr>
              <w:t>Max.</w:t>
            </w:r>
          </w:p>
          <w:p w:rsidR="007658DF" w:rsidRPr="006B4436" w:rsidRDefault="007658DF" w:rsidP="007658DF">
            <w:pPr>
              <w:widowControl w:val="0"/>
              <w:ind w:left="-108"/>
              <w:jc w:val="both"/>
              <w:rPr>
                <w:rFonts w:ascii="Arial Narrow" w:hAnsi="Arial Narrow" w:cs="Arial"/>
                <w:b/>
                <w:snapToGrid w:val="0"/>
                <w:sz w:val="20"/>
                <w:szCs w:val="20"/>
                <w:lang w:eastAsia="en-US"/>
              </w:rPr>
            </w:pPr>
            <w:proofErr w:type="spellStart"/>
            <w:r w:rsidRPr="006B4436">
              <w:rPr>
                <w:rFonts w:ascii="Arial Narrow" w:hAnsi="Arial Narrow" w:cs="Arial"/>
                <w:b/>
                <w:snapToGrid w:val="0"/>
                <w:sz w:val="20"/>
                <w:szCs w:val="20"/>
                <w:lang w:eastAsia="en-US"/>
              </w:rPr>
              <w:t>Qty</w:t>
            </w:r>
            <w:proofErr w:type="spellEnd"/>
          </w:p>
        </w:tc>
        <w:tc>
          <w:tcPr>
            <w:tcW w:w="384" w:type="pct"/>
            <w:tcBorders>
              <w:bottom w:val="single" w:sz="4" w:space="0" w:color="auto"/>
            </w:tcBorders>
          </w:tcPr>
          <w:p w:rsidR="007658DF" w:rsidRPr="006B4436" w:rsidRDefault="007658DF" w:rsidP="007658DF">
            <w:pPr>
              <w:widowControl w:val="0"/>
              <w:ind w:left="-108"/>
              <w:jc w:val="both"/>
              <w:rPr>
                <w:rFonts w:ascii="Arial Narrow" w:hAnsi="Arial Narrow" w:cs="Arial"/>
                <w:b/>
                <w:snapToGrid w:val="0"/>
                <w:sz w:val="20"/>
                <w:szCs w:val="20"/>
                <w:lang w:eastAsia="en-US"/>
              </w:rPr>
            </w:pPr>
            <w:r w:rsidRPr="006B4436">
              <w:rPr>
                <w:rFonts w:ascii="Arial Narrow" w:hAnsi="Arial Narrow" w:cs="Arial"/>
                <w:b/>
                <w:snapToGrid w:val="0"/>
                <w:sz w:val="20"/>
                <w:szCs w:val="20"/>
                <w:lang w:eastAsia="en-US"/>
              </w:rPr>
              <w:t>№.of</w:t>
            </w:r>
          </w:p>
          <w:p w:rsidR="007658DF" w:rsidRPr="006B4436" w:rsidRDefault="007658DF" w:rsidP="007658DF">
            <w:pPr>
              <w:widowControl w:val="0"/>
              <w:ind w:left="-108"/>
              <w:jc w:val="both"/>
              <w:rPr>
                <w:rFonts w:ascii="Arial Narrow" w:hAnsi="Arial Narrow" w:cs="Arial"/>
                <w:b/>
                <w:snapToGrid w:val="0"/>
                <w:sz w:val="20"/>
                <w:szCs w:val="20"/>
                <w:lang w:eastAsia="en-US"/>
              </w:rPr>
            </w:pPr>
            <w:proofErr w:type="spellStart"/>
            <w:r w:rsidRPr="006B4436">
              <w:rPr>
                <w:rFonts w:ascii="Arial Narrow" w:hAnsi="Arial Narrow" w:cs="Arial"/>
                <w:b/>
                <w:snapToGrid w:val="0"/>
                <w:sz w:val="20"/>
                <w:szCs w:val="20"/>
                <w:lang w:eastAsia="en-US"/>
              </w:rPr>
              <w:t>Rpts</w:t>
            </w:r>
            <w:proofErr w:type="spellEnd"/>
          </w:p>
        </w:tc>
        <w:tc>
          <w:tcPr>
            <w:tcW w:w="1000" w:type="pct"/>
            <w:tcBorders>
              <w:bottom w:val="single" w:sz="4" w:space="0" w:color="auto"/>
            </w:tcBorders>
          </w:tcPr>
          <w:p w:rsidR="007658DF" w:rsidRPr="006B4436" w:rsidRDefault="007658DF" w:rsidP="007658DF">
            <w:pPr>
              <w:widowControl w:val="0"/>
              <w:ind w:left="-108"/>
              <w:jc w:val="both"/>
              <w:rPr>
                <w:rFonts w:ascii="Arial Narrow" w:hAnsi="Arial Narrow" w:cs="Arial"/>
                <w:b/>
                <w:snapToGrid w:val="0"/>
                <w:sz w:val="20"/>
                <w:szCs w:val="20"/>
                <w:lang w:eastAsia="en-US"/>
              </w:rPr>
            </w:pPr>
            <w:r w:rsidRPr="006B4436">
              <w:rPr>
                <w:rFonts w:ascii="Arial Narrow" w:hAnsi="Arial Narrow" w:cs="Arial"/>
                <w:b/>
                <w:snapToGrid w:val="0"/>
                <w:sz w:val="20"/>
                <w:szCs w:val="20"/>
                <w:lang w:eastAsia="en-US"/>
              </w:rPr>
              <w:t xml:space="preserve">Dispensed Price for Max. </w:t>
            </w:r>
            <w:proofErr w:type="spellStart"/>
            <w:r w:rsidRPr="006B4436">
              <w:rPr>
                <w:rFonts w:ascii="Arial Narrow" w:hAnsi="Arial Narrow" w:cs="Arial"/>
                <w:b/>
                <w:snapToGrid w:val="0"/>
                <w:sz w:val="20"/>
                <w:szCs w:val="20"/>
                <w:lang w:eastAsia="en-US"/>
              </w:rPr>
              <w:t>Qty</w:t>
            </w:r>
            <w:proofErr w:type="spellEnd"/>
            <w:r w:rsidR="00AE64E3" w:rsidRPr="006B4436">
              <w:rPr>
                <w:rStyle w:val="FootnoteReference"/>
                <w:rFonts w:ascii="Arial Narrow" w:hAnsi="Arial Narrow" w:cs="Arial"/>
                <w:b/>
                <w:snapToGrid w:val="0"/>
                <w:sz w:val="20"/>
                <w:szCs w:val="20"/>
                <w:lang w:eastAsia="en-US"/>
              </w:rPr>
              <w:footnoteReference w:id="2"/>
            </w:r>
          </w:p>
        </w:tc>
        <w:tc>
          <w:tcPr>
            <w:tcW w:w="1539" w:type="pct"/>
            <w:gridSpan w:val="2"/>
            <w:tcBorders>
              <w:bottom w:val="single" w:sz="4" w:space="0" w:color="auto"/>
            </w:tcBorders>
          </w:tcPr>
          <w:p w:rsidR="007658DF" w:rsidRPr="006B4436" w:rsidRDefault="007658DF" w:rsidP="007658DF">
            <w:pPr>
              <w:widowControl w:val="0"/>
              <w:jc w:val="both"/>
              <w:rPr>
                <w:rFonts w:ascii="Arial Narrow" w:hAnsi="Arial Narrow" w:cs="Arial"/>
                <w:b/>
                <w:snapToGrid w:val="0"/>
                <w:sz w:val="20"/>
                <w:szCs w:val="20"/>
                <w:lang w:val="fr-FR" w:eastAsia="en-US"/>
              </w:rPr>
            </w:pPr>
            <w:r w:rsidRPr="006B4436">
              <w:rPr>
                <w:rFonts w:ascii="Arial Narrow" w:hAnsi="Arial Narrow" w:cs="Arial"/>
                <w:b/>
                <w:snapToGrid w:val="0"/>
                <w:sz w:val="20"/>
                <w:szCs w:val="20"/>
                <w:lang w:eastAsia="en-US"/>
              </w:rPr>
              <w:t>Proprietary Name and Manufacturer</w:t>
            </w:r>
          </w:p>
        </w:tc>
      </w:tr>
      <w:tr w:rsidR="007658DF" w:rsidRPr="006B4436" w:rsidTr="006B4436">
        <w:trPr>
          <w:trHeight w:val="577"/>
        </w:trPr>
        <w:tc>
          <w:tcPr>
            <w:tcW w:w="1615" w:type="pct"/>
          </w:tcPr>
          <w:p w:rsidR="007658DF" w:rsidRPr="006B4436" w:rsidRDefault="007658DF" w:rsidP="007658DF">
            <w:pPr>
              <w:widowControl w:val="0"/>
              <w:ind w:left="-108"/>
              <w:jc w:val="both"/>
              <w:rPr>
                <w:rFonts w:ascii="Arial Narrow" w:hAnsi="Arial Narrow" w:cs="Arial"/>
                <w:snapToGrid w:val="0"/>
                <w:sz w:val="20"/>
                <w:szCs w:val="20"/>
                <w:lang w:eastAsia="en-US"/>
              </w:rPr>
            </w:pPr>
            <w:proofErr w:type="spellStart"/>
            <w:r w:rsidRPr="006B4436">
              <w:rPr>
                <w:rFonts w:ascii="Arial Narrow" w:hAnsi="Arial Narrow" w:cs="Calibri"/>
                <w:smallCaps/>
                <w:snapToGrid w:val="0"/>
                <w:sz w:val="20"/>
                <w:szCs w:val="20"/>
                <w:lang w:eastAsia="en-US"/>
              </w:rPr>
              <w:t>Brentuximab</w:t>
            </w:r>
            <w:proofErr w:type="spellEnd"/>
            <w:r w:rsidRPr="006B4436">
              <w:rPr>
                <w:rFonts w:ascii="Arial Narrow" w:hAnsi="Arial Narrow" w:cs="Calibri"/>
                <w:smallCaps/>
                <w:snapToGrid w:val="0"/>
                <w:sz w:val="20"/>
                <w:szCs w:val="20"/>
                <w:lang w:eastAsia="en-US"/>
              </w:rPr>
              <w:t xml:space="preserve"> </w:t>
            </w:r>
            <w:proofErr w:type="spellStart"/>
            <w:r w:rsidRPr="006B4436">
              <w:rPr>
                <w:rFonts w:ascii="Arial Narrow" w:hAnsi="Arial Narrow" w:cs="Calibri"/>
                <w:smallCaps/>
                <w:snapToGrid w:val="0"/>
                <w:sz w:val="20"/>
                <w:szCs w:val="20"/>
                <w:lang w:eastAsia="en-US"/>
              </w:rPr>
              <w:t>vedotin</w:t>
            </w:r>
            <w:proofErr w:type="spellEnd"/>
          </w:p>
          <w:p w:rsidR="007658DF" w:rsidRPr="006B4436" w:rsidRDefault="007658DF" w:rsidP="007658DF">
            <w:pPr>
              <w:widowControl w:val="0"/>
              <w:ind w:left="-108"/>
              <w:jc w:val="both"/>
              <w:rPr>
                <w:rFonts w:ascii="Arial Narrow" w:hAnsi="Arial Narrow" w:cs="Arial"/>
                <w:snapToGrid w:val="0"/>
                <w:sz w:val="20"/>
                <w:szCs w:val="20"/>
                <w:lang w:eastAsia="en-US"/>
              </w:rPr>
            </w:pPr>
            <w:r w:rsidRPr="006B4436">
              <w:rPr>
                <w:rFonts w:ascii="Arial Narrow" w:hAnsi="Arial Narrow" w:cs="Calibri"/>
                <w:snapToGrid w:val="0"/>
                <w:sz w:val="20"/>
                <w:szCs w:val="20"/>
                <w:lang w:eastAsia="en-US"/>
              </w:rPr>
              <w:t>50 mg injection, 1 vial</w:t>
            </w:r>
          </w:p>
        </w:tc>
        <w:tc>
          <w:tcPr>
            <w:tcW w:w="462" w:type="pct"/>
          </w:tcPr>
          <w:p w:rsidR="007658DF" w:rsidRPr="006B4436" w:rsidRDefault="007658DF" w:rsidP="007658DF">
            <w:pPr>
              <w:widowControl w:val="0"/>
              <w:ind w:left="-108"/>
              <w:jc w:val="both"/>
              <w:rPr>
                <w:rFonts w:ascii="Arial Narrow" w:hAnsi="Arial Narrow" w:cs="Arial"/>
                <w:snapToGrid w:val="0"/>
                <w:sz w:val="20"/>
                <w:szCs w:val="20"/>
                <w:lang w:eastAsia="en-US"/>
              </w:rPr>
            </w:pPr>
            <w:r w:rsidRPr="006B4436">
              <w:rPr>
                <w:rFonts w:ascii="Arial Narrow" w:hAnsi="Arial Narrow" w:cs="Arial"/>
                <w:snapToGrid w:val="0"/>
                <w:sz w:val="20"/>
                <w:szCs w:val="20"/>
                <w:lang w:eastAsia="en-US"/>
              </w:rPr>
              <w:t>200 mg</w:t>
            </w:r>
          </w:p>
        </w:tc>
        <w:tc>
          <w:tcPr>
            <w:tcW w:w="384" w:type="pct"/>
          </w:tcPr>
          <w:p w:rsidR="007658DF" w:rsidRPr="006B4436" w:rsidRDefault="007658DF" w:rsidP="007658DF">
            <w:pPr>
              <w:widowControl w:val="0"/>
              <w:ind w:left="-108"/>
              <w:jc w:val="both"/>
              <w:rPr>
                <w:rFonts w:ascii="Arial Narrow" w:hAnsi="Arial Narrow" w:cs="Arial"/>
                <w:snapToGrid w:val="0"/>
                <w:sz w:val="20"/>
                <w:szCs w:val="20"/>
                <w:lang w:eastAsia="en-US"/>
              </w:rPr>
            </w:pPr>
            <w:r w:rsidRPr="006B4436">
              <w:rPr>
                <w:rFonts w:ascii="Arial Narrow" w:hAnsi="Arial Narrow" w:cs="Arial"/>
                <w:snapToGrid w:val="0"/>
                <w:sz w:val="20"/>
                <w:szCs w:val="20"/>
                <w:lang w:eastAsia="en-US"/>
              </w:rPr>
              <w:t>11</w:t>
            </w:r>
          </w:p>
        </w:tc>
        <w:tc>
          <w:tcPr>
            <w:tcW w:w="1000" w:type="pct"/>
          </w:tcPr>
          <w:p w:rsidR="00F22B60" w:rsidRPr="006B4436" w:rsidRDefault="00F22B60" w:rsidP="00F22B60">
            <w:pPr>
              <w:keepLines/>
              <w:widowControl w:val="0"/>
              <w:ind w:left="-108"/>
              <w:jc w:val="both"/>
              <w:rPr>
                <w:rFonts w:ascii="Arial Narrow" w:hAnsi="Arial Narrow" w:cs="Arial"/>
                <w:snapToGrid w:val="0"/>
                <w:sz w:val="20"/>
                <w:szCs w:val="20"/>
                <w:u w:val="single"/>
                <w:lang w:eastAsia="en-US"/>
              </w:rPr>
            </w:pPr>
            <w:r w:rsidRPr="006B4436">
              <w:rPr>
                <w:rFonts w:ascii="Arial Narrow" w:hAnsi="Arial Narrow" w:cs="Arial"/>
                <w:snapToGrid w:val="0"/>
                <w:sz w:val="20"/>
                <w:szCs w:val="20"/>
                <w:u w:val="single"/>
                <w:lang w:eastAsia="en-US"/>
              </w:rPr>
              <w:t>Published</w:t>
            </w:r>
          </w:p>
          <w:p w:rsidR="00F22B60" w:rsidRPr="006B4436" w:rsidRDefault="00F22B60" w:rsidP="00F22B60">
            <w:pPr>
              <w:keepLines/>
              <w:widowControl w:val="0"/>
              <w:ind w:left="-108"/>
              <w:jc w:val="both"/>
              <w:rPr>
                <w:rFonts w:ascii="Arial Narrow" w:hAnsi="Arial Narrow" w:cs="Arial"/>
                <w:snapToGrid w:val="0"/>
                <w:sz w:val="20"/>
                <w:szCs w:val="20"/>
                <w:lang w:eastAsia="en-US"/>
              </w:rPr>
            </w:pPr>
            <w:r w:rsidRPr="006B4436">
              <w:rPr>
                <w:rFonts w:ascii="Arial Narrow" w:hAnsi="Arial Narrow" w:cs="Arial"/>
                <w:snapToGrid w:val="0"/>
                <w:sz w:val="20"/>
                <w:szCs w:val="20"/>
                <w:lang w:eastAsia="en-US"/>
              </w:rPr>
              <w:t>Public: $21,283.83</w:t>
            </w:r>
          </w:p>
          <w:p w:rsidR="00083BDD" w:rsidRPr="00252627" w:rsidRDefault="00F22B60" w:rsidP="00252627">
            <w:pPr>
              <w:keepLines/>
              <w:widowControl w:val="0"/>
              <w:ind w:left="-108"/>
              <w:jc w:val="both"/>
              <w:rPr>
                <w:rFonts w:ascii="Arial Narrow" w:hAnsi="Arial Narrow" w:cs="Arial"/>
                <w:snapToGrid w:val="0"/>
                <w:sz w:val="20"/>
                <w:szCs w:val="20"/>
                <w:lang w:eastAsia="en-US"/>
              </w:rPr>
            </w:pPr>
            <w:r w:rsidRPr="006B4436">
              <w:rPr>
                <w:rFonts w:ascii="Arial Narrow" w:hAnsi="Arial Narrow" w:cs="Arial"/>
                <w:snapToGrid w:val="0"/>
                <w:sz w:val="20"/>
                <w:szCs w:val="20"/>
                <w:lang w:eastAsia="en-US"/>
              </w:rPr>
              <w:t>Private: $21,619.27</w:t>
            </w:r>
          </w:p>
          <w:p w:rsidR="00F22B60" w:rsidRPr="006B4436" w:rsidRDefault="00F22B60" w:rsidP="00F22B60">
            <w:pPr>
              <w:keepLines/>
              <w:widowControl w:val="0"/>
              <w:ind w:left="-108"/>
              <w:jc w:val="both"/>
              <w:rPr>
                <w:rFonts w:ascii="Arial Narrow" w:hAnsi="Arial Narrow" w:cs="Arial"/>
                <w:snapToGrid w:val="0"/>
                <w:sz w:val="20"/>
                <w:szCs w:val="20"/>
                <w:u w:val="single"/>
                <w:lang w:eastAsia="en-US"/>
              </w:rPr>
            </w:pPr>
            <w:r w:rsidRPr="006B4436">
              <w:rPr>
                <w:rFonts w:ascii="Arial Narrow" w:hAnsi="Arial Narrow" w:cs="Arial"/>
                <w:snapToGrid w:val="0"/>
                <w:sz w:val="20"/>
                <w:szCs w:val="20"/>
                <w:u w:val="single"/>
                <w:lang w:eastAsia="en-US"/>
              </w:rPr>
              <w:t>Effective</w:t>
            </w:r>
          </w:p>
          <w:p w:rsidR="00F22B60" w:rsidRPr="00146494" w:rsidRDefault="00F22B60" w:rsidP="00F22B60">
            <w:pPr>
              <w:keepLines/>
              <w:widowControl w:val="0"/>
              <w:ind w:left="-108"/>
              <w:jc w:val="both"/>
              <w:rPr>
                <w:rFonts w:ascii="Arial Narrow" w:hAnsi="Arial Narrow" w:cs="Arial"/>
                <w:snapToGrid w:val="0"/>
                <w:sz w:val="20"/>
                <w:szCs w:val="20"/>
                <w:lang w:eastAsia="en-US"/>
              </w:rPr>
            </w:pPr>
            <w:r w:rsidRPr="006B4436">
              <w:rPr>
                <w:rFonts w:ascii="Arial Narrow" w:hAnsi="Arial Narrow" w:cs="Arial"/>
                <w:snapToGrid w:val="0"/>
                <w:sz w:val="20"/>
                <w:szCs w:val="20"/>
                <w:lang w:eastAsia="en-US"/>
              </w:rPr>
              <w:t>Public: $</w:t>
            </w:r>
            <w:r w:rsidR="00146494">
              <w:rPr>
                <w:rFonts w:ascii="Arial Narrow" w:hAnsi="Arial Narrow" w:cs="Arial"/>
                <w:noProof/>
                <w:snapToGrid w:val="0"/>
                <w:color w:val="000000"/>
                <w:sz w:val="20"/>
                <w:szCs w:val="20"/>
                <w:highlight w:val="black"/>
                <w:lang w:eastAsia="en-US"/>
              </w:rPr>
              <w:t>'''''''''''''''''''</w:t>
            </w:r>
          </w:p>
          <w:p w:rsidR="007658DF" w:rsidRPr="006B4436" w:rsidRDefault="00F22B60" w:rsidP="00F22B60">
            <w:pPr>
              <w:keepLines/>
              <w:widowControl w:val="0"/>
              <w:ind w:left="-108"/>
              <w:jc w:val="both"/>
              <w:rPr>
                <w:rFonts w:ascii="Arial Narrow" w:hAnsi="Arial Narrow" w:cs="Arial"/>
                <w:snapToGrid w:val="0"/>
                <w:sz w:val="20"/>
                <w:szCs w:val="20"/>
                <w:lang w:eastAsia="en-US"/>
              </w:rPr>
            </w:pPr>
            <w:r w:rsidRPr="006B4436">
              <w:rPr>
                <w:rFonts w:ascii="Arial Narrow" w:hAnsi="Arial Narrow" w:cs="Arial"/>
                <w:snapToGrid w:val="0"/>
                <w:sz w:val="20"/>
                <w:szCs w:val="20"/>
                <w:lang w:eastAsia="en-US"/>
              </w:rPr>
              <w:t>Private: $</w:t>
            </w:r>
            <w:r w:rsidR="00146494">
              <w:rPr>
                <w:rFonts w:ascii="Arial Narrow" w:hAnsi="Arial Narrow" w:cs="Arial"/>
                <w:noProof/>
                <w:snapToGrid w:val="0"/>
                <w:color w:val="000000"/>
                <w:sz w:val="20"/>
                <w:szCs w:val="20"/>
                <w:highlight w:val="black"/>
                <w:lang w:eastAsia="en-US"/>
              </w:rPr>
              <w:t>'''''''''''''''''''</w:t>
            </w:r>
          </w:p>
        </w:tc>
        <w:tc>
          <w:tcPr>
            <w:tcW w:w="846" w:type="pct"/>
          </w:tcPr>
          <w:p w:rsidR="007658DF" w:rsidRPr="006B4436" w:rsidRDefault="007658DF" w:rsidP="007658DF">
            <w:pPr>
              <w:widowControl w:val="0"/>
              <w:jc w:val="both"/>
              <w:rPr>
                <w:rFonts w:ascii="Arial Narrow" w:hAnsi="Arial Narrow" w:cs="Arial"/>
                <w:snapToGrid w:val="0"/>
                <w:sz w:val="20"/>
                <w:szCs w:val="20"/>
                <w:lang w:eastAsia="en-US"/>
              </w:rPr>
            </w:pPr>
            <w:proofErr w:type="spellStart"/>
            <w:r w:rsidRPr="006B4436">
              <w:rPr>
                <w:rFonts w:ascii="Arial Narrow" w:hAnsi="Arial Narrow" w:cs="Arial"/>
                <w:snapToGrid w:val="0"/>
                <w:sz w:val="20"/>
                <w:szCs w:val="20"/>
                <w:lang w:eastAsia="en-US"/>
              </w:rPr>
              <w:t>Adcetris</w:t>
            </w:r>
            <w:proofErr w:type="spellEnd"/>
          </w:p>
        </w:tc>
        <w:tc>
          <w:tcPr>
            <w:tcW w:w="693" w:type="pct"/>
          </w:tcPr>
          <w:p w:rsidR="007658DF" w:rsidRPr="006B4436" w:rsidRDefault="007658DF" w:rsidP="007658DF">
            <w:pPr>
              <w:widowControl w:val="0"/>
              <w:jc w:val="both"/>
              <w:rPr>
                <w:rFonts w:ascii="Arial Narrow" w:hAnsi="Arial Narrow" w:cs="Arial"/>
                <w:snapToGrid w:val="0"/>
                <w:sz w:val="20"/>
                <w:szCs w:val="20"/>
                <w:lang w:eastAsia="en-US"/>
              </w:rPr>
            </w:pPr>
            <w:r w:rsidRPr="006B4436">
              <w:rPr>
                <w:rFonts w:ascii="Arial Narrow" w:hAnsi="Arial Narrow" w:cs="Arial"/>
                <w:snapToGrid w:val="0"/>
                <w:sz w:val="20"/>
                <w:szCs w:val="20"/>
                <w:lang w:eastAsia="en-US"/>
              </w:rPr>
              <w:t>Takeda</w:t>
            </w:r>
          </w:p>
        </w:tc>
      </w:tr>
    </w:tbl>
    <w:p w:rsidR="007658DF" w:rsidRPr="006B4436" w:rsidRDefault="007658DF" w:rsidP="007658DF">
      <w:pPr>
        <w:widowControl w:val="0"/>
        <w:jc w:val="both"/>
        <w:rPr>
          <w:rFonts w:ascii="Arial Narrow" w:hAnsi="Arial Narrow" w:cs="Arial"/>
          <w:snapToGrid w:val="0"/>
          <w:sz w:val="22"/>
          <w:szCs w:val="22"/>
          <w:lang w:eastAsia="en-US"/>
        </w:rPr>
      </w:pPr>
    </w:p>
    <w:tbl>
      <w:tblPr>
        <w:tblW w:w="9072" w:type="dxa"/>
        <w:tblInd w:w="108" w:type="dxa"/>
        <w:tblLayout w:type="fixed"/>
        <w:tblLook w:val="0000" w:firstRow="0" w:lastRow="0" w:firstColumn="0" w:lastColumn="0" w:noHBand="0" w:noVBand="0"/>
      </w:tblPr>
      <w:tblGrid>
        <w:gridCol w:w="2127"/>
        <w:gridCol w:w="6945"/>
      </w:tblGrid>
      <w:tr w:rsidR="007658DF" w:rsidRPr="006B4436" w:rsidTr="007658DF">
        <w:trPr>
          <w:cantSplit/>
          <w:trHeight w:val="360"/>
        </w:trPr>
        <w:tc>
          <w:tcPr>
            <w:tcW w:w="2127"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Category / program</w:t>
            </w:r>
          </w:p>
        </w:tc>
        <w:tc>
          <w:tcPr>
            <w:tcW w:w="6945"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snapToGrid w:val="0"/>
                <w:sz w:val="20"/>
                <w:szCs w:val="22"/>
                <w:lang w:eastAsia="en-US"/>
              </w:rPr>
            </w:pPr>
            <w:r w:rsidRPr="006B4436">
              <w:rPr>
                <w:rFonts w:ascii="Arial Narrow" w:hAnsi="Arial Narrow" w:cs="Calibri"/>
                <w:snapToGrid w:val="0"/>
                <w:sz w:val="20"/>
                <w:szCs w:val="20"/>
                <w:lang w:eastAsia="en-US"/>
              </w:rPr>
              <w:t>Section 100 – Efficient Funding of Chemotherapy</w:t>
            </w:r>
          </w:p>
        </w:tc>
      </w:tr>
      <w:tr w:rsidR="007658DF" w:rsidRPr="006B4436" w:rsidTr="007658DF">
        <w:trPr>
          <w:cantSplit/>
          <w:trHeight w:val="360"/>
        </w:trPr>
        <w:tc>
          <w:tcPr>
            <w:tcW w:w="2127"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b/>
                <w:strike/>
                <w:snapToGrid w:val="0"/>
                <w:sz w:val="20"/>
                <w:szCs w:val="20"/>
                <w:lang w:eastAsia="en-US"/>
              </w:rPr>
            </w:pPr>
            <w:proofErr w:type="spellStart"/>
            <w:r w:rsidRPr="006B4436">
              <w:rPr>
                <w:rFonts w:ascii="Arial Narrow" w:hAnsi="Arial Narrow" w:cs="Calibri"/>
                <w:b/>
                <w:strike/>
                <w:snapToGrid w:val="0"/>
                <w:sz w:val="20"/>
                <w:szCs w:val="20"/>
                <w:lang w:eastAsia="en-US"/>
              </w:rPr>
              <w:t>Episodicity</w:t>
            </w:r>
            <w:proofErr w:type="spellEnd"/>
            <w:r w:rsidRPr="006B4436">
              <w:rPr>
                <w:rFonts w:ascii="Arial Narrow" w:hAnsi="Arial Narrow" w:cs="Calibri"/>
                <w:b/>
                <w:strike/>
                <w:snapToGrid w:val="0"/>
                <w:sz w:val="20"/>
                <w:szCs w:val="20"/>
                <w:lang w:eastAsia="en-US"/>
              </w:rPr>
              <w:t>:</w:t>
            </w:r>
          </w:p>
        </w:tc>
        <w:tc>
          <w:tcPr>
            <w:tcW w:w="6945"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strike/>
                <w:snapToGrid w:val="0"/>
                <w:sz w:val="20"/>
                <w:szCs w:val="22"/>
                <w:lang w:eastAsia="en-US"/>
              </w:rPr>
            </w:pPr>
            <w:r w:rsidRPr="006B4436">
              <w:rPr>
                <w:rFonts w:ascii="Arial Narrow" w:hAnsi="Arial Narrow" w:cs="Calibri"/>
                <w:strike/>
                <w:snapToGrid w:val="0"/>
                <w:sz w:val="20"/>
                <w:szCs w:val="22"/>
                <w:lang w:eastAsia="en-US"/>
              </w:rPr>
              <w:t>Chronic</w:t>
            </w:r>
          </w:p>
        </w:tc>
      </w:tr>
      <w:tr w:rsidR="007658DF" w:rsidRPr="006B4436" w:rsidTr="007658DF">
        <w:trPr>
          <w:cantSplit/>
          <w:trHeight w:val="360"/>
        </w:trPr>
        <w:tc>
          <w:tcPr>
            <w:tcW w:w="2127"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Severity:</w:t>
            </w:r>
          </w:p>
        </w:tc>
        <w:tc>
          <w:tcPr>
            <w:tcW w:w="6945"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snapToGrid w:val="0"/>
                <w:sz w:val="20"/>
                <w:szCs w:val="22"/>
                <w:lang w:eastAsia="en-US"/>
              </w:rPr>
            </w:pPr>
            <w:r w:rsidRPr="006B4436">
              <w:rPr>
                <w:rFonts w:ascii="Arial Narrow" w:hAnsi="Arial Narrow" w:cs="Calibri"/>
                <w:snapToGrid w:val="0"/>
                <w:sz w:val="20"/>
                <w:szCs w:val="20"/>
                <w:lang w:eastAsia="en-US"/>
              </w:rPr>
              <w:t>NA</w:t>
            </w:r>
          </w:p>
        </w:tc>
      </w:tr>
      <w:tr w:rsidR="007658DF" w:rsidRPr="006B4436" w:rsidTr="007658DF">
        <w:trPr>
          <w:cantSplit/>
          <w:trHeight w:val="360"/>
        </w:trPr>
        <w:tc>
          <w:tcPr>
            <w:tcW w:w="2127"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Condition:</w:t>
            </w:r>
          </w:p>
        </w:tc>
        <w:tc>
          <w:tcPr>
            <w:tcW w:w="6945"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snapToGrid w:val="0"/>
                <w:sz w:val="20"/>
                <w:szCs w:val="22"/>
                <w:lang w:eastAsia="en-US"/>
              </w:rPr>
            </w:pPr>
            <w:r w:rsidRPr="006B4436">
              <w:rPr>
                <w:rFonts w:ascii="Arial Narrow" w:hAnsi="Arial Narrow" w:cs="Calibri"/>
                <w:strike/>
                <w:snapToGrid w:val="0"/>
                <w:sz w:val="20"/>
                <w:szCs w:val="22"/>
                <w:lang w:eastAsia="en-US"/>
              </w:rPr>
              <w:t xml:space="preserve">CD30 positive </w:t>
            </w:r>
            <w:r w:rsidRPr="006B4436">
              <w:rPr>
                <w:rFonts w:ascii="Arial Narrow" w:hAnsi="Arial Narrow" w:cs="Calibri"/>
                <w:snapToGrid w:val="0"/>
                <w:sz w:val="20"/>
                <w:szCs w:val="22"/>
                <w:lang w:eastAsia="en-US"/>
              </w:rPr>
              <w:t>cutaneous T-cell lymphoma</w:t>
            </w:r>
          </w:p>
        </w:tc>
      </w:tr>
      <w:tr w:rsidR="007658DF" w:rsidRPr="006B4436" w:rsidTr="007658DF">
        <w:trPr>
          <w:cantSplit/>
          <w:trHeight w:val="360"/>
        </w:trPr>
        <w:tc>
          <w:tcPr>
            <w:tcW w:w="2127"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PBS Indication:</w:t>
            </w:r>
          </w:p>
        </w:tc>
        <w:tc>
          <w:tcPr>
            <w:tcW w:w="6945"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snapToGrid w:val="0"/>
                <w:sz w:val="20"/>
                <w:szCs w:val="22"/>
                <w:lang w:eastAsia="en-US"/>
              </w:rPr>
            </w:pPr>
            <w:r w:rsidRPr="006B4436">
              <w:rPr>
                <w:rFonts w:ascii="Arial Narrow" w:hAnsi="Arial Narrow" w:cs="Calibri"/>
                <w:strike/>
                <w:snapToGrid w:val="0"/>
                <w:sz w:val="20"/>
                <w:szCs w:val="22"/>
                <w:lang w:eastAsia="en-US"/>
              </w:rPr>
              <w:t>CD30 positive</w:t>
            </w:r>
            <w:r w:rsidRPr="006B4436">
              <w:rPr>
                <w:rFonts w:ascii="Arial Narrow" w:hAnsi="Arial Narrow" w:cs="Calibri"/>
                <w:snapToGrid w:val="0"/>
                <w:sz w:val="20"/>
                <w:szCs w:val="22"/>
                <w:lang w:eastAsia="en-US"/>
              </w:rPr>
              <w:t xml:space="preserve"> cutaneous T-cell lymphoma</w:t>
            </w:r>
          </w:p>
        </w:tc>
      </w:tr>
      <w:tr w:rsidR="007658DF" w:rsidRPr="006B4436" w:rsidTr="00252627">
        <w:trPr>
          <w:cantSplit/>
          <w:trHeight w:val="285"/>
        </w:trPr>
        <w:tc>
          <w:tcPr>
            <w:tcW w:w="2127"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Treatment phase:</w:t>
            </w:r>
          </w:p>
        </w:tc>
        <w:tc>
          <w:tcPr>
            <w:tcW w:w="6945"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snapToGrid w:val="0"/>
                <w:sz w:val="20"/>
                <w:szCs w:val="22"/>
                <w:lang w:eastAsia="en-US"/>
              </w:rPr>
            </w:pPr>
            <w:r w:rsidRPr="006B4436">
              <w:rPr>
                <w:rFonts w:ascii="Arial Narrow" w:hAnsi="Arial Narrow" w:cs="Calibri"/>
                <w:snapToGrid w:val="0"/>
                <w:sz w:val="20"/>
                <w:szCs w:val="22"/>
                <w:lang w:eastAsia="en-US"/>
              </w:rPr>
              <w:t>Continuing treatment</w:t>
            </w:r>
          </w:p>
        </w:tc>
      </w:tr>
      <w:tr w:rsidR="007658DF" w:rsidRPr="006B4436" w:rsidTr="007658DF">
        <w:trPr>
          <w:cantSplit/>
          <w:trHeight w:val="360"/>
        </w:trPr>
        <w:tc>
          <w:tcPr>
            <w:tcW w:w="2127"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Restriction:</w:t>
            </w:r>
          </w:p>
          <w:p w:rsidR="007658DF" w:rsidRPr="006B4436" w:rsidRDefault="007658DF" w:rsidP="007658DF">
            <w:pPr>
              <w:widowControl w:val="0"/>
              <w:contextualSpacing/>
              <w:jc w:val="both"/>
              <w:rPr>
                <w:rFonts w:ascii="Arial Narrow" w:hAnsi="Arial Narrow" w:cs="Calibri"/>
                <w:snapToGrid w:val="0"/>
                <w:sz w:val="20"/>
                <w:szCs w:val="20"/>
                <w:lang w:eastAsia="en-US"/>
              </w:rPr>
            </w:pPr>
          </w:p>
        </w:tc>
        <w:tc>
          <w:tcPr>
            <w:tcW w:w="6945"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fldChar w:fldCharType="begin">
                <w:ffData>
                  <w:name w:val="Check1"/>
                  <w:enabled/>
                  <w:calcOnExit w:val="0"/>
                  <w:checkBox>
                    <w:sizeAuto/>
                    <w:default w:val="0"/>
                  </w:checkBox>
                </w:ffData>
              </w:fldChar>
            </w:r>
            <w:r w:rsidRPr="006B4436">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6B4436">
              <w:rPr>
                <w:rFonts w:ascii="Arial Narrow" w:hAnsi="Arial Narrow" w:cs="Calibri"/>
                <w:snapToGrid w:val="0"/>
                <w:sz w:val="20"/>
                <w:szCs w:val="20"/>
                <w:lang w:eastAsia="en-US"/>
              </w:rPr>
              <w:fldChar w:fldCharType="end"/>
            </w:r>
            <w:r w:rsidRPr="006B4436">
              <w:rPr>
                <w:rFonts w:ascii="Arial Narrow" w:hAnsi="Arial Narrow" w:cs="Calibri"/>
                <w:snapToGrid w:val="0"/>
                <w:sz w:val="20"/>
                <w:szCs w:val="20"/>
                <w:lang w:eastAsia="en-US"/>
              </w:rPr>
              <w:t>Restricted benefit</w:t>
            </w:r>
          </w:p>
          <w:p w:rsidR="007658DF" w:rsidRPr="006B4436" w:rsidRDefault="002611EC" w:rsidP="007658DF">
            <w:pPr>
              <w:widowControl w:val="0"/>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fldChar w:fldCharType="begin">
                <w:ffData>
                  <w:name w:val=""/>
                  <w:enabled/>
                  <w:calcOnExit w:val="0"/>
                  <w:checkBox>
                    <w:sizeAuto/>
                    <w:default w:val="0"/>
                  </w:checkBox>
                </w:ffData>
              </w:fldChar>
            </w:r>
            <w:r w:rsidRPr="006B4436">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6B4436">
              <w:rPr>
                <w:rFonts w:ascii="Arial Narrow" w:hAnsi="Arial Narrow" w:cs="Calibri"/>
                <w:snapToGrid w:val="0"/>
                <w:sz w:val="20"/>
                <w:szCs w:val="20"/>
                <w:lang w:eastAsia="en-US"/>
              </w:rPr>
              <w:fldChar w:fldCharType="end"/>
            </w:r>
            <w:r w:rsidR="007658DF" w:rsidRPr="006B4436">
              <w:rPr>
                <w:rFonts w:ascii="Arial Narrow" w:hAnsi="Arial Narrow" w:cs="Calibri"/>
                <w:snapToGrid w:val="0"/>
                <w:sz w:val="20"/>
                <w:szCs w:val="20"/>
                <w:lang w:eastAsia="en-US"/>
              </w:rPr>
              <w:t>Authority Required - In Writing</w:t>
            </w:r>
          </w:p>
          <w:p w:rsidR="007658DF" w:rsidRPr="006B4436" w:rsidRDefault="007658DF" w:rsidP="007658DF">
            <w:pPr>
              <w:widowControl w:val="0"/>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fldChar w:fldCharType="begin">
                <w:ffData>
                  <w:name w:val="Check3"/>
                  <w:enabled/>
                  <w:calcOnExit w:val="0"/>
                  <w:checkBox>
                    <w:sizeAuto/>
                    <w:default w:val="1"/>
                  </w:checkBox>
                </w:ffData>
              </w:fldChar>
            </w:r>
            <w:r w:rsidRPr="006B4436">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6B4436">
              <w:rPr>
                <w:rFonts w:ascii="Arial Narrow" w:hAnsi="Arial Narrow" w:cs="Calibri"/>
                <w:snapToGrid w:val="0"/>
                <w:sz w:val="20"/>
                <w:szCs w:val="20"/>
                <w:lang w:eastAsia="en-US"/>
              </w:rPr>
              <w:fldChar w:fldCharType="end"/>
            </w:r>
            <w:r w:rsidRPr="006B4436">
              <w:rPr>
                <w:rFonts w:ascii="Arial Narrow" w:hAnsi="Arial Narrow" w:cs="Calibri"/>
                <w:snapToGrid w:val="0"/>
                <w:sz w:val="20"/>
                <w:szCs w:val="20"/>
                <w:lang w:eastAsia="en-US"/>
              </w:rPr>
              <w:t>Authority Required - Telephone</w:t>
            </w:r>
          </w:p>
          <w:p w:rsidR="007658DF" w:rsidRPr="006B4436" w:rsidRDefault="002611EC" w:rsidP="007658DF">
            <w:pPr>
              <w:widowControl w:val="0"/>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fldChar w:fldCharType="begin">
                <w:ffData>
                  <w:name w:val=""/>
                  <w:enabled/>
                  <w:calcOnExit w:val="0"/>
                  <w:checkBox>
                    <w:sizeAuto/>
                    <w:default w:val="0"/>
                  </w:checkBox>
                </w:ffData>
              </w:fldChar>
            </w:r>
            <w:r w:rsidRPr="006B4436">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6B4436">
              <w:rPr>
                <w:rFonts w:ascii="Arial Narrow" w:hAnsi="Arial Narrow" w:cs="Calibri"/>
                <w:snapToGrid w:val="0"/>
                <w:sz w:val="20"/>
                <w:szCs w:val="20"/>
                <w:lang w:eastAsia="en-US"/>
              </w:rPr>
              <w:fldChar w:fldCharType="end"/>
            </w:r>
            <w:r w:rsidR="007658DF" w:rsidRPr="006B4436">
              <w:rPr>
                <w:rFonts w:ascii="Arial Narrow" w:hAnsi="Arial Narrow" w:cs="Calibri"/>
                <w:snapToGrid w:val="0"/>
                <w:sz w:val="20"/>
                <w:szCs w:val="20"/>
                <w:lang w:eastAsia="en-US"/>
              </w:rPr>
              <w:t>Authority Required – Emergency</w:t>
            </w:r>
          </w:p>
          <w:p w:rsidR="007658DF" w:rsidRPr="006B4436" w:rsidRDefault="002611EC" w:rsidP="007658DF">
            <w:pPr>
              <w:widowControl w:val="0"/>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fldChar w:fldCharType="begin">
                <w:ffData>
                  <w:name w:val="Check5"/>
                  <w:enabled/>
                  <w:calcOnExit w:val="0"/>
                  <w:checkBox>
                    <w:sizeAuto/>
                    <w:default w:val="0"/>
                  </w:checkBox>
                </w:ffData>
              </w:fldChar>
            </w:r>
            <w:bookmarkStart w:id="0" w:name="Check5"/>
            <w:r w:rsidRPr="006B4436">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6B4436">
              <w:rPr>
                <w:rFonts w:ascii="Arial Narrow" w:hAnsi="Arial Narrow" w:cs="Calibri"/>
                <w:snapToGrid w:val="0"/>
                <w:sz w:val="20"/>
                <w:szCs w:val="20"/>
                <w:lang w:eastAsia="en-US"/>
              </w:rPr>
              <w:fldChar w:fldCharType="end"/>
            </w:r>
            <w:bookmarkEnd w:id="0"/>
            <w:r w:rsidR="007658DF" w:rsidRPr="006B4436">
              <w:rPr>
                <w:rFonts w:ascii="Arial Narrow" w:hAnsi="Arial Narrow" w:cs="Calibri"/>
                <w:snapToGrid w:val="0"/>
                <w:sz w:val="20"/>
                <w:szCs w:val="20"/>
                <w:lang w:eastAsia="en-US"/>
              </w:rPr>
              <w:t>Authority Required - Electronic</w:t>
            </w:r>
          </w:p>
          <w:p w:rsidR="007658DF" w:rsidRPr="006B4436" w:rsidRDefault="007658DF" w:rsidP="007658DF">
            <w:pPr>
              <w:widowControl w:val="0"/>
              <w:contextualSpacing/>
              <w:jc w:val="both"/>
              <w:rPr>
                <w:rFonts w:ascii="Arial Narrow" w:hAnsi="Arial Narrow" w:cs="Calibri"/>
                <w:snapToGrid w:val="0"/>
                <w:sz w:val="20"/>
                <w:szCs w:val="22"/>
                <w:lang w:eastAsia="en-US"/>
              </w:rPr>
            </w:pPr>
            <w:r w:rsidRPr="006B4436">
              <w:rPr>
                <w:rFonts w:ascii="Arial Narrow" w:hAnsi="Arial Narrow" w:cs="Calibri"/>
                <w:snapToGrid w:val="0"/>
                <w:sz w:val="20"/>
                <w:szCs w:val="20"/>
                <w:lang w:eastAsia="en-US"/>
              </w:rPr>
              <w:fldChar w:fldCharType="begin">
                <w:ffData>
                  <w:name w:val="Check5"/>
                  <w:enabled/>
                  <w:calcOnExit w:val="0"/>
                  <w:checkBox>
                    <w:sizeAuto/>
                    <w:default w:val="0"/>
                  </w:checkBox>
                </w:ffData>
              </w:fldChar>
            </w:r>
            <w:r w:rsidRPr="006B4436">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6B4436">
              <w:rPr>
                <w:rFonts w:ascii="Arial Narrow" w:hAnsi="Arial Narrow" w:cs="Calibri"/>
                <w:snapToGrid w:val="0"/>
                <w:sz w:val="20"/>
                <w:szCs w:val="20"/>
                <w:lang w:eastAsia="en-US"/>
              </w:rPr>
              <w:fldChar w:fldCharType="end"/>
            </w:r>
            <w:r w:rsidRPr="006B4436">
              <w:rPr>
                <w:rFonts w:ascii="Arial Narrow" w:hAnsi="Arial Narrow" w:cs="Calibri"/>
                <w:snapToGrid w:val="0"/>
                <w:sz w:val="20"/>
                <w:szCs w:val="20"/>
                <w:lang w:eastAsia="en-US"/>
              </w:rPr>
              <w:t>Streamlined</w:t>
            </w:r>
          </w:p>
        </w:tc>
      </w:tr>
      <w:tr w:rsidR="007658DF" w:rsidRPr="006B4436" w:rsidTr="007658DF">
        <w:trPr>
          <w:cantSplit/>
          <w:trHeight w:val="360"/>
        </w:trPr>
        <w:tc>
          <w:tcPr>
            <w:tcW w:w="2127"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b/>
                <w:strike/>
                <w:snapToGrid w:val="0"/>
                <w:sz w:val="20"/>
                <w:szCs w:val="20"/>
                <w:lang w:eastAsia="en-US"/>
              </w:rPr>
            </w:pPr>
            <w:r w:rsidRPr="006B4436">
              <w:rPr>
                <w:rFonts w:ascii="Arial Narrow" w:hAnsi="Arial Narrow" w:cs="Calibri"/>
                <w:b/>
                <w:strike/>
                <w:snapToGrid w:val="0"/>
                <w:sz w:val="20"/>
                <w:szCs w:val="20"/>
                <w:lang w:eastAsia="en-US"/>
              </w:rPr>
              <w:t>Treatment criteria:</w:t>
            </w:r>
          </w:p>
        </w:tc>
        <w:tc>
          <w:tcPr>
            <w:tcW w:w="6945" w:type="dxa"/>
            <w:tcBorders>
              <w:top w:val="single" w:sz="4" w:space="0" w:color="auto"/>
              <w:left w:val="single" w:sz="4" w:space="0" w:color="auto"/>
              <w:bottom w:val="single" w:sz="4" w:space="0" w:color="auto"/>
              <w:right w:val="single" w:sz="4" w:space="0" w:color="auto"/>
            </w:tcBorders>
            <w:vAlign w:val="center"/>
          </w:tcPr>
          <w:p w:rsidR="007658DF" w:rsidRPr="006B4436" w:rsidRDefault="007658DF" w:rsidP="007658DF">
            <w:pPr>
              <w:widowControl w:val="0"/>
              <w:contextualSpacing/>
              <w:jc w:val="both"/>
              <w:rPr>
                <w:rFonts w:ascii="Arial Narrow" w:hAnsi="Arial Narrow" w:cs="Calibri"/>
                <w:strike/>
                <w:snapToGrid w:val="0"/>
                <w:sz w:val="20"/>
                <w:szCs w:val="20"/>
                <w:lang w:eastAsia="en-US"/>
              </w:rPr>
            </w:pPr>
            <w:r w:rsidRPr="006B4436">
              <w:rPr>
                <w:rFonts w:ascii="Arial Narrow" w:hAnsi="Arial Narrow" w:cs="Calibri"/>
                <w:strike/>
                <w:snapToGrid w:val="0"/>
                <w:sz w:val="20"/>
                <w:szCs w:val="20"/>
                <w:lang w:eastAsia="en-US"/>
              </w:rPr>
              <w:t>N/A</w:t>
            </w:r>
          </w:p>
        </w:tc>
      </w:tr>
      <w:tr w:rsidR="007658DF" w:rsidRPr="006B4436" w:rsidTr="007658DF">
        <w:trPr>
          <w:cantSplit/>
          <w:trHeight w:val="360"/>
        </w:trPr>
        <w:tc>
          <w:tcPr>
            <w:tcW w:w="2127"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b/>
                <w:snapToGrid w:val="0"/>
                <w:sz w:val="20"/>
                <w:szCs w:val="20"/>
                <w:lang w:eastAsia="en-US"/>
              </w:rPr>
            </w:pPr>
            <w:r w:rsidRPr="006B4436">
              <w:rPr>
                <w:rFonts w:ascii="Arial Narrow" w:hAnsi="Arial Narrow" w:cs="Calibri"/>
                <w:b/>
                <w:snapToGrid w:val="0"/>
                <w:sz w:val="20"/>
                <w:szCs w:val="20"/>
                <w:lang w:eastAsia="en-US"/>
              </w:rPr>
              <w:t>Clinical criteria:</w:t>
            </w:r>
          </w:p>
          <w:p w:rsidR="007658DF" w:rsidRPr="006B4436" w:rsidRDefault="007658DF" w:rsidP="007658DF">
            <w:pPr>
              <w:widowControl w:val="0"/>
              <w:contextualSpacing/>
              <w:jc w:val="both"/>
              <w:rPr>
                <w:rFonts w:ascii="Arial Narrow" w:hAnsi="Arial Narrow" w:cs="Calibri"/>
                <w:snapToGrid w:val="0"/>
                <w:sz w:val="20"/>
                <w:szCs w:val="20"/>
                <w:lang w:eastAsia="en-US"/>
              </w:rPr>
            </w:pPr>
          </w:p>
        </w:tc>
        <w:tc>
          <w:tcPr>
            <w:tcW w:w="6945"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Calibri"/>
                <w:snapToGrid w:val="0"/>
                <w:sz w:val="20"/>
                <w:szCs w:val="22"/>
                <w:lang w:eastAsia="en-US"/>
              </w:rPr>
            </w:pPr>
            <w:r w:rsidRPr="006B4436">
              <w:rPr>
                <w:rFonts w:ascii="Arial Narrow" w:hAnsi="Arial Narrow" w:cs="Calibri"/>
                <w:snapToGrid w:val="0"/>
                <w:sz w:val="20"/>
                <w:szCs w:val="22"/>
                <w:lang w:eastAsia="en-US"/>
              </w:rPr>
              <w:t>Patient must have previously received PBS-subsidised treatment with this drug for this condition,</w:t>
            </w:r>
          </w:p>
          <w:p w:rsidR="007658DF" w:rsidRPr="006B4436" w:rsidRDefault="007658DF" w:rsidP="007658DF">
            <w:pPr>
              <w:widowControl w:val="0"/>
              <w:contextualSpacing/>
              <w:jc w:val="both"/>
              <w:rPr>
                <w:rFonts w:ascii="Arial Narrow" w:hAnsi="Arial Narrow" w:cs="Calibri"/>
                <w:b/>
                <w:snapToGrid w:val="0"/>
                <w:sz w:val="20"/>
                <w:szCs w:val="22"/>
                <w:lang w:eastAsia="en-US"/>
              </w:rPr>
            </w:pPr>
            <w:r w:rsidRPr="006B4436">
              <w:rPr>
                <w:rFonts w:ascii="Arial Narrow" w:hAnsi="Arial Narrow" w:cs="Calibri"/>
                <w:b/>
                <w:snapToGrid w:val="0"/>
                <w:sz w:val="20"/>
                <w:szCs w:val="22"/>
                <w:lang w:eastAsia="en-US"/>
              </w:rPr>
              <w:t>AND</w:t>
            </w:r>
          </w:p>
          <w:p w:rsidR="00B419ED" w:rsidRPr="006B4436" w:rsidRDefault="00B419ED" w:rsidP="007658DF">
            <w:pPr>
              <w:widowControl w:val="0"/>
              <w:contextualSpacing/>
              <w:jc w:val="both"/>
              <w:rPr>
                <w:rFonts w:ascii="Arial Narrow" w:hAnsi="Arial Narrow" w:cs="Calibri"/>
                <w:strike/>
                <w:snapToGrid w:val="0"/>
                <w:sz w:val="20"/>
                <w:szCs w:val="20"/>
                <w:lang w:eastAsia="en-US"/>
              </w:rPr>
            </w:pPr>
            <w:r w:rsidRPr="006B4436">
              <w:rPr>
                <w:rFonts w:ascii="Arial Narrow" w:hAnsi="Arial Narrow" w:cs="Calibri"/>
                <w:i/>
                <w:snapToGrid w:val="0"/>
                <w:sz w:val="20"/>
                <w:szCs w:val="20"/>
                <w:lang w:eastAsia="en-US"/>
              </w:rPr>
              <w:t xml:space="preserve">The condition must be </w:t>
            </w:r>
            <w:r w:rsidRPr="006B4436">
              <w:rPr>
                <w:rFonts w:ascii="Arial Narrow" w:hAnsi="Arial Narrow" w:cs="Calibri"/>
                <w:snapToGrid w:val="0"/>
                <w:sz w:val="20"/>
                <w:szCs w:val="20"/>
                <w:lang w:eastAsia="en-US"/>
              </w:rPr>
              <w:t>CD30 positive</w:t>
            </w:r>
            <w:r w:rsidR="0082034F" w:rsidRPr="006B4436">
              <w:rPr>
                <w:rFonts w:ascii="Arial Narrow" w:hAnsi="Arial Narrow" w:cs="Calibri"/>
                <w:snapToGrid w:val="0"/>
                <w:sz w:val="20"/>
                <w:szCs w:val="20"/>
                <w:lang w:eastAsia="en-US"/>
              </w:rPr>
              <w:t>,</w:t>
            </w:r>
          </w:p>
          <w:p w:rsidR="00B419ED" w:rsidRPr="006B4436" w:rsidRDefault="00B419ED" w:rsidP="007658DF">
            <w:pPr>
              <w:widowControl w:val="0"/>
              <w:contextualSpacing/>
              <w:jc w:val="both"/>
              <w:rPr>
                <w:rFonts w:ascii="Arial Narrow" w:hAnsi="Arial Narrow" w:cs="Calibri"/>
                <w:snapToGrid w:val="0"/>
                <w:sz w:val="20"/>
                <w:szCs w:val="20"/>
                <w:lang w:eastAsia="en-US"/>
              </w:rPr>
            </w:pPr>
            <w:r w:rsidRPr="006B4436">
              <w:rPr>
                <w:rFonts w:ascii="Arial Narrow" w:hAnsi="Arial Narrow" w:cs="Calibri"/>
                <w:snapToGrid w:val="0"/>
                <w:sz w:val="20"/>
                <w:szCs w:val="20"/>
                <w:lang w:eastAsia="en-US"/>
              </w:rPr>
              <w:t>AND</w:t>
            </w:r>
          </w:p>
          <w:p w:rsidR="007658DF" w:rsidRPr="006B4436" w:rsidRDefault="007658DF" w:rsidP="007658DF">
            <w:pPr>
              <w:widowControl w:val="0"/>
              <w:contextualSpacing/>
              <w:jc w:val="both"/>
              <w:rPr>
                <w:rFonts w:ascii="Arial Narrow" w:hAnsi="Arial Narrow" w:cs="Calibri"/>
                <w:snapToGrid w:val="0"/>
                <w:sz w:val="20"/>
                <w:szCs w:val="22"/>
                <w:lang w:eastAsia="en-US"/>
              </w:rPr>
            </w:pPr>
            <w:r w:rsidRPr="006B4436">
              <w:rPr>
                <w:rFonts w:ascii="Arial Narrow" w:hAnsi="Arial Narrow" w:cs="Calibri"/>
                <w:snapToGrid w:val="0"/>
                <w:sz w:val="20"/>
                <w:szCs w:val="22"/>
                <w:lang w:eastAsia="en-US"/>
              </w:rPr>
              <w:t xml:space="preserve">Patient must not </w:t>
            </w:r>
            <w:r w:rsidRPr="006B4436">
              <w:rPr>
                <w:rFonts w:ascii="Arial Narrow" w:hAnsi="Arial Narrow" w:cs="Calibri"/>
                <w:strike/>
                <w:snapToGrid w:val="0"/>
                <w:sz w:val="20"/>
                <w:szCs w:val="22"/>
                <w:lang w:eastAsia="en-US"/>
              </w:rPr>
              <w:t>have</w:t>
            </w:r>
            <w:r w:rsidRPr="006B4436">
              <w:rPr>
                <w:rFonts w:ascii="Arial Narrow" w:hAnsi="Arial Narrow" w:cs="Calibri"/>
                <w:snapToGrid w:val="0"/>
                <w:sz w:val="20"/>
                <w:szCs w:val="22"/>
                <w:lang w:eastAsia="en-US"/>
              </w:rPr>
              <w:t xml:space="preserve"> </w:t>
            </w:r>
            <w:r w:rsidR="00D9219A" w:rsidRPr="006B4436">
              <w:rPr>
                <w:rFonts w:ascii="Arial Narrow" w:hAnsi="Arial Narrow" w:cs="Calibri"/>
                <w:i/>
                <w:snapToGrid w:val="0"/>
                <w:sz w:val="20"/>
                <w:szCs w:val="22"/>
                <w:lang w:eastAsia="en-US"/>
              </w:rPr>
              <w:t xml:space="preserve">develop </w:t>
            </w:r>
            <w:r w:rsidRPr="006B4436">
              <w:rPr>
                <w:rFonts w:ascii="Arial Narrow" w:hAnsi="Arial Narrow" w:cs="Calibri"/>
                <w:strike/>
                <w:snapToGrid w:val="0"/>
                <w:sz w:val="20"/>
                <w:szCs w:val="22"/>
                <w:lang w:eastAsia="en-US"/>
              </w:rPr>
              <w:t xml:space="preserve">progressive </w:t>
            </w:r>
            <w:r w:rsidRPr="006B4436">
              <w:rPr>
                <w:rFonts w:ascii="Arial Narrow" w:hAnsi="Arial Narrow" w:cs="Calibri"/>
                <w:snapToGrid w:val="0"/>
                <w:sz w:val="20"/>
                <w:szCs w:val="22"/>
                <w:lang w:eastAsia="en-US"/>
              </w:rPr>
              <w:t xml:space="preserve">disease </w:t>
            </w:r>
            <w:r w:rsidR="00D9219A" w:rsidRPr="006B4436">
              <w:rPr>
                <w:rFonts w:ascii="Arial Narrow" w:hAnsi="Arial Narrow" w:cs="Calibri"/>
                <w:i/>
                <w:snapToGrid w:val="0"/>
                <w:sz w:val="20"/>
                <w:szCs w:val="22"/>
                <w:lang w:eastAsia="en-US"/>
              </w:rPr>
              <w:t xml:space="preserve">progression </w:t>
            </w:r>
            <w:r w:rsidRPr="006B4436">
              <w:rPr>
                <w:rFonts w:ascii="Arial Narrow" w:hAnsi="Arial Narrow" w:cs="Calibri"/>
                <w:snapToGrid w:val="0"/>
                <w:sz w:val="20"/>
                <w:szCs w:val="22"/>
                <w:lang w:eastAsia="en-US"/>
              </w:rPr>
              <w:t>while receiving PBS-subsidised treatment with this drug for this condition,</w:t>
            </w:r>
          </w:p>
          <w:p w:rsidR="007658DF" w:rsidRPr="006B4436" w:rsidRDefault="007658DF" w:rsidP="007658DF">
            <w:pPr>
              <w:widowControl w:val="0"/>
              <w:contextualSpacing/>
              <w:jc w:val="both"/>
              <w:rPr>
                <w:rFonts w:ascii="Arial Narrow" w:hAnsi="Arial Narrow" w:cs="Calibri"/>
                <w:b/>
                <w:snapToGrid w:val="0"/>
                <w:sz w:val="20"/>
                <w:szCs w:val="22"/>
                <w:lang w:eastAsia="en-US"/>
              </w:rPr>
            </w:pPr>
            <w:r w:rsidRPr="006B4436">
              <w:rPr>
                <w:rFonts w:ascii="Arial Narrow" w:hAnsi="Arial Narrow" w:cs="Calibri"/>
                <w:b/>
                <w:snapToGrid w:val="0"/>
                <w:sz w:val="20"/>
                <w:szCs w:val="22"/>
                <w:lang w:eastAsia="en-US"/>
              </w:rPr>
              <w:t>AND</w:t>
            </w:r>
          </w:p>
          <w:p w:rsidR="007658DF" w:rsidRPr="006B4436" w:rsidRDefault="007658DF" w:rsidP="007658DF">
            <w:pPr>
              <w:widowControl w:val="0"/>
              <w:contextualSpacing/>
              <w:jc w:val="both"/>
              <w:rPr>
                <w:rFonts w:ascii="Arial Narrow" w:hAnsi="Arial Narrow" w:cs="Calibri"/>
                <w:i/>
                <w:snapToGrid w:val="0"/>
                <w:sz w:val="20"/>
                <w:szCs w:val="22"/>
                <w:lang w:eastAsia="en-US"/>
              </w:rPr>
            </w:pPr>
            <w:r w:rsidRPr="006B4436">
              <w:rPr>
                <w:rFonts w:ascii="Arial Narrow" w:hAnsi="Arial Narrow" w:cs="Calibri"/>
                <w:i/>
                <w:snapToGrid w:val="0"/>
                <w:sz w:val="20"/>
                <w:szCs w:val="22"/>
                <w:lang w:eastAsia="en-US"/>
              </w:rPr>
              <w:t>The treatment must be the sole PBS-subsidised therapy for this condition.</w:t>
            </w:r>
          </w:p>
          <w:p w:rsidR="007658DF" w:rsidRPr="006B4436" w:rsidRDefault="007658DF" w:rsidP="007658DF">
            <w:pPr>
              <w:widowControl w:val="0"/>
              <w:contextualSpacing/>
              <w:jc w:val="both"/>
              <w:rPr>
                <w:rFonts w:ascii="Arial Narrow" w:hAnsi="Arial Narrow" w:cs="Calibri"/>
                <w:i/>
                <w:snapToGrid w:val="0"/>
                <w:sz w:val="20"/>
                <w:szCs w:val="22"/>
                <w:lang w:eastAsia="en-US"/>
              </w:rPr>
            </w:pPr>
            <w:r w:rsidRPr="006B4436">
              <w:rPr>
                <w:rFonts w:ascii="Arial Narrow" w:hAnsi="Arial Narrow" w:cs="Calibri"/>
                <w:i/>
                <w:snapToGrid w:val="0"/>
                <w:sz w:val="20"/>
                <w:szCs w:val="22"/>
                <w:lang w:eastAsia="en-US"/>
              </w:rPr>
              <w:t xml:space="preserve">AND </w:t>
            </w:r>
          </w:p>
          <w:p w:rsidR="007658DF" w:rsidRPr="006B4436" w:rsidRDefault="00377546" w:rsidP="007658DF">
            <w:pPr>
              <w:widowControl w:val="0"/>
              <w:contextualSpacing/>
              <w:jc w:val="both"/>
              <w:rPr>
                <w:rFonts w:ascii="Arial Narrow" w:hAnsi="Arial Narrow" w:cs="Calibri"/>
                <w:snapToGrid w:val="0"/>
                <w:sz w:val="20"/>
                <w:szCs w:val="22"/>
                <w:lang w:eastAsia="en-US"/>
              </w:rPr>
            </w:pPr>
            <w:r w:rsidRPr="006B4436">
              <w:rPr>
                <w:rFonts w:ascii="Arial Narrow" w:hAnsi="Arial Narrow" w:cs="Calibri"/>
                <w:i/>
                <w:snapToGrid w:val="0"/>
                <w:sz w:val="20"/>
                <w:szCs w:val="22"/>
                <w:lang w:eastAsia="en-US"/>
              </w:rPr>
              <w:t xml:space="preserve">The treatment must not exceed </w:t>
            </w:r>
            <w:r w:rsidR="007658DF" w:rsidRPr="006B4436">
              <w:rPr>
                <w:rFonts w:ascii="Arial Narrow" w:hAnsi="Arial Narrow" w:cs="Calibri"/>
                <w:strike/>
                <w:snapToGrid w:val="0"/>
                <w:sz w:val="20"/>
                <w:szCs w:val="22"/>
                <w:lang w:eastAsia="en-US"/>
              </w:rPr>
              <w:t xml:space="preserve">Patient must not receive more than </w:t>
            </w:r>
            <w:r w:rsidR="007658DF" w:rsidRPr="006B4436">
              <w:rPr>
                <w:rFonts w:ascii="Arial Narrow" w:hAnsi="Arial Narrow" w:cs="Calibri"/>
                <w:snapToGrid w:val="0"/>
                <w:sz w:val="20"/>
                <w:szCs w:val="22"/>
                <w:lang w:eastAsia="en-US"/>
              </w:rPr>
              <w:t>12 cycles</w:t>
            </w:r>
            <w:r w:rsidR="007658DF" w:rsidRPr="006B4436">
              <w:rPr>
                <w:rFonts w:ascii="Arial Narrow" w:hAnsi="Arial Narrow" w:cs="Calibri"/>
                <w:strike/>
                <w:snapToGrid w:val="0"/>
                <w:sz w:val="20"/>
                <w:szCs w:val="22"/>
                <w:lang w:eastAsia="en-US"/>
              </w:rPr>
              <w:t xml:space="preserve"> of treatment</w:t>
            </w:r>
            <w:r w:rsidR="007658DF" w:rsidRPr="006B4436">
              <w:rPr>
                <w:rFonts w:ascii="Arial Narrow" w:hAnsi="Arial Narrow" w:cs="Calibri"/>
                <w:snapToGrid w:val="0"/>
                <w:sz w:val="20"/>
                <w:szCs w:val="22"/>
                <w:lang w:eastAsia="en-US"/>
              </w:rPr>
              <w:t xml:space="preserve"> under this restriction.</w:t>
            </w:r>
          </w:p>
        </w:tc>
      </w:tr>
      <w:tr w:rsidR="007658DF" w:rsidRPr="006B4436" w:rsidTr="007658DF">
        <w:trPr>
          <w:cantSplit/>
          <w:trHeight w:val="360"/>
        </w:trPr>
        <w:tc>
          <w:tcPr>
            <w:tcW w:w="2127" w:type="dxa"/>
            <w:tcBorders>
              <w:top w:val="single" w:sz="4" w:space="0" w:color="auto"/>
              <w:left w:val="single" w:sz="4" w:space="0" w:color="auto"/>
              <w:bottom w:val="single" w:sz="4" w:space="0" w:color="auto"/>
              <w:right w:val="single" w:sz="4" w:space="0" w:color="auto"/>
            </w:tcBorders>
            <w:vAlign w:val="center"/>
          </w:tcPr>
          <w:p w:rsidR="007658DF" w:rsidRPr="006B4436" w:rsidRDefault="007658DF" w:rsidP="007658DF">
            <w:pPr>
              <w:widowControl w:val="0"/>
              <w:contextualSpacing/>
              <w:jc w:val="both"/>
              <w:rPr>
                <w:rFonts w:ascii="Arial Narrow" w:hAnsi="Arial Narrow" w:cs="Arial"/>
                <w:b/>
                <w:strike/>
                <w:snapToGrid w:val="0"/>
                <w:sz w:val="20"/>
                <w:szCs w:val="20"/>
                <w:lang w:eastAsia="en-US"/>
              </w:rPr>
            </w:pPr>
            <w:r w:rsidRPr="006B4436">
              <w:rPr>
                <w:rFonts w:ascii="Arial Narrow" w:hAnsi="Arial Narrow" w:cs="Arial"/>
                <w:b/>
                <w:strike/>
                <w:snapToGrid w:val="0"/>
                <w:sz w:val="20"/>
                <w:szCs w:val="20"/>
                <w:lang w:eastAsia="en-US"/>
              </w:rPr>
              <w:t>Population criteria:</w:t>
            </w:r>
          </w:p>
        </w:tc>
        <w:tc>
          <w:tcPr>
            <w:tcW w:w="6945" w:type="dxa"/>
            <w:tcBorders>
              <w:top w:val="single" w:sz="4" w:space="0" w:color="auto"/>
              <w:left w:val="single" w:sz="4" w:space="0" w:color="auto"/>
              <w:bottom w:val="single" w:sz="4" w:space="0" w:color="auto"/>
              <w:right w:val="single" w:sz="4" w:space="0" w:color="auto"/>
            </w:tcBorders>
            <w:vAlign w:val="bottom"/>
          </w:tcPr>
          <w:p w:rsidR="007658DF" w:rsidRPr="006B4436" w:rsidRDefault="007658DF" w:rsidP="007658DF">
            <w:pPr>
              <w:widowControl w:val="0"/>
              <w:contextualSpacing/>
              <w:jc w:val="both"/>
              <w:rPr>
                <w:rFonts w:ascii="Arial Narrow" w:hAnsi="Arial Narrow" w:cs="Arial"/>
                <w:strike/>
                <w:snapToGrid w:val="0"/>
                <w:sz w:val="20"/>
                <w:szCs w:val="20"/>
                <w:lang w:eastAsia="en-US"/>
              </w:rPr>
            </w:pPr>
            <w:r w:rsidRPr="006B4436">
              <w:rPr>
                <w:rFonts w:ascii="Arial Narrow" w:hAnsi="Arial Narrow" w:cs="Arial"/>
                <w:strike/>
                <w:snapToGrid w:val="0"/>
                <w:sz w:val="20"/>
                <w:szCs w:val="20"/>
                <w:lang w:eastAsia="en-US"/>
              </w:rPr>
              <w:t>N/A</w:t>
            </w:r>
          </w:p>
        </w:tc>
      </w:tr>
      <w:tr w:rsidR="007658DF" w:rsidRPr="006B4436" w:rsidTr="007658DF">
        <w:trPr>
          <w:cantSplit/>
          <w:trHeight w:val="360"/>
        </w:trPr>
        <w:tc>
          <w:tcPr>
            <w:tcW w:w="2127"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Arial"/>
                <w:b/>
                <w:strike/>
                <w:snapToGrid w:val="0"/>
                <w:sz w:val="20"/>
                <w:szCs w:val="20"/>
                <w:lang w:eastAsia="en-US"/>
              </w:rPr>
            </w:pPr>
            <w:r w:rsidRPr="006B4436">
              <w:rPr>
                <w:rFonts w:ascii="Arial Narrow" w:hAnsi="Arial Narrow" w:cs="Arial"/>
                <w:b/>
                <w:strike/>
                <w:snapToGrid w:val="0"/>
                <w:sz w:val="20"/>
                <w:szCs w:val="20"/>
                <w:lang w:eastAsia="en-US"/>
              </w:rPr>
              <w:t>Foreword</w:t>
            </w:r>
          </w:p>
        </w:tc>
        <w:tc>
          <w:tcPr>
            <w:tcW w:w="6945" w:type="dxa"/>
            <w:tcBorders>
              <w:top w:val="single" w:sz="4" w:space="0" w:color="auto"/>
              <w:left w:val="single" w:sz="4" w:space="0" w:color="auto"/>
              <w:bottom w:val="single" w:sz="4" w:space="0" w:color="auto"/>
              <w:right w:val="single" w:sz="4" w:space="0" w:color="auto"/>
            </w:tcBorders>
            <w:vAlign w:val="bottom"/>
          </w:tcPr>
          <w:p w:rsidR="007658DF" w:rsidRPr="006B4436" w:rsidRDefault="007658DF" w:rsidP="007658DF">
            <w:pPr>
              <w:widowControl w:val="0"/>
              <w:contextualSpacing/>
              <w:jc w:val="both"/>
              <w:rPr>
                <w:rFonts w:ascii="Arial Narrow" w:hAnsi="Arial Narrow" w:cs="Arial"/>
                <w:strike/>
                <w:snapToGrid w:val="0"/>
                <w:sz w:val="20"/>
                <w:szCs w:val="20"/>
                <w:lang w:eastAsia="en-US"/>
              </w:rPr>
            </w:pPr>
            <w:r w:rsidRPr="006B4436">
              <w:rPr>
                <w:rFonts w:ascii="Arial Narrow" w:hAnsi="Arial Narrow" w:cs="Arial"/>
                <w:strike/>
                <w:snapToGrid w:val="0"/>
                <w:sz w:val="20"/>
                <w:szCs w:val="20"/>
                <w:lang w:eastAsia="en-US"/>
              </w:rPr>
              <w:t>N/A</w:t>
            </w:r>
          </w:p>
        </w:tc>
      </w:tr>
      <w:tr w:rsidR="007658DF" w:rsidRPr="006B4436" w:rsidTr="00252627">
        <w:trPr>
          <w:cantSplit/>
          <w:trHeight w:val="265"/>
        </w:trPr>
        <w:tc>
          <w:tcPr>
            <w:tcW w:w="2127"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Arial"/>
                <w:b/>
                <w:strike/>
                <w:snapToGrid w:val="0"/>
                <w:sz w:val="20"/>
                <w:szCs w:val="20"/>
                <w:lang w:eastAsia="en-US"/>
              </w:rPr>
            </w:pPr>
            <w:r w:rsidRPr="006B4436">
              <w:rPr>
                <w:rFonts w:ascii="Arial Narrow" w:hAnsi="Arial Narrow" w:cs="Arial"/>
                <w:b/>
                <w:strike/>
                <w:snapToGrid w:val="0"/>
                <w:sz w:val="20"/>
                <w:szCs w:val="20"/>
                <w:lang w:eastAsia="en-US"/>
              </w:rPr>
              <w:t>Definitions</w:t>
            </w:r>
          </w:p>
        </w:tc>
        <w:tc>
          <w:tcPr>
            <w:tcW w:w="6945"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Arial"/>
                <w:strike/>
                <w:snapToGrid w:val="0"/>
                <w:sz w:val="20"/>
                <w:szCs w:val="20"/>
                <w:lang w:eastAsia="en-US"/>
              </w:rPr>
            </w:pPr>
            <w:r w:rsidRPr="006B4436">
              <w:rPr>
                <w:rFonts w:ascii="Arial Narrow" w:hAnsi="Arial Narrow" w:cs="Arial"/>
                <w:strike/>
                <w:snapToGrid w:val="0"/>
                <w:sz w:val="20"/>
                <w:szCs w:val="20"/>
                <w:lang w:eastAsia="en-US"/>
              </w:rPr>
              <w:t>N/A</w:t>
            </w:r>
          </w:p>
        </w:tc>
      </w:tr>
      <w:tr w:rsidR="007658DF" w:rsidRPr="006B4436" w:rsidTr="007658DF">
        <w:trPr>
          <w:cantSplit/>
          <w:trHeight w:val="360"/>
        </w:trPr>
        <w:tc>
          <w:tcPr>
            <w:tcW w:w="2127"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Arial"/>
                <w:b/>
                <w:snapToGrid w:val="0"/>
                <w:sz w:val="20"/>
                <w:szCs w:val="20"/>
                <w:lang w:eastAsia="en-US"/>
              </w:rPr>
            </w:pPr>
            <w:r w:rsidRPr="006B4436">
              <w:rPr>
                <w:rFonts w:ascii="Arial Narrow" w:hAnsi="Arial Narrow" w:cs="Arial"/>
                <w:b/>
                <w:snapToGrid w:val="0"/>
                <w:sz w:val="20"/>
                <w:szCs w:val="20"/>
                <w:lang w:eastAsia="en-US"/>
              </w:rPr>
              <w:t>Prescriber Instructions</w:t>
            </w:r>
          </w:p>
        </w:tc>
        <w:tc>
          <w:tcPr>
            <w:tcW w:w="6945"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Arial"/>
                <w:snapToGrid w:val="0"/>
                <w:sz w:val="20"/>
                <w:szCs w:val="20"/>
                <w:lang w:eastAsia="en-US"/>
              </w:rPr>
            </w:pPr>
            <w:r w:rsidRPr="006B4436">
              <w:rPr>
                <w:rFonts w:ascii="Arial Narrow" w:hAnsi="Arial Narrow" w:cs="Calibri"/>
                <w:snapToGrid w:val="0"/>
                <w:sz w:val="20"/>
                <w:szCs w:val="22"/>
                <w:lang w:eastAsia="en-US"/>
              </w:rPr>
              <w:t xml:space="preserve">The treatment must not exceed a lifetime </w:t>
            </w:r>
            <w:proofErr w:type="gramStart"/>
            <w:r w:rsidRPr="006B4436">
              <w:rPr>
                <w:rFonts w:ascii="Arial Narrow" w:hAnsi="Arial Narrow" w:cs="Calibri"/>
                <w:snapToGrid w:val="0"/>
                <w:sz w:val="20"/>
                <w:szCs w:val="22"/>
                <w:lang w:eastAsia="en-US"/>
              </w:rPr>
              <w:t>total of 16</w:t>
            </w:r>
            <w:proofErr w:type="gramEnd"/>
            <w:r w:rsidRPr="006B4436">
              <w:rPr>
                <w:rFonts w:ascii="Arial Narrow" w:hAnsi="Arial Narrow" w:cs="Calibri"/>
                <w:snapToGrid w:val="0"/>
                <w:sz w:val="20"/>
                <w:szCs w:val="22"/>
                <w:lang w:eastAsia="en-US"/>
              </w:rPr>
              <w:t xml:space="preserve"> cycles.</w:t>
            </w:r>
          </w:p>
        </w:tc>
      </w:tr>
      <w:tr w:rsidR="007658DF" w:rsidRPr="006B4436" w:rsidTr="007658DF">
        <w:trPr>
          <w:cantSplit/>
          <w:trHeight w:val="360"/>
        </w:trPr>
        <w:tc>
          <w:tcPr>
            <w:tcW w:w="2127"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Arial"/>
                <w:b/>
                <w:snapToGrid w:val="0"/>
                <w:sz w:val="20"/>
                <w:szCs w:val="20"/>
                <w:lang w:eastAsia="en-US"/>
              </w:rPr>
            </w:pPr>
            <w:r w:rsidRPr="006B4436">
              <w:rPr>
                <w:rFonts w:ascii="Arial Narrow" w:hAnsi="Arial Narrow" w:cs="Arial"/>
                <w:b/>
                <w:snapToGrid w:val="0"/>
                <w:sz w:val="20"/>
                <w:szCs w:val="20"/>
                <w:lang w:eastAsia="en-US"/>
              </w:rPr>
              <w:t>Administrative Advice</w:t>
            </w:r>
          </w:p>
        </w:tc>
        <w:tc>
          <w:tcPr>
            <w:tcW w:w="6945"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jc w:val="both"/>
              <w:rPr>
                <w:rFonts w:ascii="Arial Narrow" w:hAnsi="Arial Narrow" w:cs="Calibri"/>
                <w:i/>
                <w:snapToGrid w:val="0"/>
                <w:sz w:val="20"/>
                <w:szCs w:val="22"/>
                <w:lang w:eastAsia="en-US"/>
              </w:rPr>
            </w:pPr>
            <w:r w:rsidRPr="006B4436">
              <w:rPr>
                <w:rFonts w:ascii="Arial Narrow" w:hAnsi="Arial Narrow" w:cs="Calibri"/>
                <w:i/>
                <w:snapToGrid w:val="0"/>
                <w:sz w:val="20"/>
                <w:szCs w:val="22"/>
                <w:lang w:eastAsia="en-US"/>
              </w:rPr>
              <w:t>No increase in the maximum numbe</w:t>
            </w:r>
            <w:r w:rsidR="00D47CAA">
              <w:rPr>
                <w:rFonts w:ascii="Arial Narrow" w:hAnsi="Arial Narrow" w:cs="Calibri"/>
                <w:i/>
                <w:snapToGrid w:val="0"/>
                <w:sz w:val="20"/>
                <w:szCs w:val="22"/>
                <w:lang w:eastAsia="en-US"/>
              </w:rPr>
              <w:t>r of repeats may be authorised.</w:t>
            </w:r>
          </w:p>
          <w:p w:rsidR="007658DF" w:rsidRPr="006B4436" w:rsidRDefault="007658DF" w:rsidP="007658DF">
            <w:pPr>
              <w:widowControl w:val="0"/>
              <w:jc w:val="both"/>
              <w:rPr>
                <w:rFonts w:ascii="Arial Narrow" w:hAnsi="Arial Narrow" w:cs="Calibri"/>
                <w:i/>
                <w:snapToGrid w:val="0"/>
                <w:sz w:val="20"/>
                <w:szCs w:val="22"/>
                <w:lang w:eastAsia="en-US"/>
              </w:rPr>
            </w:pPr>
            <w:r w:rsidRPr="006B4436">
              <w:rPr>
                <w:rFonts w:ascii="Arial Narrow" w:hAnsi="Arial Narrow" w:cs="Calibri"/>
                <w:i/>
                <w:snapToGrid w:val="0"/>
                <w:sz w:val="20"/>
                <w:szCs w:val="22"/>
                <w:lang w:eastAsia="en-US"/>
              </w:rPr>
              <w:t>No increase in the maximum quantity or number of units may be authorised.</w:t>
            </w:r>
          </w:p>
          <w:p w:rsidR="007658DF" w:rsidRPr="006B4436" w:rsidRDefault="007658DF" w:rsidP="007658DF">
            <w:pPr>
              <w:widowControl w:val="0"/>
              <w:jc w:val="both"/>
              <w:rPr>
                <w:rFonts w:ascii="Arial Narrow" w:hAnsi="Arial Narrow" w:cs="Arial"/>
                <w:snapToGrid w:val="0"/>
                <w:sz w:val="20"/>
                <w:szCs w:val="22"/>
                <w:lang w:eastAsia="en-US"/>
              </w:rPr>
            </w:pPr>
            <w:r w:rsidRPr="006B4436">
              <w:rPr>
                <w:rFonts w:ascii="Arial Narrow" w:hAnsi="Arial Narrow" w:cs="Calibri"/>
                <w:i/>
                <w:snapToGrid w:val="0"/>
                <w:sz w:val="20"/>
                <w:szCs w:val="22"/>
                <w:lang w:eastAsia="en-US"/>
              </w:rPr>
              <w:t>Special Pricing Arrangements apply.</w:t>
            </w:r>
          </w:p>
        </w:tc>
      </w:tr>
      <w:tr w:rsidR="007658DF" w:rsidRPr="006B4436" w:rsidTr="00252627">
        <w:trPr>
          <w:cantSplit/>
          <w:trHeight w:val="268"/>
        </w:trPr>
        <w:tc>
          <w:tcPr>
            <w:tcW w:w="2127"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Arial"/>
                <w:b/>
                <w:snapToGrid w:val="0"/>
                <w:sz w:val="20"/>
                <w:szCs w:val="20"/>
                <w:lang w:eastAsia="en-US"/>
              </w:rPr>
            </w:pPr>
            <w:r w:rsidRPr="006B4436">
              <w:rPr>
                <w:rFonts w:ascii="Arial Narrow" w:hAnsi="Arial Narrow" w:cs="Arial"/>
                <w:b/>
                <w:snapToGrid w:val="0"/>
                <w:sz w:val="20"/>
                <w:szCs w:val="20"/>
                <w:lang w:eastAsia="en-US"/>
              </w:rPr>
              <w:t>Cautions</w:t>
            </w:r>
          </w:p>
        </w:tc>
        <w:tc>
          <w:tcPr>
            <w:tcW w:w="6945" w:type="dxa"/>
            <w:tcBorders>
              <w:top w:val="single" w:sz="4" w:space="0" w:color="auto"/>
              <w:left w:val="single" w:sz="4" w:space="0" w:color="auto"/>
              <w:bottom w:val="single" w:sz="4" w:space="0" w:color="auto"/>
              <w:right w:val="single" w:sz="4" w:space="0" w:color="auto"/>
            </w:tcBorders>
          </w:tcPr>
          <w:p w:rsidR="007658DF" w:rsidRPr="006B4436" w:rsidRDefault="007658DF" w:rsidP="007658DF">
            <w:pPr>
              <w:widowControl w:val="0"/>
              <w:contextualSpacing/>
              <w:jc w:val="both"/>
              <w:rPr>
                <w:rFonts w:ascii="Arial Narrow" w:hAnsi="Arial Narrow" w:cs="Arial"/>
                <w:snapToGrid w:val="0"/>
                <w:sz w:val="20"/>
                <w:szCs w:val="20"/>
                <w:lang w:eastAsia="en-US"/>
              </w:rPr>
            </w:pPr>
            <w:r w:rsidRPr="006B4436">
              <w:rPr>
                <w:rFonts w:ascii="Arial Narrow" w:hAnsi="Arial Narrow" w:cs="Arial"/>
                <w:snapToGrid w:val="0"/>
                <w:sz w:val="20"/>
                <w:szCs w:val="20"/>
                <w:lang w:eastAsia="en-US"/>
              </w:rPr>
              <w:t>N/A</w:t>
            </w:r>
          </w:p>
        </w:tc>
      </w:tr>
    </w:tbl>
    <w:p w:rsidR="0067747D" w:rsidRDefault="0067747D" w:rsidP="0067747D">
      <w:pPr>
        <w:spacing w:after="120"/>
        <w:rPr>
          <w:rFonts w:asciiTheme="minorHAnsi" w:eastAsiaTheme="minorHAnsi" w:hAnsiTheme="minorHAnsi" w:cstheme="minorBidi"/>
          <w:szCs w:val="22"/>
        </w:rPr>
      </w:pPr>
    </w:p>
    <w:p w:rsidR="003325E8" w:rsidRDefault="003325E8" w:rsidP="003325E8">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3325E8">
        <w:rPr>
          <w:rFonts w:asciiTheme="minorHAnsi" w:eastAsiaTheme="minorHAnsi" w:hAnsiTheme="minorHAnsi" w:cstheme="minorBidi"/>
          <w:snapToGrid/>
          <w:sz w:val="24"/>
          <w:szCs w:val="22"/>
        </w:rPr>
        <w:t xml:space="preserve">The minor </w:t>
      </w:r>
      <w:r w:rsidR="00E04589">
        <w:rPr>
          <w:rFonts w:asciiTheme="minorHAnsi" w:eastAsiaTheme="minorHAnsi" w:hAnsiTheme="minorHAnsi" w:cstheme="minorBidi"/>
          <w:snapToGrid/>
          <w:sz w:val="24"/>
          <w:szCs w:val="22"/>
        </w:rPr>
        <w:t>re</w:t>
      </w:r>
      <w:r w:rsidRPr="003325E8">
        <w:rPr>
          <w:rFonts w:asciiTheme="minorHAnsi" w:eastAsiaTheme="minorHAnsi" w:hAnsiTheme="minorHAnsi" w:cstheme="minorBidi"/>
          <w:snapToGrid/>
          <w:sz w:val="24"/>
          <w:szCs w:val="22"/>
        </w:rPr>
        <w:t>submission</w:t>
      </w:r>
      <w:r>
        <w:rPr>
          <w:rFonts w:asciiTheme="minorHAnsi" w:eastAsiaTheme="minorHAnsi" w:hAnsiTheme="minorHAnsi" w:cstheme="minorBidi"/>
          <w:snapToGrid/>
          <w:sz w:val="24"/>
          <w:szCs w:val="22"/>
        </w:rPr>
        <w:t xml:space="preserve"> requested a special pricing arrangement (SPA) where the current published ex-manufacturer price of $5,300 per vial is </w:t>
      </w:r>
      <w:proofErr w:type="gramStart"/>
      <w:r>
        <w:rPr>
          <w:rFonts w:asciiTheme="minorHAnsi" w:eastAsiaTheme="minorHAnsi" w:hAnsiTheme="minorHAnsi" w:cstheme="minorBidi"/>
          <w:snapToGrid/>
          <w:sz w:val="24"/>
          <w:szCs w:val="22"/>
        </w:rPr>
        <w:t>maintained,</w:t>
      </w:r>
      <w:proofErr w:type="gramEnd"/>
      <w:r>
        <w:rPr>
          <w:rFonts w:asciiTheme="minorHAnsi" w:eastAsiaTheme="minorHAnsi" w:hAnsiTheme="minorHAnsi" w:cstheme="minorBidi"/>
          <w:snapToGrid/>
          <w:sz w:val="24"/>
          <w:szCs w:val="22"/>
        </w:rPr>
        <w:t xml:space="preserve"> resulting in published dispensed prices for maximum amount of $2</w:t>
      </w:r>
      <w:r w:rsidR="00CE6A9B">
        <w:rPr>
          <w:rFonts w:asciiTheme="minorHAnsi" w:eastAsiaTheme="minorHAnsi" w:hAnsiTheme="minorHAnsi" w:cstheme="minorBidi"/>
          <w:snapToGrid/>
          <w:sz w:val="24"/>
          <w:szCs w:val="22"/>
        </w:rPr>
        <w:t>1,283.83 (public) and $21,619.27</w:t>
      </w:r>
      <w:r>
        <w:rPr>
          <w:rFonts w:asciiTheme="minorHAnsi" w:eastAsiaTheme="minorHAnsi" w:hAnsiTheme="minorHAnsi" w:cstheme="minorBidi"/>
          <w:snapToGrid/>
          <w:sz w:val="24"/>
          <w:szCs w:val="22"/>
        </w:rPr>
        <w:t xml:space="preserve"> (private). The proposed effective approved ex-manufacturer price (AEMP) is $</w:t>
      </w:r>
      <w:r w:rsidR="00146494">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per vial. Compared with the previous submission for the </w:t>
      </w:r>
      <w:r w:rsidRPr="0091076F">
        <w:rPr>
          <w:rFonts w:asciiTheme="minorHAnsi" w:eastAsiaTheme="minorHAnsi" w:hAnsiTheme="minorHAnsi" w:cstheme="minorBidi"/>
          <w:snapToGrid/>
          <w:sz w:val="24"/>
          <w:szCs w:val="22"/>
        </w:rPr>
        <w:t xml:space="preserve">treatment of </w:t>
      </w:r>
      <w:r w:rsidR="00E778C7">
        <w:rPr>
          <w:rFonts w:asciiTheme="minorHAnsi" w:eastAsiaTheme="minorHAnsi" w:hAnsiTheme="minorHAnsi" w:cstheme="minorBidi"/>
          <w:snapToGrid/>
          <w:sz w:val="24"/>
          <w:szCs w:val="22"/>
        </w:rPr>
        <w:t>RR</w:t>
      </w:r>
      <w:r w:rsidRPr="0091076F">
        <w:rPr>
          <w:rFonts w:asciiTheme="minorHAnsi" w:eastAsiaTheme="minorHAnsi" w:hAnsiTheme="minorHAnsi" w:cstheme="minorBidi"/>
          <w:snapToGrid/>
          <w:sz w:val="24"/>
          <w:szCs w:val="22"/>
        </w:rPr>
        <w:t xml:space="preserve"> CD30 positive </w:t>
      </w:r>
      <w:r>
        <w:rPr>
          <w:rFonts w:asciiTheme="minorHAnsi" w:eastAsiaTheme="minorHAnsi" w:hAnsiTheme="minorHAnsi" w:cstheme="minorBidi"/>
          <w:snapToGrid/>
          <w:sz w:val="24"/>
          <w:szCs w:val="22"/>
        </w:rPr>
        <w:t xml:space="preserve">CTCL, this represented a </w:t>
      </w:r>
      <w:r w:rsidR="00146494">
        <w:rPr>
          <w:rFonts w:asciiTheme="minorHAnsi" w:eastAsiaTheme="minorHAnsi" w:hAnsiTheme="minorHAnsi" w:cstheme="minorBidi"/>
          <w:noProof/>
          <w:snapToGrid/>
          <w:color w:val="000000"/>
          <w:sz w:val="24"/>
          <w:szCs w:val="22"/>
          <w:highlight w:val="black"/>
        </w:rPr>
        <w:t>''''''</w:t>
      </w:r>
      <w:r w:rsidR="00E04589">
        <w:rPr>
          <w:rFonts w:asciiTheme="minorHAnsi" w:eastAsiaTheme="minorHAnsi" w:hAnsiTheme="minorHAnsi" w:cstheme="minorBidi"/>
          <w:snapToGrid/>
          <w:sz w:val="24"/>
          <w:szCs w:val="22"/>
        </w:rPr>
        <w:t>% reduction to the AEMP (the previous submission proposed an AEMP of $</w:t>
      </w:r>
      <w:r w:rsidR="00146494">
        <w:rPr>
          <w:rFonts w:asciiTheme="minorHAnsi" w:eastAsiaTheme="minorHAnsi" w:hAnsiTheme="minorHAnsi" w:cstheme="minorBidi"/>
          <w:noProof/>
          <w:snapToGrid/>
          <w:color w:val="000000"/>
          <w:sz w:val="24"/>
          <w:szCs w:val="22"/>
          <w:highlight w:val="black"/>
        </w:rPr>
        <w:t>'''''''''''</w:t>
      </w:r>
      <w:r w:rsidR="00E04589">
        <w:rPr>
          <w:rFonts w:asciiTheme="minorHAnsi" w:eastAsiaTheme="minorHAnsi" w:hAnsiTheme="minorHAnsi" w:cstheme="minorBidi"/>
          <w:snapToGrid/>
          <w:sz w:val="24"/>
          <w:szCs w:val="22"/>
        </w:rPr>
        <w:t xml:space="preserve"> per vial). The minor resubmission stated that the proposed effective AEMP is contingent on the PBS listing covering all four CTCL subtypes and acceptance of the sponsor</w:t>
      </w:r>
      <w:r w:rsidR="0082034F">
        <w:rPr>
          <w:rFonts w:asciiTheme="minorHAnsi" w:eastAsiaTheme="minorHAnsi" w:hAnsiTheme="minorHAnsi" w:cstheme="minorBidi"/>
          <w:snapToGrid/>
          <w:sz w:val="24"/>
          <w:szCs w:val="22"/>
        </w:rPr>
        <w:t>’</w:t>
      </w:r>
      <w:r w:rsidR="00D47CAA">
        <w:rPr>
          <w:rFonts w:asciiTheme="minorHAnsi" w:eastAsiaTheme="minorHAnsi" w:hAnsiTheme="minorHAnsi" w:cstheme="minorBidi"/>
          <w:snapToGrid/>
          <w:sz w:val="24"/>
          <w:szCs w:val="22"/>
        </w:rPr>
        <w:t>s request for a SPA.</w:t>
      </w:r>
    </w:p>
    <w:p w:rsidR="00C93A2E" w:rsidRPr="00386A6A" w:rsidRDefault="00C93A2E" w:rsidP="00C93A2E">
      <w:pPr>
        <w:pStyle w:val="ListParagraph"/>
        <w:widowControl/>
        <w:numPr>
          <w:ilvl w:val="1"/>
          <w:numId w:val="5"/>
        </w:numPr>
        <w:spacing w:after="160"/>
        <w:contextualSpacing w:val="0"/>
      </w:pPr>
      <w:r w:rsidRPr="00386A6A">
        <w:rPr>
          <w:rFonts w:asciiTheme="minorHAnsi" w:eastAsiaTheme="minorHAnsi" w:hAnsiTheme="minorHAnsi" w:cstheme="minorBidi"/>
          <w:snapToGrid/>
          <w:sz w:val="24"/>
          <w:szCs w:val="22"/>
        </w:rPr>
        <w:t xml:space="preserve">In the July </w:t>
      </w:r>
      <w:proofErr w:type="gramStart"/>
      <w:r w:rsidRPr="00386A6A">
        <w:rPr>
          <w:rFonts w:asciiTheme="minorHAnsi" w:eastAsiaTheme="minorHAnsi" w:hAnsiTheme="minorHAnsi" w:cstheme="minorBidi"/>
          <w:snapToGrid/>
          <w:sz w:val="24"/>
          <w:szCs w:val="22"/>
        </w:rPr>
        <w:t>2018</w:t>
      </w:r>
      <w:proofErr w:type="gramEnd"/>
      <w:r w:rsidRPr="00386A6A">
        <w:rPr>
          <w:rFonts w:asciiTheme="minorHAnsi" w:eastAsiaTheme="minorHAnsi" w:hAnsiTheme="minorHAnsi" w:cstheme="minorBidi"/>
          <w:snapToGrid/>
          <w:sz w:val="24"/>
          <w:szCs w:val="22"/>
        </w:rPr>
        <w:t xml:space="preserve"> consideration of </w:t>
      </w:r>
      <w:proofErr w:type="spellStart"/>
      <w:r w:rsidRPr="00386A6A">
        <w:rPr>
          <w:rFonts w:asciiTheme="minorHAnsi" w:eastAsiaTheme="minorHAnsi" w:hAnsiTheme="minorHAnsi" w:cstheme="minorBidi"/>
          <w:snapToGrid/>
          <w:sz w:val="24"/>
          <w:szCs w:val="22"/>
        </w:rPr>
        <w:t>brentuximab</w:t>
      </w:r>
      <w:proofErr w:type="spellEnd"/>
      <w:r w:rsidRPr="00386A6A">
        <w:rPr>
          <w:rFonts w:asciiTheme="minorHAnsi" w:eastAsiaTheme="minorHAnsi" w:hAnsiTheme="minorHAnsi" w:cstheme="minorBidi"/>
          <w:snapToGrid/>
          <w:sz w:val="24"/>
          <w:szCs w:val="22"/>
        </w:rPr>
        <w:t xml:space="preserve"> </w:t>
      </w:r>
      <w:proofErr w:type="spellStart"/>
      <w:r w:rsidRPr="00386A6A">
        <w:rPr>
          <w:rFonts w:asciiTheme="minorHAnsi" w:eastAsiaTheme="minorHAnsi" w:hAnsiTheme="minorHAnsi" w:cstheme="minorBidi"/>
          <w:snapToGrid/>
          <w:sz w:val="24"/>
          <w:szCs w:val="22"/>
        </w:rPr>
        <w:t>vedotin</w:t>
      </w:r>
      <w:proofErr w:type="spellEnd"/>
      <w:r w:rsidRPr="00386A6A">
        <w:rPr>
          <w:rFonts w:asciiTheme="minorHAnsi" w:eastAsiaTheme="minorHAnsi" w:hAnsiTheme="minorHAnsi" w:cstheme="minorBidi"/>
          <w:snapToGrid/>
          <w:sz w:val="24"/>
          <w:szCs w:val="22"/>
        </w:rPr>
        <w:t xml:space="preserve"> the PBAC noted that no explicit definition of CD30 positivity in CTCL was included in the proposed restriction and considered that a clear definition was desirable. The PBAC considered that the proposed restrictions should include a requirement for the provision of a histology report showing evidence of CD30 positivity (Initial) and for patients to have achieved an appropriate response to therapy (Continuing) (Paragraph 7.4, </w:t>
      </w:r>
      <w:proofErr w:type="spellStart"/>
      <w:r w:rsidRPr="00386A6A">
        <w:rPr>
          <w:rFonts w:asciiTheme="minorHAnsi" w:eastAsiaTheme="minorHAnsi" w:hAnsiTheme="minorHAnsi" w:cstheme="minorBidi"/>
          <w:snapToGrid/>
          <w:sz w:val="24"/>
          <w:szCs w:val="22"/>
        </w:rPr>
        <w:t>brentuximab</w:t>
      </w:r>
      <w:proofErr w:type="spellEnd"/>
      <w:r w:rsidRPr="00386A6A">
        <w:rPr>
          <w:rFonts w:asciiTheme="minorHAnsi" w:eastAsiaTheme="minorHAnsi" w:hAnsiTheme="minorHAnsi" w:cstheme="minorBidi"/>
          <w:snapToGrid/>
          <w:sz w:val="24"/>
          <w:szCs w:val="22"/>
        </w:rPr>
        <w:t xml:space="preserve"> </w:t>
      </w:r>
      <w:proofErr w:type="spellStart"/>
      <w:r w:rsidRPr="00386A6A">
        <w:rPr>
          <w:rFonts w:asciiTheme="minorHAnsi" w:eastAsiaTheme="minorHAnsi" w:hAnsiTheme="minorHAnsi" w:cstheme="minorBidi"/>
          <w:snapToGrid/>
          <w:sz w:val="24"/>
          <w:szCs w:val="22"/>
        </w:rPr>
        <w:t>vedotin</w:t>
      </w:r>
      <w:proofErr w:type="spellEnd"/>
      <w:r w:rsidRPr="00386A6A">
        <w:rPr>
          <w:rFonts w:asciiTheme="minorHAnsi" w:eastAsiaTheme="minorHAnsi" w:hAnsiTheme="minorHAnsi" w:cstheme="minorBidi"/>
          <w:snapToGrid/>
          <w:sz w:val="24"/>
          <w:szCs w:val="22"/>
        </w:rPr>
        <w:t xml:space="preserve"> PBAC </w:t>
      </w:r>
      <w:r w:rsidR="006D4D52">
        <w:rPr>
          <w:rFonts w:asciiTheme="minorHAnsi" w:eastAsiaTheme="minorHAnsi" w:hAnsiTheme="minorHAnsi" w:cstheme="minorBidi"/>
          <w:snapToGrid/>
          <w:sz w:val="24"/>
          <w:szCs w:val="22"/>
        </w:rPr>
        <w:t>PSD</w:t>
      </w:r>
      <w:r w:rsidRPr="00386A6A">
        <w:rPr>
          <w:rFonts w:asciiTheme="minorHAnsi" w:eastAsiaTheme="minorHAnsi" w:hAnsiTheme="minorHAnsi" w:cstheme="minorBidi"/>
          <w:snapToGrid/>
          <w:sz w:val="24"/>
          <w:szCs w:val="22"/>
        </w:rPr>
        <w:t>, July 2018).</w:t>
      </w:r>
    </w:p>
    <w:p w:rsidR="00386A6A" w:rsidRPr="00386A6A" w:rsidRDefault="00C93A2E" w:rsidP="00C93A2E">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386A6A">
        <w:rPr>
          <w:rFonts w:asciiTheme="minorHAnsi" w:eastAsiaTheme="minorHAnsi" w:hAnsiTheme="minorHAnsi" w:cstheme="minorBidi"/>
          <w:snapToGrid/>
          <w:sz w:val="24"/>
          <w:szCs w:val="22"/>
        </w:rPr>
        <w:t xml:space="preserve">The </w:t>
      </w:r>
      <w:r w:rsidR="00386A6A" w:rsidRPr="00386A6A">
        <w:rPr>
          <w:rFonts w:asciiTheme="minorHAnsi" w:eastAsiaTheme="minorHAnsi" w:hAnsiTheme="minorHAnsi" w:cstheme="minorBidi"/>
          <w:snapToGrid/>
          <w:sz w:val="24"/>
          <w:szCs w:val="22"/>
        </w:rPr>
        <w:t>PBAC</w:t>
      </w:r>
      <w:r w:rsidRPr="00386A6A">
        <w:rPr>
          <w:rFonts w:asciiTheme="minorHAnsi" w:eastAsiaTheme="minorHAnsi" w:hAnsiTheme="minorHAnsi" w:cstheme="minorBidi"/>
          <w:snapToGrid/>
          <w:sz w:val="24"/>
          <w:szCs w:val="22"/>
        </w:rPr>
        <w:t xml:space="preserve"> noted that the proposed initial restriction was consistent with that presented in the July 2018 submission with two exceptions. Firstly, reference to ‘histologically’ confirmed CD30 positive disease </w:t>
      </w:r>
      <w:proofErr w:type="gramStart"/>
      <w:r w:rsidRPr="00386A6A">
        <w:rPr>
          <w:rFonts w:asciiTheme="minorHAnsi" w:eastAsiaTheme="minorHAnsi" w:hAnsiTheme="minorHAnsi" w:cstheme="minorBidi"/>
          <w:snapToGrid/>
          <w:sz w:val="24"/>
          <w:szCs w:val="22"/>
        </w:rPr>
        <w:t>was removed</w:t>
      </w:r>
      <w:proofErr w:type="gramEnd"/>
      <w:r w:rsidRPr="00386A6A">
        <w:rPr>
          <w:rFonts w:asciiTheme="minorHAnsi" w:eastAsiaTheme="minorHAnsi" w:hAnsiTheme="minorHAnsi" w:cstheme="minorBidi"/>
          <w:snapToGrid/>
          <w:sz w:val="24"/>
          <w:szCs w:val="22"/>
        </w:rPr>
        <w:t xml:space="preserve"> from the first clinical criterion. Secondly, three information requirements included in the CTCL </w:t>
      </w:r>
      <w:proofErr w:type="spellStart"/>
      <w:r w:rsidRPr="00386A6A">
        <w:rPr>
          <w:rFonts w:asciiTheme="minorHAnsi" w:eastAsiaTheme="minorHAnsi" w:hAnsiTheme="minorHAnsi" w:cstheme="minorBidi"/>
          <w:snapToGrid/>
          <w:sz w:val="24"/>
          <w:szCs w:val="22"/>
        </w:rPr>
        <w:t>brentuximab</w:t>
      </w:r>
      <w:proofErr w:type="spellEnd"/>
      <w:r w:rsidRPr="00386A6A">
        <w:rPr>
          <w:rFonts w:asciiTheme="minorHAnsi" w:eastAsiaTheme="minorHAnsi" w:hAnsiTheme="minorHAnsi" w:cstheme="minorBidi"/>
          <w:snapToGrid/>
          <w:sz w:val="24"/>
          <w:szCs w:val="22"/>
        </w:rPr>
        <w:t xml:space="preserve"> </w:t>
      </w:r>
      <w:proofErr w:type="spellStart"/>
      <w:r w:rsidRPr="00386A6A">
        <w:rPr>
          <w:rFonts w:asciiTheme="minorHAnsi" w:eastAsiaTheme="minorHAnsi" w:hAnsiTheme="minorHAnsi" w:cstheme="minorBidi"/>
          <w:snapToGrid/>
          <w:sz w:val="24"/>
          <w:szCs w:val="22"/>
        </w:rPr>
        <w:t>vedotin</w:t>
      </w:r>
      <w:proofErr w:type="spellEnd"/>
      <w:r w:rsidRPr="00386A6A">
        <w:rPr>
          <w:rFonts w:asciiTheme="minorHAnsi" w:eastAsiaTheme="minorHAnsi" w:hAnsiTheme="minorHAnsi" w:cstheme="minorBidi"/>
          <w:snapToGrid/>
          <w:sz w:val="24"/>
          <w:szCs w:val="22"/>
        </w:rPr>
        <w:t xml:space="preserve"> PBS Authority Application Supporting Information form </w:t>
      </w:r>
      <w:proofErr w:type="gramStart"/>
      <w:r w:rsidRPr="00386A6A">
        <w:rPr>
          <w:rFonts w:asciiTheme="minorHAnsi" w:eastAsiaTheme="minorHAnsi" w:hAnsiTheme="minorHAnsi" w:cstheme="minorBidi"/>
          <w:snapToGrid/>
          <w:sz w:val="24"/>
          <w:szCs w:val="22"/>
        </w:rPr>
        <w:t>were detailed</w:t>
      </w:r>
      <w:proofErr w:type="gramEnd"/>
      <w:r w:rsidRPr="00386A6A">
        <w:rPr>
          <w:rFonts w:asciiTheme="minorHAnsi" w:eastAsiaTheme="minorHAnsi" w:hAnsiTheme="minorHAnsi" w:cstheme="minorBidi"/>
          <w:snapToGrid/>
          <w:sz w:val="24"/>
          <w:szCs w:val="22"/>
        </w:rPr>
        <w:t xml:space="preserve"> in the prescriber instruction section of the proposed restriction.</w:t>
      </w:r>
    </w:p>
    <w:p w:rsidR="00C93A2E" w:rsidRPr="00386A6A" w:rsidRDefault="00C93A2E" w:rsidP="00C93A2E">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386A6A">
        <w:rPr>
          <w:rFonts w:asciiTheme="minorHAnsi" w:eastAsiaTheme="minorHAnsi" w:hAnsiTheme="minorHAnsi" w:cstheme="minorBidi"/>
          <w:snapToGrid/>
          <w:sz w:val="24"/>
          <w:szCs w:val="22"/>
        </w:rPr>
        <w:t xml:space="preserve">The minor resubmission stated that in some patients with blood involvement in </w:t>
      </w:r>
      <w:r w:rsidRPr="00386A6A">
        <w:rPr>
          <w:rFonts w:ascii="Calibri" w:hAnsi="Calibri"/>
          <w:sz w:val="24"/>
          <w:szCs w:val="22"/>
        </w:rPr>
        <w:t xml:space="preserve">Mycosis </w:t>
      </w:r>
      <w:proofErr w:type="spellStart"/>
      <w:r w:rsidRPr="00386A6A">
        <w:rPr>
          <w:rFonts w:ascii="Calibri" w:hAnsi="Calibri"/>
          <w:sz w:val="24"/>
          <w:szCs w:val="22"/>
        </w:rPr>
        <w:t>fungoides</w:t>
      </w:r>
      <w:proofErr w:type="spellEnd"/>
      <w:r w:rsidRPr="00386A6A">
        <w:rPr>
          <w:rFonts w:ascii="Calibri" w:hAnsi="Calibri"/>
          <w:sz w:val="24"/>
          <w:szCs w:val="22"/>
        </w:rPr>
        <w:t xml:space="preserve"> (</w:t>
      </w:r>
      <w:r w:rsidRPr="00386A6A">
        <w:rPr>
          <w:rFonts w:asciiTheme="minorHAnsi" w:eastAsiaTheme="minorHAnsi" w:hAnsiTheme="minorHAnsi" w:cstheme="minorBidi"/>
          <w:snapToGrid/>
          <w:sz w:val="24"/>
          <w:szCs w:val="22"/>
        </w:rPr>
        <w:t xml:space="preserve">MF) or SS, atypical T-cells - </w:t>
      </w:r>
      <w:proofErr w:type="spellStart"/>
      <w:r w:rsidRPr="00386A6A">
        <w:rPr>
          <w:rFonts w:asciiTheme="minorHAnsi" w:eastAsiaTheme="minorHAnsi" w:hAnsiTheme="minorHAnsi" w:cstheme="minorBidi"/>
          <w:snapToGrid/>
          <w:sz w:val="24"/>
          <w:szCs w:val="22"/>
        </w:rPr>
        <w:t>Sézary</w:t>
      </w:r>
      <w:proofErr w:type="spellEnd"/>
      <w:r w:rsidRPr="00386A6A">
        <w:rPr>
          <w:rFonts w:asciiTheme="minorHAnsi" w:eastAsiaTheme="minorHAnsi" w:hAnsiTheme="minorHAnsi" w:cstheme="minorBidi"/>
          <w:snapToGrid/>
          <w:sz w:val="24"/>
          <w:szCs w:val="22"/>
        </w:rPr>
        <w:t xml:space="preserve"> cells – may circulate in the peripheral blood (which affect internal organs such as the spleen and lungs) but may not always have detectable </w:t>
      </w:r>
      <w:proofErr w:type="spellStart"/>
      <w:r w:rsidRPr="00386A6A">
        <w:rPr>
          <w:rFonts w:asciiTheme="minorHAnsi" w:eastAsiaTheme="minorHAnsi" w:hAnsiTheme="minorHAnsi" w:cstheme="minorBidi"/>
          <w:snapToGrid/>
          <w:sz w:val="24"/>
          <w:szCs w:val="22"/>
        </w:rPr>
        <w:t>lymphomatous</w:t>
      </w:r>
      <w:proofErr w:type="spellEnd"/>
      <w:r w:rsidRPr="00386A6A">
        <w:rPr>
          <w:rFonts w:asciiTheme="minorHAnsi" w:eastAsiaTheme="minorHAnsi" w:hAnsiTheme="minorHAnsi" w:cstheme="minorBidi"/>
          <w:snapToGrid/>
          <w:sz w:val="24"/>
          <w:szCs w:val="22"/>
        </w:rPr>
        <w:t xml:space="preserve"> T cells on a routine skin biopsy (despite a rash). Hence, histological assessment alone may not render a diagnosis or clear CD30 expression. The minor resubmission noted that flow cytometry of the blood is the methodology by which CD30 expression is assessed in these patients. Therefore, the minor resubmission argued that evidence of CD30 positivity should be obtained </w:t>
      </w:r>
      <w:proofErr w:type="gramStart"/>
      <w:r w:rsidRPr="00386A6A">
        <w:rPr>
          <w:rFonts w:asciiTheme="minorHAnsi" w:eastAsiaTheme="minorHAnsi" w:hAnsiTheme="minorHAnsi" w:cstheme="minorBidi"/>
          <w:snapToGrid/>
          <w:sz w:val="24"/>
          <w:szCs w:val="22"/>
        </w:rPr>
        <w:t>from either</w:t>
      </w:r>
      <w:proofErr w:type="gramEnd"/>
      <w:r w:rsidRPr="00386A6A">
        <w:rPr>
          <w:rFonts w:asciiTheme="minorHAnsi" w:eastAsiaTheme="minorHAnsi" w:hAnsiTheme="minorHAnsi" w:cstheme="minorBidi"/>
          <w:snapToGrid/>
          <w:sz w:val="24"/>
          <w:szCs w:val="22"/>
        </w:rPr>
        <w:t xml:space="preserve"> a histology report of the tumour biopsy or from a flow </w:t>
      </w:r>
      <w:proofErr w:type="spellStart"/>
      <w:r w:rsidRPr="00386A6A">
        <w:rPr>
          <w:rFonts w:asciiTheme="minorHAnsi" w:eastAsiaTheme="minorHAnsi" w:hAnsiTheme="minorHAnsi" w:cstheme="minorBidi"/>
          <w:snapToGrid/>
          <w:sz w:val="24"/>
          <w:szCs w:val="22"/>
        </w:rPr>
        <w:t>cytometric</w:t>
      </w:r>
      <w:proofErr w:type="spellEnd"/>
      <w:r w:rsidRPr="00386A6A">
        <w:rPr>
          <w:rFonts w:asciiTheme="minorHAnsi" w:eastAsiaTheme="minorHAnsi" w:hAnsiTheme="minorHAnsi" w:cstheme="minorBidi"/>
          <w:snapToGrid/>
          <w:sz w:val="24"/>
          <w:szCs w:val="22"/>
        </w:rPr>
        <w:t xml:space="preserve"> analysis of the blood. The minor resubmission detailed this requirement in the prescriber instruction section of the proposed restriction and removed reference to ‘histologically’ confirmed CD30 positive disease from the clinical criteria. The PBAC consider</w:t>
      </w:r>
      <w:r w:rsidR="00386A6A">
        <w:rPr>
          <w:rFonts w:asciiTheme="minorHAnsi" w:eastAsiaTheme="minorHAnsi" w:hAnsiTheme="minorHAnsi" w:cstheme="minorBidi"/>
          <w:snapToGrid/>
          <w:sz w:val="24"/>
          <w:szCs w:val="22"/>
        </w:rPr>
        <w:t>ed</w:t>
      </w:r>
      <w:r w:rsidRPr="00386A6A">
        <w:rPr>
          <w:rFonts w:asciiTheme="minorHAnsi" w:eastAsiaTheme="minorHAnsi" w:hAnsiTheme="minorHAnsi" w:cstheme="minorBidi"/>
          <w:snapToGrid/>
          <w:sz w:val="24"/>
          <w:szCs w:val="22"/>
        </w:rPr>
        <w:t xml:space="preserve"> </w:t>
      </w:r>
      <w:r w:rsidR="00386A6A">
        <w:rPr>
          <w:rFonts w:asciiTheme="minorHAnsi" w:eastAsiaTheme="minorHAnsi" w:hAnsiTheme="minorHAnsi" w:cstheme="minorBidi"/>
          <w:snapToGrid/>
          <w:sz w:val="24"/>
          <w:szCs w:val="22"/>
        </w:rPr>
        <w:t xml:space="preserve">that a diagnosis of CD30 positive disease was required, </w:t>
      </w:r>
      <w:r w:rsidR="0082034F">
        <w:rPr>
          <w:rFonts w:asciiTheme="minorHAnsi" w:eastAsiaTheme="minorHAnsi" w:hAnsiTheme="minorHAnsi" w:cstheme="minorBidi"/>
          <w:snapToGrid/>
          <w:sz w:val="24"/>
          <w:szCs w:val="22"/>
        </w:rPr>
        <w:t xml:space="preserve">and noted that this is </w:t>
      </w:r>
      <w:r w:rsidR="00386A6A">
        <w:rPr>
          <w:rFonts w:asciiTheme="minorHAnsi" w:eastAsiaTheme="minorHAnsi" w:hAnsiTheme="minorHAnsi" w:cstheme="minorBidi"/>
          <w:snapToGrid/>
          <w:sz w:val="24"/>
          <w:szCs w:val="22"/>
        </w:rPr>
        <w:t>usually via a histology report</w:t>
      </w:r>
      <w:r w:rsidR="00B9078C">
        <w:rPr>
          <w:rFonts w:asciiTheme="minorHAnsi" w:eastAsiaTheme="minorHAnsi" w:hAnsiTheme="minorHAnsi" w:cstheme="minorBidi"/>
          <w:snapToGrid/>
          <w:sz w:val="24"/>
          <w:szCs w:val="22"/>
        </w:rPr>
        <w:t xml:space="preserve">. However, the PBAC considered that the </w:t>
      </w:r>
      <w:r w:rsidRPr="00386A6A">
        <w:rPr>
          <w:rFonts w:asciiTheme="minorHAnsi" w:eastAsiaTheme="minorHAnsi" w:hAnsiTheme="minorHAnsi" w:cstheme="minorBidi"/>
          <w:snapToGrid/>
          <w:sz w:val="24"/>
          <w:szCs w:val="22"/>
        </w:rPr>
        <w:t xml:space="preserve">inclusion of evidence of CD30 positivity from flow </w:t>
      </w:r>
      <w:proofErr w:type="spellStart"/>
      <w:r w:rsidRPr="00386A6A">
        <w:rPr>
          <w:rFonts w:asciiTheme="minorHAnsi" w:eastAsiaTheme="minorHAnsi" w:hAnsiTheme="minorHAnsi" w:cstheme="minorBidi"/>
          <w:snapToGrid/>
          <w:sz w:val="24"/>
          <w:szCs w:val="22"/>
        </w:rPr>
        <w:t>cytometric</w:t>
      </w:r>
      <w:proofErr w:type="spellEnd"/>
      <w:r w:rsidRPr="00386A6A">
        <w:rPr>
          <w:rFonts w:asciiTheme="minorHAnsi" w:eastAsiaTheme="minorHAnsi" w:hAnsiTheme="minorHAnsi" w:cstheme="minorBidi"/>
          <w:snapToGrid/>
          <w:sz w:val="24"/>
          <w:szCs w:val="22"/>
        </w:rPr>
        <w:t xml:space="preserve"> analysis, as an alternative to evidence from a histology report on a tumour sample, </w:t>
      </w:r>
      <w:r w:rsidR="00386A6A">
        <w:rPr>
          <w:rFonts w:asciiTheme="minorHAnsi" w:eastAsiaTheme="minorHAnsi" w:hAnsiTheme="minorHAnsi" w:cstheme="minorBidi"/>
          <w:snapToGrid/>
          <w:sz w:val="24"/>
          <w:szCs w:val="22"/>
        </w:rPr>
        <w:t>wa</w:t>
      </w:r>
      <w:r w:rsidRPr="00386A6A">
        <w:rPr>
          <w:rFonts w:asciiTheme="minorHAnsi" w:eastAsiaTheme="minorHAnsi" w:hAnsiTheme="minorHAnsi" w:cstheme="minorBidi"/>
          <w:snapToGrid/>
          <w:sz w:val="24"/>
          <w:szCs w:val="22"/>
        </w:rPr>
        <w:t>s appropriate</w:t>
      </w:r>
      <w:r w:rsidR="00B07055">
        <w:rPr>
          <w:rFonts w:asciiTheme="minorHAnsi" w:eastAsiaTheme="minorHAnsi" w:hAnsiTheme="minorHAnsi" w:cstheme="minorBidi"/>
          <w:snapToGrid/>
          <w:sz w:val="24"/>
          <w:szCs w:val="22"/>
        </w:rPr>
        <w:t xml:space="preserve"> </w:t>
      </w:r>
      <w:r w:rsidR="00B07055" w:rsidRPr="009052BF">
        <w:rPr>
          <w:rFonts w:asciiTheme="minorHAnsi" w:eastAsiaTheme="minorHAnsi" w:hAnsiTheme="minorHAnsi" w:cstheme="minorBidi"/>
          <w:snapToGrid/>
          <w:sz w:val="24"/>
          <w:szCs w:val="22"/>
        </w:rPr>
        <w:t xml:space="preserve">for </w:t>
      </w:r>
      <w:r w:rsidR="002E4420" w:rsidRPr="009052BF">
        <w:rPr>
          <w:rFonts w:asciiTheme="minorHAnsi" w:eastAsiaTheme="minorHAnsi" w:hAnsiTheme="minorHAnsi" w:cstheme="minorBidi"/>
          <w:snapToGrid/>
          <w:sz w:val="24"/>
          <w:szCs w:val="22"/>
        </w:rPr>
        <w:t xml:space="preserve">patients with </w:t>
      </w:r>
      <w:r w:rsidR="00B07055" w:rsidRPr="009052BF">
        <w:rPr>
          <w:rFonts w:asciiTheme="minorHAnsi" w:eastAsiaTheme="minorHAnsi" w:hAnsiTheme="minorHAnsi" w:cstheme="minorBidi"/>
          <w:snapToGrid/>
          <w:sz w:val="24"/>
          <w:szCs w:val="22"/>
        </w:rPr>
        <w:t>SS</w:t>
      </w:r>
      <w:r w:rsidRPr="00386A6A">
        <w:rPr>
          <w:rFonts w:asciiTheme="minorHAnsi" w:eastAsiaTheme="minorHAnsi" w:hAnsiTheme="minorHAnsi" w:cstheme="minorBidi"/>
          <w:snapToGrid/>
          <w:sz w:val="24"/>
          <w:szCs w:val="22"/>
        </w:rPr>
        <w:t>.</w:t>
      </w:r>
    </w:p>
    <w:p w:rsidR="00C93A2E" w:rsidRPr="00B9078C" w:rsidRDefault="00775B60" w:rsidP="00C93A2E">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 xml:space="preserve">A definition of CD30 positivity was </w:t>
      </w:r>
      <w:r w:rsidR="00C93A2E" w:rsidRPr="00B9078C">
        <w:rPr>
          <w:rFonts w:asciiTheme="minorHAnsi" w:eastAsiaTheme="minorHAnsi" w:hAnsiTheme="minorHAnsi" w:cstheme="minorBidi"/>
          <w:snapToGrid/>
          <w:sz w:val="24"/>
          <w:szCs w:val="22"/>
        </w:rPr>
        <w:t xml:space="preserve">not included in the revised initial treatment restriction. The minor resubmission argued that there is no requirement </w:t>
      </w:r>
      <w:proofErr w:type="gramStart"/>
      <w:r w:rsidR="00C93A2E" w:rsidRPr="00B9078C">
        <w:rPr>
          <w:rFonts w:asciiTheme="minorHAnsi" w:eastAsiaTheme="minorHAnsi" w:hAnsiTheme="minorHAnsi" w:cstheme="minorBidi"/>
          <w:snapToGrid/>
          <w:sz w:val="24"/>
          <w:szCs w:val="22"/>
        </w:rPr>
        <w:t xml:space="preserve">for an explicit definition for CD30 expression in the current Authority application for </w:t>
      </w:r>
      <w:proofErr w:type="spellStart"/>
      <w:r w:rsidR="00C93A2E" w:rsidRPr="00B9078C">
        <w:rPr>
          <w:rFonts w:asciiTheme="minorHAnsi" w:eastAsiaTheme="minorHAnsi" w:hAnsiTheme="minorHAnsi" w:cstheme="minorBidi"/>
          <w:snapToGrid/>
          <w:sz w:val="24"/>
          <w:szCs w:val="22"/>
        </w:rPr>
        <w:t>brentuximab</w:t>
      </w:r>
      <w:proofErr w:type="spellEnd"/>
      <w:r w:rsidR="00C93A2E" w:rsidRPr="00B9078C">
        <w:rPr>
          <w:rFonts w:asciiTheme="minorHAnsi" w:eastAsiaTheme="minorHAnsi" w:hAnsiTheme="minorHAnsi" w:cstheme="minorBidi"/>
          <w:snapToGrid/>
          <w:sz w:val="24"/>
          <w:szCs w:val="22"/>
        </w:rPr>
        <w:t xml:space="preserve"> </w:t>
      </w:r>
      <w:proofErr w:type="spellStart"/>
      <w:r w:rsidR="00C93A2E" w:rsidRPr="00B9078C">
        <w:rPr>
          <w:rFonts w:asciiTheme="minorHAnsi" w:eastAsiaTheme="minorHAnsi" w:hAnsiTheme="minorHAnsi" w:cstheme="minorBidi"/>
          <w:snapToGrid/>
          <w:sz w:val="24"/>
          <w:szCs w:val="22"/>
        </w:rPr>
        <w:t>vedotin</w:t>
      </w:r>
      <w:proofErr w:type="spellEnd"/>
      <w:r w:rsidR="00C93A2E" w:rsidRPr="00B9078C">
        <w:rPr>
          <w:rFonts w:asciiTheme="minorHAnsi" w:eastAsiaTheme="minorHAnsi" w:hAnsiTheme="minorHAnsi" w:cstheme="minorBidi"/>
          <w:snapToGrid/>
          <w:sz w:val="24"/>
          <w:szCs w:val="22"/>
        </w:rPr>
        <w:t xml:space="preserve"> in systemic anaplastic large cell lymphoma (</w:t>
      </w:r>
      <w:proofErr w:type="spellStart"/>
      <w:r w:rsidR="00C93A2E" w:rsidRPr="00B9078C">
        <w:rPr>
          <w:rFonts w:asciiTheme="minorHAnsi" w:eastAsiaTheme="minorHAnsi" w:hAnsiTheme="minorHAnsi" w:cstheme="minorBidi"/>
          <w:snapToGrid/>
          <w:sz w:val="24"/>
          <w:szCs w:val="22"/>
        </w:rPr>
        <w:t>sALCL</w:t>
      </w:r>
      <w:proofErr w:type="spellEnd"/>
      <w:r w:rsidR="00C93A2E" w:rsidRPr="00B9078C">
        <w:rPr>
          <w:rFonts w:asciiTheme="minorHAnsi" w:eastAsiaTheme="minorHAnsi" w:hAnsiTheme="minorHAnsi" w:cstheme="minorBidi"/>
          <w:snapToGrid/>
          <w:sz w:val="24"/>
          <w:szCs w:val="22"/>
        </w:rPr>
        <w:t>)</w:t>
      </w:r>
      <w:proofErr w:type="gramEnd"/>
      <w:r w:rsidR="00C93A2E" w:rsidRPr="00B9078C">
        <w:rPr>
          <w:rFonts w:asciiTheme="minorHAnsi" w:eastAsiaTheme="minorHAnsi" w:hAnsiTheme="minorHAnsi" w:cstheme="minorBidi"/>
          <w:snapToGrid/>
          <w:sz w:val="24"/>
          <w:szCs w:val="22"/>
        </w:rPr>
        <w:t xml:space="preserve">. In addition, the minor resubmission suggested that the use of </w:t>
      </w:r>
      <w:proofErr w:type="spellStart"/>
      <w:r w:rsidR="00C93A2E" w:rsidRPr="00B9078C">
        <w:rPr>
          <w:rFonts w:asciiTheme="minorHAnsi" w:eastAsiaTheme="minorHAnsi" w:hAnsiTheme="minorHAnsi" w:cstheme="minorBidi"/>
          <w:snapToGrid/>
          <w:sz w:val="24"/>
          <w:szCs w:val="22"/>
        </w:rPr>
        <w:t>trastuzumab</w:t>
      </w:r>
      <w:proofErr w:type="spellEnd"/>
      <w:r w:rsidR="00C93A2E" w:rsidRPr="00B9078C">
        <w:rPr>
          <w:rFonts w:asciiTheme="minorHAnsi" w:eastAsiaTheme="minorHAnsi" w:hAnsiTheme="minorHAnsi" w:cstheme="minorBidi"/>
          <w:snapToGrid/>
          <w:sz w:val="24"/>
          <w:szCs w:val="22"/>
        </w:rPr>
        <w:t xml:space="preserve"> for the treatment of locally advanced HER2 positive breast cancer provi</w:t>
      </w:r>
      <w:r w:rsidR="00922DD5">
        <w:rPr>
          <w:rFonts w:asciiTheme="minorHAnsi" w:eastAsiaTheme="minorHAnsi" w:hAnsiTheme="minorHAnsi" w:cstheme="minorBidi"/>
          <w:snapToGrid/>
          <w:sz w:val="24"/>
          <w:szCs w:val="22"/>
        </w:rPr>
        <w:t>ded</w:t>
      </w:r>
      <w:r w:rsidR="00C93A2E" w:rsidRPr="00B9078C">
        <w:rPr>
          <w:rFonts w:asciiTheme="minorHAnsi" w:eastAsiaTheme="minorHAnsi" w:hAnsiTheme="minorHAnsi" w:cstheme="minorBidi"/>
          <w:snapToGrid/>
          <w:sz w:val="24"/>
          <w:szCs w:val="22"/>
        </w:rPr>
        <w:t xml:space="preserve"> another example of an Authority Required PBS-listed oncology drug for which an explicit defi</w:t>
      </w:r>
      <w:r w:rsidR="00922DD5">
        <w:rPr>
          <w:rFonts w:asciiTheme="minorHAnsi" w:eastAsiaTheme="minorHAnsi" w:hAnsiTheme="minorHAnsi" w:cstheme="minorBidi"/>
          <w:snapToGrid/>
          <w:sz w:val="24"/>
          <w:szCs w:val="22"/>
        </w:rPr>
        <w:t>nition of biomarker expression wa</w:t>
      </w:r>
      <w:r w:rsidR="00C93A2E" w:rsidRPr="00B9078C">
        <w:rPr>
          <w:rFonts w:asciiTheme="minorHAnsi" w:eastAsiaTheme="minorHAnsi" w:hAnsiTheme="minorHAnsi" w:cstheme="minorBidi"/>
          <w:snapToGrid/>
          <w:sz w:val="24"/>
          <w:szCs w:val="22"/>
        </w:rPr>
        <w:t>s not required.</w:t>
      </w:r>
      <w:r w:rsidR="00C93A2E" w:rsidRPr="00B9078C">
        <w:rPr>
          <w:rFonts w:asciiTheme="minorHAnsi" w:eastAsiaTheme="minorHAnsi" w:hAnsiTheme="minorHAnsi" w:cstheme="minorBidi"/>
          <w:snapToGrid/>
          <w:sz w:val="24"/>
          <w:szCs w:val="22"/>
          <w:vertAlign w:val="superscript"/>
        </w:rPr>
        <w:footnoteReference w:id="3"/>
      </w:r>
      <w:r w:rsidR="00C93A2E" w:rsidRPr="00B9078C">
        <w:rPr>
          <w:rFonts w:asciiTheme="minorHAnsi" w:eastAsiaTheme="minorHAnsi" w:hAnsiTheme="minorHAnsi" w:cstheme="minorBidi"/>
          <w:snapToGrid/>
          <w:sz w:val="24"/>
          <w:szCs w:val="22"/>
        </w:rPr>
        <w:t xml:space="preserve"> The resubmission also argued that there were difficulties associated with developing a clear and precise definition for CD30 positivity in the RR CTCL indicatio</w:t>
      </w:r>
      <w:r w:rsidR="00D47CAA">
        <w:rPr>
          <w:rFonts w:asciiTheme="minorHAnsi" w:eastAsiaTheme="minorHAnsi" w:hAnsiTheme="minorHAnsi" w:cstheme="minorBidi"/>
          <w:snapToGrid/>
          <w:sz w:val="24"/>
          <w:szCs w:val="22"/>
        </w:rPr>
        <w:t>n, specifically:</w:t>
      </w:r>
    </w:p>
    <w:p w:rsidR="00C93A2E" w:rsidRPr="00B9078C" w:rsidRDefault="00C93A2E" w:rsidP="00C93A2E">
      <w:pPr>
        <w:pStyle w:val="IntenseQuote"/>
        <w:numPr>
          <w:ilvl w:val="1"/>
          <w:numId w:val="23"/>
        </w:numPr>
        <w:ind w:left="993" w:hanging="284"/>
      </w:pPr>
      <w:r w:rsidRPr="00B9078C">
        <w:t>Heterogeneity of CD30 expression between tumour sites and within an individual tumour,</w:t>
      </w:r>
    </w:p>
    <w:p w:rsidR="00C93A2E" w:rsidRPr="00B9078C" w:rsidRDefault="00C93A2E" w:rsidP="00C93A2E">
      <w:pPr>
        <w:pStyle w:val="IntenseQuote"/>
        <w:numPr>
          <w:ilvl w:val="1"/>
          <w:numId w:val="23"/>
        </w:numPr>
        <w:ind w:left="993" w:hanging="284"/>
      </w:pPr>
      <w:r w:rsidRPr="00B9078C">
        <w:t xml:space="preserve">The evidence demonstrating the treatment effect seen with </w:t>
      </w:r>
      <w:proofErr w:type="spellStart"/>
      <w:r w:rsidRPr="00B9078C">
        <w:t>brentuximab</w:t>
      </w:r>
      <w:proofErr w:type="spellEnd"/>
      <w:r w:rsidRPr="00B9078C">
        <w:t xml:space="preserve"> </w:t>
      </w:r>
      <w:proofErr w:type="spellStart"/>
      <w:r w:rsidRPr="00B9078C">
        <w:t>vedotin</w:t>
      </w:r>
      <w:proofErr w:type="spellEnd"/>
      <w:r w:rsidRPr="00B9078C">
        <w:t xml:space="preserve"> appears to be independent of a particular percentage of CD30 expression (see </w:t>
      </w:r>
      <w:r w:rsidRPr="00C077F0">
        <w:t>paragraph 4.</w:t>
      </w:r>
      <w:r w:rsidR="00922DD5" w:rsidRPr="00C077F0">
        <w:t>20</w:t>
      </w:r>
      <w:r w:rsidRPr="00C077F0">
        <w:t xml:space="preserve"> and 4.</w:t>
      </w:r>
      <w:r w:rsidR="00922DD5" w:rsidRPr="00C077F0">
        <w:t>21</w:t>
      </w:r>
      <w:r w:rsidRPr="00B9078C">
        <w:t>),</w:t>
      </w:r>
    </w:p>
    <w:p w:rsidR="00C93A2E" w:rsidRPr="00B9078C" w:rsidRDefault="00C93A2E" w:rsidP="00C93A2E">
      <w:pPr>
        <w:pStyle w:val="IntenseQuote"/>
        <w:numPr>
          <w:ilvl w:val="1"/>
          <w:numId w:val="23"/>
        </w:numPr>
        <w:ind w:left="993" w:hanging="284"/>
      </w:pPr>
      <w:r w:rsidRPr="00B9078C">
        <w:t>The subjective nature of the immunohistochemistry (IHC) assay employed for CD30 testing in current Australian pathology practice, where the method depends on the quality of the biopsy tissue, size, necrosis, fixations, and laboratory processes, all of which can introduce variability in the test, and</w:t>
      </w:r>
    </w:p>
    <w:p w:rsidR="00C93A2E" w:rsidRPr="00B9078C" w:rsidRDefault="00C93A2E" w:rsidP="00C93A2E">
      <w:pPr>
        <w:pStyle w:val="IntenseQuote"/>
        <w:numPr>
          <w:ilvl w:val="1"/>
          <w:numId w:val="23"/>
        </w:numPr>
        <w:ind w:left="993" w:hanging="284"/>
      </w:pPr>
      <w:r w:rsidRPr="00B9078C">
        <w:t>Non-standardised reporting of CD30 positivity among pathologists.</w:t>
      </w:r>
    </w:p>
    <w:p w:rsidR="00B9078C" w:rsidRPr="00B9078C" w:rsidRDefault="00C93A2E" w:rsidP="00B9078C">
      <w:pPr>
        <w:spacing w:before="120" w:after="160"/>
        <w:ind w:left="709"/>
        <w:rPr>
          <w:rFonts w:asciiTheme="minorHAnsi" w:eastAsiaTheme="minorHAnsi" w:hAnsiTheme="minorHAnsi" w:cstheme="minorBidi"/>
          <w:szCs w:val="22"/>
        </w:rPr>
      </w:pPr>
      <w:r w:rsidRPr="00B9078C">
        <w:rPr>
          <w:rFonts w:asciiTheme="minorHAnsi" w:eastAsiaTheme="minorHAnsi" w:hAnsiTheme="minorHAnsi" w:cstheme="minorBidi"/>
          <w:szCs w:val="22"/>
        </w:rPr>
        <w:t xml:space="preserve">In addition, the minor resubmission proposed that the setting of an arbitrary cut-off </w:t>
      </w:r>
      <w:proofErr w:type="gramStart"/>
      <w:r w:rsidRPr="00B9078C">
        <w:rPr>
          <w:rFonts w:asciiTheme="minorHAnsi" w:eastAsiaTheme="minorHAnsi" w:hAnsiTheme="minorHAnsi" w:cstheme="minorBidi"/>
          <w:szCs w:val="22"/>
        </w:rPr>
        <w:t>may</w:t>
      </w:r>
      <w:proofErr w:type="gramEnd"/>
      <w:r w:rsidRPr="00B9078C">
        <w:rPr>
          <w:rFonts w:asciiTheme="minorHAnsi" w:eastAsiaTheme="minorHAnsi" w:hAnsiTheme="minorHAnsi" w:cstheme="minorBidi"/>
          <w:szCs w:val="22"/>
        </w:rPr>
        <w:t xml:space="preserve"> lead to inequity of access for some patients. </w:t>
      </w:r>
      <w:r w:rsidR="006F47BD">
        <w:rPr>
          <w:rFonts w:asciiTheme="minorHAnsi" w:eastAsiaTheme="minorHAnsi" w:hAnsiTheme="minorHAnsi" w:cstheme="minorBidi"/>
          <w:szCs w:val="22"/>
        </w:rPr>
        <w:t>The pre-PBAC response argued that the terminology in the PBS restriction should be ‘any CD30 positivity’.</w:t>
      </w:r>
    </w:p>
    <w:p w:rsidR="00C93A2E" w:rsidRDefault="00E46902" w:rsidP="00C93A2E">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noted the arguments put forward in the minor resubmission and the pre-PBAC response against the inclusion of an explicit definition for CD30 positivity. However, the PBAC </w:t>
      </w:r>
      <w:r w:rsidR="00BE2550">
        <w:rPr>
          <w:rFonts w:asciiTheme="minorHAnsi" w:eastAsiaTheme="minorHAnsi" w:hAnsiTheme="minorHAnsi" w:cstheme="minorBidi"/>
          <w:snapToGrid/>
          <w:sz w:val="24"/>
          <w:szCs w:val="22"/>
        </w:rPr>
        <w:t>noted</w:t>
      </w:r>
      <w:r w:rsidR="0066502E">
        <w:rPr>
          <w:rFonts w:asciiTheme="minorHAnsi" w:eastAsiaTheme="minorHAnsi" w:hAnsiTheme="minorHAnsi" w:cstheme="minorBidi"/>
          <w:snapToGrid/>
          <w:sz w:val="24"/>
          <w:szCs w:val="22"/>
        </w:rPr>
        <w:t xml:space="preserve"> that a large proportion of patients with CTCL do not express CD30. In addition, the PBAC noted that the evidence for cost-effectiveness of </w:t>
      </w:r>
      <w:proofErr w:type="spellStart"/>
      <w:r w:rsidR="0066502E">
        <w:rPr>
          <w:rFonts w:asciiTheme="minorHAnsi" w:eastAsiaTheme="minorHAnsi" w:hAnsiTheme="minorHAnsi" w:cstheme="minorBidi"/>
          <w:snapToGrid/>
          <w:sz w:val="24"/>
          <w:szCs w:val="22"/>
        </w:rPr>
        <w:t>b</w:t>
      </w:r>
      <w:r w:rsidR="00922DD5">
        <w:rPr>
          <w:rFonts w:asciiTheme="minorHAnsi" w:eastAsiaTheme="minorHAnsi" w:hAnsiTheme="minorHAnsi" w:cstheme="minorBidi"/>
          <w:snapToGrid/>
          <w:sz w:val="24"/>
          <w:szCs w:val="22"/>
        </w:rPr>
        <w:t>rentuximab</w:t>
      </w:r>
      <w:proofErr w:type="spellEnd"/>
      <w:r w:rsidR="00922DD5">
        <w:rPr>
          <w:rFonts w:asciiTheme="minorHAnsi" w:eastAsiaTheme="minorHAnsi" w:hAnsiTheme="minorHAnsi" w:cstheme="minorBidi"/>
          <w:snapToGrid/>
          <w:sz w:val="24"/>
          <w:szCs w:val="22"/>
        </w:rPr>
        <w:t xml:space="preserve"> </w:t>
      </w:r>
      <w:proofErr w:type="spellStart"/>
      <w:r w:rsidR="00922DD5">
        <w:rPr>
          <w:rFonts w:asciiTheme="minorHAnsi" w:eastAsiaTheme="minorHAnsi" w:hAnsiTheme="minorHAnsi" w:cstheme="minorBidi"/>
          <w:snapToGrid/>
          <w:sz w:val="24"/>
          <w:szCs w:val="22"/>
        </w:rPr>
        <w:t>vedotin</w:t>
      </w:r>
      <w:proofErr w:type="spellEnd"/>
      <w:r w:rsidR="00922DD5">
        <w:rPr>
          <w:rFonts w:asciiTheme="minorHAnsi" w:eastAsiaTheme="minorHAnsi" w:hAnsiTheme="minorHAnsi" w:cstheme="minorBidi"/>
          <w:snapToGrid/>
          <w:sz w:val="24"/>
          <w:szCs w:val="22"/>
        </w:rPr>
        <w:t xml:space="preserve"> </w:t>
      </w:r>
      <w:proofErr w:type="gramStart"/>
      <w:r w:rsidR="00922DD5">
        <w:rPr>
          <w:rFonts w:asciiTheme="minorHAnsi" w:eastAsiaTheme="minorHAnsi" w:hAnsiTheme="minorHAnsi" w:cstheme="minorBidi"/>
          <w:snapToGrid/>
          <w:sz w:val="24"/>
          <w:szCs w:val="22"/>
        </w:rPr>
        <w:t>wa</w:t>
      </w:r>
      <w:r w:rsidR="0066502E">
        <w:rPr>
          <w:rFonts w:asciiTheme="minorHAnsi" w:eastAsiaTheme="minorHAnsi" w:hAnsiTheme="minorHAnsi" w:cstheme="minorBidi"/>
          <w:snapToGrid/>
          <w:sz w:val="24"/>
          <w:szCs w:val="22"/>
        </w:rPr>
        <w:t>s based</w:t>
      </w:r>
      <w:proofErr w:type="gramEnd"/>
      <w:r w:rsidR="0066502E">
        <w:rPr>
          <w:rFonts w:asciiTheme="minorHAnsi" w:eastAsiaTheme="minorHAnsi" w:hAnsiTheme="minorHAnsi" w:cstheme="minorBidi"/>
          <w:snapToGrid/>
          <w:sz w:val="24"/>
          <w:szCs w:val="22"/>
        </w:rPr>
        <w:t xml:space="preserve"> on the ALCANZA trial, which only recruited patients whose biopsy had 10% or more target cells with CD30 staining. </w:t>
      </w:r>
      <w:r>
        <w:rPr>
          <w:rFonts w:asciiTheme="minorHAnsi" w:eastAsiaTheme="minorHAnsi" w:hAnsiTheme="minorHAnsi" w:cstheme="minorBidi"/>
          <w:snapToGrid/>
          <w:sz w:val="24"/>
          <w:szCs w:val="22"/>
        </w:rPr>
        <w:t>The PBAC acknowledged</w:t>
      </w:r>
      <w:r w:rsidRPr="00B9078C">
        <w:rPr>
          <w:rFonts w:asciiTheme="minorHAnsi" w:eastAsiaTheme="minorHAnsi" w:hAnsiTheme="minorHAnsi" w:cstheme="minorBidi"/>
          <w:snapToGrid/>
          <w:sz w:val="24"/>
          <w:szCs w:val="22"/>
        </w:rPr>
        <w:t xml:space="preserve"> that on review, evidence of activity </w:t>
      </w:r>
      <w:proofErr w:type="gramStart"/>
      <w:r w:rsidRPr="00B9078C">
        <w:rPr>
          <w:rFonts w:asciiTheme="minorHAnsi" w:eastAsiaTheme="minorHAnsi" w:hAnsiTheme="minorHAnsi" w:cstheme="minorBidi"/>
          <w:snapToGrid/>
          <w:sz w:val="24"/>
          <w:szCs w:val="22"/>
        </w:rPr>
        <w:t>was seen</w:t>
      </w:r>
      <w:proofErr w:type="gramEnd"/>
      <w:r w:rsidRPr="00B9078C">
        <w:rPr>
          <w:rFonts w:asciiTheme="minorHAnsi" w:eastAsiaTheme="minorHAnsi" w:hAnsiTheme="minorHAnsi" w:cstheme="minorBidi"/>
          <w:snapToGrid/>
          <w:sz w:val="24"/>
          <w:szCs w:val="22"/>
        </w:rPr>
        <w:t xml:space="preserve"> at levels below 10%, and that the disease is heterogen</w:t>
      </w:r>
      <w:r w:rsidR="000B185D">
        <w:rPr>
          <w:rFonts w:asciiTheme="minorHAnsi" w:eastAsiaTheme="minorHAnsi" w:hAnsiTheme="minorHAnsi" w:cstheme="minorBidi"/>
          <w:snapToGrid/>
          <w:sz w:val="24"/>
          <w:szCs w:val="22"/>
        </w:rPr>
        <w:t>e</w:t>
      </w:r>
      <w:r w:rsidRPr="00B9078C">
        <w:rPr>
          <w:rFonts w:asciiTheme="minorHAnsi" w:eastAsiaTheme="minorHAnsi" w:hAnsiTheme="minorHAnsi" w:cstheme="minorBidi"/>
          <w:snapToGrid/>
          <w:sz w:val="24"/>
          <w:szCs w:val="22"/>
        </w:rPr>
        <w:t>ous</w:t>
      </w:r>
      <w:r w:rsidR="0066502E">
        <w:rPr>
          <w:rFonts w:asciiTheme="minorHAnsi" w:eastAsiaTheme="minorHAnsi" w:hAnsiTheme="minorHAnsi" w:cstheme="minorBidi"/>
          <w:snapToGrid/>
          <w:sz w:val="24"/>
          <w:szCs w:val="22"/>
        </w:rPr>
        <w:t>,</w:t>
      </w:r>
      <w:r w:rsidRPr="00B9078C">
        <w:rPr>
          <w:rFonts w:asciiTheme="minorHAnsi" w:eastAsiaTheme="minorHAnsi" w:hAnsiTheme="minorHAnsi" w:cstheme="minorBidi"/>
          <w:snapToGrid/>
          <w:sz w:val="24"/>
          <w:szCs w:val="22"/>
        </w:rPr>
        <w:t xml:space="preserve"> meaning that repeat biopsies may be required. On balance, </w:t>
      </w:r>
      <w:r w:rsidR="00F21782">
        <w:rPr>
          <w:rFonts w:asciiTheme="minorHAnsi" w:eastAsiaTheme="minorHAnsi" w:hAnsiTheme="minorHAnsi" w:cstheme="minorBidi"/>
          <w:snapToGrid/>
          <w:sz w:val="24"/>
          <w:szCs w:val="22"/>
        </w:rPr>
        <w:t xml:space="preserve">the </w:t>
      </w:r>
      <w:r w:rsidRPr="00B9078C">
        <w:rPr>
          <w:rFonts w:asciiTheme="minorHAnsi" w:eastAsiaTheme="minorHAnsi" w:hAnsiTheme="minorHAnsi" w:cstheme="minorBidi"/>
          <w:snapToGrid/>
          <w:sz w:val="24"/>
          <w:szCs w:val="22"/>
        </w:rPr>
        <w:t xml:space="preserve">PBAC considered it necessary to specify a cut-off, but to make </w:t>
      </w:r>
      <w:r w:rsidR="00BE2550">
        <w:rPr>
          <w:rFonts w:asciiTheme="minorHAnsi" w:eastAsiaTheme="minorHAnsi" w:hAnsiTheme="minorHAnsi" w:cstheme="minorBidi"/>
          <w:snapToGrid/>
          <w:sz w:val="24"/>
          <w:szCs w:val="22"/>
        </w:rPr>
        <w:t>it</w:t>
      </w:r>
      <w:r w:rsidRPr="00B9078C">
        <w:rPr>
          <w:rFonts w:asciiTheme="minorHAnsi" w:eastAsiaTheme="minorHAnsi" w:hAnsiTheme="minorHAnsi" w:cstheme="minorBidi"/>
          <w:snapToGrid/>
          <w:sz w:val="24"/>
          <w:szCs w:val="22"/>
        </w:rPr>
        <w:t xml:space="preserve"> less stringent than the </w:t>
      </w:r>
      <w:r w:rsidR="00BE2550">
        <w:rPr>
          <w:rFonts w:asciiTheme="minorHAnsi" w:eastAsiaTheme="minorHAnsi" w:hAnsiTheme="minorHAnsi" w:cstheme="minorBidi"/>
          <w:snapToGrid/>
          <w:sz w:val="24"/>
          <w:szCs w:val="22"/>
        </w:rPr>
        <w:t xml:space="preserve">ALCANZA </w:t>
      </w:r>
      <w:r w:rsidRPr="00B9078C">
        <w:rPr>
          <w:rFonts w:asciiTheme="minorHAnsi" w:eastAsiaTheme="minorHAnsi" w:hAnsiTheme="minorHAnsi" w:cstheme="minorBidi"/>
          <w:snapToGrid/>
          <w:sz w:val="24"/>
          <w:szCs w:val="22"/>
        </w:rPr>
        <w:t xml:space="preserve">trial entry criteria given the data provided in </w:t>
      </w:r>
      <w:r w:rsidR="005127CC">
        <w:rPr>
          <w:rFonts w:asciiTheme="minorHAnsi" w:eastAsiaTheme="minorHAnsi" w:hAnsiTheme="minorHAnsi" w:cstheme="minorBidi"/>
          <w:snapToGrid/>
          <w:sz w:val="24"/>
          <w:szCs w:val="22"/>
        </w:rPr>
        <w:t xml:space="preserve">both the July 2018 submission and in </w:t>
      </w:r>
      <w:r w:rsidRPr="00B9078C">
        <w:rPr>
          <w:rFonts w:asciiTheme="minorHAnsi" w:eastAsiaTheme="minorHAnsi" w:hAnsiTheme="minorHAnsi" w:cstheme="minorBidi"/>
          <w:snapToGrid/>
          <w:sz w:val="24"/>
          <w:szCs w:val="22"/>
        </w:rPr>
        <w:t xml:space="preserve">the minor </w:t>
      </w:r>
      <w:r w:rsidR="0066502E">
        <w:rPr>
          <w:rFonts w:asciiTheme="minorHAnsi" w:eastAsiaTheme="minorHAnsi" w:hAnsiTheme="minorHAnsi" w:cstheme="minorBidi"/>
          <w:snapToGrid/>
          <w:sz w:val="24"/>
          <w:szCs w:val="22"/>
        </w:rPr>
        <w:t>re</w:t>
      </w:r>
      <w:r w:rsidRPr="00B9078C">
        <w:rPr>
          <w:rFonts w:asciiTheme="minorHAnsi" w:eastAsiaTheme="minorHAnsi" w:hAnsiTheme="minorHAnsi" w:cstheme="minorBidi"/>
          <w:snapToGrid/>
          <w:sz w:val="24"/>
          <w:szCs w:val="22"/>
        </w:rPr>
        <w:t>submi</w:t>
      </w:r>
      <w:r w:rsidR="00D47CAA">
        <w:rPr>
          <w:rFonts w:asciiTheme="minorHAnsi" w:eastAsiaTheme="minorHAnsi" w:hAnsiTheme="minorHAnsi" w:cstheme="minorBidi"/>
          <w:snapToGrid/>
          <w:sz w:val="24"/>
          <w:szCs w:val="22"/>
        </w:rPr>
        <w:t>ssion.</w:t>
      </w:r>
    </w:p>
    <w:p w:rsidR="00C93A2E" w:rsidRPr="00F21782" w:rsidRDefault="00C93A2E" w:rsidP="00C93A2E">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F21782">
        <w:rPr>
          <w:rFonts w:asciiTheme="minorHAnsi" w:eastAsiaTheme="minorHAnsi" w:hAnsiTheme="minorHAnsi" w:cstheme="minorBidi"/>
          <w:snapToGrid/>
          <w:sz w:val="24"/>
          <w:szCs w:val="22"/>
        </w:rPr>
        <w:lastRenderedPageBreak/>
        <w:t xml:space="preserve">The proposed continuing restriction remained unchanged from that presented in the July 2018 submission and hence did not include a requirement for patients to have achieved an appropriate response to therapy. </w:t>
      </w:r>
      <w:r w:rsidR="004D2C33" w:rsidRPr="00F21782">
        <w:rPr>
          <w:rFonts w:asciiTheme="minorHAnsi" w:eastAsiaTheme="minorHAnsi" w:hAnsiTheme="minorHAnsi" w:cstheme="minorBidi"/>
          <w:snapToGrid/>
          <w:sz w:val="24"/>
          <w:szCs w:val="22"/>
        </w:rPr>
        <w:t>I</w:t>
      </w:r>
      <w:r w:rsidRPr="00F21782">
        <w:rPr>
          <w:rFonts w:asciiTheme="minorHAnsi" w:eastAsiaTheme="minorHAnsi" w:hAnsiTheme="minorHAnsi" w:cstheme="minorBidi"/>
          <w:snapToGrid/>
          <w:sz w:val="24"/>
          <w:szCs w:val="22"/>
        </w:rPr>
        <w:t xml:space="preserve">n addition to recommending the inclusion of a requirement regarding response to therapy, </w:t>
      </w:r>
      <w:r w:rsidR="004D2C33" w:rsidRPr="00F21782">
        <w:rPr>
          <w:rFonts w:asciiTheme="minorHAnsi" w:eastAsiaTheme="minorHAnsi" w:hAnsiTheme="minorHAnsi" w:cstheme="minorBidi"/>
          <w:snapToGrid/>
          <w:sz w:val="24"/>
          <w:szCs w:val="22"/>
        </w:rPr>
        <w:t xml:space="preserve">at the July 2018 meeting </w:t>
      </w:r>
      <w:r w:rsidRPr="00F21782">
        <w:rPr>
          <w:rFonts w:asciiTheme="minorHAnsi" w:eastAsiaTheme="minorHAnsi" w:hAnsiTheme="minorHAnsi" w:cstheme="minorBidi"/>
          <w:snapToGrid/>
          <w:sz w:val="24"/>
          <w:szCs w:val="22"/>
        </w:rPr>
        <w:t xml:space="preserve">the PBAC considered that further advice was required on how response assessment can be pragmatically included as part of a restriction that is amenable to use in clinical practice (Paragraph 2.4, </w:t>
      </w:r>
      <w:proofErr w:type="spellStart"/>
      <w:r w:rsidRPr="00F21782">
        <w:rPr>
          <w:rFonts w:asciiTheme="minorHAnsi" w:eastAsiaTheme="minorHAnsi" w:hAnsiTheme="minorHAnsi" w:cstheme="minorBidi"/>
          <w:snapToGrid/>
          <w:sz w:val="24"/>
          <w:szCs w:val="22"/>
        </w:rPr>
        <w:t>brentuximab</w:t>
      </w:r>
      <w:proofErr w:type="spellEnd"/>
      <w:r w:rsidRPr="00F21782">
        <w:rPr>
          <w:rFonts w:asciiTheme="minorHAnsi" w:eastAsiaTheme="minorHAnsi" w:hAnsiTheme="minorHAnsi" w:cstheme="minorBidi"/>
          <w:snapToGrid/>
          <w:sz w:val="24"/>
          <w:szCs w:val="22"/>
        </w:rPr>
        <w:t xml:space="preserve"> </w:t>
      </w:r>
      <w:proofErr w:type="spellStart"/>
      <w:r w:rsidRPr="00F21782">
        <w:rPr>
          <w:rFonts w:asciiTheme="minorHAnsi" w:eastAsiaTheme="minorHAnsi" w:hAnsiTheme="minorHAnsi" w:cstheme="minorBidi"/>
          <w:snapToGrid/>
          <w:sz w:val="24"/>
          <w:szCs w:val="22"/>
        </w:rPr>
        <w:t>vedotin</w:t>
      </w:r>
      <w:proofErr w:type="spellEnd"/>
      <w:r w:rsidRPr="00F21782">
        <w:rPr>
          <w:rFonts w:asciiTheme="minorHAnsi" w:eastAsiaTheme="minorHAnsi" w:hAnsiTheme="minorHAnsi" w:cstheme="minorBidi"/>
          <w:snapToGrid/>
          <w:sz w:val="24"/>
          <w:szCs w:val="22"/>
        </w:rPr>
        <w:t xml:space="preserve"> PBAC </w:t>
      </w:r>
      <w:r w:rsidR="006D4D52">
        <w:rPr>
          <w:rFonts w:asciiTheme="minorHAnsi" w:eastAsiaTheme="minorHAnsi" w:hAnsiTheme="minorHAnsi" w:cstheme="minorBidi"/>
          <w:snapToGrid/>
          <w:sz w:val="24"/>
          <w:szCs w:val="22"/>
        </w:rPr>
        <w:t>PSD</w:t>
      </w:r>
      <w:r w:rsidRPr="00F21782">
        <w:rPr>
          <w:rFonts w:asciiTheme="minorHAnsi" w:eastAsiaTheme="minorHAnsi" w:hAnsiTheme="minorHAnsi" w:cstheme="minorBidi"/>
          <w:snapToGrid/>
          <w:sz w:val="24"/>
          <w:szCs w:val="22"/>
        </w:rPr>
        <w:t>, July 2018).</w:t>
      </w:r>
    </w:p>
    <w:p w:rsidR="00C93A2E" w:rsidRPr="004D2C33" w:rsidRDefault="00C93A2E" w:rsidP="00C93A2E">
      <w:pPr>
        <w:pStyle w:val="ListParagraph"/>
        <w:widowControl/>
        <w:numPr>
          <w:ilvl w:val="1"/>
          <w:numId w:val="5"/>
        </w:numPr>
        <w:spacing w:after="160"/>
        <w:contextualSpacing w:val="0"/>
        <w:rPr>
          <w:rFonts w:asciiTheme="minorHAnsi" w:eastAsiaTheme="minorHAnsi" w:hAnsiTheme="minorHAnsi" w:cstheme="minorBidi"/>
          <w:snapToGrid/>
          <w:sz w:val="24"/>
          <w:szCs w:val="22"/>
        </w:rPr>
      </w:pPr>
      <w:r w:rsidRPr="00F21782">
        <w:rPr>
          <w:rFonts w:asciiTheme="minorHAnsi" w:eastAsiaTheme="minorHAnsi" w:hAnsiTheme="minorHAnsi" w:cstheme="minorBidi"/>
          <w:snapToGrid/>
          <w:sz w:val="24"/>
          <w:szCs w:val="22"/>
        </w:rPr>
        <w:t xml:space="preserve">The minor resubmission noted that Global Response Score (GRS) was </w:t>
      </w:r>
      <w:r w:rsidRPr="004D2C33">
        <w:rPr>
          <w:rFonts w:asciiTheme="minorHAnsi" w:eastAsiaTheme="minorHAnsi" w:hAnsiTheme="minorHAnsi" w:cstheme="minorBidi"/>
          <w:snapToGrid/>
          <w:sz w:val="24"/>
          <w:szCs w:val="22"/>
        </w:rPr>
        <w:t>used in the ALCANZA and MAVORIC randomised controlled trials (RCTs) based on the 2011 consensus guidelines on response definitions in M</w:t>
      </w:r>
      <w:r w:rsidR="002F1A7C">
        <w:rPr>
          <w:rFonts w:asciiTheme="minorHAnsi" w:eastAsiaTheme="minorHAnsi" w:hAnsiTheme="minorHAnsi" w:cstheme="minorBidi"/>
          <w:snapToGrid/>
          <w:sz w:val="24"/>
          <w:szCs w:val="22"/>
        </w:rPr>
        <w:t>F</w:t>
      </w:r>
      <w:r w:rsidRPr="004D2C33">
        <w:rPr>
          <w:rFonts w:asciiTheme="minorHAnsi" w:eastAsiaTheme="minorHAnsi" w:hAnsiTheme="minorHAnsi" w:cstheme="minorBidi"/>
          <w:snapToGrid/>
          <w:sz w:val="24"/>
          <w:szCs w:val="22"/>
        </w:rPr>
        <w:t xml:space="preserve"> and SS (Olsen et al, 2011). The minor resubmission stated that expert clinical advice provided by two haematologists and one dermatologist indicated that assessment of response per the methodology used in the Phase III trials in a PBS restriction was not appropriate. The minor resubmission argued that use of the GRS would impose a burden</w:t>
      </w:r>
      <w:r w:rsidRPr="002F1A7C">
        <w:rPr>
          <w:rFonts w:asciiTheme="minorHAnsi" w:eastAsiaTheme="minorHAnsi" w:hAnsiTheme="minorHAnsi" w:cstheme="minorBidi"/>
          <w:snapToGrid/>
          <w:sz w:val="24"/>
          <w:szCs w:val="22"/>
        </w:rPr>
        <w:t xml:space="preserve"> in routine clinical practice </w:t>
      </w:r>
      <w:proofErr w:type="gramStart"/>
      <w:r w:rsidRPr="002F1A7C">
        <w:rPr>
          <w:rFonts w:asciiTheme="minorHAnsi" w:eastAsiaTheme="minorHAnsi" w:hAnsiTheme="minorHAnsi" w:cstheme="minorBidi"/>
          <w:snapToGrid/>
          <w:sz w:val="24"/>
          <w:szCs w:val="22"/>
        </w:rPr>
        <w:t>as a result</w:t>
      </w:r>
      <w:proofErr w:type="gramEnd"/>
      <w:r w:rsidRPr="002F1A7C">
        <w:rPr>
          <w:rFonts w:asciiTheme="minorHAnsi" w:eastAsiaTheme="minorHAnsi" w:hAnsiTheme="minorHAnsi" w:cstheme="minorBidi"/>
          <w:snapToGrid/>
          <w:sz w:val="24"/>
          <w:szCs w:val="22"/>
        </w:rPr>
        <w:t xml:space="preserve"> of additional costs to the healthcare system, administrative </w:t>
      </w:r>
      <w:r w:rsidRPr="004D2C33">
        <w:rPr>
          <w:rFonts w:asciiTheme="minorHAnsi" w:eastAsiaTheme="minorHAnsi" w:hAnsiTheme="minorHAnsi" w:cstheme="minorBidi"/>
          <w:snapToGrid/>
          <w:sz w:val="24"/>
          <w:szCs w:val="22"/>
        </w:rPr>
        <w:t xml:space="preserve">and resource commitments.  The minor resubmission argued that the clinical criterion in the proposed restriction stating ‘Patient must not have progressive disease…’ is consistent with the continuing criteria for </w:t>
      </w:r>
      <w:proofErr w:type="spellStart"/>
      <w:r w:rsidRPr="004D2C33">
        <w:rPr>
          <w:rFonts w:asciiTheme="minorHAnsi" w:eastAsiaTheme="minorHAnsi" w:hAnsiTheme="minorHAnsi" w:cstheme="minorBidi"/>
          <w:snapToGrid/>
          <w:sz w:val="24"/>
          <w:szCs w:val="22"/>
        </w:rPr>
        <w:t>vorinostat</w:t>
      </w:r>
      <w:proofErr w:type="spellEnd"/>
      <w:r w:rsidRPr="004D2C33">
        <w:rPr>
          <w:rFonts w:asciiTheme="minorHAnsi" w:eastAsiaTheme="minorHAnsi" w:hAnsiTheme="minorHAnsi" w:cstheme="minorBidi"/>
          <w:snapToGrid/>
          <w:sz w:val="24"/>
          <w:szCs w:val="22"/>
        </w:rPr>
        <w:t xml:space="preserve"> in RR CTCL and with the other PBS li</w:t>
      </w:r>
      <w:r w:rsidR="00D47CAA">
        <w:rPr>
          <w:rFonts w:asciiTheme="minorHAnsi" w:eastAsiaTheme="minorHAnsi" w:hAnsiTheme="minorHAnsi" w:cstheme="minorBidi"/>
          <w:snapToGrid/>
          <w:sz w:val="24"/>
          <w:szCs w:val="22"/>
        </w:rPr>
        <w:t xml:space="preserve">stings for </w:t>
      </w:r>
      <w:proofErr w:type="spellStart"/>
      <w:r w:rsidR="00D47CAA">
        <w:rPr>
          <w:rFonts w:asciiTheme="minorHAnsi" w:eastAsiaTheme="minorHAnsi" w:hAnsiTheme="minorHAnsi" w:cstheme="minorBidi"/>
          <w:snapToGrid/>
          <w:sz w:val="24"/>
          <w:szCs w:val="22"/>
        </w:rPr>
        <w:t>brentuximab</w:t>
      </w:r>
      <w:proofErr w:type="spellEnd"/>
      <w:r w:rsidR="00D47CAA">
        <w:rPr>
          <w:rFonts w:asciiTheme="minorHAnsi" w:eastAsiaTheme="minorHAnsi" w:hAnsiTheme="minorHAnsi" w:cstheme="minorBidi"/>
          <w:snapToGrid/>
          <w:sz w:val="24"/>
          <w:szCs w:val="22"/>
        </w:rPr>
        <w:t xml:space="preserve"> </w:t>
      </w:r>
      <w:proofErr w:type="spellStart"/>
      <w:r w:rsidR="00D47CAA">
        <w:rPr>
          <w:rFonts w:asciiTheme="minorHAnsi" w:eastAsiaTheme="minorHAnsi" w:hAnsiTheme="minorHAnsi" w:cstheme="minorBidi"/>
          <w:snapToGrid/>
          <w:sz w:val="24"/>
          <w:szCs w:val="22"/>
        </w:rPr>
        <w:t>vedotin</w:t>
      </w:r>
      <w:proofErr w:type="spellEnd"/>
      <w:r w:rsidR="00D47CAA">
        <w:rPr>
          <w:rFonts w:asciiTheme="minorHAnsi" w:eastAsiaTheme="minorHAnsi" w:hAnsiTheme="minorHAnsi" w:cstheme="minorBidi"/>
          <w:snapToGrid/>
          <w:sz w:val="24"/>
          <w:szCs w:val="22"/>
        </w:rPr>
        <w:t>.</w:t>
      </w:r>
    </w:p>
    <w:p w:rsidR="009E12F4" w:rsidRPr="00B07055" w:rsidRDefault="002F1A7C" w:rsidP="009E12F4">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B07055">
        <w:rPr>
          <w:rFonts w:asciiTheme="minorHAnsi" w:eastAsiaTheme="minorHAnsi" w:hAnsiTheme="minorHAnsi" w:cstheme="minorBidi"/>
          <w:snapToGrid/>
          <w:sz w:val="24"/>
          <w:szCs w:val="22"/>
        </w:rPr>
        <w:t>The</w:t>
      </w:r>
      <w:r w:rsidR="009E12F4" w:rsidRPr="00B07055">
        <w:rPr>
          <w:rFonts w:asciiTheme="minorHAnsi" w:eastAsiaTheme="minorHAnsi" w:hAnsiTheme="minorHAnsi" w:cstheme="minorBidi"/>
          <w:snapToGrid/>
          <w:sz w:val="24"/>
          <w:szCs w:val="22"/>
        </w:rPr>
        <w:t xml:space="preserve"> PBAC noted the information and opinions provided around the need for, and the details of, response assessment. Th</w:t>
      </w:r>
      <w:r w:rsidR="009E12F4" w:rsidRPr="002F1A7C">
        <w:rPr>
          <w:rFonts w:asciiTheme="minorHAnsi" w:eastAsiaTheme="minorHAnsi" w:hAnsiTheme="minorHAnsi" w:cstheme="minorBidi"/>
          <w:snapToGrid/>
          <w:sz w:val="24"/>
          <w:szCs w:val="22"/>
        </w:rPr>
        <w:t xml:space="preserve">e PBAC </w:t>
      </w:r>
      <w:r w:rsidR="000F0F57">
        <w:rPr>
          <w:rFonts w:asciiTheme="minorHAnsi" w:eastAsiaTheme="minorHAnsi" w:hAnsiTheme="minorHAnsi" w:cstheme="minorBidi"/>
          <w:snapToGrid/>
          <w:sz w:val="24"/>
          <w:szCs w:val="22"/>
        </w:rPr>
        <w:t>considered</w:t>
      </w:r>
      <w:r w:rsidR="009E12F4" w:rsidRPr="002F1A7C">
        <w:rPr>
          <w:rFonts w:asciiTheme="minorHAnsi" w:eastAsiaTheme="minorHAnsi" w:hAnsiTheme="minorHAnsi" w:cstheme="minorBidi"/>
          <w:snapToGrid/>
          <w:sz w:val="24"/>
          <w:szCs w:val="22"/>
        </w:rPr>
        <w:t xml:space="preserve"> that </w:t>
      </w:r>
      <w:r>
        <w:rPr>
          <w:rFonts w:asciiTheme="minorHAnsi" w:eastAsiaTheme="minorHAnsi" w:hAnsiTheme="minorHAnsi" w:cstheme="minorBidi"/>
          <w:snapToGrid/>
          <w:sz w:val="24"/>
          <w:szCs w:val="22"/>
        </w:rPr>
        <w:t xml:space="preserve">continuing use of </w:t>
      </w:r>
      <w:proofErr w:type="spellStart"/>
      <w:r>
        <w:rPr>
          <w:rFonts w:asciiTheme="minorHAnsi" w:eastAsiaTheme="minorHAnsi" w:hAnsiTheme="minorHAnsi" w:cstheme="minorBidi"/>
          <w:snapToGrid/>
          <w:sz w:val="24"/>
          <w:szCs w:val="22"/>
        </w:rPr>
        <w:t>brentuximab</w:t>
      </w:r>
      <w:proofErr w:type="spellEnd"/>
      <w:r>
        <w:rPr>
          <w:rFonts w:asciiTheme="minorHAnsi" w:eastAsiaTheme="minorHAnsi" w:hAnsiTheme="minorHAnsi" w:cstheme="minorBidi"/>
          <w:snapToGrid/>
          <w:sz w:val="24"/>
          <w:szCs w:val="22"/>
        </w:rPr>
        <w:t xml:space="preserve"> </w:t>
      </w:r>
      <w:proofErr w:type="spellStart"/>
      <w:r>
        <w:rPr>
          <w:rFonts w:asciiTheme="minorHAnsi" w:eastAsiaTheme="minorHAnsi" w:hAnsiTheme="minorHAnsi" w:cstheme="minorBidi"/>
          <w:snapToGrid/>
          <w:sz w:val="24"/>
          <w:szCs w:val="22"/>
        </w:rPr>
        <w:t>vedotin</w:t>
      </w:r>
      <w:proofErr w:type="spellEnd"/>
      <w:r w:rsidR="009E12F4" w:rsidRPr="00B07055">
        <w:rPr>
          <w:rFonts w:asciiTheme="minorHAnsi" w:eastAsiaTheme="minorHAnsi" w:hAnsiTheme="minorHAnsi" w:cstheme="minorBidi"/>
          <w:snapToGrid/>
          <w:sz w:val="24"/>
          <w:szCs w:val="22"/>
        </w:rPr>
        <w:t xml:space="preserve"> </w:t>
      </w:r>
      <w:r w:rsidR="000F0F57">
        <w:rPr>
          <w:rFonts w:asciiTheme="minorHAnsi" w:eastAsiaTheme="minorHAnsi" w:hAnsiTheme="minorHAnsi" w:cstheme="minorBidi"/>
          <w:snapToGrid/>
          <w:sz w:val="24"/>
          <w:szCs w:val="22"/>
        </w:rPr>
        <w:t>would not</w:t>
      </w:r>
      <w:r w:rsidR="009E12F4" w:rsidRPr="00B07055">
        <w:rPr>
          <w:rFonts w:asciiTheme="minorHAnsi" w:eastAsiaTheme="minorHAnsi" w:hAnsiTheme="minorHAnsi" w:cstheme="minorBidi"/>
          <w:snapToGrid/>
          <w:sz w:val="24"/>
          <w:szCs w:val="22"/>
        </w:rPr>
        <w:t xml:space="preserve"> be cost-effective in the absence of a</w:t>
      </w:r>
      <w:r w:rsidR="000533E7" w:rsidRPr="00B07055">
        <w:rPr>
          <w:rFonts w:asciiTheme="minorHAnsi" w:eastAsiaTheme="minorHAnsi" w:hAnsiTheme="minorHAnsi" w:cstheme="minorBidi"/>
          <w:snapToGrid/>
          <w:sz w:val="24"/>
          <w:szCs w:val="22"/>
        </w:rPr>
        <w:t>n objective response given th</w:t>
      </w:r>
      <w:r w:rsidR="000533E7">
        <w:rPr>
          <w:rFonts w:asciiTheme="minorHAnsi" w:eastAsiaTheme="minorHAnsi" w:hAnsiTheme="minorHAnsi" w:cstheme="minorBidi"/>
          <w:snapToGrid/>
          <w:sz w:val="24"/>
          <w:szCs w:val="22"/>
        </w:rPr>
        <w:t xml:space="preserve">e economic evaluation presented </w:t>
      </w:r>
      <w:r w:rsidR="000F0F57">
        <w:rPr>
          <w:rFonts w:asciiTheme="minorHAnsi" w:eastAsiaTheme="minorHAnsi" w:hAnsiTheme="minorHAnsi" w:cstheme="minorBidi"/>
          <w:snapToGrid/>
          <w:sz w:val="24"/>
          <w:szCs w:val="22"/>
        </w:rPr>
        <w:t>the results as</w:t>
      </w:r>
      <w:r w:rsidR="004B1F1F">
        <w:rPr>
          <w:rFonts w:asciiTheme="minorHAnsi" w:eastAsiaTheme="minorHAnsi" w:hAnsiTheme="minorHAnsi" w:cstheme="minorBidi"/>
          <w:snapToGrid/>
          <w:sz w:val="24"/>
          <w:szCs w:val="22"/>
        </w:rPr>
        <w:t xml:space="preserve"> a cost per responder </w:t>
      </w:r>
      <w:r w:rsidR="009E12F4" w:rsidRPr="00B07055">
        <w:rPr>
          <w:rFonts w:asciiTheme="minorHAnsi" w:eastAsiaTheme="minorHAnsi" w:hAnsiTheme="minorHAnsi" w:cstheme="minorBidi"/>
          <w:snapToGrid/>
          <w:sz w:val="24"/>
          <w:szCs w:val="22"/>
        </w:rPr>
        <w:t xml:space="preserve">and the potential toxicity </w:t>
      </w:r>
      <w:r w:rsidR="000F0F57">
        <w:rPr>
          <w:rFonts w:asciiTheme="minorHAnsi" w:eastAsiaTheme="minorHAnsi" w:hAnsiTheme="minorHAnsi" w:cstheme="minorBidi"/>
          <w:snapToGrid/>
          <w:sz w:val="24"/>
          <w:szCs w:val="22"/>
        </w:rPr>
        <w:t>with</w:t>
      </w:r>
      <w:r w:rsidR="009E12F4" w:rsidRPr="00B07055">
        <w:rPr>
          <w:rFonts w:asciiTheme="minorHAnsi" w:eastAsiaTheme="minorHAnsi" w:hAnsiTheme="minorHAnsi" w:cstheme="minorBidi"/>
          <w:snapToGrid/>
          <w:sz w:val="24"/>
          <w:szCs w:val="22"/>
        </w:rPr>
        <w:t xml:space="preserve"> continuing treatment. Nevertheless, the PBAC did note concerns related to the complexity of re-staging and agreed that a pragmatic approach to ensuring that continuing treatment only occurs in responders would be appropriate given that the </w:t>
      </w:r>
      <w:r w:rsidR="000F0F57">
        <w:rPr>
          <w:rFonts w:asciiTheme="minorHAnsi" w:eastAsiaTheme="minorHAnsi" w:hAnsiTheme="minorHAnsi" w:cstheme="minorBidi"/>
          <w:snapToGrid/>
          <w:sz w:val="24"/>
          <w:szCs w:val="22"/>
        </w:rPr>
        <w:t xml:space="preserve">treating </w:t>
      </w:r>
      <w:r w:rsidR="009E12F4" w:rsidRPr="00B07055">
        <w:rPr>
          <w:rFonts w:asciiTheme="minorHAnsi" w:eastAsiaTheme="minorHAnsi" w:hAnsiTheme="minorHAnsi" w:cstheme="minorBidi"/>
          <w:snapToGrid/>
          <w:sz w:val="24"/>
          <w:szCs w:val="22"/>
        </w:rPr>
        <w:t>clinicians will have expert</w:t>
      </w:r>
      <w:r w:rsidR="00D47CAA">
        <w:rPr>
          <w:rFonts w:asciiTheme="minorHAnsi" w:eastAsiaTheme="minorHAnsi" w:hAnsiTheme="minorHAnsi" w:cstheme="minorBidi"/>
          <w:snapToGrid/>
          <w:sz w:val="24"/>
          <w:szCs w:val="22"/>
        </w:rPr>
        <w:t>ise in assessing skin response.</w:t>
      </w:r>
    </w:p>
    <w:p w:rsidR="00C93A2E" w:rsidRPr="002529C5" w:rsidRDefault="00C93A2E" w:rsidP="00C93A2E">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2529C5">
        <w:rPr>
          <w:rFonts w:asciiTheme="minorHAnsi" w:eastAsiaTheme="minorHAnsi" w:hAnsiTheme="minorHAnsi" w:cstheme="minorBidi"/>
          <w:snapToGrid/>
          <w:sz w:val="24"/>
          <w:szCs w:val="22"/>
        </w:rPr>
        <w:t xml:space="preserve">In the July </w:t>
      </w:r>
      <w:proofErr w:type="gramStart"/>
      <w:r w:rsidRPr="002529C5">
        <w:rPr>
          <w:rFonts w:asciiTheme="minorHAnsi" w:eastAsiaTheme="minorHAnsi" w:hAnsiTheme="minorHAnsi" w:cstheme="minorBidi"/>
          <w:snapToGrid/>
          <w:sz w:val="24"/>
          <w:szCs w:val="22"/>
        </w:rPr>
        <w:t>2018</w:t>
      </w:r>
      <w:proofErr w:type="gramEnd"/>
      <w:r w:rsidRPr="002529C5">
        <w:rPr>
          <w:rFonts w:asciiTheme="minorHAnsi" w:eastAsiaTheme="minorHAnsi" w:hAnsiTheme="minorHAnsi" w:cstheme="minorBidi"/>
          <w:snapToGrid/>
          <w:sz w:val="24"/>
          <w:szCs w:val="22"/>
        </w:rPr>
        <w:t xml:space="preserve"> consideration of </w:t>
      </w:r>
      <w:proofErr w:type="spellStart"/>
      <w:r w:rsidRPr="002529C5">
        <w:rPr>
          <w:rFonts w:asciiTheme="minorHAnsi" w:eastAsiaTheme="minorHAnsi" w:hAnsiTheme="minorHAnsi" w:cstheme="minorBidi"/>
          <w:snapToGrid/>
          <w:sz w:val="24"/>
          <w:szCs w:val="22"/>
        </w:rPr>
        <w:t>brentuximab</w:t>
      </w:r>
      <w:proofErr w:type="spellEnd"/>
      <w:r w:rsidRPr="002529C5">
        <w:rPr>
          <w:rFonts w:asciiTheme="minorHAnsi" w:eastAsiaTheme="minorHAnsi" w:hAnsiTheme="minorHAnsi" w:cstheme="minorBidi"/>
          <w:snapToGrid/>
          <w:sz w:val="24"/>
          <w:szCs w:val="22"/>
        </w:rPr>
        <w:t xml:space="preserve"> </w:t>
      </w:r>
      <w:proofErr w:type="spellStart"/>
      <w:r w:rsidRPr="002529C5">
        <w:rPr>
          <w:rFonts w:asciiTheme="minorHAnsi" w:eastAsiaTheme="minorHAnsi" w:hAnsiTheme="minorHAnsi" w:cstheme="minorBidi"/>
          <w:snapToGrid/>
          <w:sz w:val="24"/>
          <w:szCs w:val="22"/>
        </w:rPr>
        <w:t>vedotin</w:t>
      </w:r>
      <w:proofErr w:type="spellEnd"/>
      <w:r w:rsidRPr="002529C5">
        <w:rPr>
          <w:rFonts w:asciiTheme="minorHAnsi" w:eastAsiaTheme="minorHAnsi" w:hAnsiTheme="minorHAnsi" w:cstheme="minorBidi"/>
          <w:snapToGrid/>
          <w:sz w:val="24"/>
          <w:szCs w:val="22"/>
        </w:rPr>
        <w:t xml:space="preserve"> the PBAC considered that there was a substantial risk of use of </w:t>
      </w:r>
      <w:proofErr w:type="spellStart"/>
      <w:r w:rsidRPr="002529C5">
        <w:rPr>
          <w:rFonts w:asciiTheme="minorHAnsi" w:eastAsiaTheme="minorHAnsi" w:hAnsiTheme="minorHAnsi" w:cstheme="minorBidi"/>
          <w:snapToGrid/>
          <w:sz w:val="24"/>
          <w:szCs w:val="22"/>
        </w:rPr>
        <w:t>brentuximab</w:t>
      </w:r>
      <w:proofErr w:type="spellEnd"/>
      <w:r w:rsidRPr="002529C5">
        <w:rPr>
          <w:rFonts w:asciiTheme="minorHAnsi" w:eastAsiaTheme="minorHAnsi" w:hAnsiTheme="minorHAnsi" w:cstheme="minorBidi"/>
          <w:snapToGrid/>
          <w:sz w:val="24"/>
          <w:szCs w:val="22"/>
        </w:rPr>
        <w:t xml:space="preserve"> </w:t>
      </w:r>
      <w:proofErr w:type="spellStart"/>
      <w:r w:rsidRPr="002529C5">
        <w:rPr>
          <w:rFonts w:asciiTheme="minorHAnsi" w:eastAsiaTheme="minorHAnsi" w:hAnsiTheme="minorHAnsi" w:cstheme="minorBidi"/>
          <w:snapToGrid/>
          <w:sz w:val="24"/>
          <w:szCs w:val="22"/>
        </w:rPr>
        <w:t>vedotin</w:t>
      </w:r>
      <w:proofErr w:type="spellEnd"/>
      <w:r w:rsidRPr="002529C5">
        <w:rPr>
          <w:rFonts w:asciiTheme="minorHAnsi" w:eastAsiaTheme="minorHAnsi" w:hAnsiTheme="minorHAnsi" w:cstheme="minorBidi"/>
          <w:snapToGrid/>
          <w:sz w:val="24"/>
          <w:szCs w:val="22"/>
        </w:rPr>
        <w:t xml:space="preserve"> outside the restriction. This included use as a first line systemic therapy, retreatment of patients and in combination treatment with other CTCL therapies (Paragraph 6.59, </w:t>
      </w:r>
      <w:proofErr w:type="spellStart"/>
      <w:r w:rsidRPr="002529C5">
        <w:rPr>
          <w:rFonts w:asciiTheme="minorHAnsi" w:eastAsiaTheme="minorHAnsi" w:hAnsiTheme="minorHAnsi" w:cstheme="minorBidi"/>
          <w:snapToGrid/>
          <w:sz w:val="24"/>
          <w:szCs w:val="22"/>
        </w:rPr>
        <w:t>brentuximab</w:t>
      </w:r>
      <w:proofErr w:type="spellEnd"/>
      <w:r w:rsidRPr="002529C5">
        <w:rPr>
          <w:rFonts w:asciiTheme="minorHAnsi" w:eastAsiaTheme="minorHAnsi" w:hAnsiTheme="minorHAnsi" w:cstheme="minorBidi"/>
          <w:snapToGrid/>
          <w:sz w:val="24"/>
          <w:szCs w:val="22"/>
        </w:rPr>
        <w:t xml:space="preserve"> </w:t>
      </w:r>
      <w:proofErr w:type="spellStart"/>
      <w:r w:rsidRPr="002529C5">
        <w:rPr>
          <w:rFonts w:asciiTheme="minorHAnsi" w:eastAsiaTheme="minorHAnsi" w:hAnsiTheme="minorHAnsi" w:cstheme="minorBidi"/>
          <w:snapToGrid/>
          <w:sz w:val="24"/>
          <w:szCs w:val="22"/>
        </w:rPr>
        <w:t>vedotin</w:t>
      </w:r>
      <w:proofErr w:type="spellEnd"/>
      <w:r w:rsidRPr="002529C5">
        <w:rPr>
          <w:rFonts w:asciiTheme="minorHAnsi" w:eastAsiaTheme="minorHAnsi" w:hAnsiTheme="minorHAnsi" w:cstheme="minorBidi"/>
          <w:snapToGrid/>
          <w:sz w:val="24"/>
          <w:szCs w:val="22"/>
        </w:rPr>
        <w:t xml:space="preserve"> PBAC </w:t>
      </w:r>
      <w:r w:rsidR="006D4D52">
        <w:rPr>
          <w:rFonts w:asciiTheme="minorHAnsi" w:eastAsiaTheme="minorHAnsi" w:hAnsiTheme="minorHAnsi" w:cstheme="minorBidi"/>
          <w:snapToGrid/>
          <w:sz w:val="24"/>
          <w:szCs w:val="22"/>
        </w:rPr>
        <w:t>PSD</w:t>
      </w:r>
      <w:r w:rsidRPr="002529C5">
        <w:rPr>
          <w:rFonts w:asciiTheme="minorHAnsi" w:eastAsiaTheme="minorHAnsi" w:hAnsiTheme="minorHAnsi" w:cstheme="minorBidi"/>
          <w:snapToGrid/>
          <w:sz w:val="24"/>
          <w:szCs w:val="22"/>
        </w:rPr>
        <w:t>, July 2018). The minor resubmission proposed the DHS Authority Form require information about the most recent prior systemic treatment received by the patient to address concerns regarding use as a first line therapy. The PBAC consider</w:t>
      </w:r>
      <w:r w:rsidR="00B07055">
        <w:rPr>
          <w:rFonts w:asciiTheme="minorHAnsi" w:eastAsiaTheme="minorHAnsi" w:hAnsiTheme="minorHAnsi" w:cstheme="minorBidi"/>
          <w:snapToGrid/>
          <w:sz w:val="24"/>
          <w:szCs w:val="22"/>
        </w:rPr>
        <w:t>ed</w:t>
      </w:r>
      <w:r w:rsidRPr="002529C5">
        <w:rPr>
          <w:rFonts w:asciiTheme="minorHAnsi" w:eastAsiaTheme="minorHAnsi" w:hAnsiTheme="minorHAnsi" w:cstheme="minorBidi"/>
          <w:snapToGrid/>
          <w:sz w:val="24"/>
          <w:szCs w:val="22"/>
        </w:rPr>
        <w:t xml:space="preserve"> the inclusion of this information requirement, detailed in the prescriber instruction section of the restriction, </w:t>
      </w:r>
      <w:r w:rsidR="00B07055">
        <w:rPr>
          <w:rFonts w:asciiTheme="minorHAnsi" w:eastAsiaTheme="minorHAnsi" w:hAnsiTheme="minorHAnsi" w:cstheme="minorBidi"/>
          <w:snapToGrid/>
          <w:sz w:val="24"/>
          <w:szCs w:val="22"/>
        </w:rPr>
        <w:t>wa</w:t>
      </w:r>
      <w:r w:rsidRPr="002529C5">
        <w:rPr>
          <w:rFonts w:asciiTheme="minorHAnsi" w:eastAsiaTheme="minorHAnsi" w:hAnsiTheme="minorHAnsi" w:cstheme="minorBidi"/>
          <w:snapToGrid/>
          <w:sz w:val="24"/>
          <w:szCs w:val="22"/>
        </w:rPr>
        <w:t>s appropriate. The PBAC also consider</w:t>
      </w:r>
      <w:r w:rsidR="00B07055">
        <w:rPr>
          <w:rFonts w:asciiTheme="minorHAnsi" w:eastAsiaTheme="minorHAnsi" w:hAnsiTheme="minorHAnsi" w:cstheme="minorBidi"/>
          <w:snapToGrid/>
          <w:sz w:val="24"/>
          <w:szCs w:val="22"/>
        </w:rPr>
        <w:t xml:space="preserve">ed </w:t>
      </w:r>
      <w:r w:rsidRPr="002529C5">
        <w:rPr>
          <w:rFonts w:asciiTheme="minorHAnsi" w:eastAsiaTheme="minorHAnsi" w:hAnsiTheme="minorHAnsi" w:cstheme="minorBidi"/>
          <w:snapToGrid/>
          <w:sz w:val="24"/>
          <w:szCs w:val="22"/>
        </w:rPr>
        <w:t xml:space="preserve">the addition of the clinical criterion ‘The treatment must be the sole PBS-subsidised </w:t>
      </w:r>
      <w:r w:rsidR="00036EE5">
        <w:rPr>
          <w:rFonts w:asciiTheme="minorHAnsi" w:eastAsiaTheme="minorHAnsi" w:hAnsiTheme="minorHAnsi" w:cstheme="minorBidi"/>
          <w:snapToGrid/>
          <w:sz w:val="24"/>
          <w:szCs w:val="22"/>
        </w:rPr>
        <w:t xml:space="preserve">systemic anti-cancer </w:t>
      </w:r>
      <w:r w:rsidRPr="002529C5">
        <w:rPr>
          <w:rFonts w:asciiTheme="minorHAnsi" w:eastAsiaTheme="minorHAnsi" w:hAnsiTheme="minorHAnsi" w:cstheme="minorBidi"/>
          <w:snapToGrid/>
          <w:sz w:val="24"/>
          <w:szCs w:val="22"/>
        </w:rPr>
        <w:t xml:space="preserve">therapy for this condition’ </w:t>
      </w:r>
      <w:r w:rsidR="00B07055">
        <w:rPr>
          <w:rFonts w:asciiTheme="minorHAnsi" w:eastAsiaTheme="minorHAnsi" w:hAnsiTheme="minorHAnsi" w:cstheme="minorBidi"/>
          <w:snapToGrid/>
          <w:sz w:val="24"/>
          <w:szCs w:val="22"/>
        </w:rPr>
        <w:t>wa</w:t>
      </w:r>
      <w:r w:rsidRPr="002529C5">
        <w:rPr>
          <w:rFonts w:asciiTheme="minorHAnsi" w:eastAsiaTheme="minorHAnsi" w:hAnsiTheme="minorHAnsi" w:cstheme="minorBidi"/>
          <w:snapToGrid/>
          <w:sz w:val="24"/>
          <w:szCs w:val="22"/>
        </w:rPr>
        <w:t>s appropriate to address concerns regarding use in combination treatm</w:t>
      </w:r>
      <w:r w:rsidR="00D47CAA">
        <w:rPr>
          <w:rFonts w:asciiTheme="minorHAnsi" w:eastAsiaTheme="minorHAnsi" w:hAnsiTheme="minorHAnsi" w:cstheme="minorBidi"/>
          <w:snapToGrid/>
          <w:sz w:val="24"/>
          <w:szCs w:val="22"/>
        </w:rPr>
        <w:t>ent with other CTCL therapies.</w:t>
      </w:r>
    </w:p>
    <w:p w:rsidR="00532E56" w:rsidRDefault="004B1F1F">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532E56">
        <w:rPr>
          <w:rFonts w:asciiTheme="minorHAnsi" w:eastAsiaTheme="minorHAnsi" w:hAnsiTheme="minorHAnsi" w:cstheme="minorBidi"/>
          <w:snapToGrid/>
          <w:sz w:val="24"/>
          <w:szCs w:val="22"/>
        </w:rPr>
        <w:lastRenderedPageBreak/>
        <w:t xml:space="preserve">The PBAC advised that inclusion of the criterion </w:t>
      </w:r>
      <w:r w:rsidR="00C93A2E" w:rsidRPr="002529C5">
        <w:rPr>
          <w:rFonts w:asciiTheme="minorHAnsi" w:eastAsiaTheme="minorHAnsi" w:hAnsiTheme="minorHAnsi" w:cstheme="minorBidi"/>
          <w:snapToGrid/>
          <w:sz w:val="24"/>
          <w:szCs w:val="22"/>
        </w:rPr>
        <w:t xml:space="preserve">“Patient must not have previously received PBS-subsidised treatment with </w:t>
      </w:r>
      <w:proofErr w:type="spellStart"/>
      <w:r w:rsidR="00C93A2E" w:rsidRPr="002529C5">
        <w:rPr>
          <w:rFonts w:asciiTheme="minorHAnsi" w:eastAsiaTheme="minorHAnsi" w:hAnsiTheme="minorHAnsi" w:cstheme="minorBidi"/>
          <w:snapToGrid/>
          <w:sz w:val="24"/>
          <w:szCs w:val="22"/>
        </w:rPr>
        <w:t>vorinostat</w:t>
      </w:r>
      <w:proofErr w:type="spellEnd"/>
      <w:r w:rsidR="00C93A2E" w:rsidRPr="002529C5">
        <w:rPr>
          <w:rFonts w:asciiTheme="minorHAnsi" w:eastAsiaTheme="minorHAnsi" w:hAnsiTheme="minorHAnsi" w:cstheme="minorBidi"/>
          <w:snapToGrid/>
          <w:sz w:val="24"/>
          <w:szCs w:val="22"/>
        </w:rPr>
        <w:t xml:space="preserve"> for this condition”</w:t>
      </w:r>
      <w:r w:rsidRPr="00532E56">
        <w:rPr>
          <w:rFonts w:asciiTheme="minorHAnsi" w:eastAsiaTheme="minorHAnsi" w:hAnsiTheme="minorHAnsi" w:cstheme="minorBidi"/>
          <w:snapToGrid/>
          <w:sz w:val="24"/>
          <w:szCs w:val="22"/>
        </w:rPr>
        <w:t xml:space="preserve"> in the proposed restriction was not appropriate as treatment with </w:t>
      </w:r>
      <w:proofErr w:type="spellStart"/>
      <w:r w:rsidRPr="00532E56">
        <w:rPr>
          <w:rFonts w:asciiTheme="minorHAnsi" w:eastAsiaTheme="minorHAnsi" w:hAnsiTheme="minorHAnsi" w:cstheme="minorBidi"/>
          <w:snapToGrid/>
          <w:sz w:val="24"/>
          <w:szCs w:val="22"/>
        </w:rPr>
        <w:t>brentuximab</w:t>
      </w:r>
      <w:proofErr w:type="spellEnd"/>
      <w:r w:rsidRPr="00532E56">
        <w:rPr>
          <w:rFonts w:asciiTheme="minorHAnsi" w:eastAsiaTheme="minorHAnsi" w:hAnsiTheme="minorHAnsi" w:cstheme="minorBidi"/>
          <w:snapToGrid/>
          <w:sz w:val="24"/>
          <w:szCs w:val="22"/>
        </w:rPr>
        <w:t xml:space="preserve"> </w:t>
      </w:r>
      <w:proofErr w:type="spellStart"/>
      <w:r w:rsidRPr="00532E56">
        <w:rPr>
          <w:rFonts w:asciiTheme="minorHAnsi" w:eastAsiaTheme="minorHAnsi" w:hAnsiTheme="minorHAnsi" w:cstheme="minorBidi"/>
          <w:snapToGrid/>
          <w:sz w:val="24"/>
          <w:szCs w:val="22"/>
        </w:rPr>
        <w:t>vedotin</w:t>
      </w:r>
      <w:proofErr w:type="spellEnd"/>
      <w:r w:rsidRPr="00532E56">
        <w:rPr>
          <w:rFonts w:asciiTheme="minorHAnsi" w:eastAsiaTheme="minorHAnsi" w:hAnsiTheme="minorHAnsi" w:cstheme="minorBidi"/>
          <w:snapToGrid/>
          <w:sz w:val="24"/>
          <w:szCs w:val="22"/>
        </w:rPr>
        <w:t xml:space="preserve"> would likely displace </w:t>
      </w:r>
      <w:r w:rsidR="00D47CAA">
        <w:rPr>
          <w:rFonts w:asciiTheme="minorHAnsi" w:eastAsiaTheme="minorHAnsi" w:hAnsiTheme="minorHAnsi" w:cstheme="minorBidi"/>
          <w:snapToGrid/>
          <w:sz w:val="24"/>
          <w:szCs w:val="22"/>
        </w:rPr>
        <w:t xml:space="preserve">rather than replace </w:t>
      </w:r>
      <w:proofErr w:type="spellStart"/>
      <w:r w:rsidR="00D47CAA">
        <w:rPr>
          <w:rFonts w:asciiTheme="minorHAnsi" w:eastAsiaTheme="minorHAnsi" w:hAnsiTheme="minorHAnsi" w:cstheme="minorBidi"/>
          <w:snapToGrid/>
          <w:sz w:val="24"/>
          <w:szCs w:val="22"/>
        </w:rPr>
        <w:t>vorinostat</w:t>
      </w:r>
      <w:proofErr w:type="spellEnd"/>
      <w:r w:rsidR="00D47CAA">
        <w:rPr>
          <w:rFonts w:asciiTheme="minorHAnsi" w:eastAsiaTheme="minorHAnsi" w:hAnsiTheme="minorHAnsi" w:cstheme="minorBidi"/>
          <w:snapToGrid/>
          <w:sz w:val="24"/>
          <w:szCs w:val="22"/>
        </w:rPr>
        <w:t>.</w:t>
      </w:r>
    </w:p>
    <w:p w:rsidR="00532E56" w:rsidRDefault="00C93A2E" w:rsidP="002529C5">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2529C5">
        <w:rPr>
          <w:rFonts w:asciiTheme="minorHAnsi" w:eastAsiaTheme="minorHAnsi" w:hAnsiTheme="minorHAnsi" w:cstheme="minorBidi"/>
          <w:snapToGrid/>
          <w:sz w:val="24"/>
          <w:szCs w:val="22"/>
        </w:rPr>
        <w:t xml:space="preserve">The </w:t>
      </w:r>
      <w:proofErr w:type="spellStart"/>
      <w:r w:rsidRPr="002529C5">
        <w:rPr>
          <w:rFonts w:asciiTheme="minorHAnsi" w:eastAsiaTheme="minorHAnsi" w:hAnsiTheme="minorHAnsi" w:cstheme="minorBidi"/>
          <w:snapToGrid/>
          <w:sz w:val="24"/>
          <w:szCs w:val="22"/>
        </w:rPr>
        <w:t>vorinostat</w:t>
      </w:r>
      <w:proofErr w:type="spellEnd"/>
      <w:r w:rsidRPr="002529C5">
        <w:rPr>
          <w:rFonts w:asciiTheme="minorHAnsi" w:eastAsiaTheme="minorHAnsi" w:hAnsiTheme="minorHAnsi" w:cstheme="minorBidi"/>
          <w:snapToGrid/>
          <w:sz w:val="24"/>
          <w:szCs w:val="22"/>
        </w:rPr>
        <w:t xml:space="preserve"> restriction states that the patient must demonstrate ‘chemotherapy-refractory disease’, whereas the proposed restriction states the patient must demonstrate ‘refractory disease’.</w:t>
      </w:r>
      <w:r w:rsidR="00532E56">
        <w:rPr>
          <w:rFonts w:asciiTheme="minorHAnsi" w:eastAsiaTheme="minorHAnsi" w:hAnsiTheme="minorHAnsi" w:cstheme="minorBidi"/>
          <w:snapToGrid/>
          <w:sz w:val="24"/>
          <w:szCs w:val="22"/>
        </w:rPr>
        <w:t xml:space="preserve"> </w:t>
      </w:r>
      <w:r w:rsidR="00144B03">
        <w:rPr>
          <w:rFonts w:asciiTheme="minorHAnsi" w:eastAsiaTheme="minorHAnsi" w:hAnsiTheme="minorHAnsi" w:cstheme="minorBidi"/>
          <w:snapToGrid/>
          <w:sz w:val="24"/>
          <w:szCs w:val="22"/>
        </w:rPr>
        <w:t>T</w:t>
      </w:r>
      <w:r w:rsidRPr="002529C5">
        <w:rPr>
          <w:rFonts w:asciiTheme="minorHAnsi" w:eastAsiaTheme="minorHAnsi" w:hAnsiTheme="minorHAnsi" w:cstheme="minorBidi"/>
          <w:snapToGrid/>
          <w:sz w:val="24"/>
          <w:szCs w:val="22"/>
        </w:rPr>
        <w:t xml:space="preserve">he PBAC </w:t>
      </w:r>
      <w:r w:rsidR="00532E56">
        <w:rPr>
          <w:rFonts w:asciiTheme="minorHAnsi" w:eastAsiaTheme="minorHAnsi" w:hAnsiTheme="minorHAnsi" w:cstheme="minorBidi"/>
          <w:snapToGrid/>
          <w:sz w:val="24"/>
          <w:szCs w:val="22"/>
        </w:rPr>
        <w:t xml:space="preserve">considered it was not appropriate to </w:t>
      </w:r>
      <w:r w:rsidRPr="002529C5">
        <w:rPr>
          <w:rFonts w:asciiTheme="minorHAnsi" w:eastAsiaTheme="minorHAnsi" w:hAnsiTheme="minorHAnsi" w:cstheme="minorBidi"/>
          <w:snapToGrid/>
          <w:sz w:val="24"/>
          <w:szCs w:val="22"/>
        </w:rPr>
        <w:t>specify that the condition must be refractory to chemotherapy</w:t>
      </w:r>
      <w:r w:rsidR="00532E56">
        <w:rPr>
          <w:rFonts w:asciiTheme="minorHAnsi" w:eastAsiaTheme="minorHAnsi" w:hAnsiTheme="minorHAnsi" w:cstheme="minorBidi"/>
          <w:snapToGrid/>
          <w:color w:val="0070C0"/>
          <w:sz w:val="24"/>
          <w:szCs w:val="22"/>
        </w:rPr>
        <w:t xml:space="preserve"> </w:t>
      </w:r>
      <w:r w:rsidR="00532E56">
        <w:rPr>
          <w:rFonts w:asciiTheme="minorHAnsi" w:eastAsiaTheme="minorHAnsi" w:hAnsiTheme="minorHAnsi" w:cstheme="minorBidi"/>
          <w:snapToGrid/>
          <w:sz w:val="24"/>
          <w:szCs w:val="22"/>
        </w:rPr>
        <w:t xml:space="preserve">in the proposed </w:t>
      </w:r>
      <w:proofErr w:type="spellStart"/>
      <w:r w:rsidR="00532E56" w:rsidRPr="002529C5">
        <w:rPr>
          <w:rFonts w:asciiTheme="minorHAnsi" w:eastAsiaTheme="minorHAnsi" w:hAnsiTheme="minorHAnsi" w:cstheme="minorBidi"/>
          <w:snapToGrid/>
          <w:sz w:val="24"/>
          <w:szCs w:val="22"/>
        </w:rPr>
        <w:t>brentuximab</w:t>
      </w:r>
      <w:proofErr w:type="spellEnd"/>
      <w:r w:rsidR="00532E56" w:rsidRPr="002529C5">
        <w:rPr>
          <w:rFonts w:asciiTheme="minorHAnsi" w:eastAsiaTheme="minorHAnsi" w:hAnsiTheme="minorHAnsi" w:cstheme="minorBidi"/>
          <w:snapToGrid/>
          <w:sz w:val="24"/>
          <w:szCs w:val="22"/>
        </w:rPr>
        <w:t xml:space="preserve"> </w:t>
      </w:r>
      <w:proofErr w:type="spellStart"/>
      <w:r w:rsidR="00532E56" w:rsidRPr="002529C5">
        <w:rPr>
          <w:rFonts w:asciiTheme="minorHAnsi" w:eastAsiaTheme="minorHAnsi" w:hAnsiTheme="minorHAnsi" w:cstheme="minorBidi"/>
          <w:snapToGrid/>
          <w:sz w:val="24"/>
          <w:szCs w:val="22"/>
        </w:rPr>
        <w:t>vedotin</w:t>
      </w:r>
      <w:proofErr w:type="spellEnd"/>
      <w:r w:rsidR="00532E56">
        <w:rPr>
          <w:rFonts w:asciiTheme="minorHAnsi" w:eastAsiaTheme="minorHAnsi" w:hAnsiTheme="minorHAnsi" w:cstheme="minorBidi"/>
          <w:snapToGrid/>
          <w:sz w:val="24"/>
          <w:szCs w:val="22"/>
        </w:rPr>
        <w:t xml:space="preserve"> restriction</w:t>
      </w:r>
      <w:r w:rsidR="00532E56" w:rsidRPr="002529C5">
        <w:rPr>
          <w:rFonts w:asciiTheme="minorHAnsi" w:eastAsiaTheme="minorHAnsi" w:hAnsiTheme="minorHAnsi" w:cstheme="minorBidi"/>
          <w:snapToGrid/>
          <w:sz w:val="24"/>
          <w:szCs w:val="22"/>
        </w:rPr>
        <w:t>.</w:t>
      </w:r>
    </w:p>
    <w:p w:rsidR="00C93A2E" w:rsidRPr="00FA0CB6" w:rsidRDefault="00532E56" w:rsidP="00FA0CB6">
      <w:pPr>
        <w:ind w:firstLine="709"/>
        <w:rPr>
          <w:rFonts w:asciiTheme="minorHAnsi" w:eastAsiaTheme="minorHAnsi" w:hAnsiTheme="minorHAnsi" w:cstheme="minorHAnsi"/>
          <w:i/>
        </w:rPr>
      </w:pPr>
      <w:r w:rsidRPr="00FA0CB6">
        <w:rPr>
          <w:rFonts w:asciiTheme="minorHAnsi" w:eastAsiaTheme="minorHAnsi" w:hAnsiTheme="minorHAnsi" w:cstheme="minorHAnsi"/>
          <w:i/>
        </w:rPr>
        <w:t>For more detail on PBAC’s view, see section 5 PBAC outcome.</w:t>
      </w:r>
    </w:p>
    <w:p w:rsidR="00C603D4" w:rsidRPr="00FD6D8E" w:rsidRDefault="00CE10C4" w:rsidP="00057624">
      <w:pPr>
        <w:pStyle w:val="Heading1"/>
        <w:ind w:left="709" w:hanging="709"/>
      </w:pPr>
      <w:r w:rsidRPr="002B5596">
        <w:t>Background</w:t>
      </w:r>
    </w:p>
    <w:p w:rsidR="00830BAB" w:rsidRDefault="00830BAB" w:rsidP="00830BAB">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830BAB">
        <w:rPr>
          <w:rFonts w:asciiTheme="minorHAnsi" w:eastAsiaTheme="minorHAnsi" w:hAnsiTheme="minorHAnsi" w:cstheme="minorBidi"/>
          <w:snapToGrid/>
          <w:sz w:val="24"/>
          <w:szCs w:val="22"/>
        </w:rPr>
        <w:t xml:space="preserve">CTCLs are a group of non-Hodgkin lymphomas (NHLs) in which malignant T-cell clones accumulate in the skin. </w:t>
      </w:r>
      <w:proofErr w:type="gramStart"/>
      <w:r w:rsidRPr="00830BAB">
        <w:rPr>
          <w:rFonts w:asciiTheme="minorHAnsi" w:eastAsiaTheme="minorHAnsi" w:hAnsiTheme="minorHAnsi" w:cstheme="minorBidi"/>
          <w:snapToGrid/>
          <w:sz w:val="24"/>
          <w:szCs w:val="22"/>
        </w:rPr>
        <w:t>The symptoms and prognosis of CTCL are highly varied and depend on the subtype and stage of disease.</w:t>
      </w:r>
      <w:proofErr w:type="gramEnd"/>
      <w:r w:rsidRPr="00830BAB">
        <w:rPr>
          <w:rFonts w:asciiTheme="minorHAnsi" w:eastAsiaTheme="minorHAnsi" w:hAnsiTheme="minorHAnsi" w:cstheme="minorBidi"/>
          <w:snapToGrid/>
          <w:sz w:val="24"/>
          <w:szCs w:val="22"/>
        </w:rPr>
        <w:t xml:space="preserve"> CTCL may cause skin lesions, tumours, pruritus and erythroderma and may affect the blood and visceral organs. Patients with advanced disease may have extensive skin disease that is disfiguring.</w:t>
      </w:r>
    </w:p>
    <w:p w:rsidR="00830BAB" w:rsidRPr="00830BAB" w:rsidRDefault="000225B8" w:rsidP="00830BAB">
      <w:pPr>
        <w:pStyle w:val="ListParagraph"/>
        <w:widowControl/>
        <w:numPr>
          <w:ilvl w:val="1"/>
          <w:numId w:val="14"/>
        </w:numPr>
        <w:spacing w:after="120"/>
        <w:contextualSpacing w:val="0"/>
        <w:rPr>
          <w:rFonts w:ascii="Calibri" w:hAnsi="Calibri"/>
          <w:sz w:val="24"/>
          <w:szCs w:val="22"/>
        </w:rPr>
      </w:pPr>
      <w:r>
        <w:rPr>
          <w:rFonts w:ascii="Calibri" w:hAnsi="Calibri"/>
          <w:sz w:val="24"/>
          <w:szCs w:val="22"/>
        </w:rPr>
        <w:t>MF</w:t>
      </w:r>
      <w:r w:rsidR="00830BAB" w:rsidRPr="00830BAB">
        <w:rPr>
          <w:rFonts w:ascii="Calibri" w:hAnsi="Calibri"/>
          <w:sz w:val="24"/>
          <w:szCs w:val="22"/>
        </w:rPr>
        <w:t xml:space="preserve"> is the most common form of CTCL. It results in plaques and patches on the skin, in addition to lesions and tumours in the more advanced stages. Patients diagnosed with advanced stage disease (stages IIB, III and IVA) or visceral involvement (other organs affected, stage IVB) have median overall survivals (OS) of five years and 2.5 years,</w:t>
      </w:r>
      <w:r w:rsidR="00FE1F33">
        <w:rPr>
          <w:rFonts w:ascii="Calibri" w:hAnsi="Calibri"/>
          <w:sz w:val="24"/>
          <w:szCs w:val="22"/>
        </w:rPr>
        <w:t xml:space="preserve"> respectively. SS</w:t>
      </w:r>
      <w:r w:rsidR="00830BAB" w:rsidRPr="00830BAB">
        <w:rPr>
          <w:rFonts w:ascii="Calibri" w:hAnsi="Calibri"/>
          <w:sz w:val="24"/>
          <w:szCs w:val="22"/>
        </w:rPr>
        <w:t xml:space="preserve"> is a leukemic form of CTCL that affects the blood and causes erythroderma. It has a poor prognosis with a median OS of five years.</w:t>
      </w:r>
    </w:p>
    <w:p w:rsidR="00830BAB" w:rsidRDefault="00D24A2F" w:rsidP="00830BAB">
      <w:pPr>
        <w:pStyle w:val="ListParagraph"/>
        <w:widowControl/>
        <w:numPr>
          <w:ilvl w:val="1"/>
          <w:numId w:val="14"/>
        </w:numPr>
        <w:spacing w:after="120"/>
        <w:contextualSpacing w:val="0"/>
        <w:rPr>
          <w:rFonts w:ascii="Calibri" w:hAnsi="Calibri"/>
          <w:sz w:val="24"/>
          <w:szCs w:val="22"/>
        </w:rPr>
      </w:pPr>
      <w:r>
        <w:rPr>
          <w:rFonts w:ascii="Calibri" w:hAnsi="Calibri"/>
          <w:sz w:val="24"/>
          <w:szCs w:val="22"/>
        </w:rPr>
        <w:t>P</w:t>
      </w:r>
      <w:r w:rsidRPr="00D24A2F">
        <w:rPr>
          <w:rFonts w:ascii="Calibri" w:hAnsi="Calibri"/>
          <w:sz w:val="24"/>
          <w:szCs w:val="22"/>
        </w:rPr>
        <w:t>rimary cutaneous anaplastic large cell lymphoma</w:t>
      </w:r>
      <w:r>
        <w:rPr>
          <w:rFonts w:ascii="Calibri" w:hAnsi="Calibri"/>
          <w:sz w:val="24"/>
          <w:szCs w:val="22"/>
        </w:rPr>
        <w:t xml:space="preserve"> (</w:t>
      </w:r>
      <w:proofErr w:type="spellStart"/>
      <w:r w:rsidR="009164EF">
        <w:rPr>
          <w:rFonts w:ascii="Calibri" w:hAnsi="Calibri"/>
          <w:sz w:val="24"/>
          <w:szCs w:val="22"/>
        </w:rPr>
        <w:t>pcALCL</w:t>
      </w:r>
      <w:proofErr w:type="spellEnd"/>
      <w:r>
        <w:rPr>
          <w:rFonts w:ascii="Calibri" w:hAnsi="Calibri"/>
          <w:sz w:val="24"/>
          <w:szCs w:val="22"/>
        </w:rPr>
        <w:t>)</w:t>
      </w:r>
      <w:r w:rsidR="00830BAB" w:rsidRPr="00830BAB">
        <w:rPr>
          <w:rFonts w:ascii="Calibri" w:hAnsi="Calibri"/>
          <w:sz w:val="24"/>
          <w:szCs w:val="22"/>
        </w:rPr>
        <w:t xml:space="preserve"> is an indolent lymphoma that causes raised red skin lesions, nodules or tumours. Ten-year survival with </w:t>
      </w:r>
      <w:proofErr w:type="spellStart"/>
      <w:r w:rsidR="00830BAB" w:rsidRPr="00830BAB">
        <w:rPr>
          <w:rFonts w:ascii="Calibri" w:hAnsi="Calibri"/>
          <w:sz w:val="24"/>
          <w:szCs w:val="22"/>
        </w:rPr>
        <w:t>pcALCL</w:t>
      </w:r>
      <w:proofErr w:type="spellEnd"/>
      <w:r w:rsidR="00830BAB" w:rsidRPr="00830BAB">
        <w:rPr>
          <w:rFonts w:ascii="Calibri" w:hAnsi="Calibri"/>
          <w:sz w:val="24"/>
          <w:szCs w:val="22"/>
        </w:rPr>
        <w:t xml:space="preserve"> is approximately 77% (Liu (</w:t>
      </w:r>
      <w:r w:rsidR="00FE1F33">
        <w:rPr>
          <w:rFonts w:ascii="Calibri" w:hAnsi="Calibri"/>
          <w:sz w:val="24"/>
          <w:szCs w:val="22"/>
        </w:rPr>
        <w:t xml:space="preserve">2003)). </w:t>
      </w:r>
      <w:proofErr w:type="spellStart"/>
      <w:r w:rsidR="00FE1F33">
        <w:rPr>
          <w:rFonts w:ascii="Calibri" w:hAnsi="Calibri"/>
          <w:sz w:val="24"/>
          <w:szCs w:val="22"/>
        </w:rPr>
        <w:t>LyP</w:t>
      </w:r>
      <w:proofErr w:type="spellEnd"/>
      <w:r w:rsidR="00830BAB" w:rsidRPr="00830BAB">
        <w:rPr>
          <w:rFonts w:ascii="Calibri" w:hAnsi="Calibri"/>
          <w:sz w:val="24"/>
          <w:szCs w:val="22"/>
        </w:rPr>
        <w:t xml:space="preserve"> is a benign, chronic skin condition that causes skin lesions that can self-resolve. It does not affect life expectancy (Liu (2003)). </w:t>
      </w:r>
      <w:proofErr w:type="spellStart"/>
      <w:r w:rsidR="00830BAB" w:rsidRPr="00830BAB">
        <w:rPr>
          <w:rFonts w:ascii="Calibri" w:hAnsi="Calibri"/>
          <w:sz w:val="24"/>
          <w:szCs w:val="22"/>
        </w:rPr>
        <w:t>LyP</w:t>
      </w:r>
      <w:proofErr w:type="spellEnd"/>
      <w:r w:rsidR="00830BAB" w:rsidRPr="00830BAB">
        <w:rPr>
          <w:rFonts w:ascii="Calibri" w:hAnsi="Calibri"/>
          <w:sz w:val="24"/>
          <w:szCs w:val="22"/>
        </w:rPr>
        <w:t xml:space="preserve"> is not consistently considered </w:t>
      </w:r>
      <w:proofErr w:type="gramStart"/>
      <w:r w:rsidR="00830BAB" w:rsidRPr="00830BAB">
        <w:rPr>
          <w:rFonts w:ascii="Calibri" w:hAnsi="Calibri"/>
          <w:sz w:val="24"/>
          <w:szCs w:val="22"/>
        </w:rPr>
        <w:t>to be a</w:t>
      </w:r>
      <w:proofErr w:type="gramEnd"/>
      <w:r w:rsidR="00830BAB" w:rsidRPr="00830BAB">
        <w:rPr>
          <w:rFonts w:ascii="Calibri" w:hAnsi="Calibri"/>
          <w:sz w:val="24"/>
          <w:szCs w:val="22"/>
        </w:rPr>
        <w:t xml:space="preserve"> cancer.</w:t>
      </w:r>
    </w:p>
    <w:p w:rsidR="00891EE3" w:rsidRPr="00830BAB" w:rsidRDefault="00891EE3" w:rsidP="00830BAB">
      <w:pPr>
        <w:pStyle w:val="ListParagraph"/>
        <w:widowControl/>
        <w:numPr>
          <w:ilvl w:val="1"/>
          <w:numId w:val="14"/>
        </w:numPr>
        <w:spacing w:after="120"/>
        <w:contextualSpacing w:val="0"/>
        <w:rPr>
          <w:rFonts w:ascii="Calibri" w:hAnsi="Calibri"/>
          <w:sz w:val="24"/>
          <w:szCs w:val="22"/>
        </w:rPr>
      </w:pPr>
      <w:r w:rsidRPr="00891EE3">
        <w:rPr>
          <w:rFonts w:ascii="Calibri" w:hAnsi="Calibri"/>
          <w:sz w:val="24"/>
          <w:szCs w:val="22"/>
        </w:rPr>
        <w:t xml:space="preserve">Early stage CTCL </w:t>
      </w:r>
      <w:proofErr w:type="gramStart"/>
      <w:r w:rsidRPr="00891EE3">
        <w:rPr>
          <w:rFonts w:ascii="Calibri" w:hAnsi="Calibri"/>
          <w:sz w:val="24"/>
          <w:szCs w:val="22"/>
        </w:rPr>
        <w:t>is managed</w:t>
      </w:r>
      <w:proofErr w:type="gramEnd"/>
      <w:r w:rsidRPr="00891EE3">
        <w:rPr>
          <w:rFonts w:ascii="Calibri" w:hAnsi="Calibri"/>
          <w:sz w:val="24"/>
          <w:szCs w:val="22"/>
        </w:rPr>
        <w:t xml:space="preserve"> using skin-directed therapies. This includes topical corticosteroids, phototherapy and</w:t>
      </w:r>
      <w:r w:rsidR="009164EF">
        <w:rPr>
          <w:rFonts w:ascii="Calibri" w:hAnsi="Calibri"/>
          <w:sz w:val="24"/>
          <w:szCs w:val="22"/>
        </w:rPr>
        <w:t xml:space="preserve"> total skin electron beam</w:t>
      </w:r>
      <w:r w:rsidRPr="00891EE3">
        <w:rPr>
          <w:rFonts w:ascii="Calibri" w:hAnsi="Calibri"/>
          <w:sz w:val="24"/>
          <w:szCs w:val="22"/>
        </w:rPr>
        <w:t xml:space="preserve"> therapy. </w:t>
      </w:r>
      <w:proofErr w:type="gramStart"/>
      <w:r w:rsidRPr="00891EE3">
        <w:rPr>
          <w:rFonts w:ascii="Calibri" w:hAnsi="Calibri"/>
          <w:sz w:val="24"/>
          <w:szCs w:val="22"/>
        </w:rPr>
        <w:t>Systemic therapy is used by patients who do not respond to, or are refractory to, initial skin-directed therapies</w:t>
      </w:r>
      <w:proofErr w:type="gramEnd"/>
      <w:r w:rsidRPr="00891EE3">
        <w:rPr>
          <w:rFonts w:ascii="Calibri" w:hAnsi="Calibri"/>
          <w:sz w:val="24"/>
          <w:szCs w:val="22"/>
        </w:rPr>
        <w:t>. Systemic therapies include low dose methotrexate, interferon</w:t>
      </w:r>
      <w:r w:rsidRPr="00891EE3">
        <w:rPr>
          <w:rFonts w:ascii="Calibri" w:hAnsi="Calibri"/>
          <w:sz w:val="24"/>
          <w:szCs w:val="22"/>
        </w:rPr>
        <w:noBreakHyphen/>
        <w:t xml:space="preserve">alpha, </w:t>
      </w:r>
      <w:proofErr w:type="spellStart"/>
      <w:r w:rsidRPr="00891EE3">
        <w:rPr>
          <w:rFonts w:ascii="Calibri" w:hAnsi="Calibri"/>
          <w:sz w:val="24"/>
          <w:szCs w:val="22"/>
        </w:rPr>
        <w:t>retinoids</w:t>
      </w:r>
      <w:proofErr w:type="spellEnd"/>
      <w:r w:rsidRPr="00891EE3">
        <w:rPr>
          <w:rFonts w:ascii="Calibri" w:hAnsi="Calibri"/>
          <w:sz w:val="24"/>
          <w:szCs w:val="22"/>
        </w:rPr>
        <w:t>, histone deace</w:t>
      </w:r>
      <w:r w:rsidR="009164EF">
        <w:rPr>
          <w:rFonts w:ascii="Calibri" w:hAnsi="Calibri"/>
          <w:sz w:val="24"/>
          <w:szCs w:val="22"/>
        </w:rPr>
        <w:t>tylase</w:t>
      </w:r>
      <w:r w:rsidRPr="00891EE3">
        <w:rPr>
          <w:rFonts w:ascii="Calibri" w:hAnsi="Calibri"/>
          <w:sz w:val="24"/>
          <w:szCs w:val="22"/>
        </w:rPr>
        <w:t xml:space="preserve"> inhibitors, chemotherapy and ex</w:t>
      </w:r>
      <w:r w:rsidR="009164EF">
        <w:rPr>
          <w:rFonts w:ascii="Calibri" w:hAnsi="Calibri"/>
          <w:sz w:val="24"/>
          <w:szCs w:val="22"/>
        </w:rPr>
        <w:t xml:space="preserve">tracorporeal </w:t>
      </w:r>
      <w:proofErr w:type="spellStart"/>
      <w:r w:rsidR="009164EF">
        <w:rPr>
          <w:rFonts w:ascii="Calibri" w:hAnsi="Calibri"/>
          <w:sz w:val="24"/>
          <w:szCs w:val="22"/>
        </w:rPr>
        <w:t>photopheresis</w:t>
      </w:r>
      <w:proofErr w:type="spellEnd"/>
      <w:r w:rsidRPr="00891EE3">
        <w:rPr>
          <w:rFonts w:ascii="Calibri" w:hAnsi="Calibri"/>
          <w:sz w:val="24"/>
          <w:szCs w:val="22"/>
        </w:rPr>
        <w:t xml:space="preserve">, where available. Radiotherapy </w:t>
      </w:r>
      <w:proofErr w:type="gramStart"/>
      <w:r w:rsidRPr="00891EE3">
        <w:rPr>
          <w:rFonts w:ascii="Calibri" w:hAnsi="Calibri"/>
          <w:sz w:val="24"/>
          <w:szCs w:val="22"/>
        </w:rPr>
        <w:t>is also used</w:t>
      </w:r>
      <w:proofErr w:type="gramEnd"/>
      <w:r w:rsidRPr="00891EE3">
        <w:rPr>
          <w:rFonts w:ascii="Calibri" w:hAnsi="Calibri"/>
          <w:sz w:val="24"/>
          <w:szCs w:val="22"/>
        </w:rPr>
        <w:t xml:space="preserve"> for </w:t>
      </w:r>
      <w:proofErr w:type="spellStart"/>
      <w:r w:rsidRPr="00891EE3">
        <w:rPr>
          <w:rFonts w:ascii="Calibri" w:hAnsi="Calibri"/>
          <w:sz w:val="24"/>
          <w:szCs w:val="22"/>
        </w:rPr>
        <w:t>pcALCL</w:t>
      </w:r>
      <w:proofErr w:type="spellEnd"/>
      <w:r w:rsidRPr="00891EE3">
        <w:rPr>
          <w:rFonts w:ascii="Calibri" w:hAnsi="Calibri"/>
          <w:sz w:val="24"/>
          <w:szCs w:val="22"/>
        </w:rPr>
        <w:t xml:space="preserve">. For </w:t>
      </w:r>
      <w:proofErr w:type="spellStart"/>
      <w:r w:rsidRPr="00891EE3">
        <w:rPr>
          <w:rFonts w:ascii="Calibri" w:hAnsi="Calibri"/>
          <w:sz w:val="24"/>
          <w:szCs w:val="22"/>
        </w:rPr>
        <w:t>LyP</w:t>
      </w:r>
      <w:proofErr w:type="spellEnd"/>
      <w:r w:rsidRPr="00891EE3">
        <w:rPr>
          <w:rFonts w:ascii="Calibri" w:hAnsi="Calibri"/>
          <w:sz w:val="24"/>
          <w:szCs w:val="22"/>
        </w:rPr>
        <w:t xml:space="preserve">, methotrexate </w:t>
      </w:r>
      <w:proofErr w:type="gramStart"/>
      <w:r w:rsidRPr="00891EE3">
        <w:rPr>
          <w:rFonts w:ascii="Calibri" w:hAnsi="Calibri"/>
          <w:sz w:val="24"/>
          <w:szCs w:val="22"/>
        </w:rPr>
        <w:t>may be used</w:t>
      </w:r>
      <w:proofErr w:type="gramEnd"/>
      <w:r w:rsidRPr="00891EE3">
        <w:rPr>
          <w:rFonts w:ascii="Calibri" w:hAnsi="Calibri"/>
          <w:sz w:val="24"/>
          <w:szCs w:val="22"/>
        </w:rPr>
        <w:t xml:space="preserve"> chronically or episodically (Newland (2015)). The approach to treatment </w:t>
      </w:r>
      <w:proofErr w:type="gramStart"/>
      <w:r w:rsidRPr="00891EE3">
        <w:rPr>
          <w:rFonts w:ascii="Calibri" w:hAnsi="Calibri"/>
          <w:sz w:val="24"/>
          <w:szCs w:val="22"/>
        </w:rPr>
        <w:t>is based</w:t>
      </w:r>
      <w:proofErr w:type="gramEnd"/>
      <w:r w:rsidRPr="00891EE3">
        <w:rPr>
          <w:rFonts w:ascii="Calibri" w:hAnsi="Calibri"/>
          <w:sz w:val="24"/>
          <w:szCs w:val="22"/>
        </w:rPr>
        <w:t xml:space="preserve"> on CTCL subtype, disease severity and prior treatments. Previously used therapies </w:t>
      </w:r>
      <w:proofErr w:type="gramStart"/>
      <w:r w:rsidRPr="00891EE3">
        <w:rPr>
          <w:rFonts w:ascii="Calibri" w:hAnsi="Calibri"/>
          <w:sz w:val="24"/>
          <w:szCs w:val="22"/>
        </w:rPr>
        <w:t>may be re-used</w:t>
      </w:r>
      <w:proofErr w:type="gramEnd"/>
      <w:r w:rsidRPr="00891EE3">
        <w:rPr>
          <w:rFonts w:ascii="Calibri" w:hAnsi="Calibri"/>
          <w:sz w:val="24"/>
          <w:szCs w:val="22"/>
        </w:rPr>
        <w:t xml:space="preserve"> for subsequent lines of therapy.</w:t>
      </w:r>
    </w:p>
    <w:p w:rsidR="00891EE3" w:rsidRPr="00891EE3" w:rsidRDefault="00830BAB" w:rsidP="00830BAB">
      <w:pPr>
        <w:widowControl w:val="0"/>
        <w:numPr>
          <w:ilvl w:val="1"/>
          <w:numId w:val="5"/>
        </w:numPr>
        <w:spacing w:after="160"/>
        <w:jc w:val="both"/>
        <w:rPr>
          <w:rFonts w:ascii="Calibri" w:hAnsi="Calibri" w:cs="Arial"/>
          <w:i/>
          <w:snapToGrid w:val="0"/>
          <w:szCs w:val="22"/>
          <w:lang w:eastAsia="en-US"/>
        </w:rPr>
      </w:pPr>
      <w:r w:rsidRPr="00830BAB">
        <w:rPr>
          <w:rFonts w:ascii="Calibri" w:hAnsi="Calibri" w:cs="Arial"/>
          <w:snapToGrid w:val="0"/>
          <w:szCs w:val="22"/>
          <w:lang w:eastAsia="en-US"/>
        </w:rPr>
        <w:t xml:space="preserve">On 23 May </w:t>
      </w:r>
      <w:proofErr w:type="gramStart"/>
      <w:r w:rsidRPr="00830BAB">
        <w:rPr>
          <w:rFonts w:ascii="Calibri" w:hAnsi="Calibri" w:cs="Arial"/>
          <w:snapToGrid w:val="0"/>
          <w:szCs w:val="22"/>
          <w:lang w:eastAsia="en-US"/>
        </w:rPr>
        <w:t>2018</w:t>
      </w:r>
      <w:proofErr w:type="gramEnd"/>
      <w:r w:rsidRPr="00830BAB">
        <w:rPr>
          <w:rFonts w:ascii="Calibri" w:hAnsi="Calibri" w:cs="Arial"/>
          <w:snapToGrid w:val="0"/>
          <w:szCs w:val="22"/>
          <w:lang w:eastAsia="en-US"/>
        </w:rPr>
        <w:t xml:space="preserve"> the </w:t>
      </w:r>
      <w:r w:rsidR="00891EE3">
        <w:rPr>
          <w:rFonts w:ascii="Calibri" w:hAnsi="Calibri" w:cs="Arial"/>
          <w:snapToGrid w:val="0"/>
          <w:szCs w:val="22"/>
          <w:lang w:eastAsia="en-US"/>
        </w:rPr>
        <w:t xml:space="preserve">TGA approved </w:t>
      </w:r>
      <w:r w:rsidRPr="00830BAB">
        <w:rPr>
          <w:rFonts w:ascii="Calibri" w:hAnsi="Calibri" w:cs="Arial"/>
          <w:snapToGrid w:val="0"/>
          <w:szCs w:val="22"/>
          <w:lang w:eastAsia="en-US"/>
        </w:rPr>
        <w:t xml:space="preserve">registration of </w:t>
      </w:r>
      <w:proofErr w:type="spellStart"/>
      <w:r w:rsidRPr="00830BAB">
        <w:rPr>
          <w:rFonts w:ascii="Calibri" w:hAnsi="Calibri" w:cs="Arial"/>
          <w:snapToGrid w:val="0"/>
          <w:szCs w:val="22"/>
          <w:lang w:eastAsia="en-US"/>
        </w:rPr>
        <w:t>brentuximab</w:t>
      </w:r>
      <w:proofErr w:type="spellEnd"/>
      <w:r w:rsidRPr="00830BAB">
        <w:rPr>
          <w:rFonts w:ascii="Calibri" w:hAnsi="Calibri" w:cs="Arial"/>
          <w:snapToGrid w:val="0"/>
          <w:szCs w:val="22"/>
          <w:lang w:eastAsia="en-US"/>
        </w:rPr>
        <w:t xml:space="preserve"> </w:t>
      </w:r>
      <w:proofErr w:type="spellStart"/>
      <w:r w:rsidRPr="00830BAB">
        <w:rPr>
          <w:rFonts w:ascii="Calibri" w:hAnsi="Calibri" w:cs="Arial"/>
          <w:snapToGrid w:val="0"/>
          <w:szCs w:val="22"/>
          <w:lang w:eastAsia="en-US"/>
        </w:rPr>
        <w:t>vedotin</w:t>
      </w:r>
      <w:proofErr w:type="spellEnd"/>
      <w:r w:rsidRPr="00830BAB">
        <w:rPr>
          <w:rFonts w:ascii="Calibri" w:hAnsi="Calibri" w:cs="Arial"/>
          <w:snapToGrid w:val="0"/>
          <w:szCs w:val="22"/>
          <w:lang w:eastAsia="en-US"/>
        </w:rPr>
        <w:t xml:space="preserve"> </w:t>
      </w:r>
      <w:r w:rsidR="00891EE3">
        <w:rPr>
          <w:rFonts w:ascii="Calibri" w:hAnsi="Calibri" w:cs="Arial"/>
          <w:snapToGrid w:val="0"/>
          <w:szCs w:val="22"/>
          <w:lang w:eastAsia="en-US"/>
        </w:rPr>
        <w:t xml:space="preserve">for the treatment of </w:t>
      </w:r>
      <w:r w:rsidR="00891EE3" w:rsidRPr="00830BAB">
        <w:rPr>
          <w:rFonts w:ascii="Calibri" w:hAnsi="Calibri"/>
          <w:szCs w:val="22"/>
        </w:rPr>
        <w:t>adult patients with C</w:t>
      </w:r>
      <w:r w:rsidR="00891EE3">
        <w:rPr>
          <w:rFonts w:ascii="Calibri" w:hAnsi="Calibri"/>
          <w:szCs w:val="22"/>
        </w:rPr>
        <w:t>D30 positive CTCL</w:t>
      </w:r>
      <w:r w:rsidR="00891EE3" w:rsidRPr="00830BAB">
        <w:rPr>
          <w:rFonts w:ascii="Calibri" w:hAnsi="Calibri"/>
          <w:szCs w:val="22"/>
        </w:rPr>
        <w:t xml:space="preserve"> after at least 1 prior systemic </w:t>
      </w:r>
      <w:r w:rsidR="00891EE3" w:rsidRPr="00830BAB">
        <w:rPr>
          <w:rFonts w:ascii="Calibri" w:hAnsi="Calibri"/>
          <w:szCs w:val="22"/>
        </w:rPr>
        <w:lastRenderedPageBreak/>
        <w:t>therapy</w:t>
      </w:r>
      <w:r w:rsidR="00891EE3">
        <w:rPr>
          <w:rFonts w:ascii="Calibri" w:hAnsi="Calibri"/>
          <w:szCs w:val="22"/>
        </w:rPr>
        <w:t xml:space="preserve">. </w:t>
      </w:r>
      <w:proofErr w:type="spellStart"/>
      <w:r w:rsidR="00891EE3">
        <w:rPr>
          <w:rFonts w:ascii="Calibri" w:hAnsi="Calibri"/>
          <w:szCs w:val="22"/>
        </w:rPr>
        <w:t>Brentuximab</w:t>
      </w:r>
      <w:proofErr w:type="spellEnd"/>
      <w:r w:rsidR="00891EE3">
        <w:rPr>
          <w:rFonts w:ascii="Calibri" w:hAnsi="Calibri"/>
          <w:szCs w:val="22"/>
        </w:rPr>
        <w:t xml:space="preserve"> </w:t>
      </w:r>
      <w:proofErr w:type="spellStart"/>
      <w:r w:rsidR="00891EE3">
        <w:rPr>
          <w:rFonts w:ascii="Calibri" w:hAnsi="Calibri"/>
          <w:szCs w:val="22"/>
        </w:rPr>
        <w:t>vedotin</w:t>
      </w:r>
      <w:proofErr w:type="spellEnd"/>
      <w:r w:rsidR="00891EE3">
        <w:rPr>
          <w:rFonts w:ascii="Calibri" w:hAnsi="Calibri"/>
          <w:szCs w:val="22"/>
        </w:rPr>
        <w:t xml:space="preserve"> also has TGA registered indications for:</w:t>
      </w:r>
    </w:p>
    <w:p w:rsidR="00830BAB" w:rsidRPr="00FC7502" w:rsidRDefault="00830BAB" w:rsidP="00FC7502">
      <w:pPr>
        <w:pStyle w:val="IntenseQuote"/>
        <w:numPr>
          <w:ilvl w:val="1"/>
          <w:numId w:val="23"/>
        </w:numPr>
        <w:ind w:left="993" w:hanging="284"/>
      </w:pPr>
      <w:r w:rsidRPr="00FC7502">
        <w:t xml:space="preserve">Treatment of adult patients with </w:t>
      </w:r>
      <w:r w:rsidR="009164EF">
        <w:t>RR</w:t>
      </w:r>
      <w:r w:rsidRPr="00FC7502">
        <w:t xml:space="preserve"> CD30+ Hodgkin lymphoma (HL) following autologous stem cell transplant (ASCT) or following at least two prior therapies when ASCT or multi-agent chemotherapy is not a treatment opt</w:t>
      </w:r>
      <w:r w:rsidR="00D47CAA">
        <w:t>ion.</w:t>
      </w:r>
    </w:p>
    <w:p w:rsidR="00830BAB" w:rsidRPr="00FC7502" w:rsidRDefault="00830BAB" w:rsidP="00FC7502">
      <w:pPr>
        <w:pStyle w:val="IntenseQuote"/>
        <w:numPr>
          <w:ilvl w:val="1"/>
          <w:numId w:val="23"/>
        </w:numPr>
        <w:ind w:left="993" w:hanging="284"/>
      </w:pPr>
      <w:r w:rsidRPr="00FC7502">
        <w:t xml:space="preserve">Treatment of adult patients with CD30+ HL at higher risk of relapse or progression following ASCT; and </w:t>
      </w:r>
    </w:p>
    <w:p w:rsidR="00830BAB" w:rsidRPr="00FC7502" w:rsidRDefault="00830BAB" w:rsidP="00FC7502">
      <w:pPr>
        <w:pStyle w:val="IntenseQuote"/>
        <w:numPr>
          <w:ilvl w:val="1"/>
          <w:numId w:val="23"/>
        </w:numPr>
        <w:ind w:left="993" w:hanging="284"/>
      </w:pPr>
      <w:r w:rsidRPr="00FC7502">
        <w:t xml:space="preserve">Treatment of adult patients with </w:t>
      </w:r>
      <w:r w:rsidR="009164EF">
        <w:t>RR</w:t>
      </w:r>
      <w:r w:rsidRPr="00FC7502">
        <w:t xml:space="preserve"> systemic </w:t>
      </w:r>
      <w:proofErr w:type="spellStart"/>
      <w:r w:rsidR="00FE1F33" w:rsidRPr="00FC7502">
        <w:t>sALCL</w:t>
      </w:r>
      <w:proofErr w:type="spellEnd"/>
      <w:r w:rsidRPr="00FC7502">
        <w:t>.</w:t>
      </w:r>
    </w:p>
    <w:p w:rsidR="008A1956" w:rsidRDefault="00891EE3"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Pr>
          <w:rFonts w:asciiTheme="minorHAnsi" w:eastAsiaTheme="minorHAnsi" w:hAnsiTheme="minorHAnsi" w:cstheme="minorBidi"/>
          <w:snapToGrid/>
          <w:sz w:val="24"/>
          <w:szCs w:val="22"/>
        </w:rPr>
        <w:t>Brentuximab</w:t>
      </w:r>
      <w:proofErr w:type="spellEnd"/>
      <w:r>
        <w:rPr>
          <w:rFonts w:asciiTheme="minorHAnsi" w:eastAsiaTheme="minorHAnsi" w:hAnsiTheme="minorHAnsi" w:cstheme="minorBidi"/>
          <w:snapToGrid/>
          <w:sz w:val="24"/>
          <w:szCs w:val="22"/>
        </w:rPr>
        <w:t xml:space="preserve"> </w:t>
      </w:r>
      <w:proofErr w:type="spellStart"/>
      <w:r>
        <w:rPr>
          <w:rFonts w:asciiTheme="minorHAnsi" w:eastAsiaTheme="minorHAnsi" w:hAnsiTheme="minorHAnsi" w:cstheme="minorBidi"/>
          <w:snapToGrid/>
          <w:sz w:val="24"/>
          <w:szCs w:val="22"/>
        </w:rPr>
        <w:t>vedotin</w:t>
      </w:r>
      <w:proofErr w:type="spellEnd"/>
      <w:r>
        <w:rPr>
          <w:rFonts w:asciiTheme="minorHAnsi" w:eastAsiaTheme="minorHAnsi" w:hAnsiTheme="minorHAnsi" w:cstheme="minorBidi"/>
          <w:snapToGrid/>
          <w:sz w:val="24"/>
          <w:szCs w:val="22"/>
        </w:rPr>
        <w:t xml:space="preserve"> </w:t>
      </w:r>
      <w:proofErr w:type="gramStart"/>
      <w:r>
        <w:rPr>
          <w:rFonts w:asciiTheme="minorHAnsi" w:eastAsiaTheme="minorHAnsi" w:hAnsiTheme="minorHAnsi" w:cstheme="minorBidi"/>
          <w:snapToGrid/>
          <w:sz w:val="24"/>
          <w:szCs w:val="22"/>
        </w:rPr>
        <w:t>was previously considered</w:t>
      </w:r>
      <w:proofErr w:type="gramEnd"/>
      <w:r>
        <w:rPr>
          <w:rFonts w:asciiTheme="minorHAnsi" w:eastAsiaTheme="minorHAnsi" w:hAnsiTheme="minorHAnsi" w:cstheme="minorBidi"/>
          <w:snapToGrid/>
          <w:sz w:val="24"/>
          <w:szCs w:val="22"/>
        </w:rPr>
        <w:t xml:space="preserve"> by the PBAC in July 2018 for use </w:t>
      </w:r>
      <w:r w:rsidR="00231100">
        <w:rPr>
          <w:rFonts w:asciiTheme="minorHAnsi" w:eastAsiaTheme="minorHAnsi" w:hAnsiTheme="minorHAnsi" w:cstheme="minorBidi"/>
          <w:snapToGrid/>
          <w:sz w:val="24"/>
          <w:szCs w:val="22"/>
        </w:rPr>
        <w:t xml:space="preserve">in </w:t>
      </w:r>
      <w:r w:rsidR="00231100" w:rsidRPr="0091076F">
        <w:rPr>
          <w:rFonts w:asciiTheme="minorHAnsi" w:eastAsiaTheme="minorHAnsi" w:hAnsiTheme="minorHAnsi" w:cstheme="minorBidi"/>
          <w:snapToGrid/>
          <w:sz w:val="24"/>
          <w:szCs w:val="22"/>
        </w:rPr>
        <w:t xml:space="preserve">the treatment of </w:t>
      </w:r>
      <w:r w:rsidR="00A673BF">
        <w:rPr>
          <w:rFonts w:asciiTheme="minorHAnsi" w:eastAsiaTheme="minorHAnsi" w:hAnsiTheme="minorHAnsi" w:cstheme="minorBidi"/>
          <w:snapToGrid/>
          <w:sz w:val="24"/>
          <w:szCs w:val="22"/>
        </w:rPr>
        <w:t>RR</w:t>
      </w:r>
      <w:r w:rsidR="00231100" w:rsidRPr="0091076F">
        <w:rPr>
          <w:rFonts w:asciiTheme="minorHAnsi" w:eastAsiaTheme="minorHAnsi" w:hAnsiTheme="minorHAnsi" w:cstheme="minorBidi"/>
          <w:snapToGrid/>
          <w:sz w:val="24"/>
          <w:szCs w:val="22"/>
        </w:rPr>
        <w:t xml:space="preserve"> CD30 positive</w:t>
      </w:r>
      <w:r w:rsidR="00231100">
        <w:rPr>
          <w:rFonts w:asciiTheme="minorHAnsi" w:eastAsiaTheme="minorHAnsi" w:hAnsiTheme="minorHAnsi" w:cstheme="minorBidi"/>
          <w:snapToGrid/>
          <w:sz w:val="24"/>
          <w:szCs w:val="22"/>
        </w:rPr>
        <w:t xml:space="preserve"> CTCL. The intervention in this setting was </w:t>
      </w:r>
      <w:proofErr w:type="spellStart"/>
      <w:r w:rsidR="00ED0825">
        <w:rPr>
          <w:rFonts w:asciiTheme="minorHAnsi" w:eastAsiaTheme="minorHAnsi" w:hAnsiTheme="minorHAnsi" w:cstheme="minorBidi"/>
          <w:snapToGrid/>
          <w:sz w:val="24"/>
          <w:szCs w:val="22"/>
        </w:rPr>
        <w:t>brentuximab</w:t>
      </w:r>
      <w:proofErr w:type="spellEnd"/>
      <w:r w:rsidR="00ED0825">
        <w:rPr>
          <w:rFonts w:asciiTheme="minorHAnsi" w:eastAsiaTheme="minorHAnsi" w:hAnsiTheme="minorHAnsi" w:cstheme="minorBidi"/>
          <w:snapToGrid/>
          <w:sz w:val="24"/>
          <w:szCs w:val="22"/>
        </w:rPr>
        <w:t xml:space="preserve"> </w:t>
      </w:r>
      <w:proofErr w:type="spellStart"/>
      <w:r w:rsidR="00ED0825">
        <w:rPr>
          <w:rFonts w:asciiTheme="minorHAnsi" w:eastAsiaTheme="minorHAnsi" w:hAnsiTheme="minorHAnsi" w:cstheme="minorBidi"/>
          <w:snapToGrid/>
          <w:sz w:val="24"/>
          <w:szCs w:val="22"/>
        </w:rPr>
        <w:t>vedotin</w:t>
      </w:r>
      <w:proofErr w:type="spellEnd"/>
      <w:r w:rsidR="00ED0825">
        <w:rPr>
          <w:rFonts w:asciiTheme="minorHAnsi" w:eastAsiaTheme="minorHAnsi" w:hAnsiTheme="minorHAnsi" w:cstheme="minorBidi"/>
          <w:snapToGrid/>
          <w:sz w:val="24"/>
          <w:szCs w:val="22"/>
        </w:rPr>
        <w:t xml:space="preserve"> administered at the recommended dosage of </w:t>
      </w:r>
      <w:r w:rsidR="00231100" w:rsidRPr="00ED0825">
        <w:rPr>
          <w:rFonts w:asciiTheme="minorHAnsi" w:eastAsiaTheme="minorHAnsi" w:hAnsiTheme="minorHAnsi" w:cstheme="minorBidi"/>
          <w:snapToGrid/>
          <w:sz w:val="24"/>
          <w:szCs w:val="22"/>
        </w:rPr>
        <w:t xml:space="preserve">1.8 mg/kg (maximum 180 mg) </w:t>
      </w:r>
      <w:r w:rsidR="00ED0825">
        <w:rPr>
          <w:rFonts w:asciiTheme="minorHAnsi" w:eastAsiaTheme="minorHAnsi" w:hAnsiTheme="minorHAnsi" w:cstheme="minorBidi"/>
          <w:snapToGrid/>
          <w:sz w:val="24"/>
          <w:szCs w:val="22"/>
        </w:rPr>
        <w:t>via</w:t>
      </w:r>
      <w:r w:rsidR="00231100" w:rsidRPr="00ED0825">
        <w:rPr>
          <w:rFonts w:asciiTheme="minorHAnsi" w:eastAsiaTheme="minorHAnsi" w:hAnsiTheme="minorHAnsi" w:cstheme="minorBidi"/>
          <w:snapToGrid/>
          <w:sz w:val="24"/>
          <w:szCs w:val="22"/>
        </w:rPr>
        <w:t xml:space="preserve"> intravenous (IV) infusion every three weeks.</w:t>
      </w:r>
      <w:r w:rsidR="00ED0825" w:rsidRPr="00ED0825">
        <w:t xml:space="preserve"> </w:t>
      </w:r>
      <w:r w:rsidR="00ED0825" w:rsidRPr="00ED0825">
        <w:rPr>
          <w:rFonts w:asciiTheme="minorHAnsi" w:eastAsiaTheme="minorHAnsi" w:hAnsiTheme="minorHAnsi" w:cstheme="minorBidi"/>
          <w:snapToGrid/>
          <w:sz w:val="24"/>
          <w:szCs w:val="22"/>
        </w:rPr>
        <w:t xml:space="preserve">Each three-weekly </w:t>
      </w:r>
      <w:proofErr w:type="spellStart"/>
      <w:r w:rsidR="00ED0825" w:rsidRPr="00ED0825">
        <w:rPr>
          <w:rFonts w:asciiTheme="minorHAnsi" w:eastAsiaTheme="minorHAnsi" w:hAnsiTheme="minorHAnsi" w:cstheme="minorBidi"/>
          <w:snapToGrid/>
          <w:sz w:val="24"/>
          <w:szCs w:val="22"/>
        </w:rPr>
        <w:t>brentuximab</w:t>
      </w:r>
      <w:proofErr w:type="spellEnd"/>
      <w:r w:rsidR="00ED0825" w:rsidRPr="00ED0825">
        <w:rPr>
          <w:rFonts w:asciiTheme="minorHAnsi" w:eastAsiaTheme="minorHAnsi" w:hAnsiTheme="minorHAnsi" w:cstheme="minorBidi"/>
          <w:snapToGrid/>
          <w:sz w:val="24"/>
          <w:szCs w:val="22"/>
        </w:rPr>
        <w:t xml:space="preserve"> </w:t>
      </w:r>
      <w:proofErr w:type="spellStart"/>
      <w:r w:rsidR="00ED0825" w:rsidRPr="00ED0825">
        <w:rPr>
          <w:rFonts w:asciiTheme="minorHAnsi" w:eastAsiaTheme="minorHAnsi" w:hAnsiTheme="minorHAnsi" w:cstheme="minorBidi"/>
          <w:snapToGrid/>
          <w:sz w:val="24"/>
          <w:szCs w:val="22"/>
        </w:rPr>
        <w:t>vedotin</w:t>
      </w:r>
      <w:proofErr w:type="spellEnd"/>
      <w:r w:rsidR="00ED0825" w:rsidRPr="00ED0825">
        <w:rPr>
          <w:rFonts w:asciiTheme="minorHAnsi" w:eastAsiaTheme="minorHAnsi" w:hAnsiTheme="minorHAnsi" w:cstheme="minorBidi"/>
          <w:snapToGrid/>
          <w:sz w:val="24"/>
          <w:szCs w:val="22"/>
        </w:rPr>
        <w:t xml:space="preserve"> dose constitutes a treatment cycle. Initial treatment consists of four cycles of </w:t>
      </w:r>
      <w:proofErr w:type="spellStart"/>
      <w:r w:rsidR="00ED0825" w:rsidRPr="00ED0825">
        <w:rPr>
          <w:rFonts w:asciiTheme="minorHAnsi" w:eastAsiaTheme="minorHAnsi" w:hAnsiTheme="minorHAnsi" w:cstheme="minorBidi"/>
          <w:snapToGrid/>
          <w:sz w:val="24"/>
          <w:szCs w:val="22"/>
        </w:rPr>
        <w:t>brentuximab</w:t>
      </w:r>
      <w:proofErr w:type="spellEnd"/>
      <w:r w:rsidR="00ED0825" w:rsidRPr="00ED0825">
        <w:rPr>
          <w:rFonts w:asciiTheme="minorHAnsi" w:eastAsiaTheme="minorHAnsi" w:hAnsiTheme="minorHAnsi" w:cstheme="minorBidi"/>
          <w:snapToGrid/>
          <w:sz w:val="24"/>
          <w:szCs w:val="22"/>
        </w:rPr>
        <w:t xml:space="preserve"> </w:t>
      </w:r>
      <w:proofErr w:type="spellStart"/>
      <w:r w:rsidR="00ED0825" w:rsidRPr="00ED0825">
        <w:rPr>
          <w:rFonts w:asciiTheme="minorHAnsi" w:eastAsiaTheme="minorHAnsi" w:hAnsiTheme="minorHAnsi" w:cstheme="minorBidi"/>
          <w:snapToGrid/>
          <w:sz w:val="24"/>
          <w:szCs w:val="22"/>
        </w:rPr>
        <w:t>vedotin</w:t>
      </w:r>
      <w:proofErr w:type="spellEnd"/>
      <w:r w:rsidR="00ED0825" w:rsidRPr="00ED0825">
        <w:rPr>
          <w:rFonts w:asciiTheme="minorHAnsi" w:eastAsiaTheme="minorHAnsi" w:hAnsiTheme="minorHAnsi" w:cstheme="minorBidi"/>
          <w:snapToGrid/>
          <w:sz w:val="24"/>
          <w:szCs w:val="22"/>
        </w:rPr>
        <w:t xml:space="preserve"> (four doses). Patients without disease progression may receive a further 12 cycles of treatment for </w:t>
      </w:r>
      <w:proofErr w:type="gramStart"/>
      <w:r w:rsidR="00ED0825" w:rsidRPr="00ED0825">
        <w:rPr>
          <w:rFonts w:asciiTheme="minorHAnsi" w:eastAsiaTheme="minorHAnsi" w:hAnsiTheme="minorHAnsi" w:cstheme="minorBidi"/>
          <w:snapToGrid/>
          <w:sz w:val="24"/>
          <w:szCs w:val="22"/>
        </w:rPr>
        <w:t>a total of 16</w:t>
      </w:r>
      <w:proofErr w:type="gramEnd"/>
      <w:r w:rsidR="00ED0825" w:rsidRPr="00ED0825">
        <w:rPr>
          <w:rFonts w:asciiTheme="minorHAnsi" w:eastAsiaTheme="minorHAnsi" w:hAnsiTheme="minorHAnsi" w:cstheme="minorBidi"/>
          <w:snapToGrid/>
          <w:sz w:val="24"/>
          <w:szCs w:val="22"/>
        </w:rPr>
        <w:t xml:space="preserve"> cycles.</w:t>
      </w:r>
      <w:r w:rsidR="00A849EE">
        <w:rPr>
          <w:rFonts w:asciiTheme="minorHAnsi" w:eastAsiaTheme="minorHAnsi" w:hAnsiTheme="minorHAnsi" w:cstheme="minorBidi"/>
          <w:snapToGrid/>
          <w:sz w:val="24"/>
          <w:szCs w:val="22"/>
        </w:rPr>
        <w:t xml:space="preserve"> </w:t>
      </w:r>
      <w:proofErr w:type="spellStart"/>
      <w:r w:rsidR="00A849EE">
        <w:rPr>
          <w:rFonts w:asciiTheme="minorHAnsi" w:eastAsiaTheme="minorHAnsi" w:hAnsiTheme="minorHAnsi" w:cstheme="minorBidi"/>
          <w:snapToGrid/>
          <w:sz w:val="24"/>
          <w:szCs w:val="22"/>
        </w:rPr>
        <w:t>Vorinostat</w:t>
      </w:r>
      <w:proofErr w:type="spellEnd"/>
      <w:r w:rsidR="00A849EE">
        <w:rPr>
          <w:rFonts w:asciiTheme="minorHAnsi" w:eastAsiaTheme="minorHAnsi" w:hAnsiTheme="minorHAnsi" w:cstheme="minorBidi"/>
          <w:snapToGrid/>
          <w:sz w:val="24"/>
          <w:szCs w:val="22"/>
        </w:rPr>
        <w:t xml:space="preserve"> </w:t>
      </w:r>
      <w:proofErr w:type="gramStart"/>
      <w:r w:rsidR="00A849EE">
        <w:rPr>
          <w:rFonts w:asciiTheme="minorHAnsi" w:eastAsiaTheme="minorHAnsi" w:hAnsiTheme="minorHAnsi" w:cstheme="minorBidi"/>
          <w:snapToGrid/>
          <w:sz w:val="24"/>
          <w:szCs w:val="22"/>
        </w:rPr>
        <w:t>was nominated</w:t>
      </w:r>
      <w:proofErr w:type="gramEnd"/>
      <w:r w:rsidR="00A849EE">
        <w:rPr>
          <w:rFonts w:asciiTheme="minorHAnsi" w:eastAsiaTheme="minorHAnsi" w:hAnsiTheme="minorHAnsi" w:cstheme="minorBidi"/>
          <w:snapToGrid/>
          <w:sz w:val="24"/>
          <w:szCs w:val="22"/>
        </w:rPr>
        <w:t xml:space="preserve"> as the primary comparator with low-dose methotrexate nominated</w:t>
      </w:r>
      <w:r w:rsidR="00D47CAA">
        <w:rPr>
          <w:rFonts w:asciiTheme="minorHAnsi" w:eastAsiaTheme="minorHAnsi" w:hAnsiTheme="minorHAnsi" w:cstheme="minorBidi"/>
          <w:snapToGrid/>
          <w:sz w:val="24"/>
          <w:szCs w:val="22"/>
        </w:rPr>
        <w:t xml:space="preserve"> as a supplementary comparator.</w:t>
      </w:r>
    </w:p>
    <w:p w:rsidR="00A849EE" w:rsidRPr="00A849EE" w:rsidRDefault="00A849EE" w:rsidP="00A849EE">
      <w:pPr>
        <w:pStyle w:val="ListParagraph"/>
        <w:widowControl/>
        <w:numPr>
          <w:ilvl w:val="1"/>
          <w:numId w:val="5"/>
        </w:numPr>
        <w:spacing w:after="160"/>
        <w:contextualSpacing w:val="0"/>
        <w:rPr>
          <w:rFonts w:ascii="Calibri" w:hAnsi="Calibri"/>
          <w:sz w:val="24"/>
          <w:szCs w:val="22"/>
        </w:rPr>
      </w:pPr>
      <w:r>
        <w:rPr>
          <w:rFonts w:asciiTheme="minorHAnsi" w:eastAsiaTheme="minorHAnsi" w:hAnsiTheme="minorHAnsi" w:cstheme="minorBidi"/>
          <w:snapToGrid/>
          <w:sz w:val="24"/>
          <w:szCs w:val="22"/>
        </w:rPr>
        <w:t xml:space="preserve">The July 2018 submission </w:t>
      </w:r>
      <w:r w:rsidRPr="00A849EE">
        <w:rPr>
          <w:rFonts w:ascii="Calibri" w:hAnsi="Calibri"/>
          <w:sz w:val="24"/>
          <w:szCs w:val="22"/>
        </w:rPr>
        <w:t xml:space="preserve">proposed that </w:t>
      </w:r>
      <w:proofErr w:type="spellStart"/>
      <w:r w:rsidRPr="00A849EE">
        <w:rPr>
          <w:rFonts w:ascii="Calibri" w:hAnsi="Calibri"/>
          <w:sz w:val="24"/>
          <w:szCs w:val="22"/>
        </w:rPr>
        <w:t>brentuximab</w:t>
      </w:r>
      <w:proofErr w:type="spellEnd"/>
      <w:r w:rsidRPr="00A849EE">
        <w:rPr>
          <w:rFonts w:ascii="Calibri" w:hAnsi="Calibri"/>
          <w:sz w:val="24"/>
          <w:szCs w:val="22"/>
        </w:rPr>
        <w:t xml:space="preserve"> </w:t>
      </w:r>
      <w:proofErr w:type="spellStart"/>
      <w:r w:rsidRPr="00A849EE">
        <w:rPr>
          <w:rFonts w:ascii="Calibri" w:hAnsi="Calibri"/>
          <w:sz w:val="24"/>
          <w:szCs w:val="22"/>
        </w:rPr>
        <w:t>vedotin</w:t>
      </w:r>
      <w:proofErr w:type="spellEnd"/>
      <w:r w:rsidRPr="00A849EE">
        <w:rPr>
          <w:rFonts w:ascii="Calibri" w:hAnsi="Calibri"/>
          <w:sz w:val="24"/>
          <w:szCs w:val="22"/>
        </w:rPr>
        <w:t xml:space="preserve"> </w:t>
      </w:r>
      <w:proofErr w:type="gramStart"/>
      <w:r w:rsidRPr="00A849EE">
        <w:rPr>
          <w:rFonts w:ascii="Calibri" w:hAnsi="Calibri"/>
          <w:sz w:val="24"/>
          <w:szCs w:val="22"/>
        </w:rPr>
        <w:t>would be used</w:t>
      </w:r>
      <w:proofErr w:type="gramEnd"/>
      <w:r w:rsidRPr="00A849EE">
        <w:rPr>
          <w:rFonts w:ascii="Calibri" w:hAnsi="Calibri"/>
          <w:sz w:val="24"/>
          <w:szCs w:val="22"/>
        </w:rPr>
        <w:t xml:space="preserve"> after first-line systemic therapy and will displace current treatme</w:t>
      </w:r>
      <w:r w:rsidR="00D47CAA">
        <w:rPr>
          <w:rFonts w:ascii="Calibri" w:hAnsi="Calibri"/>
          <w:sz w:val="24"/>
          <w:szCs w:val="22"/>
        </w:rPr>
        <w:t xml:space="preserve">nt options, such as </w:t>
      </w:r>
      <w:proofErr w:type="spellStart"/>
      <w:r w:rsidR="00D47CAA">
        <w:rPr>
          <w:rFonts w:ascii="Calibri" w:hAnsi="Calibri"/>
          <w:sz w:val="24"/>
          <w:szCs w:val="22"/>
        </w:rPr>
        <w:t>vorinostat</w:t>
      </w:r>
      <w:proofErr w:type="spellEnd"/>
      <w:r w:rsidR="00D47CAA">
        <w:rPr>
          <w:rFonts w:ascii="Calibri" w:hAnsi="Calibri"/>
          <w:sz w:val="24"/>
          <w:szCs w:val="22"/>
        </w:rPr>
        <w:t>.</w:t>
      </w:r>
    </w:p>
    <w:p w:rsidR="00A849EE" w:rsidRPr="0029625B" w:rsidRDefault="00A849EE" w:rsidP="00A849EE">
      <w:pPr>
        <w:keepNext/>
        <w:widowControl w:val="0"/>
        <w:numPr>
          <w:ilvl w:val="1"/>
          <w:numId w:val="5"/>
        </w:numPr>
        <w:spacing w:after="120"/>
        <w:jc w:val="both"/>
        <w:rPr>
          <w:rFonts w:asciiTheme="minorHAnsi" w:hAnsiTheme="minorHAnsi"/>
          <w:bCs/>
          <w:lang w:val="en-GB"/>
        </w:rPr>
      </w:pPr>
      <w:r w:rsidRPr="009F4240">
        <w:rPr>
          <w:rFonts w:asciiTheme="minorHAnsi" w:hAnsiTheme="minorHAnsi"/>
          <w:bCs/>
          <w:lang w:val="en-GB"/>
        </w:rPr>
        <w:t xml:space="preserve">The </w:t>
      </w:r>
      <w:r w:rsidRPr="00A849EE">
        <w:rPr>
          <w:rFonts w:asciiTheme="minorHAnsi" w:eastAsiaTheme="minorHAnsi" w:hAnsiTheme="minorHAnsi" w:cstheme="minorBidi"/>
          <w:szCs w:val="22"/>
          <w:lang w:eastAsia="en-US"/>
        </w:rPr>
        <w:t xml:space="preserve">PBAC did not recommend the listing of </w:t>
      </w:r>
      <w:proofErr w:type="spellStart"/>
      <w:r w:rsidRPr="00A849EE">
        <w:rPr>
          <w:rFonts w:asciiTheme="minorHAnsi" w:eastAsiaTheme="minorHAnsi" w:hAnsiTheme="minorHAnsi" w:cstheme="minorBidi"/>
          <w:szCs w:val="22"/>
          <w:lang w:eastAsia="en-US"/>
        </w:rPr>
        <w:t>brentuximab</w:t>
      </w:r>
      <w:proofErr w:type="spellEnd"/>
      <w:r w:rsidRPr="00A849EE">
        <w:rPr>
          <w:rFonts w:asciiTheme="minorHAnsi" w:eastAsiaTheme="minorHAnsi" w:hAnsiTheme="minorHAnsi" w:cstheme="minorBidi"/>
          <w:szCs w:val="22"/>
          <w:lang w:eastAsia="en-US"/>
        </w:rPr>
        <w:t xml:space="preserve"> </w:t>
      </w:r>
      <w:proofErr w:type="spellStart"/>
      <w:r w:rsidRPr="00A849EE">
        <w:rPr>
          <w:rFonts w:asciiTheme="minorHAnsi" w:eastAsiaTheme="minorHAnsi" w:hAnsiTheme="minorHAnsi" w:cstheme="minorBidi"/>
          <w:szCs w:val="22"/>
          <w:lang w:eastAsia="en-US"/>
        </w:rPr>
        <w:t>vedotin</w:t>
      </w:r>
      <w:proofErr w:type="spellEnd"/>
      <w:r w:rsidRPr="00A849EE">
        <w:rPr>
          <w:rFonts w:asciiTheme="minorHAnsi" w:eastAsiaTheme="minorHAnsi" w:hAnsiTheme="minorHAnsi" w:cstheme="minorBidi"/>
          <w:szCs w:val="22"/>
          <w:lang w:eastAsia="en-US"/>
        </w:rPr>
        <w:t xml:space="preserve"> in </w:t>
      </w:r>
      <w:r w:rsidR="00A673BF">
        <w:rPr>
          <w:rFonts w:asciiTheme="minorHAnsi" w:eastAsiaTheme="minorHAnsi" w:hAnsiTheme="minorHAnsi" w:cstheme="minorBidi"/>
          <w:szCs w:val="22"/>
          <w:lang w:eastAsia="en-US"/>
        </w:rPr>
        <w:t>RR</w:t>
      </w:r>
      <w:r w:rsidRPr="00A849EE">
        <w:rPr>
          <w:rFonts w:asciiTheme="minorHAnsi" w:eastAsiaTheme="minorHAnsi" w:hAnsiTheme="minorHAnsi" w:cstheme="minorBidi"/>
          <w:szCs w:val="22"/>
          <w:lang w:eastAsia="en-US"/>
        </w:rPr>
        <w:t xml:space="preserve"> CD30 positive CTCL in patients who have previously used systemic therapy, due to major reservations regarding the naïve comparison with </w:t>
      </w:r>
      <w:proofErr w:type="spellStart"/>
      <w:r w:rsidRPr="00A849EE">
        <w:rPr>
          <w:rFonts w:asciiTheme="minorHAnsi" w:eastAsiaTheme="minorHAnsi" w:hAnsiTheme="minorHAnsi" w:cstheme="minorBidi"/>
          <w:szCs w:val="22"/>
          <w:lang w:eastAsia="en-US"/>
        </w:rPr>
        <w:t>vorinostat</w:t>
      </w:r>
      <w:proofErr w:type="spellEnd"/>
      <w:r w:rsidRPr="00A849EE">
        <w:rPr>
          <w:rFonts w:asciiTheme="minorHAnsi" w:eastAsiaTheme="minorHAnsi" w:hAnsiTheme="minorHAnsi" w:cstheme="minorBidi"/>
          <w:szCs w:val="22"/>
          <w:lang w:eastAsia="en-US"/>
        </w:rPr>
        <w:t xml:space="preserve">, which meant that cost-effectiveness against </w:t>
      </w:r>
      <w:proofErr w:type="spellStart"/>
      <w:r w:rsidRPr="00A849EE">
        <w:rPr>
          <w:rFonts w:asciiTheme="minorHAnsi" w:eastAsiaTheme="minorHAnsi" w:hAnsiTheme="minorHAnsi" w:cstheme="minorBidi"/>
          <w:szCs w:val="22"/>
          <w:lang w:eastAsia="en-US"/>
        </w:rPr>
        <w:t>vorinostat</w:t>
      </w:r>
      <w:proofErr w:type="spellEnd"/>
      <w:r w:rsidRPr="00A849EE">
        <w:rPr>
          <w:rFonts w:asciiTheme="minorHAnsi" w:eastAsiaTheme="minorHAnsi" w:hAnsiTheme="minorHAnsi" w:cstheme="minorBidi"/>
          <w:szCs w:val="22"/>
          <w:lang w:eastAsia="en-US"/>
        </w:rPr>
        <w:t xml:space="preserve"> was unable to </w:t>
      </w:r>
      <w:proofErr w:type="gramStart"/>
      <w:r w:rsidRPr="00A849EE">
        <w:rPr>
          <w:rFonts w:asciiTheme="minorHAnsi" w:eastAsiaTheme="minorHAnsi" w:hAnsiTheme="minorHAnsi" w:cstheme="minorBidi"/>
          <w:szCs w:val="22"/>
          <w:lang w:eastAsia="en-US"/>
        </w:rPr>
        <w:t>be assessed</w:t>
      </w:r>
      <w:proofErr w:type="gramEnd"/>
      <w:r w:rsidRPr="00A849EE">
        <w:rPr>
          <w:rFonts w:asciiTheme="minorHAnsi" w:eastAsiaTheme="minorHAnsi" w:hAnsiTheme="minorHAnsi" w:cstheme="minorBidi"/>
          <w:szCs w:val="22"/>
          <w:lang w:eastAsia="en-US"/>
        </w:rPr>
        <w:t xml:space="preserve">. The PBAC also considered that </w:t>
      </w:r>
      <w:proofErr w:type="spellStart"/>
      <w:r w:rsidRPr="00A849EE">
        <w:rPr>
          <w:rFonts w:asciiTheme="minorHAnsi" w:eastAsiaTheme="minorHAnsi" w:hAnsiTheme="minorHAnsi" w:cstheme="minorBidi"/>
          <w:szCs w:val="22"/>
          <w:lang w:eastAsia="en-US"/>
        </w:rPr>
        <w:t>brentuximab</w:t>
      </w:r>
      <w:proofErr w:type="spellEnd"/>
      <w:r w:rsidRPr="00A849EE">
        <w:rPr>
          <w:rFonts w:asciiTheme="minorHAnsi" w:eastAsiaTheme="minorHAnsi" w:hAnsiTheme="minorHAnsi" w:cstheme="minorBidi"/>
          <w:szCs w:val="22"/>
          <w:lang w:eastAsia="en-US"/>
        </w:rPr>
        <w:t xml:space="preserve"> </w:t>
      </w:r>
      <w:proofErr w:type="spellStart"/>
      <w:r w:rsidRPr="00A849EE">
        <w:rPr>
          <w:rFonts w:asciiTheme="minorHAnsi" w:eastAsiaTheme="minorHAnsi" w:hAnsiTheme="minorHAnsi" w:cstheme="minorBidi"/>
          <w:szCs w:val="22"/>
          <w:lang w:eastAsia="en-US"/>
        </w:rPr>
        <w:t>vedotin</w:t>
      </w:r>
      <w:proofErr w:type="spellEnd"/>
      <w:r w:rsidRPr="00A849EE">
        <w:rPr>
          <w:rFonts w:asciiTheme="minorHAnsi" w:eastAsiaTheme="minorHAnsi" w:hAnsiTheme="minorHAnsi" w:cstheme="minorBidi"/>
          <w:szCs w:val="22"/>
          <w:lang w:eastAsia="en-US"/>
        </w:rPr>
        <w:t xml:space="preserve"> was not cost-effective compared with methotrexate at the proposed price. The PBAC noted that the ICER presented was unacceptably high based on previous PBAC decisions, even in the context of difficult to treat and relatively rare diseases</w:t>
      </w:r>
      <w:r>
        <w:rPr>
          <w:rFonts w:asciiTheme="minorHAnsi" w:eastAsiaTheme="minorHAnsi" w:hAnsiTheme="minorHAnsi" w:cstheme="minorBidi"/>
          <w:szCs w:val="22"/>
          <w:lang w:eastAsia="en-US"/>
        </w:rPr>
        <w:t xml:space="preserve"> (Paragraph 7.1, </w:t>
      </w:r>
      <w:proofErr w:type="spellStart"/>
      <w:r>
        <w:rPr>
          <w:rFonts w:asciiTheme="minorHAnsi" w:eastAsiaTheme="minorHAnsi" w:hAnsiTheme="minorHAnsi" w:cstheme="minorBidi"/>
          <w:szCs w:val="22"/>
          <w:lang w:eastAsia="en-US"/>
        </w:rPr>
        <w:t>brentuximab</w:t>
      </w:r>
      <w:proofErr w:type="spellEnd"/>
      <w:r>
        <w:rPr>
          <w:rFonts w:asciiTheme="minorHAnsi" w:eastAsiaTheme="minorHAnsi" w:hAnsiTheme="minorHAnsi" w:cstheme="minorBidi"/>
          <w:szCs w:val="22"/>
          <w:lang w:eastAsia="en-US"/>
        </w:rPr>
        <w:t xml:space="preserve"> </w:t>
      </w:r>
      <w:proofErr w:type="spellStart"/>
      <w:r>
        <w:rPr>
          <w:rFonts w:asciiTheme="minorHAnsi" w:eastAsiaTheme="minorHAnsi" w:hAnsiTheme="minorHAnsi" w:cstheme="minorBidi"/>
          <w:szCs w:val="22"/>
          <w:lang w:eastAsia="en-US"/>
        </w:rPr>
        <w:t>vedotin</w:t>
      </w:r>
      <w:proofErr w:type="spellEnd"/>
      <w:r>
        <w:rPr>
          <w:rFonts w:asciiTheme="minorHAnsi" w:eastAsiaTheme="minorHAnsi" w:hAnsiTheme="minorHAnsi" w:cstheme="minorBidi"/>
          <w:szCs w:val="22"/>
          <w:lang w:eastAsia="en-US"/>
        </w:rPr>
        <w:t xml:space="preserve"> PBAC </w:t>
      </w:r>
      <w:r w:rsidR="006D4D52">
        <w:rPr>
          <w:rFonts w:asciiTheme="minorHAnsi" w:eastAsiaTheme="minorHAnsi" w:hAnsiTheme="minorHAnsi" w:cstheme="minorBidi"/>
          <w:szCs w:val="22"/>
          <w:lang w:eastAsia="en-US"/>
        </w:rPr>
        <w:t>PSD</w:t>
      </w:r>
      <w:r>
        <w:rPr>
          <w:rFonts w:asciiTheme="minorHAnsi" w:eastAsiaTheme="minorHAnsi" w:hAnsiTheme="minorHAnsi" w:cstheme="minorBidi"/>
          <w:szCs w:val="22"/>
          <w:lang w:eastAsia="en-US"/>
        </w:rPr>
        <w:t>, July 2018)</w:t>
      </w:r>
      <w:r w:rsidRPr="00A849EE">
        <w:rPr>
          <w:rFonts w:asciiTheme="minorHAnsi" w:eastAsiaTheme="minorHAnsi" w:hAnsiTheme="minorHAnsi" w:cstheme="minorBidi"/>
          <w:szCs w:val="22"/>
          <w:lang w:eastAsia="en-US"/>
        </w:rPr>
        <w:t>.</w:t>
      </w:r>
    </w:p>
    <w:p w:rsidR="0029625B" w:rsidRDefault="0029625B" w:rsidP="0029625B">
      <w:pPr>
        <w:pStyle w:val="ListParagraph"/>
        <w:widowControl/>
        <w:numPr>
          <w:ilvl w:val="1"/>
          <w:numId w:val="5"/>
        </w:numPr>
        <w:spacing w:after="160"/>
        <w:contextualSpacing w:val="0"/>
        <w:rPr>
          <w:rFonts w:ascii="Calibri" w:hAnsi="Calibri"/>
          <w:sz w:val="24"/>
          <w:szCs w:val="22"/>
        </w:rPr>
      </w:pPr>
      <w:r w:rsidRPr="0029625B">
        <w:rPr>
          <w:rFonts w:ascii="Calibri" w:hAnsi="Calibri"/>
          <w:sz w:val="24"/>
          <w:szCs w:val="22"/>
        </w:rPr>
        <w:t xml:space="preserve">The PBAC acknowledged the rarity of CTCL and the difficulty of conducting phase III trials in the heterogeneous subgroups of CTCL but considered that the naïve comparison of </w:t>
      </w:r>
      <w:proofErr w:type="spellStart"/>
      <w:r w:rsidRPr="0029625B">
        <w:rPr>
          <w:rFonts w:ascii="Calibri" w:hAnsi="Calibri"/>
          <w:sz w:val="24"/>
          <w:szCs w:val="22"/>
        </w:rPr>
        <w:t>brentuximab</w:t>
      </w:r>
      <w:proofErr w:type="spellEnd"/>
      <w:r w:rsidRPr="0029625B">
        <w:rPr>
          <w:rFonts w:ascii="Calibri" w:hAnsi="Calibri"/>
          <w:sz w:val="24"/>
          <w:szCs w:val="22"/>
        </w:rPr>
        <w:t xml:space="preserve"> </w:t>
      </w:r>
      <w:proofErr w:type="spellStart"/>
      <w:r w:rsidRPr="0029625B">
        <w:rPr>
          <w:rFonts w:ascii="Calibri" w:hAnsi="Calibri"/>
          <w:sz w:val="24"/>
          <w:szCs w:val="22"/>
        </w:rPr>
        <w:t>vedotin</w:t>
      </w:r>
      <w:proofErr w:type="spellEnd"/>
      <w:r w:rsidRPr="0029625B">
        <w:rPr>
          <w:rFonts w:ascii="Calibri" w:hAnsi="Calibri"/>
          <w:sz w:val="24"/>
          <w:szCs w:val="22"/>
        </w:rPr>
        <w:t xml:space="preserve"> and </w:t>
      </w:r>
      <w:proofErr w:type="spellStart"/>
      <w:r w:rsidRPr="0029625B">
        <w:rPr>
          <w:rFonts w:ascii="Calibri" w:hAnsi="Calibri"/>
          <w:sz w:val="24"/>
          <w:szCs w:val="22"/>
        </w:rPr>
        <w:t>vorinostat</w:t>
      </w:r>
      <w:proofErr w:type="spellEnd"/>
      <w:r w:rsidRPr="0029625B">
        <w:rPr>
          <w:rFonts w:ascii="Calibri" w:hAnsi="Calibri"/>
          <w:sz w:val="24"/>
          <w:szCs w:val="22"/>
        </w:rPr>
        <w:t xml:space="preserve"> did not provide good evidence for the cost-effectiveness of </w:t>
      </w:r>
      <w:proofErr w:type="spellStart"/>
      <w:r w:rsidRPr="0029625B">
        <w:rPr>
          <w:rFonts w:ascii="Calibri" w:hAnsi="Calibri"/>
          <w:sz w:val="24"/>
          <w:szCs w:val="22"/>
        </w:rPr>
        <w:t>brentuximab</w:t>
      </w:r>
      <w:proofErr w:type="spellEnd"/>
      <w:r w:rsidRPr="0029625B">
        <w:rPr>
          <w:rFonts w:ascii="Calibri" w:hAnsi="Calibri"/>
          <w:sz w:val="24"/>
          <w:szCs w:val="22"/>
        </w:rPr>
        <w:t xml:space="preserve"> </w:t>
      </w:r>
      <w:proofErr w:type="spellStart"/>
      <w:r w:rsidRPr="0029625B">
        <w:rPr>
          <w:rFonts w:ascii="Calibri" w:hAnsi="Calibri"/>
          <w:sz w:val="24"/>
          <w:szCs w:val="22"/>
        </w:rPr>
        <w:t>vedotin</w:t>
      </w:r>
      <w:proofErr w:type="spellEnd"/>
      <w:r w:rsidRPr="0029625B">
        <w:rPr>
          <w:rFonts w:ascii="Calibri" w:hAnsi="Calibri"/>
          <w:sz w:val="24"/>
          <w:szCs w:val="22"/>
        </w:rPr>
        <w:t xml:space="preserve"> compared with </w:t>
      </w:r>
      <w:proofErr w:type="spellStart"/>
      <w:r w:rsidRPr="0029625B">
        <w:rPr>
          <w:rFonts w:ascii="Calibri" w:hAnsi="Calibri"/>
          <w:sz w:val="24"/>
          <w:szCs w:val="22"/>
        </w:rPr>
        <w:t>vorinostat</w:t>
      </w:r>
      <w:proofErr w:type="spellEnd"/>
      <w:r w:rsidRPr="0029625B">
        <w:rPr>
          <w:rFonts w:ascii="Calibri" w:hAnsi="Calibri"/>
          <w:sz w:val="24"/>
          <w:szCs w:val="22"/>
        </w:rPr>
        <w:t xml:space="preserve">. The PBAC noted that the comparison with methotrexate was based on more robust data but based on this comparison </w:t>
      </w:r>
      <w:proofErr w:type="spellStart"/>
      <w:r w:rsidRPr="0029625B">
        <w:rPr>
          <w:rFonts w:ascii="Calibri" w:hAnsi="Calibri"/>
          <w:sz w:val="24"/>
          <w:szCs w:val="22"/>
        </w:rPr>
        <w:t>brentuximab</w:t>
      </w:r>
      <w:proofErr w:type="spellEnd"/>
      <w:r w:rsidRPr="0029625B">
        <w:rPr>
          <w:rFonts w:ascii="Calibri" w:hAnsi="Calibri"/>
          <w:sz w:val="24"/>
          <w:szCs w:val="22"/>
        </w:rPr>
        <w:t xml:space="preserve"> </w:t>
      </w:r>
      <w:proofErr w:type="spellStart"/>
      <w:r w:rsidRPr="0029625B">
        <w:rPr>
          <w:rFonts w:ascii="Calibri" w:hAnsi="Calibri"/>
          <w:sz w:val="24"/>
          <w:szCs w:val="22"/>
        </w:rPr>
        <w:t>vedotin</w:t>
      </w:r>
      <w:proofErr w:type="spellEnd"/>
      <w:r w:rsidRPr="0029625B">
        <w:rPr>
          <w:rFonts w:ascii="Calibri" w:hAnsi="Calibri"/>
          <w:sz w:val="24"/>
          <w:szCs w:val="22"/>
        </w:rPr>
        <w:t xml:space="preserve"> had an unacceptably high ICER. Nevertheless, in </w:t>
      </w:r>
      <w:proofErr w:type="gramStart"/>
      <w:r w:rsidRPr="0029625B">
        <w:rPr>
          <w:rFonts w:ascii="Calibri" w:hAnsi="Calibri"/>
          <w:sz w:val="24"/>
          <w:szCs w:val="22"/>
        </w:rPr>
        <w:t>this</w:t>
      </w:r>
      <w:proofErr w:type="gramEnd"/>
      <w:r w:rsidRPr="0029625B">
        <w:rPr>
          <w:rFonts w:ascii="Calibri" w:hAnsi="Calibri"/>
          <w:sz w:val="24"/>
          <w:szCs w:val="22"/>
        </w:rPr>
        <w:t xml:space="preserve"> uncommon and incurable disease where there is a high unmet need and significant impacts on patient quality of life, the PBAC considered that </w:t>
      </w:r>
      <w:proofErr w:type="spellStart"/>
      <w:r w:rsidRPr="0029625B">
        <w:rPr>
          <w:rFonts w:ascii="Calibri" w:hAnsi="Calibri"/>
          <w:sz w:val="24"/>
          <w:szCs w:val="22"/>
        </w:rPr>
        <w:t>brentuximab</w:t>
      </w:r>
      <w:proofErr w:type="spellEnd"/>
      <w:r w:rsidRPr="0029625B">
        <w:rPr>
          <w:rFonts w:ascii="Calibri" w:hAnsi="Calibri"/>
          <w:sz w:val="24"/>
          <w:szCs w:val="22"/>
        </w:rPr>
        <w:t xml:space="preserve"> </w:t>
      </w:r>
      <w:proofErr w:type="spellStart"/>
      <w:r w:rsidRPr="0029625B">
        <w:rPr>
          <w:rFonts w:ascii="Calibri" w:hAnsi="Calibri"/>
          <w:sz w:val="24"/>
          <w:szCs w:val="22"/>
        </w:rPr>
        <w:t>vedotin</w:t>
      </w:r>
      <w:proofErr w:type="spellEnd"/>
      <w:r w:rsidRPr="0029625B">
        <w:rPr>
          <w:rFonts w:ascii="Calibri" w:hAnsi="Calibri"/>
          <w:sz w:val="24"/>
          <w:szCs w:val="22"/>
        </w:rPr>
        <w:t xml:space="preserve"> appears effective for some time in patients with proven CD30 positive disease and more effective than methotrexate in patients with MF. As such, and consistent with the approach taken with </w:t>
      </w:r>
      <w:proofErr w:type="spellStart"/>
      <w:r w:rsidRPr="0029625B">
        <w:rPr>
          <w:rFonts w:ascii="Calibri" w:hAnsi="Calibri"/>
          <w:sz w:val="24"/>
          <w:szCs w:val="22"/>
        </w:rPr>
        <w:t>vorinostat</w:t>
      </w:r>
      <w:proofErr w:type="spellEnd"/>
      <w:r w:rsidRPr="0029625B">
        <w:rPr>
          <w:rFonts w:ascii="Calibri" w:hAnsi="Calibri"/>
          <w:sz w:val="24"/>
          <w:szCs w:val="22"/>
        </w:rPr>
        <w:t xml:space="preserve">, the PBAC considered a cost per responder assessment of cost-effectiveness may be appropriate in any future </w:t>
      </w:r>
      <w:r w:rsidRPr="0029625B">
        <w:rPr>
          <w:rFonts w:ascii="Calibri" w:hAnsi="Calibri"/>
          <w:sz w:val="24"/>
          <w:szCs w:val="22"/>
        </w:rPr>
        <w:lastRenderedPageBreak/>
        <w:t xml:space="preserve">submission. The PBAC noted that a considerable price reduction would be required in order to show that </w:t>
      </w:r>
      <w:proofErr w:type="spellStart"/>
      <w:r w:rsidRPr="0029625B">
        <w:rPr>
          <w:rFonts w:ascii="Calibri" w:hAnsi="Calibri"/>
          <w:sz w:val="24"/>
          <w:szCs w:val="22"/>
        </w:rPr>
        <w:t>brentuximab</w:t>
      </w:r>
      <w:proofErr w:type="spellEnd"/>
      <w:r w:rsidRPr="0029625B">
        <w:rPr>
          <w:rFonts w:ascii="Calibri" w:hAnsi="Calibri"/>
          <w:sz w:val="24"/>
          <w:szCs w:val="22"/>
        </w:rPr>
        <w:t xml:space="preserve"> </w:t>
      </w:r>
      <w:proofErr w:type="spellStart"/>
      <w:r w:rsidRPr="0029625B">
        <w:rPr>
          <w:rFonts w:ascii="Calibri" w:hAnsi="Calibri"/>
          <w:sz w:val="24"/>
          <w:szCs w:val="22"/>
        </w:rPr>
        <w:t>vedotin</w:t>
      </w:r>
      <w:proofErr w:type="spellEnd"/>
      <w:r w:rsidRPr="0029625B">
        <w:rPr>
          <w:rFonts w:ascii="Calibri" w:hAnsi="Calibri"/>
          <w:sz w:val="24"/>
          <w:szCs w:val="22"/>
        </w:rPr>
        <w:t xml:space="preserve"> is cost-effective compared with methotrexate</w:t>
      </w:r>
      <w:r>
        <w:rPr>
          <w:rFonts w:ascii="Calibri" w:hAnsi="Calibri"/>
          <w:sz w:val="24"/>
          <w:szCs w:val="22"/>
        </w:rPr>
        <w:t xml:space="preserve"> </w:t>
      </w:r>
      <w:r w:rsidRPr="0029625B">
        <w:rPr>
          <w:rFonts w:ascii="Calibri" w:hAnsi="Calibri"/>
          <w:sz w:val="24"/>
          <w:szCs w:val="22"/>
        </w:rPr>
        <w:t xml:space="preserve">(Paragraph 7.18, </w:t>
      </w:r>
      <w:proofErr w:type="spellStart"/>
      <w:r w:rsidRPr="0029625B">
        <w:rPr>
          <w:rFonts w:ascii="Calibri" w:hAnsi="Calibri"/>
          <w:sz w:val="24"/>
          <w:szCs w:val="22"/>
        </w:rPr>
        <w:t>brentuximab</w:t>
      </w:r>
      <w:proofErr w:type="spellEnd"/>
      <w:r w:rsidRPr="0029625B">
        <w:rPr>
          <w:rFonts w:ascii="Calibri" w:hAnsi="Calibri"/>
          <w:sz w:val="24"/>
          <w:szCs w:val="22"/>
        </w:rPr>
        <w:t xml:space="preserve"> </w:t>
      </w:r>
      <w:proofErr w:type="spellStart"/>
      <w:r w:rsidRPr="0029625B">
        <w:rPr>
          <w:rFonts w:ascii="Calibri" w:hAnsi="Calibri"/>
          <w:sz w:val="24"/>
          <w:szCs w:val="22"/>
        </w:rPr>
        <w:t>vedotin</w:t>
      </w:r>
      <w:proofErr w:type="spellEnd"/>
      <w:r w:rsidRPr="0029625B">
        <w:rPr>
          <w:rFonts w:ascii="Calibri" w:hAnsi="Calibri"/>
          <w:sz w:val="24"/>
          <w:szCs w:val="22"/>
        </w:rPr>
        <w:t xml:space="preserve"> PBAC </w:t>
      </w:r>
      <w:r w:rsidR="006D4D52">
        <w:rPr>
          <w:rFonts w:ascii="Calibri" w:hAnsi="Calibri"/>
          <w:sz w:val="24"/>
          <w:szCs w:val="22"/>
        </w:rPr>
        <w:t>PSD</w:t>
      </w:r>
      <w:r w:rsidRPr="0029625B">
        <w:rPr>
          <w:rFonts w:ascii="Calibri" w:hAnsi="Calibri"/>
          <w:sz w:val="24"/>
          <w:szCs w:val="22"/>
        </w:rPr>
        <w:t>, July 2018).</w:t>
      </w:r>
    </w:p>
    <w:p w:rsidR="007A6A01" w:rsidRPr="007A6A01" w:rsidRDefault="007A6A01" w:rsidP="007A6A01">
      <w:pPr>
        <w:spacing w:after="160"/>
        <w:rPr>
          <w:rFonts w:ascii="Calibri" w:hAnsi="Calibri"/>
          <w:szCs w:val="22"/>
          <w:u w:val="single"/>
        </w:rPr>
      </w:pPr>
      <w:r>
        <w:rPr>
          <w:rFonts w:ascii="Calibri" w:hAnsi="Calibri"/>
          <w:szCs w:val="22"/>
          <w:u w:val="single"/>
        </w:rPr>
        <w:t>Key changes versus the previous submission</w:t>
      </w:r>
    </w:p>
    <w:p w:rsidR="009164EF" w:rsidRDefault="009164EF" w:rsidP="0029625B">
      <w:pPr>
        <w:pStyle w:val="ListParagraph"/>
        <w:widowControl/>
        <w:numPr>
          <w:ilvl w:val="1"/>
          <w:numId w:val="5"/>
        </w:numPr>
        <w:spacing w:after="160"/>
        <w:contextualSpacing w:val="0"/>
        <w:rPr>
          <w:rFonts w:ascii="Calibri" w:hAnsi="Calibri"/>
          <w:sz w:val="24"/>
          <w:szCs w:val="22"/>
        </w:rPr>
      </w:pPr>
      <w:r>
        <w:rPr>
          <w:rFonts w:ascii="Calibri" w:hAnsi="Calibri"/>
          <w:sz w:val="24"/>
          <w:szCs w:val="22"/>
        </w:rPr>
        <w:t xml:space="preserve">The minor resubmission stated that no further clinical trial data for </w:t>
      </w:r>
      <w:proofErr w:type="spellStart"/>
      <w:r>
        <w:rPr>
          <w:rFonts w:ascii="Calibri" w:hAnsi="Calibri"/>
          <w:sz w:val="24"/>
          <w:szCs w:val="22"/>
        </w:rPr>
        <w:t>brentuximab</w:t>
      </w:r>
      <w:proofErr w:type="spellEnd"/>
      <w:r>
        <w:rPr>
          <w:rFonts w:ascii="Calibri" w:hAnsi="Calibri"/>
          <w:sz w:val="24"/>
          <w:szCs w:val="22"/>
        </w:rPr>
        <w:t xml:space="preserve"> </w:t>
      </w:r>
      <w:proofErr w:type="spellStart"/>
      <w:r>
        <w:rPr>
          <w:rFonts w:ascii="Calibri" w:hAnsi="Calibri"/>
          <w:sz w:val="24"/>
          <w:szCs w:val="22"/>
        </w:rPr>
        <w:t>vedotin</w:t>
      </w:r>
      <w:proofErr w:type="spellEnd"/>
      <w:r>
        <w:rPr>
          <w:rFonts w:ascii="Calibri" w:hAnsi="Calibri"/>
          <w:sz w:val="24"/>
          <w:szCs w:val="22"/>
        </w:rPr>
        <w:t xml:space="preserve"> are forthcoming for this indication. Therefore, the minor resubmission submitted a cost effectiveness analysis versus methotrexate based </w:t>
      </w:r>
      <w:proofErr w:type="gramStart"/>
      <w:r>
        <w:rPr>
          <w:rFonts w:ascii="Calibri" w:hAnsi="Calibri"/>
          <w:sz w:val="24"/>
          <w:szCs w:val="22"/>
        </w:rPr>
        <w:t>on a cost per responder (ORR) with a revised</w:t>
      </w:r>
      <w:r w:rsidR="00D47CAA">
        <w:rPr>
          <w:rFonts w:ascii="Calibri" w:hAnsi="Calibri"/>
          <w:sz w:val="24"/>
          <w:szCs w:val="22"/>
        </w:rPr>
        <w:t xml:space="preserve"> price for </w:t>
      </w:r>
      <w:proofErr w:type="spellStart"/>
      <w:r w:rsidR="00D47CAA">
        <w:rPr>
          <w:rFonts w:ascii="Calibri" w:hAnsi="Calibri"/>
          <w:sz w:val="24"/>
          <w:szCs w:val="22"/>
        </w:rPr>
        <w:t>brentuximab</w:t>
      </w:r>
      <w:proofErr w:type="spellEnd"/>
      <w:r w:rsidR="00D47CAA">
        <w:rPr>
          <w:rFonts w:ascii="Calibri" w:hAnsi="Calibri"/>
          <w:sz w:val="24"/>
          <w:szCs w:val="22"/>
        </w:rPr>
        <w:t xml:space="preserve"> </w:t>
      </w:r>
      <w:proofErr w:type="spellStart"/>
      <w:r w:rsidR="00D47CAA">
        <w:rPr>
          <w:rFonts w:ascii="Calibri" w:hAnsi="Calibri"/>
          <w:sz w:val="24"/>
          <w:szCs w:val="22"/>
        </w:rPr>
        <w:t>vedotin</w:t>
      </w:r>
      <w:proofErr w:type="spellEnd"/>
      <w:proofErr w:type="gramEnd"/>
      <w:r w:rsidR="00D47CAA">
        <w:rPr>
          <w:rFonts w:ascii="Calibri" w:hAnsi="Calibri"/>
          <w:sz w:val="24"/>
          <w:szCs w:val="22"/>
        </w:rPr>
        <w:t>.</w:t>
      </w:r>
    </w:p>
    <w:p w:rsidR="0029625B" w:rsidRPr="0029625B" w:rsidRDefault="00982FAC" w:rsidP="0029625B">
      <w:pPr>
        <w:pStyle w:val="ListParagraph"/>
        <w:widowControl/>
        <w:numPr>
          <w:ilvl w:val="1"/>
          <w:numId w:val="5"/>
        </w:numPr>
        <w:spacing w:after="160"/>
        <w:contextualSpacing w:val="0"/>
        <w:rPr>
          <w:rFonts w:ascii="Calibri" w:hAnsi="Calibri"/>
          <w:sz w:val="24"/>
          <w:szCs w:val="22"/>
        </w:rPr>
      </w:pPr>
      <w:r>
        <w:rPr>
          <w:rFonts w:ascii="Calibri" w:hAnsi="Calibri"/>
          <w:sz w:val="24"/>
          <w:szCs w:val="22"/>
        </w:rPr>
        <w:t xml:space="preserve">The key changes </w:t>
      </w:r>
      <w:proofErr w:type="gramStart"/>
      <w:r>
        <w:rPr>
          <w:rFonts w:ascii="Calibri" w:hAnsi="Calibri"/>
          <w:sz w:val="24"/>
          <w:szCs w:val="22"/>
        </w:rPr>
        <w:t>are outlined</w:t>
      </w:r>
      <w:proofErr w:type="gramEnd"/>
      <w:r>
        <w:rPr>
          <w:rFonts w:ascii="Calibri" w:hAnsi="Calibri"/>
          <w:sz w:val="24"/>
          <w:szCs w:val="22"/>
        </w:rPr>
        <w:t xml:space="preserve"> in the table below.</w:t>
      </w:r>
    </w:p>
    <w:p w:rsidR="00123993" w:rsidRPr="00F16087" w:rsidRDefault="00123993" w:rsidP="00123993">
      <w:pPr>
        <w:pStyle w:val="Caption"/>
        <w:keepNext/>
        <w:widowControl/>
      </w:pPr>
      <w:r w:rsidRPr="00F34FF2">
        <w:t xml:space="preserve">Table </w:t>
      </w:r>
      <w:r w:rsidR="00922DD5">
        <w:rPr>
          <w:noProof/>
        </w:rPr>
        <w:t>1</w:t>
      </w:r>
      <w:r w:rsidRPr="00F34FF2">
        <w:t>: Summary of the previous submission and current resubmission</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6"/>
        <w:gridCol w:w="4533"/>
        <w:gridCol w:w="3436"/>
      </w:tblGrid>
      <w:tr w:rsidR="001C3753" w:rsidRPr="00F16087" w:rsidTr="001C3753">
        <w:trPr>
          <w:trHeight w:val="220"/>
          <w:tblHeader/>
        </w:trPr>
        <w:tc>
          <w:tcPr>
            <w:tcW w:w="547" w:type="pct"/>
          </w:tcPr>
          <w:p w:rsidR="00123993" w:rsidRPr="00BB7C9F" w:rsidRDefault="00123993" w:rsidP="00DF7FCB">
            <w:pPr>
              <w:keepNext/>
              <w:rPr>
                <w:rFonts w:ascii="Arial Narrow" w:hAnsi="Arial Narrow"/>
                <w:sz w:val="20"/>
                <w:szCs w:val="20"/>
              </w:rPr>
            </w:pPr>
          </w:p>
        </w:tc>
        <w:tc>
          <w:tcPr>
            <w:tcW w:w="2533" w:type="pct"/>
            <w:vAlign w:val="center"/>
          </w:tcPr>
          <w:p w:rsidR="00123993" w:rsidRPr="00BB7C9F" w:rsidRDefault="00123993" w:rsidP="00DF7FCB">
            <w:pPr>
              <w:keepNext/>
              <w:jc w:val="center"/>
              <w:rPr>
                <w:rFonts w:ascii="Arial Narrow" w:hAnsi="Arial Narrow"/>
                <w:b/>
                <w:sz w:val="20"/>
                <w:szCs w:val="20"/>
              </w:rPr>
            </w:pPr>
            <w:r>
              <w:rPr>
                <w:rFonts w:ascii="Arial Narrow" w:hAnsi="Arial Narrow"/>
                <w:b/>
                <w:sz w:val="20"/>
                <w:szCs w:val="20"/>
              </w:rPr>
              <w:t>July 2018</w:t>
            </w:r>
            <w:r w:rsidRPr="00BB7C9F">
              <w:rPr>
                <w:rFonts w:ascii="Arial Narrow" w:hAnsi="Arial Narrow"/>
                <w:b/>
                <w:sz w:val="20"/>
                <w:szCs w:val="20"/>
              </w:rPr>
              <w:t xml:space="preserve"> submission</w:t>
            </w:r>
          </w:p>
        </w:tc>
        <w:tc>
          <w:tcPr>
            <w:tcW w:w="1920" w:type="pct"/>
          </w:tcPr>
          <w:p w:rsidR="00123993" w:rsidRPr="00BB7C9F" w:rsidRDefault="00123993" w:rsidP="00DF7FCB">
            <w:pPr>
              <w:keepNext/>
              <w:jc w:val="center"/>
              <w:rPr>
                <w:rFonts w:ascii="Arial Narrow" w:hAnsi="Arial Narrow"/>
                <w:b/>
                <w:sz w:val="20"/>
                <w:szCs w:val="20"/>
              </w:rPr>
            </w:pPr>
            <w:r w:rsidRPr="00BB7C9F">
              <w:rPr>
                <w:rFonts w:ascii="Arial Narrow" w:hAnsi="Arial Narrow"/>
                <w:b/>
                <w:sz w:val="20"/>
                <w:szCs w:val="20"/>
              </w:rPr>
              <w:t>Current resubmission</w:t>
            </w:r>
          </w:p>
        </w:tc>
      </w:tr>
      <w:tr w:rsidR="001C3753" w:rsidRPr="00F16087" w:rsidTr="001C3753">
        <w:trPr>
          <w:trHeight w:val="525"/>
        </w:trPr>
        <w:tc>
          <w:tcPr>
            <w:tcW w:w="547" w:type="pct"/>
            <w:shd w:val="clear" w:color="auto" w:fill="auto"/>
          </w:tcPr>
          <w:p w:rsidR="00123993" w:rsidRPr="00BB7C9F" w:rsidRDefault="00123993" w:rsidP="00DF7FCB">
            <w:pPr>
              <w:rPr>
                <w:rFonts w:ascii="Arial Narrow" w:hAnsi="Arial Narrow"/>
                <w:sz w:val="20"/>
                <w:szCs w:val="20"/>
              </w:rPr>
            </w:pPr>
            <w:r w:rsidRPr="00BB7C9F">
              <w:rPr>
                <w:rFonts w:ascii="Arial Narrow" w:hAnsi="Arial Narrow"/>
                <w:sz w:val="20"/>
                <w:szCs w:val="20"/>
              </w:rPr>
              <w:t>Requested PBS listing</w:t>
            </w:r>
          </w:p>
        </w:tc>
        <w:tc>
          <w:tcPr>
            <w:tcW w:w="2533" w:type="pct"/>
            <w:shd w:val="clear" w:color="auto" w:fill="auto"/>
          </w:tcPr>
          <w:p w:rsidR="00123993" w:rsidRPr="00D52140" w:rsidRDefault="00123993" w:rsidP="00DF7FCB">
            <w:pPr>
              <w:rPr>
                <w:rFonts w:ascii="Arial Narrow" w:hAnsi="Arial Narrow"/>
                <w:sz w:val="20"/>
                <w:szCs w:val="20"/>
              </w:rPr>
            </w:pPr>
            <w:r>
              <w:rPr>
                <w:rFonts w:ascii="Arial Narrow" w:hAnsi="Arial Narrow"/>
                <w:b/>
                <w:sz w:val="20"/>
                <w:szCs w:val="20"/>
              </w:rPr>
              <w:t xml:space="preserve">PBAC Comment: </w:t>
            </w:r>
            <w:r>
              <w:rPr>
                <w:rFonts w:ascii="Arial Narrow" w:hAnsi="Arial Narrow"/>
                <w:sz w:val="20"/>
                <w:szCs w:val="20"/>
              </w:rPr>
              <w:t xml:space="preserve">(paragraph 7.4) </w:t>
            </w:r>
            <w:r w:rsidRPr="00D52140">
              <w:rPr>
                <w:rFonts w:ascii="Arial Narrow" w:hAnsi="Arial Narrow" w:cs="Arial"/>
                <w:bCs/>
                <w:snapToGrid w:val="0"/>
                <w:sz w:val="20"/>
                <w:szCs w:val="20"/>
                <w:lang w:val="en-GB" w:eastAsia="en-US"/>
              </w:rPr>
              <w:t>The PBAC noted that no explicit definition of CD30 positivity in CTCL was included in the proposed restriction and considered that a clear definition was desirable. The PBAC considered that the proposed restrictions should include a requirement for the provision of a histology report showing evidence of CD30 positivity (Initial) and for patients to have achieved an appropriate response to therapy (Continuing).</w:t>
            </w:r>
          </w:p>
        </w:tc>
        <w:tc>
          <w:tcPr>
            <w:tcW w:w="1920" w:type="pct"/>
          </w:tcPr>
          <w:p w:rsidR="00123993" w:rsidRPr="00BF4D9E" w:rsidRDefault="00123993" w:rsidP="00DF7FCB">
            <w:pPr>
              <w:pStyle w:val="Default"/>
              <w:rPr>
                <w:rFonts w:ascii="Arial Narrow" w:hAnsi="Arial Narrow" w:cs="Arial"/>
                <w:bCs/>
                <w:snapToGrid w:val="0"/>
                <w:color w:val="auto"/>
                <w:sz w:val="20"/>
                <w:szCs w:val="20"/>
                <w:lang w:val="en-GB" w:eastAsia="en-US"/>
              </w:rPr>
            </w:pPr>
            <w:r>
              <w:rPr>
                <w:rFonts w:ascii="Arial Narrow" w:hAnsi="Arial Narrow" w:cs="Arial"/>
                <w:bCs/>
                <w:snapToGrid w:val="0"/>
                <w:color w:val="auto"/>
                <w:sz w:val="20"/>
                <w:szCs w:val="20"/>
                <w:lang w:val="en-GB" w:eastAsia="en-US"/>
              </w:rPr>
              <w:t xml:space="preserve">The resubmission provided proposed restrictions that remained largely unchanged from those considered in July 2018. </w:t>
            </w:r>
          </w:p>
        </w:tc>
      </w:tr>
      <w:tr w:rsidR="001C3753" w:rsidRPr="00F16087" w:rsidTr="001C3753">
        <w:trPr>
          <w:trHeight w:val="422"/>
        </w:trPr>
        <w:tc>
          <w:tcPr>
            <w:tcW w:w="547" w:type="pct"/>
          </w:tcPr>
          <w:p w:rsidR="00123993" w:rsidRPr="00BB7C9F" w:rsidRDefault="00123993" w:rsidP="00DF7FCB">
            <w:pPr>
              <w:rPr>
                <w:rFonts w:ascii="Arial Narrow" w:hAnsi="Arial Narrow"/>
                <w:sz w:val="20"/>
                <w:szCs w:val="20"/>
              </w:rPr>
            </w:pPr>
            <w:r w:rsidRPr="00BB7C9F">
              <w:rPr>
                <w:rFonts w:ascii="Arial Narrow" w:hAnsi="Arial Narrow"/>
                <w:sz w:val="20"/>
                <w:szCs w:val="20"/>
              </w:rPr>
              <w:t>Requested effective DPMQs</w:t>
            </w:r>
          </w:p>
        </w:tc>
        <w:tc>
          <w:tcPr>
            <w:tcW w:w="2533" w:type="pct"/>
          </w:tcPr>
          <w:p w:rsidR="00123993" w:rsidRDefault="00123993" w:rsidP="00DF7FCB">
            <w:pPr>
              <w:rPr>
                <w:rFonts w:ascii="Arial Narrow" w:hAnsi="Arial Narrow" w:cs="Arial"/>
                <w:bCs/>
                <w:snapToGrid w:val="0"/>
                <w:sz w:val="20"/>
                <w:szCs w:val="20"/>
                <w:lang w:val="en-GB" w:eastAsia="en-US"/>
              </w:rPr>
            </w:pPr>
            <w:r>
              <w:rPr>
                <w:rFonts w:ascii="Arial Narrow" w:hAnsi="Arial Narrow" w:cs="Arial"/>
                <w:bCs/>
                <w:snapToGrid w:val="0"/>
                <w:sz w:val="20"/>
                <w:szCs w:val="20"/>
                <w:lang w:val="en-GB" w:eastAsia="en-US"/>
              </w:rPr>
              <w:t xml:space="preserve">DPMQ: </w:t>
            </w:r>
          </w:p>
          <w:p w:rsidR="00123993" w:rsidRPr="00391E0F" w:rsidRDefault="00123993" w:rsidP="00DF7FCB">
            <w:pPr>
              <w:keepNext/>
              <w:widowControl w:val="0"/>
              <w:rPr>
                <w:rFonts w:ascii="Arial Narrow" w:hAnsi="Arial Narrow" w:cs="Arial"/>
                <w:snapToGrid w:val="0"/>
                <w:sz w:val="20"/>
                <w:szCs w:val="22"/>
                <w:lang w:eastAsia="en-US"/>
              </w:rPr>
            </w:pPr>
            <w:r w:rsidRPr="00391E0F">
              <w:rPr>
                <w:rFonts w:ascii="Arial Narrow" w:hAnsi="Arial Narrow" w:cs="Arial"/>
                <w:snapToGrid w:val="0"/>
                <w:sz w:val="20"/>
                <w:szCs w:val="22"/>
                <w:lang w:eastAsia="en-US"/>
              </w:rPr>
              <w:t>Effective</w:t>
            </w:r>
          </w:p>
          <w:p w:rsidR="00123993" w:rsidRPr="00391E0F" w:rsidRDefault="00123993" w:rsidP="00DF7FCB">
            <w:pPr>
              <w:keepNext/>
              <w:widowControl w:val="0"/>
              <w:rPr>
                <w:rFonts w:ascii="Arial Narrow" w:hAnsi="Arial Narrow" w:cs="Arial"/>
                <w:snapToGrid w:val="0"/>
                <w:sz w:val="20"/>
                <w:szCs w:val="22"/>
                <w:lang w:eastAsia="en-US"/>
              </w:rPr>
            </w:pPr>
            <w:r w:rsidRPr="00391E0F">
              <w:rPr>
                <w:rFonts w:ascii="Arial Narrow" w:hAnsi="Arial Narrow" w:cs="Arial"/>
                <w:snapToGrid w:val="0"/>
                <w:sz w:val="20"/>
                <w:szCs w:val="22"/>
                <w:lang w:eastAsia="en-US"/>
              </w:rPr>
              <w:t>Private $</w:t>
            </w:r>
            <w:r w:rsidR="00146494">
              <w:rPr>
                <w:rFonts w:ascii="Arial Narrow" w:hAnsi="Arial Narrow" w:cs="Arial"/>
                <w:noProof/>
                <w:snapToGrid w:val="0"/>
                <w:color w:val="000000"/>
                <w:sz w:val="20"/>
                <w:szCs w:val="22"/>
                <w:highlight w:val="black"/>
                <w:lang w:eastAsia="en-US"/>
              </w:rPr>
              <w:t>'''''''''''''''''''''''</w:t>
            </w:r>
          </w:p>
          <w:p w:rsidR="00123993" w:rsidRPr="00391E0F" w:rsidRDefault="00123993" w:rsidP="00DF7FCB">
            <w:pPr>
              <w:keepNext/>
              <w:widowControl w:val="0"/>
              <w:rPr>
                <w:rFonts w:ascii="Arial Narrow" w:hAnsi="Arial Narrow" w:cs="Arial"/>
                <w:snapToGrid w:val="0"/>
                <w:sz w:val="20"/>
                <w:szCs w:val="22"/>
                <w:lang w:eastAsia="en-US"/>
              </w:rPr>
            </w:pPr>
            <w:r w:rsidRPr="00391E0F">
              <w:rPr>
                <w:rFonts w:ascii="Arial Narrow" w:hAnsi="Arial Narrow" w:cs="Arial"/>
                <w:snapToGrid w:val="0"/>
                <w:sz w:val="20"/>
                <w:szCs w:val="22"/>
                <w:lang w:eastAsia="en-US"/>
              </w:rPr>
              <w:t>Public $</w:t>
            </w:r>
            <w:r w:rsidR="00146494">
              <w:rPr>
                <w:rFonts w:ascii="Arial Narrow" w:hAnsi="Arial Narrow" w:cs="Arial"/>
                <w:noProof/>
                <w:snapToGrid w:val="0"/>
                <w:color w:val="000000"/>
                <w:sz w:val="20"/>
                <w:szCs w:val="22"/>
                <w:highlight w:val="black"/>
                <w:lang w:eastAsia="en-US"/>
              </w:rPr>
              <w:t>'''''''''''''''''''''''''</w:t>
            </w:r>
          </w:p>
          <w:p w:rsidR="00123993" w:rsidRPr="00391E0F" w:rsidRDefault="00123993" w:rsidP="00DF7FCB">
            <w:pPr>
              <w:keepNext/>
              <w:widowControl w:val="0"/>
              <w:rPr>
                <w:rFonts w:ascii="Arial Narrow" w:hAnsi="Arial Narrow" w:cs="Arial"/>
                <w:snapToGrid w:val="0"/>
                <w:sz w:val="20"/>
                <w:szCs w:val="22"/>
                <w:lang w:eastAsia="en-US"/>
              </w:rPr>
            </w:pPr>
            <w:r w:rsidRPr="00391E0F">
              <w:rPr>
                <w:rFonts w:ascii="Arial Narrow" w:hAnsi="Arial Narrow" w:cs="Arial"/>
                <w:snapToGrid w:val="0"/>
                <w:sz w:val="20"/>
                <w:szCs w:val="22"/>
                <w:lang w:eastAsia="en-US"/>
              </w:rPr>
              <w:t>Published</w:t>
            </w:r>
          </w:p>
          <w:p w:rsidR="00123993" w:rsidRPr="00391E0F" w:rsidRDefault="00123993" w:rsidP="00DF7FCB">
            <w:pPr>
              <w:keepNext/>
              <w:widowControl w:val="0"/>
              <w:rPr>
                <w:rFonts w:ascii="Arial Narrow" w:hAnsi="Arial Narrow" w:cs="Arial"/>
                <w:snapToGrid w:val="0"/>
                <w:sz w:val="20"/>
                <w:szCs w:val="22"/>
                <w:lang w:eastAsia="en-US"/>
              </w:rPr>
            </w:pPr>
            <w:r w:rsidRPr="00391E0F">
              <w:rPr>
                <w:rFonts w:ascii="Arial Narrow" w:hAnsi="Arial Narrow" w:cs="Arial"/>
                <w:snapToGrid w:val="0"/>
                <w:sz w:val="20"/>
                <w:szCs w:val="22"/>
                <w:lang w:eastAsia="en-US"/>
              </w:rPr>
              <w:t>Private $21,427.47</w:t>
            </w:r>
          </w:p>
          <w:p w:rsidR="00123993" w:rsidRDefault="00123993" w:rsidP="00DF7FCB">
            <w:pPr>
              <w:rPr>
                <w:rFonts w:ascii="Arial Narrow" w:hAnsi="Arial Narrow" w:cs="Arial"/>
                <w:bCs/>
                <w:snapToGrid w:val="0"/>
                <w:sz w:val="20"/>
                <w:szCs w:val="20"/>
                <w:lang w:val="en-GB" w:eastAsia="en-US"/>
              </w:rPr>
            </w:pPr>
            <w:r w:rsidRPr="00391E0F">
              <w:rPr>
                <w:rFonts w:ascii="Arial Narrow" w:hAnsi="Arial Narrow" w:cs="Arial"/>
                <w:snapToGrid w:val="0"/>
                <w:sz w:val="20"/>
                <w:szCs w:val="22"/>
                <w:lang w:eastAsia="en-US"/>
              </w:rPr>
              <w:t>Public $ 21,283.83</w:t>
            </w:r>
          </w:p>
          <w:p w:rsidR="00123993" w:rsidRPr="00376AAA" w:rsidRDefault="00123993" w:rsidP="00AB7FD2">
            <w:pPr>
              <w:rPr>
                <w:rFonts w:ascii="Arial Narrow" w:hAnsi="Arial Narrow" w:cs="Arial"/>
                <w:bCs/>
                <w:snapToGrid w:val="0"/>
                <w:sz w:val="20"/>
                <w:szCs w:val="20"/>
                <w:lang w:val="en-GB" w:eastAsia="en-US"/>
              </w:rPr>
            </w:pPr>
            <w:r w:rsidRPr="00391E0F">
              <w:rPr>
                <w:rFonts w:ascii="Arial Narrow" w:hAnsi="Arial Narrow" w:cs="Arial"/>
                <w:bCs/>
                <w:snapToGrid w:val="0"/>
                <w:sz w:val="20"/>
                <w:szCs w:val="20"/>
                <w:lang w:val="en-GB" w:eastAsia="en-US"/>
              </w:rPr>
              <w:t xml:space="preserve">The submission requested a </w:t>
            </w:r>
            <w:r>
              <w:rPr>
                <w:rFonts w:ascii="Arial Narrow" w:hAnsi="Arial Narrow" w:cs="Arial"/>
                <w:bCs/>
                <w:snapToGrid w:val="0"/>
                <w:sz w:val="20"/>
                <w:szCs w:val="20"/>
                <w:lang w:val="en-GB" w:eastAsia="en-US"/>
              </w:rPr>
              <w:t>SPA</w:t>
            </w:r>
            <w:r w:rsidRPr="00391E0F">
              <w:rPr>
                <w:rFonts w:ascii="Arial Narrow" w:hAnsi="Arial Narrow" w:cs="Arial"/>
                <w:bCs/>
                <w:snapToGrid w:val="0"/>
                <w:sz w:val="20"/>
                <w:szCs w:val="20"/>
                <w:lang w:val="en-GB" w:eastAsia="en-US"/>
              </w:rPr>
              <w:t xml:space="preserve"> where the current published approv</w:t>
            </w:r>
            <w:r>
              <w:rPr>
                <w:rFonts w:ascii="Arial Narrow" w:hAnsi="Arial Narrow" w:cs="Arial"/>
                <w:bCs/>
                <w:snapToGrid w:val="0"/>
                <w:sz w:val="20"/>
                <w:szCs w:val="20"/>
                <w:lang w:val="en-GB" w:eastAsia="en-US"/>
              </w:rPr>
              <w:t>ed ex-manufacturer price (AEMP)</w:t>
            </w:r>
            <w:r w:rsidRPr="00391E0F">
              <w:rPr>
                <w:rFonts w:ascii="Arial Narrow" w:hAnsi="Arial Narrow" w:cs="Arial"/>
                <w:bCs/>
                <w:snapToGrid w:val="0"/>
                <w:sz w:val="20"/>
                <w:szCs w:val="20"/>
                <w:lang w:val="en-GB" w:eastAsia="en-US"/>
              </w:rPr>
              <w:t xml:space="preserve"> of $5,300 per vial </w:t>
            </w:r>
            <w:proofErr w:type="gramStart"/>
            <w:r w:rsidRPr="00391E0F">
              <w:rPr>
                <w:rFonts w:ascii="Arial Narrow" w:hAnsi="Arial Narrow" w:cs="Arial"/>
                <w:bCs/>
                <w:snapToGrid w:val="0"/>
                <w:sz w:val="20"/>
                <w:szCs w:val="20"/>
                <w:lang w:val="en-GB" w:eastAsia="en-US"/>
              </w:rPr>
              <w:t>is maintained</w:t>
            </w:r>
            <w:proofErr w:type="gramEnd"/>
            <w:r w:rsidRPr="00391E0F">
              <w:rPr>
                <w:rFonts w:ascii="Arial Narrow" w:hAnsi="Arial Narrow" w:cs="Arial"/>
                <w:bCs/>
                <w:snapToGrid w:val="0"/>
                <w:sz w:val="20"/>
                <w:szCs w:val="20"/>
                <w:lang w:val="en-GB" w:eastAsia="en-US"/>
              </w:rPr>
              <w:t xml:space="preserve">. The proposed effective </w:t>
            </w:r>
            <w:r>
              <w:rPr>
                <w:rFonts w:ascii="Arial Narrow" w:hAnsi="Arial Narrow" w:cs="Arial"/>
                <w:bCs/>
                <w:snapToGrid w:val="0"/>
                <w:sz w:val="20"/>
                <w:szCs w:val="20"/>
                <w:lang w:val="en-GB" w:eastAsia="en-US"/>
              </w:rPr>
              <w:t>AEMP</w:t>
            </w:r>
            <w:r w:rsidRPr="00391E0F">
              <w:rPr>
                <w:rFonts w:ascii="Arial Narrow" w:hAnsi="Arial Narrow" w:cs="Arial"/>
                <w:bCs/>
                <w:snapToGrid w:val="0"/>
                <w:sz w:val="20"/>
                <w:szCs w:val="20"/>
                <w:lang w:val="en-GB" w:eastAsia="en-US"/>
              </w:rPr>
              <w:t xml:space="preserve"> is $</w:t>
            </w:r>
            <w:r w:rsidR="00146494">
              <w:rPr>
                <w:rFonts w:ascii="Arial Narrow" w:hAnsi="Arial Narrow" w:cs="Arial"/>
                <w:bCs/>
                <w:noProof/>
                <w:snapToGrid w:val="0"/>
                <w:color w:val="000000"/>
                <w:sz w:val="20"/>
                <w:szCs w:val="20"/>
                <w:highlight w:val="black"/>
                <w:lang w:val="en-GB" w:eastAsia="en-US"/>
              </w:rPr>
              <w:t>'''''''''''''</w:t>
            </w:r>
            <w:r w:rsidRPr="00391E0F">
              <w:rPr>
                <w:rFonts w:ascii="Arial Narrow" w:hAnsi="Arial Narrow" w:cs="Arial"/>
                <w:bCs/>
                <w:snapToGrid w:val="0"/>
                <w:sz w:val="20"/>
                <w:szCs w:val="20"/>
                <w:lang w:val="en-GB" w:eastAsia="en-US"/>
              </w:rPr>
              <w:t xml:space="preserve"> per vial.</w:t>
            </w:r>
            <w:r>
              <w:rPr>
                <w:rFonts w:ascii="Arial Narrow" w:hAnsi="Arial Narrow" w:cs="Arial"/>
                <w:bCs/>
                <w:snapToGrid w:val="0"/>
                <w:sz w:val="20"/>
                <w:szCs w:val="20"/>
                <w:lang w:val="en-GB" w:eastAsia="en-US"/>
              </w:rPr>
              <w:t xml:space="preserve"> The pre-PBAC response proposed a reduced AEMP of $</w:t>
            </w:r>
            <w:r w:rsidR="00146494">
              <w:rPr>
                <w:rFonts w:ascii="Arial Narrow" w:hAnsi="Arial Narrow" w:cs="Arial"/>
                <w:bCs/>
                <w:noProof/>
                <w:snapToGrid w:val="0"/>
                <w:color w:val="000000"/>
                <w:sz w:val="20"/>
                <w:szCs w:val="20"/>
                <w:highlight w:val="black"/>
                <w:lang w:val="en-GB" w:eastAsia="en-US"/>
              </w:rPr>
              <w:t>'''''''''''''''</w:t>
            </w:r>
            <w:r>
              <w:rPr>
                <w:rFonts w:ascii="Arial Narrow" w:hAnsi="Arial Narrow" w:cs="Arial"/>
                <w:bCs/>
                <w:snapToGrid w:val="0"/>
                <w:sz w:val="20"/>
                <w:szCs w:val="20"/>
                <w:lang w:val="en-GB" w:eastAsia="en-US"/>
              </w:rPr>
              <w:t xml:space="preserve"> per vial. </w:t>
            </w:r>
          </w:p>
        </w:tc>
        <w:tc>
          <w:tcPr>
            <w:tcW w:w="1920" w:type="pct"/>
          </w:tcPr>
          <w:p w:rsidR="00123993" w:rsidRDefault="00123993" w:rsidP="00DF7FCB">
            <w:pPr>
              <w:rPr>
                <w:rFonts w:ascii="Arial Narrow" w:hAnsi="Arial Narrow" w:cs="Arial"/>
                <w:bCs/>
                <w:snapToGrid w:val="0"/>
                <w:sz w:val="20"/>
                <w:szCs w:val="20"/>
                <w:lang w:val="en-GB" w:eastAsia="en-US"/>
              </w:rPr>
            </w:pPr>
            <w:r>
              <w:rPr>
                <w:rFonts w:ascii="Arial Narrow" w:hAnsi="Arial Narrow"/>
                <w:sz w:val="20"/>
              </w:rPr>
              <w:t>The resubmission proposed a</w:t>
            </w:r>
            <w:r>
              <w:rPr>
                <w:rFonts w:ascii="Arial Narrow" w:hAnsi="Arial Narrow" w:cs="Arial"/>
                <w:bCs/>
                <w:snapToGrid w:val="0"/>
                <w:sz w:val="20"/>
                <w:szCs w:val="20"/>
                <w:lang w:val="en-GB" w:eastAsia="en-US"/>
              </w:rPr>
              <w:t xml:space="preserve"> revised AEMP of $</w:t>
            </w:r>
            <w:r w:rsidR="00146494">
              <w:rPr>
                <w:rFonts w:ascii="Arial Narrow" w:hAnsi="Arial Narrow" w:cs="Arial"/>
                <w:bCs/>
                <w:noProof/>
                <w:snapToGrid w:val="0"/>
                <w:color w:val="000000"/>
                <w:sz w:val="20"/>
                <w:szCs w:val="20"/>
                <w:highlight w:val="black"/>
                <w:lang w:val="en-GB" w:eastAsia="en-US"/>
              </w:rPr>
              <w:t>''''''''''''''</w:t>
            </w:r>
            <w:r>
              <w:rPr>
                <w:rFonts w:ascii="Arial Narrow" w:hAnsi="Arial Narrow" w:cs="Arial"/>
                <w:bCs/>
                <w:snapToGrid w:val="0"/>
                <w:sz w:val="20"/>
                <w:szCs w:val="20"/>
                <w:lang w:val="en-GB" w:eastAsia="en-US"/>
              </w:rPr>
              <w:t xml:space="preserve"> per vial. This represents a </w:t>
            </w:r>
            <w:r w:rsidR="00146494">
              <w:rPr>
                <w:rFonts w:ascii="Arial Narrow" w:hAnsi="Arial Narrow" w:cs="Arial"/>
                <w:bCs/>
                <w:noProof/>
                <w:snapToGrid w:val="0"/>
                <w:color w:val="000000"/>
                <w:sz w:val="20"/>
                <w:szCs w:val="20"/>
                <w:highlight w:val="black"/>
                <w:lang w:val="en-GB" w:eastAsia="en-US"/>
              </w:rPr>
              <w:t>''''''</w:t>
            </w:r>
            <w:r>
              <w:rPr>
                <w:rFonts w:ascii="Arial Narrow" w:hAnsi="Arial Narrow" w:cs="Arial"/>
                <w:bCs/>
                <w:snapToGrid w:val="0"/>
                <w:sz w:val="20"/>
                <w:szCs w:val="20"/>
                <w:lang w:val="en-GB" w:eastAsia="en-US"/>
              </w:rPr>
              <w:t>% price reduction on the AEMP proposed in the July 2018 submission.</w:t>
            </w:r>
          </w:p>
          <w:p w:rsidR="00123993" w:rsidRDefault="00123993" w:rsidP="00DF7FCB">
            <w:pPr>
              <w:pStyle w:val="Default"/>
              <w:rPr>
                <w:rFonts w:ascii="Arial Narrow" w:hAnsi="Arial Narrow" w:cs="Arial"/>
                <w:bCs/>
                <w:snapToGrid w:val="0"/>
                <w:color w:val="auto"/>
                <w:sz w:val="20"/>
                <w:szCs w:val="20"/>
                <w:lang w:val="en-GB" w:eastAsia="en-US"/>
              </w:rPr>
            </w:pPr>
          </w:p>
          <w:p w:rsidR="00123993" w:rsidRPr="008E6036" w:rsidRDefault="00123993" w:rsidP="00DF7FCB">
            <w:pPr>
              <w:pStyle w:val="Default"/>
            </w:pPr>
            <w:r>
              <w:rPr>
                <w:rFonts w:ascii="Arial Narrow" w:hAnsi="Arial Narrow" w:cs="Arial"/>
                <w:bCs/>
                <w:snapToGrid w:val="0"/>
                <w:color w:val="auto"/>
                <w:sz w:val="20"/>
                <w:szCs w:val="20"/>
                <w:lang w:val="en-GB" w:eastAsia="en-US"/>
              </w:rPr>
              <w:t>The resubmission stated that the offer is contingent on:</w:t>
            </w:r>
          </w:p>
          <w:p w:rsidR="00123993" w:rsidRDefault="00123993" w:rsidP="00DF7FCB">
            <w:pPr>
              <w:pStyle w:val="Default"/>
              <w:rPr>
                <w:rFonts w:ascii="Arial Narrow" w:hAnsi="Arial Narrow" w:cs="Arial"/>
                <w:bCs/>
                <w:snapToGrid w:val="0"/>
                <w:color w:val="auto"/>
                <w:sz w:val="20"/>
                <w:szCs w:val="20"/>
                <w:lang w:val="en-GB" w:eastAsia="en-US"/>
              </w:rPr>
            </w:pPr>
            <w:r w:rsidRPr="008E6036">
              <w:rPr>
                <w:rFonts w:ascii="Arial Narrow" w:hAnsi="Arial Narrow" w:cs="Arial"/>
                <w:bCs/>
                <w:snapToGrid w:val="0"/>
                <w:color w:val="auto"/>
                <w:sz w:val="20"/>
                <w:szCs w:val="20"/>
                <w:lang w:val="en-GB" w:eastAsia="en-US"/>
              </w:rPr>
              <w:t xml:space="preserve">- The PBS listing covering all four CTCL subtypes, namely, MF, SS, </w:t>
            </w:r>
            <w:proofErr w:type="spellStart"/>
            <w:r w:rsidRPr="008E6036">
              <w:rPr>
                <w:rFonts w:ascii="Arial Narrow" w:hAnsi="Arial Narrow" w:cs="Arial"/>
                <w:bCs/>
                <w:snapToGrid w:val="0"/>
                <w:color w:val="auto"/>
                <w:sz w:val="20"/>
                <w:szCs w:val="20"/>
                <w:lang w:val="en-GB" w:eastAsia="en-US"/>
              </w:rPr>
              <w:t>pcALCL</w:t>
            </w:r>
            <w:proofErr w:type="spellEnd"/>
            <w:r w:rsidRPr="008E6036">
              <w:rPr>
                <w:rFonts w:ascii="Arial Narrow" w:hAnsi="Arial Narrow" w:cs="Arial"/>
                <w:bCs/>
                <w:snapToGrid w:val="0"/>
                <w:color w:val="auto"/>
                <w:sz w:val="20"/>
                <w:szCs w:val="20"/>
                <w:lang w:val="en-GB" w:eastAsia="en-US"/>
              </w:rPr>
              <w:t xml:space="preserve"> and </w:t>
            </w:r>
            <w:proofErr w:type="spellStart"/>
            <w:r w:rsidRPr="008E6036">
              <w:rPr>
                <w:rFonts w:ascii="Arial Narrow" w:hAnsi="Arial Narrow" w:cs="Arial"/>
                <w:bCs/>
                <w:snapToGrid w:val="0"/>
                <w:color w:val="auto"/>
                <w:sz w:val="20"/>
                <w:szCs w:val="20"/>
                <w:lang w:val="en-GB" w:eastAsia="en-US"/>
              </w:rPr>
              <w:t>LyP</w:t>
            </w:r>
            <w:proofErr w:type="spellEnd"/>
            <w:r w:rsidRPr="008E6036">
              <w:rPr>
                <w:rFonts w:ascii="Arial Narrow" w:hAnsi="Arial Narrow" w:cs="Arial"/>
                <w:bCs/>
                <w:snapToGrid w:val="0"/>
                <w:color w:val="auto"/>
                <w:sz w:val="20"/>
                <w:szCs w:val="20"/>
                <w:lang w:val="en-GB" w:eastAsia="en-US"/>
              </w:rPr>
              <w:t xml:space="preserve"> subtypes</w:t>
            </w:r>
            <w:r>
              <w:rPr>
                <w:rFonts w:ascii="Arial Narrow" w:hAnsi="Arial Narrow" w:cs="Arial"/>
                <w:bCs/>
                <w:snapToGrid w:val="0"/>
                <w:color w:val="auto"/>
                <w:sz w:val="20"/>
                <w:szCs w:val="20"/>
                <w:lang w:val="en-GB" w:eastAsia="en-US"/>
              </w:rPr>
              <w:t>;</w:t>
            </w:r>
            <w:r w:rsidR="00D47CAA">
              <w:rPr>
                <w:rFonts w:ascii="Arial Narrow" w:hAnsi="Arial Narrow" w:cs="Arial"/>
                <w:bCs/>
                <w:snapToGrid w:val="0"/>
                <w:color w:val="auto"/>
                <w:sz w:val="20"/>
                <w:szCs w:val="20"/>
                <w:lang w:val="en-GB" w:eastAsia="en-US"/>
              </w:rPr>
              <w:t xml:space="preserve"> and</w:t>
            </w:r>
          </w:p>
          <w:p w:rsidR="00123993" w:rsidRPr="00123993" w:rsidRDefault="00123993" w:rsidP="00123993">
            <w:pPr>
              <w:pStyle w:val="Default"/>
              <w:rPr>
                <w:rFonts w:ascii="Arial Narrow" w:hAnsi="Arial Narrow" w:cs="Arial"/>
                <w:bCs/>
                <w:snapToGrid w:val="0"/>
                <w:color w:val="auto"/>
                <w:sz w:val="20"/>
                <w:szCs w:val="20"/>
                <w:lang w:val="en-GB" w:eastAsia="en-US"/>
              </w:rPr>
            </w:pPr>
            <w:r>
              <w:rPr>
                <w:rFonts w:ascii="Arial Narrow" w:hAnsi="Arial Narrow" w:cs="Arial"/>
                <w:bCs/>
                <w:snapToGrid w:val="0"/>
                <w:color w:val="auto"/>
                <w:sz w:val="20"/>
                <w:szCs w:val="20"/>
                <w:lang w:val="en-GB" w:eastAsia="en-US"/>
              </w:rPr>
              <w:t xml:space="preserve">- Granting of the sponsors request for a SPA. </w:t>
            </w:r>
          </w:p>
        </w:tc>
      </w:tr>
      <w:tr w:rsidR="001C3753" w:rsidRPr="00F16087" w:rsidTr="001C3753">
        <w:trPr>
          <w:trHeight w:val="483"/>
        </w:trPr>
        <w:tc>
          <w:tcPr>
            <w:tcW w:w="547" w:type="pct"/>
          </w:tcPr>
          <w:p w:rsidR="00123993" w:rsidRPr="00BB7C9F" w:rsidRDefault="00123993" w:rsidP="00DF7FCB">
            <w:pPr>
              <w:rPr>
                <w:rFonts w:ascii="Arial Narrow" w:hAnsi="Arial Narrow"/>
                <w:sz w:val="20"/>
                <w:szCs w:val="20"/>
              </w:rPr>
            </w:pPr>
            <w:r w:rsidRPr="00BB7C9F">
              <w:rPr>
                <w:rFonts w:ascii="Arial Narrow" w:hAnsi="Arial Narrow"/>
                <w:sz w:val="20"/>
                <w:szCs w:val="20"/>
              </w:rPr>
              <w:t>Comparator</w:t>
            </w:r>
          </w:p>
        </w:tc>
        <w:tc>
          <w:tcPr>
            <w:tcW w:w="2533" w:type="pct"/>
          </w:tcPr>
          <w:p w:rsidR="00123993" w:rsidRDefault="00123993" w:rsidP="00DF7FCB">
            <w:pPr>
              <w:rPr>
                <w:rFonts w:ascii="Arial Narrow" w:hAnsi="Arial Narrow" w:cs="Arial"/>
                <w:bCs/>
                <w:snapToGrid w:val="0"/>
                <w:sz w:val="20"/>
                <w:szCs w:val="20"/>
                <w:lang w:val="en-GB" w:eastAsia="en-US"/>
              </w:rPr>
            </w:pPr>
            <w:proofErr w:type="spellStart"/>
            <w:r w:rsidRPr="00F44738">
              <w:rPr>
                <w:rFonts w:ascii="Arial Narrow" w:hAnsi="Arial Narrow" w:cs="Arial"/>
                <w:bCs/>
                <w:snapToGrid w:val="0"/>
                <w:sz w:val="20"/>
                <w:szCs w:val="20"/>
                <w:lang w:val="en-GB" w:eastAsia="en-US"/>
              </w:rPr>
              <w:t>V</w:t>
            </w:r>
            <w:r w:rsidR="00D47CAA">
              <w:rPr>
                <w:rFonts w:ascii="Arial Narrow" w:hAnsi="Arial Narrow" w:cs="Arial"/>
                <w:bCs/>
                <w:snapToGrid w:val="0"/>
                <w:sz w:val="20"/>
                <w:szCs w:val="20"/>
                <w:lang w:val="en-GB" w:eastAsia="en-US"/>
              </w:rPr>
              <w:t>orinostat</w:t>
            </w:r>
            <w:proofErr w:type="spellEnd"/>
            <w:r w:rsidR="00D47CAA">
              <w:rPr>
                <w:rFonts w:ascii="Arial Narrow" w:hAnsi="Arial Narrow" w:cs="Arial"/>
                <w:bCs/>
                <w:snapToGrid w:val="0"/>
                <w:sz w:val="20"/>
                <w:szCs w:val="20"/>
                <w:lang w:val="en-GB" w:eastAsia="en-US"/>
              </w:rPr>
              <w:t xml:space="preserve"> (primary comparator).</w:t>
            </w:r>
          </w:p>
          <w:p w:rsidR="00123993" w:rsidRDefault="00123993" w:rsidP="00DF7FCB">
            <w:pPr>
              <w:rPr>
                <w:rFonts w:ascii="Arial Narrow" w:hAnsi="Arial Narrow" w:cs="Arial"/>
                <w:bCs/>
                <w:snapToGrid w:val="0"/>
                <w:sz w:val="20"/>
                <w:szCs w:val="20"/>
                <w:lang w:val="en-GB" w:eastAsia="en-US"/>
              </w:rPr>
            </w:pPr>
            <w:r w:rsidRPr="00D0070D">
              <w:rPr>
                <w:rFonts w:ascii="Arial Narrow" w:hAnsi="Arial Narrow" w:cs="Arial"/>
                <w:b/>
                <w:bCs/>
                <w:snapToGrid w:val="0"/>
                <w:sz w:val="20"/>
                <w:szCs w:val="20"/>
                <w:lang w:val="en-GB" w:eastAsia="en-US"/>
              </w:rPr>
              <w:t>PBAC comment</w:t>
            </w:r>
            <w:r>
              <w:rPr>
                <w:rFonts w:ascii="Arial Narrow" w:hAnsi="Arial Narrow" w:cs="Arial"/>
                <w:bCs/>
                <w:snapToGrid w:val="0"/>
                <w:sz w:val="20"/>
                <w:szCs w:val="20"/>
                <w:lang w:val="en-GB" w:eastAsia="en-US"/>
              </w:rPr>
              <w:t xml:space="preserve">: (paragraph 7.5) </w:t>
            </w:r>
            <w:r w:rsidRPr="00D0070D">
              <w:rPr>
                <w:rFonts w:ascii="Arial Narrow" w:hAnsi="Arial Narrow" w:cs="Arial"/>
                <w:bCs/>
                <w:snapToGrid w:val="0"/>
                <w:sz w:val="20"/>
                <w:szCs w:val="20"/>
                <w:lang w:val="en-GB" w:eastAsia="en-US"/>
              </w:rPr>
              <w:t xml:space="preserve">The PBAC agreed with the ESC that this was appropriate for the MF and SS subtypes of CTCL only as patients with </w:t>
            </w:r>
            <w:proofErr w:type="spellStart"/>
            <w:r w:rsidRPr="00D0070D">
              <w:rPr>
                <w:rFonts w:ascii="Arial Narrow" w:hAnsi="Arial Narrow" w:cs="Arial"/>
                <w:bCs/>
                <w:snapToGrid w:val="0"/>
                <w:sz w:val="20"/>
                <w:szCs w:val="20"/>
                <w:lang w:val="en-GB" w:eastAsia="en-US"/>
              </w:rPr>
              <w:t>pcALCL</w:t>
            </w:r>
            <w:proofErr w:type="spellEnd"/>
            <w:r w:rsidRPr="00D0070D">
              <w:rPr>
                <w:rFonts w:ascii="Arial Narrow" w:hAnsi="Arial Narrow" w:cs="Arial"/>
                <w:bCs/>
                <w:snapToGrid w:val="0"/>
                <w:sz w:val="20"/>
                <w:szCs w:val="20"/>
                <w:lang w:val="en-GB" w:eastAsia="en-US"/>
              </w:rPr>
              <w:t xml:space="preserve"> and </w:t>
            </w:r>
            <w:proofErr w:type="spellStart"/>
            <w:r w:rsidRPr="00D0070D">
              <w:rPr>
                <w:rFonts w:ascii="Arial Narrow" w:hAnsi="Arial Narrow" w:cs="Arial"/>
                <w:bCs/>
                <w:snapToGrid w:val="0"/>
                <w:sz w:val="20"/>
                <w:szCs w:val="20"/>
                <w:lang w:val="en-GB" w:eastAsia="en-US"/>
              </w:rPr>
              <w:t>LyP</w:t>
            </w:r>
            <w:proofErr w:type="spellEnd"/>
            <w:r w:rsidRPr="00D0070D">
              <w:rPr>
                <w:rFonts w:ascii="Arial Narrow" w:hAnsi="Arial Narrow" w:cs="Arial"/>
                <w:bCs/>
                <w:snapToGrid w:val="0"/>
                <w:sz w:val="20"/>
                <w:szCs w:val="20"/>
                <w:lang w:val="en-GB" w:eastAsia="en-US"/>
              </w:rPr>
              <w:t xml:space="preserve"> were not included in the </w:t>
            </w:r>
            <w:proofErr w:type="spellStart"/>
            <w:r w:rsidRPr="00D0070D">
              <w:rPr>
                <w:rFonts w:ascii="Arial Narrow" w:hAnsi="Arial Narrow" w:cs="Arial"/>
                <w:bCs/>
                <w:snapToGrid w:val="0"/>
                <w:sz w:val="20"/>
                <w:szCs w:val="20"/>
                <w:lang w:val="en-GB" w:eastAsia="en-US"/>
              </w:rPr>
              <w:t>vorinostat</w:t>
            </w:r>
            <w:proofErr w:type="spellEnd"/>
            <w:r w:rsidRPr="00D0070D">
              <w:rPr>
                <w:rFonts w:ascii="Arial Narrow" w:hAnsi="Arial Narrow" w:cs="Arial"/>
                <w:bCs/>
                <w:snapToGrid w:val="0"/>
                <w:sz w:val="20"/>
                <w:szCs w:val="20"/>
                <w:lang w:val="en-GB" w:eastAsia="en-US"/>
              </w:rPr>
              <w:t xml:space="preserve"> trial. The PBAC considered that it was unclear whether </w:t>
            </w:r>
            <w:proofErr w:type="spellStart"/>
            <w:r w:rsidRPr="00D0070D">
              <w:rPr>
                <w:rFonts w:ascii="Arial Narrow" w:hAnsi="Arial Narrow" w:cs="Arial"/>
                <w:bCs/>
                <w:snapToGrid w:val="0"/>
                <w:sz w:val="20"/>
                <w:szCs w:val="20"/>
                <w:lang w:val="en-GB" w:eastAsia="en-US"/>
              </w:rPr>
              <w:t>vorinostat</w:t>
            </w:r>
            <w:proofErr w:type="spellEnd"/>
            <w:r w:rsidRPr="00D0070D">
              <w:rPr>
                <w:rFonts w:ascii="Arial Narrow" w:hAnsi="Arial Narrow" w:cs="Arial"/>
                <w:bCs/>
                <w:snapToGrid w:val="0"/>
                <w:sz w:val="20"/>
                <w:szCs w:val="20"/>
                <w:lang w:val="en-GB" w:eastAsia="en-US"/>
              </w:rPr>
              <w:t xml:space="preserve"> </w:t>
            </w:r>
            <w:proofErr w:type="gramStart"/>
            <w:r w:rsidRPr="00D0070D">
              <w:rPr>
                <w:rFonts w:ascii="Arial Narrow" w:hAnsi="Arial Narrow" w:cs="Arial"/>
                <w:bCs/>
                <w:snapToGrid w:val="0"/>
                <w:sz w:val="20"/>
                <w:szCs w:val="20"/>
                <w:lang w:val="en-GB" w:eastAsia="en-US"/>
              </w:rPr>
              <w:t>is used</w:t>
            </w:r>
            <w:proofErr w:type="gramEnd"/>
            <w:r w:rsidRPr="00D0070D">
              <w:rPr>
                <w:rFonts w:ascii="Arial Narrow" w:hAnsi="Arial Narrow" w:cs="Arial"/>
                <w:bCs/>
                <w:snapToGrid w:val="0"/>
                <w:sz w:val="20"/>
                <w:szCs w:val="20"/>
                <w:lang w:val="en-GB" w:eastAsia="en-US"/>
              </w:rPr>
              <w:t xml:space="preserve"> to treat </w:t>
            </w:r>
            <w:proofErr w:type="spellStart"/>
            <w:r w:rsidRPr="00D0070D">
              <w:rPr>
                <w:rFonts w:ascii="Arial Narrow" w:hAnsi="Arial Narrow" w:cs="Arial"/>
                <w:bCs/>
                <w:snapToGrid w:val="0"/>
                <w:sz w:val="20"/>
                <w:szCs w:val="20"/>
                <w:lang w:val="en-GB" w:eastAsia="en-US"/>
              </w:rPr>
              <w:t>pcALCL</w:t>
            </w:r>
            <w:proofErr w:type="spellEnd"/>
            <w:r w:rsidRPr="00D0070D">
              <w:rPr>
                <w:rFonts w:ascii="Arial Narrow" w:hAnsi="Arial Narrow" w:cs="Arial"/>
                <w:bCs/>
                <w:snapToGrid w:val="0"/>
                <w:sz w:val="20"/>
                <w:szCs w:val="20"/>
                <w:lang w:val="en-GB" w:eastAsia="en-US"/>
              </w:rPr>
              <w:t xml:space="preserve"> and </w:t>
            </w:r>
            <w:proofErr w:type="spellStart"/>
            <w:r w:rsidRPr="00D0070D">
              <w:rPr>
                <w:rFonts w:ascii="Arial Narrow" w:hAnsi="Arial Narrow" w:cs="Arial"/>
                <w:bCs/>
                <w:snapToGrid w:val="0"/>
                <w:sz w:val="20"/>
                <w:szCs w:val="20"/>
                <w:lang w:val="en-GB" w:eastAsia="en-US"/>
              </w:rPr>
              <w:t>LyP</w:t>
            </w:r>
            <w:proofErr w:type="spellEnd"/>
            <w:r w:rsidRPr="00D0070D">
              <w:rPr>
                <w:rFonts w:ascii="Arial Narrow" w:hAnsi="Arial Narrow" w:cs="Arial"/>
                <w:bCs/>
                <w:snapToGrid w:val="0"/>
                <w:sz w:val="20"/>
                <w:szCs w:val="20"/>
                <w:lang w:val="en-GB" w:eastAsia="en-US"/>
              </w:rPr>
              <w:t xml:space="preserve"> in Australian clinical practice although the </w:t>
            </w:r>
            <w:proofErr w:type="spellStart"/>
            <w:r w:rsidRPr="00D0070D">
              <w:rPr>
                <w:rFonts w:ascii="Arial Narrow" w:hAnsi="Arial Narrow" w:cs="Arial"/>
                <w:bCs/>
                <w:snapToGrid w:val="0"/>
                <w:sz w:val="20"/>
                <w:szCs w:val="20"/>
                <w:lang w:val="en-GB" w:eastAsia="en-US"/>
              </w:rPr>
              <w:t>vorinostat</w:t>
            </w:r>
            <w:proofErr w:type="spellEnd"/>
            <w:r w:rsidRPr="00D0070D">
              <w:rPr>
                <w:rFonts w:ascii="Arial Narrow" w:hAnsi="Arial Narrow" w:cs="Arial"/>
                <w:bCs/>
                <w:snapToGrid w:val="0"/>
                <w:sz w:val="20"/>
                <w:szCs w:val="20"/>
                <w:lang w:val="en-GB" w:eastAsia="en-US"/>
              </w:rPr>
              <w:t xml:space="preserve"> PBS listing also allows use in these subtypes. The PBAC also considered that the use of </w:t>
            </w:r>
            <w:proofErr w:type="spellStart"/>
            <w:r w:rsidRPr="00D0070D">
              <w:rPr>
                <w:rFonts w:ascii="Arial Narrow" w:hAnsi="Arial Narrow" w:cs="Arial"/>
                <w:bCs/>
                <w:snapToGrid w:val="0"/>
                <w:sz w:val="20"/>
                <w:szCs w:val="20"/>
                <w:lang w:val="en-GB" w:eastAsia="en-US"/>
              </w:rPr>
              <w:t>vorinostat</w:t>
            </w:r>
            <w:proofErr w:type="spellEnd"/>
            <w:r w:rsidRPr="00D0070D">
              <w:rPr>
                <w:rFonts w:ascii="Arial Narrow" w:hAnsi="Arial Narrow" w:cs="Arial"/>
                <w:bCs/>
                <w:snapToGrid w:val="0"/>
                <w:sz w:val="20"/>
                <w:szCs w:val="20"/>
                <w:lang w:val="en-GB" w:eastAsia="en-US"/>
              </w:rPr>
              <w:t xml:space="preserve"> as a comparator in this submission </w:t>
            </w:r>
            <w:proofErr w:type="gramStart"/>
            <w:r w:rsidRPr="00D0070D">
              <w:rPr>
                <w:rFonts w:ascii="Arial Narrow" w:hAnsi="Arial Narrow" w:cs="Arial"/>
                <w:bCs/>
                <w:snapToGrid w:val="0"/>
                <w:sz w:val="20"/>
                <w:szCs w:val="20"/>
                <w:lang w:val="en-GB" w:eastAsia="en-US"/>
              </w:rPr>
              <w:t>was limited</w:t>
            </w:r>
            <w:proofErr w:type="gramEnd"/>
            <w:r w:rsidRPr="00D0070D">
              <w:rPr>
                <w:rFonts w:ascii="Arial Narrow" w:hAnsi="Arial Narrow" w:cs="Arial"/>
                <w:bCs/>
                <w:snapToGrid w:val="0"/>
                <w:sz w:val="20"/>
                <w:szCs w:val="20"/>
                <w:lang w:val="en-GB" w:eastAsia="en-US"/>
              </w:rPr>
              <w:t xml:space="preserve"> by the fact that, unlike </w:t>
            </w:r>
            <w:proofErr w:type="spellStart"/>
            <w:r w:rsidRPr="00D0070D">
              <w:rPr>
                <w:rFonts w:ascii="Arial Narrow" w:hAnsi="Arial Narrow" w:cs="Arial"/>
                <w:bCs/>
                <w:snapToGrid w:val="0"/>
                <w:sz w:val="20"/>
                <w:szCs w:val="20"/>
                <w:lang w:val="en-GB" w:eastAsia="en-US"/>
              </w:rPr>
              <w:t>brentuximab</w:t>
            </w:r>
            <w:proofErr w:type="spellEnd"/>
            <w:r w:rsidRPr="00D0070D">
              <w:rPr>
                <w:rFonts w:ascii="Arial Narrow" w:hAnsi="Arial Narrow" w:cs="Arial"/>
                <w:bCs/>
                <w:snapToGrid w:val="0"/>
                <w:sz w:val="20"/>
                <w:szCs w:val="20"/>
                <w:lang w:val="en-GB" w:eastAsia="en-US"/>
              </w:rPr>
              <w:t xml:space="preserve"> </w:t>
            </w:r>
            <w:proofErr w:type="spellStart"/>
            <w:r w:rsidRPr="00D0070D">
              <w:rPr>
                <w:rFonts w:ascii="Arial Narrow" w:hAnsi="Arial Narrow" w:cs="Arial"/>
                <w:bCs/>
                <w:snapToGrid w:val="0"/>
                <w:sz w:val="20"/>
                <w:szCs w:val="20"/>
                <w:lang w:val="en-GB" w:eastAsia="en-US"/>
              </w:rPr>
              <w:t>vedotin</w:t>
            </w:r>
            <w:proofErr w:type="spellEnd"/>
            <w:r w:rsidRPr="00D0070D">
              <w:rPr>
                <w:rFonts w:ascii="Arial Narrow" w:hAnsi="Arial Narrow" w:cs="Arial"/>
                <w:bCs/>
                <w:snapToGrid w:val="0"/>
                <w:sz w:val="20"/>
                <w:szCs w:val="20"/>
                <w:lang w:val="en-GB" w:eastAsia="en-US"/>
              </w:rPr>
              <w:t>, its use was not restricted to CD30 positive CTCL.</w:t>
            </w:r>
          </w:p>
          <w:p w:rsidR="00123993" w:rsidRDefault="00123993" w:rsidP="00DF7FCB">
            <w:pPr>
              <w:rPr>
                <w:rFonts w:ascii="Arial Narrow" w:hAnsi="Arial Narrow" w:cs="Arial"/>
                <w:bCs/>
                <w:snapToGrid w:val="0"/>
                <w:sz w:val="20"/>
                <w:szCs w:val="20"/>
                <w:lang w:val="en-GB" w:eastAsia="en-US"/>
              </w:rPr>
            </w:pPr>
          </w:p>
          <w:p w:rsidR="00123993" w:rsidRDefault="00123993" w:rsidP="00DF7FCB">
            <w:pPr>
              <w:rPr>
                <w:rFonts w:ascii="Arial Narrow" w:hAnsi="Arial Narrow" w:cs="Arial"/>
                <w:bCs/>
                <w:snapToGrid w:val="0"/>
                <w:sz w:val="20"/>
                <w:szCs w:val="20"/>
                <w:lang w:val="en-GB" w:eastAsia="en-US"/>
              </w:rPr>
            </w:pPr>
            <w:proofErr w:type="spellStart"/>
            <w:r w:rsidRPr="00F44738">
              <w:rPr>
                <w:rFonts w:ascii="Arial Narrow" w:hAnsi="Arial Narrow" w:cs="Arial"/>
                <w:bCs/>
                <w:snapToGrid w:val="0"/>
                <w:sz w:val="20"/>
                <w:szCs w:val="20"/>
                <w:lang w:val="en-GB" w:eastAsia="en-US"/>
              </w:rPr>
              <w:t>Methotrexate</w:t>
            </w:r>
            <w:proofErr w:type="spellEnd"/>
            <w:r w:rsidRPr="00F44738">
              <w:rPr>
                <w:rFonts w:ascii="Arial Narrow" w:hAnsi="Arial Narrow" w:cs="Arial"/>
                <w:bCs/>
                <w:snapToGrid w:val="0"/>
                <w:sz w:val="20"/>
                <w:szCs w:val="20"/>
                <w:lang w:val="en-GB" w:eastAsia="en-US"/>
              </w:rPr>
              <w:t xml:space="preserve"> (supplementary comparator)</w:t>
            </w:r>
            <w:r>
              <w:rPr>
                <w:rFonts w:ascii="Arial Narrow" w:hAnsi="Arial Narrow" w:cs="Arial"/>
                <w:bCs/>
                <w:snapToGrid w:val="0"/>
                <w:sz w:val="20"/>
                <w:szCs w:val="20"/>
                <w:lang w:val="en-GB" w:eastAsia="en-US"/>
              </w:rPr>
              <w:t>.</w:t>
            </w:r>
          </w:p>
          <w:p w:rsidR="00123993" w:rsidRPr="00D0070D" w:rsidRDefault="00123993" w:rsidP="00DF7FCB">
            <w:pPr>
              <w:rPr>
                <w:rFonts w:ascii="Arial Narrow" w:hAnsi="Arial Narrow" w:cs="Arial"/>
                <w:bCs/>
                <w:snapToGrid w:val="0"/>
                <w:sz w:val="20"/>
                <w:szCs w:val="20"/>
                <w:lang w:val="en-GB" w:eastAsia="en-US"/>
              </w:rPr>
            </w:pPr>
            <w:r w:rsidRPr="00D0070D">
              <w:rPr>
                <w:rFonts w:ascii="Arial Narrow" w:hAnsi="Arial Narrow" w:cs="Arial"/>
                <w:b/>
                <w:bCs/>
                <w:snapToGrid w:val="0"/>
                <w:sz w:val="20"/>
                <w:szCs w:val="20"/>
                <w:lang w:val="en-GB" w:eastAsia="en-US"/>
              </w:rPr>
              <w:t>PBAC comment:</w:t>
            </w:r>
            <w:r>
              <w:rPr>
                <w:rFonts w:ascii="Arial Narrow" w:hAnsi="Arial Narrow" w:cs="Arial"/>
                <w:b/>
                <w:bCs/>
                <w:snapToGrid w:val="0"/>
                <w:sz w:val="20"/>
                <w:szCs w:val="20"/>
                <w:lang w:val="en-GB" w:eastAsia="en-US"/>
              </w:rPr>
              <w:t xml:space="preserve"> </w:t>
            </w:r>
            <w:r>
              <w:rPr>
                <w:rFonts w:ascii="Arial Narrow" w:hAnsi="Arial Narrow" w:cs="Arial"/>
                <w:bCs/>
                <w:snapToGrid w:val="0"/>
                <w:sz w:val="20"/>
                <w:szCs w:val="20"/>
                <w:lang w:val="en-GB" w:eastAsia="en-US"/>
              </w:rPr>
              <w:t xml:space="preserve">(paragraph 7.6) </w:t>
            </w:r>
            <w:r w:rsidRPr="00D0070D">
              <w:rPr>
                <w:rFonts w:ascii="Arial Narrow" w:hAnsi="Arial Narrow" w:cs="Arial"/>
                <w:bCs/>
                <w:snapToGrid w:val="0"/>
                <w:sz w:val="20"/>
                <w:szCs w:val="20"/>
                <w:lang w:val="en-GB" w:eastAsia="en-US"/>
              </w:rPr>
              <w:t>The PBAC considered that the best comparative evidence available in this submission was for patients treated with methotrexate, which the PBAC accepted as one of the standard therapies in Australia for this rare condition.</w:t>
            </w:r>
            <w:r w:rsidRPr="004527CE">
              <w:rPr>
                <w:color w:val="000000" w:themeColor="text1"/>
              </w:rPr>
              <w:t xml:space="preserve"> </w:t>
            </w:r>
            <w:r>
              <w:rPr>
                <w:color w:val="000000" w:themeColor="text1"/>
              </w:rPr>
              <w:t xml:space="preserve"> </w:t>
            </w:r>
          </w:p>
        </w:tc>
        <w:tc>
          <w:tcPr>
            <w:tcW w:w="1920" w:type="pct"/>
          </w:tcPr>
          <w:p w:rsidR="00123993" w:rsidRPr="00451DCB" w:rsidRDefault="00123993" w:rsidP="00DF7FCB">
            <w:pPr>
              <w:rPr>
                <w:rFonts w:ascii="Arial Narrow" w:hAnsi="Arial Narrow"/>
                <w:sz w:val="20"/>
              </w:rPr>
            </w:pPr>
            <w:r w:rsidRPr="00451DCB">
              <w:rPr>
                <w:rFonts w:ascii="Arial Narrow" w:hAnsi="Arial Narrow"/>
                <w:sz w:val="20"/>
              </w:rPr>
              <w:t>Unchanged.</w:t>
            </w:r>
          </w:p>
        </w:tc>
      </w:tr>
      <w:tr w:rsidR="001C3753" w:rsidRPr="00F16087" w:rsidTr="001C3753">
        <w:trPr>
          <w:trHeight w:val="860"/>
        </w:trPr>
        <w:tc>
          <w:tcPr>
            <w:tcW w:w="547" w:type="pct"/>
          </w:tcPr>
          <w:p w:rsidR="00123993" w:rsidRPr="00BB7C9F" w:rsidRDefault="00123993" w:rsidP="00DF7FCB">
            <w:pPr>
              <w:rPr>
                <w:rFonts w:ascii="Arial Narrow" w:hAnsi="Arial Narrow"/>
                <w:sz w:val="20"/>
                <w:szCs w:val="20"/>
                <w:highlight w:val="yellow"/>
              </w:rPr>
            </w:pPr>
            <w:r w:rsidRPr="00BB7C9F">
              <w:rPr>
                <w:rFonts w:ascii="Arial Narrow" w:hAnsi="Arial Narrow"/>
                <w:sz w:val="20"/>
                <w:szCs w:val="20"/>
              </w:rPr>
              <w:lastRenderedPageBreak/>
              <w:t>Clinical evidence</w:t>
            </w:r>
          </w:p>
        </w:tc>
        <w:tc>
          <w:tcPr>
            <w:tcW w:w="2533" w:type="pct"/>
          </w:tcPr>
          <w:p w:rsidR="00123993" w:rsidRDefault="00123993" w:rsidP="00DF7FCB">
            <w:pPr>
              <w:rPr>
                <w:rFonts w:ascii="Arial Narrow" w:hAnsi="Arial Narrow" w:cs="Arial"/>
                <w:bCs/>
                <w:snapToGrid w:val="0"/>
                <w:sz w:val="20"/>
                <w:szCs w:val="20"/>
                <w:lang w:val="en-GB" w:eastAsia="en-US"/>
              </w:rPr>
            </w:pPr>
            <w:r w:rsidRPr="00451DCB">
              <w:rPr>
                <w:rFonts w:ascii="Arial Narrow" w:hAnsi="Arial Narrow" w:cs="Arial"/>
                <w:bCs/>
                <w:snapToGrid w:val="0"/>
                <w:sz w:val="20"/>
                <w:szCs w:val="20"/>
                <w:lang w:val="en-GB" w:eastAsia="en-US"/>
              </w:rPr>
              <w:t xml:space="preserve">The submission’s primary comparison was a naïve comparison of the </w:t>
            </w:r>
            <w:proofErr w:type="spellStart"/>
            <w:r w:rsidRPr="00451DCB">
              <w:rPr>
                <w:rFonts w:ascii="Arial Narrow" w:hAnsi="Arial Narrow" w:cs="Arial"/>
                <w:bCs/>
                <w:snapToGrid w:val="0"/>
                <w:sz w:val="20"/>
                <w:szCs w:val="20"/>
                <w:lang w:val="en-GB" w:eastAsia="en-US"/>
              </w:rPr>
              <w:t>brentuximab</w:t>
            </w:r>
            <w:proofErr w:type="spellEnd"/>
            <w:r w:rsidRPr="00451DCB">
              <w:rPr>
                <w:rFonts w:ascii="Arial Narrow" w:hAnsi="Arial Narrow" w:cs="Arial"/>
                <w:bCs/>
                <w:snapToGrid w:val="0"/>
                <w:sz w:val="20"/>
                <w:szCs w:val="20"/>
                <w:lang w:val="en-GB" w:eastAsia="en-US"/>
              </w:rPr>
              <w:t xml:space="preserve"> </w:t>
            </w:r>
            <w:proofErr w:type="spellStart"/>
            <w:r w:rsidRPr="00451DCB">
              <w:rPr>
                <w:rFonts w:ascii="Arial Narrow" w:hAnsi="Arial Narrow" w:cs="Arial"/>
                <w:bCs/>
                <w:snapToGrid w:val="0"/>
                <w:sz w:val="20"/>
                <w:szCs w:val="20"/>
                <w:lang w:val="en-GB" w:eastAsia="en-US"/>
              </w:rPr>
              <w:t>vedotin</w:t>
            </w:r>
            <w:proofErr w:type="spellEnd"/>
            <w:r w:rsidRPr="00451DCB">
              <w:rPr>
                <w:rFonts w:ascii="Arial Narrow" w:hAnsi="Arial Narrow" w:cs="Arial"/>
                <w:bCs/>
                <w:snapToGrid w:val="0"/>
                <w:sz w:val="20"/>
                <w:szCs w:val="20"/>
                <w:lang w:val="en-GB" w:eastAsia="en-US"/>
              </w:rPr>
              <w:t xml:space="preserve"> arm of the Phase III, open-label ALCANZA ra</w:t>
            </w:r>
            <w:r>
              <w:rPr>
                <w:rFonts w:ascii="Arial Narrow" w:hAnsi="Arial Narrow" w:cs="Arial"/>
                <w:bCs/>
                <w:snapToGrid w:val="0"/>
                <w:sz w:val="20"/>
                <w:szCs w:val="20"/>
                <w:lang w:val="en-GB" w:eastAsia="en-US"/>
              </w:rPr>
              <w:t xml:space="preserve">ndomised controlled trial </w:t>
            </w:r>
            <w:r w:rsidRPr="00451DCB">
              <w:rPr>
                <w:rFonts w:ascii="Arial Narrow" w:hAnsi="Arial Narrow" w:cs="Arial"/>
                <w:bCs/>
                <w:snapToGrid w:val="0"/>
                <w:sz w:val="20"/>
                <w:szCs w:val="20"/>
                <w:lang w:val="en-GB" w:eastAsia="en-US"/>
              </w:rPr>
              <w:t xml:space="preserve">(n=131) with the </w:t>
            </w:r>
            <w:proofErr w:type="spellStart"/>
            <w:r w:rsidRPr="00451DCB">
              <w:rPr>
                <w:rFonts w:ascii="Arial Narrow" w:hAnsi="Arial Narrow" w:cs="Arial"/>
                <w:bCs/>
                <w:snapToGrid w:val="0"/>
                <w:sz w:val="20"/>
                <w:szCs w:val="20"/>
                <w:lang w:val="en-GB" w:eastAsia="en-US"/>
              </w:rPr>
              <w:t>vorinostat</w:t>
            </w:r>
            <w:proofErr w:type="spellEnd"/>
            <w:r w:rsidRPr="00451DCB">
              <w:rPr>
                <w:rFonts w:ascii="Arial Narrow" w:hAnsi="Arial Narrow" w:cs="Arial"/>
                <w:bCs/>
                <w:snapToGrid w:val="0"/>
                <w:sz w:val="20"/>
                <w:szCs w:val="20"/>
                <w:lang w:val="en-GB" w:eastAsia="en-US"/>
              </w:rPr>
              <w:t xml:space="preserve"> arm of the Phase III, open-label MAVORIC RCT (n=372).</w:t>
            </w:r>
          </w:p>
          <w:p w:rsidR="00123993" w:rsidRDefault="00123993" w:rsidP="00DF7FCB">
            <w:pPr>
              <w:rPr>
                <w:rFonts w:ascii="Arial Narrow" w:hAnsi="Arial Narrow" w:cs="Arial"/>
                <w:bCs/>
                <w:snapToGrid w:val="0"/>
                <w:sz w:val="20"/>
                <w:szCs w:val="20"/>
                <w:lang w:val="en-GB" w:eastAsia="en-US"/>
              </w:rPr>
            </w:pPr>
            <w:r w:rsidRPr="00D0070D">
              <w:rPr>
                <w:rFonts w:ascii="Arial Narrow" w:hAnsi="Arial Narrow" w:cs="Arial"/>
                <w:b/>
                <w:bCs/>
                <w:snapToGrid w:val="0"/>
                <w:sz w:val="20"/>
                <w:szCs w:val="20"/>
                <w:lang w:val="en-GB" w:eastAsia="en-US"/>
              </w:rPr>
              <w:t>PBAC comment</w:t>
            </w:r>
            <w:r>
              <w:rPr>
                <w:rFonts w:ascii="Arial Narrow" w:hAnsi="Arial Narrow" w:cs="Arial"/>
                <w:bCs/>
                <w:snapToGrid w:val="0"/>
                <w:sz w:val="20"/>
                <w:szCs w:val="20"/>
                <w:lang w:val="en-GB" w:eastAsia="en-US"/>
              </w:rPr>
              <w:t xml:space="preserve">: (paragraph 7.7) </w:t>
            </w:r>
            <w:r w:rsidRPr="00913931">
              <w:rPr>
                <w:rFonts w:ascii="Arial Narrow" w:hAnsi="Arial Narrow" w:cs="Arial"/>
                <w:bCs/>
                <w:snapToGrid w:val="0"/>
                <w:sz w:val="20"/>
                <w:szCs w:val="20"/>
                <w:lang w:val="en-GB" w:eastAsia="en-US"/>
              </w:rPr>
              <w:t xml:space="preserve">The PBAC considered the comparison </w:t>
            </w:r>
            <w:proofErr w:type="gramStart"/>
            <w:r w:rsidRPr="00913931">
              <w:rPr>
                <w:rFonts w:ascii="Arial Narrow" w:hAnsi="Arial Narrow" w:cs="Arial"/>
                <w:bCs/>
                <w:snapToGrid w:val="0"/>
                <w:sz w:val="20"/>
                <w:szCs w:val="20"/>
                <w:lang w:val="en-GB" w:eastAsia="en-US"/>
              </w:rPr>
              <w:t>was flawed</w:t>
            </w:r>
            <w:proofErr w:type="gramEnd"/>
            <w:r w:rsidRPr="00913931">
              <w:rPr>
                <w:rFonts w:ascii="Arial Narrow" w:hAnsi="Arial Narrow" w:cs="Arial"/>
                <w:bCs/>
                <w:snapToGrid w:val="0"/>
                <w:sz w:val="20"/>
                <w:szCs w:val="20"/>
                <w:lang w:val="en-GB" w:eastAsia="en-US"/>
              </w:rPr>
              <w:t xml:space="preserve"> with the major transitivity issues being the different mix of disease subtypes/stages and the difference in CD30 positive selection between the two trials. The PBAC considered that due to differences in CD30 positivity between patients included in the trials the efficacy of </w:t>
            </w:r>
            <w:proofErr w:type="spellStart"/>
            <w:r w:rsidRPr="00913931">
              <w:rPr>
                <w:rFonts w:ascii="Arial Narrow" w:hAnsi="Arial Narrow" w:cs="Arial"/>
                <w:bCs/>
                <w:snapToGrid w:val="0"/>
                <w:sz w:val="20"/>
                <w:szCs w:val="20"/>
                <w:lang w:val="en-GB" w:eastAsia="en-US"/>
              </w:rPr>
              <w:t>vorinostat</w:t>
            </w:r>
            <w:proofErr w:type="spellEnd"/>
            <w:r w:rsidRPr="00913931">
              <w:rPr>
                <w:rFonts w:ascii="Arial Narrow" w:hAnsi="Arial Narrow" w:cs="Arial"/>
                <w:bCs/>
                <w:snapToGrid w:val="0"/>
                <w:sz w:val="20"/>
                <w:szCs w:val="20"/>
                <w:lang w:val="en-GB" w:eastAsia="en-US"/>
              </w:rPr>
              <w:t xml:space="preserve"> in a CD30 positive subset of CTCL patients was unknown. </w:t>
            </w:r>
            <w:r w:rsidRPr="00540F3C">
              <w:rPr>
                <w:rFonts w:ascii="Arial Narrow" w:hAnsi="Arial Narrow" w:cs="Arial"/>
                <w:bCs/>
                <w:snapToGrid w:val="0"/>
                <w:sz w:val="20"/>
                <w:szCs w:val="20"/>
                <w:lang w:val="en-GB" w:eastAsia="en-US"/>
              </w:rPr>
              <w:t xml:space="preserve">The PBAC considered that because of these differences this comparison </w:t>
            </w:r>
            <w:proofErr w:type="gramStart"/>
            <w:r w:rsidRPr="00540F3C">
              <w:rPr>
                <w:rFonts w:ascii="Arial Narrow" w:hAnsi="Arial Narrow" w:cs="Arial"/>
                <w:bCs/>
                <w:snapToGrid w:val="0"/>
                <w:sz w:val="20"/>
                <w:szCs w:val="20"/>
                <w:lang w:val="en-GB" w:eastAsia="en-US"/>
              </w:rPr>
              <w:t>could not currently be accepted</w:t>
            </w:r>
            <w:proofErr w:type="gramEnd"/>
            <w:r w:rsidRPr="00540F3C">
              <w:rPr>
                <w:rFonts w:ascii="Arial Narrow" w:hAnsi="Arial Narrow" w:cs="Arial"/>
                <w:bCs/>
                <w:snapToGrid w:val="0"/>
                <w:sz w:val="20"/>
                <w:szCs w:val="20"/>
                <w:lang w:val="en-GB" w:eastAsia="en-US"/>
              </w:rPr>
              <w:t xml:space="preserve"> as the basis for decision-making regarding the cost-effectiveness of </w:t>
            </w:r>
            <w:proofErr w:type="spellStart"/>
            <w:r w:rsidRPr="00540F3C">
              <w:rPr>
                <w:rFonts w:ascii="Arial Narrow" w:hAnsi="Arial Narrow" w:cs="Arial"/>
                <w:bCs/>
                <w:snapToGrid w:val="0"/>
                <w:sz w:val="20"/>
                <w:szCs w:val="20"/>
                <w:lang w:val="en-GB" w:eastAsia="en-US"/>
              </w:rPr>
              <w:t>brentuximab</w:t>
            </w:r>
            <w:proofErr w:type="spellEnd"/>
            <w:r w:rsidRPr="00540F3C">
              <w:rPr>
                <w:rFonts w:ascii="Arial Narrow" w:hAnsi="Arial Narrow" w:cs="Arial"/>
                <w:bCs/>
                <w:snapToGrid w:val="0"/>
                <w:sz w:val="20"/>
                <w:szCs w:val="20"/>
                <w:lang w:val="en-GB" w:eastAsia="en-US"/>
              </w:rPr>
              <w:t xml:space="preserve"> </w:t>
            </w:r>
            <w:proofErr w:type="spellStart"/>
            <w:r w:rsidRPr="00540F3C">
              <w:rPr>
                <w:rFonts w:ascii="Arial Narrow" w:hAnsi="Arial Narrow" w:cs="Arial"/>
                <w:bCs/>
                <w:snapToGrid w:val="0"/>
                <w:sz w:val="20"/>
                <w:szCs w:val="20"/>
                <w:lang w:val="en-GB" w:eastAsia="en-US"/>
              </w:rPr>
              <w:t>vedotin</w:t>
            </w:r>
            <w:proofErr w:type="spellEnd"/>
            <w:r w:rsidRPr="00540F3C">
              <w:rPr>
                <w:rFonts w:ascii="Arial Narrow" w:hAnsi="Arial Narrow" w:cs="Arial"/>
                <w:bCs/>
                <w:snapToGrid w:val="0"/>
                <w:sz w:val="20"/>
                <w:szCs w:val="20"/>
                <w:lang w:val="en-GB" w:eastAsia="en-US"/>
              </w:rPr>
              <w:t>.</w:t>
            </w:r>
          </w:p>
          <w:p w:rsidR="00123993" w:rsidRDefault="00123993" w:rsidP="00DF7FCB">
            <w:pPr>
              <w:rPr>
                <w:rFonts w:ascii="Arial Narrow" w:hAnsi="Arial Narrow" w:cs="Arial"/>
                <w:bCs/>
                <w:snapToGrid w:val="0"/>
                <w:sz w:val="20"/>
                <w:szCs w:val="20"/>
                <w:lang w:val="en-GB" w:eastAsia="en-US"/>
              </w:rPr>
            </w:pPr>
            <w:r w:rsidRPr="00451DCB">
              <w:rPr>
                <w:rFonts w:ascii="Arial Narrow" w:hAnsi="Arial Narrow" w:cs="Arial"/>
                <w:bCs/>
                <w:snapToGrid w:val="0"/>
                <w:sz w:val="20"/>
                <w:szCs w:val="20"/>
                <w:lang w:val="en-GB" w:eastAsia="en-US"/>
              </w:rPr>
              <w:t xml:space="preserve">The submission’s supplementary comparison with methotrexate compared the </w:t>
            </w:r>
            <w:proofErr w:type="spellStart"/>
            <w:r w:rsidRPr="00451DCB">
              <w:rPr>
                <w:rFonts w:ascii="Arial Narrow" w:hAnsi="Arial Narrow" w:cs="Arial"/>
                <w:bCs/>
                <w:snapToGrid w:val="0"/>
                <w:sz w:val="20"/>
                <w:szCs w:val="20"/>
                <w:lang w:val="en-GB" w:eastAsia="en-US"/>
              </w:rPr>
              <w:t>brentuximab</w:t>
            </w:r>
            <w:proofErr w:type="spellEnd"/>
            <w:r w:rsidRPr="00451DCB">
              <w:rPr>
                <w:rFonts w:ascii="Arial Narrow" w:hAnsi="Arial Narrow" w:cs="Arial"/>
                <w:bCs/>
                <w:snapToGrid w:val="0"/>
                <w:sz w:val="20"/>
                <w:szCs w:val="20"/>
                <w:lang w:val="en-GB" w:eastAsia="en-US"/>
              </w:rPr>
              <w:t xml:space="preserve"> </w:t>
            </w:r>
            <w:proofErr w:type="spellStart"/>
            <w:r w:rsidRPr="00451DCB">
              <w:rPr>
                <w:rFonts w:ascii="Arial Narrow" w:hAnsi="Arial Narrow" w:cs="Arial"/>
                <w:bCs/>
                <w:snapToGrid w:val="0"/>
                <w:sz w:val="20"/>
                <w:szCs w:val="20"/>
                <w:lang w:val="en-GB" w:eastAsia="en-US"/>
              </w:rPr>
              <w:t>vedotin</w:t>
            </w:r>
            <w:proofErr w:type="spellEnd"/>
            <w:r w:rsidRPr="00451DCB">
              <w:rPr>
                <w:rFonts w:ascii="Arial Narrow" w:hAnsi="Arial Narrow" w:cs="Arial"/>
                <w:bCs/>
                <w:snapToGrid w:val="0"/>
                <w:sz w:val="20"/>
                <w:szCs w:val="20"/>
                <w:lang w:val="en-GB" w:eastAsia="en-US"/>
              </w:rPr>
              <w:t xml:space="preserve"> arm of the ALCANZA trial with the methotrexate subgroup (n=26) of the physician’s choice arm of the trial.</w:t>
            </w:r>
          </w:p>
          <w:p w:rsidR="00123993" w:rsidRPr="00123993" w:rsidRDefault="00123993" w:rsidP="001C3753">
            <w:pPr>
              <w:rPr>
                <w:rFonts w:ascii="Arial Narrow" w:hAnsi="Arial Narrow" w:cs="Arial"/>
                <w:bCs/>
                <w:snapToGrid w:val="0"/>
                <w:sz w:val="20"/>
                <w:szCs w:val="20"/>
                <w:lang w:val="en-GB" w:eastAsia="en-US"/>
              </w:rPr>
            </w:pPr>
            <w:r w:rsidRPr="00D0070D">
              <w:rPr>
                <w:rFonts w:ascii="Arial Narrow" w:hAnsi="Arial Narrow" w:cs="Arial"/>
                <w:b/>
                <w:bCs/>
                <w:snapToGrid w:val="0"/>
                <w:sz w:val="20"/>
                <w:szCs w:val="20"/>
                <w:lang w:val="en-GB" w:eastAsia="en-US"/>
              </w:rPr>
              <w:t>PBAC comment</w:t>
            </w:r>
            <w:r>
              <w:rPr>
                <w:rFonts w:ascii="Arial Narrow" w:hAnsi="Arial Narrow" w:cs="Arial"/>
                <w:bCs/>
                <w:snapToGrid w:val="0"/>
                <w:sz w:val="20"/>
                <w:szCs w:val="20"/>
                <w:lang w:val="en-GB" w:eastAsia="en-US"/>
              </w:rPr>
              <w:t xml:space="preserve">: (paragraph 7.9) </w:t>
            </w:r>
            <w:r w:rsidRPr="00913931">
              <w:rPr>
                <w:rFonts w:ascii="Arial Narrow" w:hAnsi="Arial Narrow" w:cs="Arial"/>
                <w:bCs/>
                <w:snapToGrid w:val="0"/>
                <w:sz w:val="20"/>
                <w:szCs w:val="20"/>
                <w:lang w:val="en-GB" w:eastAsia="en-US"/>
              </w:rPr>
              <w:t xml:space="preserve">The PBAC noted that the ALCANZA trial included patients with MF and </w:t>
            </w:r>
            <w:proofErr w:type="spellStart"/>
            <w:r w:rsidRPr="00913931">
              <w:rPr>
                <w:rFonts w:ascii="Arial Narrow" w:hAnsi="Arial Narrow" w:cs="Arial"/>
                <w:bCs/>
                <w:snapToGrid w:val="0"/>
                <w:sz w:val="20"/>
                <w:szCs w:val="20"/>
                <w:lang w:val="en-GB" w:eastAsia="en-US"/>
              </w:rPr>
              <w:t>pcALCL</w:t>
            </w:r>
            <w:proofErr w:type="spellEnd"/>
            <w:r w:rsidRPr="00913931">
              <w:rPr>
                <w:rFonts w:ascii="Arial Narrow" w:hAnsi="Arial Narrow" w:cs="Arial"/>
                <w:bCs/>
                <w:snapToGrid w:val="0"/>
                <w:sz w:val="20"/>
                <w:szCs w:val="20"/>
                <w:lang w:val="en-GB" w:eastAsia="en-US"/>
              </w:rPr>
              <w:t xml:space="preserve"> only, with the majority of patients having MF</w:t>
            </w:r>
            <w:r>
              <w:rPr>
                <w:rFonts w:ascii="Arial Narrow" w:hAnsi="Arial Narrow" w:cs="Arial"/>
                <w:bCs/>
                <w:snapToGrid w:val="0"/>
                <w:sz w:val="20"/>
                <w:szCs w:val="20"/>
                <w:lang w:val="en-GB" w:eastAsia="en-US"/>
              </w:rPr>
              <w:t>.</w:t>
            </w:r>
          </w:p>
        </w:tc>
        <w:tc>
          <w:tcPr>
            <w:tcW w:w="1920" w:type="pct"/>
          </w:tcPr>
          <w:p w:rsidR="00123993" w:rsidRPr="009164EF" w:rsidRDefault="009164EF" w:rsidP="009164EF">
            <w:pPr>
              <w:rPr>
                <w:rFonts w:ascii="Arial Narrow" w:eastAsiaTheme="minorHAnsi" w:hAnsi="Arial Narrow" w:cstheme="minorBidi"/>
                <w:sz w:val="20"/>
                <w:szCs w:val="20"/>
                <w:lang w:eastAsia="en-US"/>
              </w:rPr>
            </w:pPr>
            <w:r w:rsidRPr="009164EF">
              <w:rPr>
                <w:rFonts w:ascii="Arial Narrow" w:eastAsiaTheme="minorHAnsi" w:hAnsi="Arial Narrow" w:cstheme="minorBidi"/>
                <w:sz w:val="20"/>
                <w:szCs w:val="20"/>
                <w:lang w:eastAsia="en-US"/>
              </w:rPr>
              <w:t>The trial results for the primary and supplementary comparisons remain unchanged.</w:t>
            </w:r>
          </w:p>
          <w:p w:rsidR="009164EF" w:rsidRPr="009164EF" w:rsidRDefault="009164EF" w:rsidP="009164EF">
            <w:pPr>
              <w:rPr>
                <w:rFonts w:ascii="Arial Narrow" w:hAnsi="Arial Narrow"/>
                <w:sz w:val="20"/>
                <w:szCs w:val="20"/>
              </w:rPr>
            </w:pPr>
          </w:p>
          <w:p w:rsidR="009164EF" w:rsidRPr="00BB7C9F" w:rsidRDefault="009164EF" w:rsidP="009164EF">
            <w:pPr>
              <w:rPr>
                <w:rFonts w:ascii="Arial Narrow" w:hAnsi="Arial Narrow"/>
                <w:sz w:val="20"/>
                <w:szCs w:val="20"/>
              </w:rPr>
            </w:pPr>
            <w:r w:rsidRPr="009164EF">
              <w:rPr>
                <w:rFonts w:ascii="Arial Narrow" w:eastAsiaTheme="minorHAnsi" w:hAnsi="Arial Narrow" w:cstheme="minorBidi"/>
                <w:sz w:val="20"/>
                <w:szCs w:val="20"/>
              </w:rPr>
              <w:t xml:space="preserve">The minor resubmission provided updated data from the CSRs for the </w:t>
            </w:r>
            <w:proofErr w:type="spellStart"/>
            <w:r w:rsidRPr="009164EF">
              <w:rPr>
                <w:rFonts w:ascii="Arial Narrow" w:eastAsiaTheme="minorHAnsi" w:hAnsi="Arial Narrow" w:cstheme="minorBidi"/>
                <w:sz w:val="20"/>
                <w:szCs w:val="20"/>
              </w:rPr>
              <w:t>Duvic</w:t>
            </w:r>
            <w:proofErr w:type="spellEnd"/>
            <w:r w:rsidRPr="009164EF">
              <w:rPr>
                <w:rFonts w:ascii="Arial Narrow" w:eastAsiaTheme="minorHAnsi" w:hAnsi="Arial Narrow" w:cstheme="minorBidi"/>
                <w:sz w:val="20"/>
                <w:szCs w:val="20"/>
              </w:rPr>
              <w:t xml:space="preserve"> (2015) and Kim (2015) to support the use of </w:t>
            </w:r>
            <w:proofErr w:type="spellStart"/>
            <w:r w:rsidRPr="009164EF">
              <w:rPr>
                <w:rFonts w:ascii="Arial Narrow" w:eastAsiaTheme="minorHAnsi" w:hAnsi="Arial Narrow" w:cstheme="minorBidi"/>
                <w:sz w:val="20"/>
                <w:szCs w:val="20"/>
              </w:rPr>
              <w:t>brentuximab</w:t>
            </w:r>
            <w:proofErr w:type="spellEnd"/>
            <w:r w:rsidRPr="009164EF">
              <w:rPr>
                <w:rFonts w:ascii="Arial Narrow" w:eastAsiaTheme="minorHAnsi" w:hAnsi="Arial Narrow" w:cstheme="minorBidi"/>
                <w:sz w:val="20"/>
                <w:szCs w:val="20"/>
              </w:rPr>
              <w:t xml:space="preserve"> </w:t>
            </w:r>
            <w:proofErr w:type="spellStart"/>
            <w:r w:rsidRPr="009164EF">
              <w:rPr>
                <w:rFonts w:ascii="Arial Narrow" w:eastAsiaTheme="minorHAnsi" w:hAnsi="Arial Narrow" w:cstheme="minorBidi"/>
                <w:sz w:val="20"/>
                <w:szCs w:val="20"/>
              </w:rPr>
              <w:t>vedotin</w:t>
            </w:r>
            <w:proofErr w:type="spellEnd"/>
            <w:r w:rsidRPr="009164EF">
              <w:rPr>
                <w:rFonts w:ascii="Arial Narrow" w:eastAsiaTheme="minorHAnsi" w:hAnsi="Arial Narrow" w:cstheme="minorBidi"/>
                <w:sz w:val="20"/>
                <w:szCs w:val="20"/>
              </w:rPr>
              <w:t xml:space="preserve"> in SS and </w:t>
            </w:r>
            <w:proofErr w:type="spellStart"/>
            <w:r w:rsidRPr="009164EF">
              <w:rPr>
                <w:rFonts w:ascii="Arial Narrow" w:eastAsiaTheme="minorHAnsi" w:hAnsi="Arial Narrow" w:cstheme="minorBidi"/>
                <w:sz w:val="20"/>
                <w:szCs w:val="20"/>
              </w:rPr>
              <w:t>LyP</w:t>
            </w:r>
            <w:proofErr w:type="spellEnd"/>
            <w:r w:rsidRPr="009164EF">
              <w:rPr>
                <w:rFonts w:ascii="Arial Narrow" w:eastAsiaTheme="minorHAnsi" w:hAnsi="Arial Narrow" w:cstheme="minorBidi"/>
                <w:sz w:val="20"/>
                <w:szCs w:val="20"/>
              </w:rPr>
              <w:t xml:space="preserve">. In addition, data from the ALCANZA trial on ORR and PFS outcomes by CD30 expression and from the </w:t>
            </w:r>
            <w:proofErr w:type="spellStart"/>
            <w:r w:rsidRPr="009164EF">
              <w:rPr>
                <w:rFonts w:ascii="Arial Narrow" w:eastAsiaTheme="minorHAnsi" w:hAnsi="Arial Narrow" w:cstheme="minorBidi"/>
                <w:sz w:val="20"/>
                <w:szCs w:val="20"/>
              </w:rPr>
              <w:t>Duvic</w:t>
            </w:r>
            <w:proofErr w:type="spellEnd"/>
            <w:r w:rsidRPr="009164EF">
              <w:rPr>
                <w:rFonts w:ascii="Arial Narrow" w:eastAsiaTheme="minorHAnsi" w:hAnsi="Arial Narrow" w:cstheme="minorBidi"/>
                <w:sz w:val="20"/>
                <w:szCs w:val="20"/>
              </w:rPr>
              <w:t xml:space="preserve"> (2015) and Kim (2015) trials on ORR by CD30 expression </w:t>
            </w:r>
            <w:proofErr w:type="gramStart"/>
            <w:r>
              <w:rPr>
                <w:rFonts w:ascii="Arial Narrow" w:eastAsiaTheme="minorHAnsi" w:hAnsi="Arial Narrow" w:cstheme="minorBidi"/>
                <w:sz w:val="20"/>
                <w:szCs w:val="20"/>
              </w:rPr>
              <w:t>were provided</w:t>
            </w:r>
            <w:proofErr w:type="gramEnd"/>
            <w:r>
              <w:rPr>
                <w:rFonts w:ascii="Arial Narrow" w:eastAsiaTheme="minorHAnsi" w:hAnsi="Arial Narrow" w:cstheme="minorBidi"/>
                <w:sz w:val="20"/>
                <w:szCs w:val="20"/>
              </w:rPr>
              <w:t xml:space="preserve"> </w:t>
            </w:r>
            <w:r w:rsidRPr="009164EF">
              <w:rPr>
                <w:rFonts w:ascii="Arial Narrow" w:eastAsiaTheme="minorHAnsi" w:hAnsi="Arial Narrow" w:cstheme="minorBidi"/>
                <w:sz w:val="20"/>
                <w:szCs w:val="20"/>
              </w:rPr>
              <w:t>as evidence of the correlation between CD30 expression and response</w:t>
            </w:r>
            <w:r>
              <w:rPr>
                <w:rFonts w:ascii="Arial Narrow" w:eastAsiaTheme="minorHAnsi" w:hAnsi="Arial Narrow" w:cstheme="minorBidi"/>
                <w:sz w:val="20"/>
                <w:szCs w:val="20"/>
              </w:rPr>
              <w:t>.</w:t>
            </w:r>
          </w:p>
        </w:tc>
      </w:tr>
      <w:tr w:rsidR="001C3753" w:rsidRPr="00F16087" w:rsidTr="001C3753">
        <w:trPr>
          <w:trHeight w:val="860"/>
        </w:trPr>
        <w:tc>
          <w:tcPr>
            <w:tcW w:w="547" w:type="pct"/>
          </w:tcPr>
          <w:p w:rsidR="00123993" w:rsidRPr="00BB7C9F" w:rsidRDefault="00123993" w:rsidP="00DF7FCB">
            <w:pPr>
              <w:rPr>
                <w:rFonts w:ascii="Arial Narrow" w:hAnsi="Arial Narrow"/>
                <w:sz w:val="20"/>
                <w:szCs w:val="20"/>
              </w:rPr>
            </w:pPr>
            <w:r w:rsidRPr="00BB7C9F">
              <w:rPr>
                <w:rFonts w:ascii="Arial Narrow" w:hAnsi="Arial Narrow"/>
                <w:sz w:val="20"/>
                <w:szCs w:val="20"/>
              </w:rPr>
              <w:t>Clinical claim</w:t>
            </w:r>
          </w:p>
        </w:tc>
        <w:tc>
          <w:tcPr>
            <w:tcW w:w="2533" w:type="pct"/>
          </w:tcPr>
          <w:p w:rsidR="00123993" w:rsidRPr="00123993" w:rsidRDefault="00123993" w:rsidP="00DF7FCB">
            <w:pPr>
              <w:rPr>
                <w:rFonts w:ascii="Arial Narrow" w:hAnsi="Arial Narrow" w:cs="Arial"/>
                <w:bCs/>
                <w:snapToGrid w:val="0"/>
                <w:sz w:val="20"/>
                <w:szCs w:val="20"/>
                <w:lang w:val="en-GB" w:eastAsia="en-US"/>
              </w:rPr>
            </w:pPr>
            <w:r w:rsidRPr="00913931">
              <w:rPr>
                <w:rFonts w:ascii="Arial Narrow" w:hAnsi="Arial Narrow" w:cs="Arial"/>
                <w:bCs/>
                <w:snapToGrid w:val="0"/>
                <w:sz w:val="20"/>
                <w:szCs w:val="20"/>
                <w:lang w:val="en-GB" w:eastAsia="en-US"/>
              </w:rPr>
              <w:t xml:space="preserve">In patients with relapsed or refractory CD30+CTCL, </w:t>
            </w:r>
            <w:proofErr w:type="spellStart"/>
            <w:r w:rsidRPr="00913931">
              <w:rPr>
                <w:rFonts w:ascii="Arial Narrow" w:hAnsi="Arial Narrow" w:cs="Arial"/>
                <w:bCs/>
                <w:snapToGrid w:val="0"/>
                <w:sz w:val="20"/>
                <w:szCs w:val="20"/>
                <w:lang w:val="en-GB" w:eastAsia="en-US"/>
              </w:rPr>
              <w:t>brentuximab</w:t>
            </w:r>
            <w:proofErr w:type="spellEnd"/>
            <w:r w:rsidRPr="00913931">
              <w:rPr>
                <w:rFonts w:ascii="Arial Narrow" w:hAnsi="Arial Narrow" w:cs="Arial"/>
                <w:bCs/>
                <w:snapToGrid w:val="0"/>
                <w:sz w:val="20"/>
                <w:szCs w:val="20"/>
                <w:lang w:val="en-GB" w:eastAsia="en-US"/>
              </w:rPr>
              <w:t xml:space="preserve"> </w:t>
            </w:r>
            <w:proofErr w:type="spellStart"/>
            <w:r w:rsidRPr="00913931">
              <w:rPr>
                <w:rFonts w:ascii="Arial Narrow" w:hAnsi="Arial Narrow" w:cs="Arial"/>
                <w:bCs/>
                <w:snapToGrid w:val="0"/>
                <w:sz w:val="20"/>
                <w:szCs w:val="20"/>
                <w:lang w:val="en-GB" w:eastAsia="en-US"/>
              </w:rPr>
              <w:t>vedotin</w:t>
            </w:r>
            <w:proofErr w:type="spellEnd"/>
            <w:r w:rsidRPr="00913931">
              <w:rPr>
                <w:rFonts w:ascii="Arial Narrow" w:hAnsi="Arial Narrow" w:cs="Arial"/>
                <w:bCs/>
                <w:snapToGrid w:val="0"/>
                <w:sz w:val="20"/>
                <w:szCs w:val="20"/>
                <w:lang w:val="en-GB" w:eastAsia="en-US"/>
              </w:rPr>
              <w:t xml:space="preserve"> is more effective than </w:t>
            </w:r>
            <w:proofErr w:type="spellStart"/>
            <w:r w:rsidRPr="00913931">
              <w:rPr>
                <w:rFonts w:ascii="Arial Narrow" w:hAnsi="Arial Narrow" w:cs="Arial"/>
                <w:bCs/>
                <w:snapToGrid w:val="0"/>
                <w:sz w:val="20"/>
                <w:szCs w:val="20"/>
                <w:lang w:val="en-GB" w:eastAsia="en-US"/>
              </w:rPr>
              <w:t>vorinostat</w:t>
            </w:r>
            <w:proofErr w:type="spellEnd"/>
            <w:r w:rsidRPr="00913931">
              <w:rPr>
                <w:rFonts w:ascii="Arial Narrow" w:hAnsi="Arial Narrow" w:cs="Arial"/>
                <w:bCs/>
                <w:snapToGrid w:val="0"/>
                <w:sz w:val="20"/>
                <w:szCs w:val="20"/>
                <w:lang w:val="en-GB" w:eastAsia="en-US"/>
              </w:rPr>
              <w:t xml:space="preserve"> or methotrexate at improving clinical response (higher objective response rate) and has a longer </w:t>
            </w:r>
            <w:r>
              <w:rPr>
                <w:rFonts w:ascii="Arial Narrow" w:hAnsi="Arial Narrow" w:cs="Arial"/>
                <w:bCs/>
                <w:snapToGrid w:val="0"/>
                <w:sz w:val="20"/>
                <w:szCs w:val="20"/>
                <w:lang w:val="en-GB" w:eastAsia="en-US"/>
              </w:rPr>
              <w:t>PFS</w:t>
            </w:r>
            <w:r w:rsidR="00D47CAA">
              <w:rPr>
                <w:rFonts w:ascii="Arial Narrow" w:hAnsi="Arial Narrow" w:cs="Arial"/>
                <w:bCs/>
                <w:snapToGrid w:val="0"/>
                <w:sz w:val="20"/>
                <w:szCs w:val="20"/>
                <w:lang w:val="en-GB" w:eastAsia="en-US"/>
              </w:rPr>
              <w:t>.</w:t>
            </w:r>
          </w:p>
          <w:p w:rsidR="00123993" w:rsidRDefault="00123993" w:rsidP="00DF7FCB">
            <w:pPr>
              <w:spacing w:after="160"/>
              <w:jc w:val="both"/>
              <w:rPr>
                <w:rFonts w:ascii="Arial Narrow" w:hAnsi="Arial Narrow" w:cs="Arial"/>
                <w:bCs/>
                <w:snapToGrid w:val="0"/>
                <w:sz w:val="20"/>
                <w:szCs w:val="20"/>
                <w:lang w:val="en-GB" w:eastAsia="en-US"/>
              </w:rPr>
            </w:pPr>
            <w:r w:rsidRPr="00913931">
              <w:rPr>
                <w:rFonts w:ascii="Arial Narrow" w:hAnsi="Arial Narrow" w:cs="Arial"/>
                <w:b/>
                <w:bCs/>
                <w:snapToGrid w:val="0"/>
                <w:sz w:val="20"/>
                <w:szCs w:val="20"/>
                <w:lang w:val="en-GB" w:eastAsia="en-US"/>
              </w:rPr>
              <w:t>PBAC comment:</w:t>
            </w:r>
            <w:r w:rsidRPr="00913931">
              <w:rPr>
                <w:rFonts w:ascii="Arial Narrow" w:hAnsi="Arial Narrow" w:cs="Arial"/>
                <w:bCs/>
                <w:snapToGrid w:val="0"/>
                <w:sz w:val="20"/>
                <w:szCs w:val="20"/>
                <w:lang w:val="en-GB" w:eastAsia="en-US"/>
              </w:rPr>
              <w:t xml:space="preserve"> (paragraph 7.8) The PBAC considered that the claim of superior comparative effectiveness to </w:t>
            </w:r>
            <w:proofErr w:type="spellStart"/>
            <w:r w:rsidRPr="00913931">
              <w:rPr>
                <w:rFonts w:ascii="Arial Narrow" w:hAnsi="Arial Narrow" w:cs="Arial"/>
                <w:bCs/>
                <w:snapToGrid w:val="0"/>
                <w:sz w:val="20"/>
                <w:szCs w:val="20"/>
                <w:lang w:val="en-GB" w:eastAsia="en-US"/>
              </w:rPr>
              <w:t>vorinostat</w:t>
            </w:r>
            <w:proofErr w:type="spellEnd"/>
            <w:r w:rsidRPr="00913931">
              <w:rPr>
                <w:rFonts w:ascii="Arial Narrow" w:hAnsi="Arial Narrow" w:cs="Arial"/>
                <w:bCs/>
                <w:snapToGrid w:val="0"/>
                <w:sz w:val="20"/>
                <w:szCs w:val="20"/>
                <w:lang w:val="en-GB" w:eastAsia="en-US"/>
              </w:rPr>
              <w:t xml:space="preserve"> </w:t>
            </w:r>
            <w:proofErr w:type="gramStart"/>
            <w:r w:rsidRPr="00913931">
              <w:rPr>
                <w:rFonts w:ascii="Arial Narrow" w:hAnsi="Arial Narrow" w:cs="Arial"/>
                <w:bCs/>
                <w:snapToGrid w:val="0"/>
                <w:sz w:val="20"/>
                <w:szCs w:val="20"/>
                <w:lang w:val="en-GB" w:eastAsia="en-US"/>
              </w:rPr>
              <w:t>was not adequately supported</w:t>
            </w:r>
            <w:proofErr w:type="gramEnd"/>
            <w:r w:rsidRPr="00913931">
              <w:rPr>
                <w:rFonts w:ascii="Arial Narrow" w:hAnsi="Arial Narrow" w:cs="Arial"/>
                <w:bCs/>
                <w:snapToGrid w:val="0"/>
                <w:sz w:val="20"/>
                <w:szCs w:val="20"/>
                <w:lang w:val="en-GB" w:eastAsia="en-US"/>
              </w:rPr>
              <w:t xml:space="preserve"> by the data. (paragraph 7.11) The PBAC considered that the claim of superior comparative effectiveness to methotrexate was reasonable for the MF and </w:t>
            </w:r>
            <w:proofErr w:type="spellStart"/>
            <w:r w:rsidRPr="00913931">
              <w:rPr>
                <w:rFonts w:ascii="Arial Narrow" w:hAnsi="Arial Narrow" w:cs="Arial"/>
                <w:bCs/>
                <w:snapToGrid w:val="0"/>
                <w:sz w:val="20"/>
                <w:szCs w:val="20"/>
                <w:lang w:val="en-GB" w:eastAsia="en-US"/>
              </w:rPr>
              <w:t>pcALCL</w:t>
            </w:r>
            <w:proofErr w:type="spellEnd"/>
            <w:r w:rsidRPr="00913931">
              <w:rPr>
                <w:rFonts w:ascii="Arial Narrow" w:hAnsi="Arial Narrow" w:cs="Arial"/>
                <w:bCs/>
                <w:snapToGrid w:val="0"/>
                <w:sz w:val="20"/>
                <w:szCs w:val="20"/>
                <w:lang w:val="en-GB" w:eastAsia="en-US"/>
              </w:rPr>
              <w:t xml:space="preserve"> subtypes only and </w:t>
            </w:r>
            <w:proofErr w:type="gramStart"/>
            <w:r w:rsidRPr="00913931">
              <w:rPr>
                <w:rFonts w:ascii="Arial Narrow" w:hAnsi="Arial Narrow" w:cs="Arial"/>
                <w:bCs/>
                <w:snapToGrid w:val="0"/>
                <w:sz w:val="20"/>
                <w:szCs w:val="20"/>
                <w:lang w:val="en-GB" w:eastAsia="en-US"/>
              </w:rPr>
              <w:t>was not adequately supported</w:t>
            </w:r>
            <w:proofErr w:type="gramEnd"/>
            <w:r w:rsidRPr="00913931">
              <w:rPr>
                <w:rFonts w:ascii="Arial Narrow" w:hAnsi="Arial Narrow" w:cs="Arial"/>
                <w:bCs/>
                <w:snapToGrid w:val="0"/>
                <w:sz w:val="20"/>
                <w:szCs w:val="20"/>
                <w:lang w:val="en-GB" w:eastAsia="en-US"/>
              </w:rPr>
              <w:t xml:space="preserve"> by t</w:t>
            </w:r>
            <w:r w:rsidR="00D47CAA">
              <w:rPr>
                <w:rFonts w:ascii="Arial Narrow" w:hAnsi="Arial Narrow" w:cs="Arial"/>
                <w:bCs/>
                <w:snapToGrid w:val="0"/>
                <w:sz w:val="20"/>
                <w:szCs w:val="20"/>
                <w:lang w:val="en-GB" w:eastAsia="en-US"/>
              </w:rPr>
              <w:t xml:space="preserve">he data in </w:t>
            </w:r>
            <w:proofErr w:type="spellStart"/>
            <w:r w:rsidR="00D47CAA">
              <w:rPr>
                <w:rFonts w:ascii="Arial Narrow" w:hAnsi="Arial Narrow" w:cs="Arial"/>
                <w:bCs/>
                <w:snapToGrid w:val="0"/>
                <w:sz w:val="20"/>
                <w:szCs w:val="20"/>
                <w:lang w:val="en-GB" w:eastAsia="en-US"/>
              </w:rPr>
              <w:t>LyP</w:t>
            </w:r>
            <w:proofErr w:type="spellEnd"/>
            <w:r w:rsidR="00D47CAA">
              <w:rPr>
                <w:rFonts w:ascii="Arial Narrow" w:hAnsi="Arial Narrow" w:cs="Arial"/>
                <w:bCs/>
                <w:snapToGrid w:val="0"/>
                <w:sz w:val="20"/>
                <w:szCs w:val="20"/>
                <w:lang w:val="en-GB" w:eastAsia="en-US"/>
              </w:rPr>
              <w:t xml:space="preserve"> and SS subtypes.</w:t>
            </w:r>
          </w:p>
          <w:p w:rsidR="00123993" w:rsidRDefault="00123993" w:rsidP="00DF7FCB">
            <w:pPr>
              <w:rPr>
                <w:rFonts w:ascii="Arial Narrow" w:hAnsi="Arial Narrow" w:cs="Arial"/>
                <w:bCs/>
                <w:snapToGrid w:val="0"/>
                <w:sz w:val="20"/>
                <w:szCs w:val="20"/>
                <w:lang w:val="en-GB" w:eastAsia="en-US"/>
              </w:rPr>
            </w:pPr>
            <w:proofErr w:type="spellStart"/>
            <w:r w:rsidRPr="00913931">
              <w:rPr>
                <w:rFonts w:ascii="Arial Narrow" w:hAnsi="Arial Narrow" w:cs="Arial"/>
                <w:bCs/>
                <w:snapToGrid w:val="0"/>
                <w:sz w:val="20"/>
                <w:szCs w:val="20"/>
                <w:lang w:val="en-GB" w:eastAsia="en-US"/>
              </w:rPr>
              <w:t>Brentuximab</w:t>
            </w:r>
            <w:proofErr w:type="spellEnd"/>
            <w:r w:rsidRPr="00913931">
              <w:rPr>
                <w:rFonts w:ascii="Arial Narrow" w:hAnsi="Arial Narrow" w:cs="Arial"/>
                <w:bCs/>
                <w:snapToGrid w:val="0"/>
                <w:sz w:val="20"/>
                <w:szCs w:val="20"/>
                <w:lang w:val="en-GB" w:eastAsia="en-US"/>
              </w:rPr>
              <w:t xml:space="preserve"> </w:t>
            </w:r>
            <w:proofErr w:type="spellStart"/>
            <w:r w:rsidRPr="00913931">
              <w:rPr>
                <w:rFonts w:ascii="Arial Narrow" w:hAnsi="Arial Narrow" w:cs="Arial"/>
                <w:bCs/>
                <w:snapToGrid w:val="0"/>
                <w:sz w:val="20"/>
                <w:szCs w:val="20"/>
                <w:lang w:val="en-GB" w:eastAsia="en-US"/>
              </w:rPr>
              <w:t>vedotin</w:t>
            </w:r>
            <w:proofErr w:type="spellEnd"/>
            <w:r w:rsidRPr="00913931">
              <w:rPr>
                <w:rFonts w:ascii="Arial Narrow" w:hAnsi="Arial Narrow" w:cs="Arial"/>
                <w:bCs/>
                <w:snapToGrid w:val="0"/>
                <w:sz w:val="20"/>
                <w:szCs w:val="20"/>
                <w:lang w:val="en-GB" w:eastAsia="en-US"/>
              </w:rPr>
              <w:t xml:space="preserve"> has a different, non-inferior safety profile to both </w:t>
            </w:r>
            <w:proofErr w:type="spellStart"/>
            <w:r w:rsidRPr="00913931">
              <w:rPr>
                <w:rFonts w:ascii="Arial Narrow" w:hAnsi="Arial Narrow" w:cs="Arial"/>
                <w:bCs/>
                <w:snapToGrid w:val="0"/>
                <w:sz w:val="20"/>
                <w:szCs w:val="20"/>
                <w:lang w:val="en-GB" w:eastAsia="en-US"/>
              </w:rPr>
              <w:t>vorinostat</w:t>
            </w:r>
            <w:proofErr w:type="spellEnd"/>
            <w:r w:rsidRPr="00913931">
              <w:rPr>
                <w:rFonts w:ascii="Arial Narrow" w:hAnsi="Arial Narrow" w:cs="Arial"/>
                <w:bCs/>
                <w:snapToGrid w:val="0"/>
                <w:sz w:val="20"/>
                <w:szCs w:val="20"/>
                <w:lang w:val="en-GB" w:eastAsia="en-US"/>
              </w:rPr>
              <w:t xml:space="preserve"> and methotrexate that </w:t>
            </w:r>
            <w:proofErr w:type="gramStart"/>
            <w:r w:rsidRPr="00913931">
              <w:rPr>
                <w:rFonts w:ascii="Arial Narrow" w:hAnsi="Arial Narrow" w:cs="Arial"/>
                <w:bCs/>
                <w:snapToGrid w:val="0"/>
                <w:sz w:val="20"/>
                <w:szCs w:val="20"/>
                <w:lang w:val="en-GB" w:eastAsia="en-US"/>
              </w:rPr>
              <w:t>is considered</w:t>
            </w:r>
            <w:proofErr w:type="gramEnd"/>
            <w:r w:rsidRPr="00913931">
              <w:rPr>
                <w:rFonts w:ascii="Arial Narrow" w:hAnsi="Arial Narrow" w:cs="Arial"/>
                <w:bCs/>
                <w:snapToGrid w:val="0"/>
                <w:sz w:val="20"/>
                <w:szCs w:val="20"/>
                <w:lang w:val="en-GB" w:eastAsia="en-US"/>
              </w:rPr>
              <w:t xml:space="preserve"> tolerable and manageable.</w:t>
            </w:r>
          </w:p>
          <w:p w:rsidR="00123993" w:rsidRPr="00913931" w:rsidRDefault="00123993" w:rsidP="00DF7FCB">
            <w:pPr>
              <w:spacing w:after="160"/>
              <w:jc w:val="both"/>
              <w:rPr>
                <w:rFonts w:ascii="Arial Narrow" w:hAnsi="Arial Narrow" w:cs="Arial"/>
                <w:bCs/>
                <w:snapToGrid w:val="0"/>
                <w:sz w:val="20"/>
                <w:szCs w:val="20"/>
                <w:lang w:val="en-GB" w:eastAsia="en-US"/>
              </w:rPr>
            </w:pPr>
            <w:r w:rsidRPr="00913931">
              <w:rPr>
                <w:rFonts w:ascii="Arial Narrow" w:hAnsi="Arial Narrow" w:cs="Arial"/>
                <w:b/>
                <w:bCs/>
                <w:snapToGrid w:val="0"/>
                <w:sz w:val="20"/>
                <w:szCs w:val="20"/>
                <w:lang w:val="en-GB" w:eastAsia="en-US"/>
              </w:rPr>
              <w:t>PBAC comment:</w:t>
            </w:r>
            <w:r w:rsidRPr="00913931">
              <w:rPr>
                <w:rFonts w:ascii="Arial Narrow" w:hAnsi="Arial Narrow" w:cs="Arial"/>
                <w:bCs/>
                <w:snapToGrid w:val="0"/>
                <w:sz w:val="20"/>
                <w:szCs w:val="20"/>
                <w:lang w:val="en-GB" w:eastAsia="en-US"/>
              </w:rPr>
              <w:t xml:space="preserve"> (paragraph 7.8) The PBAC considered that the claim of non-inferior comparative safety to </w:t>
            </w:r>
            <w:proofErr w:type="spellStart"/>
            <w:r w:rsidRPr="00913931">
              <w:rPr>
                <w:rFonts w:ascii="Arial Narrow" w:hAnsi="Arial Narrow" w:cs="Arial"/>
                <w:bCs/>
                <w:snapToGrid w:val="0"/>
                <w:sz w:val="20"/>
                <w:szCs w:val="20"/>
                <w:lang w:val="en-GB" w:eastAsia="en-US"/>
              </w:rPr>
              <w:t>vorinostat</w:t>
            </w:r>
            <w:proofErr w:type="spellEnd"/>
            <w:r w:rsidRPr="00913931">
              <w:rPr>
                <w:rFonts w:ascii="Arial Narrow" w:hAnsi="Arial Narrow" w:cs="Arial"/>
                <w:bCs/>
                <w:snapToGrid w:val="0"/>
                <w:sz w:val="20"/>
                <w:szCs w:val="20"/>
                <w:lang w:val="en-GB" w:eastAsia="en-US"/>
              </w:rPr>
              <w:t xml:space="preserve"> was reasonable. </w:t>
            </w:r>
            <w:r>
              <w:rPr>
                <w:rFonts w:ascii="Arial Narrow" w:hAnsi="Arial Narrow" w:cs="Arial"/>
                <w:bCs/>
                <w:snapToGrid w:val="0"/>
                <w:sz w:val="20"/>
                <w:szCs w:val="20"/>
                <w:lang w:val="en-GB" w:eastAsia="en-US"/>
              </w:rPr>
              <w:t>(paragraph 7.12</w:t>
            </w:r>
            <w:r w:rsidRPr="00913931">
              <w:rPr>
                <w:rFonts w:ascii="Arial Narrow" w:hAnsi="Arial Narrow" w:cs="Arial"/>
                <w:bCs/>
                <w:snapToGrid w:val="0"/>
                <w:sz w:val="20"/>
                <w:szCs w:val="20"/>
                <w:lang w:val="en-GB" w:eastAsia="en-US"/>
              </w:rPr>
              <w:t>)</w:t>
            </w:r>
            <w:r>
              <w:rPr>
                <w:rFonts w:ascii="Arial Narrow" w:hAnsi="Arial Narrow" w:cs="Arial"/>
                <w:bCs/>
                <w:snapToGrid w:val="0"/>
                <w:sz w:val="20"/>
                <w:szCs w:val="20"/>
                <w:lang w:val="en-GB" w:eastAsia="en-US"/>
              </w:rPr>
              <w:t xml:space="preserve"> </w:t>
            </w:r>
            <w:r w:rsidRPr="00BE083A">
              <w:rPr>
                <w:rFonts w:ascii="Arial Narrow" w:hAnsi="Arial Narrow" w:cs="Arial"/>
                <w:bCs/>
                <w:snapToGrid w:val="0"/>
                <w:sz w:val="20"/>
                <w:szCs w:val="20"/>
                <w:lang w:val="en-GB" w:eastAsia="en-US"/>
              </w:rPr>
              <w:t xml:space="preserve">The PBAC considered that the claim of non-inferior comparative safety to methotrexate </w:t>
            </w:r>
            <w:proofErr w:type="gramStart"/>
            <w:r w:rsidRPr="00BE083A">
              <w:rPr>
                <w:rFonts w:ascii="Arial Narrow" w:hAnsi="Arial Narrow" w:cs="Arial"/>
                <w:bCs/>
                <w:snapToGrid w:val="0"/>
                <w:sz w:val="20"/>
                <w:szCs w:val="20"/>
                <w:lang w:val="en-GB" w:eastAsia="en-US"/>
              </w:rPr>
              <w:t>was not adequately supported</w:t>
            </w:r>
            <w:proofErr w:type="gramEnd"/>
            <w:r w:rsidRPr="00BE083A">
              <w:rPr>
                <w:rFonts w:ascii="Arial Narrow" w:hAnsi="Arial Narrow" w:cs="Arial"/>
                <w:bCs/>
                <w:snapToGrid w:val="0"/>
                <w:sz w:val="20"/>
                <w:szCs w:val="20"/>
                <w:lang w:val="en-GB" w:eastAsia="en-US"/>
              </w:rPr>
              <w:t xml:space="preserve"> by the data.</w:t>
            </w:r>
          </w:p>
        </w:tc>
        <w:tc>
          <w:tcPr>
            <w:tcW w:w="1920" w:type="pct"/>
          </w:tcPr>
          <w:p w:rsidR="00123993" w:rsidRDefault="00123993" w:rsidP="00DF7FCB">
            <w:pPr>
              <w:rPr>
                <w:rFonts w:ascii="Arial Narrow" w:hAnsi="Arial Narrow"/>
                <w:sz w:val="20"/>
                <w:szCs w:val="20"/>
              </w:rPr>
            </w:pPr>
            <w:r>
              <w:rPr>
                <w:rFonts w:ascii="Arial Narrow" w:hAnsi="Arial Narrow"/>
                <w:sz w:val="20"/>
                <w:szCs w:val="20"/>
              </w:rPr>
              <w:t>Unchanged.</w:t>
            </w:r>
          </w:p>
          <w:p w:rsidR="00123993" w:rsidRPr="00BB7C9F" w:rsidRDefault="00123993" w:rsidP="00DF7FCB">
            <w:pPr>
              <w:rPr>
                <w:rFonts w:ascii="Arial Narrow" w:hAnsi="Arial Narrow"/>
                <w:sz w:val="20"/>
                <w:szCs w:val="20"/>
              </w:rPr>
            </w:pPr>
          </w:p>
        </w:tc>
      </w:tr>
      <w:tr w:rsidR="001C3753" w:rsidRPr="00F16087" w:rsidTr="001C3753">
        <w:trPr>
          <w:trHeight w:val="860"/>
        </w:trPr>
        <w:tc>
          <w:tcPr>
            <w:tcW w:w="547" w:type="pct"/>
          </w:tcPr>
          <w:p w:rsidR="00123993" w:rsidRPr="00BB7C9F" w:rsidRDefault="00123993" w:rsidP="00DF7FCB">
            <w:pPr>
              <w:rPr>
                <w:rFonts w:ascii="Arial Narrow" w:hAnsi="Arial Narrow"/>
                <w:sz w:val="20"/>
                <w:szCs w:val="20"/>
                <w:highlight w:val="yellow"/>
              </w:rPr>
            </w:pPr>
            <w:r w:rsidRPr="00BB7C9F">
              <w:rPr>
                <w:rFonts w:ascii="Arial Narrow" w:hAnsi="Arial Narrow"/>
                <w:sz w:val="20"/>
                <w:szCs w:val="20"/>
              </w:rPr>
              <w:t>Economic evaluation</w:t>
            </w:r>
          </w:p>
        </w:tc>
        <w:tc>
          <w:tcPr>
            <w:tcW w:w="2533" w:type="pct"/>
          </w:tcPr>
          <w:p w:rsidR="00123993" w:rsidRDefault="00123993" w:rsidP="00DF7FCB">
            <w:pPr>
              <w:rPr>
                <w:rFonts w:ascii="Arial Narrow" w:hAnsi="Arial Narrow" w:cs="Arial"/>
                <w:bCs/>
                <w:snapToGrid w:val="0"/>
                <w:sz w:val="20"/>
                <w:szCs w:val="20"/>
                <w:lang w:val="en-GB" w:eastAsia="en-US"/>
              </w:rPr>
            </w:pPr>
            <w:r w:rsidRPr="0019678C">
              <w:rPr>
                <w:rFonts w:ascii="Arial Narrow" w:hAnsi="Arial Narrow" w:cs="Arial"/>
                <w:bCs/>
                <w:snapToGrid w:val="0"/>
                <w:sz w:val="20"/>
                <w:szCs w:val="20"/>
                <w:lang w:val="en-GB" w:eastAsia="en-US"/>
              </w:rPr>
              <w:t xml:space="preserve">The submission presented several modelled economic evaluations of </w:t>
            </w:r>
            <w:proofErr w:type="spellStart"/>
            <w:r w:rsidRPr="0019678C">
              <w:rPr>
                <w:rFonts w:ascii="Arial Narrow" w:hAnsi="Arial Narrow" w:cs="Arial"/>
                <w:bCs/>
                <w:snapToGrid w:val="0"/>
                <w:sz w:val="20"/>
                <w:szCs w:val="20"/>
                <w:lang w:val="en-GB" w:eastAsia="en-US"/>
              </w:rPr>
              <w:t>brentuximab</w:t>
            </w:r>
            <w:proofErr w:type="spellEnd"/>
            <w:r w:rsidRPr="0019678C">
              <w:rPr>
                <w:rFonts w:ascii="Arial Narrow" w:hAnsi="Arial Narrow" w:cs="Arial"/>
                <w:bCs/>
                <w:snapToGrid w:val="0"/>
                <w:sz w:val="20"/>
                <w:szCs w:val="20"/>
                <w:lang w:val="en-GB" w:eastAsia="en-US"/>
              </w:rPr>
              <w:t xml:space="preserve"> </w:t>
            </w:r>
            <w:proofErr w:type="spellStart"/>
            <w:r w:rsidRPr="0019678C">
              <w:rPr>
                <w:rFonts w:ascii="Arial Narrow" w:hAnsi="Arial Narrow" w:cs="Arial"/>
                <w:bCs/>
                <w:snapToGrid w:val="0"/>
                <w:sz w:val="20"/>
                <w:szCs w:val="20"/>
                <w:lang w:val="en-GB" w:eastAsia="en-US"/>
              </w:rPr>
              <w:t>vedotin</w:t>
            </w:r>
            <w:proofErr w:type="spellEnd"/>
            <w:r w:rsidRPr="0019678C">
              <w:rPr>
                <w:rFonts w:ascii="Arial Narrow" w:hAnsi="Arial Narrow" w:cs="Arial"/>
                <w:bCs/>
                <w:snapToGrid w:val="0"/>
                <w:sz w:val="20"/>
                <w:szCs w:val="20"/>
                <w:lang w:val="en-GB" w:eastAsia="en-US"/>
              </w:rPr>
              <w:t xml:space="preserve"> based on the cost per responder (ORR), cost per ≥ 25% </w:t>
            </w:r>
            <w:proofErr w:type="spellStart"/>
            <w:r w:rsidRPr="0019678C">
              <w:rPr>
                <w:rFonts w:ascii="Arial Narrow" w:hAnsi="Arial Narrow" w:cs="Arial"/>
                <w:bCs/>
                <w:snapToGrid w:val="0"/>
                <w:sz w:val="20"/>
                <w:szCs w:val="20"/>
                <w:lang w:val="en-GB" w:eastAsia="en-US"/>
              </w:rPr>
              <w:t>mSWAT</w:t>
            </w:r>
            <w:proofErr w:type="spellEnd"/>
            <w:r w:rsidRPr="0019678C">
              <w:rPr>
                <w:rFonts w:ascii="Arial Narrow" w:hAnsi="Arial Narrow" w:cs="Arial"/>
                <w:bCs/>
                <w:snapToGrid w:val="0"/>
                <w:sz w:val="20"/>
                <w:szCs w:val="20"/>
                <w:lang w:val="en-GB" w:eastAsia="en-US"/>
              </w:rPr>
              <w:t xml:space="preserve"> responder, and a cost utility analysis based on PFS.</w:t>
            </w:r>
          </w:p>
          <w:p w:rsidR="00123993" w:rsidRPr="00BB7C9F" w:rsidRDefault="00123993" w:rsidP="001C3753">
            <w:pPr>
              <w:rPr>
                <w:rFonts w:ascii="Arial Narrow" w:hAnsi="Arial Narrow"/>
                <w:sz w:val="20"/>
                <w:szCs w:val="20"/>
              </w:rPr>
            </w:pPr>
            <w:r w:rsidRPr="00913931">
              <w:rPr>
                <w:rFonts w:ascii="Arial Narrow" w:hAnsi="Arial Narrow" w:cs="Arial"/>
                <w:b/>
                <w:bCs/>
                <w:snapToGrid w:val="0"/>
                <w:sz w:val="20"/>
                <w:szCs w:val="20"/>
                <w:lang w:val="en-GB" w:eastAsia="en-US"/>
              </w:rPr>
              <w:t>PBAC comment:</w:t>
            </w:r>
            <w:r w:rsidRPr="00913931">
              <w:rPr>
                <w:rFonts w:ascii="Arial Narrow" w:hAnsi="Arial Narrow" w:cs="Arial"/>
                <w:bCs/>
                <w:snapToGrid w:val="0"/>
                <w:sz w:val="20"/>
                <w:szCs w:val="20"/>
                <w:lang w:val="en-GB" w:eastAsia="en-US"/>
              </w:rPr>
              <w:t xml:space="preserve"> </w:t>
            </w:r>
            <w:r>
              <w:rPr>
                <w:rFonts w:ascii="Arial Narrow" w:hAnsi="Arial Narrow" w:cs="Arial"/>
                <w:bCs/>
                <w:snapToGrid w:val="0"/>
                <w:sz w:val="20"/>
                <w:szCs w:val="20"/>
                <w:lang w:val="en-GB" w:eastAsia="en-US"/>
              </w:rPr>
              <w:t>(paragraph 7.18)</w:t>
            </w:r>
            <w:r w:rsidR="001C3753">
              <w:rPr>
                <w:rFonts w:ascii="Arial Narrow" w:hAnsi="Arial Narrow" w:cs="Arial"/>
                <w:bCs/>
                <w:snapToGrid w:val="0"/>
                <w:sz w:val="20"/>
                <w:szCs w:val="20"/>
                <w:lang w:val="en-GB" w:eastAsia="en-US"/>
              </w:rPr>
              <w:t xml:space="preserve"> </w:t>
            </w:r>
            <w:r w:rsidRPr="00BE083A">
              <w:rPr>
                <w:rFonts w:ascii="Arial Narrow" w:hAnsi="Arial Narrow" w:cs="Arial"/>
                <w:bCs/>
                <w:snapToGrid w:val="0"/>
                <w:sz w:val="20"/>
                <w:szCs w:val="20"/>
                <w:lang w:val="en-GB" w:eastAsia="en-US"/>
              </w:rPr>
              <w:t xml:space="preserve">The PBAC noted that the comparison with methotrexate was based on </w:t>
            </w:r>
            <w:proofErr w:type="gramStart"/>
            <w:r w:rsidRPr="00BE083A">
              <w:rPr>
                <w:rFonts w:ascii="Arial Narrow" w:hAnsi="Arial Narrow" w:cs="Arial"/>
                <w:bCs/>
                <w:snapToGrid w:val="0"/>
                <w:sz w:val="20"/>
                <w:szCs w:val="20"/>
                <w:lang w:val="en-GB" w:eastAsia="en-US"/>
              </w:rPr>
              <w:t>more robust data</w:t>
            </w:r>
            <w:proofErr w:type="gramEnd"/>
            <w:r w:rsidRPr="00BE083A">
              <w:rPr>
                <w:rFonts w:ascii="Arial Narrow" w:hAnsi="Arial Narrow" w:cs="Arial"/>
                <w:bCs/>
                <w:snapToGrid w:val="0"/>
                <w:sz w:val="20"/>
                <w:szCs w:val="20"/>
                <w:lang w:val="en-GB" w:eastAsia="en-US"/>
              </w:rPr>
              <w:t xml:space="preserve"> but based on this comparison </w:t>
            </w:r>
            <w:proofErr w:type="spellStart"/>
            <w:r w:rsidRPr="00BE083A">
              <w:rPr>
                <w:rFonts w:ascii="Arial Narrow" w:hAnsi="Arial Narrow" w:cs="Arial"/>
                <w:bCs/>
                <w:snapToGrid w:val="0"/>
                <w:sz w:val="20"/>
                <w:szCs w:val="20"/>
                <w:lang w:val="en-GB" w:eastAsia="en-US"/>
              </w:rPr>
              <w:t>brentuximab</w:t>
            </w:r>
            <w:proofErr w:type="spellEnd"/>
            <w:r w:rsidRPr="00BE083A">
              <w:rPr>
                <w:rFonts w:ascii="Arial Narrow" w:hAnsi="Arial Narrow" w:cs="Arial"/>
                <w:bCs/>
                <w:snapToGrid w:val="0"/>
                <w:sz w:val="20"/>
                <w:szCs w:val="20"/>
                <w:lang w:val="en-GB" w:eastAsia="en-US"/>
              </w:rPr>
              <w:t xml:space="preserve"> </w:t>
            </w:r>
            <w:proofErr w:type="spellStart"/>
            <w:r w:rsidRPr="00BE083A">
              <w:rPr>
                <w:rFonts w:ascii="Arial Narrow" w:hAnsi="Arial Narrow" w:cs="Arial"/>
                <w:bCs/>
                <w:snapToGrid w:val="0"/>
                <w:sz w:val="20"/>
                <w:szCs w:val="20"/>
                <w:lang w:val="en-GB" w:eastAsia="en-US"/>
              </w:rPr>
              <w:t>vedotin</w:t>
            </w:r>
            <w:proofErr w:type="spellEnd"/>
            <w:r w:rsidRPr="00BE083A">
              <w:rPr>
                <w:rFonts w:ascii="Arial Narrow" w:hAnsi="Arial Narrow" w:cs="Arial"/>
                <w:bCs/>
                <w:snapToGrid w:val="0"/>
                <w:sz w:val="20"/>
                <w:szCs w:val="20"/>
                <w:lang w:val="en-GB" w:eastAsia="en-US"/>
              </w:rPr>
              <w:t xml:space="preserve"> had an unacceptably high ICER</w:t>
            </w:r>
            <w:r w:rsidR="001C3753">
              <w:rPr>
                <w:rFonts w:ascii="Arial Narrow" w:hAnsi="Arial Narrow" w:cs="Arial"/>
                <w:bCs/>
                <w:snapToGrid w:val="0"/>
                <w:sz w:val="20"/>
                <w:szCs w:val="20"/>
                <w:lang w:val="en-GB" w:eastAsia="en-US"/>
              </w:rPr>
              <w:t xml:space="preserve">. (paragraph 7.18) </w:t>
            </w:r>
            <w:r w:rsidRPr="00BE083A">
              <w:rPr>
                <w:rFonts w:ascii="Arial Narrow" w:hAnsi="Arial Narrow" w:cs="Arial"/>
                <w:bCs/>
                <w:snapToGrid w:val="0"/>
                <w:sz w:val="20"/>
                <w:szCs w:val="20"/>
                <w:lang w:val="en-GB" w:eastAsia="en-US"/>
              </w:rPr>
              <w:t xml:space="preserve">As such, and consistent with the approach taken with </w:t>
            </w:r>
            <w:proofErr w:type="spellStart"/>
            <w:r w:rsidRPr="00BE083A">
              <w:rPr>
                <w:rFonts w:ascii="Arial Narrow" w:hAnsi="Arial Narrow" w:cs="Arial"/>
                <w:bCs/>
                <w:snapToGrid w:val="0"/>
                <w:sz w:val="20"/>
                <w:szCs w:val="20"/>
                <w:lang w:val="en-GB" w:eastAsia="en-US"/>
              </w:rPr>
              <w:t>vorinostat</w:t>
            </w:r>
            <w:proofErr w:type="spellEnd"/>
            <w:r w:rsidRPr="00BE083A">
              <w:rPr>
                <w:rFonts w:ascii="Arial Narrow" w:hAnsi="Arial Narrow" w:cs="Arial"/>
                <w:bCs/>
                <w:snapToGrid w:val="0"/>
                <w:sz w:val="20"/>
                <w:szCs w:val="20"/>
                <w:lang w:val="en-GB" w:eastAsia="en-US"/>
              </w:rPr>
              <w:t>, the PBAC considered a cost per responder assessment of cost-</w:t>
            </w:r>
            <w:r w:rsidRPr="00BE083A">
              <w:rPr>
                <w:rFonts w:ascii="Arial Narrow" w:hAnsi="Arial Narrow" w:cs="Arial"/>
                <w:bCs/>
                <w:snapToGrid w:val="0"/>
                <w:sz w:val="20"/>
                <w:szCs w:val="20"/>
                <w:lang w:val="en-GB" w:eastAsia="en-US"/>
              </w:rPr>
              <w:lastRenderedPageBreak/>
              <w:t xml:space="preserve">effectiveness may be appropriate in any future submission. The PBAC noted that a considerable price reduction would be required in order to show that </w:t>
            </w:r>
            <w:proofErr w:type="spellStart"/>
            <w:r w:rsidRPr="00BE083A">
              <w:rPr>
                <w:rFonts w:ascii="Arial Narrow" w:hAnsi="Arial Narrow" w:cs="Arial"/>
                <w:bCs/>
                <w:snapToGrid w:val="0"/>
                <w:sz w:val="20"/>
                <w:szCs w:val="20"/>
                <w:lang w:val="en-GB" w:eastAsia="en-US"/>
              </w:rPr>
              <w:t>brentuximab</w:t>
            </w:r>
            <w:proofErr w:type="spellEnd"/>
            <w:r w:rsidRPr="00BE083A">
              <w:rPr>
                <w:rFonts w:ascii="Arial Narrow" w:hAnsi="Arial Narrow" w:cs="Arial"/>
                <w:bCs/>
                <w:snapToGrid w:val="0"/>
                <w:sz w:val="20"/>
                <w:szCs w:val="20"/>
                <w:lang w:val="en-GB" w:eastAsia="en-US"/>
              </w:rPr>
              <w:t xml:space="preserve"> </w:t>
            </w:r>
            <w:proofErr w:type="spellStart"/>
            <w:r w:rsidRPr="00BE083A">
              <w:rPr>
                <w:rFonts w:ascii="Arial Narrow" w:hAnsi="Arial Narrow" w:cs="Arial"/>
                <w:bCs/>
                <w:snapToGrid w:val="0"/>
                <w:sz w:val="20"/>
                <w:szCs w:val="20"/>
                <w:lang w:val="en-GB" w:eastAsia="en-US"/>
              </w:rPr>
              <w:t>vedotin</w:t>
            </w:r>
            <w:proofErr w:type="spellEnd"/>
            <w:r w:rsidRPr="00BE083A">
              <w:rPr>
                <w:rFonts w:ascii="Arial Narrow" w:hAnsi="Arial Narrow" w:cs="Arial"/>
                <w:bCs/>
                <w:snapToGrid w:val="0"/>
                <w:sz w:val="20"/>
                <w:szCs w:val="20"/>
                <w:lang w:val="en-GB" w:eastAsia="en-US"/>
              </w:rPr>
              <w:t xml:space="preserve"> is cost-effective compared with methotrexate.</w:t>
            </w:r>
          </w:p>
        </w:tc>
        <w:tc>
          <w:tcPr>
            <w:tcW w:w="1920" w:type="pct"/>
          </w:tcPr>
          <w:p w:rsidR="00123993" w:rsidRDefault="00123993" w:rsidP="00DF7FCB">
            <w:pPr>
              <w:pStyle w:val="Default"/>
              <w:rPr>
                <w:rFonts w:ascii="Arial Narrow" w:hAnsi="Arial Narrow" w:cs="Arial"/>
                <w:bCs/>
                <w:snapToGrid w:val="0"/>
                <w:color w:val="auto"/>
                <w:sz w:val="20"/>
                <w:szCs w:val="20"/>
                <w:lang w:val="en-GB" w:eastAsia="en-US"/>
              </w:rPr>
            </w:pPr>
            <w:r>
              <w:rPr>
                <w:rFonts w:ascii="Arial Narrow" w:hAnsi="Arial Narrow" w:cs="Arial"/>
                <w:bCs/>
                <w:snapToGrid w:val="0"/>
                <w:color w:val="auto"/>
                <w:sz w:val="20"/>
                <w:szCs w:val="20"/>
                <w:lang w:val="en-GB" w:eastAsia="en-US"/>
              </w:rPr>
              <w:lastRenderedPageBreak/>
              <w:t xml:space="preserve">The resubmission provided revised cost per responder and cost per PFS LYG for </w:t>
            </w:r>
            <w:proofErr w:type="spellStart"/>
            <w:r>
              <w:rPr>
                <w:rFonts w:ascii="Arial Narrow" w:hAnsi="Arial Narrow" w:cs="Arial"/>
                <w:bCs/>
                <w:snapToGrid w:val="0"/>
                <w:color w:val="auto"/>
                <w:sz w:val="20"/>
                <w:szCs w:val="20"/>
                <w:lang w:val="en-GB" w:eastAsia="en-US"/>
              </w:rPr>
              <w:t>brentuximab</w:t>
            </w:r>
            <w:proofErr w:type="spellEnd"/>
            <w:r>
              <w:rPr>
                <w:rFonts w:ascii="Arial Narrow" w:hAnsi="Arial Narrow" w:cs="Arial"/>
                <w:bCs/>
                <w:snapToGrid w:val="0"/>
                <w:color w:val="auto"/>
                <w:sz w:val="20"/>
                <w:szCs w:val="20"/>
                <w:lang w:val="en-GB" w:eastAsia="en-US"/>
              </w:rPr>
              <w:t xml:space="preserve"> </w:t>
            </w:r>
            <w:proofErr w:type="spellStart"/>
            <w:r>
              <w:rPr>
                <w:rFonts w:ascii="Arial Narrow" w:hAnsi="Arial Narrow" w:cs="Arial"/>
                <w:bCs/>
                <w:snapToGrid w:val="0"/>
                <w:color w:val="auto"/>
                <w:sz w:val="20"/>
                <w:szCs w:val="20"/>
                <w:lang w:val="en-GB" w:eastAsia="en-US"/>
              </w:rPr>
              <w:t>vedotin</w:t>
            </w:r>
            <w:proofErr w:type="spellEnd"/>
            <w:r>
              <w:rPr>
                <w:rFonts w:ascii="Arial Narrow" w:hAnsi="Arial Narrow" w:cs="Arial"/>
                <w:bCs/>
                <w:snapToGrid w:val="0"/>
                <w:color w:val="auto"/>
                <w:sz w:val="20"/>
                <w:szCs w:val="20"/>
                <w:lang w:val="en-GB" w:eastAsia="en-US"/>
              </w:rPr>
              <w:t xml:space="preserve"> versus methotrexate based on a revised AEMP of $</w:t>
            </w:r>
            <w:r w:rsidR="00146494">
              <w:rPr>
                <w:rFonts w:ascii="Arial Narrow" w:hAnsi="Arial Narrow" w:cs="Arial"/>
                <w:bCs/>
                <w:noProof/>
                <w:snapToGrid w:val="0"/>
                <w:sz w:val="20"/>
                <w:szCs w:val="20"/>
                <w:highlight w:val="black"/>
                <w:lang w:val="en-GB" w:eastAsia="en-US"/>
              </w:rPr>
              <w:t>''''''''''''''</w:t>
            </w:r>
            <w:r w:rsidR="00D47CAA">
              <w:rPr>
                <w:rFonts w:ascii="Arial Narrow" w:hAnsi="Arial Narrow" w:cs="Arial"/>
                <w:bCs/>
                <w:snapToGrid w:val="0"/>
                <w:color w:val="auto"/>
                <w:sz w:val="20"/>
                <w:szCs w:val="20"/>
                <w:lang w:val="en-GB" w:eastAsia="en-US"/>
              </w:rPr>
              <w:t xml:space="preserve"> per vial.</w:t>
            </w:r>
          </w:p>
          <w:p w:rsidR="00123993" w:rsidRPr="00BB7C9F" w:rsidRDefault="00123993" w:rsidP="00DF7FCB">
            <w:pPr>
              <w:pStyle w:val="Default"/>
              <w:rPr>
                <w:rFonts w:ascii="Arial Narrow" w:hAnsi="Arial Narrow"/>
                <w:sz w:val="20"/>
                <w:szCs w:val="20"/>
              </w:rPr>
            </w:pPr>
          </w:p>
        </w:tc>
      </w:tr>
      <w:tr w:rsidR="001C3753" w:rsidRPr="00F16087" w:rsidTr="001C3753">
        <w:trPr>
          <w:trHeight w:val="416"/>
        </w:trPr>
        <w:tc>
          <w:tcPr>
            <w:tcW w:w="547" w:type="pct"/>
          </w:tcPr>
          <w:p w:rsidR="00123993" w:rsidRPr="00BB7C9F" w:rsidRDefault="00123993" w:rsidP="00DF7FCB">
            <w:pPr>
              <w:rPr>
                <w:rFonts w:ascii="Arial Narrow" w:hAnsi="Arial Narrow"/>
                <w:sz w:val="20"/>
                <w:szCs w:val="20"/>
                <w:highlight w:val="yellow"/>
              </w:rPr>
            </w:pPr>
            <w:r w:rsidRPr="00BB7C9F">
              <w:rPr>
                <w:rFonts w:ascii="Arial Narrow" w:hAnsi="Arial Narrow"/>
                <w:sz w:val="20"/>
                <w:szCs w:val="20"/>
              </w:rPr>
              <w:t>Number of patients</w:t>
            </w:r>
          </w:p>
        </w:tc>
        <w:tc>
          <w:tcPr>
            <w:tcW w:w="2533" w:type="pct"/>
          </w:tcPr>
          <w:p w:rsidR="00123993" w:rsidRPr="00BB7C9F" w:rsidRDefault="00123993">
            <w:pPr>
              <w:rPr>
                <w:rFonts w:ascii="Arial Narrow" w:hAnsi="Arial Narrow"/>
                <w:sz w:val="20"/>
                <w:szCs w:val="20"/>
              </w:rPr>
            </w:pPr>
            <w:r w:rsidRPr="00EF0B46">
              <w:rPr>
                <w:rFonts w:ascii="Arial Narrow" w:hAnsi="Arial Narrow" w:cs="Arial"/>
                <w:bCs/>
                <w:snapToGrid w:val="0"/>
                <w:sz w:val="20"/>
                <w:szCs w:val="20"/>
                <w:lang w:val="en-GB" w:eastAsia="en-US"/>
              </w:rPr>
              <w:t xml:space="preserve">The submission estimated that </w:t>
            </w:r>
            <w:r w:rsidR="00593237">
              <w:rPr>
                <w:rFonts w:ascii="Arial Narrow" w:hAnsi="Arial Narrow" w:cs="Arial"/>
                <w:bCs/>
                <w:snapToGrid w:val="0"/>
                <w:sz w:val="20"/>
                <w:szCs w:val="20"/>
                <w:lang w:val="en-GB" w:eastAsia="en-US"/>
              </w:rPr>
              <w:t>less than 10,000 patients</w:t>
            </w:r>
            <w:r w:rsidRPr="00EF0B46">
              <w:rPr>
                <w:rFonts w:ascii="Arial Narrow" w:hAnsi="Arial Narrow" w:cs="Arial"/>
                <w:bCs/>
                <w:snapToGrid w:val="0"/>
                <w:sz w:val="20"/>
                <w:szCs w:val="20"/>
                <w:lang w:val="en-GB" w:eastAsia="en-US"/>
              </w:rPr>
              <w:t xml:space="preserve"> </w:t>
            </w:r>
            <w:proofErr w:type="gramStart"/>
            <w:r w:rsidRPr="00EF0B46">
              <w:rPr>
                <w:rFonts w:ascii="Arial Narrow" w:hAnsi="Arial Narrow" w:cs="Arial"/>
                <w:bCs/>
                <w:snapToGrid w:val="0"/>
                <w:sz w:val="20"/>
                <w:szCs w:val="20"/>
                <w:lang w:val="en-GB" w:eastAsia="en-US"/>
              </w:rPr>
              <w:t>would be treated</w:t>
            </w:r>
            <w:proofErr w:type="gramEnd"/>
            <w:r w:rsidRPr="00EF0B46">
              <w:rPr>
                <w:rFonts w:ascii="Arial Narrow" w:hAnsi="Arial Narrow" w:cs="Arial"/>
                <w:bCs/>
                <w:snapToGrid w:val="0"/>
                <w:sz w:val="20"/>
                <w:szCs w:val="20"/>
                <w:lang w:val="en-GB" w:eastAsia="en-US"/>
              </w:rPr>
              <w:t xml:space="preserve"> in Year 1, decreasing to </w:t>
            </w:r>
            <w:r w:rsidR="00593237">
              <w:rPr>
                <w:rFonts w:ascii="Arial Narrow" w:hAnsi="Arial Narrow" w:cs="Arial"/>
                <w:bCs/>
                <w:snapToGrid w:val="0"/>
                <w:sz w:val="20"/>
                <w:szCs w:val="20"/>
                <w:lang w:val="en-GB" w:eastAsia="en-US"/>
              </w:rPr>
              <w:t>less than 10,000</w:t>
            </w:r>
            <w:r w:rsidRPr="00EF0B46">
              <w:rPr>
                <w:rFonts w:ascii="Arial Narrow" w:hAnsi="Arial Narrow" w:cs="Arial"/>
                <w:bCs/>
                <w:snapToGrid w:val="0"/>
                <w:sz w:val="20"/>
                <w:szCs w:val="20"/>
                <w:lang w:val="en-GB" w:eastAsia="en-US"/>
              </w:rPr>
              <w:t xml:space="preserve"> in Year 6.</w:t>
            </w:r>
          </w:p>
        </w:tc>
        <w:tc>
          <w:tcPr>
            <w:tcW w:w="1920" w:type="pct"/>
          </w:tcPr>
          <w:p w:rsidR="00123993" w:rsidRPr="00BB7C9F" w:rsidRDefault="00123993" w:rsidP="00DF7FCB">
            <w:pPr>
              <w:rPr>
                <w:rFonts w:ascii="Arial Narrow" w:hAnsi="Arial Narrow"/>
                <w:sz w:val="20"/>
                <w:szCs w:val="20"/>
              </w:rPr>
            </w:pPr>
            <w:r>
              <w:rPr>
                <w:rFonts w:ascii="Arial Narrow" w:hAnsi="Arial Narrow"/>
                <w:sz w:val="20"/>
                <w:szCs w:val="20"/>
              </w:rPr>
              <w:t>Unchanged.</w:t>
            </w:r>
          </w:p>
        </w:tc>
      </w:tr>
      <w:tr w:rsidR="001C3753" w:rsidRPr="00F16087" w:rsidTr="001C3753">
        <w:trPr>
          <w:trHeight w:val="416"/>
        </w:trPr>
        <w:tc>
          <w:tcPr>
            <w:tcW w:w="547" w:type="pct"/>
          </w:tcPr>
          <w:p w:rsidR="00123993" w:rsidRPr="00BB7C9F" w:rsidRDefault="00123993" w:rsidP="00DF7FCB">
            <w:pPr>
              <w:rPr>
                <w:rFonts w:ascii="Arial Narrow" w:hAnsi="Arial Narrow"/>
                <w:sz w:val="20"/>
                <w:szCs w:val="20"/>
                <w:highlight w:val="yellow"/>
              </w:rPr>
            </w:pPr>
            <w:r w:rsidRPr="00BB7C9F">
              <w:rPr>
                <w:rFonts w:ascii="Arial Narrow" w:hAnsi="Arial Narrow"/>
                <w:sz w:val="20"/>
                <w:szCs w:val="20"/>
              </w:rPr>
              <w:t>Estimated net cost to PBS</w:t>
            </w:r>
          </w:p>
        </w:tc>
        <w:tc>
          <w:tcPr>
            <w:tcW w:w="2533" w:type="pct"/>
          </w:tcPr>
          <w:p w:rsidR="00123993" w:rsidRPr="00EF0B46" w:rsidRDefault="00123993">
            <w:pPr>
              <w:rPr>
                <w:rFonts w:ascii="Arial Narrow" w:hAnsi="Arial Narrow" w:cs="Arial"/>
                <w:bCs/>
                <w:snapToGrid w:val="0"/>
                <w:sz w:val="20"/>
                <w:szCs w:val="20"/>
                <w:lang w:val="en-GB" w:eastAsia="en-US"/>
              </w:rPr>
            </w:pPr>
            <w:r w:rsidRPr="00EF0B46">
              <w:rPr>
                <w:rFonts w:ascii="Arial Narrow" w:hAnsi="Arial Narrow" w:cs="Arial"/>
                <w:bCs/>
                <w:snapToGrid w:val="0"/>
                <w:sz w:val="20"/>
                <w:szCs w:val="20"/>
                <w:lang w:val="en-GB" w:eastAsia="en-US"/>
              </w:rPr>
              <w:t>The</w:t>
            </w:r>
            <w:r>
              <w:rPr>
                <w:rFonts w:ascii="Arial Narrow" w:hAnsi="Arial Narrow" w:cs="Arial"/>
                <w:bCs/>
                <w:snapToGrid w:val="0"/>
                <w:sz w:val="20"/>
                <w:szCs w:val="20"/>
                <w:lang w:val="en-GB" w:eastAsia="en-US"/>
              </w:rPr>
              <w:t xml:space="preserve"> submission estimated the</w:t>
            </w:r>
            <w:r w:rsidRPr="00EF0B46">
              <w:rPr>
                <w:rFonts w:ascii="Arial Narrow" w:hAnsi="Arial Narrow" w:cs="Arial"/>
                <w:bCs/>
                <w:snapToGrid w:val="0"/>
                <w:sz w:val="20"/>
                <w:szCs w:val="20"/>
                <w:lang w:val="en-GB" w:eastAsia="en-US"/>
              </w:rPr>
              <w:t xml:space="preserve"> overall net cost to government was </w:t>
            </w:r>
            <w:r w:rsidR="00593237">
              <w:rPr>
                <w:rFonts w:ascii="Arial Narrow" w:hAnsi="Arial Narrow" w:cs="Arial"/>
                <w:bCs/>
                <w:snapToGrid w:val="0"/>
                <w:sz w:val="20"/>
                <w:szCs w:val="20"/>
                <w:lang w:val="en-GB" w:eastAsia="en-US"/>
              </w:rPr>
              <w:t>less than $10 million</w:t>
            </w:r>
            <w:r w:rsidRPr="00EF0B46">
              <w:rPr>
                <w:rFonts w:ascii="Arial Narrow" w:hAnsi="Arial Narrow" w:cs="Arial"/>
                <w:bCs/>
                <w:snapToGrid w:val="0"/>
                <w:sz w:val="20"/>
                <w:szCs w:val="20"/>
                <w:lang w:val="en-GB" w:eastAsia="en-US"/>
              </w:rPr>
              <w:t xml:space="preserve"> in Year 1, decreasing to </w:t>
            </w:r>
            <w:r w:rsidR="00593237">
              <w:rPr>
                <w:rFonts w:ascii="Arial Narrow" w:hAnsi="Arial Narrow" w:cs="Arial"/>
                <w:bCs/>
                <w:snapToGrid w:val="0"/>
                <w:sz w:val="20"/>
                <w:szCs w:val="20"/>
                <w:lang w:val="en-GB" w:eastAsia="en-US"/>
              </w:rPr>
              <w:t>less than $10 million</w:t>
            </w:r>
            <w:r w:rsidRPr="00EF0B46">
              <w:rPr>
                <w:rFonts w:ascii="Arial Narrow" w:hAnsi="Arial Narrow" w:cs="Arial"/>
                <w:bCs/>
                <w:snapToGrid w:val="0"/>
                <w:sz w:val="20"/>
                <w:szCs w:val="20"/>
                <w:lang w:val="en-GB" w:eastAsia="en-US"/>
              </w:rPr>
              <w:t xml:space="preserve"> in Year 6, resulting in a net cost of </w:t>
            </w:r>
            <w:r w:rsidR="00593237">
              <w:rPr>
                <w:rFonts w:ascii="Arial Narrow" w:hAnsi="Arial Narrow" w:cs="Arial"/>
                <w:bCs/>
                <w:snapToGrid w:val="0"/>
                <w:sz w:val="20"/>
                <w:szCs w:val="20"/>
                <w:lang w:val="en-GB" w:eastAsia="en-US"/>
              </w:rPr>
              <w:t xml:space="preserve">$10 </w:t>
            </w:r>
            <w:r w:rsidR="00593237">
              <w:rPr>
                <w:rFonts w:ascii="Arial Narrow" w:hAnsi="Arial Narrow" w:cs="Arial"/>
                <w:bCs/>
                <w:snapToGrid w:val="0"/>
                <w:sz w:val="20"/>
                <w:szCs w:val="20"/>
                <w:lang w:val="en-GB" w:eastAsia="en-US"/>
              </w:rPr>
              <w:softHyphen/>
              <w:t xml:space="preserve">– $20 million </w:t>
            </w:r>
            <w:r w:rsidRPr="00EF0B46">
              <w:rPr>
                <w:rFonts w:ascii="Arial Narrow" w:hAnsi="Arial Narrow" w:cs="Arial"/>
                <w:bCs/>
                <w:snapToGrid w:val="0"/>
                <w:sz w:val="20"/>
                <w:szCs w:val="20"/>
                <w:lang w:val="en-GB" w:eastAsia="en-US"/>
              </w:rPr>
              <w:t xml:space="preserve">for the Australian Government health budget over the first six years of listing. </w:t>
            </w:r>
          </w:p>
        </w:tc>
        <w:tc>
          <w:tcPr>
            <w:tcW w:w="1920" w:type="pct"/>
          </w:tcPr>
          <w:p w:rsidR="00123993" w:rsidRPr="00BB7C9F" w:rsidRDefault="00123993">
            <w:pPr>
              <w:rPr>
                <w:rFonts w:ascii="Arial Narrow" w:hAnsi="Arial Narrow"/>
                <w:sz w:val="20"/>
                <w:szCs w:val="20"/>
              </w:rPr>
            </w:pPr>
            <w:r>
              <w:rPr>
                <w:rFonts w:ascii="Arial Narrow" w:hAnsi="Arial Narrow"/>
                <w:sz w:val="20"/>
                <w:szCs w:val="20"/>
              </w:rPr>
              <w:t>Based on the revised AEMP of $</w:t>
            </w:r>
            <w:r w:rsidR="00146494">
              <w:rPr>
                <w:rFonts w:ascii="Arial Narrow" w:hAnsi="Arial Narrow"/>
                <w:noProof/>
                <w:color w:val="000000"/>
                <w:sz w:val="20"/>
                <w:szCs w:val="20"/>
                <w:highlight w:val="black"/>
              </w:rPr>
              <w:t>'''''''''''''</w:t>
            </w:r>
            <w:r>
              <w:rPr>
                <w:rFonts w:ascii="Arial Narrow" w:hAnsi="Arial Narrow"/>
                <w:sz w:val="20"/>
                <w:szCs w:val="20"/>
              </w:rPr>
              <w:t xml:space="preserve"> per vial, the resubmission estimated the overall net cost to government was </w:t>
            </w:r>
            <w:r w:rsidR="00593237">
              <w:rPr>
                <w:rFonts w:ascii="Arial Narrow" w:hAnsi="Arial Narrow"/>
                <w:sz w:val="20"/>
                <w:szCs w:val="20"/>
              </w:rPr>
              <w:t>less than $10 million</w:t>
            </w:r>
            <w:r>
              <w:rPr>
                <w:rFonts w:ascii="Arial Narrow" w:hAnsi="Arial Narrow"/>
                <w:sz w:val="20"/>
                <w:szCs w:val="20"/>
              </w:rPr>
              <w:t xml:space="preserve"> in Year 1, decreasing to </w:t>
            </w:r>
            <w:r w:rsidR="00593237">
              <w:rPr>
                <w:rFonts w:ascii="Arial Narrow" w:hAnsi="Arial Narrow"/>
                <w:sz w:val="20"/>
                <w:szCs w:val="20"/>
              </w:rPr>
              <w:t>less than $10 million</w:t>
            </w:r>
            <w:r>
              <w:rPr>
                <w:rFonts w:ascii="Arial Narrow" w:hAnsi="Arial Narrow"/>
                <w:sz w:val="20"/>
                <w:szCs w:val="20"/>
              </w:rPr>
              <w:t xml:space="preserve"> in Year 6. </w:t>
            </w:r>
          </w:p>
        </w:tc>
      </w:tr>
      <w:tr w:rsidR="001C3753" w:rsidRPr="00F16087" w:rsidTr="001C3753">
        <w:trPr>
          <w:trHeight w:val="416"/>
        </w:trPr>
        <w:tc>
          <w:tcPr>
            <w:tcW w:w="547" w:type="pct"/>
          </w:tcPr>
          <w:p w:rsidR="00123993" w:rsidRPr="00BB7C9F" w:rsidRDefault="00123993" w:rsidP="00DF7FCB">
            <w:pPr>
              <w:rPr>
                <w:rFonts w:ascii="Arial Narrow" w:hAnsi="Arial Narrow"/>
                <w:sz w:val="20"/>
                <w:szCs w:val="20"/>
              </w:rPr>
            </w:pPr>
            <w:r w:rsidRPr="00BB7C9F">
              <w:rPr>
                <w:rFonts w:ascii="Arial Narrow" w:hAnsi="Arial Narrow"/>
                <w:sz w:val="20"/>
                <w:szCs w:val="20"/>
              </w:rPr>
              <w:t>Risk sharing arrangement</w:t>
            </w:r>
            <w:r>
              <w:rPr>
                <w:rFonts w:ascii="Arial Narrow" w:hAnsi="Arial Narrow"/>
                <w:sz w:val="20"/>
                <w:szCs w:val="20"/>
              </w:rPr>
              <w:t xml:space="preserve"> (RSA) </w:t>
            </w:r>
          </w:p>
        </w:tc>
        <w:tc>
          <w:tcPr>
            <w:tcW w:w="2533" w:type="pct"/>
          </w:tcPr>
          <w:p w:rsidR="00123993" w:rsidRDefault="00E2386F" w:rsidP="00DF7FCB">
            <w:pPr>
              <w:widowControl w:val="0"/>
              <w:spacing w:after="160"/>
              <w:jc w:val="both"/>
              <w:rPr>
                <w:rFonts w:ascii="Calibri" w:hAnsi="Calibri" w:cs="Arial"/>
                <w:snapToGrid w:val="0"/>
                <w:szCs w:val="22"/>
                <w:lang w:eastAsia="en-US"/>
              </w:rPr>
            </w:pPr>
            <w:r>
              <w:rPr>
                <w:rFonts w:ascii="Arial Narrow" w:hAnsi="Arial Narrow" w:cs="Arial"/>
                <w:bCs/>
                <w:snapToGrid w:val="0"/>
                <w:sz w:val="20"/>
                <w:szCs w:val="20"/>
                <w:lang w:val="en-GB" w:eastAsia="en-US"/>
              </w:rPr>
              <w:t>RSA proposed</w:t>
            </w:r>
            <w:r w:rsidR="00123993" w:rsidRPr="00411D3A">
              <w:rPr>
                <w:rFonts w:ascii="Arial Narrow" w:hAnsi="Arial Narrow" w:cs="Arial"/>
                <w:bCs/>
                <w:snapToGrid w:val="0"/>
                <w:sz w:val="20"/>
                <w:szCs w:val="20"/>
                <w:lang w:val="en-GB" w:eastAsia="en-US"/>
              </w:rPr>
              <w:t>.</w:t>
            </w:r>
          </w:p>
          <w:p w:rsidR="00123993" w:rsidRPr="00BB7C9F" w:rsidRDefault="00123993" w:rsidP="00DF7FCB">
            <w:pPr>
              <w:widowControl w:val="0"/>
              <w:spacing w:after="120"/>
              <w:jc w:val="both"/>
              <w:rPr>
                <w:rFonts w:ascii="Arial Narrow" w:hAnsi="Arial Narrow"/>
                <w:sz w:val="20"/>
                <w:szCs w:val="20"/>
              </w:rPr>
            </w:pPr>
          </w:p>
        </w:tc>
        <w:tc>
          <w:tcPr>
            <w:tcW w:w="1920" w:type="pct"/>
          </w:tcPr>
          <w:p w:rsidR="00123993" w:rsidRPr="00BB7C9F" w:rsidRDefault="00123993" w:rsidP="00E2386F">
            <w:pPr>
              <w:rPr>
                <w:rFonts w:ascii="Arial Narrow" w:hAnsi="Arial Narrow"/>
                <w:sz w:val="20"/>
                <w:szCs w:val="20"/>
              </w:rPr>
            </w:pPr>
            <w:r>
              <w:rPr>
                <w:rFonts w:ascii="Arial Narrow" w:hAnsi="Arial Narrow"/>
                <w:sz w:val="20"/>
                <w:szCs w:val="20"/>
              </w:rPr>
              <w:t xml:space="preserve">The resubmission provided additional detail </w:t>
            </w:r>
            <w:proofErr w:type="gramStart"/>
            <w:r>
              <w:rPr>
                <w:rFonts w:ascii="Arial Narrow" w:hAnsi="Arial Narrow"/>
                <w:sz w:val="20"/>
                <w:szCs w:val="20"/>
              </w:rPr>
              <w:t>in regard to</w:t>
            </w:r>
            <w:proofErr w:type="gramEnd"/>
            <w:r>
              <w:rPr>
                <w:rFonts w:ascii="Arial Narrow" w:hAnsi="Arial Narrow"/>
                <w:sz w:val="20"/>
                <w:szCs w:val="20"/>
              </w:rPr>
              <w:t xml:space="preserve"> the proposed RSA. </w:t>
            </w:r>
          </w:p>
        </w:tc>
      </w:tr>
    </w:tbl>
    <w:p w:rsidR="00123993" w:rsidRPr="00123993" w:rsidRDefault="00123993" w:rsidP="00123993">
      <w:pPr>
        <w:pStyle w:val="TableFooter"/>
        <w:widowControl/>
      </w:pPr>
      <w:r w:rsidRPr="00F16087">
        <w:t xml:space="preserve">Source: Compiled during the evaluation. Paragraph references </w:t>
      </w:r>
      <w:r>
        <w:t>for July 2018</w:t>
      </w:r>
      <w:r w:rsidRPr="00F16087">
        <w:t xml:space="preserve"> </w:t>
      </w:r>
      <w:r>
        <w:t xml:space="preserve">refer to the </w:t>
      </w:r>
      <w:proofErr w:type="spellStart"/>
      <w:r>
        <w:t>brentuximab</w:t>
      </w:r>
      <w:proofErr w:type="spellEnd"/>
      <w:r>
        <w:t xml:space="preserve"> </w:t>
      </w:r>
      <w:proofErr w:type="spellStart"/>
      <w:r>
        <w:t>vedotin</w:t>
      </w:r>
      <w:proofErr w:type="spellEnd"/>
      <w:r>
        <w:t xml:space="preserve"> </w:t>
      </w:r>
      <w:r w:rsidR="006D4D52">
        <w:t>PSD</w:t>
      </w:r>
      <w:r w:rsidR="00D47CAA">
        <w:t>.</w:t>
      </w:r>
    </w:p>
    <w:p w:rsidR="00103323" w:rsidRDefault="00103323" w:rsidP="001F74E6">
      <w:pPr>
        <w:pStyle w:val="TableFooter"/>
        <w:rPr>
          <w:highlight w:val="yellow"/>
        </w:rPr>
      </w:pPr>
    </w:p>
    <w:p w:rsidR="00103323" w:rsidRPr="00FA0CB6" w:rsidRDefault="00103323" w:rsidP="00FA0CB6">
      <w:pPr>
        <w:ind w:firstLine="709"/>
        <w:rPr>
          <w:rFonts w:asciiTheme="minorHAnsi" w:eastAsiaTheme="minorHAnsi" w:hAnsiTheme="minorHAnsi" w:cstheme="minorHAnsi"/>
          <w:i/>
        </w:rPr>
      </w:pPr>
      <w:r w:rsidRPr="00FA0CB6">
        <w:rPr>
          <w:rFonts w:asciiTheme="minorHAnsi" w:eastAsiaTheme="minorHAnsi" w:hAnsiTheme="minorHAnsi" w:cstheme="minorHAnsi"/>
          <w:i/>
        </w:rPr>
        <w:t>For more detail on PBAC’s view, see section 5 PBAC outcome.</w:t>
      </w:r>
    </w:p>
    <w:p w:rsidR="000B558D" w:rsidRPr="001F74E6" w:rsidRDefault="008D7A41" w:rsidP="001F74E6">
      <w:pPr>
        <w:pStyle w:val="Heading1"/>
      </w:pPr>
      <w:r w:rsidRPr="001F74E6">
        <w:t>C</w:t>
      </w:r>
      <w:r w:rsidR="00D84934" w:rsidRPr="001F74E6">
        <w:t>onsideration of the evidence</w:t>
      </w:r>
    </w:p>
    <w:p w:rsidR="00231AA8" w:rsidRPr="00525B39" w:rsidRDefault="00231AA8" w:rsidP="00697DEC">
      <w:pPr>
        <w:pStyle w:val="Heading2"/>
        <w:rPr>
          <w:snapToGrid w:val="0"/>
        </w:rPr>
      </w:pPr>
      <w:r w:rsidRPr="00525B39">
        <w:rPr>
          <w:snapToGrid w:val="0"/>
        </w:rPr>
        <w:t>Sponsor hearing</w:t>
      </w:r>
    </w:p>
    <w:p w:rsidR="00231AA8" w:rsidRPr="00231AA8" w:rsidRDefault="00231AA8" w:rsidP="00231AA8">
      <w:pPr>
        <w:widowControl w:val="0"/>
        <w:numPr>
          <w:ilvl w:val="1"/>
          <w:numId w:val="5"/>
        </w:numPr>
        <w:spacing w:after="120"/>
        <w:jc w:val="both"/>
        <w:rPr>
          <w:rFonts w:asciiTheme="minorHAnsi" w:hAnsiTheme="minorHAnsi" w:cs="Arial"/>
          <w:bCs/>
          <w:snapToGrid w:val="0"/>
        </w:rPr>
      </w:pPr>
      <w:r w:rsidRPr="00231AA8">
        <w:rPr>
          <w:rFonts w:asciiTheme="minorHAnsi" w:hAnsiTheme="minorHAnsi" w:cs="Arial"/>
          <w:bCs/>
          <w:snapToGrid w:val="0"/>
        </w:rPr>
        <w:t>There was no hearing for this ite</w:t>
      </w:r>
      <w:r>
        <w:rPr>
          <w:rFonts w:asciiTheme="minorHAnsi" w:hAnsiTheme="minorHAnsi" w:cs="Arial"/>
          <w:bCs/>
          <w:snapToGrid w:val="0"/>
        </w:rPr>
        <w:t>m as it was a minor submission.</w:t>
      </w:r>
    </w:p>
    <w:p w:rsidR="00231AA8" w:rsidRPr="00525B39" w:rsidRDefault="00231AA8" w:rsidP="00697DEC">
      <w:pPr>
        <w:pStyle w:val="Heading2"/>
        <w:rPr>
          <w:snapToGrid w:val="0"/>
        </w:rPr>
      </w:pPr>
      <w:r w:rsidRPr="00525B39">
        <w:rPr>
          <w:snapToGrid w:val="0"/>
        </w:rPr>
        <w:t>Consumer comments</w:t>
      </w:r>
    </w:p>
    <w:p w:rsidR="00231AA8" w:rsidRPr="00231AA8" w:rsidRDefault="00231AA8" w:rsidP="00231AA8">
      <w:pPr>
        <w:widowControl w:val="0"/>
        <w:numPr>
          <w:ilvl w:val="1"/>
          <w:numId w:val="5"/>
        </w:numPr>
        <w:spacing w:after="120"/>
        <w:jc w:val="both"/>
        <w:rPr>
          <w:rFonts w:asciiTheme="minorHAnsi" w:hAnsiTheme="minorHAnsi" w:cs="Arial"/>
          <w:bCs/>
          <w:snapToGrid w:val="0"/>
        </w:rPr>
      </w:pPr>
      <w:r w:rsidRPr="00525B39">
        <w:rPr>
          <w:rFonts w:asciiTheme="minorHAnsi" w:hAnsiTheme="minorHAnsi" w:cs="Arial"/>
          <w:bCs/>
          <w:snapToGrid w:val="0"/>
        </w:rPr>
        <w:t>The PBAC noted that no consumer comme</w:t>
      </w:r>
      <w:r>
        <w:rPr>
          <w:rFonts w:asciiTheme="minorHAnsi" w:hAnsiTheme="minorHAnsi" w:cs="Arial"/>
          <w:bCs/>
          <w:snapToGrid w:val="0"/>
        </w:rPr>
        <w:t xml:space="preserve">nts </w:t>
      </w:r>
      <w:proofErr w:type="gramStart"/>
      <w:r>
        <w:rPr>
          <w:rFonts w:asciiTheme="minorHAnsi" w:hAnsiTheme="minorHAnsi" w:cs="Arial"/>
          <w:bCs/>
          <w:snapToGrid w:val="0"/>
        </w:rPr>
        <w:t>were received</w:t>
      </w:r>
      <w:proofErr w:type="gramEnd"/>
      <w:r>
        <w:rPr>
          <w:rFonts w:asciiTheme="minorHAnsi" w:hAnsiTheme="minorHAnsi" w:cs="Arial"/>
          <w:bCs/>
          <w:snapToGrid w:val="0"/>
        </w:rPr>
        <w:t xml:space="preserve"> for this item</w:t>
      </w:r>
      <w:r w:rsidRPr="00525B39">
        <w:rPr>
          <w:rFonts w:asciiTheme="minorHAnsi" w:hAnsiTheme="minorHAnsi" w:cs="Arial"/>
          <w:bCs/>
          <w:snapToGrid w:val="0"/>
        </w:rPr>
        <w:t>.</w:t>
      </w:r>
    </w:p>
    <w:p w:rsidR="00D84934" w:rsidRPr="00937958" w:rsidRDefault="00D84934" w:rsidP="001F74E6">
      <w:pPr>
        <w:pStyle w:val="Heading2"/>
      </w:pPr>
      <w:r w:rsidRPr="003C2FB5">
        <w:t>Clinical trials</w:t>
      </w:r>
    </w:p>
    <w:p w:rsidR="00595223" w:rsidRDefault="00595223" w:rsidP="00595223">
      <w:pPr>
        <w:keepNext/>
        <w:widowControl w:val="0"/>
        <w:numPr>
          <w:ilvl w:val="1"/>
          <w:numId w:val="5"/>
        </w:numPr>
        <w:spacing w:after="120"/>
        <w:jc w:val="both"/>
        <w:rPr>
          <w:rFonts w:asciiTheme="minorHAnsi" w:eastAsiaTheme="minorHAnsi" w:hAnsiTheme="minorHAnsi" w:cstheme="minorBidi"/>
          <w:szCs w:val="22"/>
          <w:lang w:eastAsia="en-US"/>
        </w:rPr>
      </w:pPr>
      <w:r w:rsidRPr="00595223">
        <w:rPr>
          <w:rFonts w:asciiTheme="minorHAnsi" w:eastAsiaTheme="minorHAnsi" w:hAnsiTheme="minorHAnsi" w:cstheme="minorBidi"/>
          <w:szCs w:val="22"/>
          <w:lang w:eastAsia="en-US"/>
        </w:rPr>
        <w:t xml:space="preserve">The </w:t>
      </w:r>
      <w:r>
        <w:rPr>
          <w:rFonts w:asciiTheme="minorHAnsi" w:eastAsiaTheme="minorHAnsi" w:hAnsiTheme="minorHAnsi" w:cstheme="minorBidi"/>
          <w:szCs w:val="22"/>
          <w:lang w:eastAsia="en-US"/>
        </w:rPr>
        <w:t xml:space="preserve">July 2018 </w:t>
      </w:r>
      <w:r w:rsidRPr="00595223">
        <w:rPr>
          <w:rFonts w:asciiTheme="minorHAnsi" w:eastAsiaTheme="minorHAnsi" w:hAnsiTheme="minorHAnsi" w:cstheme="minorBidi"/>
          <w:szCs w:val="22"/>
          <w:lang w:eastAsia="en-US"/>
        </w:rPr>
        <w:t xml:space="preserve">submission’s primary comparison was a naïve comparison of the </w:t>
      </w:r>
      <w:proofErr w:type="spellStart"/>
      <w:r w:rsidRPr="00595223">
        <w:rPr>
          <w:rFonts w:asciiTheme="minorHAnsi" w:eastAsiaTheme="minorHAnsi" w:hAnsiTheme="minorHAnsi" w:cstheme="minorBidi"/>
          <w:szCs w:val="22"/>
          <w:lang w:eastAsia="en-US"/>
        </w:rPr>
        <w:t>brentuximab</w:t>
      </w:r>
      <w:proofErr w:type="spellEnd"/>
      <w:r w:rsidRPr="00595223">
        <w:rPr>
          <w:rFonts w:asciiTheme="minorHAnsi" w:eastAsiaTheme="minorHAnsi" w:hAnsiTheme="minorHAnsi" w:cstheme="minorBidi"/>
          <w:szCs w:val="22"/>
          <w:lang w:eastAsia="en-US"/>
        </w:rPr>
        <w:t xml:space="preserve"> </w:t>
      </w:r>
      <w:proofErr w:type="spellStart"/>
      <w:r w:rsidRPr="00595223">
        <w:rPr>
          <w:rFonts w:asciiTheme="minorHAnsi" w:eastAsiaTheme="minorHAnsi" w:hAnsiTheme="minorHAnsi" w:cstheme="minorBidi"/>
          <w:szCs w:val="22"/>
          <w:lang w:eastAsia="en-US"/>
        </w:rPr>
        <w:t>vedotin</w:t>
      </w:r>
      <w:proofErr w:type="spellEnd"/>
      <w:r w:rsidRPr="00595223">
        <w:rPr>
          <w:rFonts w:asciiTheme="minorHAnsi" w:eastAsiaTheme="minorHAnsi" w:hAnsiTheme="minorHAnsi" w:cstheme="minorBidi"/>
          <w:szCs w:val="22"/>
          <w:lang w:eastAsia="en-US"/>
        </w:rPr>
        <w:t xml:space="preserve"> arm of the Phase III, open-label ALCAN</w:t>
      </w:r>
      <w:r>
        <w:rPr>
          <w:rFonts w:asciiTheme="minorHAnsi" w:eastAsiaTheme="minorHAnsi" w:hAnsiTheme="minorHAnsi" w:cstheme="minorBidi"/>
          <w:szCs w:val="22"/>
          <w:lang w:eastAsia="en-US"/>
        </w:rPr>
        <w:t>ZA RCT</w:t>
      </w:r>
      <w:r w:rsidRPr="00595223">
        <w:rPr>
          <w:rFonts w:asciiTheme="minorHAnsi" w:eastAsiaTheme="minorHAnsi" w:hAnsiTheme="minorHAnsi" w:cstheme="minorBidi"/>
          <w:szCs w:val="22"/>
          <w:lang w:eastAsia="en-US"/>
        </w:rPr>
        <w:t xml:space="preserve"> (n=131) with the </w:t>
      </w:r>
      <w:proofErr w:type="spellStart"/>
      <w:r w:rsidRPr="00595223">
        <w:rPr>
          <w:rFonts w:asciiTheme="minorHAnsi" w:eastAsiaTheme="minorHAnsi" w:hAnsiTheme="minorHAnsi" w:cstheme="minorBidi"/>
          <w:szCs w:val="22"/>
          <w:lang w:eastAsia="en-US"/>
        </w:rPr>
        <w:t>vorinostat</w:t>
      </w:r>
      <w:proofErr w:type="spellEnd"/>
      <w:r w:rsidRPr="00595223">
        <w:rPr>
          <w:rFonts w:asciiTheme="minorHAnsi" w:eastAsiaTheme="minorHAnsi" w:hAnsiTheme="minorHAnsi" w:cstheme="minorBidi"/>
          <w:szCs w:val="22"/>
          <w:lang w:eastAsia="en-US"/>
        </w:rPr>
        <w:t xml:space="preserve"> arm of the Phase III, open-label MAVORIC RCT (n=372). The submission also presented two single-arm studies of </w:t>
      </w:r>
      <w:proofErr w:type="spellStart"/>
      <w:r w:rsidRPr="00595223">
        <w:rPr>
          <w:rFonts w:asciiTheme="minorHAnsi" w:eastAsiaTheme="minorHAnsi" w:hAnsiTheme="minorHAnsi" w:cstheme="minorBidi"/>
          <w:szCs w:val="22"/>
          <w:lang w:eastAsia="en-US"/>
        </w:rPr>
        <w:t>brentuximab</w:t>
      </w:r>
      <w:proofErr w:type="spellEnd"/>
      <w:r w:rsidRPr="00595223">
        <w:rPr>
          <w:rFonts w:asciiTheme="minorHAnsi" w:eastAsiaTheme="minorHAnsi" w:hAnsiTheme="minorHAnsi" w:cstheme="minorBidi"/>
          <w:szCs w:val="22"/>
          <w:lang w:eastAsia="en-US"/>
        </w:rPr>
        <w:t xml:space="preserve"> </w:t>
      </w:r>
      <w:proofErr w:type="spellStart"/>
      <w:r w:rsidRPr="00595223">
        <w:rPr>
          <w:rFonts w:asciiTheme="minorHAnsi" w:eastAsiaTheme="minorHAnsi" w:hAnsiTheme="minorHAnsi" w:cstheme="minorBidi"/>
          <w:szCs w:val="22"/>
          <w:lang w:eastAsia="en-US"/>
        </w:rPr>
        <w:t>vedotin</w:t>
      </w:r>
      <w:proofErr w:type="spellEnd"/>
      <w:r w:rsidRPr="00595223">
        <w:rPr>
          <w:rFonts w:asciiTheme="minorHAnsi" w:eastAsiaTheme="minorHAnsi" w:hAnsiTheme="minorHAnsi" w:cstheme="minorBidi"/>
          <w:szCs w:val="22"/>
          <w:lang w:eastAsia="en-US"/>
        </w:rPr>
        <w:t xml:space="preserve">: </w:t>
      </w:r>
      <w:proofErr w:type="spellStart"/>
      <w:r w:rsidRPr="00595223">
        <w:rPr>
          <w:rFonts w:asciiTheme="minorHAnsi" w:eastAsiaTheme="minorHAnsi" w:hAnsiTheme="minorHAnsi" w:cstheme="minorBidi"/>
          <w:szCs w:val="22"/>
          <w:lang w:eastAsia="en-US"/>
        </w:rPr>
        <w:t>Duvic</w:t>
      </w:r>
      <w:proofErr w:type="spellEnd"/>
      <w:r w:rsidRPr="00595223">
        <w:rPr>
          <w:rFonts w:asciiTheme="minorHAnsi" w:eastAsiaTheme="minorHAnsi" w:hAnsiTheme="minorHAnsi" w:cstheme="minorBidi"/>
          <w:szCs w:val="22"/>
          <w:lang w:eastAsia="en-US"/>
        </w:rPr>
        <w:t xml:space="preserve"> (2015) (N=48) and Kim (2015) (N=32)</w:t>
      </w:r>
      <w:proofErr w:type="gramStart"/>
      <w:r w:rsidRPr="00595223">
        <w:rPr>
          <w:rFonts w:asciiTheme="minorHAnsi" w:eastAsiaTheme="minorHAnsi" w:hAnsiTheme="minorHAnsi" w:cstheme="minorBidi"/>
          <w:szCs w:val="22"/>
          <w:lang w:eastAsia="en-US"/>
        </w:rPr>
        <w:t>;</w:t>
      </w:r>
      <w:proofErr w:type="gramEnd"/>
      <w:r w:rsidRPr="00595223">
        <w:rPr>
          <w:rFonts w:asciiTheme="minorHAnsi" w:eastAsiaTheme="minorHAnsi" w:hAnsiTheme="minorHAnsi" w:cstheme="minorBidi"/>
          <w:szCs w:val="22"/>
          <w:lang w:eastAsia="en-US"/>
        </w:rPr>
        <w:t xml:space="preserve"> and two single-arm studies of </w:t>
      </w:r>
      <w:proofErr w:type="spellStart"/>
      <w:r w:rsidRPr="00595223">
        <w:rPr>
          <w:rFonts w:asciiTheme="minorHAnsi" w:eastAsiaTheme="minorHAnsi" w:hAnsiTheme="minorHAnsi" w:cstheme="minorBidi"/>
          <w:szCs w:val="22"/>
          <w:lang w:eastAsia="en-US"/>
        </w:rPr>
        <w:t>vorinosta</w:t>
      </w:r>
      <w:r w:rsidR="00D47CAA">
        <w:rPr>
          <w:rFonts w:asciiTheme="minorHAnsi" w:eastAsiaTheme="minorHAnsi" w:hAnsiTheme="minorHAnsi" w:cstheme="minorBidi"/>
          <w:szCs w:val="22"/>
          <w:lang w:eastAsia="en-US"/>
        </w:rPr>
        <w:t>t</w:t>
      </w:r>
      <w:proofErr w:type="spellEnd"/>
      <w:r w:rsidR="00D47CAA">
        <w:rPr>
          <w:rFonts w:asciiTheme="minorHAnsi" w:eastAsiaTheme="minorHAnsi" w:hAnsiTheme="minorHAnsi" w:cstheme="minorBidi"/>
          <w:szCs w:val="22"/>
          <w:lang w:eastAsia="en-US"/>
        </w:rPr>
        <w:t>: P001 (n=74) and P005 (n=33).</w:t>
      </w:r>
    </w:p>
    <w:p w:rsidR="00595223" w:rsidRDefault="00595223" w:rsidP="00595223">
      <w:pPr>
        <w:keepNext/>
        <w:widowControl w:val="0"/>
        <w:numPr>
          <w:ilvl w:val="1"/>
          <w:numId w:val="5"/>
        </w:numPr>
        <w:spacing w:after="120"/>
        <w:jc w:val="both"/>
        <w:rPr>
          <w:rFonts w:asciiTheme="minorHAnsi" w:eastAsiaTheme="minorHAnsi" w:hAnsiTheme="minorHAnsi" w:cstheme="minorBidi"/>
          <w:szCs w:val="22"/>
        </w:rPr>
      </w:pPr>
      <w:r w:rsidRPr="00595223">
        <w:rPr>
          <w:rFonts w:asciiTheme="minorHAnsi" w:eastAsiaTheme="minorHAnsi" w:hAnsiTheme="minorHAnsi" w:cstheme="minorBidi"/>
          <w:szCs w:val="22"/>
          <w:lang w:eastAsia="en-US"/>
        </w:rPr>
        <w:t xml:space="preserve">The </w:t>
      </w:r>
      <w:r>
        <w:rPr>
          <w:rFonts w:asciiTheme="minorHAnsi" w:eastAsiaTheme="minorHAnsi" w:hAnsiTheme="minorHAnsi" w:cstheme="minorBidi"/>
          <w:szCs w:val="22"/>
          <w:lang w:eastAsia="en-US"/>
        </w:rPr>
        <w:t xml:space="preserve">July 2018 </w:t>
      </w:r>
      <w:r w:rsidRPr="00595223">
        <w:rPr>
          <w:rFonts w:asciiTheme="minorHAnsi" w:eastAsiaTheme="minorHAnsi" w:hAnsiTheme="minorHAnsi" w:cstheme="minorBidi"/>
          <w:szCs w:val="22"/>
          <w:lang w:eastAsia="en-US"/>
        </w:rPr>
        <w:t xml:space="preserve">submission’s supplementary comparison with methotrexate was based on one head-to-head randomised trial (ALCANZA) that compared </w:t>
      </w:r>
      <w:proofErr w:type="spellStart"/>
      <w:r w:rsidRPr="00595223">
        <w:rPr>
          <w:rFonts w:asciiTheme="minorHAnsi" w:eastAsiaTheme="minorHAnsi" w:hAnsiTheme="minorHAnsi" w:cstheme="minorBidi"/>
          <w:szCs w:val="22"/>
          <w:lang w:eastAsia="en-US"/>
        </w:rPr>
        <w:t>brentuximab</w:t>
      </w:r>
      <w:proofErr w:type="spellEnd"/>
      <w:r w:rsidRPr="00595223">
        <w:rPr>
          <w:rFonts w:asciiTheme="minorHAnsi" w:eastAsiaTheme="minorHAnsi" w:hAnsiTheme="minorHAnsi" w:cstheme="minorBidi"/>
          <w:szCs w:val="22"/>
          <w:lang w:eastAsia="en-US"/>
        </w:rPr>
        <w:t xml:space="preserve"> </w:t>
      </w:r>
      <w:proofErr w:type="spellStart"/>
      <w:r w:rsidRPr="00595223">
        <w:rPr>
          <w:rFonts w:asciiTheme="minorHAnsi" w:eastAsiaTheme="minorHAnsi" w:hAnsiTheme="minorHAnsi" w:cstheme="minorBidi"/>
          <w:szCs w:val="22"/>
          <w:lang w:eastAsia="en-US"/>
        </w:rPr>
        <w:t>vedotin</w:t>
      </w:r>
      <w:proofErr w:type="spellEnd"/>
      <w:r w:rsidRPr="00595223">
        <w:rPr>
          <w:rFonts w:asciiTheme="minorHAnsi" w:eastAsiaTheme="minorHAnsi" w:hAnsiTheme="minorHAnsi" w:cstheme="minorBidi"/>
          <w:szCs w:val="22"/>
          <w:lang w:eastAsia="en-US"/>
        </w:rPr>
        <w:t xml:space="preserve"> with methotrexate or </w:t>
      </w:r>
      <w:proofErr w:type="spellStart"/>
      <w:r w:rsidRPr="00595223">
        <w:rPr>
          <w:rFonts w:asciiTheme="minorHAnsi" w:eastAsiaTheme="minorHAnsi" w:hAnsiTheme="minorHAnsi" w:cstheme="minorBidi"/>
          <w:szCs w:val="22"/>
          <w:lang w:eastAsia="en-US"/>
        </w:rPr>
        <w:t>bexarotene</w:t>
      </w:r>
      <w:proofErr w:type="spellEnd"/>
      <w:r w:rsidRPr="00595223">
        <w:rPr>
          <w:rFonts w:asciiTheme="minorHAnsi" w:eastAsiaTheme="minorHAnsi" w:hAnsiTheme="minorHAnsi" w:cstheme="minorBidi"/>
          <w:szCs w:val="22"/>
          <w:lang w:eastAsia="en-US"/>
        </w:rPr>
        <w:t xml:space="preserve"> (physician’s choice) (N = 131).</w:t>
      </w:r>
      <w:r>
        <w:rPr>
          <w:rFonts w:asciiTheme="minorHAnsi" w:eastAsiaTheme="minorHAnsi" w:hAnsiTheme="minorHAnsi" w:cstheme="minorBidi"/>
          <w:szCs w:val="22"/>
          <w:lang w:eastAsia="en-US"/>
        </w:rPr>
        <w:t xml:space="preserve"> </w:t>
      </w:r>
      <w:r w:rsidRPr="00595223">
        <w:rPr>
          <w:rFonts w:asciiTheme="minorHAnsi" w:eastAsiaTheme="minorHAnsi" w:hAnsiTheme="minorHAnsi" w:cstheme="minorBidi"/>
          <w:szCs w:val="22"/>
          <w:lang w:eastAsia="en-US"/>
        </w:rPr>
        <w:t xml:space="preserve">The submission compared the </w:t>
      </w:r>
      <w:proofErr w:type="spellStart"/>
      <w:r w:rsidRPr="00595223">
        <w:rPr>
          <w:rFonts w:asciiTheme="minorHAnsi" w:eastAsiaTheme="minorHAnsi" w:hAnsiTheme="minorHAnsi" w:cstheme="minorBidi"/>
          <w:szCs w:val="22"/>
          <w:lang w:eastAsia="en-US"/>
        </w:rPr>
        <w:t>brentuximab</w:t>
      </w:r>
      <w:proofErr w:type="spellEnd"/>
      <w:r w:rsidRPr="00595223">
        <w:rPr>
          <w:rFonts w:asciiTheme="minorHAnsi" w:eastAsiaTheme="minorHAnsi" w:hAnsiTheme="minorHAnsi" w:cstheme="minorBidi"/>
          <w:szCs w:val="22"/>
          <w:lang w:eastAsia="en-US"/>
        </w:rPr>
        <w:t xml:space="preserve"> </w:t>
      </w:r>
      <w:proofErr w:type="spellStart"/>
      <w:r w:rsidRPr="00595223">
        <w:rPr>
          <w:rFonts w:asciiTheme="minorHAnsi" w:eastAsiaTheme="minorHAnsi" w:hAnsiTheme="minorHAnsi" w:cstheme="minorBidi"/>
          <w:szCs w:val="22"/>
          <w:lang w:eastAsia="en-US"/>
        </w:rPr>
        <w:t>vedotin</w:t>
      </w:r>
      <w:proofErr w:type="spellEnd"/>
      <w:r w:rsidRPr="00595223">
        <w:rPr>
          <w:rFonts w:asciiTheme="minorHAnsi" w:eastAsiaTheme="minorHAnsi" w:hAnsiTheme="minorHAnsi" w:cstheme="minorBidi"/>
          <w:szCs w:val="22"/>
          <w:lang w:eastAsia="en-US"/>
        </w:rPr>
        <w:t xml:space="preserve"> arm of the study with the methotrexate subgroup of the physician’s choice arm (n = 26). An additional single</w:t>
      </w:r>
      <w:r w:rsidRPr="00595223">
        <w:rPr>
          <w:rFonts w:asciiTheme="minorHAnsi" w:eastAsiaTheme="minorHAnsi" w:hAnsiTheme="minorHAnsi" w:cstheme="minorBidi"/>
          <w:szCs w:val="22"/>
          <w:lang w:eastAsia="en-US"/>
        </w:rPr>
        <w:noBreakHyphen/>
        <w:t xml:space="preserve">arm, retrospective, Australian study (Newland 2015) of methotrexate in the CTCL subtype </w:t>
      </w:r>
      <w:proofErr w:type="spellStart"/>
      <w:r w:rsidRPr="00595223">
        <w:rPr>
          <w:rFonts w:asciiTheme="minorHAnsi" w:eastAsiaTheme="minorHAnsi" w:hAnsiTheme="minorHAnsi" w:cstheme="minorBidi"/>
          <w:szCs w:val="22"/>
          <w:lang w:eastAsia="en-US"/>
        </w:rPr>
        <w:t>LyP</w:t>
      </w:r>
      <w:proofErr w:type="spellEnd"/>
      <w:r w:rsidRPr="00595223">
        <w:rPr>
          <w:rFonts w:asciiTheme="minorHAnsi" w:eastAsiaTheme="minorHAnsi" w:hAnsiTheme="minorHAnsi" w:cstheme="minorBidi"/>
          <w:szCs w:val="22"/>
          <w:lang w:eastAsia="en-US"/>
        </w:rPr>
        <w:t xml:space="preserve"> was </w:t>
      </w:r>
      <w:r w:rsidR="00D47CAA">
        <w:rPr>
          <w:rFonts w:asciiTheme="minorHAnsi" w:eastAsiaTheme="minorHAnsi" w:hAnsiTheme="minorHAnsi" w:cstheme="minorBidi"/>
          <w:szCs w:val="22"/>
          <w:lang w:eastAsia="en-US"/>
        </w:rPr>
        <w:t>included during the evaluation.</w:t>
      </w:r>
    </w:p>
    <w:p w:rsidR="001A3173" w:rsidRPr="00EE1992" w:rsidRDefault="00922DD5" w:rsidP="00625E00">
      <w:pPr>
        <w:pStyle w:val="ListParagraph"/>
        <w:widowControl/>
        <w:numPr>
          <w:ilvl w:val="1"/>
          <w:numId w:val="5"/>
        </w:numPr>
        <w:spacing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In July </w:t>
      </w:r>
      <w:proofErr w:type="gramStart"/>
      <w:r>
        <w:rPr>
          <w:rFonts w:asciiTheme="minorHAnsi" w:eastAsiaTheme="minorHAnsi" w:hAnsiTheme="minorHAnsi" w:cstheme="minorBidi"/>
          <w:snapToGrid/>
          <w:sz w:val="24"/>
          <w:szCs w:val="22"/>
        </w:rPr>
        <w:t>2018</w:t>
      </w:r>
      <w:proofErr w:type="gramEnd"/>
      <w:r>
        <w:rPr>
          <w:rFonts w:asciiTheme="minorHAnsi" w:eastAsiaTheme="minorHAnsi" w:hAnsiTheme="minorHAnsi" w:cstheme="minorBidi"/>
          <w:snapToGrid/>
          <w:sz w:val="24"/>
          <w:szCs w:val="22"/>
        </w:rPr>
        <w:t xml:space="preserve"> t</w:t>
      </w:r>
      <w:r w:rsidR="001A3173" w:rsidRPr="00625E00">
        <w:rPr>
          <w:rFonts w:asciiTheme="minorHAnsi" w:eastAsiaTheme="minorHAnsi" w:hAnsiTheme="minorHAnsi" w:cstheme="minorBidi"/>
          <w:snapToGrid/>
          <w:sz w:val="24"/>
          <w:szCs w:val="22"/>
        </w:rPr>
        <w:t xml:space="preserve">he PBAC noted that the ALCANZA trial included patients with MF and </w:t>
      </w:r>
      <w:proofErr w:type="spellStart"/>
      <w:r w:rsidR="001A3173" w:rsidRPr="00625E00">
        <w:rPr>
          <w:rFonts w:asciiTheme="minorHAnsi" w:eastAsiaTheme="minorHAnsi" w:hAnsiTheme="minorHAnsi" w:cstheme="minorBidi"/>
          <w:snapToGrid/>
          <w:sz w:val="24"/>
          <w:szCs w:val="22"/>
        </w:rPr>
        <w:t>pcALCL</w:t>
      </w:r>
      <w:proofErr w:type="spellEnd"/>
      <w:r w:rsidR="001A3173" w:rsidRPr="00625E00">
        <w:rPr>
          <w:rFonts w:asciiTheme="minorHAnsi" w:eastAsiaTheme="minorHAnsi" w:hAnsiTheme="minorHAnsi" w:cstheme="minorBidi"/>
          <w:snapToGrid/>
          <w:sz w:val="24"/>
          <w:szCs w:val="22"/>
        </w:rPr>
        <w:t xml:space="preserve"> only, with the majority of patients having MF. </w:t>
      </w:r>
      <w:proofErr w:type="gramStart"/>
      <w:r w:rsidR="001A3173" w:rsidRPr="00625E00">
        <w:rPr>
          <w:rFonts w:asciiTheme="minorHAnsi" w:eastAsiaTheme="minorHAnsi" w:hAnsiTheme="minorHAnsi" w:cstheme="minorBidi"/>
          <w:snapToGrid/>
          <w:sz w:val="24"/>
          <w:szCs w:val="22"/>
        </w:rPr>
        <w:t xml:space="preserve">The PBAC noted the Newland </w:t>
      </w:r>
      <w:r w:rsidR="001A3173" w:rsidRPr="00625E00">
        <w:rPr>
          <w:rFonts w:asciiTheme="minorHAnsi" w:eastAsiaTheme="minorHAnsi" w:hAnsiTheme="minorHAnsi" w:cstheme="minorBidi"/>
          <w:snapToGrid/>
          <w:sz w:val="24"/>
          <w:szCs w:val="22"/>
        </w:rPr>
        <w:lastRenderedPageBreak/>
        <w:t xml:space="preserve">(2015) study provided information on the use of methotrexate in patients with </w:t>
      </w:r>
      <w:proofErr w:type="spellStart"/>
      <w:r w:rsidR="001A3173" w:rsidRPr="00625E00">
        <w:rPr>
          <w:rFonts w:asciiTheme="minorHAnsi" w:eastAsiaTheme="minorHAnsi" w:hAnsiTheme="minorHAnsi" w:cstheme="minorBidi"/>
          <w:snapToGrid/>
          <w:sz w:val="24"/>
          <w:szCs w:val="22"/>
        </w:rPr>
        <w:t>LyP</w:t>
      </w:r>
      <w:proofErr w:type="spellEnd"/>
      <w:r w:rsidR="001A3173" w:rsidRPr="00625E00">
        <w:rPr>
          <w:rFonts w:asciiTheme="minorHAnsi" w:eastAsiaTheme="minorHAnsi" w:hAnsiTheme="minorHAnsi" w:cstheme="minorBidi"/>
          <w:snapToGrid/>
          <w:sz w:val="24"/>
          <w:szCs w:val="22"/>
        </w:rPr>
        <w:t xml:space="preserve"> but considered it was of limited relevance to the submission overall given the indolent nature of </w:t>
      </w:r>
      <w:proofErr w:type="spellStart"/>
      <w:r w:rsidR="001A3173" w:rsidRPr="00625E00">
        <w:rPr>
          <w:rFonts w:asciiTheme="minorHAnsi" w:eastAsiaTheme="minorHAnsi" w:hAnsiTheme="minorHAnsi" w:cstheme="minorBidi"/>
          <w:snapToGrid/>
          <w:sz w:val="24"/>
          <w:szCs w:val="22"/>
        </w:rPr>
        <w:t>LyP</w:t>
      </w:r>
      <w:proofErr w:type="spellEnd"/>
      <w:r w:rsidR="001A3173" w:rsidRPr="00625E00">
        <w:rPr>
          <w:rFonts w:asciiTheme="minorHAnsi" w:eastAsiaTheme="minorHAnsi" w:hAnsiTheme="minorHAnsi" w:cstheme="minorBidi"/>
          <w:snapToGrid/>
          <w:sz w:val="24"/>
          <w:szCs w:val="22"/>
        </w:rPr>
        <w:t xml:space="preserve">, the common watch and wait approach used in its management, and the ability to use other therapies such as topical steroids or oral </w:t>
      </w:r>
      <w:proofErr w:type="spellStart"/>
      <w:r w:rsidR="001A3173" w:rsidRPr="00625E00">
        <w:rPr>
          <w:rFonts w:asciiTheme="minorHAnsi" w:eastAsiaTheme="minorHAnsi" w:hAnsiTheme="minorHAnsi" w:cstheme="minorBidi"/>
          <w:snapToGrid/>
          <w:sz w:val="24"/>
          <w:szCs w:val="22"/>
        </w:rPr>
        <w:t>retinoids</w:t>
      </w:r>
      <w:proofErr w:type="spellEnd"/>
      <w:r w:rsidR="001A3173" w:rsidRPr="00625E00">
        <w:rPr>
          <w:rFonts w:asciiTheme="minorHAnsi" w:eastAsiaTheme="minorHAnsi" w:hAnsiTheme="minorHAnsi" w:cstheme="minorBidi"/>
          <w:snapToGrid/>
          <w:sz w:val="24"/>
          <w:szCs w:val="22"/>
        </w:rPr>
        <w:t xml:space="preserve"> in this condition.</w:t>
      </w:r>
      <w:proofErr w:type="gramEnd"/>
      <w:r w:rsidR="001A3173" w:rsidRPr="00625E00">
        <w:rPr>
          <w:rFonts w:asciiTheme="minorHAnsi" w:eastAsiaTheme="minorHAnsi" w:hAnsiTheme="minorHAnsi" w:cstheme="minorBidi"/>
          <w:snapToGrid/>
          <w:sz w:val="24"/>
          <w:szCs w:val="22"/>
        </w:rPr>
        <w:t xml:space="preserve"> The PBAC </w:t>
      </w:r>
      <w:r w:rsidR="005305F7">
        <w:rPr>
          <w:rFonts w:asciiTheme="minorHAnsi" w:eastAsiaTheme="minorHAnsi" w:hAnsiTheme="minorHAnsi" w:cstheme="minorBidi"/>
          <w:snapToGrid/>
          <w:sz w:val="24"/>
          <w:szCs w:val="22"/>
        </w:rPr>
        <w:t xml:space="preserve">considered </w:t>
      </w:r>
      <w:r w:rsidR="001A3173" w:rsidRPr="00625E00">
        <w:rPr>
          <w:rFonts w:asciiTheme="minorHAnsi" w:eastAsiaTheme="minorHAnsi" w:hAnsiTheme="minorHAnsi" w:cstheme="minorBidi"/>
          <w:snapToGrid/>
          <w:sz w:val="24"/>
          <w:szCs w:val="22"/>
        </w:rPr>
        <w:t xml:space="preserve">that </w:t>
      </w:r>
      <w:proofErr w:type="gramStart"/>
      <w:r w:rsidR="001A3173" w:rsidRPr="00625E00">
        <w:rPr>
          <w:rFonts w:asciiTheme="minorHAnsi" w:eastAsiaTheme="minorHAnsi" w:hAnsiTheme="minorHAnsi" w:cstheme="minorBidi"/>
          <w:snapToGrid/>
          <w:sz w:val="24"/>
          <w:szCs w:val="22"/>
        </w:rPr>
        <w:t>overall</w:t>
      </w:r>
      <w:r w:rsidR="009E31F3">
        <w:rPr>
          <w:rFonts w:asciiTheme="minorHAnsi" w:eastAsiaTheme="minorHAnsi" w:hAnsiTheme="minorHAnsi" w:cstheme="minorBidi"/>
          <w:snapToGrid/>
          <w:sz w:val="24"/>
          <w:szCs w:val="22"/>
        </w:rPr>
        <w:t>,</w:t>
      </w:r>
      <w:proofErr w:type="gramEnd"/>
      <w:r w:rsidR="001A3173" w:rsidRPr="00625E00">
        <w:rPr>
          <w:rFonts w:asciiTheme="minorHAnsi" w:eastAsiaTheme="minorHAnsi" w:hAnsiTheme="minorHAnsi" w:cstheme="minorBidi"/>
          <w:snapToGrid/>
          <w:sz w:val="24"/>
          <w:szCs w:val="22"/>
        </w:rPr>
        <w:t xml:space="preserve"> data on methotrexate was suboptimal in robustness. However, the PBAC noted that the ALCANZA trial did provide data on the efficacy of methotrexate, although underpowered, in a CD30 positive subset of CTCL (Paragraph 7.9, </w:t>
      </w:r>
      <w:proofErr w:type="spellStart"/>
      <w:r w:rsidR="001A3173" w:rsidRPr="00625E00">
        <w:rPr>
          <w:rFonts w:asciiTheme="minorHAnsi" w:eastAsiaTheme="minorHAnsi" w:hAnsiTheme="minorHAnsi" w:cstheme="minorBidi"/>
          <w:snapToGrid/>
          <w:sz w:val="24"/>
          <w:szCs w:val="22"/>
        </w:rPr>
        <w:t>brentuximab</w:t>
      </w:r>
      <w:proofErr w:type="spellEnd"/>
      <w:r w:rsidR="001A3173" w:rsidRPr="00625E00">
        <w:rPr>
          <w:rFonts w:asciiTheme="minorHAnsi" w:eastAsiaTheme="minorHAnsi" w:hAnsiTheme="minorHAnsi" w:cstheme="minorBidi"/>
          <w:snapToGrid/>
          <w:sz w:val="24"/>
          <w:szCs w:val="22"/>
        </w:rPr>
        <w:t xml:space="preserve"> </w:t>
      </w:r>
      <w:proofErr w:type="spellStart"/>
      <w:r w:rsidR="001A3173" w:rsidRPr="00625E00">
        <w:rPr>
          <w:rFonts w:asciiTheme="minorHAnsi" w:eastAsiaTheme="minorHAnsi" w:hAnsiTheme="minorHAnsi" w:cstheme="minorBidi"/>
          <w:snapToGrid/>
          <w:sz w:val="24"/>
          <w:szCs w:val="22"/>
        </w:rPr>
        <w:t>vedotin</w:t>
      </w:r>
      <w:proofErr w:type="spellEnd"/>
      <w:r w:rsidR="001A3173" w:rsidRPr="00625E00">
        <w:rPr>
          <w:rFonts w:asciiTheme="minorHAnsi" w:eastAsiaTheme="minorHAnsi" w:hAnsiTheme="minorHAnsi" w:cstheme="minorBidi"/>
          <w:snapToGrid/>
          <w:sz w:val="24"/>
          <w:szCs w:val="22"/>
        </w:rPr>
        <w:t xml:space="preserve"> PBAC </w:t>
      </w:r>
      <w:r w:rsidR="006D4D52">
        <w:rPr>
          <w:rFonts w:asciiTheme="minorHAnsi" w:eastAsiaTheme="minorHAnsi" w:hAnsiTheme="minorHAnsi" w:cstheme="minorBidi"/>
          <w:snapToGrid/>
          <w:sz w:val="24"/>
          <w:szCs w:val="22"/>
        </w:rPr>
        <w:t>PSD</w:t>
      </w:r>
      <w:r w:rsidR="001A3173" w:rsidRPr="00625E00">
        <w:rPr>
          <w:rFonts w:asciiTheme="minorHAnsi" w:eastAsiaTheme="minorHAnsi" w:hAnsiTheme="minorHAnsi" w:cstheme="minorBidi"/>
          <w:snapToGrid/>
          <w:sz w:val="24"/>
          <w:szCs w:val="22"/>
        </w:rPr>
        <w:t>, July 2018).</w:t>
      </w:r>
    </w:p>
    <w:p w:rsidR="00D84934" w:rsidRPr="00625E00" w:rsidRDefault="00595223" w:rsidP="00625E00">
      <w:pPr>
        <w:pStyle w:val="ListParagraph"/>
        <w:widowControl/>
        <w:numPr>
          <w:ilvl w:val="1"/>
          <w:numId w:val="5"/>
        </w:numPr>
        <w:spacing w:after="160"/>
        <w:contextualSpacing w:val="0"/>
        <w:rPr>
          <w:rFonts w:asciiTheme="minorHAnsi" w:eastAsiaTheme="minorHAnsi" w:hAnsiTheme="minorHAnsi" w:cstheme="minorBidi"/>
          <w:snapToGrid/>
          <w:sz w:val="24"/>
          <w:szCs w:val="22"/>
        </w:rPr>
      </w:pPr>
      <w:r w:rsidRPr="00625E00">
        <w:rPr>
          <w:rFonts w:asciiTheme="minorHAnsi" w:eastAsiaTheme="minorHAnsi" w:hAnsiTheme="minorHAnsi" w:cstheme="minorBidi"/>
          <w:snapToGrid/>
          <w:sz w:val="24"/>
          <w:szCs w:val="22"/>
        </w:rPr>
        <w:t>The minor resubmission provided updated</w:t>
      </w:r>
      <w:r w:rsidR="00625E00" w:rsidRPr="00625E00">
        <w:rPr>
          <w:rFonts w:asciiTheme="minorHAnsi" w:eastAsiaTheme="minorHAnsi" w:hAnsiTheme="minorHAnsi" w:cstheme="minorBidi"/>
          <w:snapToGrid/>
          <w:sz w:val="24"/>
          <w:szCs w:val="22"/>
        </w:rPr>
        <w:t xml:space="preserve"> data from the CSRs</w:t>
      </w:r>
      <w:r w:rsidRPr="00625E00">
        <w:rPr>
          <w:rFonts w:asciiTheme="minorHAnsi" w:eastAsiaTheme="minorHAnsi" w:hAnsiTheme="minorHAnsi" w:cstheme="minorBidi"/>
          <w:snapToGrid/>
          <w:sz w:val="24"/>
          <w:szCs w:val="22"/>
        </w:rPr>
        <w:t xml:space="preserve"> for the </w:t>
      </w:r>
      <w:proofErr w:type="spellStart"/>
      <w:r w:rsidRPr="00625E00">
        <w:rPr>
          <w:rFonts w:asciiTheme="minorHAnsi" w:eastAsiaTheme="minorHAnsi" w:hAnsiTheme="minorHAnsi" w:cstheme="minorBidi"/>
          <w:snapToGrid/>
          <w:sz w:val="24"/>
          <w:szCs w:val="22"/>
        </w:rPr>
        <w:t>Duvic</w:t>
      </w:r>
      <w:proofErr w:type="spellEnd"/>
      <w:r w:rsidRPr="00625E00">
        <w:rPr>
          <w:rFonts w:asciiTheme="minorHAnsi" w:eastAsiaTheme="minorHAnsi" w:hAnsiTheme="minorHAnsi" w:cstheme="minorBidi"/>
          <w:snapToGrid/>
          <w:sz w:val="24"/>
          <w:szCs w:val="22"/>
        </w:rPr>
        <w:t xml:space="preserve"> (2015) and Kim (2015) Phase II studies to support the use of </w:t>
      </w:r>
      <w:proofErr w:type="spellStart"/>
      <w:r w:rsidRPr="00625E00">
        <w:rPr>
          <w:rFonts w:asciiTheme="minorHAnsi" w:eastAsiaTheme="minorHAnsi" w:hAnsiTheme="minorHAnsi" w:cstheme="minorBidi"/>
          <w:snapToGrid/>
          <w:sz w:val="24"/>
          <w:szCs w:val="22"/>
        </w:rPr>
        <w:t>brentuximab</w:t>
      </w:r>
      <w:proofErr w:type="spellEnd"/>
      <w:r w:rsidRPr="00625E00">
        <w:rPr>
          <w:rFonts w:asciiTheme="minorHAnsi" w:eastAsiaTheme="minorHAnsi" w:hAnsiTheme="minorHAnsi" w:cstheme="minorBidi"/>
          <w:snapToGrid/>
          <w:sz w:val="24"/>
          <w:szCs w:val="22"/>
        </w:rPr>
        <w:t xml:space="preserve"> </w:t>
      </w:r>
      <w:proofErr w:type="spellStart"/>
      <w:r w:rsidRPr="00625E00">
        <w:rPr>
          <w:rFonts w:asciiTheme="minorHAnsi" w:eastAsiaTheme="minorHAnsi" w:hAnsiTheme="minorHAnsi" w:cstheme="minorBidi"/>
          <w:snapToGrid/>
          <w:sz w:val="24"/>
          <w:szCs w:val="22"/>
        </w:rPr>
        <w:t>vedotin</w:t>
      </w:r>
      <w:proofErr w:type="spellEnd"/>
      <w:r w:rsidRPr="00625E00">
        <w:rPr>
          <w:rFonts w:asciiTheme="minorHAnsi" w:eastAsiaTheme="minorHAnsi" w:hAnsiTheme="minorHAnsi" w:cstheme="minorBidi"/>
          <w:snapToGrid/>
          <w:sz w:val="24"/>
          <w:szCs w:val="22"/>
        </w:rPr>
        <w:t xml:space="preserve"> in SS</w:t>
      </w:r>
      <w:r w:rsidR="0096359C" w:rsidRPr="00625E00">
        <w:rPr>
          <w:rFonts w:asciiTheme="minorHAnsi" w:eastAsiaTheme="minorHAnsi" w:hAnsiTheme="minorHAnsi" w:cstheme="minorBidi"/>
          <w:snapToGrid/>
          <w:sz w:val="24"/>
          <w:szCs w:val="22"/>
        </w:rPr>
        <w:t xml:space="preserve"> and </w:t>
      </w:r>
      <w:proofErr w:type="spellStart"/>
      <w:r w:rsidR="0096359C" w:rsidRPr="00625E00">
        <w:rPr>
          <w:rFonts w:asciiTheme="minorHAnsi" w:eastAsiaTheme="minorHAnsi" w:hAnsiTheme="minorHAnsi" w:cstheme="minorBidi"/>
          <w:snapToGrid/>
          <w:sz w:val="24"/>
          <w:szCs w:val="22"/>
        </w:rPr>
        <w:t>LyP</w:t>
      </w:r>
      <w:proofErr w:type="spellEnd"/>
      <w:r w:rsidRPr="00625E00">
        <w:rPr>
          <w:rFonts w:asciiTheme="minorHAnsi" w:eastAsiaTheme="minorHAnsi" w:hAnsiTheme="minorHAnsi" w:cstheme="minorBidi"/>
          <w:snapToGrid/>
          <w:sz w:val="24"/>
          <w:szCs w:val="22"/>
        </w:rPr>
        <w:t xml:space="preserve">. </w:t>
      </w:r>
      <w:r w:rsidR="002F7088" w:rsidRPr="00625E00">
        <w:rPr>
          <w:rFonts w:asciiTheme="minorHAnsi" w:eastAsiaTheme="minorHAnsi" w:hAnsiTheme="minorHAnsi" w:cstheme="minorBidi"/>
          <w:snapToGrid/>
          <w:sz w:val="24"/>
          <w:szCs w:val="22"/>
        </w:rPr>
        <w:t xml:space="preserve">In addition, the minor </w:t>
      </w:r>
      <w:r w:rsidR="009164EF">
        <w:rPr>
          <w:rFonts w:asciiTheme="minorHAnsi" w:eastAsiaTheme="minorHAnsi" w:hAnsiTheme="minorHAnsi" w:cstheme="minorBidi"/>
          <w:snapToGrid/>
          <w:sz w:val="24"/>
          <w:szCs w:val="22"/>
        </w:rPr>
        <w:t>re</w:t>
      </w:r>
      <w:r w:rsidR="002F7088" w:rsidRPr="00625E00">
        <w:rPr>
          <w:rFonts w:asciiTheme="minorHAnsi" w:eastAsiaTheme="minorHAnsi" w:hAnsiTheme="minorHAnsi" w:cstheme="minorBidi"/>
          <w:snapToGrid/>
          <w:sz w:val="24"/>
          <w:szCs w:val="22"/>
        </w:rPr>
        <w:t xml:space="preserve">submission provided data from the ALCANZA trial on ORR and PFS outcomes by CD30 expression and from the </w:t>
      </w:r>
      <w:proofErr w:type="spellStart"/>
      <w:r w:rsidR="002F7088" w:rsidRPr="00625E00">
        <w:rPr>
          <w:rFonts w:asciiTheme="minorHAnsi" w:eastAsiaTheme="minorHAnsi" w:hAnsiTheme="minorHAnsi" w:cstheme="minorBidi"/>
          <w:snapToGrid/>
          <w:sz w:val="24"/>
          <w:szCs w:val="22"/>
        </w:rPr>
        <w:t>Duvic</w:t>
      </w:r>
      <w:proofErr w:type="spellEnd"/>
      <w:r w:rsidR="002F7088" w:rsidRPr="00625E00">
        <w:rPr>
          <w:rFonts w:asciiTheme="minorHAnsi" w:eastAsiaTheme="minorHAnsi" w:hAnsiTheme="minorHAnsi" w:cstheme="minorBidi"/>
          <w:snapToGrid/>
          <w:sz w:val="24"/>
          <w:szCs w:val="22"/>
        </w:rPr>
        <w:t xml:space="preserve"> (2015) and Kim (2015) trials on ORR by CD30 expression as evidence of the correlation between CD30 expression and response. </w:t>
      </w:r>
      <w:r w:rsidR="009164EF" w:rsidRPr="00103323">
        <w:rPr>
          <w:rFonts w:asciiTheme="minorHAnsi" w:eastAsiaTheme="minorHAnsi" w:hAnsiTheme="minorHAnsi" w:cstheme="minorBidi"/>
          <w:snapToGrid/>
          <w:sz w:val="24"/>
          <w:szCs w:val="22"/>
        </w:rPr>
        <w:t xml:space="preserve">As a minor </w:t>
      </w:r>
      <w:proofErr w:type="gramStart"/>
      <w:r w:rsidR="009164EF" w:rsidRPr="00103323">
        <w:rPr>
          <w:rFonts w:asciiTheme="minorHAnsi" w:eastAsiaTheme="minorHAnsi" w:hAnsiTheme="minorHAnsi" w:cstheme="minorBidi"/>
          <w:snapToGrid/>
          <w:sz w:val="24"/>
          <w:szCs w:val="22"/>
        </w:rPr>
        <w:t>resubmission</w:t>
      </w:r>
      <w:proofErr w:type="gramEnd"/>
      <w:r w:rsidR="009164EF" w:rsidRPr="00103323">
        <w:rPr>
          <w:rFonts w:asciiTheme="minorHAnsi" w:eastAsiaTheme="minorHAnsi" w:hAnsiTheme="minorHAnsi" w:cstheme="minorBidi"/>
          <w:snapToGrid/>
          <w:sz w:val="24"/>
          <w:szCs w:val="22"/>
        </w:rPr>
        <w:t xml:space="preserve"> the additional da</w:t>
      </w:r>
      <w:r w:rsidR="00D47CAA">
        <w:rPr>
          <w:rFonts w:asciiTheme="minorHAnsi" w:eastAsiaTheme="minorHAnsi" w:hAnsiTheme="minorHAnsi" w:cstheme="minorBidi"/>
          <w:snapToGrid/>
          <w:sz w:val="24"/>
          <w:szCs w:val="22"/>
        </w:rPr>
        <w:t>ta provided were not evaluated.</w:t>
      </w:r>
    </w:p>
    <w:p w:rsidR="005A3173" w:rsidRPr="00937958" w:rsidRDefault="005A3173" w:rsidP="001F74E6">
      <w:pPr>
        <w:pStyle w:val="Heading2"/>
      </w:pPr>
      <w:r w:rsidRPr="003C2FB5">
        <w:t>Comparative effectiveness</w:t>
      </w:r>
    </w:p>
    <w:p w:rsidR="00BE7A86" w:rsidRDefault="00BE7A86" w:rsidP="00BE7A86">
      <w:pPr>
        <w:keepNext/>
        <w:widowControl w:val="0"/>
        <w:numPr>
          <w:ilvl w:val="1"/>
          <w:numId w:val="5"/>
        </w:numPr>
        <w:spacing w:after="120"/>
        <w:jc w:val="both"/>
        <w:rPr>
          <w:rFonts w:asciiTheme="minorHAnsi" w:eastAsiaTheme="minorHAnsi" w:hAnsiTheme="minorHAnsi" w:cstheme="minorBidi"/>
          <w:szCs w:val="22"/>
          <w:lang w:eastAsia="en-US"/>
        </w:rPr>
      </w:pPr>
      <w:r w:rsidRPr="00BE7A86">
        <w:rPr>
          <w:rFonts w:asciiTheme="minorHAnsi" w:eastAsiaTheme="minorHAnsi" w:hAnsiTheme="minorHAnsi" w:cstheme="minorBidi"/>
          <w:szCs w:val="22"/>
          <w:lang w:eastAsia="en-US"/>
        </w:rPr>
        <w:t>The key effectiveness outcomes were response, either objective response rate (ORR) or ≥ 25%</w:t>
      </w:r>
      <w:r w:rsidR="00D47CAA">
        <w:rPr>
          <w:rFonts w:asciiTheme="minorHAnsi" w:eastAsiaTheme="minorHAnsi" w:hAnsiTheme="minorHAnsi" w:cstheme="minorBidi"/>
          <w:szCs w:val="22"/>
          <w:lang w:eastAsia="en-US"/>
        </w:rPr>
        <w:t xml:space="preserve"> improvement in </w:t>
      </w:r>
      <w:proofErr w:type="spellStart"/>
      <w:r w:rsidR="00D47CAA">
        <w:rPr>
          <w:rFonts w:asciiTheme="minorHAnsi" w:eastAsiaTheme="minorHAnsi" w:hAnsiTheme="minorHAnsi" w:cstheme="minorBidi"/>
          <w:szCs w:val="22"/>
          <w:lang w:eastAsia="en-US"/>
        </w:rPr>
        <w:t>mSWAT</w:t>
      </w:r>
      <w:proofErr w:type="spellEnd"/>
      <w:r w:rsidR="00D47CAA">
        <w:rPr>
          <w:rFonts w:asciiTheme="minorHAnsi" w:eastAsiaTheme="minorHAnsi" w:hAnsiTheme="minorHAnsi" w:cstheme="minorBidi"/>
          <w:szCs w:val="22"/>
          <w:lang w:eastAsia="en-US"/>
        </w:rPr>
        <w:t>, and PFS.</w:t>
      </w:r>
    </w:p>
    <w:p w:rsidR="00BE7A86" w:rsidRDefault="00BE7A86" w:rsidP="00BE7A86">
      <w:pPr>
        <w:keepNext/>
        <w:widowControl w:val="0"/>
        <w:numPr>
          <w:ilvl w:val="1"/>
          <w:numId w:val="5"/>
        </w:numPr>
        <w:spacing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The trial results for the primary and supplementary comparisons remain unchanged from the previous major submission conside</w:t>
      </w:r>
      <w:r w:rsidR="00D47CAA">
        <w:rPr>
          <w:rFonts w:asciiTheme="minorHAnsi" w:eastAsiaTheme="minorHAnsi" w:hAnsiTheme="minorHAnsi" w:cstheme="minorBidi"/>
          <w:szCs w:val="22"/>
          <w:lang w:eastAsia="en-US"/>
        </w:rPr>
        <w:t>red in July 2018 (See Table 1).</w:t>
      </w:r>
    </w:p>
    <w:p w:rsidR="00BE7A86" w:rsidRPr="00CB3342" w:rsidRDefault="00CB3342" w:rsidP="00BE7A86">
      <w:pPr>
        <w:keepNext/>
        <w:widowControl w:val="0"/>
        <w:numPr>
          <w:ilvl w:val="1"/>
          <w:numId w:val="5"/>
        </w:numPr>
        <w:spacing w:after="120"/>
        <w:jc w:val="both"/>
        <w:rPr>
          <w:rFonts w:asciiTheme="minorHAnsi" w:eastAsiaTheme="minorHAnsi" w:hAnsiTheme="minorHAnsi" w:cstheme="minorBidi"/>
          <w:szCs w:val="22"/>
          <w:lang w:eastAsia="en-US"/>
        </w:rPr>
      </w:pPr>
      <w:r>
        <w:rPr>
          <w:rFonts w:ascii="Calibri" w:hAnsi="Calibri"/>
          <w:szCs w:val="22"/>
        </w:rPr>
        <w:t xml:space="preserve">The results for the </w:t>
      </w:r>
      <w:proofErr w:type="spellStart"/>
      <w:r>
        <w:rPr>
          <w:rFonts w:ascii="Calibri" w:hAnsi="Calibri"/>
          <w:szCs w:val="22"/>
        </w:rPr>
        <w:t>brentuximab</w:t>
      </w:r>
      <w:proofErr w:type="spellEnd"/>
      <w:r>
        <w:rPr>
          <w:rFonts w:ascii="Calibri" w:hAnsi="Calibri"/>
          <w:szCs w:val="22"/>
        </w:rPr>
        <w:t xml:space="preserve"> </w:t>
      </w:r>
      <w:proofErr w:type="spellStart"/>
      <w:r>
        <w:rPr>
          <w:rFonts w:ascii="Calibri" w:hAnsi="Calibri"/>
          <w:szCs w:val="22"/>
        </w:rPr>
        <w:t>vedotin</w:t>
      </w:r>
      <w:proofErr w:type="spellEnd"/>
      <w:r>
        <w:rPr>
          <w:rFonts w:ascii="Calibri" w:hAnsi="Calibri"/>
          <w:szCs w:val="22"/>
        </w:rPr>
        <w:t xml:space="preserve"> versus methotrexate comparison </w:t>
      </w:r>
      <w:r w:rsidR="00485AF6">
        <w:rPr>
          <w:rFonts w:ascii="Calibri" w:hAnsi="Calibri"/>
          <w:szCs w:val="22"/>
        </w:rPr>
        <w:t xml:space="preserve">and for ORR by CTCL subtype </w:t>
      </w:r>
      <w:proofErr w:type="gramStart"/>
      <w:r>
        <w:rPr>
          <w:rFonts w:ascii="Calibri" w:hAnsi="Calibri"/>
          <w:szCs w:val="22"/>
        </w:rPr>
        <w:t>are provided</w:t>
      </w:r>
      <w:proofErr w:type="gramEnd"/>
      <w:r>
        <w:rPr>
          <w:rFonts w:ascii="Calibri" w:hAnsi="Calibri"/>
          <w:szCs w:val="22"/>
        </w:rPr>
        <w:t xml:space="preserve"> below. </w:t>
      </w:r>
      <w:r w:rsidR="00E548D7">
        <w:rPr>
          <w:rFonts w:ascii="Calibri" w:hAnsi="Calibri"/>
          <w:szCs w:val="22"/>
        </w:rPr>
        <w:t xml:space="preserve">This </w:t>
      </w:r>
      <w:proofErr w:type="gramStart"/>
      <w:r w:rsidR="00E548D7">
        <w:rPr>
          <w:rFonts w:ascii="Calibri" w:hAnsi="Calibri"/>
          <w:szCs w:val="22"/>
        </w:rPr>
        <w:t>is f</w:t>
      </w:r>
      <w:r w:rsidR="009164EF">
        <w:rPr>
          <w:rFonts w:ascii="Calibri" w:hAnsi="Calibri"/>
          <w:szCs w:val="22"/>
        </w:rPr>
        <w:t>ollowed</w:t>
      </w:r>
      <w:proofErr w:type="gramEnd"/>
      <w:r w:rsidR="009164EF">
        <w:rPr>
          <w:rFonts w:ascii="Calibri" w:hAnsi="Calibri"/>
          <w:szCs w:val="22"/>
        </w:rPr>
        <w:t xml:space="preserve"> by information on CD30 expression and response.</w:t>
      </w:r>
    </w:p>
    <w:p w:rsidR="00CB3342" w:rsidRPr="00CB3342" w:rsidRDefault="00CB3342" w:rsidP="00CB3342">
      <w:pPr>
        <w:pStyle w:val="BodyText"/>
        <w:keepNext/>
        <w:rPr>
          <w:rFonts w:asciiTheme="minorHAnsi" w:hAnsiTheme="minorHAnsi" w:cstheme="minorHAnsi"/>
          <w:u w:val="single"/>
        </w:rPr>
      </w:pPr>
      <w:proofErr w:type="spellStart"/>
      <w:r w:rsidRPr="00CB3342">
        <w:rPr>
          <w:rFonts w:asciiTheme="minorHAnsi" w:hAnsiTheme="minorHAnsi" w:cstheme="minorHAnsi"/>
          <w:u w:val="single"/>
        </w:rPr>
        <w:t>Brent</w:t>
      </w:r>
      <w:r w:rsidR="00D47CAA">
        <w:rPr>
          <w:rFonts w:asciiTheme="minorHAnsi" w:hAnsiTheme="minorHAnsi" w:cstheme="minorHAnsi"/>
          <w:u w:val="single"/>
        </w:rPr>
        <w:t>uximab</w:t>
      </w:r>
      <w:proofErr w:type="spellEnd"/>
      <w:r w:rsidR="00D47CAA">
        <w:rPr>
          <w:rFonts w:asciiTheme="minorHAnsi" w:hAnsiTheme="minorHAnsi" w:cstheme="minorHAnsi"/>
          <w:u w:val="single"/>
        </w:rPr>
        <w:t xml:space="preserve"> </w:t>
      </w:r>
      <w:proofErr w:type="spellStart"/>
      <w:r w:rsidR="00D47CAA">
        <w:rPr>
          <w:rFonts w:asciiTheme="minorHAnsi" w:hAnsiTheme="minorHAnsi" w:cstheme="minorHAnsi"/>
          <w:u w:val="single"/>
        </w:rPr>
        <w:t>vedotin</w:t>
      </w:r>
      <w:proofErr w:type="spellEnd"/>
      <w:r w:rsidR="00D47CAA">
        <w:rPr>
          <w:rFonts w:asciiTheme="minorHAnsi" w:hAnsiTheme="minorHAnsi" w:cstheme="minorHAnsi"/>
          <w:u w:val="single"/>
        </w:rPr>
        <w:t xml:space="preserve"> vs. methotrexate</w:t>
      </w:r>
    </w:p>
    <w:p w:rsidR="00CB3342" w:rsidRPr="00CB3342" w:rsidRDefault="00CB3342" w:rsidP="00CB3342">
      <w:pPr>
        <w:keepNext/>
        <w:widowControl w:val="0"/>
        <w:numPr>
          <w:ilvl w:val="1"/>
          <w:numId w:val="5"/>
        </w:numPr>
        <w:spacing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Table 2</w:t>
      </w:r>
      <w:r w:rsidRPr="00CB3342">
        <w:rPr>
          <w:rFonts w:asciiTheme="minorHAnsi" w:eastAsiaTheme="minorHAnsi" w:hAnsiTheme="minorHAnsi" w:cstheme="minorBidi"/>
          <w:szCs w:val="22"/>
          <w:lang w:eastAsia="en-US"/>
        </w:rPr>
        <w:t xml:space="preserve"> presents the response outcomes from the ALCANZA trial that compared </w:t>
      </w:r>
      <w:proofErr w:type="spellStart"/>
      <w:r w:rsidRPr="00CB3342">
        <w:rPr>
          <w:rFonts w:asciiTheme="minorHAnsi" w:eastAsiaTheme="minorHAnsi" w:hAnsiTheme="minorHAnsi" w:cstheme="minorBidi"/>
          <w:szCs w:val="22"/>
          <w:lang w:eastAsia="en-US"/>
        </w:rPr>
        <w:lastRenderedPageBreak/>
        <w:t>brentuximab</w:t>
      </w:r>
      <w:proofErr w:type="spellEnd"/>
      <w:r w:rsidRPr="00CB3342">
        <w:rPr>
          <w:rFonts w:asciiTheme="minorHAnsi" w:eastAsiaTheme="minorHAnsi" w:hAnsiTheme="minorHAnsi" w:cstheme="minorBidi"/>
          <w:szCs w:val="22"/>
          <w:lang w:eastAsia="en-US"/>
        </w:rPr>
        <w:t xml:space="preserve"> </w:t>
      </w:r>
      <w:proofErr w:type="spellStart"/>
      <w:r w:rsidRPr="00CB3342">
        <w:rPr>
          <w:rFonts w:asciiTheme="minorHAnsi" w:eastAsiaTheme="minorHAnsi" w:hAnsiTheme="minorHAnsi" w:cstheme="minorBidi"/>
          <w:szCs w:val="22"/>
          <w:lang w:eastAsia="en-US"/>
        </w:rPr>
        <w:t>vedotin</w:t>
      </w:r>
      <w:proofErr w:type="spellEnd"/>
      <w:r w:rsidRPr="00CB3342">
        <w:rPr>
          <w:rFonts w:asciiTheme="minorHAnsi" w:eastAsiaTheme="minorHAnsi" w:hAnsiTheme="minorHAnsi" w:cstheme="minorBidi"/>
          <w:szCs w:val="22"/>
          <w:lang w:eastAsia="en-US"/>
        </w:rPr>
        <w:t xml:space="preserve"> with physician’s choice of methotrexate or </w:t>
      </w:r>
      <w:proofErr w:type="spellStart"/>
      <w:r w:rsidRPr="00CB3342">
        <w:rPr>
          <w:rFonts w:asciiTheme="minorHAnsi" w:eastAsiaTheme="minorHAnsi" w:hAnsiTheme="minorHAnsi" w:cstheme="minorBidi"/>
          <w:szCs w:val="22"/>
          <w:lang w:eastAsia="en-US"/>
        </w:rPr>
        <w:t>bexarotene</w:t>
      </w:r>
      <w:proofErr w:type="spellEnd"/>
      <w:r w:rsidRPr="00CB3342">
        <w:rPr>
          <w:rFonts w:asciiTheme="minorHAnsi" w:eastAsiaTheme="minorHAnsi" w:hAnsiTheme="minorHAnsi" w:cstheme="minorBidi"/>
          <w:szCs w:val="22"/>
          <w:lang w:eastAsia="en-US"/>
        </w:rPr>
        <w:t>.</w:t>
      </w:r>
    </w:p>
    <w:p w:rsidR="00CE6212" w:rsidRDefault="00CE6212" w:rsidP="00CE6212">
      <w:pPr>
        <w:pStyle w:val="Caption"/>
        <w:keepNext/>
      </w:pPr>
      <w:r>
        <w:t xml:space="preserve">Table </w:t>
      </w:r>
      <w:r w:rsidR="00922DD5">
        <w:rPr>
          <w:noProof/>
        </w:rPr>
        <w:t>2</w:t>
      </w:r>
      <w:r w:rsidRPr="00AD12A9">
        <w:t>: Results of response outcomes from the ALCANZA trial (</w:t>
      </w:r>
      <w:proofErr w:type="spellStart"/>
      <w:r w:rsidRPr="00AD12A9">
        <w:t>brentuximab</w:t>
      </w:r>
      <w:proofErr w:type="spellEnd"/>
      <w:r w:rsidRPr="00AD12A9">
        <w:t xml:space="preserve"> </w:t>
      </w:r>
      <w:proofErr w:type="spellStart"/>
      <w:r w:rsidRPr="00AD12A9">
        <w:t>vedotin</w:t>
      </w:r>
      <w:proofErr w:type="spellEnd"/>
      <w:r w:rsidRPr="00AD12A9">
        <w:t xml:space="preserve"> vs. methotrexate)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558"/>
        <w:gridCol w:w="1419"/>
        <w:gridCol w:w="1702"/>
        <w:gridCol w:w="1558"/>
        <w:gridCol w:w="1365"/>
      </w:tblGrid>
      <w:tr w:rsidR="00CB3342" w:rsidRPr="00CB3342" w:rsidTr="00485AF6">
        <w:trPr>
          <w:tblHeader/>
        </w:trPr>
        <w:tc>
          <w:tcPr>
            <w:tcW w:w="735" w:type="pct"/>
            <w:vAlign w:val="center"/>
          </w:tcPr>
          <w:p w:rsidR="00CB3342" w:rsidRPr="00CB3342" w:rsidRDefault="00CB3342" w:rsidP="00CB3342">
            <w:pPr>
              <w:pStyle w:val="Tabletext"/>
              <w:keepNext/>
              <w:spacing w:after="0"/>
              <w:rPr>
                <w:rFonts w:ascii="Arial Narrow" w:hAnsi="Arial Narrow"/>
                <w:b/>
              </w:rPr>
            </w:pPr>
            <w:r w:rsidRPr="00CB3342">
              <w:rPr>
                <w:rFonts w:ascii="Arial Narrow" w:hAnsi="Arial Narrow"/>
                <w:b/>
              </w:rPr>
              <w:t xml:space="preserve">Outcome and assessor </w:t>
            </w:r>
          </w:p>
        </w:tc>
        <w:tc>
          <w:tcPr>
            <w:tcW w:w="874" w:type="pct"/>
            <w:vAlign w:val="center"/>
          </w:tcPr>
          <w:p w:rsidR="00CB3342" w:rsidRPr="00CB3342" w:rsidRDefault="00CB3342" w:rsidP="00CB3342">
            <w:pPr>
              <w:pStyle w:val="Tabletext"/>
              <w:keepNext/>
              <w:spacing w:after="0"/>
              <w:jc w:val="center"/>
              <w:rPr>
                <w:rFonts w:ascii="Arial Narrow" w:hAnsi="Arial Narrow"/>
                <w:b/>
              </w:rPr>
            </w:pPr>
            <w:r w:rsidRPr="00CB3342">
              <w:rPr>
                <w:rFonts w:ascii="Arial Narrow" w:hAnsi="Arial Narrow"/>
                <w:b/>
              </w:rPr>
              <w:t xml:space="preserve">BV </w:t>
            </w:r>
          </w:p>
        </w:tc>
        <w:tc>
          <w:tcPr>
            <w:tcW w:w="796" w:type="pct"/>
            <w:vAlign w:val="center"/>
          </w:tcPr>
          <w:p w:rsidR="00CB3342" w:rsidRPr="00CB3342" w:rsidRDefault="00D47CAA" w:rsidP="00CB3342">
            <w:pPr>
              <w:pStyle w:val="Tabletext"/>
              <w:keepNext/>
              <w:spacing w:after="0"/>
              <w:jc w:val="center"/>
              <w:rPr>
                <w:rFonts w:ascii="Arial Narrow" w:hAnsi="Arial Narrow"/>
                <w:b/>
              </w:rPr>
            </w:pPr>
            <w:r>
              <w:rPr>
                <w:rFonts w:ascii="Arial Narrow" w:hAnsi="Arial Narrow"/>
                <w:b/>
              </w:rPr>
              <w:t>PC</w:t>
            </w:r>
            <w:r w:rsidR="00CB3342" w:rsidRPr="00CB3342">
              <w:rPr>
                <w:rFonts w:ascii="Arial Narrow" w:hAnsi="Arial Narrow"/>
                <w:b/>
              </w:rPr>
              <w:br/>
              <w:t>(BEX or MTX)</w:t>
            </w:r>
          </w:p>
        </w:tc>
        <w:tc>
          <w:tcPr>
            <w:tcW w:w="955" w:type="pct"/>
          </w:tcPr>
          <w:p w:rsidR="00CB3342" w:rsidRPr="00CB3342" w:rsidRDefault="00D47CAA" w:rsidP="00CB3342">
            <w:pPr>
              <w:pStyle w:val="Tabletext"/>
              <w:keepNext/>
              <w:spacing w:after="0"/>
              <w:jc w:val="center"/>
              <w:rPr>
                <w:rFonts w:ascii="Arial Narrow" w:hAnsi="Arial Narrow"/>
                <w:b/>
              </w:rPr>
            </w:pPr>
            <w:r>
              <w:rPr>
                <w:rFonts w:ascii="Arial Narrow" w:hAnsi="Arial Narrow"/>
                <w:b/>
              </w:rPr>
              <w:t>Risk difference</w:t>
            </w:r>
            <w:r w:rsidR="00CB3342" w:rsidRPr="00CB3342">
              <w:rPr>
                <w:rFonts w:ascii="Arial Narrow" w:hAnsi="Arial Narrow"/>
                <w:b/>
              </w:rPr>
              <w:br/>
              <w:t>BV vs PC (95% CI)</w:t>
            </w:r>
          </w:p>
        </w:tc>
        <w:tc>
          <w:tcPr>
            <w:tcW w:w="874" w:type="pct"/>
            <w:vAlign w:val="center"/>
          </w:tcPr>
          <w:p w:rsidR="00CB3342" w:rsidRPr="00CB3342" w:rsidRDefault="00CB3342" w:rsidP="00CB3342">
            <w:pPr>
              <w:pStyle w:val="Tabletext"/>
              <w:keepNext/>
              <w:spacing w:after="0"/>
              <w:jc w:val="center"/>
              <w:rPr>
                <w:rFonts w:ascii="Arial Narrow" w:hAnsi="Arial Narrow"/>
                <w:b/>
              </w:rPr>
            </w:pPr>
            <w:r w:rsidRPr="00CB3342">
              <w:rPr>
                <w:rFonts w:ascii="Arial Narrow" w:hAnsi="Arial Narrow"/>
                <w:b/>
              </w:rPr>
              <w:t>MTX</w:t>
            </w:r>
          </w:p>
        </w:tc>
        <w:tc>
          <w:tcPr>
            <w:tcW w:w="766" w:type="pct"/>
            <w:vAlign w:val="center"/>
          </w:tcPr>
          <w:p w:rsidR="00CB3342" w:rsidRPr="00CB3342" w:rsidRDefault="00CB3342" w:rsidP="00CB3342">
            <w:pPr>
              <w:pStyle w:val="Tabletext"/>
              <w:keepNext/>
              <w:spacing w:after="0"/>
              <w:jc w:val="center"/>
              <w:rPr>
                <w:rFonts w:ascii="Arial Narrow" w:hAnsi="Arial Narrow"/>
                <w:b/>
              </w:rPr>
            </w:pPr>
            <w:r w:rsidRPr="00CB3342">
              <w:rPr>
                <w:rFonts w:ascii="Arial Narrow" w:hAnsi="Arial Narrow"/>
                <w:b/>
              </w:rPr>
              <w:t xml:space="preserve">BEX </w:t>
            </w:r>
          </w:p>
        </w:tc>
      </w:tr>
      <w:tr w:rsidR="00CB3342" w:rsidRPr="00CB3342" w:rsidTr="00485AF6">
        <w:tc>
          <w:tcPr>
            <w:tcW w:w="5000" w:type="pct"/>
            <w:gridSpan w:val="6"/>
          </w:tcPr>
          <w:p w:rsidR="00CB3342" w:rsidRPr="00CB3342" w:rsidRDefault="00CB3342" w:rsidP="00CB3342">
            <w:pPr>
              <w:pStyle w:val="Tabletext"/>
              <w:keepNext/>
              <w:spacing w:after="0"/>
              <w:rPr>
                <w:rFonts w:ascii="Arial Narrow" w:hAnsi="Arial Narrow"/>
                <w:b/>
              </w:rPr>
            </w:pPr>
            <w:r w:rsidRPr="00CB3342">
              <w:rPr>
                <w:rFonts w:ascii="Arial Narrow" w:hAnsi="Arial Narrow"/>
                <w:b/>
              </w:rPr>
              <w:t>ORR4 (primary outcome)</w:t>
            </w:r>
          </w:p>
        </w:tc>
      </w:tr>
      <w:tr w:rsidR="00CB3342" w:rsidRPr="00CB3342" w:rsidTr="00485AF6">
        <w:tc>
          <w:tcPr>
            <w:tcW w:w="735" w:type="pct"/>
            <w:vAlign w:val="center"/>
          </w:tcPr>
          <w:p w:rsidR="00CB3342" w:rsidRPr="00CB3342" w:rsidRDefault="00CB3342" w:rsidP="00CB3342">
            <w:pPr>
              <w:pStyle w:val="Tabletext"/>
              <w:keepNext/>
              <w:spacing w:after="0"/>
              <w:rPr>
                <w:rFonts w:ascii="Arial Narrow" w:hAnsi="Arial Narrow"/>
                <w:szCs w:val="22"/>
              </w:rPr>
            </w:pPr>
            <w:r w:rsidRPr="00CB3342">
              <w:rPr>
                <w:rFonts w:ascii="Arial Narrow" w:hAnsi="Arial Narrow"/>
                <w:szCs w:val="22"/>
              </w:rPr>
              <w:t xml:space="preserve">IRF </w:t>
            </w:r>
          </w:p>
        </w:tc>
        <w:tc>
          <w:tcPr>
            <w:tcW w:w="874"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36/64 (56%)</w:t>
            </w:r>
          </w:p>
        </w:tc>
        <w:tc>
          <w:tcPr>
            <w:tcW w:w="796"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8/64 (13%)</w:t>
            </w:r>
          </w:p>
        </w:tc>
        <w:tc>
          <w:tcPr>
            <w:tcW w:w="955" w:type="pct"/>
            <w:vAlign w:val="center"/>
          </w:tcPr>
          <w:p w:rsidR="00CB3342" w:rsidRPr="00CB3342" w:rsidRDefault="00CB3342" w:rsidP="00CB3342">
            <w:pPr>
              <w:pStyle w:val="Tabletext"/>
              <w:keepNext/>
              <w:spacing w:after="0"/>
              <w:jc w:val="center"/>
              <w:rPr>
                <w:rFonts w:ascii="Arial Narrow" w:hAnsi="Arial Narrow"/>
                <w:b/>
                <w:szCs w:val="22"/>
              </w:rPr>
            </w:pPr>
            <w:r w:rsidRPr="00CB3342">
              <w:rPr>
                <w:rFonts w:ascii="Arial Narrow" w:hAnsi="Arial Narrow"/>
                <w:b/>
                <w:szCs w:val="22"/>
              </w:rPr>
              <w:t>44% (29, 58)</w:t>
            </w:r>
          </w:p>
        </w:tc>
        <w:tc>
          <w:tcPr>
            <w:tcW w:w="874"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2/26 (8%)</w:t>
            </w:r>
          </w:p>
        </w:tc>
        <w:tc>
          <w:tcPr>
            <w:tcW w:w="766"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6/38 (16%)</w:t>
            </w:r>
          </w:p>
        </w:tc>
      </w:tr>
      <w:tr w:rsidR="00CB3342" w:rsidRPr="00CB3342" w:rsidTr="00485AF6">
        <w:tc>
          <w:tcPr>
            <w:tcW w:w="735" w:type="pct"/>
            <w:vAlign w:val="center"/>
          </w:tcPr>
          <w:p w:rsidR="00CB3342" w:rsidRPr="00CB3342" w:rsidRDefault="00CB3342" w:rsidP="00CB3342">
            <w:pPr>
              <w:pStyle w:val="Tabletext"/>
              <w:keepNext/>
              <w:spacing w:after="0"/>
              <w:rPr>
                <w:rFonts w:ascii="Arial Narrow" w:hAnsi="Arial Narrow"/>
                <w:szCs w:val="22"/>
              </w:rPr>
            </w:pPr>
            <w:r w:rsidRPr="00CB3342">
              <w:rPr>
                <w:rFonts w:ascii="Arial Narrow" w:hAnsi="Arial Narrow"/>
                <w:szCs w:val="22"/>
              </w:rPr>
              <w:t xml:space="preserve">Investigator </w:t>
            </w:r>
          </w:p>
        </w:tc>
        <w:tc>
          <w:tcPr>
            <w:tcW w:w="874"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38/64 (60%)</w:t>
            </w:r>
          </w:p>
        </w:tc>
        <w:tc>
          <w:tcPr>
            <w:tcW w:w="796"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5/64 (8%)</w:t>
            </w:r>
          </w:p>
        </w:tc>
        <w:tc>
          <w:tcPr>
            <w:tcW w:w="955" w:type="pct"/>
          </w:tcPr>
          <w:p w:rsidR="00CB3342" w:rsidRPr="00CB3342" w:rsidRDefault="00CB3342" w:rsidP="00CB3342">
            <w:pPr>
              <w:pStyle w:val="Tabletext"/>
              <w:keepNext/>
              <w:spacing w:after="0"/>
              <w:jc w:val="center"/>
              <w:rPr>
                <w:rFonts w:ascii="Arial Narrow" w:hAnsi="Arial Narrow"/>
                <w:b/>
                <w:szCs w:val="22"/>
              </w:rPr>
            </w:pPr>
            <w:r w:rsidRPr="00CB3342">
              <w:rPr>
                <w:rFonts w:ascii="Arial Narrow" w:hAnsi="Arial Narrow"/>
                <w:b/>
                <w:szCs w:val="22"/>
              </w:rPr>
              <w:t>52% (35, 66)</w:t>
            </w:r>
          </w:p>
        </w:tc>
        <w:tc>
          <w:tcPr>
            <w:tcW w:w="874"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2/26 (8%)</w:t>
            </w:r>
          </w:p>
        </w:tc>
        <w:tc>
          <w:tcPr>
            <w:tcW w:w="766"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3/38 (8%)</w:t>
            </w:r>
          </w:p>
        </w:tc>
      </w:tr>
      <w:tr w:rsidR="00CB3342" w:rsidRPr="00CB3342" w:rsidTr="00485AF6">
        <w:tc>
          <w:tcPr>
            <w:tcW w:w="5000" w:type="pct"/>
            <w:gridSpan w:val="6"/>
            <w:vAlign w:val="center"/>
          </w:tcPr>
          <w:p w:rsidR="00CB3342" w:rsidRPr="00CB3342" w:rsidRDefault="00CB3342" w:rsidP="00CB3342">
            <w:pPr>
              <w:pStyle w:val="Tabletext"/>
              <w:keepNext/>
              <w:spacing w:after="0"/>
              <w:rPr>
                <w:rFonts w:ascii="Arial Narrow" w:hAnsi="Arial Narrow"/>
                <w:b/>
              </w:rPr>
            </w:pPr>
            <w:r w:rsidRPr="00CB3342">
              <w:rPr>
                <w:rFonts w:ascii="Arial Narrow" w:hAnsi="Arial Narrow"/>
                <w:b/>
              </w:rPr>
              <w:t>ORR (CR + PR)</w:t>
            </w:r>
          </w:p>
        </w:tc>
      </w:tr>
      <w:tr w:rsidR="00CB3342" w:rsidRPr="00CB3342" w:rsidTr="00485AF6">
        <w:tc>
          <w:tcPr>
            <w:tcW w:w="735" w:type="pct"/>
            <w:vAlign w:val="center"/>
          </w:tcPr>
          <w:p w:rsidR="00CB3342" w:rsidRPr="00CB3342" w:rsidRDefault="00CB3342" w:rsidP="00CB3342">
            <w:pPr>
              <w:pStyle w:val="Tabletext"/>
              <w:keepNext/>
              <w:spacing w:after="0"/>
              <w:rPr>
                <w:rFonts w:ascii="Arial Narrow" w:hAnsi="Arial Narrow"/>
                <w:szCs w:val="22"/>
              </w:rPr>
            </w:pPr>
            <w:r w:rsidRPr="00CB3342">
              <w:rPr>
                <w:rFonts w:ascii="Arial Narrow" w:hAnsi="Arial Narrow"/>
                <w:szCs w:val="22"/>
              </w:rPr>
              <w:t xml:space="preserve">IRF </w:t>
            </w:r>
          </w:p>
        </w:tc>
        <w:tc>
          <w:tcPr>
            <w:tcW w:w="874"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43/64 (67%)</w:t>
            </w:r>
          </w:p>
        </w:tc>
        <w:tc>
          <w:tcPr>
            <w:tcW w:w="796"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13/64 (20%)</w:t>
            </w:r>
          </w:p>
        </w:tc>
        <w:tc>
          <w:tcPr>
            <w:tcW w:w="955" w:type="pct"/>
            <w:vAlign w:val="center"/>
          </w:tcPr>
          <w:p w:rsidR="00CB3342" w:rsidRPr="00CB3342" w:rsidRDefault="00CB3342" w:rsidP="00CB3342">
            <w:pPr>
              <w:pStyle w:val="Tabletext"/>
              <w:keepNext/>
              <w:spacing w:after="0"/>
              <w:jc w:val="center"/>
              <w:rPr>
                <w:rFonts w:ascii="Arial Narrow" w:hAnsi="Arial Narrow"/>
                <w:b/>
                <w:szCs w:val="22"/>
              </w:rPr>
            </w:pPr>
            <w:r w:rsidRPr="00CB3342">
              <w:rPr>
                <w:rFonts w:ascii="Arial Narrow" w:hAnsi="Arial Narrow"/>
                <w:b/>
                <w:szCs w:val="22"/>
              </w:rPr>
              <w:t>47% (32, 62)</w:t>
            </w:r>
          </w:p>
        </w:tc>
        <w:tc>
          <w:tcPr>
            <w:tcW w:w="874" w:type="pct"/>
            <w:vAlign w:val="center"/>
          </w:tcPr>
          <w:p w:rsidR="00CB3342" w:rsidRPr="00CB3342" w:rsidRDefault="00146494" w:rsidP="00CB3342">
            <w:pPr>
              <w:pStyle w:val="Tabletext"/>
              <w:keepNext/>
              <w:spacing w:after="0"/>
              <w:jc w:val="center"/>
              <w:rPr>
                <w:rFonts w:ascii="Arial Narrow" w:hAnsi="Arial Narrow"/>
                <w:szCs w:val="22"/>
              </w:rPr>
            </w:pPr>
            <w:r>
              <w:rPr>
                <w:rFonts w:ascii="Arial Narrow" w:hAnsi="Arial Narrow"/>
                <w:noProof/>
                <w:color w:val="000000"/>
                <w:szCs w:val="22"/>
                <w:highlight w:val="black"/>
              </w:rPr>
              <w:t>'''</w:t>
            </w:r>
            <w:r w:rsidR="00CB3342" w:rsidRPr="00CB3342">
              <w:rPr>
                <w:rFonts w:ascii="Arial Narrow" w:hAnsi="Arial Narrow"/>
                <w:szCs w:val="22"/>
              </w:rPr>
              <w:t>/26 (</w:t>
            </w:r>
            <w:proofErr w:type="gramStart"/>
            <w:r>
              <w:rPr>
                <w:rFonts w:ascii="Arial Narrow" w:hAnsi="Arial Narrow"/>
                <w:noProof/>
                <w:color w:val="000000"/>
                <w:szCs w:val="22"/>
                <w:highlight w:val="black"/>
              </w:rPr>
              <w:t>''''''</w:t>
            </w:r>
            <w:r w:rsidR="00CB3342" w:rsidRPr="00CB3342">
              <w:rPr>
                <w:rFonts w:ascii="Arial Narrow" w:hAnsi="Arial Narrow"/>
                <w:szCs w:val="22"/>
              </w:rPr>
              <w:t>%</w:t>
            </w:r>
            <w:proofErr w:type="gramEnd"/>
            <w:r w:rsidR="00CB3342" w:rsidRPr="00CB3342">
              <w:rPr>
                <w:rFonts w:ascii="Arial Narrow" w:hAnsi="Arial Narrow"/>
                <w:szCs w:val="22"/>
              </w:rPr>
              <w:t>)</w:t>
            </w:r>
          </w:p>
        </w:tc>
        <w:tc>
          <w:tcPr>
            <w:tcW w:w="766" w:type="pct"/>
            <w:vAlign w:val="center"/>
          </w:tcPr>
          <w:p w:rsidR="00CB3342" w:rsidRPr="00CB3342" w:rsidRDefault="00146494" w:rsidP="00CB3342">
            <w:pPr>
              <w:pStyle w:val="Tabletext"/>
              <w:keepNext/>
              <w:spacing w:after="0"/>
              <w:jc w:val="center"/>
              <w:rPr>
                <w:rFonts w:ascii="Arial Narrow" w:hAnsi="Arial Narrow"/>
                <w:szCs w:val="22"/>
              </w:rPr>
            </w:pPr>
            <w:r>
              <w:rPr>
                <w:rFonts w:ascii="Arial Narrow" w:hAnsi="Arial Narrow"/>
                <w:noProof/>
                <w:color w:val="000000"/>
                <w:szCs w:val="22"/>
                <w:highlight w:val="black"/>
              </w:rPr>
              <w:t>'''''''</w:t>
            </w:r>
            <w:r w:rsidR="00CB3342" w:rsidRPr="00CB3342">
              <w:rPr>
                <w:rFonts w:ascii="Arial Narrow" w:hAnsi="Arial Narrow"/>
                <w:szCs w:val="22"/>
              </w:rPr>
              <w:t>/38 (</w:t>
            </w:r>
            <w:r>
              <w:rPr>
                <w:rFonts w:ascii="Arial Narrow" w:hAnsi="Arial Narrow"/>
                <w:noProof/>
                <w:color w:val="000000"/>
                <w:szCs w:val="22"/>
                <w:highlight w:val="black"/>
              </w:rPr>
              <w:t>'''''''</w:t>
            </w:r>
            <w:r w:rsidR="00CB3342" w:rsidRPr="00CB3342">
              <w:rPr>
                <w:rFonts w:ascii="Arial Narrow" w:hAnsi="Arial Narrow"/>
                <w:szCs w:val="22"/>
              </w:rPr>
              <w:t>%)</w:t>
            </w:r>
          </w:p>
        </w:tc>
      </w:tr>
      <w:tr w:rsidR="00CB3342" w:rsidRPr="00CB3342" w:rsidTr="00485AF6">
        <w:tc>
          <w:tcPr>
            <w:tcW w:w="735" w:type="pct"/>
            <w:vAlign w:val="center"/>
          </w:tcPr>
          <w:p w:rsidR="00CB3342" w:rsidRPr="00CB3342" w:rsidRDefault="00CB3342" w:rsidP="00CB3342">
            <w:pPr>
              <w:pStyle w:val="Tabletext"/>
              <w:keepNext/>
              <w:spacing w:after="0"/>
              <w:rPr>
                <w:rFonts w:ascii="Arial Narrow" w:hAnsi="Arial Narrow"/>
                <w:szCs w:val="22"/>
              </w:rPr>
            </w:pPr>
            <w:r w:rsidRPr="00CB3342">
              <w:rPr>
                <w:rFonts w:ascii="Arial Narrow" w:hAnsi="Arial Narrow"/>
                <w:szCs w:val="22"/>
              </w:rPr>
              <w:t xml:space="preserve">Investigator </w:t>
            </w:r>
          </w:p>
        </w:tc>
        <w:tc>
          <w:tcPr>
            <w:tcW w:w="874"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44/64 (69%)</w:t>
            </w:r>
          </w:p>
        </w:tc>
        <w:tc>
          <w:tcPr>
            <w:tcW w:w="796"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14/64 (22%)</w:t>
            </w:r>
          </w:p>
        </w:tc>
        <w:tc>
          <w:tcPr>
            <w:tcW w:w="955" w:type="pct"/>
          </w:tcPr>
          <w:p w:rsidR="00CB3342" w:rsidRPr="00CB3342" w:rsidRDefault="00CB3342" w:rsidP="00CB3342">
            <w:pPr>
              <w:pStyle w:val="Tabletext"/>
              <w:keepNext/>
              <w:spacing w:after="0"/>
              <w:jc w:val="center"/>
              <w:rPr>
                <w:rFonts w:ascii="Arial Narrow" w:hAnsi="Arial Narrow"/>
                <w:b/>
                <w:szCs w:val="22"/>
              </w:rPr>
            </w:pPr>
            <w:r w:rsidRPr="00CB3342">
              <w:rPr>
                <w:rFonts w:ascii="Arial Narrow" w:hAnsi="Arial Narrow"/>
                <w:b/>
                <w:szCs w:val="22"/>
              </w:rPr>
              <w:t>47% (32, 62)</w:t>
            </w:r>
          </w:p>
        </w:tc>
        <w:tc>
          <w:tcPr>
            <w:tcW w:w="874" w:type="pct"/>
            <w:vAlign w:val="center"/>
          </w:tcPr>
          <w:p w:rsidR="00CB3342" w:rsidRPr="00CB3342" w:rsidRDefault="00146494" w:rsidP="00CB3342">
            <w:pPr>
              <w:pStyle w:val="Tabletext"/>
              <w:keepNext/>
              <w:spacing w:after="0"/>
              <w:jc w:val="center"/>
              <w:rPr>
                <w:rFonts w:ascii="Arial Narrow" w:hAnsi="Arial Narrow"/>
                <w:szCs w:val="22"/>
              </w:rPr>
            </w:pPr>
            <w:r>
              <w:rPr>
                <w:rFonts w:ascii="Arial Narrow" w:hAnsi="Arial Narrow"/>
                <w:noProof/>
                <w:color w:val="000000"/>
                <w:szCs w:val="22"/>
                <w:highlight w:val="black"/>
              </w:rPr>
              <w:t>''''</w:t>
            </w:r>
            <w:r w:rsidR="00CB3342" w:rsidRPr="00CB3342">
              <w:rPr>
                <w:rFonts w:ascii="Arial Narrow" w:hAnsi="Arial Narrow"/>
                <w:szCs w:val="22"/>
              </w:rPr>
              <w:t>/26 (</w:t>
            </w:r>
            <w:r>
              <w:rPr>
                <w:rFonts w:ascii="Arial Narrow" w:hAnsi="Arial Narrow"/>
                <w:noProof/>
                <w:color w:val="000000"/>
                <w:szCs w:val="22"/>
                <w:highlight w:val="black"/>
              </w:rPr>
              <w:t>'''''''</w:t>
            </w:r>
            <w:r w:rsidR="00CB3342" w:rsidRPr="00CB3342">
              <w:rPr>
                <w:rFonts w:ascii="Arial Narrow" w:hAnsi="Arial Narrow"/>
                <w:szCs w:val="22"/>
              </w:rPr>
              <w:t>%)</w:t>
            </w:r>
          </w:p>
        </w:tc>
        <w:tc>
          <w:tcPr>
            <w:tcW w:w="766" w:type="pct"/>
            <w:vAlign w:val="center"/>
          </w:tcPr>
          <w:p w:rsidR="00CB3342" w:rsidRPr="00CB3342" w:rsidRDefault="00146494" w:rsidP="00CB3342">
            <w:pPr>
              <w:pStyle w:val="Tabletext"/>
              <w:keepNext/>
              <w:spacing w:after="0"/>
              <w:jc w:val="center"/>
              <w:rPr>
                <w:rFonts w:ascii="Arial Narrow" w:hAnsi="Arial Narrow"/>
                <w:szCs w:val="22"/>
              </w:rPr>
            </w:pPr>
            <w:r>
              <w:rPr>
                <w:rFonts w:ascii="Arial Narrow" w:hAnsi="Arial Narrow"/>
                <w:noProof/>
                <w:color w:val="000000"/>
                <w:szCs w:val="22"/>
                <w:highlight w:val="black"/>
              </w:rPr>
              <w:t>'''</w:t>
            </w:r>
            <w:r w:rsidR="00CB3342" w:rsidRPr="00CB3342">
              <w:rPr>
                <w:rFonts w:ascii="Arial Narrow" w:hAnsi="Arial Narrow"/>
                <w:szCs w:val="22"/>
              </w:rPr>
              <w:t>/38 (</w:t>
            </w:r>
            <w:r>
              <w:rPr>
                <w:rFonts w:ascii="Arial Narrow" w:hAnsi="Arial Narrow"/>
                <w:noProof/>
                <w:color w:val="000000"/>
                <w:szCs w:val="22"/>
                <w:highlight w:val="black"/>
              </w:rPr>
              <w:t>'''''</w:t>
            </w:r>
            <w:r w:rsidR="00CB3342" w:rsidRPr="00CB3342">
              <w:rPr>
                <w:rFonts w:ascii="Arial Narrow" w:hAnsi="Arial Narrow"/>
                <w:szCs w:val="22"/>
              </w:rPr>
              <w:t>%)</w:t>
            </w:r>
          </w:p>
        </w:tc>
      </w:tr>
      <w:tr w:rsidR="00CB3342" w:rsidRPr="00CB3342" w:rsidTr="00485AF6">
        <w:tc>
          <w:tcPr>
            <w:tcW w:w="5000" w:type="pct"/>
            <w:gridSpan w:val="6"/>
            <w:vAlign w:val="center"/>
          </w:tcPr>
          <w:p w:rsidR="00CB3342" w:rsidRPr="00CB3342" w:rsidRDefault="00CB3342" w:rsidP="00CB3342">
            <w:pPr>
              <w:pStyle w:val="Tabletext"/>
              <w:keepNext/>
              <w:spacing w:after="0"/>
              <w:rPr>
                <w:rFonts w:ascii="Arial Narrow" w:hAnsi="Arial Narrow"/>
                <w:b/>
              </w:rPr>
            </w:pPr>
            <w:r w:rsidRPr="00CB3342">
              <w:rPr>
                <w:rFonts w:ascii="Arial Narrow" w:hAnsi="Arial Narrow"/>
                <w:b/>
              </w:rPr>
              <w:t xml:space="preserve">PR </w:t>
            </w:r>
          </w:p>
        </w:tc>
      </w:tr>
      <w:tr w:rsidR="00CB3342" w:rsidRPr="00CB3342" w:rsidTr="00485AF6">
        <w:tc>
          <w:tcPr>
            <w:tcW w:w="735" w:type="pct"/>
            <w:vAlign w:val="center"/>
          </w:tcPr>
          <w:p w:rsidR="00CB3342" w:rsidRPr="00CB3342" w:rsidRDefault="00CB3342" w:rsidP="00CB3342">
            <w:pPr>
              <w:pStyle w:val="Tabletext"/>
              <w:keepNext/>
              <w:spacing w:after="0"/>
              <w:rPr>
                <w:rFonts w:ascii="Arial Narrow" w:hAnsi="Arial Narrow"/>
                <w:szCs w:val="22"/>
              </w:rPr>
            </w:pPr>
            <w:r w:rsidRPr="00CB3342">
              <w:rPr>
                <w:rFonts w:ascii="Arial Narrow" w:hAnsi="Arial Narrow"/>
                <w:szCs w:val="22"/>
              </w:rPr>
              <w:t xml:space="preserve">IRF </w:t>
            </w:r>
          </w:p>
        </w:tc>
        <w:tc>
          <w:tcPr>
            <w:tcW w:w="874"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33/64 (52%)</w:t>
            </w:r>
          </w:p>
        </w:tc>
        <w:tc>
          <w:tcPr>
            <w:tcW w:w="796"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12/64 (19%)</w:t>
            </w:r>
          </w:p>
        </w:tc>
        <w:tc>
          <w:tcPr>
            <w:tcW w:w="955"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NR</w:t>
            </w:r>
          </w:p>
        </w:tc>
        <w:tc>
          <w:tcPr>
            <w:tcW w:w="874" w:type="pct"/>
            <w:vAlign w:val="center"/>
          </w:tcPr>
          <w:p w:rsidR="00CB3342" w:rsidRPr="00CB3342" w:rsidRDefault="00146494" w:rsidP="00CB3342">
            <w:pPr>
              <w:pStyle w:val="Tabletext"/>
              <w:keepNext/>
              <w:spacing w:after="0"/>
              <w:jc w:val="center"/>
              <w:rPr>
                <w:rFonts w:ascii="Arial Narrow" w:hAnsi="Arial Narrow"/>
                <w:szCs w:val="22"/>
              </w:rPr>
            </w:pPr>
            <w:r>
              <w:rPr>
                <w:rFonts w:ascii="Arial Narrow" w:hAnsi="Arial Narrow"/>
                <w:noProof/>
                <w:color w:val="000000"/>
                <w:szCs w:val="22"/>
                <w:highlight w:val="black"/>
              </w:rPr>
              <w:t>''''</w:t>
            </w:r>
            <w:r w:rsidR="00CB3342" w:rsidRPr="00CB3342">
              <w:rPr>
                <w:rFonts w:ascii="Arial Narrow" w:hAnsi="Arial Narrow"/>
                <w:szCs w:val="22"/>
              </w:rPr>
              <w:t>/26 (</w:t>
            </w:r>
            <w:proofErr w:type="gramStart"/>
            <w:r>
              <w:rPr>
                <w:rFonts w:ascii="Arial Narrow" w:hAnsi="Arial Narrow"/>
                <w:noProof/>
                <w:color w:val="000000"/>
                <w:szCs w:val="22"/>
                <w:highlight w:val="black"/>
              </w:rPr>
              <w:t>''''</w:t>
            </w:r>
            <w:r w:rsidR="00CB3342" w:rsidRPr="00CB3342">
              <w:rPr>
                <w:rFonts w:ascii="Arial Narrow" w:hAnsi="Arial Narrow"/>
                <w:szCs w:val="22"/>
              </w:rPr>
              <w:t>%</w:t>
            </w:r>
            <w:proofErr w:type="gramEnd"/>
            <w:r w:rsidR="00CB3342" w:rsidRPr="00CB3342">
              <w:rPr>
                <w:rFonts w:ascii="Arial Narrow" w:hAnsi="Arial Narrow"/>
                <w:szCs w:val="22"/>
              </w:rPr>
              <w:t>)</w:t>
            </w:r>
          </w:p>
        </w:tc>
        <w:tc>
          <w:tcPr>
            <w:tcW w:w="766" w:type="pct"/>
            <w:vAlign w:val="center"/>
          </w:tcPr>
          <w:p w:rsidR="00CB3342" w:rsidRPr="00CB3342" w:rsidRDefault="00146494" w:rsidP="00CB3342">
            <w:pPr>
              <w:pStyle w:val="Tabletext"/>
              <w:keepNext/>
              <w:spacing w:after="0"/>
              <w:jc w:val="center"/>
              <w:rPr>
                <w:rFonts w:ascii="Arial Narrow" w:hAnsi="Arial Narrow"/>
                <w:szCs w:val="22"/>
              </w:rPr>
            </w:pPr>
            <w:r>
              <w:rPr>
                <w:rFonts w:ascii="Arial Narrow" w:hAnsi="Arial Narrow"/>
                <w:noProof/>
                <w:color w:val="000000"/>
                <w:szCs w:val="22"/>
                <w:highlight w:val="black"/>
              </w:rPr>
              <w:t>'''''</w:t>
            </w:r>
            <w:r w:rsidR="00CB3342" w:rsidRPr="00CB3342">
              <w:rPr>
                <w:rFonts w:ascii="Arial Narrow" w:hAnsi="Arial Narrow"/>
                <w:szCs w:val="22"/>
              </w:rPr>
              <w:t>/38 (</w:t>
            </w:r>
            <w:proofErr w:type="gramStart"/>
            <w:r>
              <w:rPr>
                <w:rFonts w:ascii="Arial Narrow" w:hAnsi="Arial Narrow"/>
                <w:noProof/>
                <w:color w:val="000000"/>
                <w:szCs w:val="22"/>
                <w:highlight w:val="black"/>
              </w:rPr>
              <w:t>''''''</w:t>
            </w:r>
            <w:r w:rsidR="00CB3342" w:rsidRPr="00CB3342">
              <w:rPr>
                <w:rFonts w:ascii="Arial Narrow" w:hAnsi="Arial Narrow"/>
                <w:szCs w:val="22"/>
              </w:rPr>
              <w:t>%</w:t>
            </w:r>
            <w:proofErr w:type="gramEnd"/>
            <w:r w:rsidR="00CB3342" w:rsidRPr="00CB3342">
              <w:rPr>
                <w:rFonts w:ascii="Arial Narrow" w:hAnsi="Arial Narrow"/>
                <w:szCs w:val="22"/>
              </w:rPr>
              <w:t>)</w:t>
            </w:r>
          </w:p>
        </w:tc>
      </w:tr>
      <w:tr w:rsidR="00CB3342" w:rsidRPr="00CB3342" w:rsidTr="00485AF6">
        <w:tc>
          <w:tcPr>
            <w:tcW w:w="735" w:type="pct"/>
            <w:vAlign w:val="center"/>
          </w:tcPr>
          <w:p w:rsidR="00CB3342" w:rsidRPr="00CB3342" w:rsidRDefault="00CB3342" w:rsidP="00CB3342">
            <w:pPr>
              <w:pStyle w:val="Tabletext"/>
              <w:keepNext/>
              <w:spacing w:after="0"/>
              <w:rPr>
                <w:rFonts w:ascii="Arial Narrow" w:hAnsi="Arial Narrow"/>
                <w:szCs w:val="22"/>
              </w:rPr>
            </w:pPr>
            <w:r w:rsidRPr="00CB3342">
              <w:rPr>
                <w:rFonts w:ascii="Arial Narrow" w:hAnsi="Arial Narrow"/>
                <w:szCs w:val="22"/>
              </w:rPr>
              <w:t xml:space="preserve">Investigator </w:t>
            </w:r>
          </w:p>
        </w:tc>
        <w:tc>
          <w:tcPr>
            <w:tcW w:w="874"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32/64 (50%)</w:t>
            </w:r>
          </w:p>
        </w:tc>
        <w:tc>
          <w:tcPr>
            <w:tcW w:w="796" w:type="pct"/>
            <w:vAlign w:val="center"/>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14/64 (22%)</w:t>
            </w:r>
          </w:p>
        </w:tc>
        <w:tc>
          <w:tcPr>
            <w:tcW w:w="955" w:type="pct"/>
          </w:tcPr>
          <w:p w:rsidR="00CB3342" w:rsidRPr="00CB3342" w:rsidRDefault="00CB3342" w:rsidP="00CB3342">
            <w:pPr>
              <w:pStyle w:val="Tabletext"/>
              <w:keepNext/>
              <w:spacing w:after="0"/>
              <w:jc w:val="center"/>
              <w:rPr>
                <w:rFonts w:ascii="Arial Narrow" w:hAnsi="Arial Narrow"/>
                <w:szCs w:val="22"/>
              </w:rPr>
            </w:pPr>
            <w:r w:rsidRPr="00CB3342">
              <w:rPr>
                <w:rFonts w:ascii="Arial Narrow" w:hAnsi="Arial Narrow"/>
                <w:szCs w:val="22"/>
              </w:rPr>
              <w:t>NR</w:t>
            </w:r>
          </w:p>
        </w:tc>
        <w:tc>
          <w:tcPr>
            <w:tcW w:w="874" w:type="pct"/>
            <w:vAlign w:val="center"/>
          </w:tcPr>
          <w:p w:rsidR="00CB3342" w:rsidRPr="00CB3342" w:rsidRDefault="00146494" w:rsidP="00CB3342">
            <w:pPr>
              <w:pStyle w:val="Tabletext"/>
              <w:keepNext/>
              <w:spacing w:after="0"/>
              <w:jc w:val="center"/>
              <w:rPr>
                <w:rFonts w:ascii="Arial Narrow" w:hAnsi="Arial Narrow"/>
                <w:szCs w:val="22"/>
              </w:rPr>
            </w:pPr>
            <w:r>
              <w:rPr>
                <w:rFonts w:ascii="Arial Narrow" w:hAnsi="Arial Narrow"/>
                <w:noProof/>
                <w:color w:val="000000"/>
                <w:szCs w:val="22"/>
                <w:highlight w:val="black"/>
              </w:rPr>
              <w:t>'''</w:t>
            </w:r>
            <w:r w:rsidR="00CB3342" w:rsidRPr="00CB3342">
              <w:rPr>
                <w:rFonts w:ascii="Arial Narrow" w:hAnsi="Arial Narrow"/>
                <w:szCs w:val="22"/>
              </w:rPr>
              <w:t>/26 (</w:t>
            </w:r>
            <w:r>
              <w:rPr>
                <w:rFonts w:ascii="Arial Narrow" w:hAnsi="Arial Narrow"/>
                <w:noProof/>
                <w:color w:val="000000"/>
                <w:szCs w:val="22"/>
                <w:highlight w:val="black"/>
              </w:rPr>
              <w:t>'''''</w:t>
            </w:r>
            <w:r w:rsidR="00CB3342" w:rsidRPr="00CB3342">
              <w:rPr>
                <w:rFonts w:ascii="Arial Narrow" w:hAnsi="Arial Narrow"/>
                <w:szCs w:val="22"/>
              </w:rPr>
              <w:t>%)</w:t>
            </w:r>
          </w:p>
        </w:tc>
        <w:tc>
          <w:tcPr>
            <w:tcW w:w="766" w:type="pct"/>
            <w:vAlign w:val="center"/>
          </w:tcPr>
          <w:p w:rsidR="00CB3342" w:rsidRPr="00CB3342" w:rsidRDefault="00146494" w:rsidP="00CB3342">
            <w:pPr>
              <w:pStyle w:val="Tabletext"/>
              <w:keepNext/>
              <w:spacing w:after="0"/>
              <w:jc w:val="center"/>
              <w:rPr>
                <w:rFonts w:ascii="Arial Narrow" w:hAnsi="Arial Narrow"/>
                <w:szCs w:val="22"/>
              </w:rPr>
            </w:pPr>
            <w:r>
              <w:rPr>
                <w:rFonts w:ascii="Arial Narrow" w:hAnsi="Arial Narrow"/>
                <w:noProof/>
                <w:color w:val="000000"/>
                <w:szCs w:val="22"/>
                <w:highlight w:val="black"/>
              </w:rPr>
              <w:t>''''</w:t>
            </w:r>
            <w:r w:rsidR="00CB3342" w:rsidRPr="00CB3342">
              <w:rPr>
                <w:rFonts w:ascii="Arial Narrow" w:hAnsi="Arial Narrow"/>
                <w:szCs w:val="22"/>
              </w:rPr>
              <w:t>/38 (</w:t>
            </w:r>
            <w:r>
              <w:rPr>
                <w:rFonts w:ascii="Arial Narrow" w:hAnsi="Arial Narrow"/>
                <w:noProof/>
                <w:color w:val="000000"/>
                <w:szCs w:val="22"/>
                <w:highlight w:val="black"/>
              </w:rPr>
              <w:t>'''''''</w:t>
            </w:r>
            <w:r w:rsidR="00CB3342" w:rsidRPr="00CB3342">
              <w:rPr>
                <w:rFonts w:ascii="Arial Narrow" w:hAnsi="Arial Narrow"/>
                <w:szCs w:val="22"/>
              </w:rPr>
              <w:t>%)</w:t>
            </w:r>
          </w:p>
        </w:tc>
      </w:tr>
      <w:tr w:rsidR="00CB3342" w:rsidRPr="00CB3342" w:rsidTr="00485AF6">
        <w:tc>
          <w:tcPr>
            <w:tcW w:w="5000" w:type="pct"/>
            <w:gridSpan w:val="6"/>
            <w:vAlign w:val="center"/>
          </w:tcPr>
          <w:p w:rsidR="00CB3342" w:rsidRPr="00CB3342" w:rsidRDefault="00CB3342" w:rsidP="00CB3342">
            <w:pPr>
              <w:pStyle w:val="Tabletext"/>
              <w:keepNext/>
              <w:spacing w:after="0"/>
              <w:rPr>
                <w:rFonts w:ascii="Arial Narrow" w:hAnsi="Arial Narrow"/>
              </w:rPr>
            </w:pPr>
            <w:r w:rsidRPr="00CB3342">
              <w:rPr>
                <w:rFonts w:ascii="Arial Narrow" w:hAnsi="Arial Narrow"/>
                <w:b/>
              </w:rPr>
              <w:t>CR</w:t>
            </w:r>
          </w:p>
        </w:tc>
      </w:tr>
      <w:tr w:rsidR="00CB3342" w:rsidRPr="00CB3342" w:rsidTr="00485AF6">
        <w:tc>
          <w:tcPr>
            <w:tcW w:w="735" w:type="pct"/>
            <w:vAlign w:val="center"/>
          </w:tcPr>
          <w:p w:rsidR="00CB3342" w:rsidRPr="00CB3342" w:rsidRDefault="00CB3342" w:rsidP="00CB3342">
            <w:pPr>
              <w:pStyle w:val="Tabletext"/>
              <w:keepNext/>
              <w:spacing w:after="0"/>
              <w:rPr>
                <w:rFonts w:ascii="Arial Narrow" w:hAnsi="Arial Narrow"/>
              </w:rPr>
            </w:pPr>
            <w:r w:rsidRPr="00CB3342">
              <w:rPr>
                <w:rFonts w:ascii="Arial Narrow" w:hAnsi="Arial Narrow"/>
              </w:rPr>
              <w:t xml:space="preserve">IRF </w:t>
            </w:r>
          </w:p>
        </w:tc>
        <w:tc>
          <w:tcPr>
            <w:tcW w:w="874" w:type="pct"/>
            <w:vAlign w:val="center"/>
          </w:tcPr>
          <w:p w:rsidR="00CB3342" w:rsidRPr="00CB3342" w:rsidRDefault="00CB3342" w:rsidP="00CB3342">
            <w:pPr>
              <w:pStyle w:val="Tabletext"/>
              <w:keepNext/>
              <w:spacing w:after="0"/>
              <w:jc w:val="center"/>
              <w:rPr>
                <w:rFonts w:ascii="Arial Narrow" w:hAnsi="Arial Narrow"/>
              </w:rPr>
            </w:pPr>
            <w:r w:rsidRPr="00CB3342">
              <w:rPr>
                <w:rFonts w:ascii="Arial Narrow" w:hAnsi="Arial Narrow"/>
              </w:rPr>
              <w:t>10/64 (16%)</w:t>
            </w:r>
          </w:p>
        </w:tc>
        <w:tc>
          <w:tcPr>
            <w:tcW w:w="796" w:type="pct"/>
            <w:vAlign w:val="center"/>
          </w:tcPr>
          <w:p w:rsidR="00CB3342" w:rsidRPr="00CB3342" w:rsidRDefault="00CB3342" w:rsidP="00CB3342">
            <w:pPr>
              <w:pStyle w:val="Tabletext"/>
              <w:keepNext/>
              <w:spacing w:after="0"/>
              <w:jc w:val="center"/>
              <w:rPr>
                <w:rFonts w:ascii="Arial Narrow" w:hAnsi="Arial Narrow"/>
              </w:rPr>
            </w:pPr>
            <w:r w:rsidRPr="00CB3342">
              <w:rPr>
                <w:rFonts w:ascii="Arial Narrow" w:hAnsi="Arial Narrow"/>
              </w:rPr>
              <w:t>1/64 (2%)</w:t>
            </w:r>
          </w:p>
        </w:tc>
        <w:tc>
          <w:tcPr>
            <w:tcW w:w="955" w:type="pct"/>
            <w:vAlign w:val="center"/>
          </w:tcPr>
          <w:p w:rsidR="00CB3342" w:rsidRPr="00CB3342" w:rsidRDefault="00CB3342" w:rsidP="00CB3342">
            <w:pPr>
              <w:pStyle w:val="Tabletext"/>
              <w:keepNext/>
              <w:spacing w:after="0"/>
              <w:jc w:val="center"/>
              <w:rPr>
                <w:rFonts w:ascii="Arial Narrow" w:hAnsi="Arial Narrow"/>
              </w:rPr>
            </w:pPr>
            <w:r w:rsidRPr="00CB3342">
              <w:rPr>
                <w:rFonts w:ascii="Arial Narrow" w:hAnsi="Arial Narrow"/>
              </w:rPr>
              <w:t>14% (-4, 32)</w:t>
            </w:r>
          </w:p>
        </w:tc>
        <w:tc>
          <w:tcPr>
            <w:tcW w:w="874" w:type="pct"/>
            <w:vAlign w:val="center"/>
          </w:tcPr>
          <w:p w:rsidR="00CB3342" w:rsidRPr="00CB3342" w:rsidRDefault="00CB3342" w:rsidP="00CB3342">
            <w:pPr>
              <w:pStyle w:val="Tabletext"/>
              <w:keepNext/>
              <w:spacing w:after="0"/>
              <w:jc w:val="center"/>
              <w:rPr>
                <w:rFonts w:ascii="Arial Narrow" w:hAnsi="Arial Narrow"/>
              </w:rPr>
            </w:pPr>
            <w:r w:rsidRPr="00CB3342">
              <w:rPr>
                <w:rFonts w:ascii="Arial Narrow" w:hAnsi="Arial Narrow"/>
              </w:rPr>
              <w:t>1/26 (4%)</w:t>
            </w:r>
          </w:p>
        </w:tc>
        <w:tc>
          <w:tcPr>
            <w:tcW w:w="766" w:type="pct"/>
            <w:vAlign w:val="center"/>
          </w:tcPr>
          <w:p w:rsidR="00CB3342" w:rsidRPr="00CB3342" w:rsidRDefault="00CB3342" w:rsidP="00CB3342">
            <w:pPr>
              <w:pStyle w:val="Tabletext"/>
              <w:keepNext/>
              <w:spacing w:after="0"/>
              <w:jc w:val="center"/>
              <w:rPr>
                <w:rFonts w:ascii="Arial Narrow" w:hAnsi="Arial Narrow"/>
              </w:rPr>
            </w:pPr>
            <w:r w:rsidRPr="00CB3342">
              <w:rPr>
                <w:rFonts w:ascii="Arial Narrow" w:hAnsi="Arial Narrow"/>
              </w:rPr>
              <w:t>0/38 (0%)</w:t>
            </w:r>
          </w:p>
        </w:tc>
      </w:tr>
      <w:tr w:rsidR="00CB3342" w:rsidRPr="00CB3342" w:rsidTr="00485AF6">
        <w:tc>
          <w:tcPr>
            <w:tcW w:w="735" w:type="pct"/>
            <w:vAlign w:val="center"/>
          </w:tcPr>
          <w:p w:rsidR="00CB3342" w:rsidRPr="00CB3342" w:rsidRDefault="00CB3342" w:rsidP="00CB3342">
            <w:pPr>
              <w:pStyle w:val="Tabletext"/>
              <w:keepNext/>
              <w:spacing w:after="0"/>
              <w:rPr>
                <w:rFonts w:ascii="Arial Narrow" w:hAnsi="Arial Narrow"/>
              </w:rPr>
            </w:pPr>
            <w:r w:rsidRPr="00CB3342">
              <w:rPr>
                <w:rFonts w:ascii="Arial Narrow" w:hAnsi="Arial Narrow"/>
              </w:rPr>
              <w:t xml:space="preserve">Investigator </w:t>
            </w:r>
          </w:p>
        </w:tc>
        <w:tc>
          <w:tcPr>
            <w:tcW w:w="874" w:type="pct"/>
            <w:vAlign w:val="center"/>
          </w:tcPr>
          <w:p w:rsidR="00CB3342" w:rsidRPr="00CB3342" w:rsidRDefault="00CB3342" w:rsidP="00CB3342">
            <w:pPr>
              <w:pStyle w:val="Tabletext"/>
              <w:keepNext/>
              <w:spacing w:after="0"/>
              <w:jc w:val="center"/>
              <w:rPr>
                <w:rFonts w:ascii="Arial Narrow" w:hAnsi="Arial Narrow"/>
              </w:rPr>
            </w:pPr>
            <w:r w:rsidRPr="00CB3342">
              <w:rPr>
                <w:rFonts w:ascii="Arial Narrow" w:hAnsi="Arial Narrow"/>
              </w:rPr>
              <w:t>12/64 (19%)</w:t>
            </w:r>
          </w:p>
        </w:tc>
        <w:tc>
          <w:tcPr>
            <w:tcW w:w="796" w:type="pct"/>
            <w:vAlign w:val="center"/>
          </w:tcPr>
          <w:p w:rsidR="00CB3342" w:rsidRPr="00CB3342" w:rsidRDefault="00CB3342" w:rsidP="00CB3342">
            <w:pPr>
              <w:pStyle w:val="Tabletext"/>
              <w:keepNext/>
              <w:spacing w:after="0"/>
              <w:jc w:val="center"/>
              <w:rPr>
                <w:rFonts w:ascii="Arial Narrow" w:hAnsi="Arial Narrow"/>
              </w:rPr>
            </w:pPr>
            <w:r w:rsidRPr="00CB3342">
              <w:rPr>
                <w:rFonts w:ascii="Arial Narrow" w:hAnsi="Arial Narrow"/>
              </w:rPr>
              <w:t>0/64 (0%)</w:t>
            </w:r>
          </w:p>
        </w:tc>
        <w:tc>
          <w:tcPr>
            <w:tcW w:w="955" w:type="pct"/>
          </w:tcPr>
          <w:p w:rsidR="00CB3342" w:rsidRPr="00CB3342" w:rsidRDefault="00CB3342" w:rsidP="00CB3342">
            <w:pPr>
              <w:pStyle w:val="Tabletext"/>
              <w:keepNext/>
              <w:spacing w:after="0"/>
              <w:jc w:val="center"/>
              <w:rPr>
                <w:rFonts w:ascii="Arial Narrow" w:hAnsi="Arial Narrow"/>
                <w:b/>
              </w:rPr>
            </w:pPr>
            <w:r w:rsidRPr="00CB3342">
              <w:rPr>
                <w:rFonts w:ascii="Arial Narrow" w:hAnsi="Arial Narrow"/>
                <w:b/>
              </w:rPr>
              <w:t>19% (1, 36)</w:t>
            </w:r>
          </w:p>
        </w:tc>
        <w:tc>
          <w:tcPr>
            <w:tcW w:w="874" w:type="pct"/>
            <w:vAlign w:val="center"/>
          </w:tcPr>
          <w:p w:rsidR="00CB3342" w:rsidRPr="00CB3342" w:rsidRDefault="00146494" w:rsidP="00CB3342">
            <w:pPr>
              <w:pStyle w:val="Tabletext"/>
              <w:keepNext/>
              <w:spacing w:after="0"/>
              <w:jc w:val="center"/>
              <w:rPr>
                <w:rFonts w:ascii="Arial Narrow" w:hAnsi="Arial Narrow"/>
              </w:rPr>
            </w:pPr>
            <w:r>
              <w:rPr>
                <w:rFonts w:ascii="Arial Narrow" w:hAnsi="Arial Narrow"/>
                <w:noProof/>
                <w:color w:val="000000"/>
                <w:highlight w:val="black"/>
              </w:rPr>
              <w:t>''''</w:t>
            </w:r>
            <w:r w:rsidR="00CB3342" w:rsidRPr="00CB3342">
              <w:rPr>
                <w:rFonts w:ascii="Arial Narrow" w:hAnsi="Arial Narrow"/>
              </w:rPr>
              <w:t>/26 (</w:t>
            </w:r>
            <w:proofErr w:type="gramStart"/>
            <w:r>
              <w:rPr>
                <w:rFonts w:ascii="Arial Narrow" w:hAnsi="Arial Narrow"/>
                <w:noProof/>
                <w:color w:val="000000"/>
                <w:highlight w:val="black"/>
              </w:rPr>
              <w:t>''''</w:t>
            </w:r>
            <w:r w:rsidR="00CB3342" w:rsidRPr="00CB3342">
              <w:rPr>
                <w:rFonts w:ascii="Arial Narrow" w:hAnsi="Arial Narrow"/>
              </w:rPr>
              <w:t>%</w:t>
            </w:r>
            <w:proofErr w:type="gramEnd"/>
            <w:r w:rsidR="00CB3342" w:rsidRPr="00CB3342">
              <w:rPr>
                <w:rFonts w:ascii="Arial Narrow" w:hAnsi="Arial Narrow"/>
              </w:rPr>
              <w:t>)</w:t>
            </w:r>
          </w:p>
        </w:tc>
        <w:tc>
          <w:tcPr>
            <w:tcW w:w="766" w:type="pct"/>
            <w:vAlign w:val="center"/>
          </w:tcPr>
          <w:p w:rsidR="00CB3342" w:rsidRPr="00CB3342" w:rsidRDefault="00146494" w:rsidP="00CB3342">
            <w:pPr>
              <w:pStyle w:val="Tabletext"/>
              <w:keepNext/>
              <w:spacing w:after="0"/>
              <w:jc w:val="center"/>
              <w:rPr>
                <w:rFonts w:ascii="Arial Narrow" w:hAnsi="Arial Narrow"/>
              </w:rPr>
            </w:pPr>
            <w:r>
              <w:rPr>
                <w:rFonts w:ascii="Arial Narrow" w:hAnsi="Arial Narrow"/>
                <w:noProof/>
                <w:color w:val="000000"/>
                <w:highlight w:val="black"/>
              </w:rPr>
              <w:t>''''</w:t>
            </w:r>
            <w:r w:rsidR="00CB3342" w:rsidRPr="00CB3342">
              <w:rPr>
                <w:rFonts w:ascii="Arial Narrow" w:hAnsi="Arial Narrow"/>
              </w:rPr>
              <w:t>/38 (</w:t>
            </w:r>
            <w:proofErr w:type="gramStart"/>
            <w:r>
              <w:rPr>
                <w:rFonts w:ascii="Arial Narrow" w:hAnsi="Arial Narrow"/>
                <w:noProof/>
                <w:color w:val="000000"/>
                <w:highlight w:val="black"/>
              </w:rPr>
              <w:t>''''</w:t>
            </w:r>
            <w:r w:rsidR="00CB3342" w:rsidRPr="00CB3342">
              <w:rPr>
                <w:rFonts w:ascii="Arial Narrow" w:hAnsi="Arial Narrow"/>
              </w:rPr>
              <w:t>%</w:t>
            </w:r>
            <w:proofErr w:type="gramEnd"/>
            <w:r w:rsidR="00CB3342" w:rsidRPr="00CB3342">
              <w:rPr>
                <w:rFonts w:ascii="Arial Narrow" w:hAnsi="Arial Narrow"/>
              </w:rPr>
              <w:t>)</w:t>
            </w:r>
          </w:p>
        </w:tc>
      </w:tr>
      <w:tr w:rsidR="00CB3342" w:rsidRPr="00CB3342" w:rsidTr="00485AF6">
        <w:tc>
          <w:tcPr>
            <w:tcW w:w="5000" w:type="pct"/>
            <w:gridSpan w:val="6"/>
            <w:vAlign w:val="center"/>
          </w:tcPr>
          <w:p w:rsidR="00CB3342" w:rsidRPr="00CB3342" w:rsidRDefault="00CB3342" w:rsidP="00CB3342">
            <w:pPr>
              <w:pStyle w:val="Tabletext"/>
              <w:keepNext/>
              <w:spacing w:after="0"/>
              <w:rPr>
                <w:rFonts w:ascii="Arial Narrow" w:hAnsi="Arial Narrow"/>
                <w:b/>
              </w:rPr>
            </w:pPr>
            <w:r w:rsidRPr="00CB3342">
              <w:rPr>
                <w:rFonts w:ascii="Arial Narrow" w:hAnsi="Arial Narrow"/>
                <w:b/>
              </w:rPr>
              <w:t xml:space="preserve">≥ 25% </w:t>
            </w:r>
            <w:proofErr w:type="spellStart"/>
            <w:r w:rsidRPr="00CB3342">
              <w:rPr>
                <w:rFonts w:ascii="Arial Narrow" w:hAnsi="Arial Narrow"/>
                <w:b/>
              </w:rPr>
              <w:t>mSWAT</w:t>
            </w:r>
            <w:proofErr w:type="spellEnd"/>
            <w:r w:rsidRPr="00CB3342">
              <w:rPr>
                <w:rFonts w:ascii="Arial Narrow" w:hAnsi="Arial Narrow"/>
                <w:b/>
              </w:rPr>
              <w:t xml:space="preserve"> reduction</w:t>
            </w:r>
          </w:p>
        </w:tc>
      </w:tr>
      <w:tr w:rsidR="00CB3342" w:rsidRPr="00CB3342" w:rsidTr="00485AF6">
        <w:tc>
          <w:tcPr>
            <w:tcW w:w="735" w:type="pct"/>
            <w:vAlign w:val="center"/>
          </w:tcPr>
          <w:p w:rsidR="00CB3342" w:rsidRPr="00CB3342" w:rsidRDefault="00CB3342" w:rsidP="00CB3342">
            <w:pPr>
              <w:pStyle w:val="Tabletext"/>
              <w:keepNext/>
              <w:spacing w:after="0"/>
              <w:rPr>
                <w:rFonts w:ascii="Arial Narrow" w:hAnsi="Arial Narrow"/>
              </w:rPr>
            </w:pPr>
            <w:r w:rsidRPr="00CB3342">
              <w:rPr>
                <w:rFonts w:ascii="Arial Narrow" w:hAnsi="Arial Narrow"/>
              </w:rPr>
              <w:t xml:space="preserve">Investigator </w:t>
            </w:r>
          </w:p>
        </w:tc>
        <w:tc>
          <w:tcPr>
            <w:tcW w:w="874" w:type="pct"/>
            <w:vAlign w:val="center"/>
          </w:tcPr>
          <w:p w:rsidR="00CB3342" w:rsidRPr="00CB3342" w:rsidRDefault="00146494" w:rsidP="00CB3342">
            <w:pPr>
              <w:pStyle w:val="Tabletext"/>
              <w:keepNext/>
              <w:spacing w:after="0"/>
              <w:jc w:val="center"/>
              <w:rPr>
                <w:rFonts w:ascii="Arial Narrow" w:hAnsi="Arial Narrow"/>
              </w:rPr>
            </w:pPr>
            <w:r>
              <w:rPr>
                <w:rFonts w:ascii="Arial Narrow" w:hAnsi="Arial Narrow"/>
                <w:noProof/>
                <w:color w:val="000000"/>
                <w:highlight w:val="black"/>
              </w:rPr>
              <w:t>''''''''''''''</w:t>
            </w:r>
            <w:r w:rsidR="00CB3342" w:rsidRPr="00CB3342">
              <w:rPr>
                <w:rFonts w:ascii="Arial Narrow" w:hAnsi="Arial Narrow"/>
              </w:rPr>
              <w:t xml:space="preserve"> (</w:t>
            </w:r>
            <w:r>
              <w:rPr>
                <w:rFonts w:ascii="Arial Narrow" w:hAnsi="Arial Narrow"/>
                <w:noProof/>
                <w:color w:val="000000"/>
                <w:highlight w:val="black"/>
              </w:rPr>
              <w:t>'''''''</w:t>
            </w:r>
            <w:r w:rsidR="00CB3342" w:rsidRPr="00CB3342">
              <w:rPr>
                <w:rFonts w:ascii="Arial Narrow" w:hAnsi="Arial Narrow"/>
              </w:rPr>
              <w:t>%)</w:t>
            </w:r>
          </w:p>
        </w:tc>
        <w:tc>
          <w:tcPr>
            <w:tcW w:w="796" w:type="pct"/>
            <w:vAlign w:val="center"/>
          </w:tcPr>
          <w:p w:rsidR="00CB3342" w:rsidRPr="00CB3342" w:rsidRDefault="00146494" w:rsidP="00CB3342">
            <w:pPr>
              <w:pStyle w:val="Tabletext"/>
              <w:keepNext/>
              <w:spacing w:after="0"/>
              <w:jc w:val="center"/>
              <w:rPr>
                <w:rFonts w:ascii="Arial Narrow" w:hAnsi="Arial Narrow"/>
              </w:rPr>
            </w:pPr>
            <w:r>
              <w:rPr>
                <w:rFonts w:ascii="Arial Narrow" w:hAnsi="Arial Narrow"/>
                <w:noProof/>
                <w:color w:val="000000"/>
                <w:highlight w:val="black"/>
              </w:rPr>
              <w:t>''''''''''''</w:t>
            </w:r>
            <w:r w:rsidR="00CB3342" w:rsidRPr="00CB3342">
              <w:rPr>
                <w:rFonts w:ascii="Arial Narrow" w:hAnsi="Arial Narrow"/>
              </w:rPr>
              <w:t xml:space="preserve"> (</w:t>
            </w:r>
            <w:r>
              <w:rPr>
                <w:rFonts w:ascii="Arial Narrow" w:hAnsi="Arial Narrow"/>
                <w:noProof/>
                <w:color w:val="000000"/>
                <w:highlight w:val="black"/>
              </w:rPr>
              <w:t>''''''</w:t>
            </w:r>
            <w:r w:rsidR="00CB3342" w:rsidRPr="00CB3342">
              <w:rPr>
                <w:rFonts w:ascii="Arial Narrow" w:hAnsi="Arial Narrow"/>
              </w:rPr>
              <w:t>%)</w:t>
            </w:r>
          </w:p>
        </w:tc>
        <w:tc>
          <w:tcPr>
            <w:tcW w:w="955" w:type="pct"/>
          </w:tcPr>
          <w:p w:rsidR="00CB3342" w:rsidRPr="00CB3342" w:rsidRDefault="00CB3342" w:rsidP="00CB3342">
            <w:pPr>
              <w:pStyle w:val="Tabletext"/>
              <w:keepNext/>
              <w:spacing w:after="0"/>
              <w:jc w:val="center"/>
              <w:rPr>
                <w:rFonts w:ascii="Arial Narrow" w:hAnsi="Arial Narrow"/>
              </w:rPr>
            </w:pPr>
            <w:r w:rsidRPr="00CB3342">
              <w:rPr>
                <w:rFonts w:ascii="Arial Narrow" w:hAnsi="Arial Narrow"/>
              </w:rPr>
              <w:t>NR</w:t>
            </w:r>
          </w:p>
        </w:tc>
        <w:tc>
          <w:tcPr>
            <w:tcW w:w="874" w:type="pct"/>
            <w:vAlign w:val="center"/>
          </w:tcPr>
          <w:p w:rsidR="00CB3342" w:rsidRPr="00CB3342" w:rsidRDefault="00146494" w:rsidP="00CB3342">
            <w:pPr>
              <w:pStyle w:val="Tabletext"/>
              <w:keepNext/>
              <w:spacing w:after="0"/>
              <w:jc w:val="center"/>
              <w:rPr>
                <w:rFonts w:ascii="Arial Narrow" w:hAnsi="Arial Narrow"/>
              </w:rPr>
            </w:pPr>
            <w:r>
              <w:rPr>
                <w:rFonts w:ascii="Arial Narrow" w:hAnsi="Arial Narrow"/>
                <w:noProof/>
                <w:color w:val="000000"/>
                <w:highlight w:val="black"/>
              </w:rPr>
              <w:t>'''''''''''''</w:t>
            </w:r>
            <w:r w:rsidR="00CB3342" w:rsidRPr="00CB3342">
              <w:rPr>
                <w:rFonts w:ascii="Arial Narrow" w:hAnsi="Arial Narrow"/>
              </w:rPr>
              <w:t xml:space="preserve"> (</w:t>
            </w:r>
            <w:r>
              <w:rPr>
                <w:rFonts w:ascii="Arial Narrow" w:hAnsi="Arial Narrow"/>
                <w:noProof/>
                <w:color w:val="000000"/>
                <w:highlight w:val="black"/>
              </w:rPr>
              <w:t>''''''</w:t>
            </w:r>
            <w:r w:rsidR="00CB3342" w:rsidRPr="00CB3342">
              <w:rPr>
                <w:rFonts w:ascii="Arial Narrow" w:hAnsi="Arial Narrow"/>
              </w:rPr>
              <w:t>%)</w:t>
            </w:r>
          </w:p>
        </w:tc>
        <w:tc>
          <w:tcPr>
            <w:tcW w:w="766" w:type="pct"/>
            <w:vAlign w:val="center"/>
          </w:tcPr>
          <w:p w:rsidR="00CB3342" w:rsidRPr="00CB3342" w:rsidRDefault="00146494" w:rsidP="00CB3342">
            <w:pPr>
              <w:pStyle w:val="Tabletext"/>
              <w:keepNext/>
              <w:spacing w:after="0"/>
              <w:jc w:val="center"/>
              <w:rPr>
                <w:rFonts w:ascii="Arial Narrow" w:hAnsi="Arial Narrow"/>
              </w:rPr>
            </w:pPr>
            <w:r>
              <w:rPr>
                <w:rFonts w:ascii="Arial Narrow" w:hAnsi="Arial Narrow"/>
                <w:noProof/>
                <w:color w:val="000000"/>
                <w:highlight w:val="black"/>
              </w:rPr>
              <w:t>''''''''''''''</w:t>
            </w:r>
            <w:r w:rsidR="00CB3342" w:rsidRPr="00CB3342">
              <w:rPr>
                <w:rFonts w:ascii="Arial Narrow" w:hAnsi="Arial Narrow"/>
              </w:rPr>
              <w:t xml:space="preserve"> (</w:t>
            </w:r>
            <w:r>
              <w:rPr>
                <w:rFonts w:ascii="Arial Narrow" w:hAnsi="Arial Narrow"/>
                <w:noProof/>
                <w:color w:val="000000"/>
                <w:highlight w:val="black"/>
              </w:rPr>
              <w:t>''''''</w:t>
            </w:r>
            <w:r w:rsidR="00CB3342" w:rsidRPr="00CB3342">
              <w:rPr>
                <w:rFonts w:ascii="Arial Narrow" w:hAnsi="Arial Narrow"/>
              </w:rPr>
              <w:t>%)</w:t>
            </w:r>
          </w:p>
        </w:tc>
      </w:tr>
    </w:tbl>
    <w:p w:rsidR="00CB3342" w:rsidRPr="0022357A" w:rsidRDefault="00CB3342" w:rsidP="00CB3342">
      <w:pPr>
        <w:pStyle w:val="TableFooter"/>
        <w:keepNext/>
        <w:rPr>
          <w:sz w:val="20"/>
        </w:rPr>
      </w:pPr>
      <w:r w:rsidRPr="0022357A">
        <w:t xml:space="preserve">Source: </w:t>
      </w:r>
      <w:r w:rsidR="00EE1992">
        <w:rPr>
          <w:sz w:val="20"/>
        </w:rPr>
        <w:t>Table 6</w:t>
      </w:r>
      <w:r w:rsidR="00EE1992" w:rsidRPr="00EE1992">
        <w:rPr>
          <w:sz w:val="20"/>
        </w:rPr>
        <w:t xml:space="preserve"> </w:t>
      </w:r>
      <w:proofErr w:type="spellStart"/>
      <w:r w:rsidR="00EE1992" w:rsidRPr="00EE1992">
        <w:rPr>
          <w:rFonts w:eastAsiaTheme="minorHAnsi" w:cstheme="minorBidi"/>
          <w:sz w:val="20"/>
        </w:rPr>
        <w:t>brentuximab</w:t>
      </w:r>
      <w:proofErr w:type="spellEnd"/>
      <w:r w:rsidR="00EE1992" w:rsidRPr="00EE1992">
        <w:rPr>
          <w:rFonts w:eastAsiaTheme="minorHAnsi" w:cstheme="minorBidi"/>
          <w:sz w:val="20"/>
        </w:rPr>
        <w:t xml:space="preserve"> </w:t>
      </w:r>
      <w:proofErr w:type="spellStart"/>
      <w:r w:rsidR="00EE1992" w:rsidRPr="00EE1992">
        <w:rPr>
          <w:rFonts w:eastAsiaTheme="minorHAnsi" w:cstheme="minorBidi"/>
          <w:sz w:val="20"/>
        </w:rPr>
        <w:t>vedotin</w:t>
      </w:r>
      <w:proofErr w:type="spellEnd"/>
      <w:r w:rsidR="00EE1992" w:rsidRPr="00EE1992">
        <w:rPr>
          <w:rFonts w:eastAsiaTheme="minorHAnsi" w:cstheme="minorBidi"/>
          <w:sz w:val="20"/>
        </w:rPr>
        <w:t xml:space="preserve"> PBAC minutes, July 2018</w:t>
      </w:r>
      <w:r w:rsidR="00D47CAA">
        <w:t>.</w:t>
      </w:r>
    </w:p>
    <w:p w:rsidR="00CB3342" w:rsidRPr="00E548D7" w:rsidRDefault="00CB3342" w:rsidP="00CB3342">
      <w:pPr>
        <w:pStyle w:val="TableFooter"/>
        <w:keepNext/>
        <w:rPr>
          <w:sz w:val="20"/>
        </w:rPr>
      </w:pPr>
      <w:r w:rsidRPr="00E548D7">
        <w:rPr>
          <w:rFonts w:eastAsia="Calibri"/>
          <w:sz w:val="20"/>
        </w:rPr>
        <w:t xml:space="preserve">BEX = </w:t>
      </w:r>
      <w:proofErr w:type="spellStart"/>
      <w:r w:rsidRPr="00E548D7">
        <w:rPr>
          <w:rFonts w:eastAsia="Calibri"/>
          <w:sz w:val="20"/>
        </w:rPr>
        <w:t>bexarotene</w:t>
      </w:r>
      <w:proofErr w:type="spellEnd"/>
      <w:r w:rsidRPr="00E548D7">
        <w:rPr>
          <w:rFonts w:eastAsia="Calibri"/>
          <w:sz w:val="20"/>
        </w:rPr>
        <w:t xml:space="preserve">; BV = </w:t>
      </w:r>
      <w:proofErr w:type="spellStart"/>
      <w:r w:rsidRPr="00E548D7">
        <w:rPr>
          <w:rFonts w:eastAsia="Calibri"/>
          <w:sz w:val="20"/>
        </w:rPr>
        <w:t>Brentuximab</w:t>
      </w:r>
      <w:proofErr w:type="spellEnd"/>
      <w:r w:rsidRPr="00E548D7">
        <w:rPr>
          <w:rFonts w:eastAsia="Calibri"/>
          <w:sz w:val="20"/>
        </w:rPr>
        <w:t xml:space="preserve"> </w:t>
      </w:r>
      <w:proofErr w:type="spellStart"/>
      <w:r w:rsidRPr="00E548D7">
        <w:rPr>
          <w:rFonts w:eastAsia="Calibri"/>
          <w:sz w:val="20"/>
        </w:rPr>
        <w:t>vedotin</w:t>
      </w:r>
      <w:proofErr w:type="spellEnd"/>
      <w:r w:rsidRPr="00E548D7">
        <w:rPr>
          <w:rFonts w:eastAsia="Calibri"/>
          <w:sz w:val="20"/>
        </w:rPr>
        <w:t xml:space="preserve">; CI = confidence interval; CR = complete response; IRF = independent review facility; MTX = methotrexate; NR = not reported; ORR = objective response rate; ORR4 = objective global response lasting 4 months; PC = Physician's Choice; PR = partial response; </w:t>
      </w:r>
      <w:r w:rsidRPr="00E548D7">
        <w:rPr>
          <w:b/>
          <w:sz w:val="20"/>
        </w:rPr>
        <w:t xml:space="preserve">Bold </w:t>
      </w:r>
      <w:r w:rsidR="00D47CAA">
        <w:rPr>
          <w:sz w:val="20"/>
        </w:rPr>
        <w:t>= statistically significant</w:t>
      </w:r>
    </w:p>
    <w:p w:rsidR="00CB3342" w:rsidRPr="0022357A" w:rsidRDefault="00CB3342" w:rsidP="00485AF6">
      <w:pPr>
        <w:pStyle w:val="TableFooter"/>
        <w:spacing w:before="120"/>
        <w:rPr>
          <w:rFonts w:eastAsia="Calibri"/>
        </w:rPr>
      </w:pPr>
    </w:p>
    <w:p w:rsidR="00CB3342" w:rsidRPr="00CB3342" w:rsidRDefault="00CB3342" w:rsidP="00CB3342">
      <w:pPr>
        <w:keepNext/>
        <w:widowControl w:val="0"/>
        <w:numPr>
          <w:ilvl w:val="1"/>
          <w:numId w:val="5"/>
        </w:numPr>
        <w:spacing w:after="120"/>
        <w:jc w:val="both"/>
        <w:rPr>
          <w:rFonts w:asciiTheme="minorHAnsi" w:eastAsiaTheme="minorHAnsi" w:hAnsiTheme="minorHAnsi" w:cstheme="minorBidi"/>
          <w:szCs w:val="22"/>
          <w:lang w:eastAsia="en-US"/>
        </w:rPr>
      </w:pPr>
      <w:r w:rsidRPr="00CB3342">
        <w:rPr>
          <w:rFonts w:asciiTheme="minorHAnsi" w:eastAsiaTheme="minorHAnsi" w:hAnsiTheme="minorHAnsi" w:cstheme="minorBidi"/>
          <w:szCs w:val="22"/>
          <w:lang w:eastAsia="en-US"/>
        </w:rPr>
        <w:t xml:space="preserve">Table </w:t>
      </w:r>
      <w:r>
        <w:rPr>
          <w:rFonts w:asciiTheme="minorHAnsi" w:eastAsiaTheme="minorHAnsi" w:hAnsiTheme="minorHAnsi" w:cstheme="minorBidi"/>
          <w:szCs w:val="22"/>
          <w:lang w:eastAsia="en-US"/>
        </w:rPr>
        <w:t>3</w:t>
      </w:r>
      <w:r w:rsidRPr="00CB3342">
        <w:rPr>
          <w:rFonts w:asciiTheme="minorHAnsi" w:eastAsiaTheme="minorHAnsi" w:hAnsiTheme="minorHAnsi" w:cstheme="minorBidi"/>
          <w:szCs w:val="22"/>
          <w:lang w:eastAsia="en-US"/>
        </w:rPr>
        <w:t xml:space="preserve"> presents the PFS outcomes from the ALCANZA trial.</w:t>
      </w:r>
    </w:p>
    <w:p w:rsidR="00CE6212" w:rsidRDefault="00CE6212" w:rsidP="00CE6212">
      <w:pPr>
        <w:pStyle w:val="Caption"/>
        <w:keepNext/>
      </w:pPr>
      <w:r>
        <w:t xml:space="preserve">Table </w:t>
      </w:r>
      <w:r w:rsidR="00922DD5">
        <w:rPr>
          <w:noProof/>
        </w:rPr>
        <w:t>3</w:t>
      </w:r>
      <w:r w:rsidRPr="005006F3">
        <w:t>: Results of PFS from the ALCANZA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31"/>
        <w:gridCol w:w="1244"/>
        <w:gridCol w:w="831"/>
        <w:gridCol w:w="1217"/>
        <w:gridCol w:w="1089"/>
        <w:gridCol w:w="1349"/>
        <w:gridCol w:w="1212"/>
      </w:tblGrid>
      <w:tr w:rsidR="00CB3342" w:rsidRPr="00CB3342" w:rsidTr="00CE6212">
        <w:trPr>
          <w:tblHeader/>
        </w:trPr>
        <w:tc>
          <w:tcPr>
            <w:tcW w:w="689" w:type="pct"/>
            <w:vMerge w:val="restart"/>
            <w:tcMar>
              <w:left w:w="28" w:type="dxa"/>
              <w:right w:w="28" w:type="dxa"/>
            </w:tcMar>
            <w:vAlign w:val="center"/>
          </w:tcPr>
          <w:p w:rsidR="00CB3342" w:rsidRPr="00CB3342" w:rsidRDefault="00CB3342" w:rsidP="00485AF6">
            <w:pPr>
              <w:pStyle w:val="Tabletext"/>
              <w:keepNext/>
              <w:spacing w:after="0"/>
              <w:rPr>
                <w:rFonts w:ascii="Arial Narrow" w:hAnsi="Arial Narrow"/>
                <w:b/>
              </w:rPr>
            </w:pPr>
            <w:r w:rsidRPr="00CB3342">
              <w:rPr>
                <w:rFonts w:ascii="Arial Narrow" w:hAnsi="Arial Narrow"/>
                <w:b/>
              </w:rPr>
              <w:t>Comparison</w:t>
            </w:r>
          </w:p>
        </w:tc>
        <w:tc>
          <w:tcPr>
            <w:tcW w:w="1151" w:type="pct"/>
            <w:gridSpan w:val="2"/>
            <w:tcMar>
              <w:left w:w="28" w:type="dxa"/>
              <w:right w:w="28" w:type="dxa"/>
            </w:tcMar>
            <w:vAlign w:val="center"/>
          </w:tcPr>
          <w:p w:rsidR="00CB3342" w:rsidRPr="00CB3342" w:rsidRDefault="00CB3342" w:rsidP="00485AF6">
            <w:pPr>
              <w:pStyle w:val="Tabletext"/>
              <w:keepNext/>
              <w:spacing w:after="0"/>
              <w:jc w:val="center"/>
              <w:rPr>
                <w:rFonts w:ascii="Arial Narrow" w:hAnsi="Arial Narrow"/>
                <w:b/>
              </w:rPr>
            </w:pPr>
            <w:proofErr w:type="spellStart"/>
            <w:r w:rsidRPr="00CB3342">
              <w:rPr>
                <w:rFonts w:ascii="Arial Narrow" w:hAnsi="Arial Narrow"/>
                <w:b/>
              </w:rPr>
              <w:t>Brentuximab</w:t>
            </w:r>
            <w:proofErr w:type="spellEnd"/>
            <w:r w:rsidRPr="00CB3342">
              <w:rPr>
                <w:rFonts w:ascii="Arial Narrow" w:hAnsi="Arial Narrow"/>
                <w:b/>
              </w:rPr>
              <w:t xml:space="preserve"> </w:t>
            </w:r>
            <w:proofErr w:type="spellStart"/>
            <w:r w:rsidRPr="00CB3342">
              <w:rPr>
                <w:rFonts w:ascii="Arial Narrow" w:hAnsi="Arial Narrow"/>
                <w:b/>
              </w:rPr>
              <w:t>vedotin</w:t>
            </w:r>
            <w:proofErr w:type="spellEnd"/>
            <w:r w:rsidRPr="00CB3342">
              <w:rPr>
                <w:rFonts w:ascii="Arial Narrow" w:hAnsi="Arial Narrow"/>
                <w:b/>
              </w:rPr>
              <w:t xml:space="preserve"> </w:t>
            </w:r>
          </w:p>
        </w:tc>
        <w:tc>
          <w:tcPr>
            <w:tcW w:w="1136" w:type="pct"/>
            <w:gridSpan w:val="2"/>
            <w:tcMar>
              <w:left w:w="28" w:type="dxa"/>
              <w:right w:w="28" w:type="dxa"/>
            </w:tcMar>
            <w:vAlign w:val="center"/>
          </w:tcPr>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Comparator</w:t>
            </w:r>
          </w:p>
        </w:tc>
        <w:tc>
          <w:tcPr>
            <w:tcW w:w="604" w:type="pct"/>
            <w:vMerge w:val="restart"/>
            <w:tcMar>
              <w:left w:w="28" w:type="dxa"/>
              <w:right w:w="28" w:type="dxa"/>
            </w:tcMar>
            <w:vAlign w:val="center"/>
          </w:tcPr>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Difference in median</w:t>
            </w:r>
          </w:p>
        </w:tc>
        <w:tc>
          <w:tcPr>
            <w:tcW w:w="748" w:type="pct"/>
            <w:vMerge w:val="restart"/>
            <w:tcMar>
              <w:left w:w="28" w:type="dxa"/>
              <w:right w:w="28" w:type="dxa"/>
            </w:tcMar>
            <w:vAlign w:val="center"/>
          </w:tcPr>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P value</w:t>
            </w:r>
          </w:p>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(log rank test)</w:t>
            </w:r>
          </w:p>
        </w:tc>
        <w:tc>
          <w:tcPr>
            <w:tcW w:w="673" w:type="pct"/>
            <w:vMerge w:val="restart"/>
            <w:tcMar>
              <w:left w:w="28" w:type="dxa"/>
              <w:right w:w="28" w:type="dxa"/>
            </w:tcMar>
            <w:vAlign w:val="center"/>
          </w:tcPr>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Hazard ratio (95% CI)</w:t>
            </w:r>
          </w:p>
        </w:tc>
      </w:tr>
      <w:tr w:rsidR="00CB3342" w:rsidRPr="00CB3342" w:rsidTr="00CE6212">
        <w:tc>
          <w:tcPr>
            <w:tcW w:w="689" w:type="pct"/>
            <w:vMerge/>
            <w:tcMar>
              <w:left w:w="28" w:type="dxa"/>
              <w:right w:w="28" w:type="dxa"/>
            </w:tcMar>
            <w:vAlign w:val="center"/>
          </w:tcPr>
          <w:p w:rsidR="00CB3342" w:rsidRPr="00CB3342" w:rsidRDefault="00CB3342" w:rsidP="00485AF6">
            <w:pPr>
              <w:pStyle w:val="Tabletext"/>
              <w:keepNext/>
              <w:spacing w:after="0"/>
              <w:rPr>
                <w:rFonts w:ascii="Arial Narrow" w:hAnsi="Arial Narrow"/>
              </w:rPr>
            </w:pPr>
          </w:p>
        </w:tc>
        <w:tc>
          <w:tcPr>
            <w:tcW w:w="461"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Events</w:t>
            </w:r>
          </w:p>
        </w:tc>
        <w:tc>
          <w:tcPr>
            <w:tcW w:w="690"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Median PFS</w:t>
            </w:r>
          </w:p>
        </w:tc>
        <w:tc>
          <w:tcPr>
            <w:tcW w:w="461"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Events</w:t>
            </w:r>
          </w:p>
        </w:tc>
        <w:tc>
          <w:tcPr>
            <w:tcW w:w="675"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Median PFS</w:t>
            </w:r>
          </w:p>
        </w:tc>
        <w:tc>
          <w:tcPr>
            <w:tcW w:w="604" w:type="pct"/>
            <w:vMerge/>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p>
        </w:tc>
        <w:tc>
          <w:tcPr>
            <w:tcW w:w="748" w:type="pct"/>
            <w:vMerge/>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p>
        </w:tc>
        <w:tc>
          <w:tcPr>
            <w:tcW w:w="673" w:type="pct"/>
            <w:vMerge/>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p>
        </w:tc>
      </w:tr>
      <w:tr w:rsidR="00CB3342" w:rsidRPr="00CB3342" w:rsidTr="00485AF6">
        <w:tc>
          <w:tcPr>
            <w:tcW w:w="5000" w:type="pct"/>
            <w:gridSpan w:val="8"/>
            <w:tcMar>
              <w:left w:w="28" w:type="dxa"/>
              <w:right w:w="28" w:type="dxa"/>
            </w:tcMar>
            <w:vAlign w:val="center"/>
          </w:tcPr>
          <w:p w:rsidR="00CB3342" w:rsidRPr="00CB3342" w:rsidRDefault="00CB3342" w:rsidP="00485AF6">
            <w:pPr>
              <w:pStyle w:val="Tabletext"/>
              <w:keepNext/>
              <w:spacing w:after="0"/>
              <w:rPr>
                <w:rFonts w:ascii="Arial Narrow" w:hAnsi="Arial Narrow"/>
                <w:b/>
              </w:rPr>
            </w:pPr>
            <w:proofErr w:type="spellStart"/>
            <w:r w:rsidRPr="00CB3342">
              <w:rPr>
                <w:rFonts w:ascii="Arial Narrow" w:hAnsi="Arial Narrow"/>
                <w:b/>
              </w:rPr>
              <w:t>Brentuximab</w:t>
            </w:r>
            <w:proofErr w:type="spellEnd"/>
            <w:r w:rsidRPr="00CB3342">
              <w:rPr>
                <w:rFonts w:ascii="Arial Narrow" w:hAnsi="Arial Narrow"/>
                <w:b/>
              </w:rPr>
              <w:t xml:space="preserve"> </w:t>
            </w:r>
            <w:proofErr w:type="spellStart"/>
            <w:r w:rsidRPr="00CB3342">
              <w:rPr>
                <w:rFonts w:ascii="Arial Narrow" w:hAnsi="Arial Narrow"/>
                <w:b/>
              </w:rPr>
              <w:t>vedotin</w:t>
            </w:r>
            <w:proofErr w:type="spellEnd"/>
            <w:r w:rsidRPr="00CB3342">
              <w:rPr>
                <w:rFonts w:ascii="Arial Narrow" w:hAnsi="Arial Narrow"/>
                <w:b/>
              </w:rPr>
              <w:t xml:space="preserve"> vs. physician’s choice (methotrexate or </w:t>
            </w:r>
            <w:proofErr w:type="spellStart"/>
            <w:r w:rsidRPr="00CB3342">
              <w:rPr>
                <w:rFonts w:ascii="Arial Narrow" w:hAnsi="Arial Narrow"/>
                <w:b/>
              </w:rPr>
              <w:t>bexarotene</w:t>
            </w:r>
            <w:proofErr w:type="spellEnd"/>
            <w:r w:rsidRPr="00CB3342">
              <w:rPr>
                <w:rFonts w:ascii="Arial Narrow" w:hAnsi="Arial Narrow"/>
                <w:b/>
              </w:rPr>
              <w:t xml:space="preserve">) </w:t>
            </w:r>
          </w:p>
        </w:tc>
      </w:tr>
      <w:tr w:rsidR="00CB3342" w:rsidRPr="00CB3342" w:rsidTr="00CE6212">
        <w:tc>
          <w:tcPr>
            <w:tcW w:w="689" w:type="pct"/>
            <w:tcMar>
              <w:left w:w="28" w:type="dxa"/>
              <w:right w:w="28" w:type="dxa"/>
            </w:tcMar>
            <w:vAlign w:val="center"/>
          </w:tcPr>
          <w:p w:rsidR="00CB3342" w:rsidRPr="00CB3342" w:rsidRDefault="00CB3342" w:rsidP="00485AF6">
            <w:pPr>
              <w:pStyle w:val="Tabletext"/>
              <w:keepNext/>
              <w:spacing w:after="0"/>
              <w:rPr>
                <w:rFonts w:ascii="Arial Narrow" w:hAnsi="Arial Narrow"/>
              </w:rPr>
            </w:pPr>
            <w:r w:rsidRPr="00CB3342">
              <w:rPr>
                <w:rFonts w:ascii="Arial Narrow" w:hAnsi="Arial Narrow"/>
              </w:rPr>
              <w:t>IRF</w:t>
            </w:r>
          </w:p>
        </w:tc>
        <w:tc>
          <w:tcPr>
            <w:tcW w:w="461"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36/64 (56%)</w:t>
            </w:r>
          </w:p>
        </w:tc>
        <w:tc>
          <w:tcPr>
            <w:tcW w:w="690"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16.7 months</w:t>
            </w:r>
            <w:r w:rsidRPr="00CB3342">
              <w:rPr>
                <w:rFonts w:ascii="Arial Narrow" w:hAnsi="Arial Narrow"/>
              </w:rPr>
              <w:br/>
              <w:t>(14.9, 22.8)</w:t>
            </w:r>
          </w:p>
        </w:tc>
        <w:tc>
          <w:tcPr>
            <w:tcW w:w="461"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50/64 (78%)</w:t>
            </w:r>
          </w:p>
        </w:tc>
        <w:tc>
          <w:tcPr>
            <w:tcW w:w="675"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3.5 months</w:t>
            </w:r>
            <w:r w:rsidRPr="00CB3342">
              <w:rPr>
                <w:rFonts w:ascii="Arial Narrow" w:hAnsi="Arial Narrow"/>
              </w:rPr>
              <w:br/>
              <w:t>(2.4, 4.6)</w:t>
            </w:r>
          </w:p>
        </w:tc>
        <w:tc>
          <w:tcPr>
            <w:tcW w:w="604"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13.2 months</w:t>
            </w:r>
          </w:p>
        </w:tc>
        <w:tc>
          <w:tcPr>
            <w:tcW w:w="748"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b/>
                <w:vertAlign w:val="superscript"/>
              </w:rPr>
            </w:pPr>
            <w:r w:rsidRPr="00CB3342">
              <w:rPr>
                <w:rFonts w:ascii="Arial Narrow" w:hAnsi="Arial Narrow"/>
                <w:b/>
              </w:rPr>
              <w:t>&lt; 0.001</w:t>
            </w:r>
            <w:r w:rsidRPr="00CB3342">
              <w:rPr>
                <w:rFonts w:ascii="Arial Narrow" w:hAnsi="Arial Narrow"/>
                <w:b/>
                <w:vertAlign w:val="superscript"/>
              </w:rPr>
              <w:t>a</w:t>
            </w:r>
          </w:p>
        </w:tc>
        <w:tc>
          <w:tcPr>
            <w:tcW w:w="673"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0.27</w:t>
            </w:r>
          </w:p>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(0.17, 0.43)</w:t>
            </w:r>
          </w:p>
        </w:tc>
      </w:tr>
      <w:tr w:rsidR="00CB3342" w:rsidRPr="00CB3342" w:rsidTr="00CE6212">
        <w:tc>
          <w:tcPr>
            <w:tcW w:w="689" w:type="pct"/>
            <w:tcMar>
              <w:left w:w="28" w:type="dxa"/>
              <w:right w:w="28" w:type="dxa"/>
            </w:tcMar>
            <w:vAlign w:val="center"/>
          </w:tcPr>
          <w:p w:rsidR="00CB3342" w:rsidRPr="00CB3342" w:rsidRDefault="00CB3342" w:rsidP="00485AF6">
            <w:pPr>
              <w:pStyle w:val="Tabletext"/>
              <w:keepNext/>
              <w:spacing w:after="0"/>
              <w:rPr>
                <w:rFonts w:ascii="Arial Narrow" w:hAnsi="Arial Narrow"/>
              </w:rPr>
            </w:pPr>
            <w:r w:rsidRPr="00CB3342">
              <w:rPr>
                <w:rFonts w:ascii="Arial Narrow" w:hAnsi="Arial Narrow"/>
              </w:rPr>
              <w:t>Investigator</w:t>
            </w:r>
          </w:p>
        </w:tc>
        <w:tc>
          <w:tcPr>
            <w:tcW w:w="461"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40/64 (63%)</w:t>
            </w:r>
          </w:p>
        </w:tc>
        <w:tc>
          <w:tcPr>
            <w:tcW w:w="690"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15.7 months</w:t>
            </w:r>
          </w:p>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(11.7, 17.2)</w:t>
            </w:r>
          </w:p>
        </w:tc>
        <w:tc>
          <w:tcPr>
            <w:tcW w:w="461"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51/64 (80%)</w:t>
            </w:r>
          </w:p>
        </w:tc>
        <w:tc>
          <w:tcPr>
            <w:tcW w:w="675"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3.6 months</w:t>
            </w:r>
          </w:p>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(2.5, 4.5)</w:t>
            </w:r>
          </w:p>
        </w:tc>
        <w:tc>
          <w:tcPr>
            <w:tcW w:w="604"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12.1 months</w:t>
            </w:r>
          </w:p>
        </w:tc>
        <w:tc>
          <w:tcPr>
            <w:tcW w:w="748"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&lt; 0.001</w:t>
            </w:r>
            <w:r w:rsidRPr="00CB3342">
              <w:rPr>
                <w:rFonts w:ascii="Arial Narrow" w:hAnsi="Arial Narrow"/>
                <w:b/>
                <w:vertAlign w:val="superscript"/>
              </w:rPr>
              <w:t xml:space="preserve"> a</w:t>
            </w:r>
          </w:p>
        </w:tc>
        <w:tc>
          <w:tcPr>
            <w:tcW w:w="673"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0.32</w:t>
            </w:r>
          </w:p>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(0.21, 0.50)</w:t>
            </w:r>
          </w:p>
        </w:tc>
      </w:tr>
      <w:tr w:rsidR="00CB3342" w:rsidRPr="00CB3342" w:rsidTr="00485AF6">
        <w:tc>
          <w:tcPr>
            <w:tcW w:w="5000" w:type="pct"/>
            <w:gridSpan w:val="8"/>
            <w:tcMar>
              <w:left w:w="28" w:type="dxa"/>
              <w:right w:w="28" w:type="dxa"/>
            </w:tcMar>
            <w:vAlign w:val="center"/>
          </w:tcPr>
          <w:p w:rsidR="00CB3342" w:rsidRPr="00CB3342" w:rsidRDefault="00CB3342" w:rsidP="00485AF6">
            <w:pPr>
              <w:pStyle w:val="Tabletext"/>
              <w:keepNext/>
              <w:spacing w:after="0"/>
              <w:rPr>
                <w:rFonts w:ascii="Arial Narrow" w:hAnsi="Arial Narrow"/>
              </w:rPr>
            </w:pPr>
            <w:proofErr w:type="spellStart"/>
            <w:r w:rsidRPr="00CB3342">
              <w:rPr>
                <w:rFonts w:ascii="Arial Narrow" w:hAnsi="Arial Narrow"/>
                <w:b/>
              </w:rPr>
              <w:t>Brentuximab</w:t>
            </w:r>
            <w:proofErr w:type="spellEnd"/>
            <w:r w:rsidRPr="00CB3342">
              <w:rPr>
                <w:rFonts w:ascii="Arial Narrow" w:hAnsi="Arial Narrow"/>
                <w:b/>
              </w:rPr>
              <w:t xml:space="preserve"> </w:t>
            </w:r>
            <w:proofErr w:type="spellStart"/>
            <w:r w:rsidRPr="00CB3342">
              <w:rPr>
                <w:rFonts w:ascii="Arial Narrow" w:hAnsi="Arial Narrow"/>
                <w:b/>
              </w:rPr>
              <w:t>vedotin</w:t>
            </w:r>
            <w:proofErr w:type="spellEnd"/>
            <w:r w:rsidRPr="00CB3342">
              <w:rPr>
                <w:rFonts w:ascii="Arial Narrow" w:hAnsi="Arial Narrow"/>
                <w:b/>
              </w:rPr>
              <w:t xml:space="preserve"> vs. methotrexate </w:t>
            </w:r>
          </w:p>
        </w:tc>
      </w:tr>
      <w:tr w:rsidR="00CB3342" w:rsidRPr="00CB3342" w:rsidTr="00CE6212">
        <w:tc>
          <w:tcPr>
            <w:tcW w:w="689" w:type="pct"/>
            <w:tcMar>
              <w:left w:w="28" w:type="dxa"/>
              <w:right w:w="28" w:type="dxa"/>
            </w:tcMar>
            <w:vAlign w:val="center"/>
          </w:tcPr>
          <w:p w:rsidR="00CB3342" w:rsidRPr="00CB3342" w:rsidRDefault="00CB3342" w:rsidP="00485AF6">
            <w:pPr>
              <w:pStyle w:val="Tabletext"/>
              <w:keepNext/>
              <w:spacing w:after="0"/>
              <w:rPr>
                <w:rFonts w:ascii="Arial Narrow" w:hAnsi="Arial Narrow"/>
              </w:rPr>
            </w:pPr>
            <w:r w:rsidRPr="00CB3342">
              <w:rPr>
                <w:rFonts w:ascii="Arial Narrow" w:hAnsi="Arial Narrow"/>
              </w:rPr>
              <w:t>IRF</w:t>
            </w:r>
          </w:p>
        </w:tc>
        <w:tc>
          <w:tcPr>
            <w:tcW w:w="461"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36/64 (56%)</w:t>
            </w:r>
          </w:p>
        </w:tc>
        <w:tc>
          <w:tcPr>
            <w:tcW w:w="690"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16.7 months</w:t>
            </w:r>
            <w:r w:rsidRPr="00CB3342">
              <w:rPr>
                <w:rFonts w:ascii="Arial Narrow" w:hAnsi="Arial Narrow"/>
                <w:b/>
              </w:rPr>
              <w:br/>
              <w:t>(14.9, 22.8)</w:t>
            </w:r>
          </w:p>
        </w:tc>
        <w:tc>
          <w:tcPr>
            <w:tcW w:w="461"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22/26 (85%)</w:t>
            </w:r>
          </w:p>
        </w:tc>
        <w:tc>
          <w:tcPr>
            <w:tcW w:w="675"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2.3 months</w:t>
            </w:r>
          </w:p>
          <w:p w:rsidR="00CB3342" w:rsidRPr="00CB3342" w:rsidRDefault="00CB3342" w:rsidP="00485AF6">
            <w:pPr>
              <w:pStyle w:val="Tabletext"/>
              <w:keepNext/>
              <w:spacing w:after="0"/>
              <w:jc w:val="center"/>
              <w:rPr>
                <w:rFonts w:ascii="Arial Narrow" w:hAnsi="Arial Narrow"/>
              </w:rPr>
            </w:pPr>
            <w:r w:rsidRPr="00CB3342">
              <w:rPr>
                <w:rFonts w:ascii="Arial Narrow" w:hAnsi="Arial Narrow"/>
                <w:b/>
              </w:rPr>
              <w:t>(1.2, 3.5)</w:t>
            </w:r>
          </w:p>
        </w:tc>
        <w:tc>
          <w:tcPr>
            <w:tcW w:w="604"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14.4 months</w:t>
            </w:r>
          </w:p>
        </w:tc>
        <w:tc>
          <w:tcPr>
            <w:tcW w:w="748"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NR</w:t>
            </w:r>
          </w:p>
        </w:tc>
        <w:tc>
          <w:tcPr>
            <w:tcW w:w="673"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b/>
              </w:rPr>
            </w:pPr>
            <w:r w:rsidRPr="00CB3342">
              <w:rPr>
                <w:rFonts w:ascii="Arial Narrow" w:hAnsi="Arial Narrow"/>
                <w:b/>
              </w:rPr>
              <w:t>0.17</w:t>
            </w:r>
            <w:r w:rsidRPr="00CB3342">
              <w:rPr>
                <w:rFonts w:ascii="Arial Narrow" w:hAnsi="Arial Narrow"/>
                <w:b/>
              </w:rPr>
              <w:br/>
              <w:t>(0.09, 0.31)</w:t>
            </w:r>
          </w:p>
        </w:tc>
      </w:tr>
      <w:tr w:rsidR="00CB3342" w:rsidRPr="00CB3342" w:rsidTr="00CE6212">
        <w:tc>
          <w:tcPr>
            <w:tcW w:w="689" w:type="pct"/>
            <w:tcMar>
              <w:left w:w="28" w:type="dxa"/>
              <w:right w:w="28" w:type="dxa"/>
            </w:tcMar>
            <w:vAlign w:val="center"/>
          </w:tcPr>
          <w:p w:rsidR="00CB3342" w:rsidRPr="00CB3342" w:rsidRDefault="00CB3342" w:rsidP="00485AF6">
            <w:pPr>
              <w:pStyle w:val="Tabletext"/>
              <w:keepNext/>
              <w:spacing w:after="0"/>
              <w:rPr>
                <w:rFonts w:ascii="Arial Narrow" w:hAnsi="Arial Narrow"/>
              </w:rPr>
            </w:pPr>
            <w:r w:rsidRPr="00CB3342">
              <w:rPr>
                <w:rFonts w:ascii="Arial Narrow" w:hAnsi="Arial Narrow"/>
              </w:rPr>
              <w:t>Investigator</w:t>
            </w:r>
          </w:p>
        </w:tc>
        <w:tc>
          <w:tcPr>
            <w:tcW w:w="461"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40/64 (63%)</w:t>
            </w:r>
          </w:p>
        </w:tc>
        <w:tc>
          <w:tcPr>
            <w:tcW w:w="690" w:type="pct"/>
            <w:tcMar>
              <w:left w:w="28" w:type="dxa"/>
              <w:right w:w="28" w:type="dxa"/>
            </w:tcMar>
            <w:vAlign w:val="center"/>
          </w:tcPr>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15.7 months</w:t>
            </w:r>
          </w:p>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(11.7, 17.2)</w:t>
            </w:r>
          </w:p>
        </w:tc>
        <w:tc>
          <w:tcPr>
            <w:tcW w:w="461" w:type="pct"/>
            <w:tcMar>
              <w:left w:w="28" w:type="dxa"/>
              <w:right w:w="28" w:type="dxa"/>
            </w:tcMar>
            <w:vAlign w:val="center"/>
          </w:tcPr>
          <w:p w:rsidR="00CB3342" w:rsidRPr="00CB3342" w:rsidRDefault="00146494" w:rsidP="00485AF6">
            <w:pPr>
              <w:pStyle w:val="Tabletext"/>
              <w:keepNext/>
              <w:spacing w:after="0"/>
              <w:jc w:val="center"/>
              <w:rPr>
                <w:rFonts w:ascii="Arial Narrow" w:hAnsi="Arial Narrow"/>
              </w:rPr>
            </w:pPr>
            <w:r>
              <w:rPr>
                <w:rFonts w:ascii="Arial Narrow" w:hAnsi="Arial Narrow"/>
                <w:noProof/>
                <w:color w:val="000000"/>
                <w:highlight w:val="black"/>
              </w:rPr>
              <w:t>''''''</w:t>
            </w:r>
            <w:r w:rsidR="00CB3342" w:rsidRPr="00CB3342">
              <w:rPr>
                <w:rFonts w:ascii="Arial Narrow" w:hAnsi="Arial Narrow"/>
              </w:rPr>
              <w:t>/26 (</w:t>
            </w:r>
            <w:proofErr w:type="gramStart"/>
            <w:r>
              <w:rPr>
                <w:rFonts w:ascii="Arial Narrow" w:hAnsi="Arial Narrow"/>
                <w:noProof/>
                <w:color w:val="000000"/>
                <w:highlight w:val="black"/>
              </w:rPr>
              <w:t>''''''</w:t>
            </w:r>
            <w:r w:rsidR="00CB3342" w:rsidRPr="00CB3342">
              <w:rPr>
                <w:rFonts w:ascii="Arial Narrow" w:hAnsi="Arial Narrow"/>
              </w:rPr>
              <w:t>%</w:t>
            </w:r>
            <w:proofErr w:type="gramEnd"/>
            <w:r w:rsidR="00CB3342" w:rsidRPr="00CB3342">
              <w:rPr>
                <w:rFonts w:ascii="Arial Narrow" w:hAnsi="Arial Narrow"/>
              </w:rPr>
              <w:t>)</w:t>
            </w:r>
          </w:p>
        </w:tc>
        <w:tc>
          <w:tcPr>
            <w:tcW w:w="675" w:type="pct"/>
            <w:tcMar>
              <w:left w:w="28" w:type="dxa"/>
              <w:right w:w="28" w:type="dxa"/>
            </w:tcMar>
            <w:vAlign w:val="center"/>
          </w:tcPr>
          <w:p w:rsidR="00CB3342" w:rsidRPr="00CB3342" w:rsidRDefault="00146494" w:rsidP="00485AF6">
            <w:pPr>
              <w:pStyle w:val="Tabletext"/>
              <w:keepNext/>
              <w:spacing w:after="0"/>
              <w:jc w:val="center"/>
              <w:rPr>
                <w:rFonts w:ascii="Arial Narrow" w:hAnsi="Arial Narrow"/>
              </w:rPr>
            </w:pPr>
            <w:r>
              <w:rPr>
                <w:rFonts w:ascii="Arial Narrow" w:hAnsi="Arial Narrow"/>
                <w:noProof/>
                <w:color w:val="000000"/>
                <w:highlight w:val="black"/>
              </w:rPr>
              <w:t>'''''''''</w:t>
            </w:r>
            <w:r w:rsidR="00CB3342" w:rsidRPr="00CB3342">
              <w:rPr>
                <w:rFonts w:ascii="Arial Narrow" w:hAnsi="Arial Narrow"/>
              </w:rPr>
              <w:t xml:space="preserve"> months</w:t>
            </w:r>
          </w:p>
          <w:p w:rsidR="00CB3342" w:rsidRPr="00CB3342" w:rsidRDefault="00CB3342" w:rsidP="00485AF6">
            <w:pPr>
              <w:pStyle w:val="Tabletext"/>
              <w:keepNext/>
              <w:spacing w:after="0"/>
              <w:jc w:val="center"/>
              <w:rPr>
                <w:rFonts w:ascii="Arial Narrow" w:hAnsi="Arial Narrow"/>
              </w:rPr>
            </w:pPr>
            <w:r w:rsidRPr="00CB3342">
              <w:rPr>
                <w:rFonts w:ascii="Arial Narrow" w:hAnsi="Arial Narrow"/>
              </w:rPr>
              <w:t>(</w:t>
            </w:r>
            <w:r w:rsidR="00146494">
              <w:rPr>
                <w:rFonts w:ascii="Arial Narrow" w:hAnsi="Arial Narrow"/>
                <w:noProof/>
                <w:color w:val="000000"/>
                <w:highlight w:val="black"/>
              </w:rPr>
              <w:t>''''''''' ''''''''</w:t>
            </w:r>
            <w:r w:rsidRPr="00CB3342">
              <w:rPr>
                <w:rFonts w:ascii="Arial Narrow" w:hAnsi="Arial Narrow"/>
              </w:rPr>
              <w:t>)</w:t>
            </w:r>
          </w:p>
        </w:tc>
        <w:tc>
          <w:tcPr>
            <w:tcW w:w="604" w:type="pct"/>
            <w:tcMar>
              <w:left w:w="28" w:type="dxa"/>
              <w:right w:w="28" w:type="dxa"/>
            </w:tcMar>
            <w:vAlign w:val="center"/>
          </w:tcPr>
          <w:p w:rsidR="00CB3342" w:rsidRPr="00CB3342" w:rsidRDefault="00146494" w:rsidP="00485AF6">
            <w:pPr>
              <w:pStyle w:val="Tabletext"/>
              <w:keepNext/>
              <w:spacing w:after="0"/>
              <w:jc w:val="center"/>
              <w:rPr>
                <w:rFonts w:ascii="Arial Narrow" w:hAnsi="Arial Narrow"/>
              </w:rPr>
            </w:pPr>
            <w:r>
              <w:rPr>
                <w:rFonts w:ascii="Arial Narrow" w:hAnsi="Arial Narrow"/>
                <w:noProof/>
                <w:color w:val="000000"/>
                <w:highlight w:val="black"/>
              </w:rPr>
              <w:t>''''''''''</w:t>
            </w:r>
            <w:r w:rsidR="00CB3342" w:rsidRPr="00CB3342">
              <w:rPr>
                <w:rFonts w:ascii="Arial Narrow" w:hAnsi="Arial Narrow"/>
              </w:rPr>
              <w:t xml:space="preserve"> months</w:t>
            </w:r>
          </w:p>
        </w:tc>
        <w:tc>
          <w:tcPr>
            <w:tcW w:w="748" w:type="pct"/>
            <w:tcMar>
              <w:left w:w="28" w:type="dxa"/>
              <w:right w:w="28" w:type="dxa"/>
            </w:tcMar>
            <w:vAlign w:val="center"/>
          </w:tcPr>
          <w:p w:rsidR="00CB3342" w:rsidRPr="00146494" w:rsidRDefault="00146494" w:rsidP="00485AF6">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73" w:type="pct"/>
            <w:tcMar>
              <w:left w:w="28" w:type="dxa"/>
              <w:right w:w="28" w:type="dxa"/>
            </w:tcMar>
            <w:vAlign w:val="center"/>
          </w:tcPr>
          <w:p w:rsidR="00CB3342" w:rsidRPr="00146494" w:rsidRDefault="00146494" w:rsidP="00485AF6">
            <w:pPr>
              <w:pStyle w:val="Tabletext"/>
              <w:keepNext/>
              <w:spacing w:after="0"/>
              <w:jc w:val="center"/>
              <w:rPr>
                <w:rFonts w:ascii="Arial Narrow" w:hAnsi="Arial Narrow"/>
                <w:highlight w:val="black"/>
              </w:rPr>
            </w:pPr>
            <w:r>
              <w:rPr>
                <w:rFonts w:ascii="Arial Narrow" w:hAnsi="Arial Narrow"/>
                <w:noProof/>
                <w:color w:val="000000"/>
                <w:highlight w:val="black"/>
              </w:rPr>
              <w:t>'''''''</w:t>
            </w:r>
          </w:p>
        </w:tc>
      </w:tr>
    </w:tbl>
    <w:p w:rsidR="00CB3342" w:rsidRPr="0022357A" w:rsidRDefault="00CB3342" w:rsidP="00CB3342">
      <w:pPr>
        <w:pStyle w:val="TableFooter"/>
        <w:keepNext/>
      </w:pPr>
      <w:r w:rsidRPr="0022357A">
        <w:t xml:space="preserve">Source: </w:t>
      </w:r>
      <w:r w:rsidR="00EE1992">
        <w:rPr>
          <w:sz w:val="20"/>
        </w:rPr>
        <w:t>Table 7</w:t>
      </w:r>
      <w:r w:rsidR="00EE1992" w:rsidRPr="00EE1992">
        <w:rPr>
          <w:sz w:val="20"/>
        </w:rPr>
        <w:t xml:space="preserve"> </w:t>
      </w:r>
      <w:proofErr w:type="spellStart"/>
      <w:r w:rsidR="00EE1992" w:rsidRPr="00EE1992">
        <w:rPr>
          <w:rFonts w:eastAsiaTheme="minorHAnsi" w:cstheme="minorBidi"/>
          <w:sz w:val="20"/>
        </w:rPr>
        <w:t>brentuximab</w:t>
      </w:r>
      <w:proofErr w:type="spellEnd"/>
      <w:r w:rsidR="00EE1992" w:rsidRPr="00EE1992">
        <w:rPr>
          <w:rFonts w:eastAsiaTheme="minorHAnsi" w:cstheme="minorBidi"/>
          <w:sz w:val="20"/>
        </w:rPr>
        <w:t xml:space="preserve"> </w:t>
      </w:r>
      <w:proofErr w:type="spellStart"/>
      <w:r w:rsidR="00EE1992" w:rsidRPr="00EE1992">
        <w:rPr>
          <w:rFonts w:eastAsiaTheme="minorHAnsi" w:cstheme="minorBidi"/>
          <w:sz w:val="20"/>
        </w:rPr>
        <w:t>vedotin</w:t>
      </w:r>
      <w:proofErr w:type="spellEnd"/>
      <w:r w:rsidR="00EE1992" w:rsidRPr="00EE1992">
        <w:rPr>
          <w:rFonts w:eastAsiaTheme="minorHAnsi" w:cstheme="minorBidi"/>
          <w:sz w:val="20"/>
        </w:rPr>
        <w:t xml:space="preserve"> PBAC </w:t>
      </w:r>
      <w:r w:rsidR="006D4D52">
        <w:rPr>
          <w:rFonts w:eastAsiaTheme="minorHAnsi" w:cstheme="minorBidi"/>
          <w:sz w:val="20"/>
        </w:rPr>
        <w:t>PSD</w:t>
      </w:r>
      <w:r w:rsidR="00EE1992" w:rsidRPr="00EE1992">
        <w:rPr>
          <w:rFonts w:eastAsiaTheme="minorHAnsi" w:cstheme="minorBidi"/>
          <w:sz w:val="20"/>
        </w:rPr>
        <w:t>, July 2018</w:t>
      </w:r>
    </w:p>
    <w:p w:rsidR="00CB3342" w:rsidRPr="00E548D7" w:rsidRDefault="00CB3342" w:rsidP="00CB3342">
      <w:pPr>
        <w:pStyle w:val="TableFooter"/>
        <w:keepNext/>
        <w:rPr>
          <w:rFonts w:eastAsia="Calibri"/>
          <w:sz w:val="20"/>
        </w:rPr>
      </w:pPr>
      <w:r w:rsidRPr="00E548D7">
        <w:rPr>
          <w:rFonts w:eastAsia="Calibri"/>
          <w:sz w:val="20"/>
        </w:rPr>
        <w:t xml:space="preserve">BEX = </w:t>
      </w:r>
      <w:proofErr w:type="spellStart"/>
      <w:r w:rsidRPr="00E548D7">
        <w:rPr>
          <w:rFonts w:eastAsia="Calibri"/>
          <w:sz w:val="20"/>
        </w:rPr>
        <w:t>bexarotene</w:t>
      </w:r>
      <w:proofErr w:type="spellEnd"/>
      <w:r w:rsidRPr="00E548D7">
        <w:rPr>
          <w:rFonts w:eastAsia="Calibri"/>
          <w:sz w:val="20"/>
        </w:rPr>
        <w:t xml:space="preserve">; BV = </w:t>
      </w:r>
      <w:proofErr w:type="spellStart"/>
      <w:r w:rsidRPr="00E548D7">
        <w:rPr>
          <w:rFonts w:eastAsia="Calibri"/>
          <w:sz w:val="20"/>
        </w:rPr>
        <w:t>Brentuximab</w:t>
      </w:r>
      <w:proofErr w:type="spellEnd"/>
      <w:r w:rsidRPr="00E548D7">
        <w:rPr>
          <w:rFonts w:eastAsia="Calibri"/>
          <w:sz w:val="20"/>
        </w:rPr>
        <w:t xml:space="preserve"> </w:t>
      </w:r>
      <w:proofErr w:type="spellStart"/>
      <w:r w:rsidRPr="00E548D7">
        <w:rPr>
          <w:rFonts w:eastAsia="Calibri"/>
          <w:sz w:val="20"/>
        </w:rPr>
        <w:t>vedotin</w:t>
      </w:r>
      <w:proofErr w:type="spellEnd"/>
      <w:r w:rsidRPr="00E548D7">
        <w:rPr>
          <w:rFonts w:eastAsia="Calibri"/>
          <w:sz w:val="20"/>
        </w:rPr>
        <w:t>; CI = confidence interval; IRF = independent review facility; MTX = methotrexate; NR = not reported; PC = Physician's Choice; PFS = progression-free survival;</w:t>
      </w:r>
    </w:p>
    <w:p w:rsidR="00CB3342" w:rsidRPr="00E548D7" w:rsidRDefault="00CB3342" w:rsidP="00485AF6">
      <w:pPr>
        <w:pStyle w:val="TableFooter"/>
        <w:keepNext/>
        <w:rPr>
          <w:sz w:val="20"/>
        </w:rPr>
      </w:pPr>
      <w:proofErr w:type="gramStart"/>
      <w:r w:rsidRPr="00E548D7">
        <w:rPr>
          <w:sz w:val="20"/>
          <w:vertAlign w:val="superscript"/>
        </w:rPr>
        <w:t>a</w:t>
      </w:r>
      <w:proofErr w:type="gramEnd"/>
      <w:r w:rsidRPr="00E548D7">
        <w:rPr>
          <w:sz w:val="20"/>
          <w:vertAlign w:val="superscript"/>
        </w:rPr>
        <w:t xml:space="preserve"> </w:t>
      </w:r>
      <w:r w:rsidRPr="00E548D7">
        <w:rPr>
          <w:sz w:val="20"/>
        </w:rPr>
        <w:t xml:space="preserve">Log rank test stratified by baseline disease diagnosis (MF or </w:t>
      </w:r>
      <w:proofErr w:type="spellStart"/>
      <w:r w:rsidRPr="00E548D7">
        <w:rPr>
          <w:sz w:val="20"/>
        </w:rPr>
        <w:t>pcALCL</w:t>
      </w:r>
      <w:proofErr w:type="spellEnd"/>
      <w:r w:rsidRPr="00E548D7">
        <w:rPr>
          <w:sz w:val="20"/>
        </w:rPr>
        <w:t>)</w:t>
      </w:r>
    </w:p>
    <w:p w:rsidR="00BE7A86" w:rsidRPr="00BE7A86" w:rsidRDefault="00922DD5" w:rsidP="00485AF6">
      <w:pPr>
        <w:keepNext/>
        <w:widowControl w:val="0"/>
        <w:numPr>
          <w:ilvl w:val="1"/>
          <w:numId w:val="5"/>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In July </w:t>
      </w:r>
      <w:proofErr w:type="gramStart"/>
      <w:r>
        <w:rPr>
          <w:rFonts w:asciiTheme="minorHAnsi" w:eastAsiaTheme="minorHAnsi" w:hAnsiTheme="minorHAnsi" w:cstheme="minorBidi"/>
          <w:szCs w:val="22"/>
          <w:lang w:eastAsia="en-US"/>
        </w:rPr>
        <w:t>2018</w:t>
      </w:r>
      <w:proofErr w:type="gramEnd"/>
      <w:r>
        <w:rPr>
          <w:rFonts w:asciiTheme="minorHAnsi" w:eastAsiaTheme="minorHAnsi" w:hAnsiTheme="minorHAnsi" w:cstheme="minorBidi"/>
          <w:szCs w:val="22"/>
          <w:lang w:eastAsia="en-US"/>
        </w:rPr>
        <w:t xml:space="preserve"> t</w:t>
      </w:r>
      <w:r w:rsidR="00BE7A86" w:rsidRPr="00BE7A86">
        <w:rPr>
          <w:rFonts w:asciiTheme="minorHAnsi" w:eastAsiaTheme="minorHAnsi" w:hAnsiTheme="minorHAnsi" w:cstheme="minorBidi"/>
          <w:szCs w:val="22"/>
          <w:lang w:eastAsia="en-US"/>
        </w:rPr>
        <w:t xml:space="preserve">he PBAC noted that the results of the ALCANZA trial indicated that patients in the </w:t>
      </w:r>
      <w:proofErr w:type="spellStart"/>
      <w:r w:rsidR="00BE7A86" w:rsidRPr="00BE7A86">
        <w:rPr>
          <w:rFonts w:asciiTheme="minorHAnsi" w:eastAsiaTheme="minorHAnsi" w:hAnsiTheme="minorHAnsi" w:cstheme="minorBidi"/>
          <w:szCs w:val="22"/>
          <w:lang w:eastAsia="en-US"/>
        </w:rPr>
        <w:t>brentuximab</w:t>
      </w:r>
      <w:proofErr w:type="spellEnd"/>
      <w:r w:rsidR="00BE7A86" w:rsidRPr="00BE7A86">
        <w:rPr>
          <w:rFonts w:asciiTheme="minorHAnsi" w:eastAsiaTheme="minorHAnsi" w:hAnsiTheme="minorHAnsi" w:cstheme="minorBidi"/>
          <w:szCs w:val="22"/>
          <w:lang w:eastAsia="en-US"/>
        </w:rPr>
        <w:t xml:space="preserve"> </w:t>
      </w:r>
      <w:proofErr w:type="spellStart"/>
      <w:r w:rsidR="00BE7A86" w:rsidRPr="00BE7A86">
        <w:rPr>
          <w:rFonts w:asciiTheme="minorHAnsi" w:eastAsiaTheme="minorHAnsi" w:hAnsiTheme="minorHAnsi" w:cstheme="minorBidi"/>
          <w:szCs w:val="22"/>
          <w:lang w:eastAsia="en-US"/>
        </w:rPr>
        <w:t>vedotin</w:t>
      </w:r>
      <w:proofErr w:type="spellEnd"/>
      <w:r w:rsidR="00BE7A86" w:rsidRPr="00BE7A86">
        <w:rPr>
          <w:rFonts w:asciiTheme="minorHAnsi" w:eastAsiaTheme="minorHAnsi" w:hAnsiTheme="minorHAnsi" w:cstheme="minorBidi"/>
          <w:szCs w:val="22"/>
          <w:lang w:eastAsia="en-US"/>
        </w:rPr>
        <w:t xml:space="preserve"> arm had higher ORR, ORR4 and complete response than patients in the methotrexate arm. The PBAC also noted that patients treated with </w:t>
      </w:r>
      <w:proofErr w:type="spellStart"/>
      <w:r w:rsidR="00BE7A86" w:rsidRPr="00BE7A86">
        <w:rPr>
          <w:rFonts w:asciiTheme="minorHAnsi" w:eastAsiaTheme="minorHAnsi" w:hAnsiTheme="minorHAnsi" w:cstheme="minorBidi"/>
          <w:szCs w:val="22"/>
          <w:lang w:eastAsia="en-US"/>
        </w:rPr>
        <w:t>brentuximab</w:t>
      </w:r>
      <w:proofErr w:type="spellEnd"/>
      <w:r w:rsidR="00BE7A86" w:rsidRPr="00BE7A86">
        <w:rPr>
          <w:rFonts w:asciiTheme="minorHAnsi" w:eastAsiaTheme="minorHAnsi" w:hAnsiTheme="minorHAnsi" w:cstheme="minorBidi"/>
          <w:szCs w:val="22"/>
          <w:lang w:eastAsia="en-US"/>
        </w:rPr>
        <w:t xml:space="preserve"> </w:t>
      </w:r>
      <w:proofErr w:type="spellStart"/>
      <w:r w:rsidR="00BE7A86" w:rsidRPr="00BE7A86">
        <w:rPr>
          <w:rFonts w:asciiTheme="minorHAnsi" w:eastAsiaTheme="minorHAnsi" w:hAnsiTheme="minorHAnsi" w:cstheme="minorBidi"/>
          <w:szCs w:val="22"/>
          <w:lang w:eastAsia="en-US"/>
        </w:rPr>
        <w:t>vedotin</w:t>
      </w:r>
      <w:proofErr w:type="spellEnd"/>
      <w:r w:rsidR="00BE7A86" w:rsidRPr="00BE7A86">
        <w:rPr>
          <w:rFonts w:asciiTheme="minorHAnsi" w:eastAsiaTheme="minorHAnsi" w:hAnsiTheme="minorHAnsi" w:cstheme="minorBidi"/>
          <w:szCs w:val="22"/>
          <w:lang w:eastAsia="en-US"/>
        </w:rPr>
        <w:t xml:space="preserve"> had a median PFS of 16.7 months, which was significantly longer than the median 2.3 months PFS experienced by patients treated with methotrexate. Acknowledging the limitations of the data, the PBAC considered that </w:t>
      </w:r>
      <w:proofErr w:type="spellStart"/>
      <w:r w:rsidR="00BE7A86" w:rsidRPr="00BE7A86">
        <w:rPr>
          <w:rFonts w:asciiTheme="minorHAnsi" w:eastAsiaTheme="minorHAnsi" w:hAnsiTheme="minorHAnsi" w:cstheme="minorBidi"/>
          <w:szCs w:val="22"/>
          <w:lang w:eastAsia="en-US"/>
        </w:rPr>
        <w:t>brentuximab</w:t>
      </w:r>
      <w:proofErr w:type="spellEnd"/>
      <w:r w:rsidR="00BE7A86" w:rsidRPr="00BE7A86">
        <w:rPr>
          <w:rFonts w:asciiTheme="minorHAnsi" w:eastAsiaTheme="minorHAnsi" w:hAnsiTheme="minorHAnsi" w:cstheme="minorBidi"/>
          <w:szCs w:val="22"/>
          <w:lang w:eastAsia="en-US"/>
        </w:rPr>
        <w:t xml:space="preserve"> </w:t>
      </w:r>
      <w:proofErr w:type="spellStart"/>
      <w:r w:rsidR="00BE7A86" w:rsidRPr="00BE7A86">
        <w:rPr>
          <w:rFonts w:asciiTheme="minorHAnsi" w:eastAsiaTheme="minorHAnsi" w:hAnsiTheme="minorHAnsi" w:cstheme="minorBidi"/>
          <w:szCs w:val="22"/>
          <w:lang w:eastAsia="en-US"/>
        </w:rPr>
        <w:t>vedotin</w:t>
      </w:r>
      <w:proofErr w:type="spellEnd"/>
      <w:r w:rsidR="00BE7A86" w:rsidRPr="00BE7A86">
        <w:rPr>
          <w:rFonts w:asciiTheme="minorHAnsi" w:eastAsiaTheme="minorHAnsi" w:hAnsiTheme="minorHAnsi" w:cstheme="minorBidi"/>
          <w:szCs w:val="22"/>
          <w:lang w:eastAsia="en-US"/>
        </w:rPr>
        <w:t xml:space="preserve"> appears to be effective over an extended duration in </w:t>
      </w:r>
      <w:r w:rsidR="00BE7A86" w:rsidRPr="00BE7A86">
        <w:rPr>
          <w:rFonts w:asciiTheme="minorHAnsi" w:eastAsiaTheme="minorHAnsi" w:hAnsiTheme="minorHAnsi" w:cstheme="minorBidi"/>
          <w:szCs w:val="22"/>
          <w:lang w:eastAsia="en-US"/>
        </w:rPr>
        <w:lastRenderedPageBreak/>
        <w:t>patients with proven CD30 positive CTCL and more effective than methotrexate in patients with MF</w:t>
      </w:r>
      <w:r w:rsidR="00485AF6">
        <w:rPr>
          <w:rFonts w:asciiTheme="minorHAnsi" w:eastAsiaTheme="minorHAnsi" w:hAnsiTheme="minorHAnsi" w:cstheme="minorBidi"/>
          <w:szCs w:val="22"/>
          <w:lang w:eastAsia="en-US"/>
        </w:rPr>
        <w:t xml:space="preserve"> (</w:t>
      </w:r>
      <w:r w:rsidR="00485AF6">
        <w:rPr>
          <w:rFonts w:ascii="Calibri" w:hAnsi="Calibri"/>
          <w:szCs w:val="22"/>
        </w:rPr>
        <w:t>Paragraph 7.10</w:t>
      </w:r>
      <w:r w:rsidR="00485AF6" w:rsidRPr="0029625B">
        <w:rPr>
          <w:rFonts w:ascii="Calibri" w:hAnsi="Calibri"/>
          <w:szCs w:val="22"/>
        </w:rPr>
        <w:t xml:space="preserve">, </w:t>
      </w:r>
      <w:proofErr w:type="spellStart"/>
      <w:r w:rsidR="00485AF6" w:rsidRPr="0029625B">
        <w:rPr>
          <w:rFonts w:ascii="Calibri" w:hAnsi="Calibri"/>
          <w:szCs w:val="22"/>
        </w:rPr>
        <w:t>brentuximab</w:t>
      </w:r>
      <w:proofErr w:type="spellEnd"/>
      <w:r w:rsidR="00485AF6" w:rsidRPr="0029625B">
        <w:rPr>
          <w:rFonts w:ascii="Calibri" w:hAnsi="Calibri"/>
          <w:szCs w:val="22"/>
        </w:rPr>
        <w:t xml:space="preserve"> </w:t>
      </w:r>
      <w:proofErr w:type="spellStart"/>
      <w:r w:rsidR="00485AF6" w:rsidRPr="0029625B">
        <w:rPr>
          <w:rFonts w:ascii="Calibri" w:hAnsi="Calibri"/>
          <w:szCs w:val="22"/>
        </w:rPr>
        <w:t>vedotin</w:t>
      </w:r>
      <w:proofErr w:type="spellEnd"/>
      <w:r w:rsidR="00485AF6" w:rsidRPr="0029625B">
        <w:rPr>
          <w:rFonts w:ascii="Calibri" w:hAnsi="Calibri"/>
          <w:szCs w:val="22"/>
        </w:rPr>
        <w:t xml:space="preserve"> PBAC </w:t>
      </w:r>
      <w:r w:rsidR="006D4D52">
        <w:rPr>
          <w:rFonts w:ascii="Calibri" w:hAnsi="Calibri"/>
          <w:szCs w:val="22"/>
        </w:rPr>
        <w:t>PSD</w:t>
      </w:r>
      <w:r w:rsidR="00485AF6" w:rsidRPr="0029625B">
        <w:rPr>
          <w:rFonts w:ascii="Calibri" w:hAnsi="Calibri"/>
          <w:szCs w:val="22"/>
        </w:rPr>
        <w:t>, July 2018)</w:t>
      </w:r>
      <w:r w:rsidR="00485AF6">
        <w:rPr>
          <w:rFonts w:ascii="Calibri" w:hAnsi="Calibri"/>
          <w:szCs w:val="22"/>
        </w:rPr>
        <w:t>.</w:t>
      </w:r>
    </w:p>
    <w:p w:rsidR="00485AF6" w:rsidRPr="00485AF6" w:rsidRDefault="00D47CAA" w:rsidP="00485AF6">
      <w:pPr>
        <w:pStyle w:val="BodyText"/>
        <w:keepNext/>
        <w:rPr>
          <w:rFonts w:asciiTheme="minorHAnsi" w:hAnsiTheme="minorHAnsi" w:cstheme="minorHAnsi"/>
          <w:u w:val="single"/>
        </w:rPr>
      </w:pPr>
      <w:r>
        <w:rPr>
          <w:rFonts w:asciiTheme="minorHAnsi" w:hAnsiTheme="minorHAnsi" w:cstheme="minorHAnsi"/>
          <w:u w:val="single"/>
        </w:rPr>
        <w:t>Outcomes by CTCL subtype</w:t>
      </w:r>
    </w:p>
    <w:p w:rsidR="00485AF6" w:rsidRPr="001A3173" w:rsidRDefault="00650CF0" w:rsidP="00485AF6">
      <w:pPr>
        <w:pStyle w:val="ListParagraph"/>
        <w:widowControl/>
        <w:numPr>
          <w:ilvl w:val="1"/>
          <w:numId w:val="5"/>
        </w:numPr>
        <w:spacing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minor resubmission provided updated ORR data by CTCL subtype </w:t>
      </w:r>
      <w:r w:rsidR="00625E00">
        <w:rPr>
          <w:rFonts w:asciiTheme="minorHAnsi" w:eastAsiaTheme="minorHAnsi" w:hAnsiTheme="minorHAnsi" w:cstheme="minorBidi"/>
          <w:snapToGrid/>
          <w:sz w:val="24"/>
          <w:szCs w:val="22"/>
        </w:rPr>
        <w:t>from the CSRs</w:t>
      </w:r>
      <w:r w:rsidR="009164EF">
        <w:rPr>
          <w:rFonts w:asciiTheme="minorHAnsi" w:eastAsiaTheme="minorHAnsi" w:hAnsiTheme="minorHAnsi" w:cstheme="minorBidi"/>
          <w:snapToGrid/>
          <w:sz w:val="24"/>
          <w:szCs w:val="22"/>
        </w:rPr>
        <w:t xml:space="preserve"> of</w:t>
      </w:r>
      <w:r w:rsidRPr="00650CF0">
        <w:rPr>
          <w:rFonts w:asciiTheme="minorHAnsi" w:eastAsiaTheme="minorHAnsi" w:hAnsiTheme="minorHAnsi" w:cstheme="minorBidi"/>
          <w:snapToGrid/>
          <w:sz w:val="24"/>
          <w:szCs w:val="22"/>
        </w:rPr>
        <w:t xml:space="preserve"> the </w:t>
      </w:r>
      <w:proofErr w:type="spellStart"/>
      <w:r w:rsidRPr="00650CF0">
        <w:rPr>
          <w:rFonts w:asciiTheme="minorHAnsi" w:eastAsiaTheme="minorHAnsi" w:hAnsiTheme="minorHAnsi" w:cstheme="minorBidi"/>
          <w:snapToGrid/>
          <w:sz w:val="24"/>
          <w:szCs w:val="22"/>
        </w:rPr>
        <w:t>Duvic</w:t>
      </w:r>
      <w:proofErr w:type="spellEnd"/>
      <w:r w:rsidRPr="00650CF0">
        <w:rPr>
          <w:rFonts w:asciiTheme="minorHAnsi" w:eastAsiaTheme="minorHAnsi" w:hAnsiTheme="minorHAnsi" w:cstheme="minorBidi"/>
          <w:snapToGrid/>
          <w:sz w:val="24"/>
          <w:szCs w:val="22"/>
        </w:rPr>
        <w:t xml:space="preserve"> (2015) and Kim (2015) Phase II studies</w:t>
      </w:r>
      <w:r>
        <w:rPr>
          <w:rFonts w:asciiTheme="minorHAnsi" w:eastAsiaTheme="minorHAnsi" w:hAnsiTheme="minorHAnsi" w:cstheme="minorBidi"/>
          <w:snapToGrid/>
          <w:sz w:val="24"/>
          <w:szCs w:val="22"/>
        </w:rPr>
        <w:t xml:space="preserve">. </w:t>
      </w:r>
      <w:r w:rsidRPr="00485AF6">
        <w:rPr>
          <w:rFonts w:asciiTheme="minorHAnsi" w:eastAsiaTheme="minorHAnsi" w:hAnsiTheme="minorHAnsi" w:cstheme="minorBidi"/>
          <w:snapToGrid/>
          <w:sz w:val="24"/>
          <w:szCs w:val="22"/>
        </w:rPr>
        <w:t xml:space="preserve">Table </w:t>
      </w:r>
      <w:r>
        <w:rPr>
          <w:rFonts w:asciiTheme="minorHAnsi" w:eastAsiaTheme="minorHAnsi" w:hAnsiTheme="minorHAnsi" w:cstheme="minorBidi"/>
          <w:snapToGrid/>
          <w:sz w:val="24"/>
          <w:szCs w:val="22"/>
        </w:rPr>
        <w:t>4</w:t>
      </w:r>
      <w:r w:rsidRPr="00485AF6">
        <w:rPr>
          <w:rFonts w:asciiTheme="minorHAnsi" w:eastAsiaTheme="minorHAnsi" w:hAnsiTheme="minorHAnsi" w:cstheme="minorBidi"/>
          <w:snapToGrid/>
          <w:sz w:val="24"/>
          <w:szCs w:val="22"/>
        </w:rPr>
        <w:t xml:space="preserve"> presents ORR outcomes by CTCL subtype</w:t>
      </w:r>
      <w:r>
        <w:rPr>
          <w:rFonts w:asciiTheme="minorHAnsi" w:eastAsiaTheme="minorHAnsi" w:hAnsiTheme="minorHAnsi" w:cstheme="minorBidi"/>
          <w:snapToGrid/>
          <w:sz w:val="24"/>
          <w:szCs w:val="22"/>
        </w:rPr>
        <w:t xml:space="preserve"> with the updated data provided in the minor resubmission shaded</w:t>
      </w:r>
      <w:r w:rsidRPr="00485AF6">
        <w:rPr>
          <w:rFonts w:asciiTheme="minorHAnsi" w:eastAsiaTheme="minorHAnsi" w:hAnsiTheme="minorHAnsi" w:cstheme="minorBidi"/>
          <w:snapToGrid/>
          <w:sz w:val="24"/>
          <w:szCs w:val="22"/>
        </w:rPr>
        <w:t>.</w:t>
      </w:r>
    </w:p>
    <w:p w:rsidR="00CE6212" w:rsidRDefault="00CE6212" w:rsidP="00CE6212">
      <w:pPr>
        <w:pStyle w:val="Caption"/>
        <w:keepNext/>
      </w:pPr>
      <w:r>
        <w:t xml:space="preserve">Table </w:t>
      </w:r>
      <w:r w:rsidR="00922DD5">
        <w:rPr>
          <w:noProof/>
        </w:rPr>
        <w:t>4</w:t>
      </w:r>
      <w:r w:rsidRPr="00B541B6">
        <w:t>: Results of ORR across the studies by CTCL subtype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2199"/>
        <w:gridCol w:w="1734"/>
        <w:gridCol w:w="1479"/>
      </w:tblGrid>
      <w:tr w:rsidR="00485AF6" w:rsidRPr="00EE1992" w:rsidTr="0002433F">
        <w:trPr>
          <w:cantSplit/>
          <w:tblHeader/>
        </w:trPr>
        <w:tc>
          <w:tcPr>
            <w:tcW w:w="1963" w:type="pct"/>
            <w:vAlign w:val="center"/>
          </w:tcPr>
          <w:p w:rsidR="00485AF6" w:rsidRPr="00EE1992" w:rsidRDefault="00485AF6" w:rsidP="00485AF6">
            <w:pPr>
              <w:pStyle w:val="Tabletext"/>
              <w:keepNext/>
              <w:rPr>
                <w:rFonts w:ascii="Arial Narrow" w:hAnsi="Arial Narrow"/>
                <w:b/>
              </w:rPr>
            </w:pPr>
            <w:r w:rsidRPr="00EE1992">
              <w:rPr>
                <w:rFonts w:ascii="Arial Narrow" w:hAnsi="Arial Narrow"/>
                <w:b/>
              </w:rPr>
              <w:t>CTCL subtype and study</w:t>
            </w:r>
          </w:p>
        </w:tc>
        <w:tc>
          <w:tcPr>
            <w:tcW w:w="1234" w:type="pct"/>
            <w:vAlign w:val="center"/>
          </w:tcPr>
          <w:p w:rsidR="00485AF6" w:rsidRPr="00EE1992" w:rsidRDefault="00485AF6" w:rsidP="00485AF6">
            <w:pPr>
              <w:pStyle w:val="Tabletext"/>
              <w:keepNext/>
              <w:jc w:val="center"/>
              <w:rPr>
                <w:rFonts w:ascii="Arial Narrow" w:hAnsi="Arial Narrow"/>
                <w:b/>
              </w:rPr>
            </w:pPr>
            <w:proofErr w:type="spellStart"/>
            <w:r w:rsidRPr="00EE1992">
              <w:rPr>
                <w:rFonts w:ascii="Arial Narrow" w:hAnsi="Arial Narrow"/>
                <w:b/>
              </w:rPr>
              <w:t>Brentuximab</w:t>
            </w:r>
            <w:proofErr w:type="spellEnd"/>
            <w:r w:rsidRPr="00EE1992">
              <w:rPr>
                <w:rFonts w:ascii="Arial Narrow" w:hAnsi="Arial Narrow"/>
                <w:b/>
              </w:rPr>
              <w:t xml:space="preserve"> </w:t>
            </w:r>
            <w:proofErr w:type="spellStart"/>
            <w:r w:rsidRPr="00EE1992">
              <w:rPr>
                <w:rFonts w:ascii="Arial Narrow" w:hAnsi="Arial Narrow"/>
                <w:b/>
              </w:rPr>
              <w:t>vedotin</w:t>
            </w:r>
            <w:proofErr w:type="spellEnd"/>
            <w:r w:rsidRPr="00EE1992">
              <w:rPr>
                <w:rFonts w:ascii="Arial Narrow" w:hAnsi="Arial Narrow"/>
                <w:b/>
              </w:rPr>
              <w:t xml:space="preserve"> </w:t>
            </w:r>
          </w:p>
        </w:tc>
        <w:tc>
          <w:tcPr>
            <w:tcW w:w="973" w:type="pct"/>
            <w:vAlign w:val="center"/>
          </w:tcPr>
          <w:p w:rsidR="00485AF6" w:rsidRPr="00EE1992" w:rsidRDefault="00485AF6" w:rsidP="00485AF6">
            <w:pPr>
              <w:pStyle w:val="Tabletext"/>
              <w:keepNext/>
              <w:jc w:val="center"/>
              <w:rPr>
                <w:rFonts w:ascii="Arial Narrow" w:hAnsi="Arial Narrow"/>
                <w:b/>
              </w:rPr>
            </w:pPr>
            <w:proofErr w:type="spellStart"/>
            <w:r w:rsidRPr="00EE1992">
              <w:rPr>
                <w:rFonts w:ascii="Arial Narrow" w:hAnsi="Arial Narrow"/>
                <w:b/>
              </w:rPr>
              <w:t>Vorinostat</w:t>
            </w:r>
            <w:proofErr w:type="spellEnd"/>
            <w:r w:rsidRPr="00EE1992">
              <w:rPr>
                <w:rFonts w:ascii="Arial Narrow" w:hAnsi="Arial Narrow"/>
                <w:b/>
              </w:rPr>
              <w:t xml:space="preserve"> </w:t>
            </w:r>
          </w:p>
        </w:tc>
        <w:tc>
          <w:tcPr>
            <w:tcW w:w="830" w:type="pct"/>
            <w:vAlign w:val="center"/>
          </w:tcPr>
          <w:p w:rsidR="00485AF6" w:rsidRPr="00EE1992" w:rsidRDefault="00485AF6" w:rsidP="00485AF6">
            <w:pPr>
              <w:pStyle w:val="Tabletext"/>
              <w:keepNext/>
              <w:jc w:val="center"/>
              <w:rPr>
                <w:rFonts w:ascii="Arial Narrow" w:hAnsi="Arial Narrow"/>
                <w:b/>
              </w:rPr>
            </w:pPr>
            <w:r w:rsidRPr="00EE1992">
              <w:rPr>
                <w:rFonts w:ascii="Arial Narrow" w:hAnsi="Arial Narrow"/>
                <w:b/>
              </w:rPr>
              <w:t xml:space="preserve">Methotrexate </w:t>
            </w:r>
          </w:p>
        </w:tc>
      </w:tr>
      <w:tr w:rsidR="00485AF6" w:rsidRPr="00EE1992" w:rsidTr="00485AF6">
        <w:trPr>
          <w:cantSplit/>
        </w:trPr>
        <w:tc>
          <w:tcPr>
            <w:tcW w:w="5000" w:type="pct"/>
            <w:gridSpan w:val="4"/>
            <w:vAlign w:val="center"/>
          </w:tcPr>
          <w:p w:rsidR="00485AF6" w:rsidRPr="00EE1992" w:rsidRDefault="00485AF6" w:rsidP="00485AF6">
            <w:pPr>
              <w:pStyle w:val="Tabletext"/>
              <w:keepNext/>
              <w:spacing w:after="0"/>
              <w:rPr>
                <w:rFonts w:ascii="Arial Narrow" w:hAnsi="Arial Narrow"/>
                <w:b/>
              </w:rPr>
            </w:pPr>
            <w:r w:rsidRPr="00EE1992">
              <w:rPr>
                <w:rFonts w:ascii="Arial Narrow" w:hAnsi="Arial Narrow"/>
                <w:b/>
              </w:rPr>
              <w:t>MF</w:t>
            </w:r>
          </w:p>
        </w:tc>
      </w:tr>
      <w:tr w:rsidR="00485AF6" w:rsidRPr="00EE1992" w:rsidTr="0002433F">
        <w:trPr>
          <w:cantSplit/>
        </w:trPr>
        <w:tc>
          <w:tcPr>
            <w:tcW w:w="196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 xml:space="preserve">ALCANZA </w:t>
            </w:r>
          </w:p>
        </w:tc>
        <w:tc>
          <w:tcPr>
            <w:tcW w:w="1234"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 xml:space="preserve">31/48 (65%) </w:t>
            </w:r>
          </w:p>
        </w:tc>
        <w:tc>
          <w:tcPr>
            <w:tcW w:w="973"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c>
          <w:tcPr>
            <w:tcW w:w="830" w:type="pct"/>
            <w:vAlign w:val="center"/>
          </w:tcPr>
          <w:p w:rsidR="00485AF6" w:rsidRPr="00EE1992" w:rsidRDefault="00146494" w:rsidP="00485AF6">
            <w:pPr>
              <w:pStyle w:val="Tabletext"/>
              <w:keepNext/>
              <w:spacing w:after="0"/>
              <w:rPr>
                <w:rFonts w:ascii="Arial Narrow" w:hAnsi="Arial Narrow"/>
              </w:rPr>
            </w:pPr>
            <w:r>
              <w:rPr>
                <w:rFonts w:ascii="Arial Narrow" w:hAnsi="Arial Narrow"/>
                <w:noProof/>
                <w:color w:val="000000"/>
                <w:highlight w:val="black"/>
              </w:rPr>
              <w:t>''''''''''</w:t>
            </w:r>
            <w:r w:rsidR="00485AF6" w:rsidRPr="00EE1992">
              <w:rPr>
                <w:rFonts w:ascii="Arial Narrow" w:hAnsi="Arial Narrow"/>
              </w:rPr>
              <w:t xml:space="preserve"> (</w:t>
            </w:r>
            <w:r>
              <w:rPr>
                <w:rFonts w:ascii="Arial Narrow" w:hAnsi="Arial Narrow"/>
                <w:noProof/>
                <w:color w:val="000000"/>
                <w:highlight w:val="black"/>
              </w:rPr>
              <w:t>''''</w:t>
            </w:r>
            <w:r w:rsidR="00485AF6" w:rsidRPr="00EE1992">
              <w:rPr>
                <w:rFonts w:ascii="Arial Narrow" w:hAnsi="Arial Narrow"/>
              </w:rPr>
              <w:t>%)</w:t>
            </w:r>
          </w:p>
        </w:tc>
      </w:tr>
      <w:tr w:rsidR="00485AF6" w:rsidRPr="00EE1992" w:rsidTr="0002433F">
        <w:trPr>
          <w:cantSplit/>
        </w:trPr>
        <w:tc>
          <w:tcPr>
            <w:tcW w:w="1963" w:type="pct"/>
            <w:vAlign w:val="center"/>
          </w:tcPr>
          <w:p w:rsidR="00485AF6" w:rsidRPr="00EE1992" w:rsidRDefault="00485AF6" w:rsidP="00485AF6">
            <w:pPr>
              <w:pStyle w:val="Tabletext"/>
              <w:keepNext/>
              <w:spacing w:after="0"/>
              <w:rPr>
                <w:rFonts w:ascii="Arial Narrow" w:hAnsi="Arial Narrow"/>
              </w:rPr>
            </w:pPr>
            <w:proofErr w:type="spellStart"/>
            <w:r w:rsidRPr="00EE1992">
              <w:rPr>
                <w:rFonts w:ascii="Arial Narrow" w:hAnsi="Arial Narrow"/>
              </w:rPr>
              <w:t>Duvic</w:t>
            </w:r>
            <w:proofErr w:type="spellEnd"/>
            <w:r w:rsidRPr="00EE1992">
              <w:rPr>
                <w:rFonts w:ascii="Arial Narrow" w:hAnsi="Arial Narrow"/>
              </w:rPr>
              <w:t xml:space="preserve"> (2015)  </w:t>
            </w:r>
          </w:p>
        </w:tc>
        <w:tc>
          <w:tcPr>
            <w:tcW w:w="1234"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15/28 (54%)</w:t>
            </w:r>
          </w:p>
        </w:tc>
        <w:tc>
          <w:tcPr>
            <w:tcW w:w="973"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c>
          <w:tcPr>
            <w:tcW w:w="830"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r>
      <w:tr w:rsidR="00650CF0" w:rsidRPr="00EE1992" w:rsidTr="0002433F">
        <w:trPr>
          <w:cantSplit/>
        </w:trPr>
        <w:tc>
          <w:tcPr>
            <w:tcW w:w="1963" w:type="pct"/>
            <w:shd w:val="clear" w:color="auto" w:fill="D9D9D9" w:themeFill="background1" w:themeFillShade="D9"/>
            <w:vAlign w:val="center"/>
          </w:tcPr>
          <w:p w:rsidR="00650CF0" w:rsidRPr="00EE1992" w:rsidRDefault="00650CF0" w:rsidP="00485AF6">
            <w:pPr>
              <w:pStyle w:val="Tabletext"/>
              <w:keepNext/>
              <w:spacing w:after="0"/>
              <w:rPr>
                <w:rFonts w:ascii="Arial Narrow" w:hAnsi="Arial Narrow"/>
              </w:rPr>
            </w:pPr>
            <w:proofErr w:type="spellStart"/>
            <w:r>
              <w:rPr>
                <w:rFonts w:ascii="Arial Narrow" w:hAnsi="Arial Narrow"/>
              </w:rPr>
              <w:t>Duvic</w:t>
            </w:r>
            <w:proofErr w:type="spellEnd"/>
            <w:r>
              <w:rPr>
                <w:rFonts w:ascii="Arial Narrow" w:hAnsi="Arial Narrow"/>
              </w:rPr>
              <w:t xml:space="preserve"> (2017)</w:t>
            </w:r>
          </w:p>
        </w:tc>
        <w:tc>
          <w:tcPr>
            <w:tcW w:w="1234" w:type="pct"/>
            <w:shd w:val="clear" w:color="auto" w:fill="D9D9D9" w:themeFill="background1" w:themeFillShade="D9"/>
            <w:vAlign w:val="center"/>
          </w:tcPr>
          <w:p w:rsidR="00650CF0" w:rsidRPr="00EE1992" w:rsidRDefault="0002433F" w:rsidP="00485AF6">
            <w:pPr>
              <w:pStyle w:val="Tabletext"/>
              <w:keepNext/>
              <w:spacing w:after="0"/>
              <w:rPr>
                <w:rFonts w:ascii="Arial Narrow" w:hAnsi="Arial Narrow"/>
              </w:rPr>
            </w:pPr>
            <w:r>
              <w:rPr>
                <w:rFonts w:ascii="Arial Narrow" w:hAnsi="Arial Narrow"/>
              </w:rPr>
              <w:t>22/41 (54%)</w:t>
            </w:r>
          </w:p>
        </w:tc>
        <w:tc>
          <w:tcPr>
            <w:tcW w:w="973" w:type="pct"/>
            <w:shd w:val="clear" w:color="auto" w:fill="D9D9D9" w:themeFill="background1" w:themeFillShade="D9"/>
          </w:tcPr>
          <w:p w:rsidR="00650CF0" w:rsidRPr="00EE1992" w:rsidRDefault="00650CF0" w:rsidP="00485AF6">
            <w:pPr>
              <w:pStyle w:val="Tabletext"/>
              <w:keepNext/>
              <w:spacing w:after="0"/>
              <w:rPr>
                <w:rFonts w:ascii="Arial Narrow" w:hAnsi="Arial Narrow"/>
              </w:rPr>
            </w:pPr>
          </w:p>
        </w:tc>
        <w:tc>
          <w:tcPr>
            <w:tcW w:w="830" w:type="pct"/>
            <w:shd w:val="clear" w:color="auto" w:fill="D9D9D9" w:themeFill="background1" w:themeFillShade="D9"/>
          </w:tcPr>
          <w:p w:rsidR="00650CF0" w:rsidRPr="00EE1992" w:rsidRDefault="00650CF0" w:rsidP="00485AF6">
            <w:pPr>
              <w:pStyle w:val="Tabletext"/>
              <w:keepNext/>
              <w:spacing w:after="0"/>
              <w:rPr>
                <w:rFonts w:ascii="Arial Narrow" w:hAnsi="Arial Narrow"/>
              </w:rPr>
            </w:pPr>
          </w:p>
        </w:tc>
      </w:tr>
      <w:tr w:rsidR="00485AF6" w:rsidRPr="00EE1992" w:rsidTr="0002433F">
        <w:trPr>
          <w:cantSplit/>
        </w:trPr>
        <w:tc>
          <w:tcPr>
            <w:tcW w:w="196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 xml:space="preserve">Kim (2015) </w:t>
            </w:r>
          </w:p>
        </w:tc>
        <w:tc>
          <w:tcPr>
            <w:tcW w:w="1234"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17/22 (77%)</w:t>
            </w:r>
          </w:p>
        </w:tc>
        <w:tc>
          <w:tcPr>
            <w:tcW w:w="973"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c>
          <w:tcPr>
            <w:tcW w:w="830"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r>
      <w:tr w:rsidR="00650CF0" w:rsidRPr="00EE1992" w:rsidTr="0002433F">
        <w:trPr>
          <w:cantSplit/>
        </w:trPr>
        <w:tc>
          <w:tcPr>
            <w:tcW w:w="1963" w:type="pct"/>
            <w:shd w:val="clear" w:color="auto" w:fill="D9D9D9" w:themeFill="background1" w:themeFillShade="D9"/>
            <w:vAlign w:val="center"/>
          </w:tcPr>
          <w:p w:rsidR="00650CF0" w:rsidRPr="00EE1992" w:rsidRDefault="00650CF0" w:rsidP="00485AF6">
            <w:pPr>
              <w:pStyle w:val="Tabletext"/>
              <w:keepNext/>
              <w:spacing w:after="0"/>
              <w:rPr>
                <w:rFonts w:ascii="Arial Narrow" w:hAnsi="Arial Narrow"/>
              </w:rPr>
            </w:pPr>
            <w:r>
              <w:rPr>
                <w:rFonts w:ascii="Arial Narrow" w:hAnsi="Arial Narrow"/>
              </w:rPr>
              <w:t>Kim (2017)</w:t>
            </w:r>
          </w:p>
        </w:tc>
        <w:tc>
          <w:tcPr>
            <w:tcW w:w="1234" w:type="pct"/>
            <w:shd w:val="clear" w:color="auto" w:fill="D9D9D9" w:themeFill="background1" w:themeFillShade="D9"/>
            <w:vAlign w:val="center"/>
          </w:tcPr>
          <w:p w:rsidR="00650CF0" w:rsidRPr="00EE1992" w:rsidRDefault="0002433F" w:rsidP="00485AF6">
            <w:pPr>
              <w:pStyle w:val="Tabletext"/>
              <w:keepNext/>
              <w:spacing w:after="0"/>
              <w:rPr>
                <w:rFonts w:ascii="Arial Narrow" w:hAnsi="Arial Narrow"/>
              </w:rPr>
            </w:pPr>
            <w:r>
              <w:rPr>
                <w:rFonts w:ascii="Arial Narrow" w:hAnsi="Arial Narrow"/>
              </w:rPr>
              <w:t>21/32 (66%)</w:t>
            </w:r>
          </w:p>
        </w:tc>
        <w:tc>
          <w:tcPr>
            <w:tcW w:w="973" w:type="pct"/>
            <w:shd w:val="clear" w:color="auto" w:fill="D9D9D9" w:themeFill="background1" w:themeFillShade="D9"/>
            <w:vAlign w:val="center"/>
          </w:tcPr>
          <w:p w:rsidR="00650CF0" w:rsidRPr="00EE1992" w:rsidRDefault="00650CF0" w:rsidP="00485AF6">
            <w:pPr>
              <w:pStyle w:val="Tabletext"/>
              <w:keepNext/>
              <w:spacing w:after="0"/>
              <w:rPr>
                <w:rFonts w:ascii="Arial Narrow" w:hAnsi="Arial Narrow"/>
              </w:rPr>
            </w:pPr>
          </w:p>
        </w:tc>
        <w:tc>
          <w:tcPr>
            <w:tcW w:w="830" w:type="pct"/>
            <w:shd w:val="clear" w:color="auto" w:fill="D9D9D9" w:themeFill="background1" w:themeFillShade="D9"/>
          </w:tcPr>
          <w:p w:rsidR="00650CF0" w:rsidRPr="00EE1992" w:rsidRDefault="00650CF0" w:rsidP="00485AF6">
            <w:pPr>
              <w:pStyle w:val="Tabletext"/>
              <w:keepNext/>
              <w:spacing w:after="0"/>
              <w:rPr>
                <w:rFonts w:ascii="Arial Narrow" w:hAnsi="Arial Narrow"/>
              </w:rPr>
            </w:pPr>
          </w:p>
        </w:tc>
      </w:tr>
      <w:tr w:rsidR="00485AF6" w:rsidRPr="00EE1992" w:rsidTr="0002433F">
        <w:trPr>
          <w:cantSplit/>
        </w:trPr>
        <w:tc>
          <w:tcPr>
            <w:tcW w:w="196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 xml:space="preserve">MAVORIC </w:t>
            </w:r>
          </w:p>
        </w:tc>
        <w:tc>
          <w:tcPr>
            <w:tcW w:w="1234"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c>
          <w:tcPr>
            <w:tcW w:w="97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7/99 (7%)</w:t>
            </w:r>
          </w:p>
        </w:tc>
        <w:tc>
          <w:tcPr>
            <w:tcW w:w="830"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r>
      <w:tr w:rsidR="00485AF6" w:rsidRPr="00EE1992" w:rsidTr="0002433F">
        <w:trPr>
          <w:cantSplit/>
        </w:trPr>
        <w:tc>
          <w:tcPr>
            <w:tcW w:w="196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 xml:space="preserve">P001 </w:t>
            </w:r>
          </w:p>
        </w:tc>
        <w:tc>
          <w:tcPr>
            <w:tcW w:w="1234"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c>
          <w:tcPr>
            <w:tcW w:w="97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12/44 (27%)</w:t>
            </w:r>
          </w:p>
        </w:tc>
        <w:tc>
          <w:tcPr>
            <w:tcW w:w="830"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r>
      <w:tr w:rsidR="00485AF6" w:rsidRPr="00EE1992" w:rsidTr="0002433F">
        <w:trPr>
          <w:cantSplit/>
        </w:trPr>
        <w:tc>
          <w:tcPr>
            <w:tcW w:w="196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 xml:space="preserve">P005 </w:t>
            </w:r>
          </w:p>
        </w:tc>
        <w:tc>
          <w:tcPr>
            <w:tcW w:w="1234"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c>
          <w:tcPr>
            <w:tcW w:w="97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4/22 (18%)</w:t>
            </w:r>
          </w:p>
        </w:tc>
        <w:tc>
          <w:tcPr>
            <w:tcW w:w="830" w:type="pct"/>
          </w:tcPr>
          <w:p w:rsidR="00485AF6" w:rsidRPr="00EE1992" w:rsidRDefault="00485AF6" w:rsidP="00485AF6">
            <w:pPr>
              <w:pStyle w:val="Tabletext"/>
              <w:keepNext/>
              <w:spacing w:after="0"/>
              <w:rPr>
                <w:rFonts w:ascii="Arial Narrow" w:hAnsi="Arial Narrow"/>
              </w:rPr>
            </w:pPr>
          </w:p>
        </w:tc>
      </w:tr>
      <w:tr w:rsidR="00485AF6" w:rsidRPr="00EE1992" w:rsidTr="00485AF6">
        <w:trPr>
          <w:cantSplit/>
        </w:trPr>
        <w:tc>
          <w:tcPr>
            <w:tcW w:w="5000" w:type="pct"/>
            <w:gridSpan w:val="4"/>
            <w:vAlign w:val="center"/>
          </w:tcPr>
          <w:p w:rsidR="00485AF6" w:rsidRPr="00EE1992" w:rsidRDefault="00485AF6" w:rsidP="00485AF6">
            <w:pPr>
              <w:pStyle w:val="Tabletext"/>
              <w:keepNext/>
              <w:spacing w:after="0"/>
              <w:rPr>
                <w:rFonts w:ascii="Arial Narrow" w:hAnsi="Arial Narrow"/>
                <w:b/>
              </w:rPr>
            </w:pPr>
            <w:proofErr w:type="spellStart"/>
            <w:r w:rsidRPr="00EE1992">
              <w:rPr>
                <w:rFonts w:ascii="Arial Narrow" w:hAnsi="Arial Narrow"/>
                <w:b/>
              </w:rPr>
              <w:t>pcALCL</w:t>
            </w:r>
            <w:proofErr w:type="spellEnd"/>
          </w:p>
        </w:tc>
      </w:tr>
      <w:tr w:rsidR="00485AF6" w:rsidRPr="00EE1992" w:rsidTr="0002433F">
        <w:trPr>
          <w:cantSplit/>
        </w:trPr>
        <w:tc>
          <w:tcPr>
            <w:tcW w:w="196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 xml:space="preserve">ALCANZA </w:t>
            </w:r>
          </w:p>
        </w:tc>
        <w:tc>
          <w:tcPr>
            <w:tcW w:w="1234"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12/16 (75%)</w:t>
            </w:r>
          </w:p>
        </w:tc>
        <w:tc>
          <w:tcPr>
            <w:tcW w:w="973"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c>
          <w:tcPr>
            <w:tcW w:w="830" w:type="pct"/>
            <w:vAlign w:val="center"/>
          </w:tcPr>
          <w:p w:rsidR="00485AF6" w:rsidRPr="00EE1992" w:rsidRDefault="00146494" w:rsidP="00485AF6">
            <w:pPr>
              <w:pStyle w:val="Tabletext"/>
              <w:keepNext/>
              <w:spacing w:after="0"/>
              <w:rPr>
                <w:rFonts w:ascii="Arial Narrow" w:hAnsi="Arial Narrow"/>
              </w:rPr>
            </w:pPr>
            <w:r>
              <w:rPr>
                <w:rFonts w:ascii="Arial Narrow" w:hAnsi="Arial Narrow"/>
                <w:noProof/>
                <w:color w:val="000000"/>
                <w:highlight w:val="black"/>
              </w:rPr>
              <w:t>'''''''</w:t>
            </w:r>
            <w:r w:rsidR="00485AF6" w:rsidRPr="00EE1992">
              <w:rPr>
                <w:rFonts w:ascii="Arial Narrow" w:hAnsi="Arial Narrow"/>
              </w:rPr>
              <w:t xml:space="preserve"> (</w:t>
            </w:r>
            <w:r>
              <w:rPr>
                <w:rFonts w:ascii="Arial Narrow" w:hAnsi="Arial Narrow"/>
                <w:noProof/>
                <w:color w:val="000000"/>
                <w:highlight w:val="black"/>
              </w:rPr>
              <w:t>''''''</w:t>
            </w:r>
            <w:r w:rsidR="00485AF6" w:rsidRPr="00EE1992">
              <w:rPr>
                <w:rFonts w:ascii="Arial Narrow" w:hAnsi="Arial Narrow"/>
              </w:rPr>
              <w:t>%)</w:t>
            </w:r>
          </w:p>
        </w:tc>
      </w:tr>
      <w:tr w:rsidR="00485AF6" w:rsidRPr="00EE1992" w:rsidTr="0002433F">
        <w:trPr>
          <w:cantSplit/>
        </w:trPr>
        <w:tc>
          <w:tcPr>
            <w:tcW w:w="1963" w:type="pct"/>
            <w:vAlign w:val="center"/>
          </w:tcPr>
          <w:p w:rsidR="00485AF6" w:rsidRPr="00EE1992" w:rsidRDefault="00485AF6" w:rsidP="00485AF6">
            <w:pPr>
              <w:pStyle w:val="Tabletext"/>
              <w:keepNext/>
              <w:spacing w:after="0"/>
              <w:rPr>
                <w:rFonts w:ascii="Arial Narrow" w:hAnsi="Arial Narrow"/>
              </w:rPr>
            </w:pPr>
            <w:proofErr w:type="spellStart"/>
            <w:r w:rsidRPr="00EE1992">
              <w:rPr>
                <w:rFonts w:ascii="Arial Narrow" w:hAnsi="Arial Narrow"/>
              </w:rPr>
              <w:t>Duvic</w:t>
            </w:r>
            <w:proofErr w:type="spellEnd"/>
            <w:r w:rsidRPr="00EE1992">
              <w:rPr>
                <w:rFonts w:ascii="Arial Narrow" w:hAnsi="Arial Narrow"/>
              </w:rPr>
              <w:t xml:space="preserve"> (2015)  </w:t>
            </w:r>
          </w:p>
        </w:tc>
        <w:tc>
          <w:tcPr>
            <w:tcW w:w="1234"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2/2 (100%)</w:t>
            </w:r>
          </w:p>
        </w:tc>
        <w:tc>
          <w:tcPr>
            <w:tcW w:w="973"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c>
          <w:tcPr>
            <w:tcW w:w="830"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r>
      <w:tr w:rsidR="0002433F" w:rsidRPr="00EE1992" w:rsidTr="0002433F">
        <w:trPr>
          <w:cantSplit/>
        </w:trPr>
        <w:tc>
          <w:tcPr>
            <w:tcW w:w="1963" w:type="pct"/>
            <w:shd w:val="clear" w:color="auto" w:fill="D9D9D9" w:themeFill="background1" w:themeFillShade="D9"/>
            <w:vAlign w:val="center"/>
          </w:tcPr>
          <w:p w:rsidR="0002433F" w:rsidRPr="00EE1992" w:rsidRDefault="0002433F" w:rsidP="00E778C7">
            <w:pPr>
              <w:pStyle w:val="Tabletext"/>
              <w:keepNext/>
              <w:spacing w:after="0"/>
              <w:rPr>
                <w:rFonts w:ascii="Arial Narrow" w:hAnsi="Arial Narrow"/>
              </w:rPr>
            </w:pPr>
            <w:proofErr w:type="spellStart"/>
            <w:r>
              <w:rPr>
                <w:rFonts w:ascii="Arial Narrow" w:hAnsi="Arial Narrow"/>
              </w:rPr>
              <w:t>Duvic</w:t>
            </w:r>
            <w:proofErr w:type="spellEnd"/>
            <w:r>
              <w:rPr>
                <w:rFonts w:ascii="Arial Narrow" w:hAnsi="Arial Narrow"/>
              </w:rPr>
              <w:t xml:space="preserve"> (2017)</w:t>
            </w:r>
          </w:p>
        </w:tc>
        <w:tc>
          <w:tcPr>
            <w:tcW w:w="1234" w:type="pct"/>
            <w:shd w:val="clear" w:color="auto" w:fill="D9D9D9" w:themeFill="background1" w:themeFillShade="D9"/>
            <w:vAlign w:val="center"/>
          </w:tcPr>
          <w:p w:rsidR="0002433F" w:rsidRPr="00EE1992" w:rsidRDefault="0002433F" w:rsidP="00E778C7">
            <w:pPr>
              <w:pStyle w:val="Tabletext"/>
              <w:keepNext/>
              <w:spacing w:after="0"/>
              <w:rPr>
                <w:rFonts w:ascii="Arial Narrow" w:hAnsi="Arial Narrow"/>
              </w:rPr>
            </w:pPr>
            <w:r>
              <w:rPr>
                <w:rFonts w:ascii="Arial Narrow" w:hAnsi="Arial Narrow"/>
              </w:rPr>
              <w:t>2/3 (67%)</w:t>
            </w:r>
          </w:p>
        </w:tc>
        <w:tc>
          <w:tcPr>
            <w:tcW w:w="973" w:type="pct"/>
            <w:shd w:val="clear" w:color="auto" w:fill="D9D9D9" w:themeFill="background1" w:themeFillShade="D9"/>
          </w:tcPr>
          <w:p w:rsidR="0002433F" w:rsidRPr="00EE1992" w:rsidRDefault="0002433F" w:rsidP="00E778C7">
            <w:pPr>
              <w:pStyle w:val="Tabletext"/>
              <w:keepNext/>
              <w:spacing w:after="0"/>
              <w:rPr>
                <w:rFonts w:ascii="Arial Narrow" w:hAnsi="Arial Narrow"/>
              </w:rPr>
            </w:pPr>
          </w:p>
        </w:tc>
        <w:tc>
          <w:tcPr>
            <w:tcW w:w="830" w:type="pct"/>
            <w:shd w:val="clear" w:color="auto" w:fill="D9D9D9" w:themeFill="background1" w:themeFillShade="D9"/>
          </w:tcPr>
          <w:p w:rsidR="0002433F" w:rsidRPr="00EE1992" w:rsidRDefault="0002433F" w:rsidP="00E778C7">
            <w:pPr>
              <w:pStyle w:val="Tabletext"/>
              <w:keepNext/>
              <w:spacing w:after="0"/>
              <w:rPr>
                <w:rFonts w:ascii="Arial Narrow" w:hAnsi="Arial Narrow"/>
              </w:rPr>
            </w:pPr>
          </w:p>
        </w:tc>
      </w:tr>
      <w:tr w:rsidR="00485AF6" w:rsidRPr="00EE1992" w:rsidTr="00485AF6">
        <w:trPr>
          <w:cantSplit/>
        </w:trPr>
        <w:tc>
          <w:tcPr>
            <w:tcW w:w="5000" w:type="pct"/>
            <w:gridSpan w:val="4"/>
            <w:vAlign w:val="center"/>
          </w:tcPr>
          <w:p w:rsidR="00485AF6" w:rsidRPr="00EE1992" w:rsidRDefault="00485AF6" w:rsidP="00485AF6">
            <w:pPr>
              <w:pStyle w:val="Tabletext"/>
              <w:keepNext/>
              <w:spacing w:after="0"/>
              <w:rPr>
                <w:rFonts w:ascii="Arial Narrow" w:hAnsi="Arial Narrow"/>
                <w:b/>
              </w:rPr>
            </w:pPr>
            <w:r w:rsidRPr="00EE1992">
              <w:rPr>
                <w:rFonts w:ascii="Arial Narrow" w:hAnsi="Arial Narrow"/>
                <w:b/>
              </w:rPr>
              <w:t>SS</w:t>
            </w:r>
          </w:p>
        </w:tc>
      </w:tr>
      <w:tr w:rsidR="00650CF0" w:rsidRPr="00EE1992" w:rsidTr="0002433F">
        <w:trPr>
          <w:cantSplit/>
        </w:trPr>
        <w:tc>
          <w:tcPr>
            <w:tcW w:w="1963" w:type="pct"/>
            <w:shd w:val="clear" w:color="auto" w:fill="D9D9D9" w:themeFill="background1" w:themeFillShade="D9"/>
            <w:vAlign w:val="center"/>
          </w:tcPr>
          <w:p w:rsidR="00650CF0" w:rsidRPr="00EE1992" w:rsidRDefault="00650CF0" w:rsidP="00485AF6">
            <w:pPr>
              <w:pStyle w:val="Tabletext"/>
              <w:keepNext/>
              <w:spacing w:after="0"/>
              <w:rPr>
                <w:rFonts w:ascii="Arial Narrow" w:hAnsi="Arial Narrow"/>
              </w:rPr>
            </w:pPr>
            <w:proofErr w:type="spellStart"/>
            <w:r>
              <w:rPr>
                <w:rFonts w:ascii="Arial Narrow" w:hAnsi="Arial Narrow"/>
              </w:rPr>
              <w:t>Duvic</w:t>
            </w:r>
            <w:proofErr w:type="spellEnd"/>
            <w:r>
              <w:rPr>
                <w:rFonts w:ascii="Arial Narrow" w:hAnsi="Arial Narrow"/>
              </w:rPr>
              <w:t xml:space="preserve"> (2017)</w:t>
            </w:r>
          </w:p>
        </w:tc>
        <w:tc>
          <w:tcPr>
            <w:tcW w:w="1234" w:type="pct"/>
            <w:shd w:val="clear" w:color="auto" w:fill="D9D9D9" w:themeFill="background1" w:themeFillShade="D9"/>
            <w:vAlign w:val="center"/>
          </w:tcPr>
          <w:p w:rsidR="00650CF0" w:rsidRPr="00EE1992" w:rsidRDefault="0002433F" w:rsidP="00485AF6">
            <w:pPr>
              <w:pStyle w:val="Tabletext"/>
              <w:keepNext/>
              <w:spacing w:after="0"/>
              <w:rPr>
                <w:rFonts w:ascii="Arial Narrow" w:hAnsi="Arial Narrow"/>
              </w:rPr>
            </w:pPr>
            <w:r>
              <w:rPr>
                <w:rFonts w:ascii="Arial Narrow" w:hAnsi="Arial Narrow"/>
              </w:rPr>
              <w:t>1/2 (50%)</w:t>
            </w:r>
          </w:p>
        </w:tc>
        <w:tc>
          <w:tcPr>
            <w:tcW w:w="973" w:type="pct"/>
            <w:shd w:val="clear" w:color="auto" w:fill="D9D9D9" w:themeFill="background1" w:themeFillShade="D9"/>
          </w:tcPr>
          <w:p w:rsidR="00650CF0" w:rsidRPr="00EE1992" w:rsidRDefault="00650CF0" w:rsidP="00485AF6">
            <w:pPr>
              <w:pStyle w:val="Tabletext"/>
              <w:keepNext/>
              <w:spacing w:after="0"/>
              <w:rPr>
                <w:rFonts w:ascii="Arial Narrow" w:hAnsi="Arial Narrow"/>
              </w:rPr>
            </w:pPr>
          </w:p>
        </w:tc>
        <w:tc>
          <w:tcPr>
            <w:tcW w:w="830" w:type="pct"/>
            <w:shd w:val="clear" w:color="auto" w:fill="D9D9D9" w:themeFill="background1" w:themeFillShade="D9"/>
          </w:tcPr>
          <w:p w:rsidR="00650CF0" w:rsidRPr="00EE1992" w:rsidRDefault="00650CF0" w:rsidP="00485AF6">
            <w:pPr>
              <w:pStyle w:val="Tabletext"/>
              <w:keepNext/>
              <w:spacing w:after="0"/>
              <w:rPr>
                <w:rFonts w:ascii="Arial Narrow" w:hAnsi="Arial Narrow"/>
              </w:rPr>
            </w:pPr>
          </w:p>
        </w:tc>
      </w:tr>
      <w:tr w:rsidR="00485AF6" w:rsidRPr="00EE1992" w:rsidTr="0002433F">
        <w:trPr>
          <w:cantSplit/>
        </w:trPr>
        <w:tc>
          <w:tcPr>
            <w:tcW w:w="196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Kim (2015)</w:t>
            </w:r>
          </w:p>
        </w:tc>
        <w:tc>
          <w:tcPr>
            <w:tcW w:w="1234"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2/3 (67%)</w:t>
            </w:r>
          </w:p>
        </w:tc>
        <w:tc>
          <w:tcPr>
            <w:tcW w:w="973"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c>
          <w:tcPr>
            <w:tcW w:w="830"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r>
      <w:tr w:rsidR="00650CF0" w:rsidRPr="00EE1992" w:rsidTr="0002433F">
        <w:trPr>
          <w:cantSplit/>
        </w:trPr>
        <w:tc>
          <w:tcPr>
            <w:tcW w:w="1963" w:type="pct"/>
            <w:shd w:val="clear" w:color="auto" w:fill="D9D9D9" w:themeFill="background1" w:themeFillShade="D9"/>
            <w:vAlign w:val="center"/>
          </w:tcPr>
          <w:p w:rsidR="00650CF0" w:rsidRPr="00EE1992" w:rsidRDefault="00650CF0" w:rsidP="00485AF6">
            <w:pPr>
              <w:pStyle w:val="Tabletext"/>
              <w:keepNext/>
              <w:spacing w:after="0"/>
              <w:rPr>
                <w:rFonts w:ascii="Arial Narrow" w:hAnsi="Arial Narrow"/>
              </w:rPr>
            </w:pPr>
            <w:r>
              <w:rPr>
                <w:rFonts w:ascii="Arial Narrow" w:hAnsi="Arial Narrow"/>
              </w:rPr>
              <w:t>Kim (2017)</w:t>
            </w:r>
          </w:p>
        </w:tc>
        <w:tc>
          <w:tcPr>
            <w:tcW w:w="1234" w:type="pct"/>
            <w:shd w:val="clear" w:color="auto" w:fill="D9D9D9" w:themeFill="background1" w:themeFillShade="D9"/>
          </w:tcPr>
          <w:p w:rsidR="00650CF0" w:rsidRPr="00EE1992" w:rsidRDefault="0002433F" w:rsidP="00485AF6">
            <w:pPr>
              <w:pStyle w:val="Tabletext"/>
              <w:keepNext/>
              <w:spacing w:after="0"/>
              <w:rPr>
                <w:rFonts w:ascii="Arial Narrow" w:hAnsi="Arial Narrow"/>
              </w:rPr>
            </w:pPr>
            <w:r>
              <w:rPr>
                <w:rFonts w:ascii="Arial Narrow" w:hAnsi="Arial Narrow"/>
              </w:rPr>
              <w:t>2/4 (50%)</w:t>
            </w:r>
          </w:p>
        </w:tc>
        <w:tc>
          <w:tcPr>
            <w:tcW w:w="973" w:type="pct"/>
            <w:shd w:val="clear" w:color="auto" w:fill="D9D9D9" w:themeFill="background1" w:themeFillShade="D9"/>
            <w:vAlign w:val="center"/>
          </w:tcPr>
          <w:p w:rsidR="00650CF0" w:rsidRPr="00EE1992" w:rsidRDefault="00650CF0" w:rsidP="00485AF6">
            <w:pPr>
              <w:pStyle w:val="Tabletext"/>
              <w:keepNext/>
              <w:spacing w:after="0"/>
              <w:rPr>
                <w:rFonts w:ascii="Arial Narrow" w:hAnsi="Arial Narrow"/>
              </w:rPr>
            </w:pPr>
          </w:p>
        </w:tc>
        <w:tc>
          <w:tcPr>
            <w:tcW w:w="830" w:type="pct"/>
            <w:shd w:val="clear" w:color="auto" w:fill="D9D9D9" w:themeFill="background1" w:themeFillShade="D9"/>
          </w:tcPr>
          <w:p w:rsidR="00650CF0" w:rsidRPr="00EE1992" w:rsidRDefault="00650CF0" w:rsidP="00485AF6">
            <w:pPr>
              <w:pStyle w:val="Tabletext"/>
              <w:keepNext/>
              <w:spacing w:after="0"/>
              <w:rPr>
                <w:rFonts w:ascii="Arial Narrow" w:hAnsi="Arial Narrow"/>
              </w:rPr>
            </w:pPr>
          </w:p>
        </w:tc>
      </w:tr>
      <w:tr w:rsidR="00485AF6" w:rsidRPr="00EE1992" w:rsidTr="0002433F">
        <w:trPr>
          <w:cantSplit/>
        </w:trPr>
        <w:tc>
          <w:tcPr>
            <w:tcW w:w="196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 xml:space="preserve">MAVORIC </w:t>
            </w:r>
          </w:p>
        </w:tc>
        <w:tc>
          <w:tcPr>
            <w:tcW w:w="1234"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c>
          <w:tcPr>
            <w:tcW w:w="97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2/87 (2%)</w:t>
            </w:r>
          </w:p>
        </w:tc>
        <w:tc>
          <w:tcPr>
            <w:tcW w:w="830"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r>
      <w:tr w:rsidR="00485AF6" w:rsidRPr="00EE1992" w:rsidTr="0002433F">
        <w:trPr>
          <w:cantSplit/>
        </w:trPr>
        <w:tc>
          <w:tcPr>
            <w:tcW w:w="196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 xml:space="preserve">P001 </w:t>
            </w:r>
          </w:p>
        </w:tc>
        <w:tc>
          <w:tcPr>
            <w:tcW w:w="1234"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c>
          <w:tcPr>
            <w:tcW w:w="97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10/30 (33%)</w:t>
            </w:r>
          </w:p>
        </w:tc>
        <w:tc>
          <w:tcPr>
            <w:tcW w:w="830"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r>
      <w:tr w:rsidR="00485AF6" w:rsidRPr="00EE1992" w:rsidTr="0002433F">
        <w:trPr>
          <w:cantSplit/>
        </w:trPr>
        <w:tc>
          <w:tcPr>
            <w:tcW w:w="196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 xml:space="preserve">P005 </w:t>
            </w:r>
          </w:p>
        </w:tc>
        <w:tc>
          <w:tcPr>
            <w:tcW w:w="1234"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c>
          <w:tcPr>
            <w:tcW w:w="97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4/11 (36%)</w:t>
            </w:r>
          </w:p>
        </w:tc>
        <w:tc>
          <w:tcPr>
            <w:tcW w:w="830"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r>
      <w:tr w:rsidR="00485AF6" w:rsidRPr="00EE1992" w:rsidTr="00485AF6">
        <w:trPr>
          <w:cantSplit/>
        </w:trPr>
        <w:tc>
          <w:tcPr>
            <w:tcW w:w="5000" w:type="pct"/>
            <w:gridSpan w:val="4"/>
            <w:vAlign w:val="center"/>
          </w:tcPr>
          <w:p w:rsidR="00485AF6" w:rsidRPr="00EE1992" w:rsidRDefault="00485AF6" w:rsidP="00485AF6">
            <w:pPr>
              <w:pStyle w:val="Tabletext"/>
              <w:keepNext/>
              <w:spacing w:after="0"/>
              <w:rPr>
                <w:rFonts w:ascii="Arial Narrow" w:hAnsi="Arial Narrow"/>
                <w:b/>
              </w:rPr>
            </w:pPr>
            <w:proofErr w:type="spellStart"/>
            <w:r w:rsidRPr="00EE1992">
              <w:rPr>
                <w:rFonts w:ascii="Arial Narrow" w:hAnsi="Arial Narrow"/>
                <w:b/>
              </w:rPr>
              <w:t>LyP</w:t>
            </w:r>
            <w:proofErr w:type="spellEnd"/>
          </w:p>
        </w:tc>
      </w:tr>
      <w:tr w:rsidR="00485AF6" w:rsidRPr="00EE1992" w:rsidTr="0002433F">
        <w:trPr>
          <w:cantSplit/>
        </w:trPr>
        <w:tc>
          <w:tcPr>
            <w:tcW w:w="1963" w:type="pct"/>
            <w:vAlign w:val="center"/>
          </w:tcPr>
          <w:p w:rsidR="00485AF6" w:rsidRPr="00EE1992" w:rsidRDefault="00485AF6" w:rsidP="00485AF6">
            <w:pPr>
              <w:pStyle w:val="Tabletext"/>
              <w:keepNext/>
              <w:spacing w:after="0"/>
              <w:rPr>
                <w:rFonts w:ascii="Arial Narrow" w:hAnsi="Arial Narrow"/>
              </w:rPr>
            </w:pPr>
            <w:proofErr w:type="spellStart"/>
            <w:r w:rsidRPr="00EE1992">
              <w:rPr>
                <w:rFonts w:ascii="Arial Narrow" w:hAnsi="Arial Narrow"/>
              </w:rPr>
              <w:t>Duvic</w:t>
            </w:r>
            <w:proofErr w:type="spellEnd"/>
            <w:r w:rsidRPr="00EE1992">
              <w:rPr>
                <w:rFonts w:ascii="Arial Narrow" w:hAnsi="Arial Narrow"/>
              </w:rPr>
              <w:t xml:space="preserve"> (2015) </w:t>
            </w:r>
            <w:proofErr w:type="spellStart"/>
            <w:r w:rsidRPr="00EE1992">
              <w:rPr>
                <w:rFonts w:ascii="Arial Narrow" w:hAnsi="Arial Narrow"/>
              </w:rPr>
              <w:t>LyP</w:t>
            </w:r>
            <w:proofErr w:type="spellEnd"/>
            <w:r w:rsidRPr="00EE1992">
              <w:rPr>
                <w:rFonts w:ascii="Arial Narrow" w:hAnsi="Arial Narrow"/>
              </w:rPr>
              <w:t xml:space="preserve"> only  </w:t>
            </w:r>
          </w:p>
        </w:tc>
        <w:tc>
          <w:tcPr>
            <w:tcW w:w="1234"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9/9 (100%)</w:t>
            </w:r>
          </w:p>
        </w:tc>
        <w:tc>
          <w:tcPr>
            <w:tcW w:w="973"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c>
          <w:tcPr>
            <w:tcW w:w="830"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r>
      <w:tr w:rsidR="00485AF6" w:rsidRPr="00EE1992" w:rsidTr="0002433F">
        <w:trPr>
          <w:cantSplit/>
        </w:trPr>
        <w:tc>
          <w:tcPr>
            <w:tcW w:w="1963" w:type="pct"/>
            <w:vAlign w:val="center"/>
          </w:tcPr>
          <w:p w:rsidR="00485AF6" w:rsidRPr="00EE1992" w:rsidRDefault="00485AF6" w:rsidP="00485AF6">
            <w:pPr>
              <w:pStyle w:val="Tabletext"/>
              <w:keepNext/>
              <w:spacing w:after="0"/>
              <w:rPr>
                <w:rFonts w:ascii="Arial Narrow" w:hAnsi="Arial Narrow"/>
              </w:rPr>
            </w:pPr>
            <w:proofErr w:type="spellStart"/>
            <w:r w:rsidRPr="00EE1992">
              <w:rPr>
                <w:rFonts w:ascii="Arial Narrow" w:hAnsi="Arial Narrow"/>
              </w:rPr>
              <w:t>Duvic</w:t>
            </w:r>
            <w:proofErr w:type="spellEnd"/>
            <w:r w:rsidRPr="00EE1992">
              <w:rPr>
                <w:rFonts w:ascii="Arial Narrow" w:hAnsi="Arial Narrow"/>
              </w:rPr>
              <w:t xml:space="preserve"> (2015) </w:t>
            </w:r>
            <w:proofErr w:type="spellStart"/>
            <w:r w:rsidRPr="00EE1992">
              <w:rPr>
                <w:rFonts w:ascii="Arial Narrow" w:hAnsi="Arial Narrow"/>
              </w:rPr>
              <w:t>LyP</w:t>
            </w:r>
            <w:proofErr w:type="spellEnd"/>
            <w:r w:rsidRPr="00EE1992">
              <w:rPr>
                <w:rFonts w:ascii="Arial Narrow" w:hAnsi="Arial Narrow"/>
              </w:rPr>
              <w:t xml:space="preserve"> + MF or </w:t>
            </w:r>
            <w:proofErr w:type="spellStart"/>
            <w:r w:rsidRPr="00EE1992">
              <w:rPr>
                <w:rFonts w:ascii="Arial Narrow" w:hAnsi="Arial Narrow"/>
              </w:rPr>
              <w:t>pcALCL</w:t>
            </w:r>
            <w:proofErr w:type="spellEnd"/>
            <w:r w:rsidRPr="00EE1992">
              <w:rPr>
                <w:rFonts w:ascii="Arial Narrow" w:hAnsi="Arial Narrow"/>
              </w:rPr>
              <w:t xml:space="preserve"> </w:t>
            </w:r>
          </w:p>
        </w:tc>
        <w:tc>
          <w:tcPr>
            <w:tcW w:w="1234"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8/8 (100%)</w:t>
            </w:r>
          </w:p>
        </w:tc>
        <w:tc>
          <w:tcPr>
            <w:tcW w:w="973"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c>
          <w:tcPr>
            <w:tcW w:w="830"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r>
      <w:tr w:rsidR="00650CF0" w:rsidRPr="00EE1992" w:rsidTr="0002433F">
        <w:trPr>
          <w:cantSplit/>
        </w:trPr>
        <w:tc>
          <w:tcPr>
            <w:tcW w:w="1963" w:type="pct"/>
            <w:shd w:val="clear" w:color="auto" w:fill="D9D9D9" w:themeFill="background1" w:themeFillShade="D9"/>
            <w:vAlign w:val="center"/>
          </w:tcPr>
          <w:p w:rsidR="00650CF0" w:rsidRPr="00EE1992" w:rsidRDefault="00650CF0" w:rsidP="00485AF6">
            <w:pPr>
              <w:pStyle w:val="Tabletext"/>
              <w:keepNext/>
              <w:spacing w:after="0"/>
              <w:rPr>
                <w:rFonts w:ascii="Arial Narrow" w:hAnsi="Arial Narrow"/>
              </w:rPr>
            </w:pPr>
            <w:proofErr w:type="spellStart"/>
            <w:r>
              <w:rPr>
                <w:rFonts w:ascii="Arial Narrow" w:hAnsi="Arial Narrow"/>
              </w:rPr>
              <w:t>Duvic</w:t>
            </w:r>
            <w:proofErr w:type="spellEnd"/>
            <w:r>
              <w:rPr>
                <w:rFonts w:ascii="Arial Narrow" w:hAnsi="Arial Narrow"/>
              </w:rPr>
              <w:t xml:space="preserve"> (2017)</w:t>
            </w:r>
          </w:p>
        </w:tc>
        <w:tc>
          <w:tcPr>
            <w:tcW w:w="1234" w:type="pct"/>
            <w:shd w:val="clear" w:color="auto" w:fill="D9D9D9" w:themeFill="background1" w:themeFillShade="D9"/>
            <w:vAlign w:val="center"/>
          </w:tcPr>
          <w:p w:rsidR="00650CF0" w:rsidRPr="00EE1992" w:rsidRDefault="0002433F" w:rsidP="00485AF6">
            <w:pPr>
              <w:pStyle w:val="Tabletext"/>
              <w:keepNext/>
              <w:spacing w:after="0"/>
              <w:rPr>
                <w:rFonts w:ascii="Arial Narrow" w:hAnsi="Arial Narrow"/>
              </w:rPr>
            </w:pPr>
            <w:r>
              <w:rPr>
                <w:rFonts w:ascii="Arial Narrow" w:hAnsi="Arial Narrow"/>
              </w:rPr>
              <w:t>12/13 (92%)</w:t>
            </w:r>
          </w:p>
        </w:tc>
        <w:tc>
          <w:tcPr>
            <w:tcW w:w="973" w:type="pct"/>
            <w:shd w:val="clear" w:color="auto" w:fill="D9D9D9" w:themeFill="background1" w:themeFillShade="D9"/>
          </w:tcPr>
          <w:p w:rsidR="00650CF0" w:rsidRPr="00EE1992" w:rsidRDefault="00650CF0" w:rsidP="00485AF6">
            <w:pPr>
              <w:pStyle w:val="Tabletext"/>
              <w:keepNext/>
              <w:spacing w:after="0"/>
              <w:rPr>
                <w:rFonts w:ascii="Arial Narrow" w:hAnsi="Arial Narrow"/>
              </w:rPr>
            </w:pPr>
          </w:p>
        </w:tc>
        <w:tc>
          <w:tcPr>
            <w:tcW w:w="830" w:type="pct"/>
            <w:shd w:val="clear" w:color="auto" w:fill="D9D9D9" w:themeFill="background1" w:themeFillShade="D9"/>
            <w:vAlign w:val="center"/>
          </w:tcPr>
          <w:p w:rsidR="00650CF0" w:rsidRPr="00EE1992" w:rsidRDefault="00650CF0" w:rsidP="00485AF6">
            <w:pPr>
              <w:pStyle w:val="Tabletext"/>
              <w:keepNext/>
              <w:spacing w:after="0"/>
              <w:rPr>
                <w:rFonts w:ascii="Arial Narrow" w:hAnsi="Arial Narrow"/>
              </w:rPr>
            </w:pPr>
          </w:p>
        </w:tc>
      </w:tr>
      <w:tr w:rsidR="00485AF6" w:rsidRPr="00EE1992" w:rsidTr="0002433F">
        <w:trPr>
          <w:cantSplit/>
        </w:trPr>
        <w:tc>
          <w:tcPr>
            <w:tcW w:w="1963"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 xml:space="preserve">Newland (2015) </w:t>
            </w:r>
            <w:proofErr w:type="spellStart"/>
            <w:r w:rsidRPr="00EE1992">
              <w:rPr>
                <w:rFonts w:ascii="Arial Narrow" w:hAnsi="Arial Narrow"/>
              </w:rPr>
              <w:t>LyP</w:t>
            </w:r>
            <w:proofErr w:type="spellEnd"/>
            <w:r w:rsidRPr="00EE1992">
              <w:rPr>
                <w:rFonts w:ascii="Arial Narrow" w:hAnsi="Arial Narrow"/>
              </w:rPr>
              <w:t xml:space="preserve"> </w:t>
            </w:r>
          </w:p>
        </w:tc>
        <w:tc>
          <w:tcPr>
            <w:tcW w:w="1234"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c>
          <w:tcPr>
            <w:tcW w:w="973" w:type="pct"/>
          </w:tcPr>
          <w:p w:rsidR="00485AF6" w:rsidRPr="00EE1992" w:rsidRDefault="00485AF6" w:rsidP="00485AF6">
            <w:pPr>
              <w:pStyle w:val="Tabletext"/>
              <w:keepNext/>
              <w:spacing w:after="0"/>
              <w:rPr>
                <w:rFonts w:ascii="Arial Narrow" w:hAnsi="Arial Narrow"/>
              </w:rPr>
            </w:pPr>
            <w:r w:rsidRPr="00EE1992">
              <w:rPr>
                <w:rFonts w:ascii="Arial Narrow" w:hAnsi="Arial Narrow"/>
              </w:rPr>
              <w:t>-</w:t>
            </w:r>
          </w:p>
        </w:tc>
        <w:tc>
          <w:tcPr>
            <w:tcW w:w="830" w:type="pct"/>
            <w:vAlign w:val="center"/>
          </w:tcPr>
          <w:p w:rsidR="00485AF6" w:rsidRPr="00EE1992" w:rsidRDefault="00485AF6" w:rsidP="00485AF6">
            <w:pPr>
              <w:pStyle w:val="Tabletext"/>
              <w:keepNext/>
              <w:spacing w:after="0"/>
              <w:rPr>
                <w:rFonts w:ascii="Arial Narrow" w:hAnsi="Arial Narrow"/>
              </w:rPr>
            </w:pPr>
            <w:r w:rsidRPr="00EE1992">
              <w:rPr>
                <w:rFonts w:ascii="Arial Narrow" w:hAnsi="Arial Narrow"/>
              </w:rPr>
              <w:t>22/25 (88%)</w:t>
            </w:r>
          </w:p>
        </w:tc>
      </w:tr>
    </w:tbl>
    <w:p w:rsidR="00485AF6" w:rsidRPr="00EE1992" w:rsidRDefault="00485AF6" w:rsidP="00485AF6">
      <w:pPr>
        <w:pStyle w:val="TableFooter"/>
        <w:keepNext/>
        <w:rPr>
          <w:sz w:val="20"/>
        </w:rPr>
      </w:pPr>
      <w:r w:rsidRPr="00EE1992">
        <w:rPr>
          <w:sz w:val="20"/>
        </w:rPr>
        <w:t xml:space="preserve">Source: </w:t>
      </w:r>
      <w:r w:rsidR="00EE1992">
        <w:rPr>
          <w:sz w:val="20"/>
        </w:rPr>
        <w:t>Table 8</w:t>
      </w:r>
      <w:r w:rsidR="00EE1992" w:rsidRPr="00EE1992">
        <w:rPr>
          <w:sz w:val="20"/>
        </w:rPr>
        <w:t xml:space="preserve"> </w:t>
      </w:r>
      <w:proofErr w:type="spellStart"/>
      <w:r w:rsidR="00EE1992" w:rsidRPr="00EE1992">
        <w:rPr>
          <w:rFonts w:eastAsiaTheme="minorHAnsi" w:cstheme="minorBidi"/>
          <w:sz w:val="20"/>
        </w:rPr>
        <w:t>brentuximab</w:t>
      </w:r>
      <w:proofErr w:type="spellEnd"/>
      <w:r w:rsidR="00EE1992" w:rsidRPr="00EE1992">
        <w:rPr>
          <w:rFonts w:eastAsiaTheme="minorHAnsi" w:cstheme="minorBidi"/>
          <w:sz w:val="20"/>
        </w:rPr>
        <w:t xml:space="preserve"> </w:t>
      </w:r>
      <w:proofErr w:type="spellStart"/>
      <w:r w:rsidR="00EE1992" w:rsidRPr="00EE1992">
        <w:rPr>
          <w:rFonts w:eastAsiaTheme="minorHAnsi" w:cstheme="minorBidi"/>
          <w:sz w:val="20"/>
        </w:rPr>
        <w:t>vedotin</w:t>
      </w:r>
      <w:proofErr w:type="spellEnd"/>
      <w:r w:rsidR="00EE1992" w:rsidRPr="00EE1992">
        <w:rPr>
          <w:rFonts w:eastAsiaTheme="minorHAnsi" w:cstheme="minorBidi"/>
          <w:sz w:val="20"/>
        </w:rPr>
        <w:t xml:space="preserve"> PBAC </w:t>
      </w:r>
      <w:r w:rsidR="006D4D52">
        <w:rPr>
          <w:rFonts w:eastAsiaTheme="minorHAnsi" w:cstheme="minorBidi"/>
          <w:sz w:val="20"/>
        </w:rPr>
        <w:t>PSD</w:t>
      </w:r>
      <w:r w:rsidR="00EE1992" w:rsidRPr="00EE1992">
        <w:rPr>
          <w:rFonts w:eastAsiaTheme="minorHAnsi" w:cstheme="minorBidi"/>
          <w:sz w:val="20"/>
        </w:rPr>
        <w:t>, July 2018</w:t>
      </w:r>
      <w:r w:rsidR="00650CF0">
        <w:rPr>
          <w:rFonts w:eastAsiaTheme="minorHAnsi" w:cstheme="minorBidi"/>
          <w:sz w:val="20"/>
        </w:rPr>
        <w:t>, Table 7 p17 minor resubmission</w:t>
      </w:r>
      <w:r w:rsidR="0002433F">
        <w:rPr>
          <w:rFonts w:eastAsiaTheme="minorHAnsi" w:cstheme="minorBidi"/>
          <w:sz w:val="20"/>
        </w:rPr>
        <w:t xml:space="preserve"> (Shaded rows)</w:t>
      </w:r>
    </w:p>
    <w:p w:rsidR="00485AF6" w:rsidRPr="00EE1992" w:rsidRDefault="00485AF6" w:rsidP="00485AF6">
      <w:pPr>
        <w:pStyle w:val="TableFooter"/>
        <w:keepNext/>
        <w:rPr>
          <w:rFonts w:eastAsia="Calibri"/>
          <w:sz w:val="20"/>
        </w:rPr>
      </w:pPr>
      <w:r w:rsidRPr="00EE1992">
        <w:rPr>
          <w:rFonts w:eastAsia="Calibri"/>
          <w:sz w:val="20"/>
        </w:rPr>
        <w:t xml:space="preserve">CTCL = cutaneous T-cell lymphoma; </w:t>
      </w:r>
      <w:proofErr w:type="spellStart"/>
      <w:r w:rsidRPr="00EE1992">
        <w:rPr>
          <w:rFonts w:eastAsia="Calibri"/>
          <w:sz w:val="20"/>
        </w:rPr>
        <w:t>LyP</w:t>
      </w:r>
      <w:proofErr w:type="spellEnd"/>
      <w:r w:rsidRPr="00EE1992">
        <w:rPr>
          <w:rFonts w:eastAsia="Calibri"/>
          <w:sz w:val="20"/>
        </w:rPr>
        <w:t xml:space="preserve"> = </w:t>
      </w:r>
      <w:proofErr w:type="spellStart"/>
      <w:r w:rsidRPr="00EE1992">
        <w:rPr>
          <w:rFonts w:eastAsia="Calibri"/>
          <w:sz w:val="20"/>
        </w:rPr>
        <w:t>lymphomatoid</w:t>
      </w:r>
      <w:proofErr w:type="spellEnd"/>
      <w:r w:rsidRPr="00EE1992">
        <w:rPr>
          <w:rFonts w:eastAsia="Calibri"/>
          <w:sz w:val="20"/>
        </w:rPr>
        <w:t xml:space="preserve"> papulosis; MF = mycosis </w:t>
      </w:r>
      <w:proofErr w:type="spellStart"/>
      <w:r w:rsidRPr="00EE1992">
        <w:rPr>
          <w:rFonts w:eastAsia="Calibri"/>
          <w:sz w:val="20"/>
        </w:rPr>
        <w:t>fungoides</w:t>
      </w:r>
      <w:proofErr w:type="spellEnd"/>
      <w:r w:rsidRPr="00EE1992">
        <w:rPr>
          <w:rFonts w:eastAsia="Calibri"/>
          <w:sz w:val="20"/>
        </w:rPr>
        <w:t xml:space="preserve">; ORR = objective response; </w:t>
      </w:r>
      <w:proofErr w:type="spellStart"/>
      <w:r w:rsidRPr="00EE1992">
        <w:rPr>
          <w:rFonts w:eastAsia="Calibri"/>
          <w:sz w:val="20"/>
        </w:rPr>
        <w:t>pcALCL</w:t>
      </w:r>
      <w:proofErr w:type="spellEnd"/>
      <w:r w:rsidRPr="00EE1992">
        <w:rPr>
          <w:rFonts w:eastAsia="Calibri"/>
          <w:sz w:val="20"/>
        </w:rPr>
        <w:t xml:space="preserve"> = primary cutaneous anaplastic large cell lymphoma; SS = </w:t>
      </w:r>
      <w:proofErr w:type="spellStart"/>
      <w:r w:rsidRPr="00EE1992">
        <w:rPr>
          <w:rFonts w:eastAsia="Calibri"/>
          <w:sz w:val="20"/>
        </w:rPr>
        <w:t>Sézary</w:t>
      </w:r>
      <w:proofErr w:type="spellEnd"/>
      <w:r w:rsidRPr="00EE1992">
        <w:rPr>
          <w:rFonts w:eastAsia="Calibri"/>
          <w:sz w:val="20"/>
        </w:rPr>
        <w:t xml:space="preserve"> syndrome</w:t>
      </w:r>
    </w:p>
    <w:p w:rsidR="00485AF6" w:rsidRPr="00315E9C" w:rsidRDefault="00485AF6" w:rsidP="00485AF6">
      <w:pPr>
        <w:rPr>
          <w:rStyle w:val="CommentReference"/>
          <w:rFonts w:ascii="Calibri" w:hAnsi="Calibri"/>
          <w:szCs w:val="22"/>
        </w:rPr>
      </w:pPr>
    </w:p>
    <w:p w:rsidR="00485AF6" w:rsidRDefault="0002433F" w:rsidP="00485AF6">
      <w:pPr>
        <w:pStyle w:val="ListParagraph"/>
        <w:widowControl/>
        <w:numPr>
          <w:ilvl w:val="1"/>
          <w:numId w:val="5"/>
        </w:numPr>
        <w:spacing w:after="160"/>
        <w:contextualSpacing w:val="0"/>
        <w:rPr>
          <w:rStyle w:val="CommentReference"/>
          <w:rFonts w:ascii="Calibri" w:hAnsi="Calibri"/>
          <w:sz w:val="24"/>
          <w:szCs w:val="22"/>
        </w:rPr>
      </w:pPr>
      <w:r>
        <w:rPr>
          <w:rStyle w:val="CommentReference"/>
          <w:rFonts w:ascii="Calibri" w:hAnsi="Calibri"/>
          <w:sz w:val="24"/>
          <w:szCs w:val="22"/>
        </w:rPr>
        <w:t xml:space="preserve">In July </w:t>
      </w:r>
      <w:proofErr w:type="gramStart"/>
      <w:r>
        <w:rPr>
          <w:rStyle w:val="CommentReference"/>
          <w:rFonts w:ascii="Calibri" w:hAnsi="Calibri"/>
          <w:sz w:val="24"/>
          <w:szCs w:val="22"/>
        </w:rPr>
        <w:t>2018</w:t>
      </w:r>
      <w:proofErr w:type="gramEnd"/>
      <w:r>
        <w:rPr>
          <w:rStyle w:val="CommentReference"/>
          <w:rFonts w:ascii="Calibri" w:hAnsi="Calibri"/>
          <w:sz w:val="24"/>
          <w:szCs w:val="22"/>
        </w:rPr>
        <w:t xml:space="preserve"> t</w:t>
      </w:r>
      <w:r w:rsidR="00485AF6" w:rsidRPr="00EE1992">
        <w:rPr>
          <w:rStyle w:val="CommentReference"/>
          <w:rFonts w:ascii="Calibri" w:hAnsi="Calibri"/>
          <w:sz w:val="24"/>
          <w:szCs w:val="22"/>
        </w:rPr>
        <w:t xml:space="preserve">he PBAC noted that the evidence base to support the comparative effectiveness of </w:t>
      </w:r>
      <w:proofErr w:type="spellStart"/>
      <w:r w:rsidR="00485AF6" w:rsidRPr="00EE1992">
        <w:rPr>
          <w:rStyle w:val="CommentReference"/>
          <w:rFonts w:ascii="Calibri" w:hAnsi="Calibri"/>
          <w:sz w:val="24"/>
          <w:szCs w:val="22"/>
        </w:rPr>
        <w:t>brentuximab</w:t>
      </w:r>
      <w:proofErr w:type="spellEnd"/>
      <w:r w:rsidR="00485AF6" w:rsidRPr="00EE1992">
        <w:rPr>
          <w:rStyle w:val="CommentReference"/>
          <w:rFonts w:ascii="Calibri" w:hAnsi="Calibri"/>
          <w:sz w:val="24"/>
          <w:szCs w:val="22"/>
        </w:rPr>
        <w:t xml:space="preserve"> </w:t>
      </w:r>
      <w:proofErr w:type="spellStart"/>
      <w:r w:rsidR="00485AF6" w:rsidRPr="00EE1992">
        <w:rPr>
          <w:rStyle w:val="CommentReference"/>
          <w:rFonts w:ascii="Calibri" w:hAnsi="Calibri"/>
          <w:sz w:val="24"/>
          <w:szCs w:val="22"/>
        </w:rPr>
        <w:t>vedotin</w:t>
      </w:r>
      <w:proofErr w:type="spellEnd"/>
      <w:r w:rsidR="00485AF6" w:rsidRPr="00EE1992">
        <w:rPr>
          <w:rStyle w:val="CommentReference"/>
          <w:rFonts w:ascii="Calibri" w:hAnsi="Calibri"/>
          <w:sz w:val="24"/>
          <w:szCs w:val="22"/>
        </w:rPr>
        <w:t xml:space="preserve"> over </w:t>
      </w:r>
      <w:proofErr w:type="spellStart"/>
      <w:r w:rsidR="00485AF6" w:rsidRPr="00EE1992">
        <w:rPr>
          <w:rStyle w:val="CommentReference"/>
          <w:rFonts w:ascii="Calibri" w:hAnsi="Calibri"/>
          <w:sz w:val="24"/>
          <w:szCs w:val="22"/>
        </w:rPr>
        <w:t>vorinostat</w:t>
      </w:r>
      <w:proofErr w:type="spellEnd"/>
      <w:r w:rsidR="00485AF6" w:rsidRPr="00EE1992">
        <w:rPr>
          <w:rStyle w:val="CommentReference"/>
          <w:rFonts w:ascii="Calibri" w:hAnsi="Calibri"/>
          <w:sz w:val="24"/>
          <w:szCs w:val="22"/>
        </w:rPr>
        <w:t xml:space="preserve"> and methotrexate in patients with SS was very limited because the data were based on three patients</w:t>
      </w:r>
      <w:r>
        <w:rPr>
          <w:rStyle w:val="CommentReference"/>
          <w:rFonts w:ascii="Calibri" w:hAnsi="Calibri"/>
          <w:sz w:val="24"/>
          <w:szCs w:val="22"/>
        </w:rPr>
        <w:t xml:space="preserve"> </w:t>
      </w:r>
      <w:r w:rsidRPr="0002433F">
        <w:rPr>
          <w:rStyle w:val="CommentReference"/>
          <w:rFonts w:asciiTheme="minorHAnsi" w:hAnsiTheme="minorHAnsi" w:cstheme="minorHAnsi"/>
          <w:sz w:val="24"/>
          <w:szCs w:val="22"/>
        </w:rPr>
        <w:t>(</w:t>
      </w:r>
      <w:r>
        <w:rPr>
          <w:rStyle w:val="CommentReference"/>
          <w:rFonts w:asciiTheme="minorHAnsi" w:hAnsiTheme="minorHAnsi" w:cstheme="minorHAnsi"/>
          <w:sz w:val="24"/>
          <w:szCs w:val="22"/>
        </w:rPr>
        <w:t>Paragraph 6.22</w:t>
      </w:r>
      <w:r w:rsidRPr="0002433F">
        <w:rPr>
          <w:rStyle w:val="CommentReference"/>
          <w:rFonts w:asciiTheme="minorHAnsi" w:hAnsiTheme="minorHAnsi" w:cstheme="minorHAnsi"/>
          <w:sz w:val="24"/>
          <w:szCs w:val="22"/>
        </w:rPr>
        <w:t xml:space="preserve">, </w:t>
      </w:r>
      <w:proofErr w:type="spellStart"/>
      <w:r w:rsidRPr="0002433F">
        <w:rPr>
          <w:rStyle w:val="CommentReference"/>
          <w:rFonts w:asciiTheme="minorHAnsi" w:hAnsiTheme="minorHAnsi" w:cstheme="minorHAnsi"/>
          <w:sz w:val="24"/>
          <w:szCs w:val="22"/>
        </w:rPr>
        <w:t>brentuximab</w:t>
      </w:r>
      <w:proofErr w:type="spellEnd"/>
      <w:r w:rsidRPr="0002433F">
        <w:rPr>
          <w:rStyle w:val="CommentReference"/>
          <w:rFonts w:asciiTheme="minorHAnsi" w:hAnsiTheme="minorHAnsi" w:cstheme="minorHAnsi"/>
          <w:sz w:val="24"/>
          <w:szCs w:val="22"/>
        </w:rPr>
        <w:t xml:space="preserve"> </w:t>
      </w:r>
      <w:proofErr w:type="spellStart"/>
      <w:r w:rsidRPr="0002433F">
        <w:rPr>
          <w:rStyle w:val="CommentReference"/>
          <w:rFonts w:asciiTheme="minorHAnsi" w:hAnsiTheme="minorHAnsi" w:cstheme="minorHAnsi"/>
          <w:sz w:val="24"/>
          <w:szCs w:val="22"/>
        </w:rPr>
        <w:t>vedotin</w:t>
      </w:r>
      <w:proofErr w:type="spellEnd"/>
      <w:r w:rsidRPr="0002433F">
        <w:rPr>
          <w:rStyle w:val="CommentReference"/>
          <w:rFonts w:asciiTheme="minorHAnsi" w:hAnsiTheme="minorHAnsi" w:cstheme="minorHAnsi"/>
          <w:sz w:val="24"/>
          <w:szCs w:val="22"/>
        </w:rPr>
        <w:t xml:space="preserve"> PBAC </w:t>
      </w:r>
      <w:r w:rsidR="006D4D52">
        <w:rPr>
          <w:rStyle w:val="CommentReference"/>
          <w:rFonts w:asciiTheme="minorHAnsi" w:hAnsiTheme="minorHAnsi" w:cstheme="minorHAnsi"/>
          <w:sz w:val="24"/>
          <w:szCs w:val="22"/>
        </w:rPr>
        <w:t>PSD</w:t>
      </w:r>
      <w:r w:rsidRPr="0002433F">
        <w:rPr>
          <w:rStyle w:val="CommentReference"/>
          <w:rFonts w:asciiTheme="minorHAnsi" w:hAnsiTheme="minorHAnsi" w:cstheme="minorHAnsi"/>
          <w:sz w:val="24"/>
          <w:szCs w:val="22"/>
        </w:rPr>
        <w:t>, July 2018)</w:t>
      </w:r>
      <w:r w:rsidR="00485AF6" w:rsidRPr="0002433F">
        <w:rPr>
          <w:rStyle w:val="CommentReference"/>
          <w:rFonts w:asciiTheme="minorHAnsi" w:hAnsiTheme="minorHAnsi" w:cstheme="minorHAnsi"/>
          <w:sz w:val="24"/>
          <w:szCs w:val="22"/>
        </w:rPr>
        <w:t>.</w:t>
      </w:r>
      <w:r w:rsidR="00485AF6" w:rsidRPr="00EE1992">
        <w:rPr>
          <w:rStyle w:val="CommentReference"/>
          <w:rFonts w:ascii="Calibri" w:hAnsi="Calibri"/>
          <w:sz w:val="24"/>
          <w:szCs w:val="22"/>
        </w:rPr>
        <w:t xml:space="preserve"> </w:t>
      </w:r>
      <w:r>
        <w:rPr>
          <w:rStyle w:val="CommentReference"/>
          <w:rFonts w:ascii="Calibri" w:hAnsi="Calibri"/>
          <w:sz w:val="24"/>
          <w:szCs w:val="22"/>
        </w:rPr>
        <w:t xml:space="preserve">The minor resubmission provided </w:t>
      </w:r>
      <w:r w:rsidR="00CE53E6">
        <w:rPr>
          <w:rStyle w:val="CommentReference"/>
          <w:rFonts w:ascii="Calibri" w:hAnsi="Calibri"/>
          <w:sz w:val="24"/>
          <w:szCs w:val="22"/>
        </w:rPr>
        <w:lastRenderedPageBreak/>
        <w:t xml:space="preserve">ORR </w:t>
      </w:r>
      <w:r>
        <w:rPr>
          <w:rStyle w:val="CommentReference"/>
          <w:rFonts w:ascii="Calibri" w:hAnsi="Calibri"/>
          <w:sz w:val="24"/>
          <w:szCs w:val="22"/>
        </w:rPr>
        <w:t>data on an a</w:t>
      </w:r>
      <w:r w:rsidR="00CE53E6">
        <w:rPr>
          <w:rStyle w:val="CommentReference"/>
          <w:rFonts w:ascii="Calibri" w:hAnsi="Calibri"/>
          <w:sz w:val="24"/>
          <w:szCs w:val="22"/>
        </w:rPr>
        <w:t xml:space="preserve">dditional </w:t>
      </w:r>
      <w:proofErr w:type="gramStart"/>
      <w:r w:rsidR="00CE53E6">
        <w:rPr>
          <w:rStyle w:val="CommentReference"/>
          <w:rFonts w:ascii="Calibri" w:hAnsi="Calibri"/>
          <w:sz w:val="24"/>
          <w:szCs w:val="22"/>
        </w:rPr>
        <w:t>3</w:t>
      </w:r>
      <w:proofErr w:type="gramEnd"/>
      <w:r w:rsidR="00CE53E6">
        <w:rPr>
          <w:rStyle w:val="CommentReference"/>
          <w:rFonts w:ascii="Calibri" w:hAnsi="Calibri"/>
          <w:sz w:val="24"/>
          <w:szCs w:val="22"/>
        </w:rPr>
        <w:t xml:space="preserve"> patients </w:t>
      </w:r>
      <w:r w:rsidR="003C076E">
        <w:rPr>
          <w:rStyle w:val="CommentReference"/>
          <w:rFonts w:ascii="Calibri" w:hAnsi="Calibri"/>
          <w:sz w:val="24"/>
          <w:szCs w:val="22"/>
        </w:rPr>
        <w:t xml:space="preserve">with SS </w:t>
      </w:r>
      <w:r w:rsidR="009164EF">
        <w:rPr>
          <w:rStyle w:val="CommentReference"/>
          <w:rFonts w:ascii="Calibri" w:hAnsi="Calibri"/>
          <w:sz w:val="24"/>
          <w:szCs w:val="22"/>
        </w:rPr>
        <w:t>(Table 4) and stated</w:t>
      </w:r>
      <w:r w:rsidR="00CE53E6">
        <w:rPr>
          <w:rStyle w:val="CommentReference"/>
          <w:rFonts w:ascii="Calibri" w:hAnsi="Calibri"/>
          <w:sz w:val="24"/>
          <w:szCs w:val="22"/>
        </w:rPr>
        <w:t xml:space="preserve"> the ORR was 50% (3 of 6 patients), with an averaged PFS of 7.7 months</w:t>
      </w:r>
      <w:r w:rsidR="00CE53E6">
        <w:rPr>
          <w:rStyle w:val="FootnoteReference"/>
          <w:rFonts w:ascii="Calibri" w:hAnsi="Calibri"/>
          <w:sz w:val="24"/>
          <w:szCs w:val="22"/>
        </w:rPr>
        <w:footnoteReference w:id="4"/>
      </w:r>
      <w:r w:rsidR="00D47CAA">
        <w:rPr>
          <w:rStyle w:val="CommentReference"/>
          <w:rFonts w:ascii="Calibri" w:hAnsi="Calibri"/>
          <w:sz w:val="24"/>
          <w:szCs w:val="22"/>
        </w:rPr>
        <w:t>.</w:t>
      </w:r>
    </w:p>
    <w:p w:rsidR="00487CF2" w:rsidRDefault="00D9026C" w:rsidP="009003F6">
      <w:pPr>
        <w:pStyle w:val="ListParagraph"/>
        <w:widowControl/>
        <w:numPr>
          <w:ilvl w:val="1"/>
          <w:numId w:val="5"/>
        </w:numPr>
        <w:spacing w:after="160"/>
        <w:contextualSpacing w:val="0"/>
        <w:rPr>
          <w:rStyle w:val="CommentReference"/>
          <w:rFonts w:ascii="Calibri" w:hAnsi="Calibri"/>
          <w:sz w:val="24"/>
          <w:szCs w:val="22"/>
        </w:rPr>
      </w:pPr>
      <w:r>
        <w:rPr>
          <w:rStyle w:val="CommentReference"/>
          <w:rFonts w:ascii="Calibri" w:hAnsi="Calibri"/>
          <w:sz w:val="24"/>
          <w:szCs w:val="22"/>
        </w:rPr>
        <w:t>In terms of patients with SS, the minor resubmission also noted that the inclusion criteria for the Phase III ALCANZA study did allow patients with blood involvement</w:t>
      </w:r>
      <w:r>
        <w:rPr>
          <w:rStyle w:val="FootnoteReference"/>
          <w:rFonts w:ascii="Calibri" w:hAnsi="Calibri"/>
          <w:sz w:val="24"/>
          <w:szCs w:val="22"/>
        </w:rPr>
        <w:footnoteReference w:id="5"/>
      </w:r>
      <w:r>
        <w:rPr>
          <w:rStyle w:val="CommentReference"/>
          <w:rFonts w:ascii="Calibri" w:hAnsi="Calibri"/>
          <w:sz w:val="24"/>
          <w:szCs w:val="22"/>
        </w:rPr>
        <w:t xml:space="preserve">. The minor </w:t>
      </w:r>
      <w:r w:rsidR="00DA72A2">
        <w:rPr>
          <w:rStyle w:val="CommentReference"/>
          <w:rFonts w:ascii="Calibri" w:hAnsi="Calibri"/>
          <w:sz w:val="24"/>
          <w:szCs w:val="22"/>
        </w:rPr>
        <w:t>re</w:t>
      </w:r>
      <w:r>
        <w:rPr>
          <w:rStyle w:val="CommentReference"/>
          <w:rFonts w:ascii="Calibri" w:hAnsi="Calibri"/>
          <w:sz w:val="24"/>
          <w:szCs w:val="22"/>
        </w:rPr>
        <w:t xml:space="preserve">submission stated that as the </w:t>
      </w:r>
      <w:proofErr w:type="spellStart"/>
      <w:r>
        <w:rPr>
          <w:rStyle w:val="CommentReference"/>
          <w:rFonts w:ascii="Calibri" w:hAnsi="Calibri"/>
          <w:sz w:val="24"/>
          <w:szCs w:val="22"/>
        </w:rPr>
        <w:t>brentuximab</w:t>
      </w:r>
      <w:proofErr w:type="spellEnd"/>
      <w:r>
        <w:rPr>
          <w:rStyle w:val="CommentReference"/>
          <w:rFonts w:ascii="Calibri" w:hAnsi="Calibri"/>
          <w:sz w:val="24"/>
          <w:szCs w:val="22"/>
        </w:rPr>
        <w:t xml:space="preserve"> </w:t>
      </w:r>
      <w:proofErr w:type="spellStart"/>
      <w:r>
        <w:rPr>
          <w:rStyle w:val="CommentReference"/>
          <w:rFonts w:ascii="Calibri" w:hAnsi="Calibri"/>
          <w:sz w:val="24"/>
          <w:szCs w:val="22"/>
        </w:rPr>
        <w:t>vedotin</w:t>
      </w:r>
      <w:proofErr w:type="spellEnd"/>
      <w:r>
        <w:rPr>
          <w:rStyle w:val="CommentReference"/>
          <w:rFonts w:ascii="Calibri" w:hAnsi="Calibri"/>
          <w:sz w:val="24"/>
          <w:szCs w:val="22"/>
        </w:rPr>
        <w:t xml:space="preserve"> arm of the ALCANZA trial included nine </w:t>
      </w:r>
      <w:r w:rsidR="003C076E">
        <w:rPr>
          <w:rStyle w:val="CommentReference"/>
          <w:rFonts w:ascii="Calibri" w:hAnsi="Calibri"/>
          <w:sz w:val="24"/>
          <w:szCs w:val="22"/>
        </w:rPr>
        <w:t xml:space="preserve">MF </w:t>
      </w:r>
      <w:r>
        <w:rPr>
          <w:rStyle w:val="CommentReference"/>
          <w:rFonts w:ascii="Calibri" w:hAnsi="Calibri"/>
          <w:sz w:val="24"/>
          <w:szCs w:val="22"/>
        </w:rPr>
        <w:t>patients (19%) with Stage IVA</w:t>
      </w:r>
      <w:r>
        <w:rPr>
          <w:rStyle w:val="CommentReference"/>
          <w:rFonts w:ascii="Calibri" w:hAnsi="Calibri"/>
          <w:sz w:val="24"/>
          <w:szCs w:val="22"/>
          <w:vertAlign w:val="subscript"/>
        </w:rPr>
        <w:t xml:space="preserve">2 </w:t>
      </w:r>
      <w:r w:rsidR="009717F8">
        <w:rPr>
          <w:rStyle w:val="CommentReference"/>
          <w:rFonts w:ascii="Calibri" w:hAnsi="Calibri"/>
          <w:sz w:val="24"/>
          <w:szCs w:val="22"/>
        </w:rPr>
        <w:t xml:space="preserve">and Stage IVB disease </w:t>
      </w:r>
      <w:proofErr w:type="gramStart"/>
      <w:r w:rsidR="009717F8">
        <w:rPr>
          <w:rStyle w:val="CommentReference"/>
          <w:rFonts w:ascii="Calibri" w:hAnsi="Calibri"/>
          <w:sz w:val="24"/>
          <w:szCs w:val="22"/>
        </w:rPr>
        <w:t>it is possible these patients may</w:t>
      </w:r>
      <w:proofErr w:type="gramEnd"/>
      <w:r w:rsidR="009717F8">
        <w:rPr>
          <w:rStyle w:val="CommentReference"/>
          <w:rFonts w:ascii="Calibri" w:hAnsi="Calibri"/>
          <w:sz w:val="24"/>
          <w:szCs w:val="22"/>
        </w:rPr>
        <w:t xml:space="preserve"> have had </w:t>
      </w:r>
      <w:proofErr w:type="spellStart"/>
      <w:r w:rsidR="009717F8">
        <w:rPr>
          <w:rFonts w:asciiTheme="minorHAnsi" w:eastAsiaTheme="minorHAnsi" w:hAnsiTheme="minorHAnsi" w:cstheme="minorBidi"/>
          <w:snapToGrid/>
          <w:sz w:val="24"/>
          <w:szCs w:val="22"/>
        </w:rPr>
        <w:t>s</w:t>
      </w:r>
      <w:r w:rsidR="009717F8" w:rsidRPr="00540E21">
        <w:rPr>
          <w:rFonts w:asciiTheme="minorHAnsi" w:eastAsiaTheme="minorHAnsi" w:hAnsiTheme="minorHAnsi" w:cstheme="minorBidi"/>
          <w:snapToGrid/>
          <w:sz w:val="24"/>
          <w:szCs w:val="22"/>
        </w:rPr>
        <w:t>ézary</w:t>
      </w:r>
      <w:proofErr w:type="spellEnd"/>
      <w:r w:rsidR="009717F8">
        <w:rPr>
          <w:rStyle w:val="CommentReference"/>
          <w:rFonts w:ascii="Calibri" w:hAnsi="Calibri"/>
          <w:sz w:val="24"/>
          <w:szCs w:val="22"/>
        </w:rPr>
        <w:t xml:space="preserve"> cells in their blood. </w:t>
      </w:r>
      <w:r w:rsidR="00DA72A2">
        <w:rPr>
          <w:rStyle w:val="CommentReference"/>
          <w:rFonts w:ascii="Calibri" w:hAnsi="Calibri"/>
          <w:sz w:val="24"/>
          <w:szCs w:val="22"/>
        </w:rPr>
        <w:t xml:space="preserve">The minor resubmission stated that regardless of stage, patients achieved a better response with </w:t>
      </w:r>
      <w:proofErr w:type="spellStart"/>
      <w:r w:rsidR="00DA72A2">
        <w:rPr>
          <w:rStyle w:val="CommentReference"/>
          <w:rFonts w:ascii="Calibri" w:hAnsi="Calibri"/>
          <w:sz w:val="24"/>
          <w:szCs w:val="22"/>
        </w:rPr>
        <w:t>brentuximab</w:t>
      </w:r>
      <w:proofErr w:type="spellEnd"/>
      <w:r w:rsidR="00DA72A2">
        <w:rPr>
          <w:rStyle w:val="CommentReference"/>
          <w:rFonts w:ascii="Calibri" w:hAnsi="Calibri"/>
          <w:sz w:val="24"/>
          <w:szCs w:val="22"/>
        </w:rPr>
        <w:t xml:space="preserve"> </w:t>
      </w:r>
      <w:proofErr w:type="spellStart"/>
      <w:r w:rsidR="00DA72A2">
        <w:rPr>
          <w:rStyle w:val="CommentReference"/>
          <w:rFonts w:ascii="Calibri" w:hAnsi="Calibri"/>
          <w:sz w:val="24"/>
          <w:szCs w:val="22"/>
        </w:rPr>
        <w:t>vedotin</w:t>
      </w:r>
      <w:proofErr w:type="spellEnd"/>
      <w:r w:rsidR="00DA72A2">
        <w:rPr>
          <w:rStyle w:val="CommentReference"/>
          <w:rFonts w:ascii="Calibri" w:hAnsi="Calibri"/>
          <w:sz w:val="24"/>
          <w:szCs w:val="22"/>
        </w:rPr>
        <w:t xml:space="preserve"> (Prince 2017). The minor resubmission also noted that on</w:t>
      </w:r>
      <w:r w:rsidR="009164EF">
        <w:rPr>
          <w:rStyle w:val="CommentReference"/>
          <w:rFonts w:ascii="Calibri" w:hAnsi="Calibri"/>
          <w:sz w:val="24"/>
          <w:szCs w:val="22"/>
        </w:rPr>
        <w:t>e Australian patient with SS had</w:t>
      </w:r>
      <w:r w:rsidR="00DA72A2">
        <w:rPr>
          <w:rStyle w:val="CommentReference"/>
          <w:rFonts w:ascii="Calibri" w:hAnsi="Calibri"/>
          <w:sz w:val="24"/>
          <w:szCs w:val="22"/>
        </w:rPr>
        <w:t xml:space="preserve"> received </w:t>
      </w:r>
      <w:proofErr w:type="spellStart"/>
      <w:r w:rsidR="00DA72A2">
        <w:rPr>
          <w:rStyle w:val="CommentReference"/>
          <w:rFonts w:ascii="Calibri" w:hAnsi="Calibri"/>
          <w:sz w:val="24"/>
          <w:szCs w:val="22"/>
        </w:rPr>
        <w:t>brentuximab</w:t>
      </w:r>
      <w:proofErr w:type="spellEnd"/>
      <w:r w:rsidR="00DA72A2">
        <w:rPr>
          <w:rStyle w:val="CommentReference"/>
          <w:rFonts w:ascii="Calibri" w:hAnsi="Calibri"/>
          <w:sz w:val="24"/>
          <w:szCs w:val="22"/>
        </w:rPr>
        <w:t xml:space="preserve"> </w:t>
      </w:r>
      <w:proofErr w:type="spellStart"/>
      <w:r w:rsidR="00DA72A2">
        <w:rPr>
          <w:rStyle w:val="CommentReference"/>
          <w:rFonts w:ascii="Calibri" w:hAnsi="Calibri"/>
          <w:sz w:val="24"/>
          <w:szCs w:val="22"/>
        </w:rPr>
        <w:t>vedotin</w:t>
      </w:r>
      <w:proofErr w:type="spellEnd"/>
      <w:r w:rsidR="00DA72A2">
        <w:rPr>
          <w:rStyle w:val="CommentReference"/>
          <w:rFonts w:ascii="Calibri" w:hAnsi="Calibri"/>
          <w:sz w:val="24"/>
          <w:szCs w:val="22"/>
        </w:rPr>
        <w:t xml:space="preserve"> via the spon</w:t>
      </w:r>
      <w:r w:rsidR="00D47CAA">
        <w:rPr>
          <w:rStyle w:val="CommentReference"/>
          <w:rFonts w:ascii="Calibri" w:hAnsi="Calibri"/>
          <w:sz w:val="24"/>
          <w:szCs w:val="22"/>
        </w:rPr>
        <w:t>sors subsidised access program.</w:t>
      </w:r>
    </w:p>
    <w:p w:rsidR="006C780F" w:rsidRDefault="001A3173">
      <w:pPr>
        <w:pStyle w:val="ListParagraph"/>
        <w:widowControl/>
        <w:numPr>
          <w:ilvl w:val="1"/>
          <w:numId w:val="5"/>
        </w:numPr>
        <w:spacing w:after="160"/>
        <w:contextualSpacing w:val="0"/>
        <w:rPr>
          <w:rStyle w:val="CommentReference"/>
          <w:rFonts w:ascii="Calibri" w:hAnsi="Calibri"/>
          <w:sz w:val="24"/>
          <w:szCs w:val="22"/>
        </w:rPr>
      </w:pPr>
      <w:r>
        <w:rPr>
          <w:rStyle w:val="CommentReference"/>
          <w:rFonts w:ascii="Calibri" w:hAnsi="Calibri"/>
          <w:sz w:val="24"/>
          <w:szCs w:val="22"/>
        </w:rPr>
        <w:t xml:space="preserve">The minor resubmission proposed that the evidence from the updated CSR for the </w:t>
      </w:r>
      <w:proofErr w:type="spellStart"/>
      <w:r>
        <w:rPr>
          <w:rStyle w:val="CommentReference"/>
          <w:rFonts w:ascii="Calibri" w:hAnsi="Calibri"/>
          <w:sz w:val="24"/>
          <w:szCs w:val="22"/>
        </w:rPr>
        <w:t>Duvic</w:t>
      </w:r>
      <w:proofErr w:type="spellEnd"/>
      <w:r>
        <w:rPr>
          <w:rStyle w:val="CommentReference"/>
          <w:rFonts w:ascii="Calibri" w:hAnsi="Calibri"/>
          <w:sz w:val="24"/>
          <w:szCs w:val="22"/>
        </w:rPr>
        <w:t xml:space="preserve"> (2015) study supported the use of </w:t>
      </w:r>
      <w:proofErr w:type="spellStart"/>
      <w:r>
        <w:rPr>
          <w:rStyle w:val="CommentReference"/>
          <w:rFonts w:ascii="Calibri" w:hAnsi="Calibri"/>
          <w:sz w:val="24"/>
          <w:szCs w:val="22"/>
        </w:rPr>
        <w:t>brentuximab</w:t>
      </w:r>
      <w:proofErr w:type="spellEnd"/>
      <w:r>
        <w:rPr>
          <w:rStyle w:val="CommentReference"/>
          <w:rFonts w:ascii="Calibri" w:hAnsi="Calibri"/>
          <w:sz w:val="24"/>
          <w:szCs w:val="22"/>
        </w:rPr>
        <w:t xml:space="preserve"> </w:t>
      </w:r>
      <w:proofErr w:type="spellStart"/>
      <w:r>
        <w:rPr>
          <w:rStyle w:val="CommentReference"/>
          <w:rFonts w:ascii="Calibri" w:hAnsi="Calibri"/>
          <w:sz w:val="24"/>
          <w:szCs w:val="22"/>
        </w:rPr>
        <w:t>vedotin</w:t>
      </w:r>
      <w:proofErr w:type="spellEnd"/>
      <w:r>
        <w:rPr>
          <w:rStyle w:val="CommentReference"/>
          <w:rFonts w:ascii="Calibri" w:hAnsi="Calibri"/>
          <w:sz w:val="24"/>
          <w:szCs w:val="22"/>
        </w:rPr>
        <w:t xml:space="preserve"> in </w:t>
      </w:r>
      <w:proofErr w:type="spellStart"/>
      <w:r>
        <w:rPr>
          <w:rStyle w:val="CommentReference"/>
          <w:rFonts w:ascii="Calibri" w:hAnsi="Calibri"/>
          <w:sz w:val="24"/>
          <w:szCs w:val="22"/>
        </w:rPr>
        <w:t>LyP</w:t>
      </w:r>
      <w:proofErr w:type="spellEnd"/>
      <w:r w:rsidR="003C076E">
        <w:rPr>
          <w:rStyle w:val="CommentReference"/>
          <w:rFonts w:ascii="Calibri" w:hAnsi="Calibri"/>
          <w:sz w:val="24"/>
          <w:szCs w:val="22"/>
        </w:rPr>
        <w:t xml:space="preserve"> (Table 4)</w:t>
      </w:r>
      <w:r>
        <w:rPr>
          <w:rStyle w:val="CommentReference"/>
          <w:rFonts w:ascii="Calibri" w:hAnsi="Calibri"/>
          <w:sz w:val="24"/>
          <w:szCs w:val="22"/>
        </w:rPr>
        <w:t xml:space="preserve">. An ORR was achieved in 12/13 (92%) of patients with the minor </w:t>
      </w:r>
      <w:proofErr w:type="gramStart"/>
      <w:r w:rsidR="00111818">
        <w:rPr>
          <w:rStyle w:val="CommentReference"/>
          <w:rFonts w:ascii="Calibri" w:hAnsi="Calibri"/>
          <w:sz w:val="24"/>
          <w:szCs w:val="22"/>
        </w:rPr>
        <w:t>re</w:t>
      </w:r>
      <w:r>
        <w:rPr>
          <w:rStyle w:val="CommentReference"/>
          <w:rFonts w:ascii="Calibri" w:hAnsi="Calibri"/>
          <w:sz w:val="24"/>
          <w:szCs w:val="22"/>
        </w:rPr>
        <w:t>submission</w:t>
      </w:r>
      <w:proofErr w:type="gramEnd"/>
      <w:r>
        <w:rPr>
          <w:rStyle w:val="CommentReference"/>
          <w:rFonts w:ascii="Calibri" w:hAnsi="Calibri"/>
          <w:sz w:val="24"/>
          <w:szCs w:val="22"/>
        </w:rPr>
        <w:t xml:space="preserve"> </w:t>
      </w:r>
      <w:r w:rsidR="00111818">
        <w:rPr>
          <w:rStyle w:val="CommentReference"/>
          <w:rFonts w:ascii="Calibri" w:hAnsi="Calibri"/>
          <w:sz w:val="24"/>
          <w:szCs w:val="22"/>
        </w:rPr>
        <w:t>stating</w:t>
      </w:r>
      <w:r>
        <w:rPr>
          <w:rStyle w:val="CommentReference"/>
          <w:rFonts w:ascii="Calibri" w:hAnsi="Calibri"/>
          <w:sz w:val="24"/>
          <w:szCs w:val="22"/>
        </w:rPr>
        <w:t xml:space="preserve"> the median PFS was 11.7 months. </w:t>
      </w:r>
      <w:r w:rsidR="00D8260F" w:rsidRPr="00D8260F">
        <w:rPr>
          <w:rFonts w:asciiTheme="minorHAnsi" w:eastAsiaTheme="minorHAnsi" w:hAnsiTheme="minorHAnsi" w:cstheme="minorBidi"/>
          <w:snapToGrid/>
          <w:sz w:val="24"/>
          <w:szCs w:val="22"/>
        </w:rPr>
        <w:t xml:space="preserve">The minor resubmission also noted that data from the Australian Cutaneous Lymphoma Network (ACLN) database indicated that </w:t>
      </w:r>
      <w:r w:rsidR="00146494">
        <w:rPr>
          <w:rFonts w:asciiTheme="minorHAnsi" w:eastAsiaTheme="minorHAnsi" w:hAnsiTheme="minorHAnsi" w:cstheme="minorBidi"/>
          <w:noProof/>
          <w:snapToGrid/>
          <w:color w:val="000000"/>
          <w:sz w:val="24"/>
          <w:szCs w:val="22"/>
          <w:highlight w:val="black"/>
        </w:rPr>
        <w:t>'''''</w:t>
      </w:r>
      <w:r w:rsidR="00D8260F" w:rsidRPr="00D8260F">
        <w:rPr>
          <w:rFonts w:asciiTheme="minorHAnsi" w:eastAsiaTheme="minorHAnsi" w:hAnsiTheme="minorHAnsi" w:cstheme="minorBidi"/>
          <w:snapToGrid/>
          <w:sz w:val="24"/>
          <w:szCs w:val="22"/>
        </w:rPr>
        <w:t xml:space="preserve"> of </w:t>
      </w:r>
      <w:r w:rsidR="00146494">
        <w:rPr>
          <w:rFonts w:asciiTheme="minorHAnsi" w:eastAsiaTheme="minorHAnsi" w:hAnsiTheme="minorHAnsi" w:cstheme="minorBidi"/>
          <w:noProof/>
          <w:snapToGrid/>
          <w:color w:val="000000"/>
          <w:sz w:val="24"/>
          <w:szCs w:val="22"/>
          <w:highlight w:val="black"/>
        </w:rPr>
        <w:t>'''''</w:t>
      </w:r>
      <w:r w:rsidR="00D8260F" w:rsidRPr="00D8260F">
        <w:rPr>
          <w:rFonts w:asciiTheme="minorHAnsi" w:eastAsiaTheme="minorHAnsi" w:hAnsiTheme="minorHAnsi" w:cstheme="minorBidi"/>
          <w:snapToGrid/>
          <w:sz w:val="24"/>
          <w:szCs w:val="22"/>
        </w:rPr>
        <w:t xml:space="preserve"> Australian patients with a confirmed CD30 positive </w:t>
      </w:r>
      <w:proofErr w:type="spellStart"/>
      <w:r w:rsidR="00D8260F" w:rsidRPr="00D8260F">
        <w:rPr>
          <w:rFonts w:asciiTheme="minorHAnsi" w:eastAsiaTheme="minorHAnsi" w:hAnsiTheme="minorHAnsi" w:cstheme="minorBidi"/>
          <w:snapToGrid/>
          <w:sz w:val="24"/>
          <w:szCs w:val="22"/>
        </w:rPr>
        <w:t>LyP</w:t>
      </w:r>
      <w:proofErr w:type="spellEnd"/>
      <w:r w:rsidR="00D8260F" w:rsidRPr="00D8260F">
        <w:rPr>
          <w:rFonts w:asciiTheme="minorHAnsi" w:eastAsiaTheme="minorHAnsi" w:hAnsiTheme="minorHAnsi" w:cstheme="minorBidi"/>
          <w:snapToGrid/>
          <w:sz w:val="24"/>
          <w:szCs w:val="22"/>
        </w:rPr>
        <w:t xml:space="preserve"> diagnosis received treatment with various systemic therapies.</w:t>
      </w:r>
    </w:p>
    <w:p w:rsidR="00486D02" w:rsidRDefault="0048115E">
      <w:pPr>
        <w:pStyle w:val="ListParagraph"/>
        <w:widowControl/>
        <w:numPr>
          <w:ilvl w:val="1"/>
          <w:numId w:val="5"/>
        </w:numPr>
        <w:spacing w:after="160"/>
        <w:contextualSpacing w:val="0"/>
        <w:rPr>
          <w:rStyle w:val="CommentReference"/>
          <w:rFonts w:ascii="Calibri" w:hAnsi="Calibri"/>
          <w:sz w:val="24"/>
          <w:szCs w:val="22"/>
        </w:rPr>
      </w:pPr>
      <w:r>
        <w:rPr>
          <w:rStyle w:val="CommentReference"/>
          <w:rFonts w:ascii="Calibri" w:hAnsi="Calibri"/>
          <w:sz w:val="24"/>
          <w:szCs w:val="22"/>
        </w:rPr>
        <w:t>The pre-PBAC response reitera</w:t>
      </w:r>
      <w:r w:rsidR="0078687E">
        <w:rPr>
          <w:rStyle w:val="CommentReference"/>
          <w:rFonts w:ascii="Calibri" w:hAnsi="Calibri"/>
          <w:sz w:val="24"/>
          <w:szCs w:val="22"/>
        </w:rPr>
        <w:t>ted the difficulties in conduc</w:t>
      </w:r>
      <w:r>
        <w:rPr>
          <w:rStyle w:val="CommentReference"/>
          <w:rFonts w:ascii="Calibri" w:hAnsi="Calibri"/>
          <w:sz w:val="24"/>
          <w:szCs w:val="22"/>
        </w:rPr>
        <w:t>t</w:t>
      </w:r>
      <w:r w:rsidR="00922DD5">
        <w:rPr>
          <w:rStyle w:val="CommentReference"/>
          <w:rFonts w:ascii="Calibri" w:hAnsi="Calibri"/>
          <w:sz w:val="24"/>
          <w:szCs w:val="22"/>
        </w:rPr>
        <w:t>ing</w:t>
      </w:r>
      <w:r>
        <w:rPr>
          <w:rStyle w:val="CommentReference"/>
          <w:rFonts w:ascii="Calibri" w:hAnsi="Calibri"/>
          <w:sz w:val="24"/>
          <w:szCs w:val="22"/>
        </w:rPr>
        <w:t xml:space="preserve"> a clinical trial </w:t>
      </w:r>
      <w:proofErr w:type="gramStart"/>
      <w:r>
        <w:rPr>
          <w:rStyle w:val="CommentReference"/>
          <w:rFonts w:ascii="Calibri" w:hAnsi="Calibri"/>
          <w:sz w:val="24"/>
          <w:szCs w:val="22"/>
        </w:rPr>
        <w:t>program which</w:t>
      </w:r>
      <w:proofErr w:type="gramEnd"/>
      <w:r>
        <w:rPr>
          <w:rStyle w:val="CommentReference"/>
          <w:rFonts w:ascii="Calibri" w:hAnsi="Calibri"/>
          <w:sz w:val="24"/>
          <w:szCs w:val="22"/>
        </w:rPr>
        <w:t xml:space="preserve"> will comprehensively cover al</w:t>
      </w:r>
      <w:r w:rsidR="0078687E">
        <w:rPr>
          <w:rStyle w:val="CommentReference"/>
          <w:rFonts w:ascii="Calibri" w:hAnsi="Calibri"/>
          <w:sz w:val="24"/>
          <w:szCs w:val="22"/>
        </w:rPr>
        <w:t>l the sub</w:t>
      </w:r>
      <w:r>
        <w:rPr>
          <w:rStyle w:val="CommentReference"/>
          <w:rFonts w:ascii="Calibri" w:hAnsi="Calibri"/>
          <w:sz w:val="24"/>
          <w:szCs w:val="22"/>
        </w:rPr>
        <w:t xml:space="preserve">types in this rare cancer (CTCL represents </w:t>
      </w:r>
      <w:r w:rsidR="005574DB">
        <w:rPr>
          <w:rStyle w:val="CommentReference"/>
          <w:rFonts w:ascii="Calibri" w:hAnsi="Calibri"/>
          <w:sz w:val="24"/>
          <w:szCs w:val="22"/>
        </w:rPr>
        <w:t xml:space="preserve">approximately </w:t>
      </w:r>
      <w:r>
        <w:rPr>
          <w:rStyle w:val="CommentReference"/>
          <w:rFonts w:ascii="Calibri" w:hAnsi="Calibri"/>
          <w:sz w:val="24"/>
          <w:szCs w:val="22"/>
        </w:rPr>
        <w:t xml:space="preserve">2% of all cancers). </w:t>
      </w:r>
      <w:r w:rsidR="0078687E">
        <w:rPr>
          <w:rStyle w:val="CommentReference"/>
          <w:rFonts w:ascii="Calibri" w:hAnsi="Calibri"/>
          <w:sz w:val="24"/>
          <w:szCs w:val="22"/>
        </w:rPr>
        <w:t xml:space="preserve">The pre-PBAC </w:t>
      </w:r>
      <w:r w:rsidR="009F5692">
        <w:rPr>
          <w:rStyle w:val="CommentReference"/>
          <w:rFonts w:ascii="Calibri" w:hAnsi="Calibri"/>
          <w:sz w:val="24"/>
          <w:szCs w:val="22"/>
        </w:rPr>
        <w:t>response</w:t>
      </w:r>
      <w:r w:rsidR="0078687E">
        <w:rPr>
          <w:rStyle w:val="CommentReference"/>
          <w:rFonts w:ascii="Calibri" w:hAnsi="Calibri"/>
          <w:sz w:val="24"/>
          <w:szCs w:val="22"/>
        </w:rPr>
        <w:t xml:space="preserve"> also noted that the number of patients with these specific subtypes is very small</w:t>
      </w:r>
      <w:r w:rsidR="006D2997">
        <w:rPr>
          <w:rStyle w:val="CommentReference"/>
          <w:rFonts w:ascii="Calibri" w:hAnsi="Calibri"/>
          <w:sz w:val="24"/>
          <w:szCs w:val="22"/>
        </w:rPr>
        <w:t xml:space="preserve">, with the expected total of SS and </w:t>
      </w:r>
      <w:proofErr w:type="spellStart"/>
      <w:r w:rsidR="006D2997">
        <w:rPr>
          <w:rStyle w:val="CommentReference"/>
          <w:rFonts w:ascii="Calibri" w:hAnsi="Calibri"/>
          <w:sz w:val="24"/>
          <w:szCs w:val="22"/>
        </w:rPr>
        <w:t>LyP</w:t>
      </w:r>
      <w:proofErr w:type="spellEnd"/>
      <w:r w:rsidR="006D2997">
        <w:rPr>
          <w:rStyle w:val="CommentReference"/>
          <w:rFonts w:ascii="Calibri" w:hAnsi="Calibri"/>
          <w:sz w:val="24"/>
          <w:szCs w:val="22"/>
        </w:rPr>
        <w:t xml:space="preserve"> patients being </w:t>
      </w:r>
      <w:r w:rsidR="005574DB">
        <w:rPr>
          <w:rStyle w:val="CommentReference"/>
          <w:rFonts w:ascii="Calibri" w:hAnsi="Calibri"/>
          <w:sz w:val="24"/>
          <w:szCs w:val="22"/>
        </w:rPr>
        <w:t xml:space="preserve">approximately </w:t>
      </w:r>
      <w:r w:rsidR="00146494">
        <w:rPr>
          <w:rStyle w:val="CommentReference"/>
          <w:rFonts w:ascii="Calibri" w:hAnsi="Calibri"/>
          <w:noProof/>
          <w:color w:val="000000"/>
          <w:sz w:val="24"/>
          <w:szCs w:val="22"/>
          <w:highlight w:val="black"/>
        </w:rPr>
        <w:t>'''''</w:t>
      </w:r>
      <w:r w:rsidR="006D2997">
        <w:rPr>
          <w:rStyle w:val="CommentReference"/>
          <w:rFonts w:ascii="Calibri" w:hAnsi="Calibri"/>
          <w:sz w:val="24"/>
          <w:szCs w:val="22"/>
        </w:rPr>
        <w:t xml:space="preserve"> in Year 1</w:t>
      </w:r>
      <w:r w:rsidR="005574DB">
        <w:rPr>
          <w:rStyle w:val="CommentReference"/>
          <w:rFonts w:ascii="Calibri" w:hAnsi="Calibri"/>
          <w:sz w:val="24"/>
          <w:szCs w:val="22"/>
        </w:rPr>
        <w:t>,</w:t>
      </w:r>
      <w:r w:rsidR="006D2997">
        <w:rPr>
          <w:rStyle w:val="CommentReference"/>
          <w:rFonts w:ascii="Calibri" w:hAnsi="Calibri"/>
          <w:sz w:val="24"/>
          <w:szCs w:val="22"/>
        </w:rPr>
        <w:t xml:space="preserve"> and declining </w:t>
      </w:r>
      <w:r w:rsidR="005574DB">
        <w:rPr>
          <w:rStyle w:val="CommentReference"/>
          <w:rFonts w:ascii="Calibri" w:hAnsi="Calibri"/>
          <w:sz w:val="24"/>
          <w:szCs w:val="22"/>
        </w:rPr>
        <w:t>to</w:t>
      </w:r>
      <w:r w:rsidR="006D2997">
        <w:rPr>
          <w:rStyle w:val="CommentReference"/>
          <w:rFonts w:ascii="Calibri" w:hAnsi="Calibri"/>
          <w:sz w:val="24"/>
          <w:szCs w:val="22"/>
        </w:rPr>
        <w:t xml:space="preserve"> </w:t>
      </w:r>
      <w:r w:rsidR="00146494">
        <w:rPr>
          <w:rStyle w:val="CommentReference"/>
          <w:rFonts w:ascii="Calibri" w:hAnsi="Calibri"/>
          <w:noProof/>
          <w:color w:val="000000"/>
          <w:sz w:val="24"/>
          <w:szCs w:val="22"/>
          <w:highlight w:val="black"/>
        </w:rPr>
        <w:t>'''</w:t>
      </w:r>
      <w:r w:rsidR="006D2997">
        <w:rPr>
          <w:rStyle w:val="CommentReference"/>
          <w:rFonts w:ascii="Calibri" w:hAnsi="Calibri"/>
          <w:sz w:val="24"/>
          <w:szCs w:val="22"/>
        </w:rPr>
        <w:t xml:space="preserve"> patients in Year 6.</w:t>
      </w:r>
    </w:p>
    <w:p w:rsidR="006D2997" w:rsidRPr="006D2997" w:rsidRDefault="0078687E" w:rsidP="0078687E">
      <w:pPr>
        <w:pStyle w:val="ListParagraph"/>
        <w:widowControl/>
        <w:numPr>
          <w:ilvl w:val="1"/>
          <w:numId w:val="5"/>
        </w:numPr>
        <w:spacing w:before="120" w:after="160"/>
        <w:contextualSpacing w:val="0"/>
        <w:rPr>
          <w:rStyle w:val="CommentReference"/>
          <w:rFonts w:asciiTheme="minorHAnsi" w:eastAsiaTheme="minorHAnsi" w:hAnsiTheme="minorHAnsi" w:cstheme="minorBidi"/>
          <w:i/>
          <w:snapToGrid/>
          <w:sz w:val="24"/>
          <w:szCs w:val="22"/>
        </w:rPr>
      </w:pPr>
      <w:r>
        <w:rPr>
          <w:rStyle w:val="CommentReference"/>
          <w:rFonts w:ascii="Calibri" w:hAnsi="Calibri"/>
          <w:sz w:val="24"/>
          <w:szCs w:val="22"/>
        </w:rPr>
        <w:t xml:space="preserve">The </w:t>
      </w:r>
      <w:r w:rsidRPr="00482797">
        <w:rPr>
          <w:rStyle w:val="CommentReference"/>
          <w:rFonts w:ascii="Calibri" w:hAnsi="Calibri"/>
          <w:sz w:val="24"/>
          <w:szCs w:val="22"/>
        </w:rPr>
        <w:t>PBAC noted the arguments that patients</w:t>
      </w:r>
      <w:r>
        <w:rPr>
          <w:rStyle w:val="CommentReference"/>
          <w:rFonts w:ascii="Calibri" w:hAnsi="Calibri"/>
          <w:sz w:val="24"/>
          <w:szCs w:val="22"/>
        </w:rPr>
        <w:t xml:space="preserve"> with</w:t>
      </w:r>
      <w:r w:rsidRPr="00482797">
        <w:rPr>
          <w:rStyle w:val="CommentReference"/>
          <w:rFonts w:ascii="Calibri" w:hAnsi="Calibri"/>
          <w:sz w:val="24"/>
          <w:szCs w:val="22"/>
        </w:rPr>
        <w:t xml:space="preserve"> CD30 positive SS, a poor prognosis cancer, appear</w:t>
      </w:r>
      <w:r>
        <w:rPr>
          <w:rStyle w:val="CommentReference"/>
          <w:rFonts w:ascii="Calibri" w:hAnsi="Calibri"/>
          <w:sz w:val="24"/>
          <w:szCs w:val="22"/>
        </w:rPr>
        <w:t>ed</w:t>
      </w:r>
      <w:r w:rsidRPr="00482797">
        <w:rPr>
          <w:rStyle w:val="CommentReference"/>
          <w:rFonts w:ascii="Calibri" w:hAnsi="Calibri"/>
          <w:sz w:val="24"/>
          <w:szCs w:val="22"/>
        </w:rPr>
        <w:t xml:space="preserve"> to benefit </w:t>
      </w:r>
      <w:r>
        <w:rPr>
          <w:rStyle w:val="CommentReference"/>
          <w:rFonts w:ascii="Calibri" w:hAnsi="Calibri"/>
          <w:sz w:val="24"/>
          <w:szCs w:val="22"/>
        </w:rPr>
        <w:t xml:space="preserve">from treatment with </w:t>
      </w:r>
      <w:proofErr w:type="spellStart"/>
      <w:r>
        <w:rPr>
          <w:rStyle w:val="CommentReference"/>
          <w:rFonts w:ascii="Calibri" w:hAnsi="Calibri"/>
          <w:sz w:val="24"/>
          <w:szCs w:val="22"/>
        </w:rPr>
        <w:t>brentuximab</w:t>
      </w:r>
      <w:proofErr w:type="spellEnd"/>
      <w:r>
        <w:rPr>
          <w:rStyle w:val="CommentReference"/>
          <w:rFonts w:ascii="Calibri" w:hAnsi="Calibri"/>
          <w:sz w:val="24"/>
          <w:szCs w:val="22"/>
        </w:rPr>
        <w:t xml:space="preserve"> </w:t>
      </w:r>
      <w:proofErr w:type="spellStart"/>
      <w:r>
        <w:rPr>
          <w:rStyle w:val="CommentReference"/>
          <w:rFonts w:ascii="Calibri" w:hAnsi="Calibri"/>
          <w:sz w:val="24"/>
          <w:szCs w:val="22"/>
        </w:rPr>
        <w:t>vedotin</w:t>
      </w:r>
      <w:proofErr w:type="spellEnd"/>
      <w:r>
        <w:rPr>
          <w:rStyle w:val="CommentReference"/>
          <w:rFonts w:ascii="Calibri" w:hAnsi="Calibri"/>
          <w:sz w:val="24"/>
          <w:szCs w:val="22"/>
        </w:rPr>
        <w:t xml:space="preserve"> to a similar degree as</w:t>
      </w:r>
      <w:r w:rsidRPr="00482797">
        <w:rPr>
          <w:rStyle w:val="CommentReference"/>
          <w:rFonts w:ascii="Calibri" w:hAnsi="Calibri"/>
          <w:sz w:val="24"/>
          <w:szCs w:val="22"/>
        </w:rPr>
        <w:t xml:space="preserve"> those with MF. </w:t>
      </w:r>
      <w:r w:rsidR="006D2997">
        <w:rPr>
          <w:rStyle w:val="CommentReference"/>
          <w:rFonts w:ascii="Calibri" w:hAnsi="Calibri"/>
          <w:sz w:val="24"/>
          <w:szCs w:val="22"/>
        </w:rPr>
        <w:t xml:space="preserve">The PBAC considered that given the poor prognosis of SS, the very low patient numbers and the evidence </w:t>
      </w:r>
      <w:r w:rsidR="00922DD5">
        <w:rPr>
          <w:rStyle w:val="CommentReference"/>
          <w:rFonts w:ascii="Calibri" w:hAnsi="Calibri"/>
          <w:sz w:val="24"/>
          <w:szCs w:val="22"/>
        </w:rPr>
        <w:t xml:space="preserve">of potential benefit </w:t>
      </w:r>
      <w:r w:rsidR="006D2997">
        <w:rPr>
          <w:rStyle w:val="CommentReference"/>
          <w:rFonts w:ascii="Calibri" w:hAnsi="Calibri"/>
          <w:sz w:val="24"/>
          <w:szCs w:val="22"/>
        </w:rPr>
        <w:t xml:space="preserve">provided it </w:t>
      </w:r>
      <w:proofErr w:type="gramStart"/>
      <w:r w:rsidR="006D2997">
        <w:rPr>
          <w:rStyle w:val="CommentReference"/>
          <w:rFonts w:ascii="Calibri" w:hAnsi="Calibri"/>
          <w:sz w:val="24"/>
          <w:szCs w:val="22"/>
        </w:rPr>
        <w:t>may</w:t>
      </w:r>
      <w:proofErr w:type="gramEnd"/>
      <w:r w:rsidR="006D2997">
        <w:rPr>
          <w:rStyle w:val="CommentReference"/>
          <w:rFonts w:ascii="Calibri" w:hAnsi="Calibri"/>
          <w:sz w:val="24"/>
          <w:szCs w:val="22"/>
        </w:rPr>
        <w:t xml:space="preserve"> be appropriate to allow PBS subsidy of </w:t>
      </w:r>
      <w:proofErr w:type="spellStart"/>
      <w:r w:rsidR="006D2997">
        <w:rPr>
          <w:rStyle w:val="CommentReference"/>
          <w:rFonts w:ascii="Calibri" w:hAnsi="Calibri"/>
          <w:sz w:val="24"/>
          <w:szCs w:val="22"/>
        </w:rPr>
        <w:t>brentuximab</w:t>
      </w:r>
      <w:proofErr w:type="spellEnd"/>
      <w:r w:rsidR="006D2997">
        <w:rPr>
          <w:rStyle w:val="CommentReference"/>
          <w:rFonts w:ascii="Calibri" w:hAnsi="Calibri"/>
          <w:sz w:val="24"/>
          <w:szCs w:val="22"/>
        </w:rPr>
        <w:t xml:space="preserve"> </w:t>
      </w:r>
      <w:proofErr w:type="spellStart"/>
      <w:r w:rsidR="006D2997">
        <w:rPr>
          <w:rStyle w:val="CommentReference"/>
          <w:rFonts w:ascii="Calibri" w:hAnsi="Calibri"/>
          <w:sz w:val="24"/>
          <w:szCs w:val="22"/>
        </w:rPr>
        <w:t>vedotin</w:t>
      </w:r>
      <w:proofErr w:type="spellEnd"/>
      <w:r w:rsidR="006D2997">
        <w:rPr>
          <w:rStyle w:val="CommentReference"/>
          <w:rFonts w:ascii="Calibri" w:hAnsi="Calibri"/>
          <w:sz w:val="24"/>
          <w:szCs w:val="22"/>
        </w:rPr>
        <w:t xml:space="preserve"> for patients with this CTCL subtype.</w:t>
      </w:r>
    </w:p>
    <w:p w:rsidR="0078687E" w:rsidRPr="00482797" w:rsidRDefault="0078687E" w:rsidP="0078687E">
      <w:pPr>
        <w:pStyle w:val="ListParagraph"/>
        <w:widowControl/>
        <w:numPr>
          <w:ilvl w:val="1"/>
          <w:numId w:val="5"/>
        </w:numPr>
        <w:spacing w:before="120" w:after="160"/>
        <w:contextualSpacing w:val="0"/>
        <w:rPr>
          <w:rStyle w:val="CommentReference"/>
          <w:rFonts w:asciiTheme="minorHAnsi" w:eastAsiaTheme="minorHAnsi" w:hAnsiTheme="minorHAnsi" w:cstheme="minorBidi"/>
          <w:snapToGrid/>
          <w:sz w:val="24"/>
          <w:szCs w:val="22"/>
        </w:rPr>
      </w:pPr>
      <w:r>
        <w:rPr>
          <w:rStyle w:val="CommentReference"/>
          <w:rFonts w:ascii="Calibri" w:hAnsi="Calibri"/>
          <w:sz w:val="24"/>
          <w:szCs w:val="22"/>
        </w:rPr>
        <w:t xml:space="preserve">The </w:t>
      </w:r>
      <w:r w:rsidRPr="00482797">
        <w:rPr>
          <w:rStyle w:val="CommentReference"/>
          <w:rFonts w:ascii="Calibri" w:hAnsi="Calibri"/>
          <w:sz w:val="24"/>
          <w:szCs w:val="22"/>
        </w:rPr>
        <w:t xml:space="preserve">PBAC </w:t>
      </w:r>
      <w:r w:rsidR="006D2997">
        <w:rPr>
          <w:rStyle w:val="CommentReference"/>
          <w:rFonts w:ascii="Calibri" w:hAnsi="Calibri"/>
          <w:sz w:val="24"/>
          <w:szCs w:val="22"/>
        </w:rPr>
        <w:t xml:space="preserve">also </w:t>
      </w:r>
      <w:r w:rsidRPr="00482797">
        <w:rPr>
          <w:rStyle w:val="CommentReference"/>
          <w:rFonts w:ascii="Calibri" w:hAnsi="Calibri"/>
          <w:sz w:val="24"/>
          <w:szCs w:val="22"/>
        </w:rPr>
        <w:t xml:space="preserve">noted the arguments that some patients with </w:t>
      </w:r>
      <w:proofErr w:type="spellStart"/>
      <w:r w:rsidRPr="00482797">
        <w:rPr>
          <w:rStyle w:val="CommentReference"/>
          <w:rFonts w:ascii="Calibri" w:hAnsi="Calibri"/>
          <w:sz w:val="24"/>
          <w:szCs w:val="22"/>
        </w:rPr>
        <w:t>LyP</w:t>
      </w:r>
      <w:proofErr w:type="spellEnd"/>
      <w:r w:rsidRPr="00482797">
        <w:rPr>
          <w:rStyle w:val="CommentReference"/>
          <w:rFonts w:ascii="Calibri" w:hAnsi="Calibri"/>
          <w:sz w:val="24"/>
          <w:szCs w:val="22"/>
        </w:rPr>
        <w:t xml:space="preserve"> appear to benefit</w:t>
      </w:r>
      <w:r w:rsidR="006D2997">
        <w:rPr>
          <w:rStyle w:val="CommentReference"/>
          <w:rFonts w:ascii="Calibri" w:hAnsi="Calibri"/>
          <w:sz w:val="24"/>
          <w:szCs w:val="22"/>
        </w:rPr>
        <w:t xml:space="preserve"> from treatment with </w:t>
      </w:r>
      <w:proofErr w:type="spellStart"/>
      <w:r w:rsidR="006D2997">
        <w:rPr>
          <w:rStyle w:val="CommentReference"/>
          <w:rFonts w:ascii="Calibri" w:hAnsi="Calibri"/>
          <w:sz w:val="24"/>
          <w:szCs w:val="22"/>
        </w:rPr>
        <w:t>brentuximab</w:t>
      </w:r>
      <w:proofErr w:type="spellEnd"/>
      <w:r w:rsidR="006D2997">
        <w:rPr>
          <w:rStyle w:val="CommentReference"/>
          <w:rFonts w:ascii="Calibri" w:hAnsi="Calibri"/>
          <w:sz w:val="24"/>
          <w:szCs w:val="22"/>
        </w:rPr>
        <w:t xml:space="preserve"> </w:t>
      </w:r>
      <w:proofErr w:type="spellStart"/>
      <w:r w:rsidR="006D2997">
        <w:rPr>
          <w:rStyle w:val="CommentReference"/>
          <w:rFonts w:ascii="Calibri" w:hAnsi="Calibri"/>
          <w:sz w:val="24"/>
          <w:szCs w:val="22"/>
        </w:rPr>
        <w:t>vedotin</w:t>
      </w:r>
      <w:proofErr w:type="spellEnd"/>
      <w:r>
        <w:rPr>
          <w:rStyle w:val="CommentReference"/>
          <w:rFonts w:ascii="Calibri" w:hAnsi="Calibri"/>
          <w:sz w:val="24"/>
          <w:szCs w:val="22"/>
        </w:rPr>
        <w:t xml:space="preserve">. </w:t>
      </w:r>
      <w:r w:rsidR="006177BA">
        <w:rPr>
          <w:rStyle w:val="CommentReference"/>
          <w:rFonts w:ascii="Calibri" w:hAnsi="Calibri"/>
          <w:sz w:val="24"/>
          <w:szCs w:val="22"/>
        </w:rPr>
        <w:t>However, the PBAC recalled that</w:t>
      </w:r>
      <w:r w:rsidR="006177BA" w:rsidRPr="006177BA">
        <w:rPr>
          <w:rFonts w:asciiTheme="minorHAnsi" w:eastAsiaTheme="minorHAnsi" w:hAnsiTheme="minorHAnsi" w:cstheme="minorBidi"/>
          <w:snapToGrid/>
          <w:sz w:val="24"/>
          <w:szCs w:val="22"/>
        </w:rPr>
        <w:t xml:space="preserve"> the </w:t>
      </w:r>
      <w:proofErr w:type="spellStart"/>
      <w:r w:rsidR="006177BA" w:rsidRPr="006177BA">
        <w:rPr>
          <w:rFonts w:asciiTheme="minorHAnsi" w:eastAsiaTheme="minorHAnsi" w:hAnsiTheme="minorHAnsi" w:cstheme="minorBidi"/>
          <w:snapToGrid/>
          <w:sz w:val="24"/>
          <w:szCs w:val="22"/>
        </w:rPr>
        <w:t>LyP</w:t>
      </w:r>
      <w:proofErr w:type="spellEnd"/>
      <w:r w:rsidR="006177BA" w:rsidRPr="006177BA">
        <w:rPr>
          <w:rFonts w:asciiTheme="minorHAnsi" w:eastAsiaTheme="minorHAnsi" w:hAnsiTheme="minorHAnsi" w:cstheme="minorBidi"/>
          <w:snapToGrid/>
          <w:sz w:val="24"/>
          <w:szCs w:val="22"/>
        </w:rPr>
        <w:t xml:space="preserve"> subtype is not consistently defined as a </w:t>
      </w:r>
      <w:proofErr w:type="gramStart"/>
      <w:r w:rsidR="006177BA" w:rsidRPr="006177BA">
        <w:rPr>
          <w:rFonts w:asciiTheme="minorHAnsi" w:eastAsiaTheme="minorHAnsi" w:hAnsiTheme="minorHAnsi" w:cstheme="minorBidi"/>
          <w:snapToGrid/>
          <w:sz w:val="24"/>
          <w:szCs w:val="22"/>
        </w:rPr>
        <w:t>cancer</w:t>
      </w:r>
      <w:r w:rsidR="006177BA">
        <w:rPr>
          <w:rFonts w:asciiTheme="minorHAnsi" w:eastAsiaTheme="minorHAnsi" w:hAnsiTheme="minorHAnsi" w:cstheme="minorBidi"/>
          <w:snapToGrid/>
          <w:sz w:val="24"/>
          <w:szCs w:val="22"/>
        </w:rPr>
        <w:t>,</w:t>
      </w:r>
      <w:proofErr w:type="gramEnd"/>
      <w:r w:rsidR="006177BA">
        <w:rPr>
          <w:rFonts w:asciiTheme="minorHAnsi" w:eastAsiaTheme="minorHAnsi" w:hAnsiTheme="minorHAnsi" w:cstheme="minorBidi"/>
          <w:snapToGrid/>
          <w:sz w:val="24"/>
          <w:szCs w:val="22"/>
        </w:rPr>
        <w:t xml:space="preserve"> </w:t>
      </w:r>
      <w:r w:rsidR="006177BA" w:rsidRPr="006177BA">
        <w:rPr>
          <w:rFonts w:asciiTheme="minorHAnsi" w:eastAsiaTheme="minorHAnsi" w:hAnsiTheme="minorHAnsi" w:cstheme="minorBidi"/>
          <w:snapToGrid/>
          <w:sz w:val="24"/>
          <w:szCs w:val="22"/>
        </w:rPr>
        <w:t>can resolve without treatment and does not affect life-expectancy.</w:t>
      </w:r>
      <w:r w:rsidR="006177BA">
        <w:rPr>
          <w:rFonts w:asciiTheme="minorHAnsi" w:eastAsiaTheme="minorHAnsi" w:hAnsiTheme="minorHAnsi" w:cstheme="minorBidi"/>
          <w:snapToGrid/>
          <w:sz w:val="24"/>
          <w:szCs w:val="22"/>
        </w:rPr>
        <w:t xml:space="preserve"> </w:t>
      </w:r>
      <w:r w:rsidR="006177BA">
        <w:rPr>
          <w:rStyle w:val="CommentReference"/>
          <w:rFonts w:ascii="Calibri" w:hAnsi="Calibri"/>
          <w:sz w:val="24"/>
          <w:szCs w:val="22"/>
        </w:rPr>
        <w:t xml:space="preserve">The PBAC considered that as the majority of patients </w:t>
      </w:r>
      <w:r w:rsidR="006177BA">
        <w:rPr>
          <w:rStyle w:val="CommentReference"/>
          <w:rFonts w:ascii="Calibri" w:hAnsi="Calibri"/>
          <w:sz w:val="24"/>
          <w:szCs w:val="22"/>
        </w:rPr>
        <w:lastRenderedPageBreak/>
        <w:t xml:space="preserve">with </w:t>
      </w:r>
      <w:proofErr w:type="spellStart"/>
      <w:r w:rsidR="006177BA">
        <w:rPr>
          <w:rStyle w:val="CommentReference"/>
          <w:rFonts w:ascii="Calibri" w:hAnsi="Calibri"/>
          <w:sz w:val="24"/>
          <w:szCs w:val="22"/>
        </w:rPr>
        <w:t>LyP</w:t>
      </w:r>
      <w:proofErr w:type="spellEnd"/>
      <w:r w:rsidR="006177BA">
        <w:rPr>
          <w:rStyle w:val="CommentReference"/>
          <w:rFonts w:ascii="Calibri" w:hAnsi="Calibri"/>
          <w:sz w:val="24"/>
          <w:szCs w:val="22"/>
        </w:rPr>
        <w:t xml:space="preserve"> do not require this type of therapy it </w:t>
      </w:r>
      <w:r w:rsidR="00374577">
        <w:rPr>
          <w:rStyle w:val="CommentReference"/>
          <w:rFonts w:ascii="Calibri" w:hAnsi="Calibri"/>
          <w:sz w:val="24"/>
          <w:szCs w:val="22"/>
        </w:rPr>
        <w:t>is</w:t>
      </w:r>
      <w:r w:rsidR="006177BA">
        <w:rPr>
          <w:rStyle w:val="CommentReference"/>
          <w:rFonts w:ascii="Calibri" w:hAnsi="Calibri"/>
          <w:sz w:val="24"/>
          <w:szCs w:val="22"/>
        </w:rPr>
        <w:t xml:space="preserve"> appropriate to exclude this CTCL subtype from PBS subsidised access to </w:t>
      </w:r>
      <w:proofErr w:type="spellStart"/>
      <w:r w:rsidR="006177BA">
        <w:rPr>
          <w:rStyle w:val="CommentReference"/>
          <w:rFonts w:ascii="Calibri" w:hAnsi="Calibri"/>
          <w:sz w:val="24"/>
          <w:szCs w:val="22"/>
        </w:rPr>
        <w:t>brentuximab</w:t>
      </w:r>
      <w:proofErr w:type="spellEnd"/>
      <w:r w:rsidR="006177BA">
        <w:rPr>
          <w:rStyle w:val="CommentReference"/>
          <w:rFonts w:ascii="Calibri" w:hAnsi="Calibri"/>
          <w:sz w:val="24"/>
          <w:szCs w:val="22"/>
        </w:rPr>
        <w:t xml:space="preserve"> </w:t>
      </w:r>
      <w:proofErr w:type="spellStart"/>
      <w:r w:rsidR="006177BA">
        <w:rPr>
          <w:rStyle w:val="CommentReference"/>
          <w:rFonts w:ascii="Calibri" w:hAnsi="Calibri"/>
          <w:sz w:val="24"/>
          <w:szCs w:val="22"/>
        </w:rPr>
        <w:t>vedotin</w:t>
      </w:r>
      <w:proofErr w:type="spellEnd"/>
      <w:r w:rsidR="006177BA">
        <w:rPr>
          <w:rStyle w:val="CommentReference"/>
          <w:rFonts w:ascii="Calibri" w:hAnsi="Calibri"/>
          <w:sz w:val="24"/>
          <w:szCs w:val="22"/>
        </w:rPr>
        <w:t>.</w:t>
      </w:r>
    </w:p>
    <w:p w:rsidR="002F7088" w:rsidRDefault="002F7088" w:rsidP="002F7088">
      <w:pPr>
        <w:pStyle w:val="BodyText"/>
        <w:keepNext/>
        <w:rPr>
          <w:rFonts w:asciiTheme="minorHAnsi" w:hAnsiTheme="minorHAnsi" w:cstheme="minorHAnsi"/>
          <w:u w:val="single"/>
        </w:rPr>
      </w:pPr>
      <w:r w:rsidRPr="002F7088">
        <w:rPr>
          <w:rFonts w:asciiTheme="minorHAnsi" w:hAnsiTheme="minorHAnsi" w:cstheme="minorHAnsi"/>
          <w:u w:val="single"/>
        </w:rPr>
        <w:t>CD30 expression and response</w:t>
      </w:r>
    </w:p>
    <w:p w:rsidR="00156B26" w:rsidRDefault="002F7088" w:rsidP="002F7088">
      <w:pPr>
        <w:pStyle w:val="ListParagraph"/>
        <w:widowControl/>
        <w:numPr>
          <w:ilvl w:val="1"/>
          <w:numId w:val="5"/>
        </w:numPr>
        <w:spacing w:after="160"/>
        <w:contextualSpacing w:val="0"/>
        <w:rPr>
          <w:rStyle w:val="CommentReference"/>
          <w:rFonts w:ascii="Calibri" w:hAnsi="Calibri"/>
          <w:sz w:val="24"/>
          <w:szCs w:val="22"/>
        </w:rPr>
      </w:pPr>
      <w:r>
        <w:rPr>
          <w:rStyle w:val="CommentReference"/>
          <w:rFonts w:ascii="Calibri" w:hAnsi="Calibri"/>
          <w:sz w:val="24"/>
          <w:szCs w:val="22"/>
        </w:rPr>
        <w:t xml:space="preserve">An inclusion </w:t>
      </w:r>
      <w:r w:rsidR="00CE6A9B">
        <w:rPr>
          <w:rStyle w:val="CommentReference"/>
          <w:rFonts w:ascii="Calibri" w:hAnsi="Calibri"/>
          <w:sz w:val="24"/>
          <w:szCs w:val="22"/>
        </w:rPr>
        <w:t>criterion</w:t>
      </w:r>
      <w:r>
        <w:rPr>
          <w:rStyle w:val="CommentReference"/>
          <w:rFonts w:ascii="Calibri" w:hAnsi="Calibri"/>
          <w:sz w:val="24"/>
          <w:szCs w:val="22"/>
        </w:rPr>
        <w:t xml:space="preserve"> of the ALCANZA trial was</w:t>
      </w:r>
      <w:r w:rsidR="009164EF">
        <w:rPr>
          <w:rStyle w:val="CommentReference"/>
          <w:rFonts w:ascii="Calibri" w:hAnsi="Calibri"/>
          <w:sz w:val="24"/>
          <w:szCs w:val="22"/>
        </w:rPr>
        <w:t xml:space="preserve"> a positive CD30 expression on</w:t>
      </w:r>
      <w:r>
        <w:rPr>
          <w:rStyle w:val="CommentReference"/>
          <w:rFonts w:ascii="Calibri" w:hAnsi="Calibri"/>
          <w:sz w:val="24"/>
          <w:szCs w:val="22"/>
        </w:rPr>
        <w:t xml:space="preserve"> biopsy, </w:t>
      </w:r>
      <w:r w:rsidR="009164EF">
        <w:rPr>
          <w:rStyle w:val="CommentReference"/>
          <w:rFonts w:ascii="Calibri" w:hAnsi="Calibri"/>
          <w:sz w:val="24"/>
          <w:szCs w:val="22"/>
        </w:rPr>
        <w:t xml:space="preserve">with patients </w:t>
      </w:r>
      <w:proofErr w:type="gramStart"/>
      <w:r w:rsidR="009164EF">
        <w:rPr>
          <w:rStyle w:val="CommentReference"/>
          <w:rFonts w:ascii="Calibri" w:hAnsi="Calibri"/>
          <w:sz w:val="24"/>
          <w:szCs w:val="22"/>
        </w:rPr>
        <w:t>being scored</w:t>
      </w:r>
      <w:proofErr w:type="gramEnd"/>
      <w:r w:rsidR="009164EF">
        <w:rPr>
          <w:rStyle w:val="CommentReference"/>
          <w:rFonts w:ascii="Calibri" w:hAnsi="Calibri"/>
          <w:sz w:val="24"/>
          <w:szCs w:val="22"/>
        </w:rPr>
        <w:t xml:space="preserve"> CD30 positive</w:t>
      </w:r>
      <w:r>
        <w:rPr>
          <w:rStyle w:val="CommentReference"/>
          <w:rFonts w:ascii="Calibri" w:hAnsi="Calibri"/>
          <w:sz w:val="24"/>
          <w:szCs w:val="22"/>
        </w:rPr>
        <w:t xml:space="preserve"> if one or more biopsies had </w:t>
      </w:r>
      <w:r>
        <w:rPr>
          <w:rStyle w:val="CommentReference"/>
          <w:rFonts w:ascii="Calibri" w:hAnsi="Calibri" w:cs="Calibri"/>
          <w:sz w:val="24"/>
          <w:szCs w:val="22"/>
        </w:rPr>
        <w:t>≥</w:t>
      </w:r>
      <w:r>
        <w:rPr>
          <w:rStyle w:val="CommentReference"/>
          <w:rFonts w:ascii="Calibri" w:hAnsi="Calibri"/>
          <w:sz w:val="24"/>
          <w:szCs w:val="22"/>
        </w:rPr>
        <w:t xml:space="preserve"> 10% CD30 positive lymphoid cells.</w:t>
      </w:r>
      <w:r w:rsidR="003D3A20">
        <w:rPr>
          <w:rStyle w:val="CommentReference"/>
          <w:rFonts w:ascii="Calibri" w:hAnsi="Calibri"/>
          <w:sz w:val="24"/>
          <w:szCs w:val="22"/>
        </w:rPr>
        <w:t xml:space="preserve"> The minor resubmission stated that </w:t>
      </w:r>
      <w:r w:rsidR="009164EF">
        <w:rPr>
          <w:rStyle w:val="CommentReference"/>
          <w:rFonts w:ascii="Calibri" w:hAnsi="Calibri"/>
          <w:sz w:val="24"/>
          <w:szCs w:val="22"/>
        </w:rPr>
        <w:t xml:space="preserve">in </w:t>
      </w:r>
      <w:r w:rsidR="003D3A20">
        <w:rPr>
          <w:rStyle w:val="CommentReference"/>
          <w:rFonts w:ascii="Calibri" w:hAnsi="Calibri"/>
          <w:sz w:val="24"/>
          <w:szCs w:val="22"/>
        </w:rPr>
        <w:t>an analysis of outcomes per CD30 expression published by Kim (2017)</w:t>
      </w:r>
      <w:r w:rsidR="003D3A20">
        <w:rPr>
          <w:rStyle w:val="FootnoteReference"/>
          <w:rFonts w:ascii="Calibri" w:hAnsi="Calibri"/>
          <w:sz w:val="24"/>
          <w:szCs w:val="22"/>
        </w:rPr>
        <w:footnoteReference w:id="6"/>
      </w:r>
      <w:r w:rsidR="003D3A20">
        <w:rPr>
          <w:rStyle w:val="CommentReference"/>
          <w:rFonts w:ascii="Calibri" w:hAnsi="Calibri"/>
          <w:sz w:val="24"/>
          <w:szCs w:val="22"/>
        </w:rPr>
        <w:t xml:space="preserve"> </w:t>
      </w:r>
      <w:r w:rsidR="00156B26">
        <w:rPr>
          <w:rStyle w:val="CommentReference"/>
          <w:rFonts w:ascii="Calibri" w:hAnsi="Calibri"/>
          <w:sz w:val="24"/>
          <w:szCs w:val="22"/>
        </w:rPr>
        <w:t xml:space="preserve">the MF ALCANZA patients could be further grouped into: CD30 min&lt;10% (defined as patients with </w:t>
      </w:r>
      <w:r w:rsidR="00156B26">
        <w:rPr>
          <w:rStyle w:val="CommentReference"/>
          <w:rFonts w:ascii="Calibri" w:hAnsi="Calibri" w:cs="Calibri"/>
          <w:sz w:val="24"/>
          <w:szCs w:val="22"/>
        </w:rPr>
        <w:t>≥</w:t>
      </w:r>
      <w:r w:rsidR="00156B26">
        <w:rPr>
          <w:rStyle w:val="CommentReference"/>
          <w:rFonts w:ascii="Calibri" w:hAnsi="Calibri"/>
          <w:sz w:val="24"/>
          <w:szCs w:val="22"/>
        </w:rPr>
        <w:t xml:space="preserve"> 1 biopsy with &lt; 10% CD30 positive); and CD30 max&gt;10% (defined as patients with </w:t>
      </w:r>
      <w:r w:rsidR="00156B26">
        <w:rPr>
          <w:rStyle w:val="CommentReference"/>
          <w:rFonts w:ascii="Calibri" w:hAnsi="Calibri" w:cs="Calibri"/>
          <w:sz w:val="24"/>
          <w:szCs w:val="22"/>
        </w:rPr>
        <w:t>≥</w:t>
      </w:r>
      <w:r w:rsidR="00156B26">
        <w:rPr>
          <w:rStyle w:val="CommentReference"/>
          <w:rFonts w:ascii="Calibri" w:hAnsi="Calibri"/>
          <w:sz w:val="24"/>
          <w:szCs w:val="22"/>
        </w:rPr>
        <w:t xml:space="preserve"> 1 </w:t>
      </w:r>
      <w:r w:rsidR="0096748D">
        <w:rPr>
          <w:rStyle w:val="CommentReference"/>
          <w:rFonts w:ascii="Calibri" w:hAnsi="Calibri"/>
          <w:sz w:val="24"/>
          <w:szCs w:val="22"/>
        </w:rPr>
        <w:t>biopsy</w:t>
      </w:r>
      <w:r w:rsidR="00156B26">
        <w:rPr>
          <w:rStyle w:val="CommentReference"/>
          <w:rFonts w:ascii="Calibri" w:hAnsi="Calibri"/>
          <w:sz w:val="24"/>
          <w:szCs w:val="22"/>
        </w:rPr>
        <w:t xml:space="preserve"> with &gt; 10% CD30 positive). These data </w:t>
      </w:r>
      <w:proofErr w:type="gramStart"/>
      <w:r w:rsidR="00156B26">
        <w:rPr>
          <w:rStyle w:val="CommentReference"/>
          <w:rFonts w:ascii="Calibri" w:hAnsi="Calibri"/>
          <w:sz w:val="24"/>
          <w:szCs w:val="22"/>
        </w:rPr>
        <w:t>are shown</w:t>
      </w:r>
      <w:proofErr w:type="gramEnd"/>
      <w:r w:rsidR="00156B26">
        <w:rPr>
          <w:rStyle w:val="CommentReference"/>
          <w:rFonts w:ascii="Calibri" w:hAnsi="Calibri"/>
          <w:sz w:val="24"/>
          <w:szCs w:val="22"/>
        </w:rPr>
        <w:t xml:space="preserve"> in Table 5. The minor resubmission stated that these findings indicate that clinical response (ORR4) and PFS </w:t>
      </w:r>
      <w:proofErr w:type="gramStart"/>
      <w:r w:rsidR="00156B26">
        <w:rPr>
          <w:rStyle w:val="CommentReference"/>
          <w:rFonts w:ascii="Calibri" w:hAnsi="Calibri"/>
          <w:sz w:val="24"/>
          <w:szCs w:val="22"/>
        </w:rPr>
        <w:t>are demonstrated</w:t>
      </w:r>
      <w:proofErr w:type="gramEnd"/>
      <w:r w:rsidR="00156B26">
        <w:rPr>
          <w:rStyle w:val="CommentReference"/>
          <w:rFonts w:ascii="Calibri" w:hAnsi="Calibri"/>
          <w:sz w:val="24"/>
          <w:szCs w:val="22"/>
        </w:rPr>
        <w:t xml:space="preserve"> in MF patients regardless of CD30 min expression.</w:t>
      </w:r>
    </w:p>
    <w:p w:rsidR="00CE6212" w:rsidRDefault="00CE6212" w:rsidP="00CE6212">
      <w:pPr>
        <w:pStyle w:val="Caption"/>
        <w:keepNext/>
      </w:pPr>
      <w:r>
        <w:t xml:space="preserve">Table </w:t>
      </w:r>
      <w:r w:rsidR="00922DD5">
        <w:rPr>
          <w:noProof/>
        </w:rPr>
        <w:t>5</w:t>
      </w:r>
      <w:r w:rsidRPr="00DF2A50">
        <w:t xml:space="preserve">: ALCANZA trial - ORR and PFS by CD30 expression in MF patients who received </w:t>
      </w:r>
      <w:proofErr w:type="spellStart"/>
      <w:r w:rsidRPr="00DF2A50">
        <w:t>brentuximab</w:t>
      </w:r>
      <w:proofErr w:type="spellEnd"/>
      <w:r w:rsidRPr="00DF2A50">
        <w:t xml:space="preserve"> </w:t>
      </w:r>
      <w:proofErr w:type="spellStart"/>
      <w:r w:rsidRPr="00DF2A50">
        <w:t>vedotin</w:t>
      </w:r>
      <w:proofErr w:type="spellEnd"/>
    </w:p>
    <w:tbl>
      <w:tblPr>
        <w:tblStyle w:val="Summarybox1"/>
        <w:tblW w:w="5000" w:type="pct"/>
        <w:tblLook w:val="04A0" w:firstRow="1" w:lastRow="0" w:firstColumn="1" w:lastColumn="0" w:noHBand="0" w:noVBand="1"/>
        <w:tblCaption w:val="ALCANZA trial - ORR and PFS by CD30 expression in MF patients who received brentuximab vedotin"/>
      </w:tblPr>
      <w:tblGrid>
        <w:gridCol w:w="1904"/>
        <w:gridCol w:w="3192"/>
        <w:gridCol w:w="3920"/>
      </w:tblGrid>
      <w:tr w:rsidR="00156B26" w:rsidRPr="00156B26" w:rsidTr="00156B26">
        <w:trPr>
          <w:tblHeader/>
        </w:trPr>
        <w:tc>
          <w:tcPr>
            <w:tcW w:w="1056" w:type="pct"/>
            <w:tcBorders>
              <w:top w:val="single" w:sz="4" w:space="0" w:color="auto"/>
              <w:left w:val="single" w:sz="4" w:space="0" w:color="auto"/>
              <w:bottom w:val="single" w:sz="4" w:space="0" w:color="auto"/>
              <w:right w:val="single" w:sz="4" w:space="0" w:color="auto"/>
            </w:tcBorders>
            <w:shd w:val="clear" w:color="auto" w:fill="auto"/>
          </w:tcPr>
          <w:p w:rsidR="00156B26" w:rsidRPr="00156B26" w:rsidRDefault="00156B26" w:rsidP="00E778C7">
            <w:pPr>
              <w:jc w:val="center"/>
              <w:rPr>
                <w:rFonts w:ascii="Arial Narrow" w:eastAsia="Calibri" w:hAnsi="Arial Narrow"/>
                <w:b/>
                <w:sz w:val="20"/>
                <w:szCs w:val="20"/>
              </w:rPr>
            </w:pPr>
            <w:r w:rsidRPr="00156B26">
              <w:rPr>
                <w:rFonts w:ascii="Arial Narrow" w:eastAsia="Calibri" w:hAnsi="Arial Narrow"/>
                <w:b/>
                <w:sz w:val="20"/>
                <w:szCs w:val="20"/>
              </w:rPr>
              <w:t>BV arm (ALCANZA)</w:t>
            </w:r>
          </w:p>
        </w:tc>
        <w:tc>
          <w:tcPr>
            <w:tcW w:w="1770" w:type="pct"/>
            <w:tcBorders>
              <w:top w:val="single" w:sz="4" w:space="0" w:color="auto"/>
              <w:left w:val="single" w:sz="4" w:space="0" w:color="auto"/>
              <w:bottom w:val="single" w:sz="4" w:space="0" w:color="auto"/>
              <w:right w:val="single" w:sz="4" w:space="0" w:color="auto"/>
            </w:tcBorders>
            <w:shd w:val="clear" w:color="auto" w:fill="auto"/>
            <w:hideMark/>
          </w:tcPr>
          <w:p w:rsidR="00156B26" w:rsidRPr="00156B26" w:rsidRDefault="00156B26" w:rsidP="00E778C7">
            <w:pPr>
              <w:jc w:val="center"/>
              <w:rPr>
                <w:rFonts w:ascii="Arial Narrow" w:eastAsia="Calibri" w:hAnsi="Arial Narrow"/>
                <w:b/>
                <w:sz w:val="20"/>
                <w:szCs w:val="20"/>
              </w:rPr>
            </w:pPr>
            <w:r w:rsidRPr="00156B26">
              <w:rPr>
                <w:rFonts w:ascii="Arial Narrow" w:eastAsia="Calibri" w:hAnsi="Arial Narrow"/>
                <w:b/>
                <w:sz w:val="20"/>
                <w:szCs w:val="20"/>
              </w:rPr>
              <w:t>ORR4, n/</w:t>
            </w:r>
            <w:proofErr w:type="gramStart"/>
            <w:r w:rsidRPr="00156B26">
              <w:rPr>
                <w:rFonts w:ascii="Arial Narrow" w:eastAsia="Calibri" w:hAnsi="Arial Narrow"/>
                <w:b/>
                <w:sz w:val="20"/>
                <w:szCs w:val="20"/>
              </w:rPr>
              <w:t>N(</w:t>
            </w:r>
            <w:proofErr w:type="gramEnd"/>
            <w:r w:rsidRPr="00156B26">
              <w:rPr>
                <w:rFonts w:ascii="Arial Narrow" w:eastAsia="Calibri" w:hAnsi="Arial Narrow"/>
                <w:b/>
                <w:sz w:val="20"/>
                <w:szCs w:val="20"/>
              </w:rPr>
              <w:t>%)</w:t>
            </w:r>
          </w:p>
        </w:tc>
        <w:tc>
          <w:tcPr>
            <w:tcW w:w="2174" w:type="pct"/>
            <w:tcBorders>
              <w:top w:val="single" w:sz="4" w:space="0" w:color="auto"/>
              <w:left w:val="single" w:sz="4" w:space="0" w:color="auto"/>
              <w:bottom w:val="single" w:sz="4" w:space="0" w:color="auto"/>
              <w:right w:val="single" w:sz="4" w:space="0" w:color="auto"/>
            </w:tcBorders>
            <w:shd w:val="clear" w:color="auto" w:fill="auto"/>
          </w:tcPr>
          <w:p w:rsidR="00156B26" w:rsidRPr="00156B26" w:rsidRDefault="00156B26" w:rsidP="00E778C7">
            <w:pPr>
              <w:jc w:val="center"/>
              <w:rPr>
                <w:rFonts w:ascii="Arial Narrow" w:eastAsia="Calibri" w:hAnsi="Arial Narrow"/>
                <w:b/>
                <w:sz w:val="20"/>
                <w:szCs w:val="20"/>
              </w:rPr>
            </w:pPr>
            <w:r w:rsidRPr="00156B26">
              <w:rPr>
                <w:rFonts w:ascii="Arial Narrow" w:eastAsia="Calibri" w:hAnsi="Arial Narrow" w:cstheme="minorHAnsi"/>
                <w:b/>
                <w:sz w:val="20"/>
                <w:szCs w:val="20"/>
              </w:rPr>
              <w:t>Median PFS (months) [95% CI]</w:t>
            </w:r>
          </w:p>
        </w:tc>
      </w:tr>
      <w:tr w:rsidR="00156B26" w:rsidRPr="00156B26" w:rsidTr="00156B26">
        <w:tc>
          <w:tcPr>
            <w:tcW w:w="1056" w:type="pct"/>
            <w:tcBorders>
              <w:top w:val="single" w:sz="4" w:space="0" w:color="auto"/>
              <w:left w:val="single" w:sz="4" w:space="0" w:color="auto"/>
              <w:bottom w:val="single" w:sz="4" w:space="0" w:color="auto"/>
              <w:right w:val="single" w:sz="4" w:space="0" w:color="auto"/>
            </w:tcBorders>
            <w:vAlign w:val="center"/>
            <w:hideMark/>
          </w:tcPr>
          <w:p w:rsidR="00156B26" w:rsidRPr="00156B26" w:rsidRDefault="00156B26" w:rsidP="00E778C7">
            <w:pPr>
              <w:jc w:val="center"/>
              <w:rPr>
                <w:rFonts w:ascii="Arial Narrow" w:eastAsia="Calibri" w:hAnsi="Arial Narrow" w:cstheme="minorHAnsi"/>
                <w:sz w:val="20"/>
                <w:szCs w:val="20"/>
              </w:rPr>
            </w:pPr>
            <w:r w:rsidRPr="00156B26">
              <w:rPr>
                <w:rFonts w:ascii="Arial Narrow" w:eastAsia="Calibri" w:hAnsi="Arial Narrow" w:cstheme="minorHAnsi"/>
                <w:sz w:val="20"/>
                <w:szCs w:val="20"/>
              </w:rPr>
              <w:t>CD30</w:t>
            </w:r>
            <w:r>
              <w:rPr>
                <w:rFonts w:ascii="Arial Narrow" w:eastAsia="Calibri" w:hAnsi="Arial Narrow" w:cstheme="minorHAnsi"/>
                <w:sz w:val="20"/>
                <w:szCs w:val="20"/>
              </w:rPr>
              <w:t xml:space="preserve"> </w:t>
            </w:r>
            <w:r w:rsidRPr="00156B26">
              <w:rPr>
                <w:rFonts w:ascii="Arial Narrow" w:eastAsia="Calibri" w:hAnsi="Arial Narrow" w:cstheme="minorHAnsi"/>
                <w:sz w:val="20"/>
                <w:szCs w:val="20"/>
              </w:rPr>
              <w:t>min &lt;10%</w:t>
            </w:r>
          </w:p>
        </w:tc>
        <w:tc>
          <w:tcPr>
            <w:tcW w:w="1770" w:type="pct"/>
            <w:tcBorders>
              <w:top w:val="single" w:sz="4" w:space="0" w:color="auto"/>
              <w:left w:val="single" w:sz="4" w:space="0" w:color="auto"/>
              <w:bottom w:val="single" w:sz="4" w:space="0" w:color="auto"/>
              <w:right w:val="single" w:sz="4" w:space="0" w:color="auto"/>
            </w:tcBorders>
            <w:vAlign w:val="center"/>
            <w:hideMark/>
          </w:tcPr>
          <w:p w:rsidR="00156B26" w:rsidRPr="00156B26" w:rsidRDefault="00156B26" w:rsidP="00E778C7">
            <w:pPr>
              <w:contextualSpacing/>
              <w:jc w:val="center"/>
              <w:rPr>
                <w:rFonts w:ascii="Arial Narrow" w:hAnsi="Arial Narrow" w:cstheme="minorHAnsi"/>
                <w:sz w:val="20"/>
                <w:szCs w:val="20"/>
              </w:rPr>
            </w:pPr>
            <w:r w:rsidRPr="00156B26">
              <w:rPr>
                <w:rFonts w:ascii="Arial Narrow" w:hAnsi="Arial Narrow" w:cstheme="minorHAnsi"/>
                <w:sz w:val="20"/>
                <w:szCs w:val="20"/>
              </w:rPr>
              <w:t>9/22 (40.9)</w:t>
            </w:r>
          </w:p>
        </w:tc>
        <w:tc>
          <w:tcPr>
            <w:tcW w:w="2174" w:type="pct"/>
            <w:tcBorders>
              <w:top w:val="single" w:sz="4" w:space="0" w:color="auto"/>
              <w:left w:val="single" w:sz="4" w:space="0" w:color="auto"/>
              <w:bottom w:val="single" w:sz="4" w:space="0" w:color="auto"/>
              <w:right w:val="single" w:sz="4" w:space="0" w:color="auto"/>
            </w:tcBorders>
            <w:vAlign w:val="center"/>
          </w:tcPr>
          <w:p w:rsidR="00156B26" w:rsidRPr="00156B26" w:rsidRDefault="00156B26" w:rsidP="00E778C7">
            <w:pPr>
              <w:contextualSpacing/>
              <w:jc w:val="center"/>
              <w:rPr>
                <w:rFonts w:ascii="Arial Narrow" w:hAnsi="Arial Narrow" w:cstheme="minorHAnsi"/>
                <w:sz w:val="20"/>
                <w:szCs w:val="20"/>
              </w:rPr>
            </w:pPr>
            <w:r w:rsidRPr="00156B26">
              <w:rPr>
                <w:rFonts w:ascii="Arial Narrow" w:hAnsi="Arial Narrow" w:cstheme="minorHAnsi"/>
                <w:sz w:val="20"/>
                <w:szCs w:val="20"/>
              </w:rPr>
              <w:t>27.9 [8.6, 27.9]</w:t>
            </w:r>
          </w:p>
        </w:tc>
      </w:tr>
      <w:tr w:rsidR="00156B26" w:rsidRPr="00156B26" w:rsidTr="00156B26">
        <w:tc>
          <w:tcPr>
            <w:tcW w:w="1056" w:type="pct"/>
            <w:tcBorders>
              <w:top w:val="single" w:sz="4" w:space="0" w:color="auto"/>
              <w:left w:val="single" w:sz="4" w:space="0" w:color="auto"/>
              <w:bottom w:val="single" w:sz="4" w:space="0" w:color="auto"/>
              <w:right w:val="single" w:sz="4" w:space="0" w:color="auto"/>
            </w:tcBorders>
            <w:vAlign w:val="center"/>
            <w:hideMark/>
          </w:tcPr>
          <w:p w:rsidR="00156B26" w:rsidRPr="00156B26" w:rsidRDefault="00156B26" w:rsidP="00E778C7">
            <w:pPr>
              <w:jc w:val="center"/>
              <w:rPr>
                <w:rFonts w:ascii="Arial Narrow" w:eastAsia="Calibri" w:hAnsi="Arial Narrow" w:cstheme="minorHAnsi"/>
                <w:sz w:val="20"/>
                <w:szCs w:val="20"/>
              </w:rPr>
            </w:pPr>
            <w:r w:rsidRPr="00156B26">
              <w:rPr>
                <w:rFonts w:ascii="Arial Narrow" w:eastAsia="Calibri" w:hAnsi="Arial Narrow" w:cstheme="minorHAnsi"/>
                <w:sz w:val="20"/>
                <w:szCs w:val="20"/>
              </w:rPr>
              <w:t>CD30</w:t>
            </w:r>
            <w:r>
              <w:rPr>
                <w:rFonts w:ascii="Arial Narrow" w:eastAsia="Calibri" w:hAnsi="Arial Narrow" w:cstheme="minorHAnsi"/>
                <w:sz w:val="20"/>
                <w:szCs w:val="20"/>
              </w:rPr>
              <w:t xml:space="preserve"> </w:t>
            </w:r>
            <w:r w:rsidRPr="00156B26">
              <w:rPr>
                <w:rFonts w:ascii="Arial Narrow" w:eastAsia="Calibri" w:hAnsi="Arial Narrow" w:cstheme="minorHAnsi"/>
                <w:sz w:val="20"/>
                <w:szCs w:val="20"/>
              </w:rPr>
              <w:t>min ≥10%</w:t>
            </w:r>
          </w:p>
        </w:tc>
        <w:tc>
          <w:tcPr>
            <w:tcW w:w="1770" w:type="pct"/>
            <w:tcBorders>
              <w:top w:val="single" w:sz="4" w:space="0" w:color="auto"/>
              <w:left w:val="single" w:sz="4" w:space="0" w:color="auto"/>
              <w:bottom w:val="single" w:sz="4" w:space="0" w:color="auto"/>
              <w:right w:val="single" w:sz="4" w:space="0" w:color="auto"/>
            </w:tcBorders>
            <w:vAlign w:val="center"/>
            <w:hideMark/>
          </w:tcPr>
          <w:p w:rsidR="00156B26" w:rsidRPr="00156B26" w:rsidRDefault="00156B26" w:rsidP="00E778C7">
            <w:pPr>
              <w:jc w:val="center"/>
              <w:rPr>
                <w:rFonts w:ascii="Arial Narrow" w:eastAsia="Calibri" w:hAnsi="Arial Narrow" w:cstheme="minorHAnsi"/>
                <w:sz w:val="20"/>
                <w:szCs w:val="20"/>
              </w:rPr>
            </w:pPr>
            <w:r w:rsidRPr="00156B26">
              <w:rPr>
                <w:rFonts w:ascii="Arial Narrow" w:hAnsi="Arial Narrow" w:cstheme="minorHAnsi"/>
                <w:sz w:val="20"/>
                <w:szCs w:val="20"/>
              </w:rPr>
              <w:t>16/28 (57.1)</w:t>
            </w:r>
          </w:p>
        </w:tc>
        <w:tc>
          <w:tcPr>
            <w:tcW w:w="2174" w:type="pct"/>
            <w:tcBorders>
              <w:top w:val="single" w:sz="4" w:space="0" w:color="auto"/>
              <w:left w:val="single" w:sz="4" w:space="0" w:color="auto"/>
              <w:bottom w:val="single" w:sz="4" w:space="0" w:color="auto"/>
              <w:right w:val="single" w:sz="4" w:space="0" w:color="auto"/>
            </w:tcBorders>
            <w:vAlign w:val="center"/>
          </w:tcPr>
          <w:p w:rsidR="00156B26" w:rsidRPr="00156B26" w:rsidRDefault="00156B26" w:rsidP="00E778C7">
            <w:pPr>
              <w:jc w:val="center"/>
              <w:rPr>
                <w:rFonts w:ascii="Arial Narrow" w:hAnsi="Arial Narrow" w:cstheme="minorHAnsi"/>
                <w:sz w:val="20"/>
                <w:szCs w:val="20"/>
              </w:rPr>
            </w:pPr>
            <w:r w:rsidRPr="00156B26">
              <w:rPr>
                <w:rFonts w:ascii="Arial Narrow" w:hAnsi="Arial Narrow" w:cstheme="minorHAnsi"/>
                <w:sz w:val="20"/>
                <w:szCs w:val="20"/>
              </w:rPr>
              <w:t>17.2 [9.8, NE]</w:t>
            </w:r>
          </w:p>
        </w:tc>
      </w:tr>
    </w:tbl>
    <w:p w:rsidR="002F7088" w:rsidRPr="00CD3894" w:rsidRDefault="00156B26" w:rsidP="00CD3894">
      <w:pPr>
        <w:pStyle w:val="TableFooter"/>
        <w:keepNext/>
        <w:rPr>
          <w:rStyle w:val="CommentReference"/>
          <w:sz w:val="20"/>
          <w:szCs w:val="20"/>
        </w:rPr>
      </w:pPr>
      <w:r w:rsidRPr="00EE1992">
        <w:rPr>
          <w:sz w:val="20"/>
        </w:rPr>
        <w:t xml:space="preserve">Source: </w:t>
      </w:r>
      <w:r>
        <w:rPr>
          <w:sz w:val="20"/>
        </w:rPr>
        <w:t>Table 3</w:t>
      </w:r>
      <w:r w:rsidRPr="00EE1992">
        <w:rPr>
          <w:sz w:val="20"/>
        </w:rPr>
        <w:t xml:space="preserve"> </w:t>
      </w:r>
      <w:r>
        <w:rPr>
          <w:rFonts w:eastAsiaTheme="minorHAnsi" w:cstheme="minorBidi"/>
          <w:sz w:val="20"/>
        </w:rPr>
        <w:t>p8 minor resubmission</w:t>
      </w:r>
    </w:p>
    <w:p w:rsidR="00156B26" w:rsidRPr="00986253" w:rsidRDefault="00156B26" w:rsidP="00CD3894">
      <w:pPr>
        <w:pStyle w:val="ListParagraph"/>
        <w:widowControl/>
        <w:numPr>
          <w:ilvl w:val="1"/>
          <w:numId w:val="5"/>
        </w:numPr>
        <w:spacing w:before="120" w:after="160"/>
        <w:contextualSpacing w:val="0"/>
        <w:rPr>
          <w:rStyle w:val="CommentReference"/>
          <w:rFonts w:ascii="Calibri" w:hAnsi="Calibri"/>
          <w:i/>
          <w:sz w:val="24"/>
          <w:szCs w:val="22"/>
        </w:rPr>
      </w:pPr>
      <w:r>
        <w:rPr>
          <w:rStyle w:val="CommentReference"/>
          <w:rFonts w:ascii="Calibri" w:hAnsi="Calibri"/>
          <w:sz w:val="24"/>
          <w:szCs w:val="22"/>
        </w:rPr>
        <w:t xml:space="preserve">The minor resubmission proposed that </w:t>
      </w:r>
      <w:r w:rsidR="0063554E">
        <w:rPr>
          <w:rStyle w:val="CommentReference"/>
          <w:rFonts w:ascii="Calibri" w:hAnsi="Calibri"/>
          <w:sz w:val="24"/>
          <w:szCs w:val="22"/>
        </w:rPr>
        <w:t xml:space="preserve">the </w:t>
      </w:r>
      <w:r>
        <w:rPr>
          <w:rStyle w:val="CommentReference"/>
          <w:rFonts w:ascii="Calibri" w:hAnsi="Calibri"/>
          <w:sz w:val="24"/>
          <w:szCs w:val="22"/>
        </w:rPr>
        <w:t xml:space="preserve">evidence </w:t>
      </w:r>
      <w:r w:rsidR="0063554E">
        <w:rPr>
          <w:rStyle w:val="CommentReference"/>
          <w:rFonts w:ascii="Calibri" w:hAnsi="Calibri"/>
          <w:sz w:val="24"/>
          <w:szCs w:val="22"/>
        </w:rPr>
        <w:t xml:space="preserve">from </w:t>
      </w:r>
      <w:proofErr w:type="spellStart"/>
      <w:r w:rsidR="0063554E">
        <w:rPr>
          <w:rStyle w:val="CommentReference"/>
          <w:rFonts w:ascii="Calibri" w:hAnsi="Calibri"/>
          <w:sz w:val="24"/>
          <w:szCs w:val="22"/>
        </w:rPr>
        <w:t>Duvic</w:t>
      </w:r>
      <w:proofErr w:type="spellEnd"/>
      <w:r w:rsidR="0063554E">
        <w:rPr>
          <w:rStyle w:val="CommentReference"/>
          <w:rFonts w:ascii="Calibri" w:hAnsi="Calibri"/>
          <w:sz w:val="24"/>
          <w:szCs w:val="22"/>
        </w:rPr>
        <w:t xml:space="preserve"> (2015) and Kim (2015) presented in Table 6 support</w:t>
      </w:r>
      <w:r w:rsidR="009164EF">
        <w:rPr>
          <w:rStyle w:val="CommentReference"/>
          <w:rFonts w:ascii="Calibri" w:hAnsi="Calibri"/>
          <w:sz w:val="24"/>
          <w:szCs w:val="22"/>
        </w:rPr>
        <w:t>ed</w:t>
      </w:r>
      <w:r w:rsidR="0063554E">
        <w:rPr>
          <w:rStyle w:val="CommentReference"/>
          <w:rFonts w:ascii="Calibri" w:hAnsi="Calibri"/>
          <w:sz w:val="24"/>
          <w:szCs w:val="22"/>
        </w:rPr>
        <w:t xml:space="preserve"> these findings. </w:t>
      </w:r>
      <w:r w:rsidR="0063554E" w:rsidRPr="00103323">
        <w:rPr>
          <w:rStyle w:val="CommentReference"/>
          <w:rFonts w:ascii="Calibri" w:hAnsi="Calibri"/>
          <w:sz w:val="24"/>
          <w:szCs w:val="22"/>
        </w:rPr>
        <w:t xml:space="preserve">The Secretariat noted that </w:t>
      </w:r>
      <w:r w:rsidR="00986253" w:rsidRPr="00103323">
        <w:rPr>
          <w:rStyle w:val="CommentReference"/>
          <w:rFonts w:ascii="Calibri" w:hAnsi="Calibri"/>
          <w:sz w:val="24"/>
          <w:szCs w:val="22"/>
        </w:rPr>
        <w:t>in Kim (2015) the CD30 high group (&gt;10%) is divided into 10-50% and &gt; 50% expression with ORR, n/</w:t>
      </w:r>
      <w:proofErr w:type="gramStart"/>
      <w:r w:rsidR="00986253" w:rsidRPr="00103323">
        <w:rPr>
          <w:rStyle w:val="CommentReference"/>
          <w:rFonts w:ascii="Calibri" w:hAnsi="Calibri"/>
          <w:sz w:val="24"/>
          <w:szCs w:val="22"/>
        </w:rPr>
        <w:t>N(</w:t>
      </w:r>
      <w:proofErr w:type="gramEnd"/>
      <w:r w:rsidR="00986253" w:rsidRPr="00103323">
        <w:rPr>
          <w:rStyle w:val="CommentReference"/>
          <w:rFonts w:ascii="Calibri" w:hAnsi="Calibri"/>
          <w:sz w:val="24"/>
          <w:szCs w:val="22"/>
        </w:rPr>
        <w:t>%) reported as 11/14 (79%) and 3/3 (100%) respectively. The commentary on the July 2018 submission stated the results of Kim (2015) appeared to show higher ORR with higher levels of CD30 positivity.</w:t>
      </w:r>
    </w:p>
    <w:p w:rsidR="00CE6212" w:rsidRDefault="00CE6212" w:rsidP="00CE6212">
      <w:pPr>
        <w:pStyle w:val="Caption"/>
        <w:keepNext/>
      </w:pPr>
      <w:r>
        <w:t xml:space="preserve">Table </w:t>
      </w:r>
      <w:r w:rsidR="00922DD5">
        <w:rPr>
          <w:noProof/>
        </w:rPr>
        <w:t>6</w:t>
      </w:r>
      <w:r w:rsidRPr="001A0AAC">
        <w:t>: ORR by CD30 expression in MF/SS patients who received BV - supplementary evidence from Phase II trials</w:t>
      </w:r>
    </w:p>
    <w:tbl>
      <w:tblPr>
        <w:tblStyle w:val="Summarybox1"/>
        <w:tblW w:w="5000" w:type="pct"/>
        <w:tblLook w:val="04A0" w:firstRow="1" w:lastRow="0" w:firstColumn="1" w:lastColumn="0" w:noHBand="0" w:noVBand="1"/>
        <w:tblCaption w:val="ORR by CD30 expression in MF/SS patients who received BV - supplementary evidence from Phase II trials"/>
      </w:tblPr>
      <w:tblGrid>
        <w:gridCol w:w="1904"/>
        <w:gridCol w:w="3181"/>
        <w:gridCol w:w="3931"/>
      </w:tblGrid>
      <w:tr w:rsidR="0063554E" w:rsidRPr="0063554E" w:rsidTr="0063554E">
        <w:trPr>
          <w:tblHeader/>
        </w:trPr>
        <w:tc>
          <w:tcPr>
            <w:tcW w:w="1056" w:type="pct"/>
            <w:tcBorders>
              <w:top w:val="single" w:sz="4" w:space="0" w:color="auto"/>
              <w:left w:val="single" w:sz="4" w:space="0" w:color="auto"/>
              <w:bottom w:val="single" w:sz="4" w:space="0" w:color="auto"/>
              <w:right w:val="single" w:sz="4" w:space="0" w:color="auto"/>
            </w:tcBorders>
            <w:shd w:val="clear" w:color="auto" w:fill="auto"/>
          </w:tcPr>
          <w:p w:rsidR="0063554E" w:rsidRPr="0063554E" w:rsidRDefault="0063554E" w:rsidP="00E778C7">
            <w:pPr>
              <w:rPr>
                <w:rFonts w:ascii="Arial Narrow" w:eastAsia="Calibri" w:hAnsi="Arial Narrow"/>
                <w:b/>
                <w:sz w:val="20"/>
                <w:szCs w:val="20"/>
              </w:rPr>
            </w:pPr>
            <w:r w:rsidRPr="0063554E">
              <w:rPr>
                <w:rFonts w:ascii="Arial Narrow" w:eastAsia="Calibri" w:hAnsi="Arial Narrow"/>
                <w:b/>
                <w:sz w:val="20"/>
                <w:szCs w:val="20"/>
              </w:rPr>
              <w:t>MF/SS</w:t>
            </w:r>
          </w:p>
        </w:tc>
        <w:tc>
          <w:tcPr>
            <w:tcW w:w="1764" w:type="pct"/>
            <w:tcBorders>
              <w:top w:val="single" w:sz="4" w:space="0" w:color="auto"/>
              <w:left w:val="single" w:sz="4" w:space="0" w:color="auto"/>
              <w:bottom w:val="single" w:sz="4" w:space="0" w:color="auto"/>
              <w:right w:val="single" w:sz="4" w:space="0" w:color="auto"/>
            </w:tcBorders>
            <w:shd w:val="clear" w:color="auto" w:fill="auto"/>
            <w:hideMark/>
          </w:tcPr>
          <w:p w:rsidR="0063554E" w:rsidRPr="0063554E" w:rsidRDefault="0063554E" w:rsidP="00E778C7">
            <w:pPr>
              <w:jc w:val="center"/>
              <w:rPr>
                <w:rFonts w:ascii="Arial Narrow" w:eastAsia="Calibri" w:hAnsi="Arial Narrow"/>
                <w:b/>
                <w:sz w:val="20"/>
                <w:szCs w:val="20"/>
              </w:rPr>
            </w:pPr>
            <w:proofErr w:type="spellStart"/>
            <w:r w:rsidRPr="0063554E">
              <w:rPr>
                <w:rFonts w:ascii="Arial Narrow" w:eastAsia="Calibri" w:hAnsi="Arial Narrow"/>
                <w:b/>
                <w:sz w:val="20"/>
                <w:szCs w:val="20"/>
              </w:rPr>
              <w:t>Duvic</w:t>
            </w:r>
            <w:proofErr w:type="spellEnd"/>
            <w:r w:rsidRPr="0063554E">
              <w:rPr>
                <w:rFonts w:ascii="Arial Narrow" w:eastAsia="Calibri" w:hAnsi="Arial Narrow"/>
                <w:b/>
                <w:sz w:val="20"/>
                <w:szCs w:val="20"/>
              </w:rPr>
              <w:t xml:space="preserve"> et al (2015)</w:t>
            </w:r>
          </w:p>
        </w:tc>
        <w:tc>
          <w:tcPr>
            <w:tcW w:w="2180" w:type="pct"/>
            <w:tcBorders>
              <w:top w:val="single" w:sz="4" w:space="0" w:color="auto"/>
              <w:left w:val="single" w:sz="4" w:space="0" w:color="auto"/>
              <w:bottom w:val="single" w:sz="4" w:space="0" w:color="auto"/>
              <w:right w:val="single" w:sz="4" w:space="0" w:color="auto"/>
            </w:tcBorders>
            <w:shd w:val="clear" w:color="auto" w:fill="auto"/>
          </w:tcPr>
          <w:p w:rsidR="0063554E" w:rsidRPr="0063554E" w:rsidRDefault="0063554E" w:rsidP="00E778C7">
            <w:pPr>
              <w:jc w:val="center"/>
              <w:rPr>
                <w:rFonts w:ascii="Arial Narrow" w:eastAsia="Calibri" w:hAnsi="Arial Narrow"/>
                <w:b/>
                <w:sz w:val="20"/>
                <w:szCs w:val="20"/>
              </w:rPr>
            </w:pPr>
            <w:r w:rsidRPr="0063554E">
              <w:rPr>
                <w:rFonts w:ascii="Arial Narrow" w:eastAsia="Calibri" w:hAnsi="Arial Narrow" w:cstheme="minorHAnsi"/>
                <w:b/>
                <w:sz w:val="20"/>
                <w:szCs w:val="20"/>
              </w:rPr>
              <w:t>Kim et al (2015)</w:t>
            </w:r>
          </w:p>
        </w:tc>
      </w:tr>
      <w:tr w:rsidR="0063554E" w:rsidRPr="0063554E" w:rsidTr="0063554E">
        <w:trPr>
          <w:trHeight w:val="30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63554E" w:rsidRPr="0063554E" w:rsidRDefault="0063554E" w:rsidP="00E778C7">
            <w:pPr>
              <w:contextualSpacing/>
              <w:rPr>
                <w:rFonts w:ascii="Arial Narrow" w:eastAsia="Calibri" w:hAnsi="Arial Narrow" w:cstheme="minorHAnsi"/>
                <w:b/>
                <w:sz w:val="20"/>
                <w:szCs w:val="20"/>
              </w:rPr>
            </w:pPr>
            <w:r w:rsidRPr="0063554E">
              <w:rPr>
                <w:rFonts w:ascii="Arial Narrow" w:hAnsi="Arial Narrow" w:cstheme="minorHAnsi"/>
                <w:b/>
                <w:sz w:val="20"/>
                <w:szCs w:val="20"/>
              </w:rPr>
              <w:t>ORR, n/N (%)</w:t>
            </w:r>
          </w:p>
        </w:tc>
      </w:tr>
      <w:tr w:rsidR="0063554E" w:rsidRPr="0063554E" w:rsidTr="00E778C7">
        <w:tc>
          <w:tcPr>
            <w:tcW w:w="1056" w:type="pct"/>
            <w:tcBorders>
              <w:top w:val="single" w:sz="4" w:space="0" w:color="auto"/>
              <w:left w:val="single" w:sz="4" w:space="0" w:color="auto"/>
              <w:bottom w:val="single" w:sz="4" w:space="0" w:color="auto"/>
              <w:right w:val="single" w:sz="4" w:space="0" w:color="auto"/>
            </w:tcBorders>
            <w:vAlign w:val="center"/>
            <w:hideMark/>
          </w:tcPr>
          <w:p w:rsidR="0063554E" w:rsidRPr="0063554E" w:rsidRDefault="0063554E" w:rsidP="00E778C7">
            <w:pPr>
              <w:jc w:val="center"/>
              <w:rPr>
                <w:rFonts w:ascii="Arial Narrow" w:eastAsia="Calibri" w:hAnsi="Arial Narrow" w:cstheme="minorHAnsi"/>
                <w:sz w:val="20"/>
                <w:szCs w:val="20"/>
              </w:rPr>
            </w:pPr>
            <w:r w:rsidRPr="0063554E">
              <w:rPr>
                <w:rFonts w:ascii="Arial Narrow" w:eastAsia="Calibri" w:hAnsi="Arial Narrow" w:cstheme="minorHAnsi"/>
                <w:sz w:val="20"/>
                <w:szCs w:val="20"/>
              </w:rPr>
              <w:t>CD30 low (&lt;10%)</w:t>
            </w:r>
          </w:p>
        </w:tc>
        <w:tc>
          <w:tcPr>
            <w:tcW w:w="1764" w:type="pct"/>
            <w:tcBorders>
              <w:top w:val="single" w:sz="4" w:space="0" w:color="auto"/>
              <w:left w:val="single" w:sz="4" w:space="0" w:color="auto"/>
              <w:bottom w:val="single" w:sz="4" w:space="0" w:color="auto"/>
              <w:right w:val="single" w:sz="4" w:space="0" w:color="auto"/>
            </w:tcBorders>
            <w:vAlign w:val="center"/>
            <w:hideMark/>
          </w:tcPr>
          <w:p w:rsidR="0063554E" w:rsidRPr="0063554E" w:rsidRDefault="0063554E" w:rsidP="00E778C7">
            <w:pPr>
              <w:jc w:val="center"/>
              <w:rPr>
                <w:rFonts w:ascii="Arial Narrow" w:eastAsia="Calibri" w:hAnsi="Arial Narrow" w:cstheme="minorHAnsi"/>
                <w:sz w:val="20"/>
                <w:szCs w:val="20"/>
              </w:rPr>
            </w:pPr>
            <w:r w:rsidRPr="0063554E">
              <w:rPr>
                <w:rFonts w:ascii="Arial Narrow" w:eastAsia="Calibri" w:hAnsi="Arial Narrow" w:cstheme="minorHAnsi"/>
                <w:sz w:val="20"/>
                <w:szCs w:val="20"/>
              </w:rPr>
              <w:t>5/10 (50%)</w:t>
            </w:r>
          </w:p>
        </w:tc>
        <w:tc>
          <w:tcPr>
            <w:tcW w:w="2180" w:type="pct"/>
            <w:tcBorders>
              <w:top w:val="single" w:sz="4" w:space="0" w:color="auto"/>
              <w:left w:val="single" w:sz="4" w:space="0" w:color="auto"/>
              <w:bottom w:val="single" w:sz="4" w:space="0" w:color="auto"/>
              <w:right w:val="single" w:sz="4" w:space="0" w:color="auto"/>
            </w:tcBorders>
            <w:vAlign w:val="center"/>
          </w:tcPr>
          <w:p w:rsidR="0063554E" w:rsidRPr="0063554E" w:rsidRDefault="0063554E" w:rsidP="00E778C7">
            <w:pPr>
              <w:jc w:val="center"/>
              <w:rPr>
                <w:rFonts w:ascii="Arial Narrow" w:eastAsia="Calibri" w:hAnsi="Arial Narrow" w:cstheme="minorHAnsi"/>
                <w:sz w:val="20"/>
                <w:szCs w:val="20"/>
              </w:rPr>
            </w:pPr>
            <w:r w:rsidRPr="0063554E">
              <w:rPr>
                <w:rFonts w:ascii="Arial Narrow" w:eastAsia="Calibri" w:hAnsi="Arial Narrow" w:cstheme="minorHAnsi"/>
                <w:sz w:val="20"/>
                <w:szCs w:val="20"/>
              </w:rPr>
              <w:t>7/13 (54%)</w:t>
            </w:r>
          </w:p>
        </w:tc>
      </w:tr>
      <w:tr w:rsidR="0063554E" w:rsidRPr="0063554E" w:rsidTr="00E778C7">
        <w:trPr>
          <w:trHeight w:val="313"/>
        </w:trPr>
        <w:tc>
          <w:tcPr>
            <w:tcW w:w="1056" w:type="pct"/>
            <w:tcBorders>
              <w:top w:val="single" w:sz="4" w:space="0" w:color="auto"/>
              <w:left w:val="single" w:sz="4" w:space="0" w:color="auto"/>
              <w:bottom w:val="single" w:sz="4" w:space="0" w:color="auto"/>
              <w:right w:val="single" w:sz="4" w:space="0" w:color="auto"/>
            </w:tcBorders>
            <w:vAlign w:val="center"/>
            <w:hideMark/>
          </w:tcPr>
          <w:p w:rsidR="0063554E" w:rsidRPr="0063554E" w:rsidRDefault="0063554E" w:rsidP="00E778C7">
            <w:pPr>
              <w:jc w:val="center"/>
              <w:rPr>
                <w:rFonts w:ascii="Arial Narrow" w:eastAsia="Calibri" w:hAnsi="Arial Narrow" w:cstheme="minorHAnsi"/>
                <w:sz w:val="20"/>
                <w:szCs w:val="20"/>
              </w:rPr>
            </w:pPr>
            <w:r w:rsidRPr="0063554E">
              <w:rPr>
                <w:rFonts w:ascii="Arial Narrow" w:eastAsia="Calibri" w:hAnsi="Arial Narrow" w:cstheme="minorHAnsi"/>
                <w:sz w:val="20"/>
                <w:szCs w:val="20"/>
              </w:rPr>
              <w:t>CD30 high (&gt;10%)</w:t>
            </w:r>
          </w:p>
        </w:tc>
        <w:tc>
          <w:tcPr>
            <w:tcW w:w="1764" w:type="pct"/>
            <w:tcBorders>
              <w:top w:val="single" w:sz="4" w:space="0" w:color="auto"/>
              <w:left w:val="single" w:sz="4" w:space="0" w:color="auto"/>
              <w:bottom w:val="single" w:sz="4" w:space="0" w:color="auto"/>
              <w:right w:val="single" w:sz="4" w:space="0" w:color="auto"/>
            </w:tcBorders>
            <w:vAlign w:val="center"/>
            <w:hideMark/>
          </w:tcPr>
          <w:p w:rsidR="0063554E" w:rsidRPr="0063554E" w:rsidRDefault="0063554E" w:rsidP="00E778C7">
            <w:pPr>
              <w:jc w:val="center"/>
              <w:rPr>
                <w:rFonts w:ascii="Arial Narrow" w:eastAsia="Calibri" w:hAnsi="Arial Narrow" w:cstheme="minorHAnsi"/>
                <w:sz w:val="20"/>
                <w:szCs w:val="20"/>
              </w:rPr>
            </w:pPr>
            <w:r w:rsidRPr="0063554E">
              <w:rPr>
                <w:rFonts w:ascii="Arial Narrow" w:eastAsia="Calibri" w:hAnsi="Arial Narrow" w:cstheme="minorHAnsi"/>
                <w:sz w:val="20"/>
                <w:szCs w:val="20"/>
              </w:rPr>
              <w:t>10/18 (56%)</w:t>
            </w:r>
          </w:p>
        </w:tc>
        <w:tc>
          <w:tcPr>
            <w:tcW w:w="2180" w:type="pct"/>
            <w:tcBorders>
              <w:top w:val="single" w:sz="4" w:space="0" w:color="auto"/>
              <w:left w:val="single" w:sz="4" w:space="0" w:color="auto"/>
              <w:bottom w:val="single" w:sz="4" w:space="0" w:color="auto"/>
              <w:right w:val="single" w:sz="4" w:space="0" w:color="auto"/>
            </w:tcBorders>
            <w:vAlign w:val="center"/>
          </w:tcPr>
          <w:p w:rsidR="0063554E" w:rsidRPr="0063554E" w:rsidRDefault="0063554E" w:rsidP="00E778C7">
            <w:pPr>
              <w:jc w:val="center"/>
              <w:rPr>
                <w:rFonts w:ascii="Arial Narrow" w:eastAsia="Calibri" w:hAnsi="Arial Narrow" w:cstheme="minorHAnsi"/>
                <w:sz w:val="20"/>
                <w:szCs w:val="20"/>
              </w:rPr>
            </w:pPr>
            <w:r w:rsidRPr="0063554E">
              <w:rPr>
                <w:rFonts w:ascii="Arial Narrow" w:eastAsia="Calibri" w:hAnsi="Arial Narrow" w:cstheme="minorHAnsi"/>
                <w:sz w:val="20"/>
                <w:szCs w:val="20"/>
              </w:rPr>
              <w:t>14/18 (78%)</w:t>
            </w:r>
          </w:p>
        </w:tc>
      </w:tr>
    </w:tbl>
    <w:p w:rsidR="0063554E" w:rsidRPr="00447B95" w:rsidRDefault="0063554E" w:rsidP="00447B95">
      <w:pPr>
        <w:pStyle w:val="TableFooter"/>
        <w:keepNext/>
        <w:rPr>
          <w:rStyle w:val="CommentReference"/>
          <w:sz w:val="20"/>
          <w:szCs w:val="20"/>
        </w:rPr>
      </w:pPr>
      <w:r w:rsidRPr="00EE1992">
        <w:rPr>
          <w:sz w:val="20"/>
        </w:rPr>
        <w:t xml:space="preserve">Source: </w:t>
      </w:r>
      <w:r>
        <w:rPr>
          <w:sz w:val="20"/>
        </w:rPr>
        <w:t>Table 4</w:t>
      </w:r>
      <w:r w:rsidRPr="00EE1992">
        <w:rPr>
          <w:sz w:val="20"/>
        </w:rPr>
        <w:t xml:space="preserve"> </w:t>
      </w:r>
      <w:r>
        <w:rPr>
          <w:rFonts w:eastAsiaTheme="minorHAnsi" w:cstheme="minorBidi"/>
          <w:sz w:val="20"/>
        </w:rPr>
        <w:t>p9 minor resubmission</w:t>
      </w:r>
    </w:p>
    <w:p w:rsidR="005A3173" w:rsidRPr="00966D0D" w:rsidRDefault="005A3173" w:rsidP="001F74E6">
      <w:pPr>
        <w:pStyle w:val="Heading2"/>
      </w:pPr>
      <w:r w:rsidRPr="003C2FB5">
        <w:t>Economic analysis</w:t>
      </w:r>
    </w:p>
    <w:p w:rsidR="00DF7FCB" w:rsidRPr="00DF7FCB" w:rsidRDefault="00FC7502" w:rsidP="00DF7FCB">
      <w:pPr>
        <w:keepNext/>
        <w:widowControl w:val="0"/>
        <w:numPr>
          <w:ilvl w:val="1"/>
          <w:numId w:val="5"/>
        </w:numPr>
        <w:spacing w:after="120"/>
        <w:jc w:val="both"/>
        <w:rPr>
          <w:rFonts w:asciiTheme="minorHAnsi" w:eastAsiaTheme="minorHAnsi" w:hAnsiTheme="minorHAnsi" w:cstheme="minorBidi"/>
          <w:szCs w:val="22"/>
          <w:lang w:eastAsia="en-US"/>
        </w:rPr>
      </w:pPr>
      <w:r w:rsidRPr="00FC7502">
        <w:rPr>
          <w:rFonts w:asciiTheme="minorHAnsi" w:eastAsiaTheme="minorHAnsi" w:hAnsiTheme="minorHAnsi" w:cstheme="minorBidi"/>
          <w:szCs w:val="22"/>
          <w:lang w:eastAsia="en-US"/>
        </w:rPr>
        <w:t xml:space="preserve">The </w:t>
      </w:r>
      <w:r>
        <w:rPr>
          <w:rFonts w:asciiTheme="minorHAnsi" w:eastAsiaTheme="minorHAnsi" w:hAnsiTheme="minorHAnsi" w:cstheme="minorBidi"/>
          <w:szCs w:val="22"/>
          <w:lang w:eastAsia="en-US"/>
        </w:rPr>
        <w:t xml:space="preserve">July 2018 </w:t>
      </w:r>
      <w:r w:rsidRPr="00FC7502">
        <w:rPr>
          <w:rFonts w:asciiTheme="minorHAnsi" w:eastAsiaTheme="minorHAnsi" w:hAnsiTheme="minorHAnsi" w:cstheme="minorBidi"/>
          <w:szCs w:val="22"/>
          <w:lang w:eastAsia="en-US"/>
        </w:rPr>
        <w:t xml:space="preserve">submission presented several modelled economic evaluations of </w:t>
      </w:r>
      <w:proofErr w:type="spellStart"/>
      <w:r w:rsidRPr="00FC7502">
        <w:rPr>
          <w:rFonts w:asciiTheme="minorHAnsi" w:eastAsiaTheme="minorHAnsi" w:hAnsiTheme="minorHAnsi" w:cstheme="minorBidi"/>
          <w:szCs w:val="22"/>
          <w:lang w:eastAsia="en-US"/>
        </w:rPr>
        <w:t>brentuximab</w:t>
      </w:r>
      <w:proofErr w:type="spellEnd"/>
      <w:r w:rsidRPr="00FC7502">
        <w:rPr>
          <w:rFonts w:asciiTheme="minorHAnsi" w:eastAsiaTheme="minorHAnsi" w:hAnsiTheme="minorHAnsi" w:cstheme="minorBidi"/>
          <w:szCs w:val="22"/>
          <w:lang w:eastAsia="en-US"/>
        </w:rPr>
        <w:t xml:space="preserve"> </w:t>
      </w:r>
      <w:proofErr w:type="spellStart"/>
      <w:r w:rsidRPr="00FC7502">
        <w:rPr>
          <w:rFonts w:asciiTheme="minorHAnsi" w:eastAsiaTheme="minorHAnsi" w:hAnsiTheme="minorHAnsi" w:cstheme="minorBidi"/>
          <w:szCs w:val="22"/>
          <w:lang w:eastAsia="en-US"/>
        </w:rPr>
        <w:t>vedotin</w:t>
      </w:r>
      <w:proofErr w:type="spellEnd"/>
      <w:r w:rsidRPr="00FC7502">
        <w:rPr>
          <w:rFonts w:asciiTheme="minorHAnsi" w:eastAsiaTheme="minorHAnsi" w:hAnsiTheme="minorHAnsi" w:cstheme="minorBidi"/>
          <w:szCs w:val="22"/>
          <w:lang w:eastAsia="en-US"/>
        </w:rPr>
        <w:t xml:space="preserve"> based on the cost per responder (ORR), cost per ≥ 25% </w:t>
      </w:r>
      <w:proofErr w:type="spellStart"/>
      <w:r w:rsidRPr="00FC7502">
        <w:rPr>
          <w:rFonts w:asciiTheme="minorHAnsi" w:eastAsiaTheme="minorHAnsi" w:hAnsiTheme="minorHAnsi" w:cstheme="minorBidi"/>
          <w:szCs w:val="22"/>
          <w:lang w:eastAsia="en-US"/>
        </w:rPr>
        <w:t>mSWAT</w:t>
      </w:r>
      <w:proofErr w:type="spellEnd"/>
      <w:r w:rsidRPr="00FC7502">
        <w:rPr>
          <w:rFonts w:asciiTheme="minorHAnsi" w:eastAsiaTheme="minorHAnsi" w:hAnsiTheme="minorHAnsi" w:cstheme="minorBidi"/>
          <w:szCs w:val="22"/>
          <w:lang w:eastAsia="en-US"/>
        </w:rPr>
        <w:t xml:space="preserve"> responder, and a cost</w:t>
      </w:r>
      <w:r w:rsidR="00D47CAA">
        <w:rPr>
          <w:rFonts w:asciiTheme="minorHAnsi" w:eastAsiaTheme="minorHAnsi" w:hAnsiTheme="minorHAnsi" w:cstheme="minorBidi"/>
          <w:szCs w:val="22"/>
          <w:lang w:eastAsia="en-US"/>
        </w:rPr>
        <w:t xml:space="preserve"> utility analysis based on PFS.</w:t>
      </w:r>
    </w:p>
    <w:p w:rsidR="00FC7502" w:rsidRPr="00FC7502" w:rsidRDefault="00144B03" w:rsidP="00FC7502">
      <w:pPr>
        <w:keepNext/>
        <w:widowControl w:val="0"/>
        <w:numPr>
          <w:ilvl w:val="1"/>
          <w:numId w:val="5"/>
        </w:numPr>
        <w:spacing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In July </w:t>
      </w:r>
      <w:proofErr w:type="gramStart"/>
      <w:r>
        <w:rPr>
          <w:rFonts w:asciiTheme="minorHAnsi" w:eastAsiaTheme="minorHAnsi" w:hAnsiTheme="minorHAnsi" w:cstheme="minorBidi"/>
          <w:szCs w:val="22"/>
          <w:lang w:eastAsia="en-US"/>
        </w:rPr>
        <w:t>2018</w:t>
      </w:r>
      <w:proofErr w:type="gramEnd"/>
      <w:r>
        <w:rPr>
          <w:rFonts w:asciiTheme="minorHAnsi" w:eastAsiaTheme="minorHAnsi" w:hAnsiTheme="minorHAnsi" w:cstheme="minorBidi"/>
          <w:szCs w:val="22"/>
          <w:lang w:eastAsia="en-US"/>
        </w:rPr>
        <w:t xml:space="preserve"> t</w:t>
      </w:r>
      <w:r w:rsidR="00FC7502" w:rsidRPr="00FC7502">
        <w:rPr>
          <w:rFonts w:asciiTheme="minorHAnsi" w:eastAsiaTheme="minorHAnsi" w:hAnsiTheme="minorHAnsi" w:cstheme="minorBidi"/>
          <w:szCs w:val="22"/>
          <w:lang w:eastAsia="en-US"/>
        </w:rPr>
        <w:t xml:space="preserve">he PBAC noted that the economic evaluations were based on a clinical comparison with </w:t>
      </w:r>
      <w:proofErr w:type="spellStart"/>
      <w:r w:rsidR="00FC7502" w:rsidRPr="00FC7502">
        <w:rPr>
          <w:rFonts w:asciiTheme="minorHAnsi" w:eastAsiaTheme="minorHAnsi" w:hAnsiTheme="minorHAnsi" w:cstheme="minorBidi"/>
          <w:szCs w:val="22"/>
          <w:lang w:eastAsia="en-US"/>
        </w:rPr>
        <w:t>vorinostat</w:t>
      </w:r>
      <w:proofErr w:type="spellEnd"/>
      <w:r w:rsidR="00FC7502" w:rsidRPr="00FC7502">
        <w:rPr>
          <w:rFonts w:asciiTheme="minorHAnsi" w:eastAsiaTheme="minorHAnsi" w:hAnsiTheme="minorHAnsi" w:cstheme="minorBidi"/>
          <w:szCs w:val="22"/>
          <w:lang w:eastAsia="en-US"/>
        </w:rPr>
        <w:t xml:space="preserve"> that was unreliable due to differences between the trial </w:t>
      </w:r>
      <w:r w:rsidR="00FC7502" w:rsidRPr="00FC7502">
        <w:rPr>
          <w:rFonts w:asciiTheme="minorHAnsi" w:eastAsiaTheme="minorHAnsi" w:hAnsiTheme="minorHAnsi" w:cstheme="minorBidi"/>
          <w:szCs w:val="22"/>
          <w:lang w:eastAsia="en-US"/>
        </w:rPr>
        <w:lastRenderedPageBreak/>
        <w:t xml:space="preserve">populations. The comparison with methotrexate was considered more reliable as it was based on the results of a RCT; </w:t>
      </w:r>
      <w:proofErr w:type="gramStart"/>
      <w:r w:rsidR="00FC7502" w:rsidRPr="00FC7502">
        <w:rPr>
          <w:rFonts w:asciiTheme="minorHAnsi" w:eastAsiaTheme="minorHAnsi" w:hAnsiTheme="minorHAnsi" w:cstheme="minorBidi"/>
          <w:szCs w:val="22"/>
          <w:lang w:eastAsia="en-US"/>
        </w:rPr>
        <w:t>however</w:t>
      </w:r>
      <w:proofErr w:type="gramEnd"/>
      <w:r w:rsidR="00FC7502" w:rsidRPr="00FC7502">
        <w:rPr>
          <w:rFonts w:asciiTheme="minorHAnsi" w:eastAsiaTheme="minorHAnsi" w:hAnsiTheme="minorHAnsi" w:cstheme="minorBidi"/>
          <w:szCs w:val="22"/>
          <w:lang w:eastAsia="en-US"/>
        </w:rPr>
        <w:t xml:space="preserve"> the comparison with methotrexate was not applicable to patients with the SS or </w:t>
      </w:r>
      <w:proofErr w:type="spellStart"/>
      <w:r w:rsidR="00FC7502" w:rsidRPr="00FC7502">
        <w:rPr>
          <w:rFonts w:asciiTheme="minorHAnsi" w:eastAsiaTheme="minorHAnsi" w:hAnsiTheme="minorHAnsi" w:cstheme="minorBidi"/>
          <w:szCs w:val="22"/>
          <w:lang w:eastAsia="en-US"/>
        </w:rPr>
        <w:t>LyP</w:t>
      </w:r>
      <w:proofErr w:type="spellEnd"/>
      <w:r w:rsidR="00FC7502" w:rsidRPr="00FC7502">
        <w:rPr>
          <w:rFonts w:asciiTheme="minorHAnsi" w:eastAsiaTheme="minorHAnsi" w:hAnsiTheme="minorHAnsi" w:cstheme="minorBidi"/>
          <w:szCs w:val="22"/>
          <w:lang w:eastAsia="en-US"/>
        </w:rPr>
        <w:t xml:space="preserve"> subtypes. In addition the PBAC considered that the economic evaluations did not fully capture the benefits and harms of </w:t>
      </w:r>
      <w:proofErr w:type="spellStart"/>
      <w:r w:rsidR="00FC7502" w:rsidRPr="00FC7502">
        <w:rPr>
          <w:rFonts w:asciiTheme="minorHAnsi" w:eastAsiaTheme="minorHAnsi" w:hAnsiTheme="minorHAnsi" w:cstheme="minorBidi"/>
          <w:szCs w:val="22"/>
          <w:lang w:eastAsia="en-US"/>
        </w:rPr>
        <w:t>brentuximab</w:t>
      </w:r>
      <w:proofErr w:type="spellEnd"/>
      <w:r w:rsidR="00FC7502" w:rsidRPr="00FC7502">
        <w:rPr>
          <w:rFonts w:asciiTheme="minorHAnsi" w:eastAsiaTheme="minorHAnsi" w:hAnsiTheme="minorHAnsi" w:cstheme="minorBidi"/>
          <w:szCs w:val="22"/>
          <w:lang w:eastAsia="en-US"/>
        </w:rPr>
        <w:t xml:space="preserve"> </w:t>
      </w:r>
      <w:proofErr w:type="spellStart"/>
      <w:r w:rsidR="00FC7502" w:rsidRPr="00FC7502">
        <w:rPr>
          <w:rFonts w:asciiTheme="minorHAnsi" w:eastAsiaTheme="minorHAnsi" w:hAnsiTheme="minorHAnsi" w:cstheme="minorBidi"/>
          <w:szCs w:val="22"/>
          <w:lang w:eastAsia="en-US"/>
        </w:rPr>
        <w:t>vedotin</w:t>
      </w:r>
      <w:proofErr w:type="spellEnd"/>
      <w:r w:rsidR="00FC7502" w:rsidRPr="00FC7502">
        <w:rPr>
          <w:rFonts w:asciiTheme="minorHAnsi" w:eastAsiaTheme="minorHAnsi" w:hAnsiTheme="minorHAnsi" w:cstheme="minorBidi"/>
          <w:szCs w:val="22"/>
          <w:lang w:eastAsia="en-US"/>
        </w:rPr>
        <w:t xml:space="preserve"> and the comp</w:t>
      </w:r>
      <w:r w:rsidR="00D47CAA">
        <w:rPr>
          <w:rFonts w:asciiTheme="minorHAnsi" w:eastAsiaTheme="minorHAnsi" w:hAnsiTheme="minorHAnsi" w:cstheme="minorBidi"/>
          <w:szCs w:val="22"/>
          <w:lang w:eastAsia="en-US"/>
        </w:rPr>
        <w:t>arators, specifically:</w:t>
      </w:r>
    </w:p>
    <w:p w:rsidR="00FC7502" w:rsidRPr="00FC7502" w:rsidRDefault="00FC7502" w:rsidP="00FC7502">
      <w:pPr>
        <w:pStyle w:val="IntenseQuote"/>
        <w:numPr>
          <w:ilvl w:val="1"/>
          <w:numId w:val="23"/>
        </w:numPr>
        <w:ind w:left="993" w:hanging="284"/>
      </w:pPr>
      <w:r w:rsidRPr="00FC7502">
        <w:t>The cost per responder analyses did not capture the length of response whi</w:t>
      </w:r>
      <w:r w:rsidR="00D47CAA">
        <w:t>ch may be relevant to patients;</w:t>
      </w:r>
    </w:p>
    <w:p w:rsidR="00FC7502" w:rsidRPr="00FC7502" w:rsidRDefault="00FC7502" w:rsidP="00FC7502">
      <w:pPr>
        <w:pStyle w:val="IntenseQuote"/>
        <w:numPr>
          <w:ilvl w:val="1"/>
          <w:numId w:val="23"/>
        </w:numPr>
        <w:ind w:left="993" w:hanging="284"/>
      </w:pPr>
      <w:r w:rsidRPr="00FC7502">
        <w:t>The cost-utility analyses were based on PFS; in CTCL, patients can be progression-free and not have a skin response to treatm</w:t>
      </w:r>
      <w:r w:rsidR="00D47CAA">
        <w:t>ent; and</w:t>
      </w:r>
    </w:p>
    <w:p w:rsidR="00FC7502" w:rsidRPr="00FC7502" w:rsidRDefault="00FC7502" w:rsidP="00FC7502">
      <w:pPr>
        <w:pStyle w:val="IntenseQuote"/>
        <w:numPr>
          <w:ilvl w:val="1"/>
          <w:numId w:val="23"/>
        </w:numPr>
        <w:ind w:left="993" w:hanging="284"/>
      </w:pPr>
      <w:r w:rsidRPr="00FC7502">
        <w:t xml:space="preserve">There were no costs or </w:t>
      </w:r>
      <w:proofErr w:type="spellStart"/>
      <w:r w:rsidRPr="00FC7502">
        <w:t>disutilities</w:t>
      </w:r>
      <w:proofErr w:type="spellEnd"/>
      <w:r w:rsidRPr="00FC7502">
        <w:t xml:space="preserve"> associated with the AEs due to </w:t>
      </w:r>
      <w:proofErr w:type="spellStart"/>
      <w:r w:rsidRPr="00FC7502">
        <w:t>brentuximab</w:t>
      </w:r>
      <w:proofErr w:type="spellEnd"/>
      <w:r w:rsidRPr="00FC7502">
        <w:t xml:space="preserve"> </w:t>
      </w:r>
      <w:proofErr w:type="spellStart"/>
      <w:r w:rsidRPr="00FC7502">
        <w:t>vedotin</w:t>
      </w:r>
      <w:proofErr w:type="spellEnd"/>
      <w:r w:rsidRPr="00FC7502">
        <w:t xml:space="preserve"> and </w:t>
      </w:r>
      <w:proofErr w:type="spellStart"/>
      <w:r w:rsidRPr="00FC7502">
        <w:t>vorinostat</w:t>
      </w:r>
      <w:proofErr w:type="spellEnd"/>
      <w:r w:rsidRPr="00FC7502">
        <w:t xml:space="preserve"> treatment</w:t>
      </w:r>
      <w:r>
        <w:t xml:space="preserve"> (Paragraph 7.14, </w:t>
      </w:r>
      <w:proofErr w:type="spellStart"/>
      <w:r>
        <w:t>brentuximab</w:t>
      </w:r>
      <w:proofErr w:type="spellEnd"/>
      <w:r>
        <w:t xml:space="preserve"> </w:t>
      </w:r>
      <w:proofErr w:type="spellStart"/>
      <w:r>
        <w:t>vedotin</w:t>
      </w:r>
      <w:proofErr w:type="spellEnd"/>
      <w:r>
        <w:t xml:space="preserve"> PBAC </w:t>
      </w:r>
      <w:r w:rsidR="006D4D52">
        <w:t>PSD</w:t>
      </w:r>
      <w:r>
        <w:t>, July 2018)</w:t>
      </w:r>
      <w:r w:rsidRPr="00FC7502">
        <w:t>.</w:t>
      </w:r>
    </w:p>
    <w:p w:rsidR="00FC7502" w:rsidRPr="00CD3894" w:rsidRDefault="00FC7502" w:rsidP="00CD3894">
      <w:pPr>
        <w:pStyle w:val="ListParagraph"/>
        <w:widowControl/>
        <w:numPr>
          <w:ilvl w:val="1"/>
          <w:numId w:val="5"/>
        </w:numPr>
        <w:spacing w:after="160"/>
        <w:contextualSpacing w:val="0"/>
        <w:rPr>
          <w:rStyle w:val="CommentReference"/>
          <w:rFonts w:ascii="Calibri" w:hAnsi="Calibri"/>
          <w:sz w:val="24"/>
          <w:szCs w:val="24"/>
        </w:rPr>
      </w:pPr>
      <w:r w:rsidRPr="00CD3894">
        <w:rPr>
          <w:rFonts w:asciiTheme="minorHAnsi" w:eastAsiaTheme="minorHAnsi" w:hAnsiTheme="minorHAnsi" w:cstheme="minorBidi"/>
          <w:sz w:val="24"/>
          <w:szCs w:val="24"/>
        </w:rPr>
        <w:t xml:space="preserve">For the comparison of </w:t>
      </w:r>
      <w:proofErr w:type="spellStart"/>
      <w:r w:rsidRPr="00CD3894">
        <w:rPr>
          <w:rFonts w:asciiTheme="minorHAnsi" w:eastAsiaTheme="minorHAnsi" w:hAnsiTheme="minorHAnsi" w:cstheme="minorBidi"/>
          <w:sz w:val="24"/>
          <w:szCs w:val="24"/>
        </w:rPr>
        <w:t>brentuximab</w:t>
      </w:r>
      <w:proofErr w:type="spellEnd"/>
      <w:r w:rsidRPr="00CD3894">
        <w:rPr>
          <w:rFonts w:asciiTheme="minorHAnsi" w:eastAsiaTheme="minorHAnsi" w:hAnsiTheme="minorHAnsi" w:cstheme="minorBidi"/>
          <w:sz w:val="24"/>
          <w:szCs w:val="24"/>
        </w:rPr>
        <w:t xml:space="preserve"> </w:t>
      </w:r>
      <w:proofErr w:type="spellStart"/>
      <w:r w:rsidRPr="00CD3894">
        <w:rPr>
          <w:rFonts w:asciiTheme="minorHAnsi" w:eastAsiaTheme="minorHAnsi" w:hAnsiTheme="minorHAnsi" w:cstheme="minorBidi"/>
          <w:sz w:val="24"/>
          <w:szCs w:val="24"/>
        </w:rPr>
        <w:t>vedotin</w:t>
      </w:r>
      <w:proofErr w:type="spellEnd"/>
      <w:r w:rsidRPr="00CD3894">
        <w:rPr>
          <w:rFonts w:asciiTheme="minorHAnsi" w:eastAsiaTheme="minorHAnsi" w:hAnsiTheme="minorHAnsi" w:cstheme="minorBidi"/>
          <w:sz w:val="24"/>
          <w:szCs w:val="24"/>
        </w:rPr>
        <w:t xml:space="preserve"> with methotrexate, the </w:t>
      </w:r>
      <w:r w:rsidR="00922DD5">
        <w:rPr>
          <w:rFonts w:asciiTheme="minorHAnsi" w:eastAsiaTheme="minorHAnsi" w:hAnsiTheme="minorHAnsi" w:cstheme="minorBidi"/>
          <w:sz w:val="24"/>
          <w:szCs w:val="24"/>
        </w:rPr>
        <w:t xml:space="preserve">July 2018 </w:t>
      </w:r>
      <w:r w:rsidRPr="00CD3894">
        <w:rPr>
          <w:rFonts w:asciiTheme="minorHAnsi" w:eastAsiaTheme="minorHAnsi" w:hAnsiTheme="minorHAnsi" w:cstheme="minorBidi"/>
          <w:sz w:val="24"/>
          <w:szCs w:val="24"/>
        </w:rPr>
        <w:t xml:space="preserve">submission </w:t>
      </w:r>
      <w:r w:rsidRPr="00CD3894">
        <w:rPr>
          <w:rStyle w:val="CommentReference"/>
          <w:rFonts w:ascii="Calibri" w:hAnsi="Calibri"/>
          <w:sz w:val="24"/>
          <w:szCs w:val="24"/>
        </w:rPr>
        <w:t xml:space="preserve">presented an incremental cost per responder (ORR) of </w:t>
      </w:r>
      <w:r w:rsidR="00AB7FD2">
        <w:rPr>
          <w:rStyle w:val="CommentReference"/>
          <w:rFonts w:ascii="Calibri" w:hAnsi="Calibri"/>
          <w:sz w:val="24"/>
          <w:szCs w:val="24"/>
        </w:rPr>
        <w:t xml:space="preserve">$105,000 </w:t>
      </w:r>
      <w:r w:rsidR="00126CB6">
        <w:rPr>
          <w:rStyle w:val="CommentReference"/>
          <w:rFonts w:ascii="Calibri" w:hAnsi="Calibri"/>
          <w:sz w:val="24"/>
          <w:szCs w:val="24"/>
        </w:rPr>
        <w:t xml:space="preserve">– </w:t>
      </w:r>
      <w:r w:rsidR="00AB7FD2">
        <w:rPr>
          <w:rStyle w:val="CommentReference"/>
          <w:rFonts w:ascii="Calibri" w:hAnsi="Calibri"/>
          <w:sz w:val="24"/>
          <w:szCs w:val="24"/>
        </w:rPr>
        <w:t>$200,000</w:t>
      </w:r>
      <w:r w:rsidRPr="00CD3894">
        <w:rPr>
          <w:rStyle w:val="CommentReference"/>
          <w:rFonts w:ascii="Calibri" w:hAnsi="Calibri"/>
          <w:sz w:val="24"/>
          <w:szCs w:val="24"/>
        </w:rPr>
        <w:t xml:space="preserve"> and an ICER of </w:t>
      </w:r>
      <w:r w:rsidR="00AB7FD2">
        <w:rPr>
          <w:rStyle w:val="CommentReference"/>
          <w:rFonts w:ascii="Calibri" w:hAnsi="Calibri"/>
          <w:sz w:val="24"/>
          <w:szCs w:val="24"/>
        </w:rPr>
        <w:t>more than $200,000/QALY</w:t>
      </w:r>
      <w:r w:rsidRPr="00CD3894">
        <w:rPr>
          <w:rStyle w:val="CommentReference"/>
          <w:rFonts w:ascii="Calibri" w:hAnsi="Calibri"/>
          <w:sz w:val="24"/>
          <w:szCs w:val="24"/>
        </w:rPr>
        <w:t>. The PBAC considered that the ICER presented was unacceptably high based on previous PBAC decisions, even in the context of difficult to treat and relatively rare diseases. The PBAC noted that in the pre-PBAC response the sponsor offered a reduced price of $</w:t>
      </w:r>
      <w:r w:rsidR="00146494">
        <w:rPr>
          <w:rStyle w:val="CommentReference"/>
          <w:rFonts w:ascii="Calibri" w:hAnsi="Calibri"/>
          <w:noProof/>
          <w:color w:val="000000"/>
          <w:sz w:val="24"/>
          <w:szCs w:val="24"/>
          <w:highlight w:val="black"/>
        </w:rPr>
        <w:t>'''''''''''</w:t>
      </w:r>
      <w:r w:rsidRPr="00CD3894">
        <w:rPr>
          <w:rStyle w:val="CommentReference"/>
          <w:rFonts w:ascii="Calibri" w:hAnsi="Calibri"/>
          <w:sz w:val="24"/>
          <w:szCs w:val="24"/>
        </w:rPr>
        <w:t xml:space="preserve"> per vial. The PBAC considered that the revised ICER with the reduced price remained very high and uncertain (Paragraph 7.15, </w:t>
      </w:r>
      <w:proofErr w:type="spellStart"/>
      <w:r w:rsidRPr="00CD3894">
        <w:rPr>
          <w:rStyle w:val="CommentReference"/>
          <w:rFonts w:ascii="Calibri" w:hAnsi="Calibri"/>
          <w:sz w:val="24"/>
          <w:szCs w:val="24"/>
        </w:rPr>
        <w:t>brentuximab</w:t>
      </w:r>
      <w:proofErr w:type="spellEnd"/>
      <w:r w:rsidRPr="00CD3894">
        <w:rPr>
          <w:rStyle w:val="CommentReference"/>
          <w:rFonts w:ascii="Calibri" w:hAnsi="Calibri"/>
          <w:sz w:val="24"/>
          <w:szCs w:val="24"/>
        </w:rPr>
        <w:t xml:space="preserve"> </w:t>
      </w:r>
      <w:proofErr w:type="spellStart"/>
      <w:r w:rsidRPr="00CD3894">
        <w:rPr>
          <w:rStyle w:val="CommentReference"/>
          <w:rFonts w:ascii="Calibri" w:hAnsi="Calibri"/>
          <w:sz w:val="24"/>
          <w:szCs w:val="24"/>
        </w:rPr>
        <w:t>vedotin</w:t>
      </w:r>
      <w:proofErr w:type="spellEnd"/>
      <w:r w:rsidRPr="00CD3894">
        <w:rPr>
          <w:rStyle w:val="CommentReference"/>
          <w:rFonts w:ascii="Calibri" w:hAnsi="Calibri"/>
          <w:sz w:val="24"/>
          <w:szCs w:val="24"/>
        </w:rPr>
        <w:t xml:space="preserve"> PBAC </w:t>
      </w:r>
      <w:r w:rsidR="006D4D52">
        <w:rPr>
          <w:rStyle w:val="CommentReference"/>
          <w:rFonts w:ascii="Calibri" w:hAnsi="Calibri"/>
          <w:sz w:val="24"/>
          <w:szCs w:val="24"/>
        </w:rPr>
        <w:t>PSD</w:t>
      </w:r>
      <w:r w:rsidRPr="00CD3894">
        <w:rPr>
          <w:rStyle w:val="CommentReference"/>
          <w:rFonts w:ascii="Calibri" w:hAnsi="Calibri"/>
          <w:sz w:val="24"/>
          <w:szCs w:val="24"/>
        </w:rPr>
        <w:t>, July 2018).</w:t>
      </w:r>
    </w:p>
    <w:p w:rsidR="00DF7FCB" w:rsidRPr="00DF7FCB" w:rsidRDefault="00A51E9A" w:rsidP="00CD3894">
      <w:pPr>
        <w:pStyle w:val="ListParagraph"/>
        <w:widowControl/>
        <w:numPr>
          <w:ilvl w:val="1"/>
          <w:numId w:val="5"/>
        </w:numPr>
        <w:spacing w:after="160"/>
        <w:contextualSpacing w:val="0"/>
        <w:rPr>
          <w:rFonts w:asciiTheme="minorHAnsi" w:eastAsiaTheme="minorHAnsi" w:hAnsiTheme="minorHAnsi" w:cstheme="minorBidi"/>
          <w:szCs w:val="22"/>
        </w:rPr>
      </w:pPr>
      <w:r w:rsidRPr="00CD3894">
        <w:rPr>
          <w:rStyle w:val="CommentReference"/>
          <w:rFonts w:ascii="Calibri" w:hAnsi="Calibri"/>
          <w:sz w:val="24"/>
          <w:szCs w:val="24"/>
        </w:rPr>
        <w:t>The minor resubmission provided a cost-effectiveness analysis versus methotrexate based o</w:t>
      </w:r>
      <w:r w:rsidR="00CD3894">
        <w:rPr>
          <w:rStyle w:val="CommentReference"/>
          <w:rFonts w:ascii="Calibri" w:hAnsi="Calibri"/>
          <w:sz w:val="24"/>
          <w:szCs w:val="24"/>
        </w:rPr>
        <w:t>n cost per responder (ORR) using</w:t>
      </w:r>
      <w:r w:rsidRPr="00CD3894">
        <w:rPr>
          <w:rStyle w:val="CommentReference"/>
          <w:rFonts w:ascii="Calibri" w:hAnsi="Calibri"/>
          <w:sz w:val="24"/>
          <w:szCs w:val="24"/>
        </w:rPr>
        <w:t xml:space="preserve"> a revised </w:t>
      </w:r>
      <w:r w:rsidR="000326AB" w:rsidRPr="00CD3894">
        <w:rPr>
          <w:rStyle w:val="CommentReference"/>
          <w:rFonts w:ascii="Calibri" w:hAnsi="Calibri"/>
          <w:sz w:val="24"/>
          <w:szCs w:val="24"/>
        </w:rPr>
        <w:t>price</w:t>
      </w:r>
      <w:r w:rsidRPr="00CD3894">
        <w:rPr>
          <w:rStyle w:val="CommentReference"/>
          <w:rFonts w:ascii="Calibri" w:hAnsi="Calibri"/>
          <w:sz w:val="24"/>
          <w:szCs w:val="24"/>
        </w:rPr>
        <w:t xml:space="preserve"> of $</w:t>
      </w:r>
      <w:r w:rsidR="00146494">
        <w:rPr>
          <w:rStyle w:val="CommentReference"/>
          <w:rFonts w:ascii="Calibri" w:hAnsi="Calibri"/>
          <w:noProof/>
          <w:color w:val="000000"/>
          <w:sz w:val="24"/>
          <w:szCs w:val="24"/>
          <w:highlight w:val="black"/>
        </w:rPr>
        <w:t>'''''''''''</w:t>
      </w:r>
      <w:r w:rsidRPr="00CD3894">
        <w:rPr>
          <w:rStyle w:val="CommentReference"/>
          <w:rFonts w:ascii="Calibri" w:hAnsi="Calibri"/>
          <w:sz w:val="24"/>
          <w:szCs w:val="24"/>
        </w:rPr>
        <w:t xml:space="preserve"> per vial for </w:t>
      </w:r>
      <w:proofErr w:type="spellStart"/>
      <w:r w:rsidRPr="00CD3894">
        <w:rPr>
          <w:rStyle w:val="CommentReference"/>
          <w:rFonts w:ascii="Calibri" w:hAnsi="Calibri"/>
          <w:sz w:val="24"/>
          <w:szCs w:val="24"/>
        </w:rPr>
        <w:t>brentuximab</w:t>
      </w:r>
      <w:proofErr w:type="spellEnd"/>
      <w:r w:rsidRPr="00CD3894">
        <w:rPr>
          <w:rFonts w:asciiTheme="minorHAnsi" w:eastAsiaTheme="minorHAnsi" w:hAnsiTheme="minorHAnsi" w:cstheme="minorBidi"/>
          <w:sz w:val="24"/>
          <w:szCs w:val="24"/>
        </w:rPr>
        <w:t xml:space="preserve"> </w:t>
      </w:r>
      <w:proofErr w:type="spellStart"/>
      <w:r w:rsidRPr="00CD3894">
        <w:rPr>
          <w:rFonts w:asciiTheme="minorHAnsi" w:eastAsiaTheme="minorHAnsi" w:hAnsiTheme="minorHAnsi" w:cstheme="minorBidi"/>
          <w:sz w:val="24"/>
          <w:szCs w:val="24"/>
        </w:rPr>
        <w:t>vedotin</w:t>
      </w:r>
      <w:proofErr w:type="spellEnd"/>
      <w:r w:rsidRPr="00CD3894">
        <w:rPr>
          <w:rFonts w:asciiTheme="minorHAnsi" w:eastAsiaTheme="minorHAnsi" w:hAnsiTheme="minorHAnsi" w:cstheme="minorBidi"/>
          <w:sz w:val="24"/>
          <w:szCs w:val="24"/>
        </w:rPr>
        <w:t xml:space="preserve"> </w:t>
      </w:r>
      <w:r w:rsidR="00374577">
        <w:rPr>
          <w:rFonts w:asciiTheme="minorHAnsi" w:eastAsiaTheme="minorHAnsi" w:hAnsiTheme="minorHAnsi" w:cstheme="minorBidi"/>
          <w:sz w:val="24"/>
          <w:szCs w:val="24"/>
        </w:rPr>
        <w:t>for</w:t>
      </w:r>
      <w:r w:rsidRPr="00CD3894">
        <w:rPr>
          <w:rFonts w:asciiTheme="minorHAnsi" w:eastAsiaTheme="minorHAnsi" w:hAnsiTheme="minorHAnsi" w:cstheme="minorBidi"/>
          <w:sz w:val="24"/>
          <w:szCs w:val="24"/>
        </w:rPr>
        <w:t xml:space="preserve"> the indication of RR CTCL</w:t>
      </w:r>
      <w:r w:rsidR="00986253" w:rsidRPr="00CD3894">
        <w:rPr>
          <w:rFonts w:asciiTheme="minorHAnsi" w:eastAsiaTheme="minorHAnsi" w:hAnsiTheme="minorHAnsi" w:cstheme="minorBidi"/>
          <w:sz w:val="24"/>
          <w:szCs w:val="24"/>
        </w:rPr>
        <w:t xml:space="preserve"> (Table </w:t>
      </w:r>
      <w:r w:rsidR="00C34D31" w:rsidRPr="00CD3894">
        <w:rPr>
          <w:rFonts w:asciiTheme="minorHAnsi" w:eastAsiaTheme="minorHAnsi" w:hAnsiTheme="minorHAnsi" w:cstheme="minorBidi"/>
          <w:sz w:val="24"/>
          <w:szCs w:val="24"/>
        </w:rPr>
        <w:t>7</w:t>
      </w:r>
      <w:r w:rsidR="001A096D" w:rsidRPr="00CD3894">
        <w:rPr>
          <w:rFonts w:asciiTheme="minorHAnsi" w:eastAsiaTheme="minorHAnsi" w:hAnsiTheme="minorHAnsi" w:cstheme="minorBidi"/>
          <w:sz w:val="24"/>
          <w:szCs w:val="24"/>
        </w:rPr>
        <w:t>)</w:t>
      </w:r>
      <w:r w:rsidRPr="00CD3894">
        <w:rPr>
          <w:rFonts w:asciiTheme="minorHAnsi" w:eastAsiaTheme="minorHAnsi" w:hAnsiTheme="minorHAnsi" w:cstheme="minorBidi"/>
          <w:sz w:val="24"/>
          <w:szCs w:val="24"/>
        </w:rPr>
        <w:t xml:space="preserve">. </w:t>
      </w:r>
      <w:r w:rsidR="001A096D" w:rsidRPr="00CD3894">
        <w:rPr>
          <w:rFonts w:asciiTheme="minorHAnsi" w:eastAsiaTheme="minorHAnsi" w:hAnsiTheme="minorHAnsi" w:cstheme="minorBidi"/>
          <w:sz w:val="24"/>
          <w:szCs w:val="24"/>
        </w:rPr>
        <w:t xml:space="preserve">The revised ICER for cost per responder </w:t>
      </w:r>
      <w:r w:rsidR="00D42E14" w:rsidRPr="00CD3894">
        <w:rPr>
          <w:rFonts w:asciiTheme="minorHAnsi" w:eastAsiaTheme="minorHAnsi" w:hAnsiTheme="minorHAnsi" w:cstheme="minorBidi"/>
          <w:sz w:val="24"/>
          <w:szCs w:val="24"/>
        </w:rPr>
        <w:t>(ORR) wa</w:t>
      </w:r>
      <w:r w:rsidR="001A096D" w:rsidRPr="00CD3894">
        <w:rPr>
          <w:rFonts w:asciiTheme="minorHAnsi" w:eastAsiaTheme="minorHAnsi" w:hAnsiTheme="minorHAnsi" w:cstheme="minorBidi"/>
          <w:sz w:val="24"/>
          <w:szCs w:val="24"/>
        </w:rPr>
        <w:t xml:space="preserve">s </w:t>
      </w:r>
      <w:r w:rsidR="00AB7FD2">
        <w:rPr>
          <w:rFonts w:asciiTheme="minorHAnsi" w:eastAsiaTheme="minorHAnsi" w:hAnsiTheme="minorHAnsi" w:cstheme="minorBidi"/>
          <w:sz w:val="24"/>
          <w:szCs w:val="24"/>
        </w:rPr>
        <w:t>$45,000 - $75,000</w:t>
      </w:r>
      <w:r w:rsidR="00E04F0C">
        <w:rPr>
          <w:rFonts w:asciiTheme="minorHAnsi" w:eastAsiaTheme="minorHAnsi" w:hAnsiTheme="minorHAnsi" w:cstheme="minorBidi"/>
          <w:sz w:val="24"/>
          <w:szCs w:val="24"/>
        </w:rPr>
        <w:t xml:space="preserve"> and for cost per </w:t>
      </w:r>
      <w:r w:rsidR="00F22B60">
        <w:rPr>
          <w:rFonts w:asciiTheme="minorHAnsi" w:eastAsiaTheme="minorHAnsi" w:hAnsiTheme="minorHAnsi" w:cstheme="minorBidi"/>
          <w:sz w:val="24"/>
          <w:szCs w:val="24"/>
        </w:rPr>
        <w:t xml:space="preserve">additional year without progression </w:t>
      </w:r>
      <w:r w:rsidR="00D42E14" w:rsidRPr="00CD3894">
        <w:rPr>
          <w:rFonts w:asciiTheme="minorHAnsi" w:eastAsiaTheme="minorHAnsi" w:hAnsiTheme="minorHAnsi" w:cstheme="minorBidi"/>
          <w:sz w:val="24"/>
          <w:szCs w:val="24"/>
        </w:rPr>
        <w:t xml:space="preserve">was </w:t>
      </w:r>
      <w:r w:rsidR="00AB7FD2">
        <w:rPr>
          <w:rFonts w:asciiTheme="minorHAnsi" w:eastAsiaTheme="minorHAnsi" w:hAnsiTheme="minorHAnsi" w:cstheme="minorBidi"/>
          <w:sz w:val="24"/>
          <w:szCs w:val="24"/>
        </w:rPr>
        <w:t>$15,000 - $45,000</w:t>
      </w:r>
      <w:r w:rsidR="001A096D" w:rsidRPr="00CD3894">
        <w:rPr>
          <w:rFonts w:asciiTheme="minorHAnsi" w:eastAsiaTheme="minorHAnsi" w:hAnsiTheme="minorHAnsi" w:cstheme="minorBidi"/>
          <w:sz w:val="24"/>
          <w:szCs w:val="24"/>
        </w:rPr>
        <w:t xml:space="preserve">. </w:t>
      </w:r>
      <w:r w:rsidR="00922DD5">
        <w:rPr>
          <w:rFonts w:asciiTheme="minorHAnsi" w:eastAsiaTheme="minorHAnsi" w:hAnsiTheme="minorHAnsi" w:cstheme="minorBidi"/>
          <w:sz w:val="24"/>
          <w:szCs w:val="24"/>
        </w:rPr>
        <w:t xml:space="preserve">The PBAC considered that the </w:t>
      </w:r>
      <w:r w:rsidR="009F5692">
        <w:rPr>
          <w:rFonts w:asciiTheme="minorHAnsi" w:eastAsiaTheme="minorHAnsi" w:hAnsiTheme="minorHAnsi" w:cstheme="minorBidi"/>
          <w:sz w:val="24"/>
          <w:szCs w:val="24"/>
        </w:rPr>
        <w:t xml:space="preserve">revised </w:t>
      </w:r>
      <w:r w:rsidR="00922DD5">
        <w:rPr>
          <w:rFonts w:asciiTheme="minorHAnsi" w:eastAsiaTheme="minorHAnsi" w:hAnsiTheme="minorHAnsi" w:cstheme="minorBidi"/>
          <w:sz w:val="24"/>
          <w:szCs w:val="24"/>
        </w:rPr>
        <w:t>ICER for cost per responder (ORR) was acceptable based on previous PBAC decisions in the context of difficult to treat and relatively rare diseases.</w:t>
      </w:r>
    </w:p>
    <w:p w:rsidR="00CE6212" w:rsidRDefault="00CE6212" w:rsidP="00CE6212">
      <w:pPr>
        <w:pStyle w:val="Caption"/>
        <w:keepNext/>
      </w:pPr>
      <w:r>
        <w:t xml:space="preserve">Table </w:t>
      </w:r>
      <w:r w:rsidR="00922DD5">
        <w:rPr>
          <w:noProof/>
        </w:rPr>
        <w:t>7</w:t>
      </w:r>
      <w:r>
        <w:t>:</w:t>
      </w:r>
      <w:r w:rsidRPr="001712A9">
        <w:t xml:space="preserve"> Cost-effectiveness analysis of </w:t>
      </w:r>
      <w:proofErr w:type="spellStart"/>
      <w:r w:rsidRPr="001712A9">
        <w:t>brentuximab</w:t>
      </w:r>
      <w:proofErr w:type="spellEnd"/>
      <w:r w:rsidRPr="001712A9">
        <w:t xml:space="preserve"> </w:t>
      </w:r>
      <w:proofErr w:type="spellStart"/>
      <w:r w:rsidRPr="001712A9">
        <w:t>vedotin</w:t>
      </w:r>
      <w:proofErr w:type="spellEnd"/>
      <w:r w:rsidRPr="001712A9">
        <w:t xml:space="preserve"> versus methotrexate based on cost per responder (ORR) and cost per PFS LYG</w:t>
      </w:r>
    </w:p>
    <w:tbl>
      <w:tblPr>
        <w:tblStyle w:val="TableGrid"/>
        <w:tblW w:w="0" w:type="auto"/>
        <w:tblInd w:w="108" w:type="dxa"/>
        <w:tblLook w:val="04A0" w:firstRow="1" w:lastRow="0" w:firstColumn="1" w:lastColumn="0" w:noHBand="0" w:noVBand="1"/>
        <w:tblCaption w:val="Cost-effectiveness analysis of brentuximab vedotin versus methotrexate based on cost per responder (ORR) and cost per PFS LYG"/>
      </w:tblPr>
      <w:tblGrid>
        <w:gridCol w:w="2917"/>
        <w:gridCol w:w="1997"/>
        <w:gridCol w:w="1995"/>
        <w:gridCol w:w="1999"/>
      </w:tblGrid>
      <w:tr w:rsidR="00DF7FCB" w:rsidRPr="00737178" w:rsidTr="00DF7FCB">
        <w:tc>
          <w:tcPr>
            <w:tcW w:w="2977" w:type="dxa"/>
          </w:tcPr>
          <w:p w:rsidR="00DF7FCB" w:rsidRPr="007E3D43" w:rsidRDefault="00DF7FCB" w:rsidP="00CD3894">
            <w:pPr>
              <w:keepNext/>
              <w:keepLines/>
              <w:rPr>
                <w:rFonts w:ascii="Arial Narrow" w:hAnsi="Arial Narrow"/>
                <w:sz w:val="20"/>
                <w:szCs w:val="20"/>
              </w:rPr>
            </w:pPr>
          </w:p>
        </w:tc>
        <w:tc>
          <w:tcPr>
            <w:tcW w:w="2031" w:type="dxa"/>
          </w:tcPr>
          <w:p w:rsidR="00DF7FCB" w:rsidRPr="007B5FF8" w:rsidRDefault="00DF7FCB" w:rsidP="00CD3894">
            <w:pPr>
              <w:pStyle w:val="Default"/>
              <w:keepNext/>
              <w:keepLines/>
              <w:rPr>
                <w:rFonts w:ascii="Arial Narrow" w:hAnsi="Arial Narrow" w:cs="Arial"/>
                <w:sz w:val="20"/>
                <w:szCs w:val="20"/>
              </w:rPr>
            </w:pPr>
            <w:r w:rsidRPr="007B5FF8">
              <w:rPr>
                <w:rFonts w:ascii="Arial Narrow" w:hAnsi="Arial Narrow" w:cs="Arial"/>
                <w:bCs/>
                <w:sz w:val="20"/>
                <w:szCs w:val="20"/>
              </w:rPr>
              <w:t>BV effective price / vial</w:t>
            </w:r>
          </w:p>
        </w:tc>
        <w:tc>
          <w:tcPr>
            <w:tcW w:w="2032" w:type="dxa"/>
          </w:tcPr>
          <w:p w:rsidR="00DF7FCB" w:rsidRPr="007B5FF8" w:rsidRDefault="00DF7FCB" w:rsidP="00CD3894">
            <w:pPr>
              <w:keepNext/>
              <w:keepLines/>
              <w:rPr>
                <w:rFonts w:ascii="Arial Narrow" w:hAnsi="Arial Narrow"/>
                <w:sz w:val="20"/>
                <w:szCs w:val="20"/>
              </w:rPr>
            </w:pPr>
            <w:r w:rsidRPr="007B5FF8">
              <w:rPr>
                <w:rFonts w:ascii="Arial Narrow" w:hAnsi="Arial Narrow" w:cs="Arial"/>
                <w:bCs/>
                <w:sz w:val="20"/>
                <w:szCs w:val="20"/>
              </w:rPr>
              <w:t>Cost per responder (ORR-based CEA)</w:t>
            </w:r>
          </w:p>
        </w:tc>
        <w:tc>
          <w:tcPr>
            <w:tcW w:w="2032" w:type="dxa"/>
          </w:tcPr>
          <w:p w:rsidR="00DF7FCB" w:rsidRPr="007B5FF8" w:rsidRDefault="00E04F0C" w:rsidP="00F22B60">
            <w:pPr>
              <w:pStyle w:val="Default"/>
              <w:keepNext/>
              <w:keepLines/>
              <w:rPr>
                <w:rFonts w:ascii="Arial Narrow" w:hAnsi="Arial Narrow" w:cs="Arial"/>
                <w:sz w:val="20"/>
                <w:szCs w:val="20"/>
              </w:rPr>
            </w:pPr>
            <w:r>
              <w:rPr>
                <w:rFonts w:ascii="Arial Narrow" w:hAnsi="Arial Narrow" w:cs="Arial"/>
                <w:bCs/>
                <w:sz w:val="20"/>
                <w:szCs w:val="20"/>
              </w:rPr>
              <w:t xml:space="preserve">Cost per </w:t>
            </w:r>
            <w:r w:rsidR="00F22B60">
              <w:rPr>
                <w:rFonts w:ascii="Arial Narrow" w:hAnsi="Arial Narrow" w:cs="Arial"/>
                <w:bCs/>
                <w:sz w:val="20"/>
                <w:szCs w:val="20"/>
              </w:rPr>
              <w:t>additional year without progression</w:t>
            </w:r>
          </w:p>
        </w:tc>
      </w:tr>
      <w:tr w:rsidR="00DF7FCB" w:rsidRPr="00737178" w:rsidTr="00DF7FCB">
        <w:tc>
          <w:tcPr>
            <w:tcW w:w="2977" w:type="dxa"/>
          </w:tcPr>
          <w:p w:rsidR="00DF7FCB" w:rsidRPr="007B5FF8" w:rsidRDefault="00DF7FCB" w:rsidP="00CD3894">
            <w:pPr>
              <w:keepNext/>
              <w:keepLines/>
              <w:rPr>
                <w:rFonts w:ascii="Arial Narrow" w:hAnsi="Arial Narrow"/>
                <w:sz w:val="20"/>
                <w:szCs w:val="20"/>
              </w:rPr>
            </w:pPr>
            <w:r>
              <w:rPr>
                <w:rFonts w:ascii="Arial Narrow" w:hAnsi="Arial Narrow" w:cs="Arial"/>
                <w:sz w:val="20"/>
                <w:szCs w:val="20"/>
              </w:rPr>
              <w:t>July</w:t>
            </w:r>
            <w:r w:rsidRPr="007B5FF8">
              <w:rPr>
                <w:rFonts w:ascii="Arial Narrow" w:hAnsi="Arial Narrow" w:cs="Arial"/>
                <w:sz w:val="20"/>
                <w:szCs w:val="20"/>
              </w:rPr>
              <w:t xml:space="preserve"> 2018 Submission</w:t>
            </w:r>
          </w:p>
        </w:tc>
        <w:tc>
          <w:tcPr>
            <w:tcW w:w="2031" w:type="dxa"/>
          </w:tcPr>
          <w:p w:rsidR="00DF7FCB" w:rsidRPr="007E3D43" w:rsidRDefault="00DF7FCB" w:rsidP="00CD3894">
            <w:pPr>
              <w:keepNext/>
              <w:keepLines/>
              <w:rPr>
                <w:rFonts w:ascii="Arial Narrow" w:hAnsi="Arial Narrow"/>
                <w:sz w:val="20"/>
                <w:szCs w:val="20"/>
              </w:rPr>
            </w:pPr>
            <w:r w:rsidRPr="007E3D43">
              <w:rPr>
                <w:rFonts w:ascii="Arial Narrow" w:hAnsi="Arial Narrow" w:cs="Arial"/>
                <w:sz w:val="20"/>
                <w:szCs w:val="20"/>
              </w:rPr>
              <w:t>$</w:t>
            </w:r>
            <w:r w:rsidR="00146494">
              <w:rPr>
                <w:rFonts w:ascii="Arial Narrow" w:hAnsi="Arial Narrow" w:cs="Arial"/>
                <w:noProof/>
                <w:color w:val="000000"/>
                <w:sz w:val="20"/>
                <w:szCs w:val="20"/>
                <w:highlight w:val="black"/>
              </w:rPr>
              <w:t>'''''''''''''''''''''</w:t>
            </w:r>
          </w:p>
        </w:tc>
        <w:tc>
          <w:tcPr>
            <w:tcW w:w="2032" w:type="dxa"/>
          </w:tcPr>
          <w:p w:rsidR="00DF7FCB" w:rsidRPr="007E3D43" w:rsidRDefault="008766FC" w:rsidP="00CD3894">
            <w:pPr>
              <w:keepNext/>
              <w:keepLines/>
              <w:rPr>
                <w:rFonts w:ascii="Arial Narrow" w:hAnsi="Arial Narrow"/>
                <w:sz w:val="20"/>
                <w:szCs w:val="20"/>
              </w:rPr>
            </w:pPr>
            <w:r>
              <w:rPr>
                <w:rFonts w:ascii="Arial Narrow" w:hAnsi="Arial Narrow" w:cs="Arial"/>
                <w:sz w:val="20"/>
                <w:szCs w:val="20"/>
              </w:rPr>
              <w:t>$</w:t>
            </w:r>
            <w:r w:rsidR="00146494">
              <w:rPr>
                <w:rFonts w:ascii="Arial Narrow" w:hAnsi="Arial Narrow" w:cs="Arial"/>
                <w:noProof/>
                <w:color w:val="000000"/>
                <w:sz w:val="20"/>
                <w:szCs w:val="20"/>
                <w:highlight w:val="black"/>
              </w:rPr>
              <w:t>''''''''''''''''''''</w:t>
            </w:r>
          </w:p>
        </w:tc>
        <w:tc>
          <w:tcPr>
            <w:tcW w:w="2032" w:type="dxa"/>
          </w:tcPr>
          <w:p w:rsidR="00DF7FCB" w:rsidRPr="007E3D43" w:rsidRDefault="008766FC" w:rsidP="00CD3894">
            <w:pPr>
              <w:keepNext/>
              <w:keepLines/>
              <w:rPr>
                <w:rFonts w:ascii="Arial Narrow" w:hAnsi="Arial Narrow"/>
                <w:sz w:val="20"/>
                <w:szCs w:val="20"/>
              </w:rPr>
            </w:pPr>
            <w:r>
              <w:rPr>
                <w:rFonts w:ascii="Arial Narrow" w:hAnsi="Arial Narrow" w:cs="Arial"/>
                <w:sz w:val="20"/>
                <w:szCs w:val="20"/>
              </w:rPr>
              <w:t>$</w:t>
            </w:r>
            <w:r w:rsidR="00146494">
              <w:rPr>
                <w:rFonts w:ascii="Arial Narrow" w:hAnsi="Arial Narrow" w:cs="Arial"/>
                <w:noProof/>
                <w:color w:val="000000"/>
                <w:sz w:val="20"/>
                <w:szCs w:val="20"/>
                <w:highlight w:val="black"/>
              </w:rPr>
              <w:t>'''''''''''''''</w:t>
            </w:r>
          </w:p>
        </w:tc>
      </w:tr>
      <w:tr w:rsidR="00DF7FCB" w:rsidRPr="00737178" w:rsidTr="00DF7FCB">
        <w:tc>
          <w:tcPr>
            <w:tcW w:w="2977" w:type="dxa"/>
          </w:tcPr>
          <w:p w:rsidR="00DF7FCB" w:rsidRPr="007B5FF8" w:rsidRDefault="00DF7FCB" w:rsidP="00CD3894">
            <w:pPr>
              <w:keepNext/>
              <w:keepLines/>
              <w:rPr>
                <w:rFonts w:ascii="Arial Narrow" w:hAnsi="Arial Narrow"/>
                <w:sz w:val="20"/>
                <w:szCs w:val="20"/>
              </w:rPr>
            </w:pPr>
            <w:r>
              <w:rPr>
                <w:rFonts w:ascii="Arial Narrow" w:hAnsi="Arial Narrow" w:cs="Arial"/>
                <w:sz w:val="20"/>
                <w:szCs w:val="20"/>
              </w:rPr>
              <w:t xml:space="preserve">July 2018 </w:t>
            </w:r>
            <w:r w:rsidRPr="007B5FF8">
              <w:rPr>
                <w:rFonts w:ascii="Arial Narrow" w:hAnsi="Arial Narrow" w:cs="Arial"/>
                <w:sz w:val="20"/>
                <w:szCs w:val="20"/>
              </w:rPr>
              <w:t>Pre-PBAC response</w:t>
            </w:r>
          </w:p>
        </w:tc>
        <w:tc>
          <w:tcPr>
            <w:tcW w:w="2031" w:type="dxa"/>
          </w:tcPr>
          <w:p w:rsidR="00DF7FCB" w:rsidRPr="007E3D43" w:rsidRDefault="00DF7FCB" w:rsidP="00CD3894">
            <w:pPr>
              <w:keepNext/>
              <w:keepLines/>
              <w:rPr>
                <w:rFonts w:ascii="Arial Narrow" w:hAnsi="Arial Narrow"/>
                <w:sz w:val="20"/>
                <w:szCs w:val="20"/>
              </w:rPr>
            </w:pPr>
            <w:r w:rsidRPr="007E3D43">
              <w:rPr>
                <w:rFonts w:ascii="Arial Narrow" w:hAnsi="Arial Narrow" w:cs="Arial"/>
                <w:sz w:val="20"/>
                <w:szCs w:val="20"/>
              </w:rPr>
              <w:t>$</w:t>
            </w:r>
            <w:r w:rsidR="00146494">
              <w:rPr>
                <w:rFonts w:ascii="Arial Narrow" w:hAnsi="Arial Narrow" w:cs="Arial"/>
                <w:noProof/>
                <w:color w:val="000000"/>
                <w:sz w:val="20"/>
                <w:szCs w:val="20"/>
                <w:highlight w:val="black"/>
              </w:rPr>
              <w:t>''''''''''''''''''''''</w:t>
            </w:r>
          </w:p>
        </w:tc>
        <w:tc>
          <w:tcPr>
            <w:tcW w:w="2032" w:type="dxa"/>
          </w:tcPr>
          <w:p w:rsidR="00DF7FCB" w:rsidRPr="007E3D43" w:rsidRDefault="008766FC" w:rsidP="00CD3894">
            <w:pPr>
              <w:keepNext/>
              <w:keepLines/>
              <w:rPr>
                <w:rFonts w:ascii="Arial Narrow" w:hAnsi="Arial Narrow"/>
                <w:sz w:val="20"/>
                <w:szCs w:val="20"/>
              </w:rPr>
            </w:pPr>
            <w:r>
              <w:rPr>
                <w:rFonts w:ascii="Arial Narrow" w:hAnsi="Arial Narrow" w:cs="Arial"/>
                <w:sz w:val="20"/>
                <w:szCs w:val="20"/>
              </w:rPr>
              <w:t>$</w:t>
            </w:r>
            <w:r w:rsidR="00146494">
              <w:rPr>
                <w:rFonts w:ascii="Arial Narrow" w:hAnsi="Arial Narrow" w:cs="Arial"/>
                <w:noProof/>
                <w:color w:val="000000"/>
                <w:sz w:val="20"/>
                <w:szCs w:val="20"/>
                <w:highlight w:val="black"/>
              </w:rPr>
              <w:t>''''''''''''''''''</w:t>
            </w:r>
          </w:p>
        </w:tc>
        <w:tc>
          <w:tcPr>
            <w:tcW w:w="2032" w:type="dxa"/>
          </w:tcPr>
          <w:p w:rsidR="00DF7FCB" w:rsidRPr="007E3D43" w:rsidRDefault="008766FC" w:rsidP="00CD3894">
            <w:pPr>
              <w:keepNext/>
              <w:keepLines/>
              <w:rPr>
                <w:rFonts w:ascii="Arial Narrow" w:hAnsi="Arial Narrow"/>
                <w:sz w:val="20"/>
                <w:szCs w:val="20"/>
              </w:rPr>
            </w:pPr>
            <w:r>
              <w:rPr>
                <w:rFonts w:ascii="Arial Narrow" w:hAnsi="Arial Narrow" w:cs="Arial"/>
                <w:sz w:val="20"/>
                <w:szCs w:val="20"/>
              </w:rPr>
              <w:t>$</w:t>
            </w:r>
            <w:r w:rsidR="00146494">
              <w:rPr>
                <w:rFonts w:ascii="Arial Narrow" w:hAnsi="Arial Narrow" w:cs="Arial"/>
                <w:noProof/>
                <w:color w:val="000000"/>
                <w:sz w:val="20"/>
                <w:szCs w:val="20"/>
                <w:highlight w:val="black"/>
              </w:rPr>
              <w:t>'''''''''''''''''</w:t>
            </w:r>
          </w:p>
        </w:tc>
      </w:tr>
      <w:tr w:rsidR="00DF7FCB" w:rsidRPr="00737178" w:rsidTr="00DF7FCB">
        <w:tc>
          <w:tcPr>
            <w:tcW w:w="2977" w:type="dxa"/>
          </w:tcPr>
          <w:p w:rsidR="00DF7FCB" w:rsidRPr="007B5FF8" w:rsidRDefault="00DF7FCB" w:rsidP="00CD3894">
            <w:pPr>
              <w:keepNext/>
              <w:keepLines/>
              <w:rPr>
                <w:rFonts w:ascii="Arial Narrow" w:hAnsi="Arial Narrow"/>
                <w:sz w:val="20"/>
                <w:szCs w:val="20"/>
              </w:rPr>
            </w:pPr>
            <w:r>
              <w:rPr>
                <w:rFonts w:ascii="Arial Narrow" w:hAnsi="Arial Narrow" w:cs="Arial"/>
                <w:bCs/>
                <w:iCs/>
                <w:sz w:val="20"/>
                <w:szCs w:val="20"/>
              </w:rPr>
              <w:t xml:space="preserve">November 2018 minor resubmission </w:t>
            </w:r>
          </w:p>
        </w:tc>
        <w:tc>
          <w:tcPr>
            <w:tcW w:w="2031" w:type="dxa"/>
          </w:tcPr>
          <w:p w:rsidR="00DF7FCB" w:rsidRPr="007E3D43" w:rsidRDefault="00DF7FCB" w:rsidP="00AB7FD2">
            <w:pPr>
              <w:keepNext/>
              <w:keepLines/>
              <w:rPr>
                <w:rFonts w:ascii="Arial Narrow" w:hAnsi="Arial Narrow"/>
                <w:sz w:val="20"/>
                <w:szCs w:val="20"/>
              </w:rPr>
            </w:pPr>
            <w:r w:rsidRPr="007E3D43">
              <w:rPr>
                <w:rFonts w:ascii="Arial Narrow" w:hAnsi="Arial Narrow" w:cs="Arial"/>
                <w:bCs/>
                <w:iCs/>
                <w:sz w:val="20"/>
                <w:szCs w:val="20"/>
              </w:rPr>
              <w:t>$</w:t>
            </w:r>
            <w:r w:rsidR="00146494">
              <w:rPr>
                <w:rFonts w:ascii="Arial Narrow" w:hAnsi="Arial Narrow" w:cs="Arial"/>
                <w:bCs/>
                <w:iCs/>
                <w:noProof/>
                <w:color w:val="000000"/>
                <w:sz w:val="20"/>
                <w:szCs w:val="20"/>
                <w:highlight w:val="black"/>
              </w:rPr>
              <w:t>'''''''''''''''''''''''</w:t>
            </w:r>
          </w:p>
        </w:tc>
        <w:tc>
          <w:tcPr>
            <w:tcW w:w="2032" w:type="dxa"/>
          </w:tcPr>
          <w:p w:rsidR="00DF7FCB" w:rsidRPr="007E3D43" w:rsidRDefault="008766FC" w:rsidP="00CD3894">
            <w:pPr>
              <w:keepNext/>
              <w:keepLines/>
              <w:rPr>
                <w:rFonts w:ascii="Arial Narrow" w:hAnsi="Arial Narrow"/>
                <w:sz w:val="20"/>
                <w:szCs w:val="20"/>
              </w:rPr>
            </w:pPr>
            <w:r>
              <w:rPr>
                <w:rFonts w:ascii="Arial Narrow" w:hAnsi="Arial Narrow" w:cs="Arial"/>
                <w:bCs/>
                <w:iCs/>
                <w:sz w:val="20"/>
                <w:szCs w:val="20"/>
              </w:rPr>
              <w:t>$</w:t>
            </w:r>
            <w:r w:rsidR="00146494">
              <w:rPr>
                <w:rFonts w:ascii="Arial Narrow" w:hAnsi="Arial Narrow" w:cs="Arial"/>
                <w:bCs/>
                <w:iCs/>
                <w:noProof/>
                <w:color w:val="000000"/>
                <w:sz w:val="20"/>
                <w:szCs w:val="20"/>
                <w:highlight w:val="black"/>
              </w:rPr>
              <w:t>'''''''''''''''</w:t>
            </w:r>
          </w:p>
        </w:tc>
        <w:tc>
          <w:tcPr>
            <w:tcW w:w="2032" w:type="dxa"/>
          </w:tcPr>
          <w:p w:rsidR="00DF7FCB" w:rsidRPr="007E3D43" w:rsidRDefault="008766FC" w:rsidP="00CD3894">
            <w:pPr>
              <w:keepNext/>
              <w:keepLines/>
              <w:rPr>
                <w:rFonts w:ascii="Arial Narrow" w:hAnsi="Arial Narrow"/>
                <w:sz w:val="20"/>
                <w:szCs w:val="20"/>
              </w:rPr>
            </w:pPr>
            <w:r>
              <w:rPr>
                <w:rFonts w:ascii="Arial Narrow" w:hAnsi="Arial Narrow" w:cs="Arial"/>
                <w:bCs/>
                <w:iCs/>
                <w:sz w:val="20"/>
                <w:szCs w:val="20"/>
              </w:rPr>
              <w:t>$</w:t>
            </w:r>
            <w:r w:rsidR="00146494">
              <w:rPr>
                <w:rFonts w:ascii="Arial Narrow" w:hAnsi="Arial Narrow" w:cs="Arial"/>
                <w:bCs/>
                <w:iCs/>
                <w:noProof/>
                <w:color w:val="000000"/>
                <w:sz w:val="20"/>
                <w:szCs w:val="20"/>
                <w:highlight w:val="black"/>
              </w:rPr>
              <w:t>''''''''''''''''''</w:t>
            </w:r>
          </w:p>
        </w:tc>
      </w:tr>
    </w:tbl>
    <w:p w:rsidR="00AC2EAA" w:rsidRPr="00447B95" w:rsidRDefault="00DF7FCB" w:rsidP="00447B95">
      <w:pPr>
        <w:keepNext/>
        <w:keepLines/>
        <w:widowControl w:val="0"/>
        <w:spacing w:after="120"/>
        <w:jc w:val="both"/>
        <w:rPr>
          <w:rFonts w:ascii="Arial Narrow" w:eastAsiaTheme="minorHAnsi" w:hAnsi="Arial Narrow" w:cstheme="minorBidi"/>
          <w:sz w:val="20"/>
          <w:szCs w:val="20"/>
          <w:lang w:eastAsia="en-US"/>
        </w:rPr>
      </w:pPr>
      <w:r w:rsidRPr="00C34D31">
        <w:rPr>
          <w:rFonts w:ascii="Arial Narrow" w:eastAsiaTheme="minorHAnsi" w:hAnsi="Arial Narrow" w:cstheme="minorBidi"/>
          <w:sz w:val="20"/>
          <w:szCs w:val="20"/>
          <w:lang w:eastAsia="en-US"/>
        </w:rPr>
        <w:t xml:space="preserve">BV = </w:t>
      </w:r>
      <w:proofErr w:type="spellStart"/>
      <w:r w:rsidRPr="00C34D31">
        <w:rPr>
          <w:rFonts w:ascii="Arial Narrow" w:eastAsiaTheme="minorHAnsi" w:hAnsi="Arial Narrow" w:cstheme="minorBidi"/>
          <w:sz w:val="20"/>
          <w:szCs w:val="20"/>
          <w:lang w:eastAsia="en-US"/>
        </w:rPr>
        <w:t>brentuximab</w:t>
      </w:r>
      <w:proofErr w:type="spellEnd"/>
      <w:r w:rsidRPr="00C34D31">
        <w:rPr>
          <w:rFonts w:ascii="Arial Narrow" w:eastAsiaTheme="minorHAnsi" w:hAnsi="Arial Narrow" w:cstheme="minorBidi"/>
          <w:sz w:val="20"/>
          <w:szCs w:val="20"/>
          <w:lang w:eastAsia="en-US"/>
        </w:rPr>
        <w:t xml:space="preserve"> </w:t>
      </w:r>
      <w:proofErr w:type="spellStart"/>
      <w:r w:rsidRPr="00C34D31">
        <w:rPr>
          <w:rFonts w:ascii="Arial Narrow" w:eastAsiaTheme="minorHAnsi" w:hAnsi="Arial Narrow" w:cstheme="minorBidi"/>
          <w:sz w:val="20"/>
          <w:szCs w:val="20"/>
          <w:lang w:eastAsia="en-US"/>
        </w:rPr>
        <w:t>vedotin</w:t>
      </w:r>
      <w:proofErr w:type="spellEnd"/>
      <w:r w:rsidRPr="00C34D31">
        <w:rPr>
          <w:rFonts w:ascii="Arial Narrow" w:eastAsiaTheme="minorHAnsi" w:hAnsi="Arial Narrow" w:cstheme="minorBidi"/>
          <w:sz w:val="20"/>
          <w:szCs w:val="20"/>
          <w:lang w:eastAsia="en-US"/>
        </w:rPr>
        <w:t>; MTX = methotrexate; ICER = incremental cost effectiveness ratio; PFS = Progression Free Survival; LYG = Life Year Gained; ORR = Overall Response Rate; CEA = Cost Effectiveness Analysis</w:t>
      </w:r>
      <w:r w:rsidR="00C34D31">
        <w:rPr>
          <w:rFonts w:ascii="Arial Narrow" w:eastAsiaTheme="minorHAnsi" w:hAnsi="Arial Narrow" w:cstheme="minorBidi"/>
          <w:sz w:val="20"/>
          <w:szCs w:val="20"/>
          <w:lang w:eastAsia="en-US"/>
        </w:rPr>
        <w:br/>
      </w:r>
      <w:r w:rsidRPr="00C34D31">
        <w:rPr>
          <w:rFonts w:ascii="Arial Narrow" w:eastAsiaTheme="minorHAnsi" w:hAnsi="Arial Narrow" w:cstheme="minorBidi"/>
          <w:sz w:val="20"/>
          <w:szCs w:val="20"/>
          <w:lang w:eastAsia="en-US"/>
        </w:rPr>
        <w:t xml:space="preserve">Source: Table </w:t>
      </w:r>
      <w:r w:rsidR="001A096D" w:rsidRPr="00C34D31">
        <w:rPr>
          <w:rFonts w:ascii="Arial Narrow" w:eastAsiaTheme="minorHAnsi" w:hAnsi="Arial Narrow" w:cstheme="minorBidi"/>
          <w:sz w:val="20"/>
          <w:szCs w:val="20"/>
          <w:lang w:eastAsia="en-US"/>
        </w:rPr>
        <w:t>A</w:t>
      </w:r>
      <w:r w:rsidRPr="00C34D31">
        <w:rPr>
          <w:rFonts w:ascii="Arial Narrow" w:eastAsiaTheme="minorHAnsi" w:hAnsi="Arial Narrow" w:cstheme="minorBidi"/>
          <w:sz w:val="20"/>
          <w:szCs w:val="20"/>
          <w:lang w:eastAsia="en-US"/>
        </w:rPr>
        <w:t>1, p2</w:t>
      </w:r>
      <w:r w:rsidR="001A096D" w:rsidRPr="00C34D31">
        <w:rPr>
          <w:rFonts w:ascii="Arial Narrow" w:eastAsiaTheme="minorHAnsi" w:hAnsi="Arial Narrow" w:cstheme="minorBidi"/>
          <w:sz w:val="20"/>
          <w:szCs w:val="20"/>
          <w:lang w:eastAsia="en-US"/>
        </w:rPr>
        <w:t>3</w:t>
      </w:r>
      <w:r w:rsidRPr="00C34D31">
        <w:rPr>
          <w:rFonts w:ascii="Arial Narrow" w:eastAsiaTheme="minorHAnsi" w:hAnsi="Arial Narrow" w:cstheme="minorBidi"/>
          <w:sz w:val="20"/>
          <w:szCs w:val="20"/>
          <w:lang w:eastAsia="en-US"/>
        </w:rPr>
        <w:t xml:space="preserve"> of the </w:t>
      </w:r>
      <w:r w:rsidR="001A096D" w:rsidRPr="00C34D31">
        <w:rPr>
          <w:rFonts w:ascii="Arial Narrow" w:eastAsiaTheme="minorHAnsi" w:hAnsi="Arial Narrow" w:cstheme="minorBidi"/>
          <w:sz w:val="20"/>
          <w:szCs w:val="20"/>
          <w:lang w:eastAsia="en-US"/>
        </w:rPr>
        <w:t xml:space="preserve">minor </w:t>
      </w:r>
      <w:r w:rsidRPr="00C34D31">
        <w:rPr>
          <w:rFonts w:ascii="Arial Narrow" w:eastAsiaTheme="minorHAnsi" w:hAnsi="Arial Narrow" w:cstheme="minorBidi"/>
          <w:sz w:val="20"/>
          <w:szCs w:val="20"/>
          <w:lang w:eastAsia="en-US"/>
        </w:rPr>
        <w:t>resubmission</w:t>
      </w:r>
    </w:p>
    <w:p w:rsidR="005A3173" w:rsidRPr="001F74E6" w:rsidRDefault="005A3173" w:rsidP="001F74E6">
      <w:pPr>
        <w:pStyle w:val="Heading2"/>
      </w:pPr>
      <w:r w:rsidRPr="001F74E6">
        <w:t>Estimated PBS usage &amp; financial implications</w:t>
      </w:r>
    </w:p>
    <w:p w:rsidR="008E2D23" w:rsidRPr="008E2D23" w:rsidRDefault="00FF2801" w:rsidP="00D42E1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8E2D23">
        <w:rPr>
          <w:rFonts w:asciiTheme="minorHAnsi" w:eastAsiaTheme="minorHAnsi" w:hAnsiTheme="minorHAnsi" w:cstheme="minorBidi"/>
          <w:snapToGrid/>
          <w:sz w:val="24"/>
          <w:szCs w:val="22"/>
        </w:rPr>
        <w:t xml:space="preserve">The minor </w:t>
      </w:r>
      <w:r w:rsidR="008E2D23">
        <w:rPr>
          <w:rFonts w:asciiTheme="minorHAnsi" w:eastAsiaTheme="minorHAnsi" w:hAnsiTheme="minorHAnsi" w:cstheme="minorBidi"/>
          <w:snapToGrid/>
          <w:sz w:val="24"/>
          <w:szCs w:val="22"/>
        </w:rPr>
        <w:t>re</w:t>
      </w:r>
      <w:r w:rsidRPr="008E2D23">
        <w:rPr>
          <w:rFonts w:asciiTheme="minorHAnsi" w:eastAsiaTheme="minorHAnsi" w:hAnsiTheme="minorHAnsi" w:cstheme="minorBidi"/>
          <w:snapToGrid/>
          <w:sz w:val="24"/>
          <w:szCs w:val="22"/>
        </w:rPr>
        <w:t xml:space="preserve">submission </w:t>
      </w:r>
      <w:r w:rsidR="008E2D23">
        <w:rPr>
          <w:rFonts w:asciiTheme="minorHAnsi" w:eastAsiaTheme="minorHAnsi" w:hAnsiTheme="minorHAnsi" w:cstheme="minorBidi"/>
          <w:snapToGrid/>
          <w:sz w:val="24"/>
          <w:szCs w:val="22"/>
        </w:rPr>
        <w:t>updated the financial estimates to include the revised price of $</w:t>
      </w:r>
      <w:r w:rsidR="00146494">
        <w:rPr>
          <w:rFonts w:asciiTheme="minorHAnsi" w:eastAsiaTheme="minorHAnsi" w:hAnsiTheme="minorHAnsi" w:cstheme="minorBidi"/>
          <w:noProof/>
          <w:snapToGrid/>
          <w:color w:val="000000"/>
          <w:sz w:val="24"/>
          <w:szCs w:val="22"/>
          <w:highlight w:val="black"/>
        </w:rPr>
        <w:t>''''''''''</w:t>
      </w:r>
      <w:r w:rsidR="008E2D23">
        <w:rPr>
          <w:rFonts w:asciiTheme="minorHAnsi" w:eastAsiaTheme="minorHAnsi" w:hAnsiTheme="minorHAnsi" w:cstheme="minorBidi"/>
          <w:snapToGrid/>
          <w:sz w:val="24"/>
          <w:szCs w:val="22"/>
        </w:rPr>
        <w:t xml:space="preserve"> per vial for </w:t>
      </w:r>
      <w:proofErr w:type="spellStart"/>
      <w:r w:rsidR="008E2D23" w:rsidRPr="008E2D23">
        <w:rPr>
          <w:rFonts w:asciiTheme="minorHAnsi" w:eastAsiaTheme="minorHAnsi" w:hAnsiTheme="minorHAnsi" w:cstheme="minorBidi"/>
          <w:snapToGrid/>
          <w:sz w:val="24"/>
          <w:szCs w:val="22"/>
        </w:rPr>
        <w:t>brentuximab</w:t>
      </w:r>
      <w:proofErr w:type="spellEnd"/>
      <w:r w:rsidR="008E2D23" w:rsidRPr="008E2D23">
        <w:rPr>
          <w:rFonts w:asciiTheme="minorHAnsi" w:eastAsiaTheme="minorHAnsi" w:hAnsiTheme="minorHAnsi" w:cstheme="minorBidi"/>
          <w:snapToGrid/>
          <w:sz w:val="24"/>
          <w:szCs w:val="22"/>
        </w:rPr>
        <w:t xml:space="preserve"> </w:t>
      </w:r>
      <w:proofErr w:type="spellStart"/>
      <w:r w:rsidR="008E2D23" w:rsidRPr="008E2D23">
        <w:rPr>
          <w:rFonts w:asciiTheme="minorHAnsi" w:eastAsiaTheme="minorHAnsi" w:hAnsiTheme="minorHAnsi" w:cstheme="minorBidi"/>
          <w:snapToGrid/>
          <w:sz w:val="24"/>
          <w:szCs w:val="22"/>
        </w:rPr>
        <w:t>vedotin</w:t>
      </w:r>
      <w:proofErr w:type="spellEnd"/>
      <w:r w:rsidR="008E2D23" w:rsidRPr="008E2D23">
        <w:rPr>
          <w:rFonts w:asciiTheme="minorHAnsi" w:eastAsiaTheme="minorHAnsi" w:hAnsiTheme="minorHAnsi" w:cstheme="minorBidi"/>
          <w:snapToGrid/>
          <w:sz w:val="24"/>
          <w:szCs w:val="22"/>
        </w:rPr>
        <w:t xml:space="preserve"> in the indication of RR CTCL. </w:t>
      </w:r>
      <w:r w:rsidR="002E6B18">
        <w:rPr>
          <w:rFonts w:asciiTheme="minorHAnsi" w:eastAsiaTheme="minorHAnsi" w:hAnsiTheme="minorHAnsi" w:cstheme="minorBidi"/>
          <w:snapToGrid/>
          <w:sz w:val="24"/>
          <w:szCs w:val="22"/>
        </w:rPr>
        <w:t xml:space="preserve">The </w:t>
      </w:r>
      <w:r w:rsidR="00FC0D88">
        <w:rPr>
          <w:rFonts w:asciiTheme="minorHAnsi" w:eastAsiaTheme="minorHAnsi" w:hAnsiTheme="minorHAnsi" w:cstheme="minorBidi"/>
          <w:snapToGrid/>
          <w:sz w:val="24"/>
          <w:szCs w:val="22"/>
        </w:rPr>
        <w:t xml:space="preserve">PBAC </w:t>
      </w:r>
      <w:r w:rsidR="00FC0D88">
        <w:rPr>
          <w:rFonts w:asciiTheme="minorHAnsi" w:eastAsiaTheme="minorHAnsi" w:hAnsiTheme="minorHAnsi" w:cstheme="minorBidi"/>
          <w:snapToGrid/>
          <w:sz w:val="24"/>
          <w:szCs w:val="22"/>
        </w:rPr>
        <w:lastRenderedPageBreak/>
        <w:t xml:space="preserve">noted that the </w:t>
      </w:r>
      <w:r w:rsidR="002E6B18">
        <w:rPr>
          <w:rFonts w:asciiTheme="minorHAnsi" w:eastAsiaTheme="minorHAnsi" w:hAnsiTheme="minorHAnsi" w:cstheme="minorBidi"/>
          <w:snapToGrid/>
          <w:sz w:val="24"/>
          <w:szCs w:val="22"/>
        </w:rPr>
        <w:t xml:space="preserve">estimated number of patients with RR CTCL </w:t>
      </w:r>
      <w:proofErr w:type="gramStart"/>
      <w:r w:rsidR="002E6B18">
        <w:rPr>
          <w:rFonts w:asciiTheme="minorHAnsi" w:eastAsiaTheme="minorHAnsi" w:hAnsiTheme="minorHAnsi" w:cstheme="minorBidi"/>
          <w:snapToGrid/>
          <w:sz w:val="24"/>
          <w:szCs w:val="22"/>
        </w:rPr>
        <w:t>being treated</w:t>
      </w:r>
      <w:proofErr w:type="gramEnd"/>
      <w:r w:rsidR="002E6B18">
        <w:rPr>
          <w:rFonts w:asciiTheme="minorHAnsi" w:eastAsiaTheme="minorHAnsi" w:hAnsiTheme="minorHAnsi" w:cstheme="minorBidi"/>
          <w:snapToGrid/>
          <w:sz w:val="24"/>
          <w:szCs w:val="22"/>
        </w:rPr>
        <w:t xml:space="preserve"> with </w:t>
      </w:r>
      <w:proofErr w:type="spellStart"/>
      <w:r w:rsidR="002E6B18">
        <w:rPr>
          <w:rFonts w:asciiTheme="minorHAnsi" w:eastAsiaTheme="minorHAnsi" w:hAnsiTheme="minorHAnsi" w:cstheme="minorBidi"/>
          <w:snapToGrid/>
          <w:sz w:val="24"/>
          <w:szCs w:val="22"/>
        </w:rPr>
        <w:t>brentuximab</w:t>
      </w:r>
      <w:proofErr w:type="spellEnd"/>
      <w:r w:rsidR="002E6B18">
        <w:rPr>
          <w:rFonts w:asciiTheme="minorHAnsi" w:eastAsiaTheme="minorHAnsi" w:hAnsiTheme="minorHAnsi" w:cstheme="minorBidi"/>
          <w:snapToGrid/>
          <w:sz w:val="24"/>
          <w:szCs w:val="22"/>
        </w:rPr>
        <w:t xml:space="preserve"> </w:t>
      </w:r>
      <w:proofErr w:type="spellStart"/>
      <w:r w:rsidR="002E6B18">
        <w:rPr>
          <w:rFonts w:asciiTheme="minorHAnsi" w:eastAsiaTheme="minorHAnsi" w:hAnsiTheme="minorHAnsi" w:cstheme="minorBidi"/>
          <w:snapToGrid/>
          <w:sz w:val="24"/>
          <w:szCs w:val="22"/>
        </w:rPr>
        <w:t>vedotin</w:t>
      </w:r>
      <w:proofErr w:type="spellEnd"/>
      <w:r w:rsidR="002E6B18">
        <w:rPr>
          <w:rFonts w:asciiTheme="minorHAnsi" w:eastAsiaTheme="minorHAnsi" w:hAnsiTheme="minorHAnsi" w:cstheme="minorBidi"/>
          <w:snapToGrid/>
          <w:sz w:val="24"/>
          <w:szCs w:val="22"/>
        </w:rPr>
        <w:t xml:space="preserve"> remained unchanged from the July 2018 submission.</w:t>
      </w:r>
    </w:p>
    <w:p w:rsidR="00447B95" w:rsidRPr="00D47CAA" w:rsidRDefault="002E6B18" w:rsidP="00447B9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2E6B18">
        <w:rPr>
          <w:rFonts w:asciiTheme="minorHAnsi" w:eastAsiaTheme="minorHAnsi" w:hAnsiTheme="minorHAnsi" w:cstheme="minorBidi"/>
          <w:snapToGrid/>
          <w:sz w:val="24"/>
          <w:szCs w:val="22"/>
        </w:rPr>
        <w:t xml:space="preserve">The </w:t>
      </w:r>
      <w:r>
        <w:rPr>
          <w:rFonts w:asciiTheme="minorHAnsi" w:eastAsiaTheme="minorHAnsi" w:hAnsiTheme="minorHAnsi" w:cstheme="minorBidi"/>
          <w:snapToGrid/>
          <w:sz w:val="24"/>
          <w:szCs w:val="22"/>
        </w:rPr>
        <w:t xml:space="preserve">minor resubmission </w:t>
      </w:r>
      <w:r w:rsidR="00FF2801" w:rsidRPr="008E2D23">
        <w:rPr>
          <w:rFonts w:asciiTheme="minorHAnsi" w:eastAsiaTheme="minorHAnsi" w:hAnsiTheme="minorHAnsi" w:cstheme="minorBidi"/>
          <w:snapToGrid/>
          <w:sz w:val="24"/>
          <w:szCs w:val="22"/>
        </w:rPr>
        <w:t>estimated</w:t>
      </w:r>
      <w:r>
        <w:rPr>
          <w:rFonts w:asciiTheme="minorHAnsi" w:eastAsiaTheme="minorHAnsi" w:hAnsiTheme="minorHAnsi" w:cstheme="minorBidi"/>
          <w:snapToGrid/>
          <w:sz w:val="24"/>
          <w:szCs w:val="22"/>
        </w:rPr>
        <w:t xml:space="preserve"> a net cost to the PBS of </w:t>
      </w:r>
      <w:r w:rsidR="00FB52A9">
        <w:rPr>
          <w:rFonts w:asciiTheme="minorHAnsi" w:eastAsiaTheme="minorHAnsi" w:hAnsiTheme="minorHAnsi" w:cstheme="minorBidi"/>
          <w:snapToGrid/>
          <w:sz w:val="24"/>
          <w:szCs w:val="22"/>
        </w:rPr>
        <w:t>less than $10 million</w:t>
      </w:r>
      <w:r>
        <w:rPr>
          <w:rFonts w:asciiTheme="minorHAnsi" w:eastAsiaTheme="minorHAnsi" w:hAnsiTheme="minorHAnsi" w:cstheme="minorBidi"/>
          <w:snapToGrid/>
          <w:sz w:val="24"/>
          <w:szCs w:val="22"/>
        </w:rPr>
        <w:t xml:space="preserve"> in Year 6</w:t>
      </w:r>
      <w:r w:rsidR="00C00DA7" w:rsidRPr="008E2D23">
        <w:rPr>
          <w:rFonts w:asciiTheme="minorHAnsi" w:eastAsiaTheme="minorHAnsi" w:hAnsiTheme="minorHAnsi" w:cstheme="minorBidi"/>
          <w:snapToGrid/>
          <w:sz w:val="24"/>
          <w:szCs w:val="22"/>
        </w:rPr>
        <w:t xml:space="preserve"> of lis</w:t>
      </w:r>
      <w:r>
        <w:rPr>
          <w:rFonts w:asciiTheme="minorHAnsi" w:eastAsiaTheme="minorHAnsi" w:hAnsiTheme="minorHAnsi" w:cstheme="minorBidi"/>
          <w:snapToGrid/>
          <w:sz w:val="24"/>
          <w:szCs w:val="22"/>
        </w:rPr>
        <w:t>ting, with a total net cost</w:t>
      </w:r>
      <w:r w:rsidR="002732A1">
        <w:rPr>
          <w:rFonts w:asciiTheme="minorHAnsi" w:eastAsiaTheme="minorHAnsi" w:hAnsiTheme="minorHAnsi" w:cstheme="minorBidi"/>
          <w:snapToGrid/>
          <w:sz w:val="24"/>
          <w:szCs w:val="22"/>
        </w:rPr>
        <w:t xml:space="preserve"> to the PBS of </w:t>
      </w:r>
      <w:r w:rsidR="00FB52A9">
        <w:rPr>
          <w:rFonts w:asciiTheme="minorHAnsi" w:eastAsiaTheme="minorHAnsi" w:hAnsiTheme="minorHAnsi" w:cstheme="minorBidi"/>
          <w:snapToGrid/>
          <w:sz w:val="24"/>
          <w:szCs w:val="22"/>
        </w:rPr>
        <w:t>$10 - $20</w:t>
      </w:r>
      <w:r w:rsidR="002732A1">
        <w:rPr>
          <w:rFonts w:asciiTheme="minorHAnsi" w:eastAsiaTheme="minorHAnsi" w:hAnsiTheme="minorHAnsi" w:cstheme="minorBidi"/>
          <w:snapToGrid/>
          <w:sz w:val="24"/>
          <w:szCs w:val="22"/>
        </w:rPr>
        <w:t xml:space="preserve"> million over the first 6</w:t>
      </w:r>
      <w:r w:rsidR="00C00DA7" w:rsidRPr="008E2D23">
        <w:rPr>
          <w:rFonts w:asciiTheme="minorHAnsi" w:eastAsiaTheme="minorHAnsi" w:hAnsiTheme="minorHAnsi" w:cstheme="minorBidi"/>
          <w:snapToGrid/>
          <w:sz w:val="24"/>
          <w:szCs w:val="22"/>
        </w:rPr>
        <w:t xml:space="preserve"> years of listing.  This is summarised in the table below as well as the expecte</w:t>
      </w:r>
      <w:r w:rsidR="00D47CAA">
        <w:rPr>
          <w:rFonts w:asciiTheme="minorHAnsi" w:eastAsiaTheme="minorHAnsi" w:hAnsiTheme="minorHAnsi" w:cstheme="minorBidi"/>
          <w:snapToGrid/>
          <w:sz w:val="24"/>
          <w:szCs w:val="22"/>
        </w:rPr>
        <w:t>d patient/prescription numbers.</w:t>
      </w:r>
    </w:p>
    <w:p w:rsidR="00CE6212" w:rsidRDefault="00CE6212" w:rsidP="00447B95">
      <w:pPr>
        <w:pStyle w:val="Caption"/>
        <w:keepNext/>
      </w:pPr>
      <w:r>
        <w:t xml:space="preserve">Table </w:t>
      </w:r>
      <w:r w:rsidR="00922DD5">
        <w:rPr>
          <w:noProof/>
        </w:rPr>
        <w:t>8</w:t>
      </w:r>
      <w:r w:rsidRPr="00037974">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43"/>
        <w:gridCol w:w="1042"/>
        <w:gridCol w:w="1167"/>
        <w:gridCol w:w="1167"/>
        <w:gridCol w:w="1167"/>
        <w:gridCol w:w="1167"/>
        <w:gridCol w:w="1163"/>
      </w:tblGrid>
      <w:tr w:rsidR="001F626C" w:rsidRPr="001F626C" w:rsidTr="001F626C">
        <w:trPr>
          <w:tblHeader/>
        </w:trPr>
        <w:tc>
          <w:tcPr>
            <w:tcW w:w="1189" w:type="pct"/>
            <w:shd w:val="clear" w:color="auto" w:fill="auto"/>
            <w:vAlign w:val="center"/>
          </w:tcPr>
          <w:p w:rsidR="001F626C" w:rsidRPr="001F626C" w:rsidRDefault="001F626C" w:rsidP="00447B95">
            <w:pPr>
              <w:pStyle w:val="Tabletext"/>
              <w:keepNext/>
              <w:spacing w:after="0"/>
              <w:rPr>
                <w:rFonts w:ascii="Arial Narrow" w:hAnsi="Arial Narrow"/>
              </w:rPr>
            </w:pPr>
          </w:p>
        </w:tc>
        <w:tc>
          <w:tcPr>
            <w:tcW w:w="578" w:type="pct"/>
            <w:shd w:val="clear" w:color="auto" w:fill="auto"/>
            <w:vAlign w:val="center"/>
          </w:tcPr>
          <w:p w:rsidR="001F626C" w:rsidRPr="001F626C" w:rsidRDefault="001F626C" w:rsidP="00447B95">
            <w:pPr>
              <w:pStyle w:val="Tabletext"/>
              <w:keepNext/>
              <w:spacing w:after="0"/>
              <w:jc w:val="center"/>
              <w:rPr>
                <w:rFonts w:ascii="Arial Narrow" w:hAnsi="Arial Narrow"/>
                <w:b/>
              </w:rPr>
            </w:pPr>
            <w:r w:rsidRPr="001F626C">
              <w:rPr>
                <w:rFonts w:ascii="Arial Narrow" w:hAnsi="Arial Narrow"/>
                <w:b/>
              </w:rPr>
              <w:t>Year 1</w:t>
            </w:r>
          </w:p>
          <w:p w:rsidR="001F626C" w:rsidRPr="001F626C" w:rsidRDefault="001F626C" w:rsidP="00447B95">
            <w:pPr>
              <w:pStyle w:val="Tabletext"/>
              <w:keepNext/>
              <w:spacing w:after="0"/>
              <w:jc w:val="center"/>
              <w:rPr>
                <w:rFonts w:ascii="Arial Narrow" w:hAnsi="Arial Narrow"/>
                <w:b/>
              </w:rPr>
            </w:pPr>
            <w:r w:rsidRPr="001F626C">
              <w:rPr>
                <w:rFonts w:ascii="Arial Narrow" w:hAnsi="Arial Narrow"/>
                <w:b/>
              </w:rPr>
              <w:t>(2019)</w:t>
            </w:r>
          </w:p>
        </w:tc>
        <w:tc>
          <w:tcPr>
            <w:tcW w:w="647" w:type="pct"/>
            <w:shd w:val="clear" w:color="auto" w:fill="auto"/>
            <w:vAlign w:val="center"/>
          </w:tcPr>
          <w:p w:rsidR="001F626C" w:rsidRPr="001F626C" w:rsidRDefault="001F626C" w:rsidP="00447B95">
            <w:pPr>
              <w:pStyle w:val="Tabletext"/>
              <w:keepNext/>
              <w:spacing w:after="0"/>
              <w:jc w:val="center"/>
              <w:rPr>
                <w:rFonts w:ascii="Arial Narrow" w:hAnsi="Arial Narrow"/>
                <w:b/>
              </w:rPr>
            </w:pPr>
            <w:r w:rsidRPr="001F626C">
              <w:rPr>
                <w:rFonts w:ascii="Arial Narrow" w:hAnsi="Arial Narrow"/>
                <w:b/>
              </w:rPr>
              <w:t>Year 2</w:t>
            </w:r>
          </w:p>
          <w:p w:rsidR="001F626C" w:rsidRPr="001F626C" w:rsidRDefault="001F626C" w:rsidP="00447B95">
            <w:pPr>
              <w:pStyle w:val="Tabletext"/>
              <w:keepNext/>
              <w:spacing w:after="0"/>
              <w:jc w:val="center"/>
              <w:rPr>
                <w:rFonts w:ascii="Arial Narrow" w:hAnsi="Arial Narrow"/>
                <w:b/>
              </w:rPr>
            </w:pPr>
            <w:r w:rsidRPr="001F626C">
              <w:rPr>
                <w:rFonts w:ascii="Arial Narrow" w:hAnsi="Arial Narrow"/>
                <w:b/>
              </w:rPr>
              <w:t>(2020)</w:t>
            </w:r>
          </w:p>
        </w:tc>
        <w:tc>
          <w:tcPr>
            <w:tcW w:w="647" w:type="pct"/>
            <w:shd w:val="clear" w:color="auto" w:fill="auto"/>
            <w:vAlign w:val="center"/>
          </w:tcPr>
          <w:p w:rsidR="001F626C" w:rsidRPr="001F626C" w:rsidRDefault="001F626C" w:rsidP="00447B95">
            <w:pPr>
              <w:pStyle w:val="Tabletext"/>
              <w:keepNext/>
              <w:spacing w:after="0"/>
              <w:jc w:val="center"/>
              <w:rPr>
                <w:rFonts w:ascii="Arial Narrow" w:hAnsi="Arial Narrow"/>
                <w:b/>
              </w:rPr>
            </w:pPr>
            <w:r w:rsidRPr="001F626C">
              <w:rPr>
                <w:rFonts w:ascii="Arial Narrow" w:hAnsi="Arial Narrow"/>
                <w:b/>
              </w:rPr>
              <w:t>Year 3</w:t>
            </w:r>
          </w:p>
          <w:p w:rsidR="001F626C" w:rsidRPr="001F626C" w:rsidRDefault="001F626C" w:rsidP="00447B95">
            <w:pPr>
              <w:pStyle w:val="Tabletext"/>
              <w:keepNext/>
              <w:spacing w:after="0"/>
              <w:jc w:val="center"/>
              <w:rPr>
                <w:rFonts w:ascii="Arial Narrow" w:hAnsi="Arial Narrow"/>
                <w:b/>
              </w:rPr>
            </w:pPr>
            <w:r w:rsidRPr="001F626C">
              <w:rPr>
                <w:rFonts w:ascii="Arial Narrow" w:hAnsi="Arial Narrow"/>
                <w:b/>
              </w:rPr>
              <w:t>(2021)</w:t>
            </w:r>
          </w:p>
        </w:tc>
        <w:tc>
          <w:tcPr>
            <w:tcW w:w="647" w:type="pct"/>
            <w:shd w:val="clear" w:color="auto" w:fill="auto"/>
            <w:vAlign w:val="center"/>
          </w:tcPr>
          <w:p w:rsidR="001F626C" w:rsidRPr="001F626C" w:rsidRDefault="001F626C" w:rsidP="00447B95">
            <w:pPr>
              <w:pStyle w:val="Tabletext"/>
              <w:keepNext/>
              <w:spacing w:after="0"/>
              <w:jc w:val="center"/>
              <w:rPr>
                <w:rFonts w:ascii="Arial Narrow" w:hAnsi="Arial Narrow"/>
                <w:b/>
              </w:rPr>
            </w:pPr>
            <w:r w:rsidRPr="001F626C">
              <w:rPr>
                <w:rFonts w:ascii="Arial Narrow" w:hAnsi="Arial Narrow"/>
                <w:b/>
              </w:rPr>
              <w:t>Year 4</w:t>
            </w:r>
          </w:p>
          <w:p w:rsidR="001F626C" w:rsidRPr="001F626C" w:rsidRDefault="001F626C" w:rsidP="00447B95">
            <w:pPr>
              <w:pStyle w:val="Tabletext"/>
              <w:keepNext/>
              <w:spacing w:after="0"/>
              <w:jc w:val="center"/>
              <w:rPr>
                <w:rFonts w:ascii="Arial Narrow" w:hAnsi="Arial Narrow"/>
                <w:b/>
              </w:rPr>
            </w:pPr>
            <w:r w:rsidRPr="001F626C">
              <w:rPr>
                <w:rFonts w:ascii="Arial Narrow" w:hAnsi="Arial Narrow"/>
                <w:b/>
              </w:rPr>
              <w:t>(2022)</w:t>
            </w:r>
          </w:p>
        </w:tc>
        <w:tc>
          <w:tcPr>
            <w:tcW w:w="647" w:type="pct"/>
            <w:shd w:val="clear" w:color="auto" w:fill="auto"/>
            <w:vAlign w:val="center"/>
          </w:tcPr>
          <w:p w:rsidR="001F626C" w:rsidRPr="001F626C" w:rsidRDefault="001F626C" w:rsidP="00447B95">
            <w:pPr>
              <w:pStyle w:val="Tabletext"/>
              <w:keepNext/>
              <w:spacing w:after="0"/>
              <w:jc w:val="center"/>
              <w:rPr>
                <w:rFonts w:ascii="Arial Narrow" w:hAnsi="Arial Narrow"/>
                <w:b/>
              </w:rPr>
            </w:pPr>
            <w:r w:rsidRPr="001F626C">
              <w:rPr>
                <w:rFonts w:ascii="Arial Narrow" w:hAnsi="Arial Narrow"/>
                <w:b/>
              </w:rPr>
              <w:t>Year 5</w:t>
            </w:r>
          </w:p>
          <w:p w:rsidR="001F626C" w:rsidRPr="001F626C" w:rsidRDefault="001F626C" w:rsidP="00447B95">
            <w:pPr>
              <w:pStyle w:val="Tabletext"/>
              <w:keepNext/>
              <w:spacing w:after="0"/>
              <w:jc w:val="center"/>
              <w:rPr>
                <w:rFonts w:ascii="Arial Narrow" w:hAnsi="Arial Narrow"/>
                <w:b/>
              </w:rPr>
            </w:pPr>
            <w:r w:rsidRPr="001F626C">
              <w:rPr>
                <w:rFonts w:ascii="Arial Narrow" w:hAnsi="Arial Narrow"/>
                <w:b/>
              </w:rPr>
              <w:t>(2023)</w:t>
            </w:r>
          </w:p>
        </w:tc>
        <w:tc>
          <w:tcPr>
            <w:tcW w:w="645" w:type="pct"/>
            <w:shd w:val="clear" w:color="auto" w:fill="auto"/>
            <w:vAlign w:val="center"/>
          </w:tcPr>
          <w:p w:rsidR="001F626C" w:rsidRPr="001F626C" w:rsidRDefault="001F626C" w:rsidP="00447B95">
            <w:pPr>
              <w:pStyle w:val="Tabletext"/>
              <w:keepNext/>
              <w:spacing w:after="0"/>
              <w:jc w:val="center"/>
              <w:rPr>
                <w:rFonts w:ascii="Arial Narrow" w:hAnsi="Arial Narrow"/>
                <w:b/>
              </w:rPr>
            </w:pPr>
            <w:r w:rsidRPr="001F626C">
              <w:rPr>
                <w:rFonts w:ascii="Arial Narrow" w:hAnsi="Arial Narrow"/>
                <w:b/>
              </w:rPr>
              <w:t>Year 6</w:t>
            </w:r>
          </w:p>
          <w:p w:rsidR="001F626C" w:rsidRPr="001F626C" w:rsidRDefault="001F626C" w:rsidP="00447B95">
            <w:pPr>
              <w:pStyle w:val="Tabletext"/>
              <w:keepNext/>
              <w:spacing w:after="0"/>
              <w:jc w:val="center"/>
              <w:rPr>
                <w:rFonts w:ascii="Arial Narrow" w:hAnsi="Arial Narrow"/>
                <w:b/>
              </w:rPr>
            </w:pPr>
            <w:r w:rsidRPr="001F626C">
              <w:rPr>
                <w:rFonts w:ascii="Arial Narrow" w:hAnsi="Arial Narrow"/>
                <w:b/>
              </w:rPr>
              <w:t>(2024)</w:t>
            </w:r>
          </w:p>
        </w:tc>
      </w:tr>
      <w:tr w:rsidR="001F626C" w:rsidRPr="001F626C" w:rsidTr="00485AF6">
        <w:tc>
          <w:tcPr>
            <w:tcW w:w="5000" w:type="pct"/>
            <w:gridSpan w:val="7"/>
            <w:shd w:val="clear" w:color="auto" w:fill="auto"/>
            <w:vAlign w:val="center"/>
          </w:tcPr>
          <w:p w:rsidR="001F626C" w:rsidRPr="001F626C" w:rsidRDefault="001F626C" w:rsidP="00447B95">
            <w:pPr>
              <w:pStyle w:val="Tabletext"/>
              <w:keepNext/>
              <w:spacing w:after="0"/>
              <w:rPr>
                <w:rFonts w:ascii="Arial Narrow" w:hAnsi="Arial Narrow"/>
                <w:b/>
                <w:bCs/>
                <w:color w:val="000000"/>
              </w:rPr>
            </w:pPr>
            <w:r w:rsidRPr="001F626C">
              <w:rPr>
                <w:rFonts w:ascii="Arial Narrow" w:hAnsi="Arial Narrow"/>
                <w:b/>
                <w:bCs/>
                <w:color w:val="000000"/>
              </w:rPr>
              <w:t>Estimated extent of use</w:t>
            </w:r>
          </w:p>
        </w:tc>
      </w:tr>
      <w:tr w:rsidR="001F626C" w:rsidRPr="001F626C" w:rsidTr="001F626C">
        <w:tc>
          <w:tcPr>
            <w:tcW w:w="1189" w:type="pct"/>
            <w:shd w:val="clear" w:color="auto" w:fill="auto"/>
            <w:vAlign w:val="center"/>
          </w:tcPr>
          <w:p w:rsidR="001F626C" w:rsidRPr="001F626C" w:rsidRDefault="001F626C" w:rsidP="00447B95">
            <w:pPr>
              <w:pStyle w:val="Tabletext"/>
              <w:keepNext/>
              <w:spacing w:after="0"/>
              <w:rPr>
                <w:rFonts w:ascii="Arial Narrow" w:hAnsi="Arial Narrow"/>
              </w:rPr>
            </w:pPr>
            <w:r w:rsidRPr="001F626C">
              <w:rPr>
                <w:rFonts w:ascii="Arial Narrow" w:hAnsi="Arial Narrow"/>
              </w:rPr>
              <w:t>Eligible population</w:t>
            </w:r>
          </w:p>
        </w:tc>
        <w:tc>
          <w:tcPr>
            <w:tcW w:w="578"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5"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r>
      <w:tr w:rsidR="001F626C" w:rsidRPr="001F626C" w:rsidTr="001F626C">
        <w:tc>
          <w:tcPr>
            <w:tcW w:w="1189" w:type="pct"/>
            <w:shd w:val="clear" w:color="auto" w:fill="auto"/>
            <w:vAlign w:val="center"/>
          </w:tcPr>
          <w:p w:rsidR="001F626C" w:rsidRPr="001F626C" w:rsidRDefault="001F626C" w:rsidP="00447B95">
            <w:pPr>
              <w:pStyle w:val="Tabletext"/>
              <w:keepNext/>
              <w:spacing w:after="0"/>
              <w:rPr>
                <w:rFonts w:ascii="Arial Narrow" w:hAnsi="Arial Narrow"/>
              </w:rPr>
            </w:pPr>
            <w:r w:rsidRPr="001F626C">
              <w:rPr>
                <w:rFonts w:ascii="Arial Narrow" w:hAnsi="Arial Narrow"/>
              </w:rPr>
              <w:t>Number of patients treated</w:t>
            </w:r>
          </w:p>
        </w:tc>
        <w:tc>
          <w:tcPr>
            <w:tcW w:w="578"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 xml:space="preserve">''''' </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 xml:space="preserve">''''''' </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 xml:space="preserve">'''''' </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 xml:space="preserve">''''''' </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 xml:space="preserve">''''''' </w:t>
            </w:r>
          </w:p>
        </w:tc>
        <w:tc>
          <w:tcPr>
            <w:tcW w:w="645"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 xml:space="preserve">'''''' </w:t>
            </w:r>
          </w:p>
        </w:tc>
      </w:tr>
      <w:tr w:rsidR="001F626C" w:rsidRPr="001F626C" w:rsidTr="001F626C">
        <w:tc>
          <w:tcPr>
            <w:tcW w:w="1189" w:type="pct"/>
            <w:shd w:val="clear" w:color="auto" w:fill="auto"/>
            <w:vAlign w:val="center"/>
          </w:tcPr>
          <w:p w:rsidR="001F626C" w:rsidRPr="001F626C" w:rsidRDefault="001F626C" w:rsidP="00447B95">
            <w:pPr>
              <w:pStyle w:val="Tabletext"/>
              <w:keepNext/>
              <w:spacing w:after="0"/>
              <w:rPr>
                <w:rFonts w:ascii="Arial Narrow" w:hAnsi="Arial Narrow"/>
              </w:rPr>
            </w:pPr>
            <w:r w:rsidRPr="001F626C">
              <w:rPr>
                <w:rFonts w:ascii="Arial Narrow" w:hAnsi="Arial Narrow"/>
              </w:rPr>
              <w:t xml:space="preserve">Total scripts dispensed </w:t>
            </w:r>
            <w:r w:rsidRPr="001F626C">
              <w:rPr>
                <w:rFonts w:ascii="Arial Narrow" w:hAnsi="Arial Narrow"/>
                <w:vertAlign w:val="superscript"/>
              </w:rPr>
              <w:t>a</w:t>
            </w:r>
          </w:p>
        </w:tc>
        <w:tc>
          <w:tcPr>
            <w:tcW w:w="578"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5"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r>
      <w:tr w:rsidR="001F626C" w:rsidRPr="001F626C" w:rsidTr="001F626C">
        <w:tc>
          <w:tcPr>
            <w:tcW w:w="1189" w:type="pct"/>
            <w:shd w:val="clear" w:color="auto" w:fill="auto"/>
            <w:vAlign w:val="center"/>
          </w:tcPr>
          <w:p w:rsidR="001F626C" w:rsidRPr="00E2386F" w:rsidRDefault="001F626C" w:rsidP="00447B95">
            <w:pPr>
              <w:pStyle w:val="Tabletext"/>
              <w:keepNext/>
              <w:spacing w:after="0"/>
              <w:rPr>
                <w:rFonts w:ascii="Arial Narrow" w:hAnsi="Arial Narrow"/>
                <w:vertAlign w:val="superscript"/>
              </w:rPr>
            </w:pPr>
            <w:r w:rsidRPr="001F626C">
              <w:rPr>
                <w:rFonts w:ascii="Arial Narrow" w:hAnsi="Arial Narrow"/>
              </w:rPr>
              <w:t>Cost to PBS/</w:t>
            </w:r>
            <w:proofErr w:type="spellStart"/>
            <w:r w:rsidRPr="001F626C">
              <w:rPr>
                <w:rFonts w:ascii="Arial Narrow" w:hAnsi="Arial Narrow"/>
              </w:rPr>
              <w:t>RPBS</w:t>
            </w:r>
            <w:r w:rsidR="00E2386F">
              <w:rPr>
                <w:rFonts w:ascii="Arial Narrow" w:hAnsi="Arial Narrow"/>
                <w:vertAlign w:val="superscript"/>
              </w:rPr>
              <w:t>b</w:t>
            </w:r>
            <w:proofErr w:type="spellEnd"/>
          </w:p>
        </w:tc>
        <w:tc>
          <w:tcPr>
            <w:tcW w:w="578" w:type="pct"/>
            <w:shd w:val="clear" w:color="auto" w:fill="auto"/>
            <w:vAlign w:val="center"/>
          </w:tcPr>
          <w:p w:rsidR="001F626C" w:rsidRPr="001F626C" w:rsidRDefault="001F626C" w:rsidP="00447B95">
            <w:pPr>
              <w:pStyle w:val="Tabletext"/>
              <w:keepNext/>
              <w:spacing w:after="0"/>
              <w:jc w:val="center"/>
              <w:rPr>
                <w:rFonts w:ascii="Arial Narrow" w:hAnsi="Arial Narrow"/>
              </w:rPr>
            </w:pPr>
            <w:r w:rsidRPr="001F626C">
              <w:rPr>
                <w:rFonts w:ascii="Arial Narrow" w:hAnsi="Arial Narrow"/>
              </w:rPr>
              <w:t>$</w:t>
            </w:r>
            <w:r w:rsidR="00146494">
              <w:rPr>
                <w:rFonts w:ascii="Arial Narrow" w:hAnsi="Arial Narrow"/>
                <w:noProof/>
                <w:color w:val="000000"/>
                <w:highlight w:val="black"/>
              </w:rPr>
              <w:t>''''''''''''''''''''''''</w:t>
            </w:r>
          </w:p>
        </w:tc>
        <w:tc>
          <w:tcPr>
            <w:tcW w:w="647" w:type="pct"/>
            <w:shd w:val="clear" w:color="auto" w:fill="auto"/>
            <w:vAlign w:val="center"/>
          </w:tcPr>
          <w:p w:rsidR="001F626C" w:rsidRPr="001F626C" w:rsidRDefault="001F626C" w:rsidP="00447B95">
            <w:pPr>
              <w:pStyle w:val="Tabletext"/>
              <w:keepNext/>
              <w:spacing w:after="0"/>
              <w:jc w:val="center"/>
              <w:rPr>
                <w:rFonts w:ascii="Arial Narrow" w:hAnsi="Arial Narrow"/>
              </w:rPr>
            </w:pPr>
            <w:r w:rsidRPr="001F626C">
              <w:rPr>
                <w:rFonts w:ascii="Arial Narrow" w:hAnsi="Arial Narrow"/>
              </w:rPr>
              <w:t>$</w:t>
            </w:r>
            <w:r w:rsidR="00146494">
              <w:rPr>
                <w:rFonts w:ascii="Arial Narrow" w:hAnsi="Arial Narrow"/>
                <w:noProof/>
                <w:color w:val="000000"/>
                <w:highlight w:val="black"/>
              </w:rPr>
              <w:t>'''''''''''''''''''''''</w:t>
            </w:r>
          </w:p>
        </w:tc>
        <w:tc>
          <w:tcPr>
            <w:tcW w:w="647" w:type="pct"/>
            <w:shd w:val="clear" w:color="auto" w:fill="auto"/>
            <w:vAlign w:val="center"/>
          </w:tcPr>
          <w:p w:rsidR="001F626C" w:rsidRPr="001F626C" w:rsidRDefault="001F626C" w:rsidP="00447B95">
            <w:pPr>
              <w:pStyle w:val="Tabletext"/>
              <w:keepNext/>
              <w:spacing w:after="0"/>
              <w:jc w:val="center"/>
              <w:rPr>
                <w:rFonts w:ascii="Arial Narrow" w:hAnsi="Arial Narrow"/>
              </w:rPr>
            </w:pPr>
            <w:r w:rsidRPr="001F626C">
              <w:rPr>
                <w:rFonts w:ascii="Arial Narrow" w:hAnsi="Arial Narrow"/>
              </w:rPr>
              <w:t>$</w:t>
            </w:r>
            <w:r w:rsidR="00146494">
              <w:rPr>
                <w:rFonts w:ascii="Arial Narrow" w:hAnsi="Arial Narrow"/>
                <w:noProof/>
                <w:color w:val="000000"/>
                <w:highlight w:val="black"/>
              </w:rPr>
              <w:t>'''''''''''''''''''''''</w:t>
            </w:r>
          </w:p>
        </w:tc>
        <w:tc>
          <w:tcPr>
            <w:tcW w:w="647" w:type="pct"/>
            <w:shd w:val="clear" w:color="auto" w:fill="auto"/>
            <w:vAlign w:val="center"/>
          </w:tcPr>
          <w:p w:rsidR="001F626C" w:rsidRPr="001F626C" w:rsidRDefault="001F626C" w:rsidP="00447B95">
            <w:pPr>
              <w:pStyle w:val="Tabletext"/>
              <w:keepNext/>
              <w:spacing w:after="0"/>
              <w:jc w:val="center"/>
              <w:rPr>
                <w:rFonts w:ascii="Arial Narrow" w:hAnsi="Arial Narrow"/>
              </w:rPr>
            </w:pPr>
            <w:r w:rsidRPr="001F626C">
              <w:rPr>
                <w:rFonts w:ascii="Arial Narrow" w:hAnsi="Arial Narrow"/>
              </w:rPr>
              <w:t>$</w:t>
            </w:r>
            <w:r w:rsidR="00146494">
              <w:rPr>
                <w:rFonts w:ascii="Arial Narrow" w:hAnsi="Arial Narrow"/>
                <w:noProof/>
                <w:color w:val="000000"/>
                <w:highlight w:val="black"/>
              </w:rPr>
              <w:t>'''''''''''''''''''''''</w:t>
            </w:r>
          </w:p>
        </w:tc>
        <w:tc>
          <w:tcPr>
            <w:tcW w:w="647" w:type="pct"/>
            <w:shd w:val="clear" w:color="auto" w:fill="auto"/>
            <w:vAlign w:val="center"/>
          </w:tcPr>
          <w:p w:rsidR="001F626C" w:rsidRPr="001F626C" w:rsidRDefault="001F626C" w:rsidP="00447B95">
            <w:pPr>
              <w:pStyle w:val="Tabletext"/>
              <w:keepNext/>
              <w:spacing w:after="0"/>
              <w:jc w:val="center"/>
              <w:rPr>
                <w:rFonts w:ascii="Arial Narrow" w:hAnsi="Arial Narrow"/>
              </w:rPr>
            </w:pPr>
            <w:r w:rsidRPr="001F626C">
              <w:rPr>
                <w:rFonts w:ascii="Arial Narrow" w:hAnsi="Arial Narrow"/>
              </w:rPr>
              <w:t>$</w:t>
            </w:r>
            <w:r w:rsidR="00146494">
              <w:rPr>
                <w:rFonts w:ascii="Arial Narrow" w:hAnsi="Arial Narrow"/>
                <w:noProof/>
                <w:color w:val="000000"/>
                <w:highlight w:val="black"/>
              </w:rPr>
              <w:t>''''''''''''''''''''''''</w:t>
            </w:r>
          </w:p>
        </w:tc>
        <w:tc>
          <w:tcPr>
            <w:tcW w:w="645" w:type="pct"/>
            <w:shd w:val="clear" w:color="auto" w:fill="auto"/>
            <w:vAlign w:val="center"/>
          </w:tcPr>
          <w:p w:rsidR="001F626C" w:rsidRPr="001F626C" w:rsidRDefault="001F626C" w:rsidP="00447B95">
            <w:pPr>
              <w:pStyle w:val="Tabletext"/>
              <w:keepNext/>
              <w:spacing w:after="0"/>
              <w:jc w:val="center"/>
              <w:rPr>
                <w:rFonts w:ascii="Arial Narrow" w:hAnsi="Arial Narrow"/>
              </w:rPr>
            </w:pPr>
            <w:r w:rsidRPr="001F626C">
              <w:rPr>
                <w:rFonts w:ascii="Arial Narrow" w:hAnsi="Arial Narrow"/>
              </w:rPr>
              <w:t>$</w:t>
            </w:r>
            <w:r w:rsidR="00146494">
              <w:rPr>
                <w:rFonts w:ascii="Arial Narrow" w:hAnsi="Arial Narrow"/>
                <w:noProof/>
                <w:color w:val="000000"/>
                <w:highlight w:val="black"/>
              </w:rPr>
              <w:t>'''''''''''''''''''''''</w:t>
            </w:r>
          </w:p>
        </w:tc>
      </w:tr>
      <w:tr w:rsidR="001F626C" w:rsidRPr="001F626C" w:rsidTr="001F626C">
        <w:tc>
          <w:tcPr>
            <w:tcW w:w="1189" w:type="pct"/>
            <w:shd w:val="clear" w:color="auto" w:fill="auto"/>
            <w:vAlign w:val="center"/>
          </w:tcPr>
          <w:p w:rsidR="001F626C" w:rsidRPr="001F626C" w:rsidRDefault="001F626C" w:rsidP="00447B95">
            <w:pPr>
              <w:pStyle w:val="Tabletext"/>
              <w:keepNext/>
              <w:spacing w:after="0"/>
              <w:rPr>
                <w:rFonts w:ascii="Arial Narrow" w:hAnsi="Arial Narrow"/>
              </w:rPr>
            </w:pPr>
            <w:proofErr w:type="spellStart"/>
            <w:r w:rsidRPr="001F626C">
              <w:rPr>
                <w:rFonts w:ascii="Arial Narrow" w:hAnsi="Arial Narrow"/>
              </w:rPr>
              <w:t>Copayments</w:t>
            </w:r>
            <w:proofErr w:type="spellEnd"/>
          </w:p>
        </w:tc>
        <w:tc>
          <w:tcPr>
            <w:tcW w:w="578" w:type="pct"/>
            <w:shd w:val="clear" w:color="auto" w:fill="auto"/>
            <w:vAlign w:val="center"/>
          </w:tcPr>
          <w:p w:rsidR="001F626C" w:rsidRPr="001F626C" w:rsidRDefault="001F626C" w:rsidP="00447B95">
            <w:pPr>
              <w:pStyle w:val="Tabletext"/>
              <w:keepNext/>
              <w:spacing w:after="0"/>
              <w:jc w:val="center"/>
              <w:rPr>
                <w:rFonts w:ascii="Arial Narrow" w:hAnsi="Arial Narrow"/>
              </w:rPr>
            </w:pPr>
            <w:r w:rsidRPr="001F626C">
              <w:rPr>
                <w:rFonts w:ascii="Arial Narrow" w:hAnsi="Arial Narrow"/>
              </w:rPr>
              <w:t>-$</w:t>
            </w:r>
            <w:r w:rsidR="00146494">
              <w:rPr>
                <w:rFonts w:ascii="Arial Narrow" w:hAnsi="Arial Narrow"/>
                <w:noProof/>
                <w:color w:val="000000"/>
                <w:highlight w:val="black"/>
              </w:rPr>
              <w:t>'''''''''''''''</w:t>
            </w:r>
          </w:p>
        </w:tc>
        <w:tc>
          <w:tcPr>
            <w:tcW w:w="647" w:type="pct"/>
            <w:shd w:val="clear" w:color="auto" w:fill="auto"/>
            <w:vAlign w:val="center"/>
          </w:tcPr>
          <w:p w:rsidR="001F626C" w:rsidRPr="001F626C" w:rsidRDefault="001F626C" w:rsidP="00447B95">
            <w:pPr>
              <w:pStyle w:val="Tabletext"/>
              <w:keepNext/>
              <w:spacing w:after="0"/>
              <w:jc w:val="center"/>
              <w:rPr>
                <w:rFonts w:ascii="Arial Narrow" w:hAnsi="Arial Narrow"/>
              </w:rPr>
            </w:pPr>
            <w:r w:rsidRPr="001F626C">
              <w:rPr>
                <w:rFonts w:ascii="Arial Narrow" w:hAnsi="Arial Narrow"/>
              </w:rPr>
              <w:t>-$</w:t>
            </w:r>
            <w:r w:rsidR="00146494">
              <w:rPr>
                <w:rFonts w:ascii="Arial Narrow" w:hAnsi="Arial Narrow"/>
                <w:noProof/>
                <w:color w:val="000000"/>
                <w:highlight w:val="black"/>
              </w:rPr>
              <w:t>''''''''''''''</w:t>
            </w:r>
          </w:p>
        </w:tc>
        <w:tc>
          <w:tcPr>
            <w:tcW w:w="647" w:type="pct"/>
            <w:shd w:val="clear" w:color="auto" w:fill="auto"/>
            <w:vAlign w:val="center"/>
          </w:tcPr>
          <w:p w:rsidR="001F626C" w:rsidRPr="001F626C" w:rsidRDefault="001F626C" w:rsidP="00447B95">
            <w:pPr>
              <w:pStyle w:val="Tabletext"/>
              <w:keepNext/>
              <w:spacing w:after="0"/>
              <w:jc w:val="center"/>
              <w:rPr>
                <w:rFonts w:ascii="Arial Narrow" w:hAnsi="Arial Narrow"/>
              </w:rPr>
            </w:pPr>
            <w:r w:rsidRPr="001F626C">
              <w:rPr>
                <w:rFonts w:ascii="Arial Narrow" w:hAnsi="Arial Narrow"/>
              </w:rPr>
              <w:t>-$</w:t>
            </w:r>
            <w:r w:rsidR="00146494">
              <w:rPr>
                <w:rFonts w:ascii="Arial Narrow" w:hAnsi="Arial Narrow"/>
                <w:noProof/>
                <w:color w:val="000000"/>
                <w:highlight w:val="black"/>
              </w:rPr>
              <w:t>''''''''''''</w:t>
            </w:r>
          </w:p>
        </w:tc>
        <w:tc>
          <w:tcPr>
            <w:tcW w:w="647" w:type="pct"/>
            <w:shd w:val="clear" w:color="auto" w:fill="auto"/>
            <w:vAlign w:val="center"/>
          </w:tcPr>
          <w:p w:rsidR="001F626C" w:rsidRPr="001F626C" w:rsidRDefault="001F626C" w:rsidP="00447B95">
            <w:pPr>
              <w:pStyle w:val="Tabletext"/>
              <w:keepNext/>
              <w:spacing w:after="0"/>
              <w:jc w:val="center"/>
              <w:rPr>
                <w:rFonts w:ascii="Arial Narrow" w:hAnsi="Arial Narrow"/>
              </w:rPr>
            </w:pPr>
            <w:r w:rsidRPr="001F626C">
              <w:rPr>
                <w:rFonts w:ascii="Arial Narrow" w:hAnsi="Arial Narrow"/>
              </w:rPr>
              <w:t>-$</w:t>
            </w:r>
            <w:r w:rsidR="00146494">
              <w:rPr>
                <w:rFonts w:ascii="Arial Narrow" w:hAnsi="Arial Narrow"/>
                <w:noProof/>
                <w:color w:val="000000"/>
                <w:highlight w:val="black"/>
              </w:rPr>
              <w:t>'''''''''''''</w:t>
            </w:r>
          </w:p>
        </w:tc>
        <w:tc>
          <w:tcPr>
            <w:tcW w:w="647" w:type="pct"/>
            <w:shd w:val="clear" w:color="auto" w:fill="auto"/>
            <w:vAlign w:val="center"/>
          </w:tcPr>
          <w:p w:rsidR="001F626C" w:rsidRPr="001F626C" w:rsidRDefault="001F626C" w:rsidP="00447B95">
            <w:pPr>
              <w:pStyle w:val="Tabletext"/>
              <w:keepNext/>
              <w:spacing w:after="0"/>
              <w:jc w:val="center"/>
              <w:rPr>
                <w:rFonts w:ascii="Arial Narrow" w:hAnsi="Arial Narrow"/>
              </w:rPr>
            </w:pPr>
            <w:r w:rsidRPr="001F626C">
              <w:rPr>
                <w:rFonts w:ascii="Arial Narrow" w:hAnsi="Arial Narrow"/>
              </w:rPr>
              <w:t>-$</w:t>
            </w:r>
            <w:r w:rsidR="00146494">
              <w:rPr>
                <w:rFonts w:ascii="Arial Narrow" w:hAnsi="Arial Narrow"/>
                <w:noProof/>
                <w:color w:val="000000"/>
                <w:highlight w:val="black"/>
              </w:rPr>
              <w:t>'''''''''''''</w:t>
            </w:r>
          </w:p>
        </w:tc>
        <w:tc>
          <w:tcPr>
            <w:tcW w:w="645" w:type="pct"/>
            <w:shd w:val="clear" w:color="auto" w:fill="auto"/>
            <w:vAlign w:val="center"/>
          </w:tcPr>
          <w:p w:rsidR="001F626C" w:rsidRPr="001F626C" w:rsidRDefault="001F626C" w:rsidP="00447B95">
            <w:pPr>
              <w:pStyle w:val="Tabletext"/>
              <w:keepNext/>
              <w:spacing w:after="0"/>
              <w:jc w:val="center"/>
              <w:rPr>
                <w:rFonts w:ascii="Arial Narrow" w:hAnsi="Arial Narrow"/>
              </w:rPr>
            </w:pPr>
            <w:r w:rsidRPr="001F626C">
              <w:rPr>
                <w:rFonts w:ascii="Arial Narrow" w:hAnsi="Arial Narrow"/>
              </w:rPr>
              <w:t>-$</w:t>
            </w:r>
            <w:r w:rsidR="00146494">
              <w:rPr>
                <w:rFonts w:ascii="Arial Narrow" w:hAnsi="Arial Narrow"/>
                <w:noProof/>
                <w:color w:val="000000"/>
                <w:highlight w:val="black"/>
              </w:rPr>
              <w:t>''''''''''''</w:t>
            </w:r>
          </w:p>
        </w:tc>
      </w:tr>
      <w:tr w:rsidR="001F626C" w:rsidRPr="001F626C" w:rsidTr="001F626C">
        <w:tc>
          <w:tcPr>
            <w:tcW w:w="1189" w:type="pct"/>
            <w:shd w:val="clear" w:color="auto" w:fill="auto"/>
            <w:vAlign w:val="center"/>
          </w:tcPr>
          <w:p w:rsidR="001F626C" w:rsidRPr="001F626C" w:rsidRDefault="001F626C" w:rsidP="00447B95">
            <w:pPr>
              <w:pStyle w:val="Tabletext"/>
              <w:keepNext/>
              <w:spacing w:after="0"/>
              <w:rPr>
                <w:rFonts w:ascii="Arial Narrow" w:hAnsi="Arial Narrow"/>
                <w:b/>
              </w:rPr>
            </w:pPr>
            <w:r w:rsidRPr="001F626C">
              <w:rPr>
                <w:rFonts w:ascii="Arial Narrow" w:hAnsi="Arial Narrow"/>
                <w:b/>
              </w:rPr>
              <w:t xml:space="preserve">Cost to PBS/RPBS less </w:t>
            </w:r>
            <w:proofErr w:type="spellStart"/>
            <w:r w:rsidRPr="001F626C">
              <w:rPr>
                <w:rFonts w:ascii="Arial Narrow" w:hAnsi="Arial Narrow"/>
                <w:b/>
              </w:rPr>
              <w:t>copayments</w:t>
            </w:r>
            <w:proofErr w:type="spellEnd"/>
          </w:p>
        </w:tc>
        <w:tc>
          <w:tcPr>
            <w:tcW w:w="578" w:type="pct"/>
            <w:shd w:val="clear" w:color="auto" w:fill="auto"/>
            <w:vAlign w:val="center"/>
          </w:tcPr>
          <w:p w:rsidR="001F626C" w:rsidRPr="00C24EF9" w:rsidRDefault="001F626C" w:rsidP="00447B95">
            <w:pPr>
              <w:pStyle w:val="Tabletext"/>
              <w:keepNext/>
              <w:spacing w:after="0"/>
              <w:jc w:val="center"/>
              <w:rPr>
                <w:rFonts w:ascii="Arial Narrow" w:hAnsi="Arial Narrow"/>
                <w:b/>
              </w:rPr>
            </w:pPr>
            <w:r w:rsidRPr="00C24EF9">
              <w:rPr>
                <w:rFonts w:ascii="Arial Narrow" w:hAnsi="Arial Narrow"/>
                <w:b/>
              </w:rPr>
              <w:t>$</w:t>
            </w:r>
            <w:r w:rsidR="00146494">
              <w:rPr>
                <w:rFonts w:ascii="Arial Narrow" w:hAnsi="Arial Narrow"/>
                <w:b/>
                <w:noProof/>
                <w:color w:val="000000"/>
                <w:highlight w:val="black"/>
              </w:rPr>
              <w:t>'''''''''''''''''</w:t>
            </w:r>
          </w:p>
        </w:tc>
        <w:tc>
          <w:tcPr>
            <w:tcW w:w="647" w:type="pct"/>
            <w:shd w:val="clear" w:color="auto" w:fill="auto"/>
            <w:vAlign w:val="center"/>
          </w:tcPr>
          <w:p w:rsidR="001F626C" w:rsidRPr="00C24EF9" w:rsidRDefault="001F626C" w:rsidP="00447B95">
            <w:pPr>
              <w:pStyle w:val="Tabletext"/>
              <w:keepNext/>
              <w:spacing w:after="0"/>
              <w:jc w:val="center"/>
              <w:rPr>
                <w:rFonts w:ascii="Arial Narrow" w:hAnsi="Arial Narrow"/>
                <w:b/>
              </w:rPr>
            </w:pPr>
            <w:r w:rsidRPr="00C24EF9">
              <w:rPr>
                <w:rFonts w:ascii="Arial Narrow" w:hAnsi="Arial Narrow"/>
                <w:b/>
              </w:rPr>
              <w:t>$</w:t>
            </w:r>
            <w:r w:rsidR="00146494">
              <w:rPr>
                <w:rFonts w:ascii="Arial Narrow" w:hAnsi="Arial Narrow"/>
                <w:b/>
                <w:noProof/>
                <w:color w:val="000000"/>
                <w:highlight w:val="black"/>
              </w:rPr>
              <w:t>'''''''''''''''''''''</w:t>
            </w:r>
          </w:p>
        </w:tc>
        <w:tc>
          <w:tcPr>
            <w:tcW w:w="647" w:type="pct"/>
            <w:shd w:val="clear" w:color="auto" w:fill="auto"/>
            <w:vAlign w:val="center"/>
          </w:tcPr>
          <w:p w:rsidR="001F626C" w:rsidRPr="00C24EF9" w:rsidRDefault="001F626C" w:rsidP="00447B95">
            <w:pPr>
              <w:pStyle w:val="Tabletext"/>
              <w:keepNext/>
              <w:spacing w:after="0"/>
              <w:jc w:val="center"/>
              <w:rPr>
                <w:rFonts w:ascii="Arial Narrow" w:hAnsi="Arial Narrow"/>
                <w:b/>
              </w:rPr>
            </w:pPr>
            <w:r w:rsidRPr="00C24EF9">
              <w:rPr>
                <w:rFonts w:ascii="Arial Narrow" w:hAnsi="Arial Narrow"/>
                <w:b/>
              </w:rPr>
              <w:t>$</w:t>
            </w:r>
            <w:r w:rsidR="00146494">
              <w:rPr>
                <w:rFonts w:ascii="Arial Narrow" w:hAnsi="Arial Narrow"/>
                <w:b/>
                <w:noProof/>
                <w:color w:val="000000"/>
                <w:highlight w:val="black"/>
              </w:rPr>
              <w:t>''''''''''''''''''</w:t>
            </w:r>
          </w:p>
        </w:tc>
        <w:tc>
          <w:tcPr>
            <w:tcW w:w="647" w:type="pct"/>
            <w:shd w:val="clear" w:color="auto" w:fill="auto"/>
            <w:vAlign w:val="center"/>
          </w:tcPr>
          <w:p w:rsidR="001F626C" w:rsidRPr="00C24EF9" w:rsidRDefault="001F626C" w:rsidP="00447B95">
            <w:pPr>
              <w:pStyle w:val="Tabletext"/>
              <w:keepNext/>
              <w:spacing w:after="0"/>
              <w:jc w:val="center"/>
              <w:rPr>
                <w:rFonts w:ascii="Arial Narrow" w:hAnsi="Arial Narrow"/>
                <w:b/>
              </w:rPr>
            </w:pPr>
            <w:r w:rsidRPr="00C24EF9">
              <w:rPr>
                <w:rFonts w:ascii="Arial Narrow" w:hAnsi="Arial Narrow"/>
                <w:b/>
              </w:rPr>
              <w:t>$</w:t>
            </w:r>
            <w:r w:rsidR="00146494">
              <w:rPr>
                <w:rFonts w:ascii="Arial Narrow" w:hAnsi="Arial Narrow"/>
                <w:b/>
                <w:noProof/>
                <w:color w:val="000000"/>
                <w:highlight w:val="black"/>
              </w:rPr>
              <w:t>'''''''''''''''''''</w:t>
            </w:r>
          </w:p>
        </w:tc>
        <w:tc>
          <w:tcPr>
            <w:tcW w:w="647" w:type="pct"/>
            <w:shd w:val="clear" w:color="auto" w:fill="auto"/>
            <w:vAlign w:val="center"/>
          </w:tcPr>
          <w:p w:rsidR="001F626C" w:rsidRPr="00C24EF9" w:rsidRDefault="001F626C" w:rsidP="00447B95">
            <w:pPr>
              <w:pStyle w:val="Tabletext"/>
              <w:keepNext/>
              <w:spacing w:after="0"/>
              <w:jc w:val="center"/>
              <w:rPr>
                <w:rFonts w:ascii="Arial Narrow" w:hAnsi="Arial Narrow"/>
                <w:b/>
              </w:rPr>
            </w:pPr>
            <w:r w:rsidRPr="00C24EF9">
              <w:rPr>
                <w:rFonts w:ascii="Arial Narrow" w:hAnsi="Arial Narrow"/>
                <w:b/>
              </w:rPr>
              <w:t>$</w:t>
            </w:r>
            <w:r w:rsidR="00146494">
              <w:rPr>
                <w:rFonts w:ascii="Arial Narrow" w:hAnsi="Arial Narrow"/>
                <w:b/>
                <w:noProof/>
                <w:color w:val="000000"/>
                <w:highlight w:val="black"/>
              </w:rPr>
              <w:t>''''''''''''''''''</w:t>
            </w:r>
          </w:p>
        </w:tc>
        <w:tc>
          <w:tcPr>
            <w:tcW w:w="645" w:type="pct"/>
            <w:shd w:val="clear" w:color="auto" w:fill="auto"/>
            <w:vAlign w:val="center"/>
          </w:tcPr>
          <w:p w:rsidR="001F626C" w:rsidRPr="00C24EF9" w:rsidRDefault="001F626C" w:rsidP="00447B95">
            <w:pPr>
              <w:pStyle w:val="Tabletext"/>
              <w:keepNext/>
              <w:spacing w:after="0"/>
              <w:jc w:val="center"/>
              <w:rPr>
                <w:rFonts w:ascii="Arial Narrow" w:hAnsi="Arial Narrow"/>
                <w:b/>
              </w:rPr>
            </w:pPr>
            <w:r w:rsidRPr="00C24EF9">
              <w:rPr>
                <w:rFonts w:ascii="Arial Narrow" w:hAnsi="Arial Narrow"/>
                <w:b/>
              </w:rPr>
              <w:t>$</w:t>
            </w:r>
            <w:r w:rsidR="00146494">
              <w:rPr>
                <w:rFonts w:ascii="Arial Narrow" w:hAnsi="Arial Narrow"/>
                <w:b/>
                <w:noProof/>
                <w:color w:val="000000"/>
                <w:highlight w:val="black"/>
              </w:rPr>
              <w:t>'''''''''''''''''''</w:t>
            </w:r>
          </w:p>
        </w:tc>
      </w:tr>
      <w:tr w:rsidR="001F626C" w:rsidRPr="001F626C" w:rsidTr="00C31241">
        <w:tc>
          <w:tcPr>
            <w:tcW w:w="5000" w:type="pct"/>
            <w:gridSpan w:val="7"/>
            <w:shd w:val="clear" w:color="auto" w:fill="auto"/>
            <w:vAlign w:val="center"/>
          </w:tcPr>
          <w:p w:rsidR="001F626C" w:rsidRPr="001F626C" w:rsidRDefault="001F626C" w:rsidP="00447B95">
            <w:pPr>
              <w:pStyle w:val="Tabletext"/>
              <w:keepNext/>
              <w:spacing w:after="0"/>
              <w:rPr>
                <w:rFonts w:ascii="Arial Narrow" w:hAnsi="Arial Narrow"/>
                <w:b/>
              </w:rPr>
            </w:pPr>
            <w:r w:rsidRPr="001F626C">
              <w:rPr>
                <w:rFonts w:ascii="Arial Narrow" w:hAnsi="Arial Narrow"/>
                <w:b/>
              </w:rPr>
              <w:t>Previous submission (July 2018) – estimated financial implications</w:t>
            </w:r>
          </w:p>
        </w:tc>
      </w:tr>
      <w:tr w:rsidR="001F626C" w:rsidRPr="001F626C" w:rsidTr="00C31241">
        <w:tc>
          <w:tcPr>
            <w:tcW w:w="1189" w:type="pct"/>
            <w:shd w:val="clear" w:color="auto" w:fill="auto"/>
            <w:vAlign w:val="center"/>
          </w:tcPr>
          <w:p w:rsidR="001F626C" w:rsidRPr="001F626C" w:rsidRDefault="001F626C" w:rsidP="00447B95">
            <w:pPr>
              <w:pStyle w:val="Tabletext"/>
              <w:keepNext/>
              <w:spacing w:after="0"/>
              <w:rPr>
                <w:rFonts w:ascii="Arial Narrow" w:hAnsi="Arial Narrow"/>
              </w:rPr>
            </w:pPr>
            <w:r w:rsidRPr="001F626C">
              <w:rPr>
                <w:rFonts w:ascii="Arial Narrow" w:hAnsi="Arial Narrow"/>
              </w:rPr>
              <w:t>Cost to PBS/RPBS</w:t>
            </w:r>
          </w:p>
        </w:tc>
        <w:tc>
          <w:tcPr>
            <w:tcW w:w="578"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5"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r>
      <w:tr w:rsidR="001F626C" w:rsidRPr="001F626C" w:rsidTr="00C31241">
        <w:tc>
          <w:tcPr>
            <w:tcW w:w="1189" w:type="pct"/>
            <w:shd w:val="clear" w:color="auto" w:fill="auto"/>
            <w:vAlign w:val="center"/>
          </w:tcPr>
          <w:p w:rsidR="001F626C" w:rsidRPr="001F626C" w:rsidRDefault="001F626C" w:rsidP="00447B95">
            <w:pPr>
              <w:pStyle w:val="Tabletext"/>
              <w:keepNext/>
              <w:spacing w:after="0"/>
              <w:rPr>
                <w:rFonts w:ascii="Arial Narrow" w:hAnsi="Arial Narrow"/>
              </w:rPr>
            </w:pPr>
            <w:proofErr w:type="spellStart"/>
            <w:r w:rsidRPr="001F626C">
              <w:rPr>
                <w:rFonts w:ascii="Arial Narrow" w:hAnsi="Arial Narrow"/>
              </w:rPr>
              <w:t>Copayments</w:t>
            </w:r>
            <w:proofErr w:type="spellEnd"/>
          </w:p>
        </w:tc>
        <w:tc>
          <w:tcPr>
            <w:tcW w:w="578"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5"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r>
      <w:tr w:rsidR="001F626C" w:rsidRPr="001F626C" w:rsidTr="00C31241">
        <w:tc>
          <w:tcPr>
            <w:tcW w:w="1189" w:type="pct"/>
            <w:shd w:val="clear" w:color="auto" w:fill="auto"/>
            <w:vAlign w:val="center"/>
          </w:tcPr>
          <w:p w:rsidR="001F626C" w:rsidRPr="001F626C" w:rsidRDefault="001F626C" w:rsidP="00447B95">
            <w:pPr>
              <w:pStyle w:val="Tabletext"/>
              <w:keepNext/>
              <w:spacing w:after="0"/>
              <w:rPr>
                <w:rFonts w:ascii="Arial Narrow" w:hAnsi="Arial Narrow"/>
                <w:b/>
              </w:rPr>
            </w:pPr>
            <w:r w:rsidRPr="001F626C">
              <w:rPr>
                <w:rFonts w:ascii="Arial Narrow" w:hAnsi="Arial Narrow"/>
                <w:b/>
              </w:rPr>
              <w:t xml:space="preserve">Cost to PBS/RPBS less </w:t>
            </w:r>
            <w:proofErr w:type="spellStart"/>
            <w:r w:rsidRPr="001F626C">
              <w:rPr>
                <w:rFonts w:ascii="Arial Narrow" w:hAnsi="Arial Narrow"/>
                <w:b/>
              </w:rPr>
              <w:t>copayments</w:t>
            </w:r>
            <w:proofErr w:type="spellEnd"/>
          </w:p>
        </w:tc>
        <w:tc>
          <w:tcPr>
            <w:tcW w:w="578" w:type="pct"/>
            <w:shd w:val="clear" w:color="auto" w:fill="auto"/>
            <w:vAlign w:val="center"/>
          </w:tcPr>
          <w:p w:rsidR="001F626C" w:rsidRPr="00146494" w:rsidRDefault="00146494" w:rsidP="00447B95">
            <w:pPr>
              <w:pStyle w:val="Tabletext"/>
              <w:keepNext/>
              <w:spacing w:after="0"/>
              <w:jc w:val="center"/>
              <w:rPr>
                <w:rFonts w:ascii="Arial Narrow" w:hAnsi="Arial Narrow"/>
                <w:b/>
                <w:bCs/>
                <w:color w:val="000000"/>
                <w:highlight w:val="black"/>
              </w:rPr>
            </w:pPr>
            <w:r>
              <w:rPr>
                <w:rFonts w:ascii="Arial Narrow" w:hAnsi="Arial Narrow"/>
                <w:b/>
                <w:noProof/>
                <w:color w:val="000000"/>
                <w:highlight w:val="black"/>
              </w:rPr>
              <w:t>''''''''''''''''''''''''</w:t>
            </w:r>
          </w:p>
        </w:tc>
        <w:tc>
          <w:tcPr>
            <w:tcW w:w="647" w:type="pct"/>
            <w:shd w:val="clear" w:color="auto" w:fill="auto"/>
            <w:vAlign w:val="center"/>
          </w:tcPr>
          <w:p w:rsidR="001F626C" w:rsidRPr="00146494" w:rsidRDefault="00146494" w:rsidP="00447B95">
            <w:pPr>
              <w:pStyle w:val="Tabletext"/>
              <w:keepNext/>
              <w:spacing w:after="0"/>
              <w:jc w:val="center"/>
              <w:rPr>
                <w:rFonts w:ascii="Arial Narrow" w:hAnsi="Arial Narrow"/>
                <w:b/>
                <w:bCs/>
                <w:color w:val="000000"/>
                <w:highlight w:val="black"/>
              </w:rPr>
            </w:pPr>
            <w:r>
              <w:rPr>
                <w:rFonts w:ascii="Arial Narrow" w:hAnsi="Arial Narrow"/>
                <w:b/>
                <w:noProof/>
                <w:color w:val="000000"/>
                <w:highlight w:val="black"/>
              </w:rPr>
              <w:t>''''''''''''''''''''</w:t>
            </w:r>
          </w:p>
        </w:tc>
        <w:tc>
          <w:tcPr>
            <w:tcW w:w="647" w:type="pct"/>
            <w:shd w:val="clear" w:color="auto" w:fill="auto"/>
            <w:vAlign w:val="center"/>
          </w:tcPr>
          <w:p w:rsidR="001F626C" w:rsidRPr="00146494" w:rsidRDefault="00146494" w:rsidP="00447B95">
            <w:pPr>
              <w:pStyle w:val="Tabletext"/>
              <w:keepNext/>
              <w:spacing w:after="0"/>
              <w:jc w:val="center"/>
              <w:rPr>
                <w:rFonts w:ascii="Arial Narrow" w:hAnsi="Arial Narrow"/>
                <w:b/>
                <w:bCs/>
                <w:color w:val="000000"/>
                <w:highlight w:val="black"/>
              </w:rPr>
            </w:pPr>
            <w:r>
              <w:rPr>
                <w:rFonts w:ascii="Arial Narrow" w:hAnsi="Arial Narrow"/>
                <w:b/>
                <w:noProof/>
                <w:color w:val="000000"/>
                <w:highlight w:val="black"/>
              </w:rPr>
              <w:t>'''''''''''''''''''</w:t>
            </w:r>
          </w:p>
        </w:tc>
        <w:tc>
          <w:tcPr>
            <w:tcW w:w="647" w:type="pct"/>
            <w:shd w:val="clear" w:color="auto" w:fill="auto"/>
            <w:vAlign w:val="center"/>
          </w:tcPr>
          <w:p w:rsidR="001F626C" w:rsidRPr="00146494" w:rsidRDefault="00146494" w:rsidP="00447B95">
            <w:pPr>
              <w:pStyle w:val="Tabletext"/>
              <w:keepNext/>
              <w:spacing w:after="0"/>
              <w:jc w:val="center"/>
              <w:rPr>
                <w:rFonts w:ascii="Arial Narrow" w:hAnsi="Arial Narrow"/>
                <w:b/>
                <w:bCs/>
                <w:color w:val="000000"/>
                <w:highlight w:val="black"/>
              </w:rPr>
            </w:pPr>
            <w:r>
              <w:rPr>
                <w:rFonts w:ascii="Arial Narrow" w:hAnsi="Arial Narrow"/>
                <w:b/>
                <w:noProof/>
                <w:color w:val="000000"/>
                <w:highlight w:val="black"/>
              </w:rPr>
              <w:t>'''''''''''''''''''''</w:t>
            </w:r>
          </w:p>
        </w:tc>
        <w:tc>
          <w:tcPr>
            <w:tcW w:w="647" w:type="pct"/>
            <w:shd w:val="clear" w:color="auto" w:fill="auto"/>
            <w:vAlign w:val="center"/>
          </w:tcPr>
          <w:p w:rsidR="001F626C" w:rsidRPr="00146494" w:rsidRDefault="00146494" w:rsidP="00447B95">
            <w:pPr>
              <w:pStyle w:val="Tabletext"/>
              <w:keepNext/>
              <w:spacing w:after="0"/>
              <w:jc w:val="center"/>
              <w:rPr>
                <w:rFonts w:ascii="Arial Narrow" w:hAnsi="Arial Narrow"/>
                <w:b/>
                <w:bCs/>
                <w:color w:val="000000"/>
                <w:highlight w:val="black"/>
              </w:rPr>
            </w:pPr>
            <w:r>
              <w:rPr>
                <w:rFonts w:ascii="Arial Narrow" w:hAnsi="Arial Narrow"/>
                <w:b/>
                <w:noProof/>
                <w:color w:val="000000"/>
                <w:highlight w:val="black"/>
              </w:rPr>
              <w:t>'''''''''''''''''''''</w:t>
            </w:r>
          </w:p>
        </w:tc>
        <w:tc>
          <w:tcPr>
            <w:tcW w:w="645" w:type="pct"/>
            <w:shd w:val="clear" w:color="auto" w:fill="auto"/>
            <w:vAlign w:val="center"/>
          </w:tcPr>
          <w:p w:rsidR="001F626C" w:rsidRPr="00146494" w:rsidRDefault="00146494" w:rsidP="00447B95">
            <w:pPr>
              <w:pStyle w:val="Tabletext"/>
              <w:keepNext/>
              <w:spacing w:after="0"/>
              <w:jc w:val="center"/>
              <w:rPr>
                <w:rFonts w:ascii="Arial Narrow" w:hAnsi="Arial Narrow"/>
                <w:b/>
                <w:bCs/>
                <w:color w:val="000000"/>
                <w:highlight w:val="black"/>
              </w:rPr>
            </w:pPr>
            <w:r>
              <w:rPr>
                <w:rFonts w:ascii="Arial Narrow" w:hAnsi="Arial Narrow"/>
                <w:b/>
                <w:noProof/>
                <w:color w:val="000000"/>
                <w:highlight w:val="black"/>
              </w:rPr>
              <w:t>''''''''''''''''''''</w:t>
            </w:r>
          </w:p>
        </w:tc>
      </w:tr>
      <w:tr w:rsidR="001F626C" w:rsidRPr="001F626C" w:rsidTr="00C31241">
        <w:tc>
          <w:tcPr>
            <w:tcW w:w="5000" w:type="pct"/>
            <w:gridSpan w:val="7"/>
            <w:shd w:val="clear" w:color="auto" w:fill="auto"/>
            <w:vAlign w:val="center"/>
          </w:tcPr>
          <w:p w:rsidR="001F626C" w:rsidRPr="001F626C" w:rsidRDefault="001F626C" w:rsidP="00447B95">
            <w:pPr>
              <w:pStyle w:val="Tabletext"/>
              <w:keepNext/>
              <w:spacing w:after="0"/>
              <w:rPr>
                <w:rFonts w:ascii="Arial Narrow" w:hAnsi="Arial Narrow"/>
                <w:b/>
                <w:bCs/>
                <w:color w:val="000000"/>
              </w:rPr>
            </w:pPr>
            <w:r w:rsidRPr="001F626C">
              <w:rPr>
                <w:rFonts w:ascii="Arial Narrow" w:hAnsi="Arial Narrow"/>
                <w:b/>
                <w:bCs/>
                <w:color w:val="000000"/>
              </w:rPr>
              <w:t>Net financial implications</w:t>
            </w:r>
            <w:r w:rsidRPr="001F626C">
              <w:rPr>
                <w:rFonts w:ascii="Arial Narrow" w:hAnsi="Arial Narrow"/>
                <w:b/>
                <w:bCs/>
                <w:color w:val="4BACC6" w:themeColor="accent5"/>
              </w:rPr>
              <w:t xml:space="preserve"> </w:t>
            </w:r>
          </w:p>
        </w:tc>
      </w:tr>
      <w:tr w:rsidR="001F626C" w:rsidRPr="001F626C" w:rsidTr="00C31241">
        <w:tc>
          <w:tcPr>
            <w:tcW w:w="1189" w:type="pct"/>
            <w:shd w:val="clear" w:color="auto" w:fill="auto"/>
            <w:vAlign w:val="center"/>
          </w:tcPr>
          <w:p w:rsidR="001F626C" w:rsidRPr="001F626C" w:rsidRDefault="001F626C" w:rsidP="00447B95">
            <w:pPr>
              <w:pStyle w:val="Tabletext"/>
              <w:keepNext/>
              <w:spacing w:after="0"/>
              <w:rPr>
                <w:rFonts w:ascii="Arial Narrow" w:hAnsi="Arial Narrow"/>
                <w:vertAlign w:val="superscript"/>
              </w:rPr>
            </w:pPr>
            <w:r w:rsidRPr="001F626C">
              <w:rPr>
                <w:rFonts w:ascii="Arial Narrow" w:hAnsi="Arial Narrow"/>
              </w:rPr>
              <w:t xml:space="preserve">Net cost to MBS </w:t>
            </w:r>
            <w:r w:rsidRPr="001F626C">
              <w:rPr>
                <w:rFonts w:ascii="Arial Narrow" w:hAnsi="Arial Narrow"/>
                <w:vertAlign w:val="superscript"/>
              </w:rPr>
              <w:t>b</w:t>
            </w:r>
          </w:p>
        </w:tc>
        <w:tc>
          <w:tcPr>
            <w:tcW w:w="578"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5"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r>
      <w:tr w:rsidR="001F626C" w:rsidRPr="001F626C" w:rsidTr="00C31241">
        <w:tc>
          <w:tcPr>
            <w:tcW w:w="1189" w:type="pct"/>
            <w:shd w:val="clear" w:color="auto" w:fill="auto"/>
            <w:vAlign w:val="center"/>
          </w:tcPr>
          <w:p w:rsidR="001F626C" w:rsidRPr="001F626C" w:rsidRDefault="001F626C" w:rsidP="00447B95">
            <w:pPr>
              <w:pStyle w:val="Tabletext"/>
              <w:keepNext/>
              <w:spacing w:after="0"/>
              <w:rPr>
                <w:rFonts w:ascii="Arial Narrow" w:hAnsi="Arial Narrow"/>
              </w:rPr>
            </w:pPr>
            <w:r w:rsidRPr="001F626C">
              <w:rPr>
                <w:rFonts w:ascii="Arial Narrow" w:hAnsi="Arial Narrow"/>
              </w:rPr>
              <w:t>Net cost to MBS (85% fee)</w:t>
            </w:r>
          </w:p>
        </w:tc>
        <w:tc>
          <w:tcPr>
            <w:tcW w:w="578"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45"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noProof/>
                <w:color w:val="000000"/>
                <w:highlight w:val="black"/>
              </w:rPr>
              <w:t>''''''''''''''''''</w:t>
            </w:r>
          </w:p>
        </w:tc>
      </w:tr>
      <w:tr w:rsidR="001F626C" w:rsidRPr="001F626C" w:rsidTr="00C31241">
        <w:tc>
          <w:tcPr>
            <w:tcW w:w="1189" w:type="pct"/>
            <w:shd w:val="clear" w:color="auto" w:fill="auto"/>
            <w:vAlign w:val="center"/>
          </w:tcPr>
          <w:p w:rsidR="001F626C" w:rsidRPr="001F626C" w:rsidRDefault="001F626C" w:rsidP="00447B95">
            <w:pPr>
              <w:pStyle w:val="Tabletext"/>
              <w:keepNext/>
              <w:spacing w:after="0"/>
              <w:rPr>
                <w:rFonts w:ascii="Arial Narrow" w:hAnsi="Arial Narrow"/>
                <w:b/>
              </w:rPr>
            </w:pPr>
            <w:r w:rsidRPr="001F626C">
              <w:rPr>
                <w:rFonts w:ascii="Arial Narrow" w:hAnsi="Arial Narrow"/>
                <w:b/>
              </w:rPr>
              <w:t>Net cost to PBS/RPBS/MBS</w:t>
            </w:r>
          </w:p>
        </w:tc>
        <w:tc>
          <w:tcPr>
            <w:tcW w:w="578"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b/>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b/>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b/>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b/>
                <w:noProof/>
                <w:color w:val="000000"/>
                <w:highlight w:val="black"/>
              </w:rPr>
              <w:t>'''''''''''''''''''''''</w:t>
            </w:r>
          </w:p>
        </w:tc>
        <w:tc>
          <w:tcPr>
            <w:tcW w:w="647"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b/>
                <w:noProof/>
                <w:color w:val="000000"/>
                <w:highlight w:val="black"/>
              </w:rPr>
              <w:t>''''''''''''''''''''''</w:t>
            </w:r>
          </w:p>
        </w:tc>
        <w:tc>
          <w:tcPr>
            <w:tcW w:w="645" w:type="pct"/>
            <w:shd w:val="clear" w:color="auto" w:fill="auto"/>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b/>
                <w:noProof/>
                <w:color w:val="000000"/>
                <w:highlight w:val="black"/>
              </w:rPr>
              <w:t>'''''''''''''''''''''''</w:t>
            </w:r>
          </w:p>
        </w:tc>
      </w:tr>
      <w:tr w:rsidR="001F626C" w:rsidRPr="001F626C" w:rsidTr="00C31241">
        <w:tc>
          <w:tcPr>
            <w:tcW w:w="1189" w:type="pct"/>
            <w:shd w:val="clear" w:color="auto" w:fill="auto"/>
            <w:vAlign w:val="center"/>
          </w:tcPr>
          <w:p w:rsidR="001F626C" w:rsidRPr="001F626C" w:rsidRDefault="001F626C" w:rsidP="00447B95">
            <w:pPr>
              <w:pStyle w:val="Tabletext"/>
              <w:keepNext/>
              <w:spacing w:after="0"/>
              <w:rPr>
                <w:rFonts w:ascii="Arial Narrow" w:hAnsi="Arial Narrow"/>
                <w:b/>
              </w:rPr>
            </w:pPr>
            <w:r w:rsidRPr="001F626C">
              <w:rPr>
                <w:rFonts w:ascii="Arial Narrow" w:hAnsi="Arial Narrow"/>
                <w:b/>
              </w:rPr>
              <w:t>Net cost to PBS/RPBS/MBS (corrected MBS costs)</w:t>
            </w:r>
          </w:p>
        </w:tc>
        <w:tc>
          <w:tcPr>
            <w:tcW w:w="578" w:type="pct"/>
            <w:shd w:val="clear" w:color="auto" w:fill="auto"/>
            <w:vAlign w:val="center"/>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b/>
                <w:noProof/>
                <w:color w:val="000000"/>
                <w:highlight w:val="black"/>
              </w:rPr>
              <w:t>'''''''''''''''''''''</w:t>
            </w:r>
          </w:p>
        </w:tc>
        <w:tc>
          <w:tcPr>
            <w:tcW w:w="647" w:type="pct"/>
            <w:shd w:val="clear" w:color="auto" w:fill="auto"/>
            <w:vAlign w:val="center"/>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b/>
                <w:noProof/>
                <w:color w:val="000000"/>
                <w:highlight w:val="black"/>
              </w:rPr>
              <w:t>'''''''''''''''''''''</w:t>
            </w:r>
          </w:p>
        </w:tc>
        <w:tc>
          <w:tcPr>
            <w:tcW w:w="647" w:type="pct"/>
            <w:shd w:val="clear" w:color="auto" w:fill="auto"/>
            <w:vAlign w:val="center"/>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b/>
                <w:noProof/>
                <w:color w:val="000000"/>
                <w:highlight w:val="black"/>
              </w:rPr>
              <w:t>''''''''''''''''''''''</w:t>
            </w:r>
          </w:p>
        </w:tc>
        <w:tc>
          <w:tcPr>
            <w:tcW w:w="647" w:type="pct"/>
            <w:shd w:val="clear" w:color="auto" w:fill="auto"/>
            <w:vAlign w:val="center"/>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b/>
                <w:noProof/>
                <w:color w:val="000000"/>
                <w:highlight w:val="black"/>
              </w:rPr>
              <w:t>'''''''''''''''''''''</w:t>
            </w:r>
          </w:p>
        </w:tc>
        <w:tc>
          <w:tcPr>
            <w:tcW w:w="647" w:type="pct"/>
            <w:shd w:val="clear" w:color="auto" w:fill="auto"/>
            <w:vAlign w:val="center"/>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b/>
                <w:noProof/>
                <w:color w:val="000000"/>
                <w:highlight w:val="black"/>
              </w:rPr>
              <w:t>'''''''''''''''''''''''</w:t>
            </w:r>
          </w:p>
        </w:tc>
        <w:tc>
          <w:tcPr>
            <w:tcW w:w="645" w:type="pct"/>
            <w:shd w:val="clear" w:color="auto" w:fill="auto"/>
            <w:vAlign w:val="center"/>
          </w:tcPr>
          <w:p w:rsidR="001F626C" w:rsidRPr="00146494" w:rsidRDefault="00146494" w:rsidP="00447B95">
            <w:pPr>
              <w:pStyle w:val="Tabletext"/>
              <w:keepNext/>
              <w:spacing w:after="0"/>
              <w:jc w:val="center"/>
              <w:rPr>
                <w:rFonts w:ascii="Arial Narrow" w:hAnsi="Arial Narrow"/>
                <w:bCs/>
                <w:color w:val="000000"/>
                <w:highlight w:val="black"/>
              </w:rPr>
            </w:pPr>
            <w:r>
              <w:rPr>
                <w:rFonts w:ascii="Arial Narrow" w:hAnsi="Arial Narrow"/>
                <w:b/>
                <w:noProof/>
                <w:color w:val="000000"/>
                <w:highlight w:val="black"/>
              </w:rPr>
              <w:t>''''''''''''''''''''''</w:t>
            </w:r>
          </w:p>
        </w:tc>
      </w:tr>
    </w:tbl>
    <w:p w:rsidR="001F626C" w:rsidRDefault="001F626C" w:rsidP="00447B95">
      <w:pPr>
        <w:keepNext/>
        <w:widowControl w:val="0"/>
        <w:spacing w:after="120"/>
        <w:rPr>
          <w:rFonts w:ascii="Arial Narrow" w:eastAsiaTheme="minorHAnsi" w:hAnsi="Arial Narrow" w:cstheme="minorBidi"/>
          <w:sz w:val="20"/>
          <w:szCs w:val="20"/>
          <w:lang w:eastAsia="en-US"/>
        </w:rPr>
      </w:pPr>
      <w:r w:rsidRPr="00C34D31">
        <w:rPr>
          <w:rFonts w:ascii="Arial Narrow" w:eastAsiaTheme="minorHAnsi" w:hAnsi="Arial Narrow" w:cstheme="minorBidi"/>
          <w:sz w:val="20"/>
          <w:szCs w:val="20"/>
          <w:lang w:eastAsia="en-US"/>
        </w:rPr>
        <w:t xml:space="preserve">Source: Table 14 </w:t>
      </w:r>
      <w:proofErr w:type="spellStart"/>
      <w:r w:rsidR="00026DE2" w:rsidRPr="00C34D31">
        <w:rPr>
          <w:rFonts w:ascii="Arial Narrow" w:eastAsiaTheme="minorHAnsi" w:hAnsi="Arial Narrow" w:cstheme="minorBidi"/>
          <w:sz w:val="20"/>
          <w:szCs w:val="20"/>
          <w:lang w:eastAsia="en-US"/>
        </w:rPr>
        <w:t>brentuximab</w:t>
      </w:r>
      <w:proofErr w:type="spellEnd"/>
      <w:r w:rsidR="00026DE2" w:rsidRPr="00C34D31">
        <w:rPr>
          <w:rFonts w:ascii="Arial Narrow" w:eastAsiaTheme="minorHAnsi" w:hAnsi="Arial Narrow" w:cstheme="minorBidi"/>
          <w:sz w:val="20"/>
          <w:szCs w:val="20"/>
          <w:lang w:eastAsia="en-US"/>
        </w:rPr>
        <w:t xml:space="preserve"> </w:t>
      </w:r>
      <w:proofErr w:type="spellStart"/>
      <w:r w:rsidR="00026DE2" w:rsidRPr="00C34D31">
        <w:rPr>
          <w:rFonts w:ascii="Arial Narrow" w:eastAsiaTheme="minorHAnsi" w:hAnsi="Arial Narrow" w:cstheme="minorBidi"/>
          <w:sz w:val="20"/>
          <w:szCs w:val="20"/>
          <w:lang w:eastAsia="en-US"/>
        </w:rPr>
        <w:t>vedotin</w:t>
      </w:r>
      <w:proofErr w:type="spellEnd"/>
      <w:r w:rsidR="00026DE2" w:rsidRPr="00C34D31">
        <w:rPr>
          <w:rFonts w:ascii="Arial Narrow" w:eastAsiaTheme="minorHAnsi" w:hAnsi="Arial Narrow" w:cstheme="minorBidi"/>
          <w:sz w:val="20"/>
          <w:szCs w:val="20"/>
          <w:lang w:eastAsia="en-US"/>
        </w:rPr>
        <w:t xml:space="preserve"> PBAC </w:t>
      </w:r>
      <w:r w:rsidR="006D4D52">
        <w:rPr>
          <w:rFonts w:ascii="Arial Narrow" w:eastAsiaTheme="minorHAnsi" w:hAnsi="Arial Narrow" w:cstheme="minorBidi"/>
          <w:sz w:val="20"/>
          <w:szCs w:val="20"/>
          <w:lang w:eastAsia="en-US"/>
        </w:rPr>
        <w:t>PSD</w:t>
      </w:r>
      <w:r w:rsidR="00026DE2" w:rsidRPr="00C34D31">
        <w:rPr>
          <w:rFonts w:ascii="Arial Narrow" w:eastAsiaTheme="minorHAnsi" w:hAnsi="Arial Narrow" w:cstheme="minorBidi"/>
          <w:sz w:val="20"/>
          <w:szCs w:val="20"/>
          <w:lang w:eastAsia="en-US"/>
        </w:rPr>
        <w:t>, July 2018</w:t>
      </w:r>
      <w:r w:rsidR="0096748D">
        <w:rPr>
          <w:rFonts w:ascii="Arial Narrow" w:eastAsiaTheme="minorHAnsi" w:hAnsi="Arial Narrow" w:cstheme="minorBidi"/>
          <w:sz w:val="20"/>
          <w:szCs w:val="20"/>
          <w:lang w:eastAsia="en-US"/>
        </w:rPr>
        <w:t>, Table A4 p</w:t>
      </w:r>
      <w:r w:rsidR="00026DE2" w:rsidRPr="00C34D31">
        <w:rPr>
          <w:rFonts w:ascii="Arial Narrow" w:eastAsiaTheme="minorHAnsi" w:hAnsi="Arial Narrow" w:cstheme="minorBidi"/>
          <w:sz w:val="20"/>
          <w:szCs w:val="20"/>
          <w:lang w:eastAsia="en-US"/>
        </w:rPr>
        <w:t>24 minor resubmission</w:t>
      </w:r>
      <w:r w:rsidR="00C34D31">
        <w:rPr>
          <w:rFonts w:ascii="Arial Narrow" w:eastAsiaTheme="minorHAnsi" w:hAnsi="Arial Narrow" w:cstheme="minorBidi"/>
          <w:sz w:val="20"/>
          <w:szCs w:val="20"/>
          <w:lang w:eastAsia="en-US"/>
        </w:rPr>
        <w:br/>
      </w:r>
      <w:r w:rsidRPr="00C34D31">
        <w:rPr>
          <w:rFonts w:ascii="Arial Narrow" w:eastAsiaTheme="minorHAnsi" w:hAnsi="Arial Narrow" w:cstheme="minorBidi"/>
          <w:sz w:val="20"/>
          <w:szCs w:val="20"/>
          <w:lang w:eastAsia="en-US"/>
        </w:rPr>
        <w:t>MBS = Medicare Benefits Schedule; PBS = Pharmaceutical Benefits Scheme; RPBS = Repatriation Schedule of Pharmaceutical Benefits</w:t>
      </w:r>
      <w:r w:rsidR="00C34D31">
        <w:rPr>
          <w:rFonts w:ascii="Arial Narrow" w:eastAsiaTheme="minorHAnsi" w:hAnsi="Arial Narrow" w:cstheme="minorBidi"/>
          <w:sz w:val="20"/>
          <w:szCs w:val="20"/>
          <w:lang w:eastAsia="en-US"/>
        </w:rPr>
        <w:br/>
      </w:r>
      <w:r w:rsidRPr="00C34D31">
        <w:rPr>
          <w:rFonts w:ascii="Arial Narrow" w:eastAsiaTheme="minorHAnsi" w:hAnsi="Arial Narrow" w:cstheme="minorBidi"/>
          <w:sz w:val="20"/>
          <w:szCs w:val="20"/>
          <w:vertAlign w:val="superscript"/>
          <w:lang w:eastAsia="en-US"/>
        </w:rPr>
        <w:t>a</w:t>
      </w:r>
      <w:r w:rsidRPr="00C34D31">
        <w:rPr>
          <w:rFonts w:ascii="Arial Narrow" w:eastAsiaTheme="minorHAnsi" w:hAnsi="Arial Narrow" w:cstheme="minorBidi"/>
          <w:sz w:val="20"/>
          <w:szCs w:val="20"/>
          <w:lang w:eastAsia="en-US"/>
        </w:rPr>
        <w:t xml:space="preserve"> 10.3 prescriptions per patient per course.</w:t>
      </w:r>
      <w:r w:rsidR="00C34D31">
        <w:rPr>
          <w:rFonts w:ascii="Arial Narrow" w:eastAsiaTheme="minorHAnsi" w:hAnsi="Arial Narrow" w:cstheme="minorBidi"/>
          <w:sz w:val="20"/>
          <w:szCs w:val="20"/>
          <w:lang w:eastAsia="en-US"/>
        </w:rPr>
        <w:br/>
      </w:r>
      <w:proofErr w:type="gramStart"/>
      <w:r w:rsidRPr="00C34D31">
        <w:rPr>
          <w:rFonts w:ascii="Arial Narrow" w:eastAsiaTheme="minorHAnsi" w:hAnsi="Arial Narrow" w:cstheme="minorBidi"/>
          <w:sz w:val="20"/>
          <w:szCs w:val="20"/>
          <w:vertAlign w:val="superscript"/>
          <w:lang w:eastAsia="en-US"/>
        </w:rPr>
        <w:t>b</w:t>
      </w:r>
      <w:proofErr w:type="gramEnd"/>
      <w:r w:rsidRPr="00C34D31">
        <w:rPr>
          <w:rFonts w:ascii="Arial Narrow" w:eastAsiaTheme="minorHAnsi" w:hAnsi="Arial Narrow" w:cstheme="minorBidi"/>
          <w:sz w:val="20"/>
          <w:szCs w:val="20"/>
          <w:lang w:eastAsia="en-US"/>
        </w:rPr>
        <w:t xml:space="preserve"> </w:t>
      </w:r>
      <w:r w:rsidR="00E2386F" w:rsidRPr="00C34D31">
        <w:rPr>
          <w:rFonts w:ascii="Arial Narrow" w:eastAsiaTheme="minorHAnsi" w:hAnsi="Arial Narrow" w:cstheme="minorBidi"/>
          <w:sz w:val="20"/>
          <w:szCs w:val="20"/>
          <w:lang w:eastAsia="en-US"/>
        </w:rPr>
        <w:t>The DPM</w:t>
      </w:r>
      <w:r w:rsidR="0031746C">
        <w:rPr>
          <w:rFonts w:ascii="Arial Narrow" w:eastAsiaTheme="minorHAnsi" w:hAnsi="Arial Narrow" w:cstheme="minorBidi"/>
          <w:sz w:val="20"/>
          <w:szCs w:val="20"/>
          <w:lang w:eastAsia="en-US"/>
        </w:rPr>
        <w:t>A is calculated to be $</w:t>
      </w:r>
      <w:r w:rsidR="00146494">
        <w:rPr>
          <w:rFonts w:ascii="Arial Narrow" w:eastAsiaTheme="minorHAnsi" w:hAnsi="Arial Narrow" w:cstheme="minorBidi"/>
          <w:noProof/>
          <w:color w:val="000000"/>
          <w:sz w:val="20"/>
          <w:szCs w:val="20"/>
          <w:highlight w:val="black"/>
          <w:lang w:eastAsia="en-US"/>
        </w:rPr>
        <w:t>'''''''''''''''''''''</w:t>
      </w:r>
      <w:r w:rsidR="0031746C">
        <w:rPr>
          <w:rFonts w:ascii="Arial Narrow" w:eastAsiaTheme="minorHAnsi" w:hAnsi="Arial Narrow" w:cstheme="minorBidi"/>
          <w:sz w:val="20"/>
          <w:szCs w:val="20"/>
          <w:lang w:eastAsia="en-US"/>
        </w:rPr>
        <w:t xml:space="preserve"> </w:t>
      </w:r>
      <w:r w:rsidR="00E2386F" w:rsidRPr="00C34D31">
        <w:rPr>
          <w:rFonts w:ascii="Arial Narrow" w:eastAsiaTheme="minorHAnsi" w:hAnsi="Arial Narrow" w:cstheme="minorBidi"/>
          <w:sz w:val="20"/>
          <w:szCs w:val="20"/>
          <w:lang w:eastAsia="en-US"/>
        </w:rPr>
        <w:t xml:space="preserve">/ vial across the public and private settings. The weighted price </w:t>
      </w:r>
      <w:proofErr w:type="gramStart"/>
      <w:r w:rsidR="00E2386F" w:rsidRPr="00C34D31">
        <w:rPr>
          <w:rFonts w:ascii="Arial Narrow" w:eastAsiaTheme="minorHAnsi" w:hAnsi="Arial Narrow" w:cstheme="minorBidi"/>
          <w:sz w:val="20"/>
          <w:szCs w:val="20"/>
          <w:lang w:eastAsia="en-US"/>
        </w:rPr>
        <w:t>is based</w:t>
      </w:r>
      <w:proofErr w:type="gramEnd"/>
      <w:r w:rsidR="00E2386F" w:rsidRPr="00C34D31">
        <w:rPr>
          <w:rFonts w:ascii="Arial Narrow" w:eastAsiaTheme="minorHAnsi" w:hAnsi="Arial Narrow" w:cstheme="minorBidi"/>
          <w:sz w:val="20"/>
          <w:szCs w:val="20"/>
          <w:lang w:eastAsia="en-US"/>
        </w:rPr>
        <w:t xml:space="preserve"> on current utilisation of </w:t>
      </w:r>
      <w:proofErr w:type="spellStart"/>
      <w:r w:rsidR="00E2386F" w:rsidRPr="00C34D31">
        <w:rPr>
          <w:rFonts w:ascii="Arial Narrow" w:eastAsiaTheme="minorHAnsi" w:hAnsi="Arial Narrow" w:cstheme="minorBidi"/>
          <w:sz w:val="20"/>
          <w:szCs w:val="20"/>
          <w:lang w:eastAsia="en-US"/>
        </w:rPr>
        <w:t>brentuximab</w:t>
      </w:r>
      <w:proofErr w:type="spellEnd"/>
      <w:r w:rsidR="00E2386F" w:rsidRPr="00C34D31">
        <w:rPr>
          <w:rFonts w:ascii="Arial Narrow" w:eastAsiaTheme="minorHAnsi" w:hAnsi="Arial Narrow" w:cstheme="minorBidi"/>
          <w:sz w:val="20"/>
          <w:szCs w:val="20"/>
          <w:lang w:eastAsia="en-US"/>
        </w:rPr>
        <w:t xml:space="preserve"> </w:t>
      </w:r>
      <w:proofErr w:type="spellStart"/>
      <w:r w:rsidR="00E2386F" w:rsidRPr="00C34D31">
        <w:rPr>
          <w:rFonts w:ascii="Arial Narrow" w:eastAsiaTheme="minorHAnsi" w:hAnsi="Arial Narrow" w:cstheme="minorBidi"/>
          <w:sz w:val="20"/>
          <w:szCs w:val="20"/>
          <w:lang w:eastAsia="en-US"/>
        </w:rPr>
        <w:t>vedotin</w:t>
      </w:r>
      <w:proofErr w:type="spellEnd"/>
      <w:r w:rsidR="00E2386F" w:rsidRPr="00C34D31">
        <w:rPr>
          <w:rFonts w:ascii="Arial Narrow" w:eastAsiaTheme="minorHAnsi" w:hAnsi="Arial Narrow" w:cstheme="minorBidi"/>
          <w:sz w:val="20"/>
          <w:szCs w:val="20"/>
          <w:lang w:eastAsia="en-US"/>
        </w:rPr>
        <w:t xml:space="preserve"> in the two RR HL indications: 42% in the public setting and 58% in the private.</w:t>
      </w:r>
      <w:r w:rsidR="00C34D31">
        <w:rPr>
          <w:rFonts w:ascii="Arial Narrow" w:eastAsiaTheme="minorHAnsi" w:hAnsi="Arial Narrow" w:cstheme="minorBidi"/>
          <w:sz w:val="20"/>
          <w:szCs w:val="20"/>
          <w:lang w:eastAsia="en-US"/>
        </w:rPr>
        <w:br/>
      </w:r>
      <w:proofErr w:type="gramStart"/>
      <w:r w:rsidR="00E2386F" w:rsidRPr="00C34D31">
        <w:rPr>
          <w:rFonts w:ascii="Arial Narrow" w:eastAsiaTheme="minorHAnsi" w:hAnsi="Arial Narrow" w:cstheme="minorBidi"/>
          <w:sz w:val="20"/>
          <w:szCs w:val="20"/>
          <w:vertAlign w:val="superscript"/>
          <w:lang w:eastAsia="en-US"/>
        </w:rPr>
        <w:t>c</w:t>
      </w:r>
      <w:proofErr w:type="gramEnd"/>
      <w:r w:rsidR="00E2386F" w:rsidRPr="00C34D31">
        <w:rPr>
          <w:rFonts w:ascii="Arial Narrow" w:eastAsiaTheme="minorHAnsi" w:hAnsi="Arial Narrow" w:cstheme="minorBidi"/>
          <w:sz w:val="20"/>
          <w:szCs w:val="20"/>
          <w:lang w:eastAsia="en-US"/>
        </w:rPr>
        <w:t xml:space="preserve"> </w:t>
      </w:r>
      <w:proofErr w:type="spellStart"/>
      <w:r w:rsidRPr="00C34D31">
        <w:rPr>
          <w:rFonts w:ascii="Arial Narrow" w:eastAsiaTheme="minorHAnsi" w:hAnsi="Arial Narrow" w:cstheme="minorBidi"/>
          <w:sz w:val="20"/>
          <w:szCs w:val="20"/>
          <w:lang w:eastAsia="en-US"/>
        </w:rPr>
        <w:t>Brentuximab</w:t>
      </w:r>
      <w:proofErr w:type="spellEnd"/>
      <w:r w:rsidRPr="00C34D31">
        <w:rPr>
          <w:rFonts w:ascii="Arial Narrow" w:eastAsiaTheme="minorHAnsi" w:hAnsi="Arial Narrow" w:cstheme="minorBidi"/>
          <w:sz w:val="20"/>
          <w:szCs w:val="20"/>
          <w:lang w:eastAsia="en-US"/>
        </w:rPr>
        <w:t xml:space="preserve"> </w:t>
      </w:r>
      <w:proofErr w:type="spellStart"/>
      <w:r w:rsidRPr="00C34D31">
        <w:rPr>
          <w:rFonts w:ascii="Arial Narrow" w:eastAsiaTheme="minorHAnsi" w:hAnsi="Arial Narrow" w:cstheme="minorBidi"/>
          <w:sz w:val="20"/>
          <w:szCs w:val="20"/>
          <w:lang w:eastAsia="en-US"/>
        </w:rPr>
        <w:t>vedotin</w:t>
      </w:r>
      <w:proofErr w:type="spellEnd"/>
      <w:r w:rsidRPr="00C34D31">
        <w:rPr>
          <w:rFonts w:ascii="Arial Narrow" w:eastAsiaTheme="minorHAnsi" w:hAnsi="Arial Narrow" w:cstheme="minorBidi"/>
          <w:sz w:val="20"/>
          <w:szCs w:val="20"/>
          <w:lang w:eastAsia="en-US"/>
        </w:rPr>
        <w:t xml:space="preserve"> estimated to require 10 additional IV infusions, 5 additional specialist consultations, and 10 additional blood tests (full blood count and biochemistry).</w:t>
      </w:r>
    </w:p>
    <w:p w:rsidR="002904CE" w:rsidRPr="00C31241" w:rsidRDefault="002904CE" w:rsidP="00447B95">
      <w:pPr>
        <w:keepNext/>
        <w:widowControl w:val="0"/>
        <w:spacing w:after="120"/>
        <w:rPr>
          <w:rFonts w:asciiTheme="minorHAnsi" w:eastAsiaTheme="minorHAnsi" w:hAnsiTheme="minorHAnsi" w:cstheme="minorHAnsi"/>
          <w:i/>
          <w:lang w:eastAsia="en-US"/>
        </w:rPr>
      </w:pPr>
      <w:r w:rsidRPr="00C31241">
        <w:rPr>
          <w:rFonts w:asciiTheme="minorHAnsi" w:eastAsiaTheme="minorHAnsi" w:hAnsiTheme="minorHAnsi" w:cstheme="minorHAnsi"/>
          <w:i/>
          <w:lang w:eastAsia="en-US"/>
        </w:rPr>
        <w:t xml:space="preserve">The redacted table </w:t>
      </w:r>
      <w:proofErr w:type="spellStart"/>
      <w:r w:rsidRPr="00C31241">
        <w:rPr>
          <w:rFonts w:asciiTheme="minorHAnsi" w:eastAsiaTheme="minorHAnsi" w:hAnsiTheme="minorHAnsi" w:cstheme="minorHAnsi"/>
          <w:i/>
          <w:lang w:eastAsia="en-US"/>
        </w:rPr>
        <w:t>table</w:t>
      </w:r>
      <w:proofErr w:type="spellEnd"/>
      <w:r w:rsidRPr="00C31241">
        <w:rPr>
          <w:rFonts w:asciiTheme="minorHAnsi" w:eastAsiaTheme="minorHAnsi" w:hAnsiTheme="minorHAnsi" w:cstheme="minorHAnsi"/>
          <w:i/>
          <w:lang w:eastAsia="en-US"/>
        </w:rPr>
        <w:t xml:space="preserve"> shows that at Year 6 the estimated number of patients would be substanti</w:t>
      </w:r>
      <w:r w:rsidR="00D47CAA">
        <w:rPr>
          <w:rFonts w:asciiTheme="minorHAnsi" w:eastAsiaTheme="minorHAnsi" w:hAnsiTheme="minorHAnsi" w:cstheme="minorHAnsi"/>
          <w:i/>
          <w:lang w:eastAsia="en-US"/>
        </w:rPr>
        <w:t>ally less than 10,000 per year.</w:t>
      </w:r>
    </w:p>
    <w:p w:rsidR="006451C4" w:rsidRDefault="00241F53" w:rsidP="00026DE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In the July </w:t>
      </w:r>
      <w:proofErr w:type="gramStart"/>
      <w:r>
        <w:rPr>
          <w:rFonts w:asciiTheme="minorHAnsi" w:eastAsiaTheme="minorHAnsi" w:hAnsiTheme="minorHAnsi" w:cstheme="minorBidi"/>
          <w:snapToGrid/>
          <w:sz w:val="24"/>
          <w:szCs w:val="22"/>
        </w:rPr>
        <w:t>2018</w:t>
      </w:r>
      <w:proofErr w:type="gramEnd"/>
      <w:r>
        <w:rPr>
          <w:rFonts w:asciiTheme="minorHAnsi" w:eastAsiaTheme="minorHAnsi" w:hAnsiTheme="minorHAnsi" w:cstheme="minorBidi"/>
          <w:snapToGrid/>
          <w:sz w:val="24"/>
          <w:szCs w:val="22"/>
        </w:rPr>
        <w:t xml:space="preserve"> consideration of </w:t>
      </w:r>
      <w:proofErr w:type="spellStart"/>
      <w:r>
        <w:rPr>
          <w:rFonts w:asciiTheme="minorHAnsi" w:eastAsiaTheme="minorHAnsi" w:hAnsiTheme="minorHAnsi" w:cstheme="minorBidi"/>
          <w:snapToGrid/>
          <w:sz w:val="24"/>
          <w:szCs w:val="22"/>
        </w:rPr>
        <w:t>brentuximab</w:t>
      </w:r>
      <w:proofErr w:type="spellEnd"/>
      <w:r>
        <w:rPr>
          <w:rFonts w:asciiTheme="minorHAnsi" w:eastAsiaTheme="minorHAnsi" w:hAnsiTheme="minorHAnsi" w:cstheme="minorBidi"/>
          <w:snapToGrid/>
          <w:sz w:val="24"/>
          <w:szCs w:val="22"/>
        </w:rPr>
        <w:t xml:space="preserve"> </w:t>
      </w:r>
      <w:proofErr w:type="spellStart"/>
      <w:r>
        <w:rPr>
          <w:rFonts w:asciiTheme="minorHAnsi" w:eastAsiaTheme="minorHAnsi" w:hAnsiTheme="minorHAnsi" w:cstheme="minorBidi"/>
          <w:snapToGrid/>
          <w:sz w:val="24"/>
          <w:szCs w:val="22"/>
        </w:rPr>
        <w:t>vedotin</w:t>
      </w:r>
      <w:proofErr w:type="spellEnd"/>
      <w:r>
        <w:rPr>
          <w:rFonts w:asciiTheme="minorHAnsi" w:eastAsiaTheme="minorHAnsi" w:hAnsiTheme="minorHAnsi" w:cstheme="minorBidi"/>
          <w:snapToGrid/>
          <w:sz w:val="24"/>
          <w:szCs w:val="22"/>
        </w:rPr>
        <w:t xml:space="preserve"> the PBAC considered that the</w:t>
      </w:r>
      <w:r w:rsidRPr="00241F53">
        <w:rPr>
          <w:rFonts w:asciiTheme="minorHAnsi" w:eastAsiaTheme="minorHAnsi" w:hAnsiTheme="minorHAnsi" w:cstheme="minorBidi"/>
          <w:snapToGrid/>
          <w:sz w:val="24"/>
          <w:szCs w:val="22"/>
        </w:rPr>
        <w:t xml:space="preserve"> overall the estimated budget impact was relatively low, due to the small number of patients eligible for treatment. However, the PBAC considered the estimates </w:t>
      </w:r>
      <w:proofErr w:type="gramStart"/>
      <w:r w:rsidRPr="00241F53">
        <w:rPr>
          <w:rFonts w:asciiTheme="minorHAnsi" w:eastAsiaTheme="minorHAnsi" w:hAnsiTheme="minorHAnsi" w:cstheme="minorBidi"/>
          <w:snapToGrid/>
          <w:sz w:val="24"/>
          <w:szCs w:val="22"/>
        </w:rPr>
        <w:t>to be uncertain</w:t>
      </w:r>
      <w:proofErr w:type="gramEnd"/>
      <w:r w:rsidRPr="00241F53">
        <w:rPr>
          <w:rFonts w:asciiTheme="minorHAnsi" w:eastAsiaTheme="minorHAnsi" w:hAnsiTheme="minorHAnsi" w:cstheme="minorBidi"/>
          <w:snapToGrid/>
          <w:sz w:val="24"/>
          <w:szCs w:val="22"/>
        </w:rPr>
        <w:t xml:space="preserve"> as there was a substantial risk of use of </w:t>
      </w:r>
      <w:proofErr w:type="spellStart"/>
      <w:r w:rsidRPr="00241F53">
        <w:rPr>
          <w:rFonts w:asciiTheme="minorHAnsi" w:eastAsiaTheme="minorHAnsi" w:hAnsiTheme="minorHAnsi" w:cstheme="minorBidi"/>
          <w:snapToGrid/>
          <w:sz w:val="24"/>
          <w:szCs w:val="22"/>
        </w:rPr>
        <w:t>brentuximab</w:t>
      </w:r>
      <w:proofErr w:type="spellEnd"/>
      <w:r w:rsidRPr="00241F53">
        <w:rPr>
          <w:rFonts w:asciiTheme="minorHAnsi" w:eastAsiaTheme="minorHAnsi" w:hAnsiTheme="minorHAnsi" w:cstheme="minorBidi"/>
          <w:snapToGrid/>
          <w:sz w:val="24"/>
          <w:szCs w:val="22"/>
        </w:rPr>
        <w:t xml:space="preserve"> </w:t>
      </w:r>
      <w:proofErr w:type="spellStart"/>
      <w:r w:rsidRPr="00241F53">
        <w:rPr>
          <w:rFonts w:asciiTheme="minorHAnsi" w:eastAsiaTheme="minorHAnsi" w:hAnsiTheme="minorHAnsi" w:cstheme="minorBidi"/>
          <w:snapToGrid/>
          <w:sz w:val="24"/>
          <w:szCs w:val="22"/>
        </w:rPr>
        <w:t>vedotin</w:t>
      </w:r>
      <w:proofErr w:type="spellEnd"/>
      <w:r w:rsidRPr="00241F53">
        <w:rPr>
          <w:rFonts w:asciiTheme="minorHAnsi" w:eastAsiaTheme="minorHAnsi" w:hAnsiTheme="minorHAnsi" w:cstheme="minorBidi"/>
          <w:snapToGrid/>
          <w:sz w:val="24"/>
          <w:szCs w:val="22"/>
        </w:rPr>
        <w:t xml:space="preserve"> outside the restriction particularly for use as a first line therapy</w:t>
      </w:r>
      <w:r>
        <w:rPr>
          <w:rFonts w:asciiTheme="minorHAnsi" w:eastAsiaTheme="minorHAnsi" w:hAnsiTheme="minorHAnsi" w:cstheme="minorBidi"/>
          <w:snapToGrid/>
          <w:sz w:val="24"/>
          <w:szCs w:val="22"/>
        </w:rPr>
        <w:t xml:space="preserve"> </w:t>
      </w:r>
      <w:r w:rsidR="007500A6">
        <w:rPr>
          <w:rFonts w:asciiTheme="minorHAnsi" w:eastAsiaTheme="minorHAnsi" w:hAnsiTheme="minorHAnsi" w:cstheme="minorBidi"/>
          <w:snapToGrid/>
          <w:sz w:val="24"/>
          <w:szCs w:val="22"/>
        </w:rPr>
        <w:t>(Paragraph 7.16</w:t>
      </w:r>
      <w:r w:rsidRPr="00241F53">
        <w:rPr>
          <w:rFonts w:asciiTheme="minorHAnsi" w:eastAsiaTheme="minorHAnsi" w:hAnsiTheme="minorHAnsi" w:cstheme="minorBidi"/>
          <w:snapToGrid/>
          <w:sz w:val="24"/>
          <w:szCs w:val="22"/>
        </w:rPr>
        <w:t xml:space="preserve">, </w:t>
      </w:r>
      <w:proofErr w:type="spellStart"/>
      <w:r w:rsidRPr="00241F53">
        <w:rPr>
          <w:rFonts w:asciiTheme="minorHAnsi" w:eastAsiaTheme="minorHAnsi" w:hAnsiTheme="minorHAnsi" w:cstheme="minorBidi"/>
          <w:snapToGrid/>
          <w:sz w:val="24"/>
          <w:szCs w:val="22"/>
        </w:rPr>
        <w:t>brentuximab</w:t>
      </w:r>
      <w:proofErr w:type="spellEnd"/>
      <w:r w:rsidRPr="00241F53">
        <w:rPr>
          <w:rFonts w:asciiTheme="minorHAnsi" w:eastAsiaTheme="minorHAnsi" w:hAnsiTheme="minorHAnsi" w:cstheme="minorBidi"/>
          <w:snapToGrid/>
          <w:sz w:val="24"/>
          <w:szCs w:val="22"/>
        </w:rPr>
        <w:t xml:space="preserve"> </w:t>
      </w:r>
      <w:proofErr w:type="spellStart"/>
      <w:r w:rsidRPr="00241F53">
        <w:rPr>
          <w:rFonts w:asciiTheme="minorHAnsi" w:eastAsiaTheme="minorHAnsi" w:hAnsiTheme="minorHAnsi" w:cstheme="minorBidi"/>
          <w:snapToGrid/>
          <w:sz w:val="24"/>
          <w:szCs w:val="22"/>
        </w:rPr>
        <w:t>vedotin</w:t>
      </w:r>
      <w:proofErr w:type="spellEnd"/>
      <w:r w:rsidRPr="00241F53">
        <w:rPr>
          <w:rFonts w:asciiTheme="minorHAnsi" w:eastAsiaTheme="minorHAnsi" w:hAnsiTheme="minorHAnsi" w:cstheme="minorBidi"/>
          <w:snapToGrid/>
          <w:sz w:val="24"/>
          <w:szCs w:val="22"/>
        </w:rPr>
        <w:t xml:space="preserve"> PBAC </w:t>
      </w:r>
      <w:r w:rsidR="006D4D52">
        <w:rPr>
          <w:rFonts w:asciiTheme="minorHAnsi" w:eastAsiaTheme="minorHAnsi" w:hAnsiTheme="minorHAnsi" w:cstheme="minorBidi"/>
          <w:snapToGrid/>
          <w:sz w:val="24"/>
          <w:szCs w:val="22"/>
        </w:rPr>
        <w:t>PSD</w:t>
      </w:r>
      <w:r w:rsidRPr="00241F53">
        <w:rPr>
          <w:rFonts w:asciiTheme="minorHAnsi" w:eastAsiaTheme="minorHAnsi" w:hAnsiTheme="minorHAnsi" w:cstheme="minorBidi"/>
          <w:snapToGrid/>
          <w:sz w:val="24"/>
          <w:szCs w:val="22"/>
        </w:rPr>
        <w:t>, July 2018).</w:t>
      </w:r>
    </w:p>
    <w:p w:rsidR="00026DE2" w:rsidRDefault="006451C4" w:rsidP="00026DE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 xml:space="preserve">The PBAC </w:t>
      </w:r>
      <w:r w:rsidR="00322ABB">
        <w:rPr>
          <w:rFonts w:asciiTheme="minorHAnsi" w:eastAsiaTheme="minorHAnsi" w:hAnsiTheme="minorHAnsi" w:cstheme="minorBidi"/>
          <w:snapToGrid/>
          <w:sz w:val="24"/>
          <w:szCs w:val="22"/>
        </w:rPr>
        <w:t xml:space="preserve">noted the amendments to the proposed restriction </w:t>
      </w:r>
      <w:r w:rsidR="008B00E3">
        <w:rPr>
          <w:rStyle w:val="CommentReference"/>
          <w:rFonts w:ascii="Calibri" w:hAnsi="Calibri"/>
          <w:sz w:val="24"/>
          <w:szCs w:val="22"/>
        </w:rPr>
        <w:t xml:space="preserve">(restricting use first line or in combination with other CTCL therapies) </w:t>
      </w:r>
      <w:r w:rsidR="00322ABB">
        <w:rPr>
          <w:rFonts w:asciiTheme="minorHAnsi" w:eastAsiaTheme="minorHAnsi" w:hAnsiTheme="minorHAnsi" w:cstheme="minorBidi"/>
          <w:snapToGrid/>
          <w:sz w:val="24"/>
          <w:szCs w:val="22"/>
        </w:rPr>
        <w:t xml:space="preserve">and considered that </w:t>
      </w:r>
      <w:r>
        <w:rPr>
          <w:rFonts w:asciiTheme="minorHAnsi" w:eastAsiaTheme="minorHAnsi" w:hAnsiTheme="minorHAnsi" w:cstheme="minorBidi"/>
          <w:snapToGrid/>
          <w:sz w:val="24"/>
          <w:szCs w:val="22"/>
        </w:rPr>
        <w:t xml:space="preserve">it was </w:t>
      </w:r>
      <w:r w:rsidR="008B00E3">
        <w:rPr>
          <w:rFonts w:asciiTheme="minorHAnsi" w:eastAsiaTheme="minorHAnsi" w:hAnsiTheme="minorHAnsi" w:cstheme="minorBidi"/>
          <w:snapToGrid/>
          <w:sz w:val="24"/>
          <w:szCs w:val="22"/>
        </w:rPr>
        <w:t xml:space="preserve">now </w:t>
      </w:r>
      <w:r>
        <w:rPr>
          <w:rFonts w:asciiTheme="minorHAnsi" w:eastAsiaTheme="minorHAnsi" w:hAnsiTheme="minorHAnsi" w:cstheme="minorBidi"/>
          <w:snapToGrid/>
          <w:sz w:val="24"/>
          <w:szCs w:val="22"/>
        </w:rPr>
        <w:t xml:space="preserve">reasonable to accept the </w:t>
      </w:r>
      <w:r w:rsidR="00322ABB">
        <w:rPr>
          <w:rFonts w:asciiTheme="minorHAnsi" w:eastAsiaTheme="minorHAnsi" w:hAnsiTheme="minorHAnsi" w:cstheme="minorBidi"/>
          <w:snapToGrid/>
          <w:sz w:val="24"/>
          <w:szCs w:val="22"/>
        </w:rPr>
        <w:t xml:space="preserve">financial estimates </w:t>
      </w:r>
      <w:r>
        <w:rPr>
          <w:rFonts w:asciiTheme="minorHAnsi" w:eastAsiaTheme="minorHAnsi" w:hAnsiTheme="minorHAnsi" w:cstheme="minorBidi"/>
          <w:snapToGrid/>
          <w:sz w:val="24"/>
          <w:szCs w:val="22"/>
        </w:rPr>
        <w:t xml:space="preserve">as the basis of a risk sharing arrangement (RSA). </w:t>
      </w:r>
      <w:r w:rsidR="00322ABB">
        <w:rPr>
          <w:rFonts w:asciiTheme="minorHAnsi" w:eastAsiaTheme="minorHAnsi" w:hAnsiTheme="minorHAnsi" w:cstheme="minorBidi"/>
          <w:snapToGrid/>
          <w:sz w:val="24"/>
          <w:szCs w:val="22"/>
        </w:rPr>
        <w:t xml:space="preserve">The PBAC considered that a RSA remained </w:t>
      </w:r>
      <w:r w:rsidR="00322ABB">
        <w:rPr>
          <w:rStyle w:val="CommentReference"/>
          <w:rFonts w:ascii="Calibri" w:hAnsi="Calibri"/>
          <w:sz w:val="24"/>
          <w:szCs w:val="22"/>
        </w:rPr>
        <w:t xml:space="preserve">appropriate to mitigate any residual uncertainties regarding the potential use of </w:t>
      </w:r>
      <w:proofErr w:type="spellStart"/>
      <w:r w:rsidR="00322ABB">
        <w:rPr>
          <w:rStyle w:val="CommentReference"/>
          <w:rFonts w:ascii="Calibri" w:hAnsi="Calibri"/>
          <w:sz w:val="24"/>
          <w:szCs w:val="22"/>
        </w:rPr>
        <w:t>brentuximab</w:t>
      </w:r>
      <w:proofErr w:type="spellEnd"/>
      <w:r w:rsidR="00322ABB">
        <w:rPr>
          <w:rStyle w:val="CommentReference"/>
          <w:rFonts w:ascii="Calibri" w:hAnsi="Calibri"/>
          <w:sz w:val="24"/>
          <w:szCs w:val="22"/>
        </w:rPr>
        <w:t xml:space="preserve"> </w:t>
      </w:r>
      <w:proofErr w:type="spellStart"/>
      <w:r w:rsidR="00322ABB">
        <w:rPr>
          <w:rStyle w:val="CommentReference"/>
          <w:rFonts w:ascii="Calibri" w:hAnsi="Calibri"/>
          <w:sz w:val="24"/>
          <w:szCs w:val="22"/>
        </w:rPr>
        <w:t>vedotin</w:t>
      </w:r>
      <w:proofErr w:type="spellEnd"/>
      <w:r w:rsidR="00322ABB">
        <w:rPr>
          <w:rStyle w:val="CommentReference"/>
          <w:rFonts w:ascii="Calibri" w:hAnsi="Calibri"/>
          <w:sz w:val="24"/>
          <w:szCs w:val="22"/>
        </w:rPr>
        <w:t xml:space="preserve"> outside the proposed restriction.</w:t>
      </w:r>
    </w:p>
    <w:p w:rsidR="00241F53" w:rsidRPr="00241F53" w:rsidRDefault="00241F53" w:rsidP="001F74E6">
      <w:pPr>
        <w:pStyle w:val="Heading2"/>
      </w:pPr>
      <w:r w:rsidRPr="00241F53">
        <w:t>Financial management – risk sharing arrangements</w:t>
      </w:r>
    </w:p>
    <w:p w:rsidR="00241F53" w:rsidRPr="00E2386F" w:rsidRDefault="00922DD5" w:rsidP="00241F53">
      <w:pPr>
        <w:widowControl w:val="0"/>
        <w:numPr>
          <w:ilvl w:val="1"/>
          <w:numId w:val="5"/>
        </w:numPr>
        <w:spacing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In July </w:t>
      </w:r>
      <w:proofErr w:type="gramStart"/>
      <w:r>
        <w:rPr>
          <w:rFonts w:asciiTheme="minorHAnsi" w:eastAsiaTheme="minorHAnsi" w:hAnsiTheme="minorHAnsi" w:cstheme="minorBidi"/>
          <w:szCs w:val="22"/>
          <w:lang w:eastAsia="en-US"/>
        </w:rPr>
        <w:t>2018</w:t>
      </w:r>
      <w:proofErr w:type="gramEnd"/>
      <w:r>
        <w:rPr>
          <w:rFonts w:asciiTheme="minorHAnsi" w:eastAsiaTheme="minorHAnsi" w:hAnsiTheme="minorHAnsi" w:cstheme="minorBidi"/>
          <w:szCs w:val="22"/>
          <w:lang w:eastAsia="en-US"/>
        </w:rPr>
        <w:t xml:space="preserve"> t</w:t>
      </w:r>
      <w:r w:rsidR="00241F53" w:rsidRPr="00E2386F">
        <w:rPr>
          <w:rFonts w:asciiTheme="minorHAnsi" w:eastAsiaTheme="minorHAnsi" w:hAnsiTheme="minorHAnsi" w:cstheme="minorBidi"/>
          <w:szCs w:val="22"/>
          <w:lang w:eastAsia="en-US"/>
        </w:rPr>
        <w:t>he PBAC considered that a RSA with a substantial rebate above an upper expenditure cap would be required to manage the risks associated with potential use outside the restriction, a decrease in the threshold to commence systemic therapy, and an unclear definition of CD30 positivity</w:t>
      </w:r>
      <w:r w:rsidR="00E2386F" w:rsidRPr="00E2386F">
        <w:rPr>
          <w:rFonts w:asciiTheme="minorHAnsi" w:eastAsiaTheme="minorHAnsi" w:hAnsiTheme="minorHAnsi" w:cstheme="minorBidi"/>
          <w:szCs w:val="22"/>
          <w:lang w:eastAsia="en-US"/>
        </w:rPr>
        <w:t xml:space="preserve"> (Paragraph 7.17, </w:t>
      </w:r>
      <w:proofErr w:type="spellStart"/>
      <w:r w:rsidR="00E2386F" w:rsidRPr="00E2386F">
        <w:rPr>
          <w:rFonts w:asciiTheme="minorHAnsi" w:eastAsiaTheme="minorHAnsi" w:hAnsiTheme="minorHAnsi" w:cstheme="minorBidi"/>
          <w:szCs w:val="22"/>
          <w:lang w:eastAsia="en-US"/>
        </w:rPr>
        <w:t>brentuximab</w:t>
      </w:r>
      <w:proofErr w:type="spellEnd"/>
      <w:r w:rsidR="00E2386F" w:rsidRPr="00E2386F">
        <w:rPr>
          <w:rFonts w:asciiTheme="minorHAnsi" w:eastAsiaTheme="minorHAnsi" w:hAnsiTheme="minorHAnsi" w:cstheme="minorBidi"/>
          <w:szCs w:val="22"/>
          <w:lang w:eastAsia="en-US"/>
        </w:rPr>
        <w:t xml:space="preserve"> </w:t>
      </w:r>
      <w:proofErr w:type="spellStart"/>
      <w:r w:rsidR="00E2386F" w:rsidRPr="00E2386F">
        <w:rPr>
          <w:rFonts w:asciiTheme="minorHAnsi" w:eastAsiaTheme="minorHAnsi" w:hAnsiTheme="minorHAnsi" w:cstheme="minorBidi"/>
          <w:szCs w:val="22"/>
          <w:lang w:eastAsia="en-US"/>
        </w:rPr>
        <w:t>vedotin</w:t>
      </w:r>
      <w:proofErr w:type="spellEnd"/>
      <w:r w:rsidR="00E2386F" w:rsidRPr="00E2386F">
        <w:rPr>
          <w:rFonts w:asciiTheme="minorHAnsi" w:eastAsiaTheme="minorHAnsi" w:hAnsiTheme="minorHAnsi" w:cstheme="minorBidi"/>
          <w:szCs w:val="22"/>
          <w:lang w:eastAsia="en-US"/>
        </w:rPr>
        <w:t xml:space="preserve"> PBAC </w:t>
      </w:r>
      <w:r w:rsidR="006D4D52">
        <w:rPr>
          <w:rFonts w:asciiTheme="minorHAnsi" w:eastAsiaTheme="minorHAnsi" w:hAnsiTheme="minorHAnsi" w:cstheme="minorBidi"/>
          <w:szCs w:val="22"/>
          <w:lang w:eastAsia="en-US"/>
        </w:rPr>
        <w:t>PSD</w:t>
      </w:r>
      <w:r w:rsidR="00E2386F" w:rsidRPr="00E2386F">
        <w:rPr>
          <w:rFonts w:asciiTheme="minorHAnsi" w:eastAsiaTheme="minorHAnsi" w:hAnsiTheme="minorHAnsi" w:cstheme="minorBidi"/>
          <w:szCs w:val="22"/>
          <w:lang w:eastAsia="en-US"/>
        </w:rPr>
        <w:t>, July 2018</w:t>
      </w:r>
      <w:r w:rsidR="00D47CAA">
        <w:rPr>
          <w:rFonts w:asciiTheme="minorHAnsi" w:eastAsiaTheme="minorHAnsi" w:hAnsiTheme="minorHAnsi" w:cstheme="minorBidi"/>
          <w:szCs w:val="22"/>
          <w:lang w:eastAsia="en-US"/>
        </w:rPr>
        <w:t>.</w:t>
      </w:r>
    </w:p>
    <w:p w:rsidR="00241F53" w:rsidRDefault="00E2386F" w:rsidP="00241F53">
      <w:pPr>
        <w:pStyle w:val="ListParagraph"/>
        <w:widowControl/>
        <w:numPr>
          <w:ilvl w:val="1"/>
          <w:numId w:val="5"/>
        </w:numPr>
        <w:spacing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w:t>
      </w:r>
      <w:r w:rsidR="002F1E39">
        <w:rPr>
          <w:rFonts w:asciiTheme="minorHAnsi" w:eastAsiaTheme="minorHAnsi" w:hAnsiTheme="minorHAnsi" w:cstheme="minorBidi"/>
          <w:snapToGrid/>
          <w:sz w:val="24"/>
          <w:szCs w:val="22"/>
        </w:rPr>
        <w:t xml:space="preserve">PBAC noted that the </w:t>
      </w:r>
      <w:r>
        <w:rPr>
          <w:rFonts w:asciiTheme="minorHAnsi" w:eastAsiaTheme="minorHAnsi" w:hAnsiTheme="minorHAnsi" w:cstheme="minorBidi"/>
          <w:snapToGrid/>
          <w:sz w:val="24"/>
          <w:szCs w:val="22"/>
        </w:rPr>
        <w:t xml:space="preserve">minor resubmission </w:t>
      </w:r>
      <w:r w:rsidRPr="00E2386F">
        <w:rPr>
          <w:rFonts w:asciiTheme="minorHAnsi" w:eastAsiaTheme="minorHAnsi" w:hAnsiTheme="minorHAnsi" w:cstheme="minorBidi"/>
          <w:snapToGrid/>
          <w:sz w:val="24"/>
          <w:szCs w:val="22"/>
        </w:rPr>
        <w:t xml:space="preserve">proposed a rebate of </w:t>
      </w:r>
      <w:proofErr w:type="gramStart"/>
      <w:r w:rsidR="00146494">
        <w:rPr>
          <w:rFonts w:asciiTheme="minorHAnsi" w:eastAsiaTheme="minorHAnsi" w:hAnsiTheme="minorHAnsi" w:cstheme="minorBidi"/>
          <w:noProof/>
          <w:snapToGrid/>
          <w:color w:val="000000"/>
          <w:sz w:val="24"/>
          <w:szCs w:val="22"/>
          <w:highlight w:val="black"/>
        </w:rPr>
        <w:t>''''''</w:t>
      </w:r>
      <w:r w:rsidRPr="00E2386F">
        <w:rPr>
          <w:rFonts w:asciiTheme="minorHAnsi" w:eastAsiaTheme="minorHAnsi" w:hAnsiTheme="minorHAnsi" w:cstheme="minorBidi"/>
          <w:snapToGrid/>
          <w:sz w:val="24"/>
          <w:szCs w:val="22"/>
        </w:rPr>
        <w:t>%</w:t>
      </w:r>
      <w:proofErr w:type="gramEnd"/>
      <w:r w:rsidRPr="00E2386F">
        <w:rPr>
          <w:rFonts w:asciiTheme="minorHAnsi" w:eastAsiaTheme="minorHAnsi" w:hAnsiTheme="minorHAnsi" w:cstheme="minorBidi"/>
          <w:snapToGrid/>
          <w:sz w:val="24"/>
          <w:szCs w:val="22"/>
        </w:rPr>
        <w:t xml:space="preserve"> for utilisation above the subsidisation cap in the RR CTCL indication. Th</w:t>
      </w:r>
      <w:r w:rsidR="00CD3894">
        <w:rPr>
          <w:rFonts w:asciiTheme="minorHAnsi" w:eastAsiaTheme="minorHAnsi" w:hAnsiTheme="minorHAnsi" w:cstheme="minorBidi"/>
          <w:snapToGrid/>
          <w:sz w:val="24"/>
          <w:szCs w:val="22"/>
        </w:rPr>
        <w:t>e proposed rebate would result</w:t>
      </w:r>
      <w:r w:rsidRPr="00E2386F">
        <w:rPr>
          <w:rFonts w:asciiTheme="minorHAnsi" w:eastAsiaTheme="minorHAnsi" w:hAnsiTheme="minorHAnsi" w:cstheme="minorBidi"/>
          <w:snapToGrid/>
          <w:sz w:val="24"/>
          <w:szCs w:val="22"/>
        </w:rPr>
        <w:t xml:space="preserve"> in a price per vial of $</w:t>
      </w:r>
      <w:r w:rsidR="00146494">
        <w:rPr>
          <w:rFonts w:asciiTheme="minorHAnsi" w:eastAsiaTheme="minorHAnsi" w:hAnsiTheme="minorHAnsi" w:cstheme="minorBidi"/>
          <w:noProof/>
          <w:snapToGrid/>
          <w:color w:val="000000"/>
          <w:sz w:val="24"/>
          <w:szCs w:val="22"/>
          <w:highlight w:val="black"/>
        </w:rPr>
        <w:t>''''''''</w:t>
      </w:r>
      <w:r w:rsidRPr="00E2386F">
        <w:rPr>
          <w:rFonts w:asciiTheme="minorHAnsi" w:eastAsiaTheme="minorHAnsi" w:hAnsiTheme="minorHAnsi" w:cstheme="minorBidi"/>
          <w:snapToGrid/>
          <w:sz w:val="24"/>
          <w:szCs w:val="22"/>
        </w:rPr>
        <w:t xml:space="preserve">. The </w:t>
      </w:r>
      <w:r w:rsidR="00CD3894">
        <w:rPr>
          <w:rFonts w:asciiTheme="minorHAnsi" w:eastAsiaTheme="minorHAnsi" w:hAnsiTheme="minorHAnsi" w:cstheme="minorBidi"/>
          <w:snapToGrid/>
          <w:sz w:val="24"/>
          <w:szCs w:val="22"/>
        </w:rPr>
        <w:t xml:space="preserve">minor </w:t>
      </w:r>
      <w:r w:rsidRPr="00E2386F">
        <w:rPr>
          <w:rFonts w:asciiTheme="minorHAnsi" w:eastAsiaTheme="minorHAnsi" w:hAnsiTheme="minorHAnsi" w:cstheme="minorBidi"/>
          <w:snapToGrid/>
          <w:sz w:val="24"/>
          <w:szCs w:val="22"/>
        </w:rPr>
        <w:t xml:space="preserve">resubmission stated that this is </w:t>
      </w:r>
      <w:proofErr w:type="gramStart"/>
      <w:r w:rsidRPr="00E2386F">
        <w:rPr>
          <w:rFonts w:asciiTheme="minorHAnsi" w:eastAsiaTheme="minorHAnsi" w:hAnsiTheme="minorHAnsi" w:cstheme="minorBidi"/>
          <w:snapToGrid/>
          <w:sz w:val="24"/>
          <w:szCs w:val="22"/>
        </w:rPr>
        <w:t>in alignment with the price per vial for use above the sub</w:t>
      </w:r>
      <w:r w:rsidR="00B371A4">
        <w:rPr>
          <w:rFonts w:asciiTheme="minorHAnsi" w:eastAsiaTheme="minorHAnsi" w:hAnsiTheme="minorHAnsi" w:cstheme="minorBidi"/>
          <w:snapToGrid/>
          <w:sz w:val="24"/>
          <w:szCs w:val="22"/>
        </w:rPr>
        <w:t>sidisation cap for the two RR HL</w:t>
      </w:r>
      <w:r w:rsidRPr="00E2386F">
        <w:rPr>
          <w:rFonts w:asciiTheme="minorHAnsi" w:eastAsiaTheme="minorHAnsi" w:hAnsiTheme="minorHAnsi" w:cstheme="minorBidi"/>
          <w:snapToGrid/>
          <w:sz w:val="24"/>
          <w:szCs w:val="22"/>
        </w:rPr>
        <w:t xml:space="preserve"> indications</w:t>
      </w:r>
      <w:r w:rsidR="00CD3894">
        <w:rPr>
          <w:rFonts w:asciiTheme="minorHAnsi" w:eastAsiaTheme="minorHAnsi" w:hAnsiTheme="minorHAnsi" w:cstheme="minorBidi"/>
          <w:snapToGrid/>
          <w:sz w:val="24"/>
          <w:szCs w:val="22"/>
        </w:rPr>
        <w:t xml:space="preserve"> (Table 9)</w:t>
      </w:r>
      <w:proofErr w:type="gramEnd"/>
      <w:r w:rsidRPr="00E2386F">
        <w:rPr>
          <w:rFonts w:asciiTheme="minorHAnsi" w:eastAsiaTheme="minorHAnsi" w:hAnsiTheme="minorHAnsi" w:cstheme="minorBidi"/>
          <w:snapToGrid/>
          <w:sz w:val="24"/>
          <w:szCs w:val="22"/>
        </w:rPr>
        <w:t>.</w:t>
      </w:r>
    </w:p>
    <w:p w:rsidR="00CE6212" w:rsidRDefault="00CE6212" w:rsidP="007F394C">
      <w:pPr>
        <w:pStyle w:val="Caption"/>
        <w:keepNext/>
        <w:keepLines/>
      </w:pPr>
      <w:r>
        <w:t xml:space="preserve">Table </w:t>
      </w:r>
      <w:r w:rsidR="00922DD5">
        <w:rPr>
          <w:noProof/>
        </w:rPr>
        <w:t>9</w:t>
      </w:r>
      <w:r>
        <w:t xml:space="preserve">: </w:t>
      </w:r>
      <w:r w:rsidRPr="00DE1FDA">
        <w:t>Summary of RSA terms for current indications &amp; proposed rebate for use above SC in RR CTCL</w:t>
      </w:r>
    </w:p>
    <w:tbl>
      <w:tblPr>
        <w:tblStyle w:val="TableGrid"/>
        <w:tblW w:w="0" w:type="auto"/>
        <w:tblInd w:w="108" w:type="dxa"/>
        <w:tblLayout w:type="fixed"/>
        <w:tblLook w:val="04A0" w:firstRow="1" w:lastRow="0" w:firstColumn="1" w:lastColumn="0" w:noHBand="0" w:noVBand="1"/>
        <w:tblCaption w:val="Summary of RSA terms for current indications &amp; proposed rebate for use above SC in RR CTCL"/>
      </w:tblPr>
      <w:tblGrid>
        <w:gridCol w:w="1985"/>
        <w:gridCol w:w="992"/>
        <w:gridCol w:w="851"/>
        <w:gridCol w:w="1180"/>
        <w:gridCol w:w="1016"/>
        <w:gridCol w:w="1016"/>
        <w:gridCol w:w="1016"/>
        <w:gridCol w:w="1016"/>
      </w:tblGrid>
      <w:tr w:rsidR="00E2386F" w:rsidRPr="001E03DC" w:rsidTr="00E2386F">
        <w:tc>
          <w:tcPr>
            <w:tcW w:w="1985" w:type="dxa"/>
          </w:tcPr>
          <w:p w:rsidR="00E2386F" w:rsidRPr="001E03DC" w:rsidRDefault="00E2386F" w:rsidP="007F394C">
            <w:pPr>
              <w:keepNext/>
              <w:keepLines/>
              <w:rPr>
                <w:rFonts w:ascii="Arial Narrow" w:hAnsi="Arial Narrow"/>
                <w:sz w:val="20"/>
                <w:szCs w:val="20"/>
              </w:rPr>
            </w:pPr>
            <w:r w:rsidRPr="001E03DC">
              <w:rPr>
                <w:rFonts w:ascii="Arial Narrow" w:hAnsi="Arial Narrow"/>
                <w:sz w:val="20"/>
                <w:szCs w:val="20"/>
              </w:rPr>
              <w:t xml:space="preserve">Indication </w:t>
            </w:r>
          </w:p>
        </w:tc>
        <w:tc>
          <w:tcPr>
            <w:tcW w:w="992" w:type="dxa"/>
          </w:tcPr>
          <w:p w:rsidR="00E2386F" w:rsidRPr="001E03DC" w:rsidRDefault="00E2386F" w:rsidP="007F394C">
            <w:pPr>
              <w:keepNext/>
              <w:keepLines/>
              <w:rPr>
                <w:rFonts w:ascii="Arial Narrow" w:hAnsi="Arial Narrow"/>
                <w:sz w:val="20"/>
                <w:szCs w:val="20"/>
              </w:rPr>
            </w:pPr>
            <w:r w:rsidRPr="001E03DC">
              <w:rPr>
                <w:rFonts w:ascii="Arial Narrow" w:hAnsi="Arial Narrow"/>
                <w:sz w:val="20"/>
                <w:szCs w:val="20"/>
              </w:rPr>
              <w:t>Published price / vial</w:t>
            </w:r>
          </w:p>
        </w:tc>
        <w:tc>
          <w:tcPr>
            <w:tcW w:w="851" w:type="dxa"/>
          </w:tcPr>
          <w:p w:rsidR="00E2386F" w:rsidRPr="001E03DC" w:rsidRDefault="00E2386F" w:rsidP="007F394C">
            <w:pPr>
              <w:keepNext/>
              <w:keepLines/>
              <w:rPr>
                <w:rFonts w:ascii="Arial Narrow" w:hAnsi="Arial Narrow"/>
                <w:sz w:val="20"/>
                <w:szCs w:val="20"/>
              </w:rPr>
            </w:pPr>
            <w:r w:rsidRPr="001E03DC">
              <w:rPr>
                <w:rFonts w:ascii="Arial Narrow" w:hAnsi="Arial Narrow"/>
                <w:sz w:val="20"/>
                <w:szCs w:val="20"/>
              </w:rPr>
              <w:t>SPA rebate</w:t>
            </w:r>
          </w:p>
        </w:tc>
        <w:tc>
          <w:tcPr>
            <w:tcW w:w="1180" w:type="dxa"/>
          </w:tcPr>
          <w:p w:rsidR="00E2386F" w:rsidRPr="001E03DC" w:rsidRDefault="00E2386F" w:rsidP="007F394C">
            <w:pPr>
              <w:keepNext/>
              <w:keepLines/>
              <w:rPr>
                <w:rFonts w:ascii="Arial Narrow" w:hAnsi="Arial Narrow"/>
                <w:sz w:val="20"/>
                <w:szCs w:val="20"/>
              </w:rPr>
            </w:pPr>
            <w:r w:rsidRPr="001E03DC">
              <w:rPr>
                <w:rFonts w:ascii="Arial Narrow" w:hAnsi="Arial Narrow"/>
                <w:sz w:val="20"/>
                <w:szCs w:val="20"/>
              </w:rPr>
              <w:t>Effective price per vial</w:t>
            </w:r>
          </w:p>
        </w:tc>
        <w:tc>
          <w:tcPr>
            <w:tcW w:w="1016" w:type="dxa"/>
          </w:tcPr>
          <w:p w:rsidR="00E2386F" w:rsidRPr="001E03DC" w:rsidRDefault="00E2386F" w:rsidP="007F394C">
            <w:pPr>
              <w:keepNext/>
              <w:keepLines/>
              <w:rPr>
                <w:rFonts w:ascii="Arial Narrow" w:hAnsi="Arial Narrow"/>
                <w:sz w:val="20"/>
                <w:szCs w:val="20"/>
              </w:rPr>
            </w:pPr>
            <w:r w:rsidRPr="001E03DC">
              <w:rPr>
                <w:rFonts w:ascii="Arial Narrow" w:hAnsi="Arial Narrow"/>
                <w:sz w:val="20"/>
                <w:szCs w:val="20"/>
              </w:rPr>
              <w:t>SC 1 rebate</w:t>
            </w:r>
          </w:p>
        </w:tc>
        <w:tc>
          <w:tcPr>
            <w:tcW w:w="1016" w:type="dxa"/>
          </w:tcPr>
          <w:p w:rsidR="00E2386F" w:rsidRPr="001E03DC" w:rsidRDefault="00E2386F" w:rsidP="007F394C">
            <w:pPr>
              <w:keepNext/>
              <w:keepLines/>
              <w:rPr>
                <w:rFonts w:ascii="Arial Narrow" w:hAnsi="Arial Narrow"/>
                <w:sz w:val="20"/>
                <w:szCs w:val="20"/>
              </w:rPr>
            </w:pPr>
            <w:r w:rsidRPr="001E03DC">
              <w:rPr>
                <w:rFonts w:ascii="Arial Narrow" w:hAnsi="Arial Narrow"/>
                <w:sz w:val="20"/>
                <w:szCs w:val="20"/>
              </w:rPr>
              <w:t>SC 2 rebate</w:t>
            </w:r>
          </w:p>
        </w:tc>
        <w:tc>
          <w:tcPr>
            <w:tcW w:w="1016" w:type="dxa"/>
          </w:tcPr>
          <w:p w:rsidR="00E2386F" w:rsidRPr="001E03DC" w:rsidRDefault="00E2386F" w:rsidP="007F394C">
            <w:pPr>
              <w:keepNext/>
              <w:keepLines/>
              <w:rPr>
                <w:rFonts w:ascii="Arial Narrow" w:hAnsi="Arial Narrow"/>
                <w:sz w:val="20"/>
                <w:szCs w:val="20"/>
              </w:rPr>
            </w:pPr>
            <w:r w:rsidRPr="001E03DC">
              <w:rPr>
                <w:rFonts w:ascii="Arial Narrow" w:hAnsi="Arial Narrow"/>
                <w:sz w:val="20"/>
                <w:szCs w:val="20"/>
              </w:rPr>
              <w:t>Above SC 1 price</w:t>
            </w:r>
          </w:p>
        </w:tc>
        <w:tc>
          <w:tcPr>
            <w:tcW w:w="1016" w:type="dxa"/>
          </w:tcPr>
          <w:p w:rsidR="00E2386F" w:rsidRPr="001E03DC" w:rsidRDefault="00E2386F" w:rsidP="007F394C">
            <w:pPr>
              <w:keepNext/>
              <w:keepLines/>
              <w:rPr>
                <w:rFonts w:ascii="Arial Narrow" w:hAnsi="Arial Narrow"/>
                <w:sz w:val="20"/>
                <w:szCs w:val="20"/>
              </w:rPr>
            </w:pPr>
            <w:r w:rsidRPr="001E03DC">
              <w:rPr>
                <w:rFonts w:ascii="Arial Narrow" w:hAnsi="Arial Narrow"/>
                <w:sz w:val="20"/>
                <w:szCs w:val="20"/>
              </w:rPr>
              <w:t>Above SC 2 price</w:t>
            </w:r>
          </w:p>
        </w:tc>
      </w:tr>
      <w:tr w:rsidR="00E2386F" w:rsidRPr="001E03DC" w:rsidTr="00E2386F">
        <w:tc>
          <w:tcPr>
            <w:tcW w:w="1985" w:type="dxa"/>
          </w:tcPr>
          <w:p w:rsidR="00E2386F" w:rsidRPr="001E03DC" w:rsidRDefault="00B371A4" w:rsidP="007F394C">
            <w:pPr>
              <w:keepNext/>
              <w:keepLines/>
              <w:rPr>
                <w:rFonts w:ascii="Arial Narrow" w:hAnsi="Arial Narrow"/>
                <w:sz w:val="20"/>
                <w:szCs w:val="20"/>
              </w:rPr>
            </w:pPr>
            <w:r>
              <w:rPr>
                <w:rFonts w:ascii="Arial Narrow" w:hAnsi="Arial Narrow"/>
                <w:sz w:val="20"/>
                <w:szCs w:val="20"/>
              </w:rPr>
              <w:t>R</w:t>
            </w:r>
            <w:r w:rsidR="00E2386F" w:rsidRPr="001E03DC">
              <w:rPr>
                <w:rFonts w:ascii="Arial Narrow" w:hAnsi="Arial Narrow"/>
                <w:sz w:val="20"/>
                <w:szCs w:val="20"/>
              </w:rPr>
              <w:t xml:space="preserve">R </w:t>
            </w:r>
            <w:proofErr w:type="spellStart"/>
            <w:r w:rsidR="00E2386F" w:rsidRPr="001E03DC">
              <w:rPr>
                <w:rFonts w:ascii="Arial Narrow" w:hAnsi="Arial Narrow"/>
                <w:sz w:val="20"/>
                <w:szCs w:val="20"/>
              </w:rPr>
              <w:t>sALCL</w:t>
            </w:r>
            <w:proofErr w:type="spellEnd"/>
          </w:p>
        </w:tc>
        <w:tc>
          <w:tcPr>
            <w:tcW w:w="992" w:type="dxa"/>
            <w:vMerge w:val="restart"/>
          </w:tcPr>
          <w:p w:rsidR="00E2386F" w:rsidRPr="001E03DC" w:rsidRDefault="00E2386F" w:rsidP="007F394C">
            <w:pPr>
              <w:keepNext/>
              <w:keepLines/>
              <w:rPr>
                <w:rFonts w:ascii="Arial Narrow" w:hAnsi="Arial Narrow"/>
                <w:sz w:val="20"/>
                <w:szCs w:val="20"/>
              </w:rPr>
            </w:pPr>
          </w:p>
          <w:p w:rsidR="00E2386F" w:rsidRPr="001E03DC" w:rsidRDefault="00E2386F" w:rsidP="007F394C">
            <w:pPr>
              <w:keepNext/>
              <w:keepLines/>
              <w:jc w:val="center"/>
              <w:rPr>
                <w:rFonts w:ascii="Arial Narrow" w:hAnsi="Arial Narrow"/>
                <w:sz w:val="20"/>
                <w:szCs w:val="20"/>
              </w:rPr>
            </w:pPr>
          </w:p>
          <w:p w:rsidR="00E2386F" w:rsidRPr="001E03DC" w:rsidRDefault="00E2386F" w:rsidP="007F394C">
            <w:pPr>
              <w:keepNext/>
              <w:keepLines/>
              <w:jc w:val="center"/>
              <w:rPr>
                <w:rFonts w:ascii="Arial Narrow" w:hAnsi="Arial Narrow"/>
                <w:sz w:val="20"/>
                <w:szCs w:val="20"/>
              </w:rPr>
            </w:pPr>
            <w:r w:rsidRPr="001E03DC">
              <w:rPr>
                <w:rFonts w:ascii="Arial Narrow" w:hAnsi="Arial Narrow"/>
                <w:sz w:val="20"/>
                <w:szCs w:val="20"/>
              </w:rPr>
              <w:t>$5,300</w:t>
            </w:r>
          </w:p>
        </w:tc>
        <w:tc>
          <w:tcPr>
            <w:tcW w:w="851" w:type="dxa"/>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180" w:type="dxa"/>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r>
      <w:tr w:rsidR="00E2386F" w:rsidRPr="001E03DC" w:rsidTr="00C31241">
        <w:tc>
          <w:tcPr>
            <w:tcW w:w="1985" w:type="dxa"/>
          </w:tcPr>
          <w:p w:rsidR="00E2386F" w:rsidRPr="001E03DC" w:rsidRDefault="00B371A4" w:rsidP="007F394C">
            <w:pPr>
              <w:keepNext/>
              <w:keepLines/>
              <w:rPr>
                <w:rFonts w:ascii="Arial Narrow" w:hAnsi="Arial Narrow"/>
                <w:sz w:val="20"/>
                <w:szCs w:val="20"/>
              </w:rPr>
            </w:pPr>
            <w:r>
              <w:rPr>
                <w:rFonts w:ascii="Arial Narrow" w:hAnsi="Arial Narrow"/>
                <w:sz w:val="20"/>
                <w:szCs w:val="20"/>
              </w:rPr>
              <w:t>R</w:t>
            </w:r>
            <w:r w:rsidR="00E2386F" w:rsidRPr="001E03DC">
              <w:rPr>
                <w:rFonts w:ascii="Arial Narrow" w:hAnsi="Arial Narrow"/>
                <w:sz w:val="20"/>
                <w:szCs w:val="20"/>
              </w:rPr>
              <w:t>R HL Post ASCT</w:t>
            </w:r>
          </w:p>
        </w:tc>
        <w:tc>
          <w:tcPr>
            <w:tcW w:w="992" w:type="dxa"/>
            <w:vMerge/>
          </w:tcPr>
          <w:p w:rsidR="00E2386F" w:rsidRPr="001E03DC" w:rsidRDefault="00E2386F" w:rsidP="007F394C">
            <w:pPr>
              <w:keepNext/>
              <w:keepLines/>
              <w:rPr>
                <w:rFonts w:ascii="Arial Narrow" w:hAnsi="Arial Narrow"/>
                <w:sz w:val="20"/>
                <w:szCs w:val="20"/>
              </w:rPr>
            </w:pPr>
          </w:p>
        </w:tc>
        <w:tc>
          <w:tcPr>
            <w:tcW w:w="851" w:type="dxa"/>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180" w:type="dxa"/>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shd w:val="clear" w:color="auto" w:fill="auto"/>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r>
      <w:tr w:rsidR="00E2386F" w:rsidRPr="001E03DC" w:rsidTr="00C31241">
        <w:tc>
          <w:tcPr>
            <w:tcW w:w="1985" w:type="dxa"/>
          </w:tcPr>
          <w:p w:rsidR="00E2386F" w:rsidRPr="001E03DC" w:rsidRDefault="00B371A4" w:rsidP="007F394C">
            <w:pPr>
              <w:keepNext/>
              <w:keepLines/>
              <w:rPr>
                <w:rFonts w:ascii="Arial Narrow" w:hAnsi="Arial Narrow"/>
                <w:sz w:val="20"/>
                <w:szCs w:val="20"/>
              </w:rPr>
            </w:pPr>
            <w:r>
              <w:rPr>
                <w:rFonts w:ascii="Arial Narrow" w:hAnsi="Arial Narrow"/>
                <w:sz w:val="20"/>
                <w:szCs w:val="20"/>
              </w:rPr>
              <w:t>R</w:t>
            </w:r>
            <w:r w:rsidR="00E2386F" w:rsidRPr="001E03DC">
              <w:rPr>
                <w:rFonts w:ascii="Arial Narrow" w:hAnsi="Arial Narrow"/>
                <w:sz w:val="20"/>
                <w:szCs w:val="20"/>
              </w:rPr>
              <w:t>R HL ASCT Naïve</w:t>
            </w:r>
          </w:p>
        </w:tc>
        <w:tc>
          <w:tcPr>
            <w:tcW w:w="992" w:type="dxa"/>
            <w:vMerge/>
          </w:tcPr>
          <w:p w:rsidR="00E2386F" w:rsidRPr="001E03DC" w:rsidRDefault="00E2386F" w:rsidP="007F394C">
            <w:pPr>
              <w:keepNext/>
              <w:keepLines/>
              <w:rPr>
                <w:rFonts w:ascii="Arial Narrow" w:hAnsi="Arial Narrow"/>
                <w:sz w:val="20"/>
                <w:szCs w:val="20"/>
              </w:rPr>
            </w:pPr>
          </w:p>
        </w:tc>
        <w:tc>
          <w:tcPr>
            <w:tcW w:w="851" w:type="dxa"/>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180" w:type="dxa"/>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shd w:val="clear" w:color="auto" w:fill="auto"/>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r>
      <w:tr w:rsidR="00E2386F" w:rsidRPr="001E03DC" w:rsidTr="00C31241">
        <w:tc>
          <w:tcPr>
            <w:tcW w:w="1985" w:type="dxa"/>
            <w:tcBorders>
              <w:bottom w:val="single" w:sz="4" w:space="0" w:color="auto"/>
            </w:tcBorders>
          </w:tcPr>
          <w:p w:rsidR="00E2386F" w:rsidRPr="001E03DC" w:rsidRDefault="00B371A4" w:rsidP="007F394C">
            <w:pPr>
              <w:keepNext/>
              <w:keepLines/>
              <w:rPr>
                <w:rFonts w:ascii="Arial Narrow" w:hAnsi="Arial Narrow"/>
                <w:sz w:val="20"/>
                <w:szCs w:val="20"/>
              </w:rPr>
            </w:pPr>
            <w:r>
              <w:rPr>
                <w:rFonts w:ascii="Arial Narrow" w:hAnsi="Arial Narrow"/>
                <w:sz w:val="20"/>
                <w:szCs w:val="20"/>
              </w:rPr>
              <w:t>R</w:t>
            </w:r>
            <w:r w:rsidR="00E2386F" w:rsidRPr="001E03DC">
              <w:rPr>
                <w:rFonts w:ascii="Arial Narrow" w:hAnsi="Arial Narrow"/>
                <w:sz w:val="20"/>
                <w:szCs w:val="20"/>
              </w:rPr>
              <w:t>R CTCL</w:t>
            </w:r>
          </w:p>
        </w:tc>
        <w:tc>
          <w:tcPr>
            <w:tcW w:w="992" w:type="dxa"/>
            <w:vMerge/>
            <w:tcBorders>
              <w:bottom w:val="single" w:sz="4" w:space="0" w:color="auto"/>
            </w:tcBorders>
          </w:tcPr>
          <w:p w:rsidR="00E2386F" w:rsidRPr="001E03DC" w:rsidRDefault="00E2386F" w:rsidP="007F394C">
            <w:pPr>
              <w:keepNext/>
              <w:keepLines/>
              <w:rPr>
                <w:rFonts w:ascii="Arial Narrow" w:hAnsi="Arial Narrow"/>
                <w:sz w:val="20"/>
                <w:szCs w:val="20"/>
              </w:rPr>
            </w:pPr>
          </w:p>
        </w:tc>
        <w:tc>
          <w:tcPr>
            <w:tcW w:w="851" w:type="dxa"/>
            <w:tcBorders>
              <w:bottom w:val="single" w:sz="4" w:space="0" w:color="auto"/>
            </w:tcBorders>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180" w:type="dxa"/>
            <w:tcBorders>
              <w:bottom w:val="single" w:sz="4" w:space="0" w:color="auto"/>
            </w:tcBorders>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tcBorders>
              <w:bottom w:val="single" w:sz="4" w:space="0" w:color="auto"/>
            </w:tcBorders>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tcBorders>
              <w:bottom w:val="single" w:sz="4" w:space="0" w:color="auto"/>
            </w:tcBorders>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tcBorders>
              <w:bottom w:val="single" w:sz="4" w:space="0" w:color="auto"/>
            </w:tcBorders>
            <w:shd w:val="clear" w:color="auto" w:fill="auto"/>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tcBorders>
              <w:bottom w:val="single" w:sz="4" w:space="0" w:color="auto"/>
            </w:tcBorders>
          </w:tcPr>
          <w:p w:rsidR="00E2386F" w:rsidRPr="00146494" w:rsidRDefault="00146494" w:rsidP="007F394C">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r>
      <w:tr w:rsidR="00E2386F" w:rsidRPr="001E03DC" w:rsidTr="00E2386F">
        <w:tc>
          <w:tcPr>
            <w:tcW w:w="9072" w:type="dxa"/>
            <w:gridSpan w:val="8"/>
            <w:tcBorders>
              <w:left w:val="nil"/>
              <w:bottom w:val="nil"/>
              <w:right w:val="nil"/>
            </w:tcBorders>
          </w:tcPr>
          <w:p w:rsidR="00E2386F" w:rsidRDefault="00E2386F" w:rsidP="007F394C">
            <w:pPr>
              <w:keepNext/>
              <w:keepLines/>
              <w:rPr>
                <w:rFonts w:ascii="Arial Narrow" w:hAnsi="Arial Narrow"/>
                <w:sz w:val="20"/>
                <w:szCs w:val="20"/>
              </w:rPr>
            </w:pPr>
            <w:r w:rsidRPr="00E2386F">
              <w:rPr>
                <w:rFonts w:ascii="Arial Narrow" w:hAnsi="Arial Narrow"/>
                <w:sz w:val="20"/>
                <w:szCs w:val="20"/>
              </w:rPr>
              <w:t xml:space="preserve">Source: Table </w:t>
            </w:r>
            <w:r w:rsidR="00B371A4">
              <w:rPr>
                <w:rFonts w:ascii="Arial Narrow" w:hAnsi="Arial Narrow"/>
                <w:sz w:val="20"/>
                <w:szCs w:val="20"/>
              </w:rPr>
              <w:t>A5, p25</w:t>
            </w:r>
            <w:r w:rsidRPr="00E2386F">
              <w:rPr>
                <w:rFonts w:ascii="Arial Narrow" w:hAnsi="Arial Narrow"/>
                <w:sz w:val="20"/>
                <w:szCs w:val="20"/>
              </w:rPr>
              <w:t xml:space="preserve"> of the </w:t>
            </w:r>
            <w:r w:rsidR="00B371A4">
              <w:rPr>
                <w:rFonts w:ascii="Arial Narrow" w:hAnsi="Arial Narrow"/>
                <w:sz w:val="20"/>
                <w:szCs w:val="20"/>
              </w:rPr>
              <w:t xml:space="preserve">minor </w:t>
            </w:r>
            <w:r w:rsidRPr="00E2386F">
              <w:rPr>
                <w:rFonts w:ascii="Arial Narrow" w:hAnsi="Arial Narrow"/>
                <w:sz w:val="20"/>
                <w:szCs w:val="20"/>
              </w:rPr>
              <w:t>resubmission</w:t>
            </w:r>
          </w:p>
          <w:p w:rsidR="00B371A4" w:rsidRPr="00B371A4" w:rsidRDefault="00B371A4" w:rsidP="007F394C">
            <w:pPr>
              <w:keepNext/>
              <w:keepLines/>
              <w:rPr>
                <w:rFonts w:ascii="Arial Narrow" w:hAnsi="Arial Narrow"/>
                <w:sz w:val="20"/>
                <w:szCs w:val="20"/>
              </w:rPr>
            </w:pPr>
            <w:r w:rsidRPr="00B371A4">
              <w:rPr>
                <w:rFonts w:ascii="Arial Narrow" w:hAnsi="Arial Narrow"/>
                <w:sz w:val="20"/>
                <w:szCs w:val="20"/>
              </w:rPr>
              <w:t xml:space="preserve">ASCT = autologous stem cell transplant, CTCL = </w:t>
            </w:r>
            <w:r w:rsidRPr="00B371A4">
              <w:rPr>
                <w:rFonts w:ascii="Arial Narrow" w:eastAsiaTheme="minorHAnsi" w:hAnsi="Arial Narrow" w:cstheme="minorBidi"/>
                <w:sz w:val="20"/>
                <w:szCs w:val="20"/>
              </w:rPr>
              <w:t xml:space="preserve">cutaneous T-cell lymphoma, </w:t>
            </w:r>
            <w:r w:rsidRPr="00B371A4">
              <w:rPr>
                <w:rFonts w:ascii="Arial Narrow" w:hAnsi="Arial Narrow"/>
                <w:sz w:val="20"/>
                <w:szCs w:val="20"/>
              </w:rPr>
              <w:t xml:space="preserve">HL = Hodgkin lymphoma, RR =  </w:t>
            </w:r>
            <w:r w:rsidRPr="00B371A4">
              <w:rPr>
                <w:rFonts w:ascii="Arial Narrow" w:eastAsiaTheme="minorHAnsi" w:hAnsi="Arial Narrow" w:cstheme="minorBidi"/>
                <w:sz w:val="20"/>
                <w:szCs w:val="20"/>
              </w:rPr>
              <w:t xml:space="preserve">refractory or relapsed </w:t>
            </w:r>
          </w:p>
        </w:tc>
      </w:tr>
    </w:tbl>
    <w:p w:rsidR="00CE10C4" w:rsidRDefault="00CE10C4" w:rsidP="001F74E6">
      <w:pPr>
        <w:pStyle w:val="TableFooter"/>
      </w:pPr>
    </w:p>
    <w:p w:rsidR="00103323" w:rsidRPr="001F74E6" w:rsidRDefault="00103323" w:rsidP="001F74E6">
      <w:pPr>
        <w:ind w:firstLine="709"/>
        <w:rPr>
          <w:rFonts w:asciiTheme="minorHAnsi" w:hAnsiTheme="minorHAnsi" w:cstheme="minorHAnsi"/>
          <w:b/>
          <w:i/>
        </w:rPr>
      </w:pPr>
      <w:r w:rsidRPr="001F74E6">
        <w:rPr>
          <w:rFonts w:asciiTheme="minorHAnsi" w:hAnsiTheme="minorHAnsi" w:cstheme="minorHAnsi"/>
          <w:i/>
        </w:rPr>
        <w:t>For more detail on PBAC’s view, see section 5 PBAC outcome.</w:t>
      </w:r>
    </w:p>
    <w:p w:rsidR="00E97008" w:rsidRPr="00E97008" w:rsidRDefault="00E97008" w:rsidP="001F74E6">
      <w:pPr>
        <w:pStyle w:val="Heading1"/>
      </w:pPr>
      <w:r w:rsidRPr="00E97008">
        <w:t>PBAC Outcome</w:t>
      </w:r>
    </w:p>
    <w:p w:rsidR="000A2D29" w:rsidRPr="000A2D29" w:rsidRDefault="00E97008" w:rsidP="007020D5">
      <w:pPr>
        <w:widowControl w:val="0"/>
        <w:numPr>
          <w:ilvl w:val="1"/>
          <w:numId w:val="5"/>
        </w:numPr>
        <w:spacing w:after="120"/>
        <w:jc w:val="both"/>
        <w:rPr>
          <w:rFonts w:asciiTheme="minorHAnsi" w:eastAsiaTheme="minorHAnsi" w:hAnsiTheme="minorHAnsi" w:cstheme="minorBidi"/>
          <w:szCs w:val="22"/>
        </w:rPr>
      </w:pPr>
      <w:r w:rsidRPr="002529C5">
        <w:rPr>
          <w:rFonts w:asciiTheme="minorHAnsi" w:hAnsiTheme="minorHAnsi" w:cs="Arial"/>
          <w:bCs/>
          <w:snapToGrid w:val="0"/>
          <w:lang w:val="en-GB"/>
        </w:rPr>
        <w:t xml:space="preserve">The PBAC recommended </w:t>
      </w:r>
      <w:r w:rsidR="00C56858">
        <w:rPr>
          <w:rFonts w:asciiTheme="minorHAnsi" w:hAnsiTheme="minorHAnsi" w:cs="Arial"/>
          <w:bCs/>
          <w:snapToGrid w:val="0"/>
          <w:lang w:val="en-GB"/>
        </w:rPr>
        <w:t>a</w:t>
      </w:r>
      <w:r w:rsidR="00C56858" w:rsidRPr="002529C5">
        <w:rPr>
          <w:rFonts w:asciiTheme="minorHAnsi" w:hAnsiTheme="minorHAnsi" w:cs="Arial"/>
          <w:bCs/>
          <w:snapToGrid w:val="0"/>
          <w:lang w:val="en-GB"/>
        </w:rPr>
        <w:t xml:space="preserve"> </w:t>
      </w:r>
      <w:r w:rsidR="007020D5" w:rsidRPr="0091076F">
        <w:rPr>
          <w:rFonts w:asciiTheme="minorHAnsi" w:eastAsiaTheme="minorHAnsi" w:hAnsiTheme="minorHAnsi" w:cstheme="minorBidi"/>
          <w:szCs w:val="22"/>
        </w:rPr>
        <w:t xml:space="preserve">Section 100 (Efficient Funding of Chemotherapy) Authority </w:t>
      </w:r>
      <w:proofErr w:type="gramStart"/>
      <w:r w:rsidR="007020D5" w:rsidRPr="0091076F">
        <w:rPr>
          <w:rFonts w:asciiTheme="minorHAnsi" w:eastAsiaTheme="minorHAnsi" w:hAnsiTheme="minorHAnsi" w:cstheme="minorBidi"/>
          <w:szCs w:val="22"/>
        </w:rPr>
        <w:t>Required</w:t>
      </w:r>
      <w:proofErr w:type="gramEnd"/>
      <w:r w:rsidR="007020D5" w:rsidRPr="0091076F">
        <w:rPr>
          <w:rFonts w:asciiTheme="minorHAnsi" w:eastAsiaTheme="minorHAnsi" w:hAnsiTheme="minorHAnsi" w:cstheme="minorBidi"/>
          <w:szCs w:val="22"/>
        </w:rPr>
        <w:t xml:space="preserve"> listing </w:t>
      </w:r>
      <w:r w:rsidR="007020D5">
        <w:rPr>
          <w:rFonts w:asciiTheme="minorHAnsi" w:eastAsiaTheme="minorHAnsi" w:hAnsiTheme="minorHAnsi" w:cstheme="minorBidi"/>
          <w:szCs w:val="22"/>
        </w:rPr>
        <w:t xml:space="preserve">of </w:t>
      </w:r>
      <w:proofErr w:type="spellStart"/>
      <w:r w:rsidR="007020D5">
        <w:rPr>
          <w:rFonts w:asciiTheme="minorHAnsi" w:eastAsiaTheme="minorHAnsi" w:hAnsiTheme="minorHAnsi" w:cstheme="minorBidi"/>
          <w:szCs w:val="22"/>
        </w:rPr>
        <w:t>brentuximab</w:t>
      </w:r>
      <w:proofErr w:type="spellEnd"/>
      <w:r w:rsidR="007020D5">
        <w:rPr>
          <w:rFonts w:asciiTheme="minorHAnsi" w:eastAsiaTheme="minorHAnsi" w:hAnsiTheme="minorHAnsi" w:cstheme="minorBidi"/>
          <w:szCs w:val="22"/>
        </w:rPr>
        <w:t xml:space="preserve"> </w:t>
      </w:r>
      <w:proofErr w:type="spellStart"/>
      <w:r w:rsidR="007020D5">
        <w:rPr>
          <w:rFonts w:asciiTheme="minorHAnsi" w:eastAsiaTheme="minorHAnsi" w:hAnsiTheme="minorHAnsi" w:cstheme="minorBidi"/>
          <w:szCs w:val="22"/>
        </w:rPr>
        <w:t>vedotin</w:t>
      </w:r>
      <w:proofErr w:type="spellEnd"/>
      <w:r w:rsidR="007020D5">
        <w:rPr>
          <w:rFonts w:asciiTheme="minorHAnsi" w:eastAsiaTheme="minorHAnsi" w:hAnsiTheme="minorHAnsi" w:cstheme="minorBidi"/>
          <w:szCs w:val="22"/>
        </w:rPr>
        <w:t xml:space="preserve"> </w:t>
      </w:r>
      <w:r w:rsidR="007020D5" w:rsidRPr="0091076F">
        <w:rPr>
          <w:rFonts w:asciiTheme="minorHAnsi" w:eastAsiaTheme="minorHAnsi" w:hAnsiTheme="minorHAnsi" w:cstheme="minorBidi"/>
          <w:szCs w:val="22"/>
        </w:rPr>
        <w:t xml:space="preserve">for the treatment of refractory or relapsed </w:t>
      </w:r>
      <w:r w:rsidR="007020D5">
        <w:rPr>
          <w:rFonts w:asciiTheme="minorHAnsi" w:eastAsiaTheme="minorHAnsi" w:hAnsiTheme="minorHAnsi" w:cstheme="minorBidi"/>
          <w:szCs w:val="22"/>
        </w:rPr>
        <w:t xml:space="preserve">(RR) </w:t>
      </w:r>
      <w:r w:rsidR="007020D5" w:rsidRPr="0091076F">
        <w:rPr>
          <w:rFonts w:asciiTheme="minorHAnsi" w:eastAsiaTheme="minorHAnsi" w:hAnsiTheme="minorHAnsi" w:cstheme="minorBidi"/>
          <w:szCs w:val="22"/>
        </w:rPr>
        <w:t>CD30 positive cutaneous T-cell lymphomas (CTCL)</w:t>
      </w:r>
      <w:r w:rsidR="007020D5">
        <w:rPr>
          <w:rFonts w:asciiTheme="minorHAnsi" w:eastAsiaTheme="minorHAnsi" w:hAnsiTheme="minorHAnsi" w:cstheme="minorBidi"/>
          <w:szCs w:val="22"/>
        </w:rPr>
        <w:t xml:space="preserve">. </w:t>
      </w:r>
      <w:r w:rsidR="007020D5" w:rsidRPr="007020D5">
        <w:rPr>
          <w:rFonts w:asciiTheme="minorHAnsi" w:eastAsiaTheme="minorHAnsi" w:hAnsiTheme="minorHAnsi" w:cstheme="minorBidi"/>
          <w:szCs w:val="22"/>
        </w:rPr>
        <w:t>The PBAC recognised the clinical need for effective treatments in this population</w:t>
      </w:r>
      <w:r w:rsidR="00C962F5">
        <w:rPr>
          <w:rFonts w:asciiTheme="minorHAnsi" w:eastAsiaTheme="minorHAnsi" w:hAnsiTheme="minorHAnsi" w:cstheme="minorBidi"/>
          <w:szCs w:val="22"/>
        </w:rPr>
        <w:t xml:space="preserve">. The PBAC </w:t>
      </w:r>
      <w:r w:rsidR="00C56858">
        <w:rPr>
          <w:rFonts w:asciiTheme="minorHAnsi" w:eastAsiaTheme="minorHAnsi" w:hAnsiTheme="minorHAnsi" w:cstheme="minorBidi"/>
          <w:szCs w:val="22"/>
        </w:rPr>
        <w:t>wa</w:t>
      </w:r>
      <w:r w:rsidR="007020D5">
        <w:rPr>
          <w:rFonts w:asciiTheme="minorHAnsi" w:eastAsiaTheme="minorHAnsi" w:hAnsiTheme="minorHAnsi" w:cstheme="minorBidi"/>
          <w:szCs w:val="22"/>
        </w:rPr>
        <w:t>s satisfied that</w:t>
      </w:r>
      <w:r w:rsidR="007020D5" w:rsidRPr="007020D5">
        <w:rPr>
          <w:rFonts w:asciiTheme="minorHAnsi" w:eastAsiaTheme="minorHAnsi" w:hAnsiTheme="minorHAnsi" w:cstheme="minorBidi"/>
          <w:szCs w:val="22"/>
        </w:rPr>
        <w:t xml:space="preserve"> </w:t>
      </w:r>
      <w:proofErr w:type="spellStart"/>
      <w:r w:rsidR="007020D5" w:rsidRPr="007020D5">
        <w:rPr>
          <w:rFonts w:asciiTheme="minorHAnsi" w:eastAsiaTheme="minorHAnsi" w:hAnsiTheme="minorHAnsi" w:cstheme="minorBidi"/>
          <w:szCs w:val="22"/>
        </w:rPr>
        <w:t>brentuximab</w:t>
      </w:r>
      <w:proofErr w:type="spellEnd"/>
      <w:r w:rsidR="007020D5" w:rsidRPr="007020D5">
        <w:rPr>
          <w:rFonts w:asciiTheme="minorHAnsi" w:eastAsiaTheme="minorHAnsi" w:hAnsiTheme="minorHAnsi" w:cstheme="minorBidi"/>
          <w:szCs w:val="22"/>
        </w:rPr>
        <w:t xml:space="preserve"> </w:t>
      </w:r>
      <w:proofErr w:type="spellStart"/>
      <w:r w:rsidR="007020D5" w:rsidRPr="007020D5">
        <w:rPr>
          <w:rFonts w:asciiTheme="minorHAnsi" w:eastAsiaTheme="minorHAnsi" w:hAnsiTheme="minorHAnsi" w:cstheme="minorBidi"/>
          <w:szCs w:val="22"/>
        </w:rPr>
        <w:t>vedotin</w:t>
      </w:r>
      <w:proofErr w:type="spellEnd"/>
      <w:r w:rsidR="007020D5" w:rsidRPr="007020D5">
        <w:rPr>
          <w:rFonts w:asciiTheme="minorHAnsi" w:eastAsiaTheme="minorHAnsi" w:hAnsiTheme="minorHAnsi" w:cstheme="minorBidi"/>
          <w:szCs w:val="22"/>
        </w:rPr>
        <w:t xml:space="preserve"> </w:t>
      </w:r>
      <w:r w:rsidR="007020D5" w:rsidRPr="007020D5">
        <w:rPr>
          <w:rFonts w:asciiTheme="minorHAnsi" w:hAnsiTheme="minorHAnsi" w:cs="Arial"/>
          <w:bCs/>
          <w:snapToGrid w:val="0"/>
          <w:lang w:val="en-GB"/>
        </w:rPr>
        <w:t>provides, for some patients</w:t>
      </w:r>
      <w:r w:rsidR="007020D5">
        <w:rPr>
          <w:rFonts w:asciiTheme="minorHAnsi" w:hAnsiTheme="minorHAnsi" w:cs="Arial"/>
          <w:bCs/>
          <w:snapToGrid w:val="0"/>
          <w:lang w:val="en-GB"/>
        </w:rPr>
        <w:t xml:space="preserve"> with</w:t>
      </w:r>
      <w:r w:rsidR="00036EE5">
        <w:rPr>
          <w:rFonts w:asciiTheme="minorHAnsi" w:eastAsiaTheme="minorHAnsi" w:hAnsiTheme="minorHAnsi" w:cstheme="minorBidi"/>
          <w:szCs w:val="22"/>
        </w:rPr>
        <w:t xml:space="preserve"> the mycosis </w:t>
      </w:r>
      <w:proofErr w:type="spellStart"/>
      <w:r w:rsidR="00036EE5">
        <w:rPr>
          <w:rFonts w:asciiTheme="minorHAnsi" w:eastAsiaTheme="minorHAnsi" w:hAnsiTheme="minorHAnsi" w:cstheme="minorBidi"/>
          <w:szCs w:val="22"/>
        </w:rPr>
        <w:t>fungoides</w:t>
      </w:r>
      <w:proofErr w:type="spellEnd"/>
      <w:r w:rsidR="00036EE5">
        <w:rPr>
          <w:rFonts w:asciiTheme="minorHAnsi" w:eastAsiaTheme="minorHAnsi" w:hAnsiTheme="minorHAnsi" w:cstheme="minorBidi"/>
          <w:szCs w:val="22"/>
        </w:rPr>
        <w:t xml:space="preserve"> (MF), </w:t>
      </w:r>
      <w:proofErr w:type="spellStart"/>
      <w:r w:rsidR="00036EE5">
        <w:rPr>
          <w:rFonts w:asciiTheme="minorHAnsi" w:eastAsiaTheme="minorHAnsi" w:hAnsiTheme="minorHAnsi" w:cstheme="minorBidi"/>
          <w:szCs w:val="22"/>
        </w:rPr>
        <w:t>S</w:t>
      </w:r>
      <w:r w:rsidR="007020D5" w:rsidRPr="007020D5">
        <w:rPr>
          <w:rFonts w:asciiTheme="minorHAnsi" w:eastAsiaTheme="minorHAnsi" w:hAnsiTheme="minorHAnsi" w:cstheme="minorBidi"/>
          <w:szCs w:val="22"/>
        </w:rPr>
        <w:t>ézary</w:t>
      </w:r>
      <w:proofErr w:type="spellEnd"/>
      <w:r w:rsidR="007020D5" w:rsidRPr="007020D5">
        <w:rPr>
          <w:rFonts w:asciiTheme="minorHAnsi" w:eastAsiaTheme="minorHAnsi" w:hAnsiTheme="minorHAnsi" w:cstheme="minorBidi"/>
          <w:szCs w:val="22"/>
        </w:rPr>
        <w:t xml:space="preserve"> syndrome (SS) and primary cutaneous anaplastic large cell lym</w:t>
      </w:r>
      <w:r w:rsidR="007020D5">
        <w:rPr>
          <w:rFonts w:asciiTheme="minorHAnsi" w:eastAsiaTheme="minorHAnsi" w:hAnsiTheme="minorHAnsi" w:cstheme="minorBidi"/>
          <w:szCs w:val="22"/>
        </w:rPr>
        <w:t>phoma (</w:t>
      </w:r>
      <w:proofErr w:type="spellStart"/>
      <w:r w:rsidR="007020D5">
        <w:rPr>
          <w:rFonts w:asciiTheme="minorHAnsi" w:eastAsiaTheme="minorHAnsi" w:hAnsiTheme="minorHAnsi" w:cstheme="minorBidi"/>
          <w:szCs w:val="22"/>
        </w:rPr>
        <w:t>pcALCL</w:t>
      </w:r>
      <w:proofErr w:type="spellEnd"/>
      <w:r w:rsidR="007020D5">
        <w:rPr>
          <w:rFonts w:asciiTheme="minorHAnsi" w:eastAsiaTheme="minorHAnsi" w:hAnsiTheme="minorHAnsi" w:cstheme="minorBidi"/>
          <w:szCs w:val="22"/>
        </w:rPr>
        <w:t xml:space="preserve">) subtypes of CTCL, </w:t>
      </w:r>
      <w:r w:rsidRPr="007020D5">
        <w:rPr>
          <w:rFonts w:asciiTheme="minorHAnsi" w:hAnsiTheme="minorHAnsi" w:cs="Arial"/>
          <w:bCs/>
          <w:snapToGrid w:val="0"/>
          <w:lang w:val="en-GB"/>
        </w:rPr>
        <w:t xml:space="preserve">a significant improvement in efficacy over </w:t>
      </w:r>
      <w:r w:rsidR="007020D5" w:rsidRPr="007020D5">
        <w:rPr>
          <w:rFonts w:asciiTheme="minorHAnsi" w:hAnsiTheme="minorHAnsi" w:cs="Arial"/>
          <w:bCs/>
          <w:snapToGrid w:val="0"/>
          <w:lang w:val="en-GB"/>
        </w:rPr>
        <w:t>methotrexate</w:t>
      </w:r>
      <w:r w:rsidRPr="007020D5">
        <w:rPr>
          <w:rFonts w:asciiTheme="minorHAnsi" w:hAnsiTheme="minorHAnsi" w:cs="Arial"/>
          <w:bCs/>
          <w:snapToGrid w:val="0"/>
          <w:lang w:val="en-GB"/>
        </w:rPr>
        <w:t>.</w:t>
      </w:r>
    </w:p>
    <w:p w:rsidR="00E97008" w:rsidRDefault="000A2D29" w:rsidP="007020D5">
      <w:pPr>
        <w:widowControl w:val="0"/>
        <w:numPr>
          <w:ilvl w:val="1"/>
          <w:numId w:val="5"/>
        </w:numPr>
        <w:spacing w:after="120"/>
        <w:jc w:val="both"/>
        <w:rPr>
          <w:rFonts w:asciiTheme="minorHAnsi" w:eastAsiaTheme="minorHAnsi" w:hAnsiTheme="minorHAnsi" w:cstheme="minorBidi"/>
          <w:szCs w:val="22"/>
        </w:rPr>
      </w:pPr>
      <w:r w:rsidRPr="000A2D29">
        <w:rPr>
          <w:rFonts w:asciiTheme="minorHAnsi" w:eastAsiaTheme="minorHAnsi" w:hAnsiTheme="minorHAnsi" w:cstheme="minorBidi"/>
          <w:szCs w:val="22"/>
        </w:rPr>
        <w:t xml:space="preserve">The PBAC’s recommendation for listing </w:t>
      </w:r>
      <w:proofErr w:type="gramStart"/>
      <w:r w:rsidRPr="000A2D29">
        <w:rPr>
          <w:rFonts w:asciiTheme="minorHAnsi" w:eastAsiaTheme="minorHAnsi" w:hAnsiTheme="minorHAnsi" w:cstheme="minorBidi"/>
          <w:szCs w:val="22"/>
        </w:rPr>
        <w:t>was based</w:t>
      </w:r>
      <w:proofErr w:type="gramEnd"/>
      <w:r w:rsidRPr="000A2D29">
        <w:rPr>
          <w:rFonts w:asciiTheme="minorHAnsi" w:eastAsiaTheme="minorHAnsi" w:hAnsiTheme="minorHAnsi" w:cstheme="minorBidi"/>
          <w:szCs w:val="22"/>
        </w:rPr>
        <w:t xml:space="preserve"> on, among other matters, its assessment, as described above, that the cost-effectiveness of </w:t>
      </w:r>
      <w:proofErr w:type="spellStart"/>
      <w:r w:rsidR="007020D5" w:rsidRPr="007020D5">
        <w:rPr>
          <w:rFonts w:asciiTheme="minorHAnsi" w:eastAsiaTheme="minorHAnsi" w:hAnsiTheme="minorHAnsi" w:cstheme="minorBidi"/>
          <w:szCs w:val="22"/>
        </w:rPr>
        <w:t>brentuximab</w:t>
      </w:r>
      <w:proofErr w:type="spellEnd"/>
      <w:r w:rsidR="007020D5" w:rsidRPr="007020D5">
        <w:rPr>
          <w:rFonts w:asciiTheme="minorHAnsi" w:eastAsiaTheme="minorHAnsi" w:hAnsiTheme="minorHAnsi" w:cstheme="minorBidi"/>
          <w:szCs w:val="22"/>
        </w:rPr>
        <w:t xml:space="preserve"> </w:t>
      </w:r>
      <w:proofErr w:type="spellStart"/>
      <w:r w:rsidR="007020D5" w:rsidRPr="007020D5">
        <w:rPr>
          <w:rFonts w:asciiTheme="minorHAnsi" w:eastAsiaTheme="minorHAnsi" w:hAnsiTheme="minorHAnsi" w:cstheme="minorBidi"/>
          <w:szCs w:val="22"/>
        </w:rPr>
        <w:t>vedotin</w:t>
      </w:r>
      <w:proofErr w:type="spellEnd"/>
      <w:r w:rsidR="007020D5" w:rsidRPr="007020D5">
        <w:rPr>
          <w:rFonts w:asciiTheme="minorHAnsi" w:eastAsiaTheme="minorHAnsi" w:hAnsiTheme="minorHAnsi" w:cstheme="minorBidi"/>
          <w:szCs w:val="22"/>
        </w:rPr>
        <w:t xml:space="preserve"> </w:t>
      </w:r>
      <w:r>
        <w:rPr>
          <w:rFonts w:asciiTheme="minorHAnsi" w:eastAsiaTheme="minorHAnsi" w:hAnsiTheme="minorHAnsi" w:cstheme="minorBidi"/>
          <w:szCs w:val="22"/>
        </w:rPr>
        <w:t xml:space="preserve">would </w:t>
      </w:r>
      <w:r w:rsidRPr="000A2D29">
        <w:rPr>
          <w:rFonts w:asciiTheme="minorHAnsi" w:eastAsiaTheme="minorHAnsi" w:hAnsiTheme="minorHAnsi" w:cstheme="minorBidi"/>
          <w:szCs w:val="22"/>
        </w:rPr>
        <w:t xml:space="preserve">be acceptable </w:t>
      </w:r>
      <w:r w:rsidR="007020D5" w:rsidRPr="007020D5">
        <w:rPr>
          <w:rFonts w:asciiTheme="minorHAnsi" w:eastAsiaTheme="minorHAnsi" w:hAnsiTheme="minorHAnsi" w:cstheme="minorBidi"/>
          <w:szCs w:val="22"/>
        </w:rPr>
        <w:t xml:space="preserve">for the MF, SS and </w:t>
      </w:r>
      <w:proofErr w:type="spellStart"/>
      <w:r w:rsidR="007020D5" w:rsidRPr="007020D5">
        <w:rPr>
          <w:rFonts w:asciiTheme="minorHAnsi" w:eastAsiaTheme="minorHAnsi" w:hAnsiTheme="minorHAnsi" w:cstheme="minorBidi"/>
          <w:szCs w:val="22"/>
        </w:rPr>
        <w:t>pcALCL</w:t>
      </w:r>
      <w:proofErr w:type="spellEnd"/>
      <w:r w:rsidR="007020D5" w:rsidRPr="007020D5">
        <w:rPr>
          <w:rFonts w:asciiTheme="minorHAnsi" w:eastAsiaTheme="minorHAnsi" w:hAnsiTheme="minorHAnsi" w:cstheme="minorBidi"/>
          <w:szCs w:val="22"/>
        </w:rPr>
        <w:t xml:space="preserve"> CTCL subtypes at the revised price </w:t>
      </w:r>
      <w:r w:rsidR="007020D5" w:rsidRPr="007020D5">
        <w:rPr>
          <w:rFonts w:asciiTheme="minorHAnsi" w:eastAsiaTheme="minorHAnsi" w:hAnsiTheme="minorHAnsi" w:cstheme="minorBidi"/>
          <w:szCs w:val="22"/>
        </w:rPr>
        <w:lastRenderedPageBreak/>
        <w:t>proposed in the minor resubmission.</w:t>
      </w:r>
    </w:p>
    <w:p w:rsidR="007020D5" w:rsidRPr="00775B60" w:rsidRDefault="00775B60" w:rsidP="00775B60">
      <w:pPr>
        <w:widowControl w:val="0"/>
        <w:numPr>
          <w:ilvl w:val="1"/>
          <w:numId w:val="5"/>
        </w:numPr>
        <w:spacing w:after="120"/>
        <w:jc w:val="both"/>
        <w:rPr>
          <w:rFonts w:asciiTheme="minorHAnsi" w:eastAsiaTheme="minorHAnsi" w:hAnsiTheme="minorHAnsi" w:cstheme="minorBidi"/>
          <w:szCs w:val="22"/>
        </w:rPr>
      </w:pPr>
      <w:r>
        <w:rPr>
          <w:rFonts w:asciiTheme="minorHAnsi" w:eastAsiaTheme="minorHAnsi" w:hAnsiTheme="minorHAnsi" w:cstheme="minorBidi"/>
          <w:szCs w:val="22"/>
        </w:rPr>
        <w:t xml:space="preserve">The PBAC reaffirmed </w:t>
      </w:r>
      <w:r w:rsidR="008E44FC">
        <w:rPr>
          <w:rFonts w:asciiTheme="minorHAnsi" w:eastAsiaTheme="minorHAnsi" w:hAnsiTheme="minorHAnsi" w:cstheme="minorBidi"/>
          <w:szCs w:val="22"/>
        </w:rPr>
        <w:t xml:space="preserve">it considered that there is a need for additional therapies for patients with CTCL who have failed prior systemic therapies. The PBAC considered that a </w:t>
      </w:r>
      <w:proofErr w:type="gramStart"/>
      <w:r w:rsidR="008E44FC">
        <w:rPr>
          <w:rFonts w:asciiTheme="minorHAnsi" w:eastAsiaTheme="minorHAnsi" w:hAnsiTheme="minorHAnsi" w:cstheme="minorBidi"/>
          <w:szCs w:val="22"/>
        </w:rPr>
        <w:t>high unmet</w:t>
      </w:r>
      <w:proofErr w:type="gramEnd"/>
      <w:r w:rsidR="008E44FC">
        <w:rPr>
          <w:rFonts w:asciiTheme="minorHAnsi" w:eastAsiaTheme="minorHAnsi" w:hAnsiTheme="minorHAnsi" w:cstheme="minorBidi"/>
          <w:szCs w:val="22"/>
        </w:rPr>
        <w:t xml:space="preserve"> clinical need was particularly evident for patients with</w:t>
      </w:r>
      <w:r>
        <w:rPr>
          <w:rFonts w:asciiTheme="minorHAnsi" w:eastAsiaTheme="minorHAnsi" w:hAnsiTheme="minorHAnsi" w:cstheme="minorBidi"/>
          <w:szCs w:val="22"/>
        </w:rPr>
        <w:t xml:space="preserve"> the</w:t>
      </w:r>
      <w:r w:rsidR="008E44FC">
        <w:rPr>
          <w:rFonts w:asciiTheme="minorHAnsi" w:eastAsiaTheme="minorHAnsi" w:hAnsiTheme="minorHAnsi" w:cstheme="minorBidi"/>
          <w:szCs w:val="22"/>
        </w:rPr>
        <w:t xml:space="preserve"> MF, </w:t>
      </w:r>
      <w:r w:rsidR="00D47CAA">
        <w:rPr>
          <w:rFonts w:asciiTheme="minorHAnsi" w:eastAsiaTheme="minorHAnsi" w:hAnsiTheme="minorHAnsi" w:cstheme="minorBidi"/>
          <w:szCs w:val="22"/>
        </w:rPr>
        <w:t xml:space="preserve">SS and </w:t>
      </w:r>
      <w:proofErr w:type="spellStart"/>
      <w:r w:rsidR="00D47CAA">
        <w:rPr>
          <w:rFonts w:asciiTheme="minorHAnsi" w:eastAsiaTheme="minorHAnsi" w:hAnsiTheme="minorHAnsi" w:cstheme="minorBidi"/>
          <w:szCs w:val="22"/>
        </w:rPr>
        <w:t>pcALCL</w:t>
      </w:r>
      <w:proofErr w:type="spellEnd"/>
      <w:r w:rsidR="00D47CAA">
        <w:rPr>
          <w:rFonts w:asciiTheme="minorHAnsi" w:eastAsiaTheme="minorHAnsi" w:hAnsiTheme="minorHAnsi" w:cstheme="minorBidi"/>
          <w:szCs w:val="22"/>
        </w:rPr>
        <w:t xml:space="preserve"> subtypes of CTCL.</w:t>
      </w:r>
    </w:p>
    <w:p w:rsidR="00F21782" w:rsidRDefault="00F21782" w:rsidP="00FE26BD">
      <w:pPr>
        <w:widowControl w:val="0"/>
        <w:numPr>
          <w:ilvl w:val="1"/>
          <w:numId w:val="5"/>
        </w:numPr>
        <w:spacing w:after="120"/>
        <w:jc w:val="both"/>
        <w:rPr>
          <w:rFonts w:asciiTheme="minorHAnsi" w:eastAsiaTheme="minorHAnsi" w:hAnsiTheme="minorHAnsi" w:cstheme="minorBidi"/>
          <w:szCs w:val="22"/>
        </w:rPr>
      </w:pPr>
      <w:r>
        <w:rPr>
          <w:rFonts w:asciiTheme="minorHAnsi" w:eastAsiaTheme="minorHAnsi" w:hAnsiTheme="minorHAnsi" w:cstheme="minorBidi"/>
          <w:szCs w:val="22"/>
        </w:rPr>
        <w:t xml:space="preserve">The PBAC noted that a definition of CD30 positivity was not included in the revised initial treatment restriction. </w:t>
      </w:r>
      <w:r w:rsidR="008E44FC" w:rsidRPr="00F21782">
        <w:rPr>
          <w:rFonts w:asciiTheme="minorHAnsi" w:eastAsiaTheme="minorHAnsi" w:hAnsiTheme="minorHAnsi" w:cstheme="minorBidi"/>
          <w:szCs w:val="22"/>
        </w:rPr>
        <w:t>The PBAC noted the arguments put forward in the minor resubmission and the pre-PBAC response against the inclusion of an explicit definition for CD30 positivi</w:t>
      </w:r>
      <w:r w:rsidR="00447B95">
        <w:rPr>
          <w:rFonts w:asciiTheme="minorHAnsi" w:eastAsiaTheme="minorHAnsi" w:hAnsiTheme="minorHAnsi" w:cstheme="minorBidi"/>
          <w:szCs w:val="22"/>
        </w:rPr>
        <w:t>ty. However, the PBAC noted</w:t>
      </w:r>
      <w:r w:rsidR="008E44FC" w:rsidRPr="00F21782">
        <w:rPr>
          <w:rFonts w:asciiTheme="minorHAnsi" w:eastAsiaTheme="minorHAnsi" w:hAnsiTheme="minorHAnsi" w:cstheme="minorBidi"/>
          <w:szCs w:val="22"/>
        </w:rPr>
        <w:t xml:space="preserve"> that a large proportion of patients with CTCL do not express CD30. In addition, the PBAC noted that the evidence for cost-effect</w:t>
      </w:r>
      <w:r w:rsidR="009F5692">
        <w:rPr>
          <w:rFonts w:asciiTheme="minorHAnsi" w:eastAsiaTheme="minorHAnsi" w:hAnsiTheme="minorHAnsi" w:cstheme="minorBidi"/>
          <w:szCs w:val="22"/>
        </w:rPr>
        <w:t xml:space="preserve">iveness of </w:t>
      </w:r>
      <w:proofErr w:type="spellStart"/>
      <w:r w:rsidR="009F5692">
        <w:rPr>
          <w:rFonts w:asciiTheme="minorHAnsi" w:eastAsiaTheme="minorHAnsi" w:hAnsiTheme="minorHAnsi" w:cstheme="minorBidi"/>
          <w:szCs w:val="22"/>
        </w:rPr>
        <w:t>brentuximab</w:t>
      </w:r>
      <w:proofErr w:type="spellEnd"/>
      <w:r w:rsidR="009F5692">
        <w:rPr>
          <w:rFonts w:asciiTheme="minorHAnsi" w:eastAsiaTheme="minorHAnsi" w:hAnsiTheme="minorHAnsi" w:cstheme="minorBidi"/>
          <w:szCs w:val="22"/>
        </w:rPr>
        <w:t xml:space="preserve"> </w:t>
      </w:r>
      <w:proofErr w:type="spellStart"/>
      <w:r w:rsidR="009F5692">
        <w:rPr>
          <w:rFonts w:asciiTheme="minorHAnsi" w:eastAsiaTheme="minorHAnsi" w:hAnsiTheme="minorHAnsi" w:cstheme="minorBidi"/>
          <w:szCs w:val="22"/>
        </w:rPr>
        <w:t>vedotin</w:t>
      </w:r>
      <w:proofErr w:type="spellEnd"/>
      <w:r w:rsidR="009F5692">
        <w:rPr>
          <w:rFonts w:asciiTheme="minorHAnsi" w:eastAsiaTheme="minorHAnsi" w:hAnsiTheme="minorHAnsi" w:cstheme="minorBidi"/>
          <w:szCs w:val="22"/>
        </w:rPr>
        <w:t xml:space="preserve"> </w:t>
      </w:r>
      <w:proofErr w:type="gramStart"/>
      <w:r w:rsidR="009F5692">
        <w:rPr>
          <w:rFonts w:asciiTheme="minorHAnsi" w:eastAsiaTheme="minorHAnsi" w:hAnsiTheme="minorHAnsi" w:cstheme="minorBidi"/>
          <w:szCs w:val="22"/>
        </w:rPr>
        <w:t>wa</w:t>
      </w:r>
      <w:r w:rsidR="008E44FC" w:rsidRPr="00F21782">
        <w:rPr>
          <w:rFonts w:asciiTheme="minorHAnsi" w:eastAsiaTheme="minorHAnsi" w:hAnsiTheme="minorHAnsi" w:cstheme="minorBidi"/>
          <w:szCs w:val="22"/>
        </w:rPr>
        <w:t>s based</w:t>
      </w:r>
      <w:proofErr w:type="gramEnd"/>
      <w:r w:rsidR="008E44FC" w:rsidRPr="00F21782">
        <w:rPr>
          <w:rFonts w:asciiTheme="minorHAnsi" w:eastAsiaTheme="minorHAnsi" w:hAnsiTheme="minorHAnsi" w:cstheme="minorBidi"/>
          <w:szCs w:val="22"/>
        </w:rPr>
        <w:t xml:space="preserve"> on the ALCANZA trial, which only recruited patients whose biopsy had 10% or more target cells with CD30 staining. The PBAC acknowledged evidence of activity </w:t>
      </w:r>
      <w:proofErr w:type="gramStart"/>
      <w:r w:rsidR="008E44FC" w:rsidRPr="00F21782">
        <w:rPr>
          <w:rFonts w:asciiTheme="minorHAnsi" w:eastAsiaTheme="minorHAnsi" w:hAnsiTheme="minorHAnsi" w:cstheme="minorBidi"/>
          <w:szCs w:val="22"/>
        </w:rPr>
        <w:t>was seen</w:t>
      </w:r>
      <w:proofErr w:type="gramEnd"/>
      <w:r w:rsidR="008E44FC" w:rsidRPr="00F21782">
        <w:rPr>
          <w:rFonts w:asciiTheme="minorHAnsi" w:eastAsiaTheme="minorHAnsi" w:hAnsiTheme="minorHAnsi" w:cstheme="minorBidi"/>
          <w:szCs w:val="22"/>
        </w:rPr>
        <w:t xml:space="preserve"> at levels below 10%, and that the disease is heterogen</w:t>
      </w:r>
      <w:r w:rsidR="000B185D">
        <w:rPr>
          <w:rFonts w:asciiTheme="minorHAnsi" w:eastAsiaTheme="minorHAnsi" w:hAnsiTheme="minorHAnsi" w:cstheme="minorBidi"/>
          <w:szCs w:val="22"/>
        </w:rPr>
        <w:t>e</w:t>
      </w:r>
      <w:r w:rsidR="008E44FC" w:rsidRPr="00F21782">
        <w:rPr>
          <w:rFonts w:asciiTheme="minorHAnsi" w:eastAsiaTheme="minorHAnsi" w:hAnsiTheme="minorHAnsi" w:cstheme="minorBidi"/>
          <w:szCs w:val="22"/>
        </w:rPr>
        <w:t xml:space="preserve">ous, meaning that repeat biopsies may be required. On balance, </w:t>
      </w:r>
      <w:r>
        <w:rPr>
          <w:rFonts w:asciiTheme="minorHAnsi" w:eastAsiaTheme="minorHAnsi" w:hAnsiTheme="minorHAnsi" w:cstheme="minorBidi"/>
          <w:szCs w:val="22"/>
        </w:rPr>
        <w:t xml:space="preserve">the </w:t>
      </w:r>
      <w:r w:rsidR="008E44FC" w:rsidRPr="00F21782">
        <w:rPr>
          <w:rFonts w:asciiTheme="minorHAnsi" w:eastAsiaTheme="minorHAnsi" w:hAnsiTheme="minorHAnsi" w:cstheme="minorBidi"/>
          <w:szCs w:val="22"/>
        </w:rPr>
        <w:t xml:space="preserve">PBAC considered it necessary to specify a cut-off, but to make </w:t>
      </w:r>
      <w:r w:rsidR="00E24E8B">
        <w:rPr>
          <w:rFonts w:asciiTheme="minorHAnsi" w:eastAsiaTheme="minorHAnsi" w:hAnsiTheme="minorHAnsi" w:cstheme="minorBidi"/>
          <w:szCs w:val="22"/>
        </w:rPr>
        <w:t>it</w:t>
      </w:r>
      <w:r w:rsidR="00E24E8B" w:rsidRPr="00F21782">
        <w:rPr>
          <w:rFonts w:asciiTheme="minorHAnsi" w:eastAsiaTheme="minorHAnsi" w:hAnsiTheme="minorHAnsi" w:cstheme="minorBidi"/>
          <w:szCs w:val="22"/>
        </w:rPr>
        <w:t xml:space="preserve"> </w:t>
      </w:r>
      <w:r w:rsidR="008E44FC" w:rsidRPr="00F21782">
        <w:rPr>
          <w:rFonts w:asciiTheme="minorHAnsi" w:eastAsiaTheme="minorHAnsi" w:hAnsiTheme="minorHAnsi" w:cstheme="minorBidi"/>
          <w:szCs w:val="22"/>
        </w:rPr>
        <w:t xml:space="preserve">less stringent than the </w:t>
      </w:r>
      <w:r w:rsidR="00E24E8B">
        <w:rPr>
          <w:rFonts w:asciiTheme="minorHAnsi" w:eastAsiaTheme="minorHAnsi" w:hAnsiTheme="minorHAnsi" w:cstheme="minorBidi"/>
          <w:szCs w:val="22"/>
        </w:rPr>
        <w:t xml:space="preserve">ALCANZA </w:t>
      </w:r>
      <w:r w:rsidR="008E44FC" w:rsidRPr="00F21782">
        <w:rPr>
          <w:rFonts w:asciiTheme="minorHAnsi" w:eastAsiaTheme="minorHAnsi" w:hAnsiTheme="minorHAnsi" w:cstheme="minorBidi"/>
          <w:szCs w:val="22"/>
        </w:rPr>
        <w:t xml:space="preserve">trial entry criteria given the data provided in </w:t>
      </w:r>
      <w:r w:rsidR="00FD73C2">
        <w:rPr>
          <w:rFonts w:asciiTheme="minorHAnsi" w:eastAsiaTheme="minorHAnsi" w:hAnsiTheme="minorHAnsi" w:cstheme="minorBidi"/>
          <w:szCs w:val="22"/>
        </w:rPr>
        <w:t xml:space="preserve">both </w:t>
      </w:r>
      <w:r w:rsidR="008E44FC" w:rsidRPr="00F21782">
        <w:rPr>
          <w:rFonts w:asciiTheme="minorHAnsi" w:eastAsiaTheme="minorHAnsi" w:hAnsiTheme="minorHAnsi" w:cstheme="minorBidi"/>
          <w:szCs w:val="22"/>
        </w:rPr>
        <w:t xml:space="preserve">the </w:t>
      </w:r>
      <w:r w:rsidR="00FD73C2">
        <w:rPr>
          <w:rFonts w:asciiTheme="minorHAnsi" w:eastAsiaTheme="minorHAnsi" w:hAnsiTheme="minorHAnsi" w:cstheme="minorBidi"/>
          <w:szCs w:val="22"/>
        </w:rPr>
        <w:t xml:space="preserve">July 2018 submission and in the </w:t>
      </w:r>
      <w:r w:rsidR="008E44FC" w:rsidRPr="00F21782">
        <w:rPr>
          <w:rFonts w:asciiTheme="minorHAnsi" w:eastAsiaTheme="minorHAnsi" w:hAnsiTheme="minorHAnsi" w:cstheme="minorBidi"/>
          <w:szCs w:val="22"/>
        </w:rPr>
        <w:t xml:space="preserve">minor resubmission. The PBAC recalled that the Pre-Sub-Committee Response (PSCR) for the July 2018 submission stated that a response to </w:t>
      </w:r>
      <w:proofErr w:type="spellStart"/>
      <w:r w:rsidR="008E44FC" w:rsidRPr="00F21782">
        <w:rPr>
          <w:rFonts w:asciiTheme="minorHAnsi" w:eastAsiaTheme="minorHAnsi" w:hAnsiTheme="minorHAnsi" w:cstheme="minorBidi"/>
          <w:szCs w:val="22"/>
        </w:rPr>
        <w:t>brentuximab</w:t>
      </w:r>
      <w:proofErr w:type="spellEnd"/>
      <w:r w:rsidR="008E44FC" w:rsidRPr="00F21782">
        <w:rPr>
          <w:rFonts w:asciiTheme="minorHAnsi" w:eastAsiaTheme="minorHAnsi" w:hAnsiTheme="minorHAnsi" w:cstheme="minorBidi"/>
          <w:szCs w:val="22"/>
        </w:rPr>
        <w:t xml:space="preserve"> </w:t>
      </w:r>
      <w:proofErr w:type="spellStart"/>
      <w:r w:rsidR="008E44FC" w:rsidRPr="00F21782">
        <w:rPr>
          <w:rFonts w:asciiTheme="minorHAnsi" w:eastAsiaTheme="minorHAnsi" w:hAnsiTheme="minorHAnsi" w:cstheme="minorBidi"/>
          <w:szCs w:val="22"/>
        </w:rPr>
        <w:t>vedotin</w:t>
      </w:r>
      <w:proofErr w:type="spellEnd"/>
      <w:r w:rsidR="008E44FC" w:rsidRPr="00F21782">
        <w:rPr>
          <w:rFonts w:asciiTheme="minorHAnsi" w:eastAsiaTheme="minorHAnsi" w:hAnsiTheme="minorHAnsi" w:cstheme="minorBidi"/>
          <w:szCs w:val="22"/>
        </w:rPr>
        <w:t xml:space="preserve"> in the ALCANZA trial </w:t>
      </w:r>
      <w:proofErr w:type="gramStart"/>
      <w:r w:rsidR="008E44FC" w:rsidRPr="00F21782">
        <w:rPr>
          <w:rFonts w:asciiTheme="minorHAnsi" w:eastAsiaTheme="minorHAnsi" w:hAnsiTheme="minorHAnsi" w:cstheme="minorBidi"/>
          <w:szCs w:val="22"/>
        </w:rPr>
        <w:t>was seen</w:t>
      </w:r>
      <w:proofErr w:type="gramEnd"/>
      <w:r w:rsidR="008E44FC" w:rsidRPr="00F21782">
        <w:rPr>
          <w:rFonts w:asciiTheme="minorHAnsi" w:eastAsiaTheme="minorHAnsi" w:hAnsiTheme="minorHAnsi" w:cstheme="minorBidi"/>
          <w:szCs w:val="22"/>
        </w:rPr>
        <w:t xml:space="preserve"> across a range of baseline CD30 expression from 3% to 100%, for all biopsy samples of each patient. The PBAC therefore advised that the proposed restriction should include a requirement for CD30 positivity of at least 3% of malignant cells.</w:t>
      </w:r>
    </w:p>
    <w:p w:rsidR="00FE26BD" w:rsidRPr="00FE26BD" w:rsidRDefault="002E4420" w:rsidP="00FE26BD">
      <w:pPr>
        <w:widowControl w:val="0"/>
        <w:numPr>
          <w:ilvl w:val="1"/>
          <w:numId w:val="5"/>
        </w:numPr>
        <w:spacing w:after="120"/>
        <w:jc w:val="both"/>
        <w:rPr>
          <w:rFonts w:asciiTheme="minorHAnsi" w:eastAsiaTheme="minorHAnsi" w:hAnsiTheme="minorHAnsi" w:cstheme="minorBidi"/>
          <w:szCs w:val="22"/>
        </w:rPr>
      </w:pPr>
      <w:r>
        <w:rPr>
          <w:rFonts w:asciiTheme="minorHAnsi" w:eastAsiaTheme="minorHAnsi" w:hAnsiTheme="minorHAnsi" w:cstheme="minorBidi"/>
          <w:szCs w:val="22"/>
        </w:rPr>
        <w:t xml:space="preserve">The minor submission requested that flow </w:t>
      </w:r>
      <w:proofErr w:type="spellStart"/>
      <w:r w:rsidRPr="00386A6A">
        <w:rPr>
          <w:rFonts w:asciiTheme="minorHAnsi" w:eastAsiaTheme="minorHAnsi" w:hAnsiTheme="minorHAnsi" w:cstheme="minorBidi"/>
          <w:szCs w:val="22"/>
        </w:rPr>
        <w:t>cytometric</w:t>
      </w:r>
      <w:proofErr w:type="spellEnd"/>
      <w:r w:rsidRPr="00386A6A">
        <w:rPr>
          <w:rFonts w:asciiTheme="minorHAnsi" w:eastAsiaTheme="minorHAnsi" w:hAnsiTheme="minorHAnsi" w:cstheme="minorBidi"/>
          <w:szCs w:val="22"/>
        </w:rPr>
        <w:t xml:space="preserve"> analysis</w:t>
      </w:r>
      <w:r>
        <w:rPr>
          <w:rFonts w:asciiTheme="minorHAnsi" w:eastAsiaTheme="minorHAnsi" w:hAnsiTheme="minorHAnsi" w:cstheme="minorBidi"/>
          <w:szCs w:val="22"/>
        </w:rPr>
        <w:t xml:space="preserve"> of the blood be included in the proposed restriction as a methodology to assess CD30 expression. </w:t>
      </w:r>
      <w:r w:rsidRPr="00386A6A">
        <w:rPr>
          <w:rFonts w:asciiTheme="minorHAnsi" w:eastAsiaTheme="minorHAnsi" w:hAnsiTheme="minorHAnsi" w:cstheme="minorBidi"/>
          <w:szCs w:val="22"/>
        </w:rPr>
        <w:t>The PBAC consider</w:t>
      </w:r>
      <w:r>
        <w:rPr>
          <w:rFonts w:asciiTheme="minorHAnsi" w:eastAsiaTheme="minorHAnsi" w:hAnsiTheme="minorHAnsi" w:cstheme="minorBidi"/>
          <w:szCs w:val="22"/>
        </w:rPr>
        <w:t>ed</w:t>
      </w:r>
      <w:r w:rsidRPr="00386A6A">
        <w:rPr>
          <w:rFonts w:asciiTheme="minorHAnsi" w:eastAsiaTheme="minorHAnsi" w:hAnsiTheme="minorHAnsi" w:cstheme="minorBidi"/>
          <w:szCs w:val="22"/>
        </w:rPr>
        <w:t xml:space="preserve"> </w:t>
      </w:r>
      <w:r>
        <w:rPr>
          <w:rFonts w:asciiTheme="minorHAnsi" w:eastAsiaTheme="minorHAnsi" w:hAnsiTheme="minorHAnsi" w:cstheme="minorBidi"/>
          <w:szCs w:val="22"/>
        </w:rPr>
        <w:t>that a</w:t>
      </w:r>
      <w:r w:rsidR="00140ED6">
        <w:rPr>
          <w:rFonts w:asciiTheme="minorHAnsi" w:eastAsiaTheme="minorHAnsi" w:hAnsiTheme="minorHAnsi" w:cstheme="minorBidi"/>
          <w:szCs w:val="22"/>
        </w:rPr>
        <w:t xml:space="preserve"> definitive</w:t>
      </w:r>
      <w:r>
        <w:rPr>
          <w:rFonts w:asciiTheme="minorHAnsi" w:eastAsiaTheme="minorHAnsi" w:hAnsiTheme="minorHAnsi" w:cstheme="minorBidi"/>
          <w:szCs w:val="22"/>
        </w:rPr>
        <w:t xml:space="preserve"> diagnosis of CD30 positive disease was required, usually via a histology report. However, the PBAC considered that the </w:t>
      </w:r>
      <w:r w:rsidRPr="00386A6A">
        <w:rPr>
          <w:rFonts w:asciiTheme="minorHAnsi" w:eastAsiaTheme="minorHAnsi" w:hAnsiTheme="minorHAnsi" w:cstheme="minorBidi"/>
          <w:szCs w:val="22"/>
        </w:rPr>
        <w:t xml:space="preserve">inclusion of evidence of CD30 positivity from flow </w:t>
      </w:r>
      <w:proofErr w:type="spellStart"/>
      <w:r w:rsidRPr="00386A6A">
        <w:rPr>
          <w:rFonts w:asciiTheme="minorHAnsi" w:eastAsiaTheme="minorHAnsi" w:hAnsiTheme="minorHAnsi" w:cstheme="minorBidi"/>
          <w:szCs w:val="22"/>
        </w:rPr>
        <w:t>cytometric</w:t>
      </w:r>
      <w:proofErr w:type="spellEnd"/>
      <w:r w:rsidRPr="00386A6A">
        <w:rPr>
          <w:rFonts w:asciiTheme="minorHAnsi" w:eastAsiaTheme="minorHAnsi" w:hAnsiTheme="minorHAnsi" w:cstheme="minorBidi"/>
          <w:szCs w:val="22"/>
        </w:rPr>
        <w:t xml:space="preserve"> analysis, as an alternative to evidence from a histology report on a tumour sample, </w:t>
      </w:r>
      <w:r>
        <w:rPr>
          <w:rFonts w:asciiTheme="minorHAnsi" w:eastAsiaTheme="minorHAnsi" w:hAnsiTheme="minorHAnsi" w:cstheme="minorBidi"/>
          <w:szCs w:val="22"/>
        </w:rPr>
        <w:t>wa</w:t>
      </w:r>
      <w:r w:rsidRPr="00386A6A">
        <w:rPr>
          <w:rFonts w:asciiTheme="minorHAnsi" w:eastAsiaTheme="minorHAnsi" w:hAnsiTheme="minorHAnsi" w:cstheme="minorBidi"/>
          <w:szCs w:val="22"/>
        </w:rPr>
        <w:t>s appropriate</w:t>
      </w:r>
      <w:r>
        <w:rPr>
          <w:rFonts w:asciiTheme="minorHAnsi" w:eastAsiaTheme="minorHAnsi" w:hAnsiTheme="minorHAnsi" w:cstheme="minorBidi"/>
          <w:szCs w:val="22"/>
        </w:rPr>
        <w:t xml:space="preserve"> </w:t>
      </w:r>
      <w:r w:rsidRPr="009052BF">
        <w:rPr>
          <w:rFonts w:asciiTheme="minorHAnsi" w:eastAsiaTheme="minorHAnsi" w:hAnsiTheme="minorHAnsi" w:cstheme="minorBidi"/>
          <w:szCs w:val="22"/>
        </w:rPr>
        <w:t>for patients with SS</w:t>
      </w:r>
      <w:r w:rsidRPr="00386A6A">
        <w:rPr>
          <w:rFonts w:asciiTheme="minorHAnsi" w:eastAsiaTheme="minorHAnsi" w:hAnsiTheme="minorHAnsi" w:cstheme="minorBidi"/>
          <w:szCs w:val="22"/>
        </w:rPr>
        <w:t>.</w:t>
      </w:r>
    </w:p>
    <w:p w:rsidR="00FD73C2" w:rsidRPr="00FD73C2" w:rsidRDefault="00F21782" w:rsidP="00FD73C2">
      <w:pPr>
        <w:pStyle w:val="ListParagraph"/>
        <w:widowControl/>
        <w:numPr>
          <w:ilvl w:val="1"/>
          <w:numId w:val="5"/>
        </w:numPr>
        <w:spacing w:before="120" w:after="160"/>
        <w:contextualSpacing w:val="0"/>
        <w:rPr>
          <w:rFonts w:asciiTheme="minorHAnsi" w:eastAsiaTheme="minorHAnsi" w:hAnsiTheme="minorHAnsi" w:cstheme="minorBidi"/>
          <w:snapToGrid/>
          <w:sz w:val="24"/>
          <w:szCs w:val="24"/>
        </w:rPr>
      </w:pPr>
      <w:r w:rsidRPr="009F5692">
        <w:rPr>
          <w:rFonts w:asciiTheme="minorHAnsi" w:eastAsiaTheme="minorHAnsi" w:hAnsiTheme="minorHAnsi" w:cstheme="minorBidi"/>
          <w:snapToGrid/>
          <w:sz w:val="24"/>
          <w:szCs w:val="24"/>
        </w:rPr>
        <w:t xml:space="preserve">The </w:t>
      </w:r>
      <w:r w:rsidR="00FE26BD" w:rsidRPr="009F5692">
        <w:rPr>
          <w:rFonts w:asciiTheme="minorHAnsi" w:eastAsiaTheme="minorHAnsi" w:hAnsiTheme="minorHAnsi" w:cstheme="minorBidi"/>
          <w:sz w:val="24"/>
          <w:szCs w:val="24"/>
        </w:rPr>
        <w:t xml:space="preserve">PBAC noted that the </w:t>
      </w:r>
      <w:r w:rsidRPr="009F5692">
        <w:rPr>
          <w:rFonts w:asciiTheme="minorHAnsi" w:eastAsiaTheme="minorHAnsi" w:hAnsiTheme="minorHAnsi" w:cstheme="minorBidi"/>
          <w:snapToGrid/>
          <w:sz w:val="24"/>
          <w:szCs w:val="24"/>
        </w:rPr>
        <w:t>proposed continuing restriction did not include a requirement for patients to have achieved an appropriate response to therapy.</w:t>
      </w:r>
      <w:r w:rsidR="00FE26BD" w:rsidRPr="009F5692">
        <w:rPr>
          <w:rFonts w:asciiTheme="minorHAnsi" w:eastAsiaTheme="minorHAnsi" w:hAnsiTheme="minorHAnsi" w:cstheme="minorBidi"/>
          <w:sz w:val="24"/>
          <w:szCs w:val="24"/>
        </w:rPr>
        <w:t xml:space="preserve"> </w:t>
      </w:r>
      <w:r w:rsidR="00FE26BD" w:rsidRPr="009F5692">
        <w:rPr>
          <w:rFonts w:asciiTheme="minorHAnsi" w:eastAsiaTheme="minorHAnsi" w:hAnsiTheme="minorHAnsi" w:cstheme="minorBidi"/>
          <w:snapToGrid/>
          <w:sz w:val="24"/>
          <w:szCs w:val="24"/>
        </w:rPr>
        <w:t xml:space="preserve">The PBAC noted the information and opinions provided around the need for, and the details of, response assessment. The PBAC </w:t>
      </w:r>
      <w:r w:rsidR="00FD73C2">
        <w:rPr>
          <w:rFonts w:asciiTheme="minorHAnsi" w:eastAsiaTheme="minorHAnsi" w:hAnsiTheme="minorHAnsi" w:cstheme="minorBidi"/>
          <w:snapToGrid/>
          <w:sz w:val="24"/>
          <w:szCs w:val="24"/>
        </w:rPr>
        <w:t>considered that</w:t>
      </w:r>
      <w:r w:rsidR="00FE26BD" w:rsidRPr="009F5692">
        <w:rPr>
          <w:rFonts w:asciiTheme="minorHAnsi" w:eastAsiaTheme="minorHAnsi" w:hAnsiTheme="minorHAnsi" w:cstheme="minorBidi"/>
          <w:snapToGrid/>
          <w:sz w:val="24"/>
          <w:szCs w:val="24"/>
        </w:rPr>
        <w:t xml:space="preserve"> continuing use of </w:t>
      </w:r>
      <w:proofErr w:type="spellStart"/>
      <w:r w:rsidR="00FE26BD" w:rsidRPr="009F5692">
        <w:rPr>
          <w:rFonts w:asciiTheme="minorHAnsi" w:eastAsiaTheme="minorHAnsi" w:hAnsiTheme="minorHAnsi" w:cstheme="minorBidi"/>
          <w:snapToGrid/>
          <w:sz w:val="24"/>
          <w:szCs w:val="24"/>
        </w:rPr>
        <w:t>brentuximab</w:t>
      </w:r>
      <w:proofErr w:type="spellEnd"/>
      <w:r w:rsidR="00FE26BD" w:rsidRPr="009F5692">
        <w:rPr>
          <w:rFonts w:asciiTheme="minorHAnsi" w:eastAsiaTheme="minorHAnsi" w:hAnsiTheme="minorHAnsi" w:cstheme="minorBidi"/>
          <w:snapToGrid/>
          <w:sz w:val="24"/>
          <w:szCs w:val="24"/>
        </w:rPr>
        <w:t xml:space="preserve"> </w:t>
      </w:r>
      <w:proofErr w:type="spellStart"/>
      <w:r w:rsidR="00FE26BD" w:rsidRPr="009F5692">
        <w:rPr>
          <w:rFonts w:asciiTheme="minorHAnsi" w:eastAsiaTheme="minorHAnsi" w:hAnsiTheme="minorHAnsi" w:cstheme="minorBidi"/>
          <w:snapToGrid/>
          <w:sz w:val="24"/>
          <w:szCs w:val="24"/>
        </w:rPr>
        <w:t>vedotin</w:t>
      </w:r>
      <w:proofErr w:type="spellEnd"/>
      <w:r w:rsidR="00FE26BD" w:rsidRPr="009F5692">
        <w:rPr>
          <w:rFonts w:asciiTheme="minorHAnsi" w:eastAsiaTheme="minorHAnsi" w:hAnsiTheme="minorHAnsi" w:cstheme="minorBidi"/>
          <w:snapToGrid/>
          <w:sz w:val="24"/>
          <w:szCs w:val="24"/>
        </w:rPr>
        <w:t xml:space="preserve"> </w:t>
      </w:r>
      <w:r w:rsidR="00FD73C2">
        <w:rPr>
          <w:rFonts w:asciiTheme="minorHAnsi" w:eastAsiaTheme="minorHAnsi" w:hAnsiTheme="minorHAnsi" w:cstheme="minorBidi"/>
          <w:snapToGrid/>
          <w:sz w:val="24"/>
          <w:szCs w:val="24"/>
        </w:rPr>
        <w:t xml:space="preserve">would not </w:t>
      </w:r>
      <w:r w:rsidR="00FE26BD" w:rsidRPr="009F5692">
        <w:rPr>
          <w:rFonts w:asciiTheme="minorHAnsi" w:eastAsiaTheme="minorHAnsi" w:hAnsiTheme="minorHAnsi" w:cstheme="minorBidi"/>
          <w:snapToGrid/>
          <w:sz w:val="24"/>
          <w:szCs w:val="24"/>
        </w:rPr>
        <w:t xml:space="preserve">be cost-effective in the absence of an objective response given the economic evaluation presented </w:t>
      </w:r>
      <w:r w:rsidR="00FD73C2">
        <w:rPr>
          <w:rFonts w:asciiTheme="minorHAnsi" w:eastAsiaTheme="minorHAnsi" w:hAnsiTheme="minorHAnsi" w:cstheme="minorBidi"/>
          <w:snapToGrid/>
          <w:sz w:val="24"/>
          <w:szCs w:val="24"/>
        </w:rPr>
        <w:t xml:space="preserve">the results as cost per responder </w:t>
      </w:r>
      <w:r w:rsidR="00FE26BD" w:rsidRPr="009F5692">
        <w:rPr>
          <w:rFonts w:asciiTheme="minorHAnsi" w:eastAsiaTheme="minorHAnsi" w:hAnsiTheme="minorHAnsi" w:cstheme="minorBidi"/>
          <w:snapToGrid/>
          <w:sz w:val="24"/>
          <w:szCs w:val="24"/>
        </w:rPr>
        <w:t xml:space="preserve">and the potential toxicity </w:t>
      </w:r>
      <w:r w:rsidR="00FD73C2">
        <w:rPr>
          <w:rFonts w:asciiTheme="minorHAnsi" w:eastAsiaTheme="minorHAnsi" w:hAnsiTheme="minorHAnsi" w:cstheme="minorBidi"/>
          <w:snapToGrid/>
          <w:sz w:val="24"/>
          <w:szCs w:val="24"/>
        </w:rPr>
        <w:t>with continuing</w:t>
      </w:r>
      <w:r w:rsidR="00FE26BD" w:rsidRPr="009F5692">
        <w:rPr>
          <w:rFonts w:asciiTheme="minorHAnsi" w:eastAsiaTheme="minorHAnsi" w:hAnsiTheme="minorHAnsi" w:cstheme="minorBidi"/>
          <w:snapToGrid/>
          <w:sz w:val="24"/>
          <w:szCs w:val="24"/>
        </w:rPr>
        <w:t xml:space="preserve"> treatment. Nevertheless, the PBAC did note some of the concerns related to the complexity of re-staging and agreed that a pragmatic approach to ensuring that continuing treatment only occurs in responders woul</w:t>
      </w:r>
      <w:r w:rsidR="00FD73C2">
        <w:rPr>
          <w:rFonts w:asciiTheme="minorHAnsi" w:eastAsiaTheme="minorHAnsi" w:hAnsiTheme="minorHAnsi" w:cstheme="minorBidi"/>
          <w:snapToGrid/>
          <w:sz w:val="24"/>
          <w:szCs w:val="24"/>
        </w:rPr>
        <w:t xml:space="preserve">d be appropriate given that the treating clinicians will have </w:t>
      </w:r>
      <w:r w:rsidR="00FE26BD" w:rsidRPr="009F5692">
        <w:rPr>
          <w:rFonts w:asciiTheme="minorHAnsi" w:eastAsiaTheme="minorHAnsi" w:hAnsiTheme="minorHAnsi" w:cstheme="minorBidi"/>
          <w:snapToGrid/>
          <w:sz w:val="24"/>
          <w:szCs w:val="24"/>
        </w:rPr>
        <w:t xml:space="preserve">expertise in assessing skin response. The PBAC recommended that documentation of a skin response or a </w:t>
      </w:r>
      <w:r w:rsidR="00FE26BD" w:rsidRPr="009F5692">
        <w:rPr>
          <w:rFonts w:asciiTheme="minorHAnsi" w:eastAsiaTheme="minorHAnsi" w:hAnsiTheme="minorHAnsi" w:cstheme="minorBidi"/>
          <w:snapToGrid/>
          <w:sz w:val="24"/>
          <w:szCs w:val="24"/>
        </w:rPr>
        <w:lastRenderedPageBreak/>
        <w:t>nodal response</w:t>
      </w:r>
      <w:r w:rsidR="00E24E8B">
        <w:rPr>
          <w:rFonts w:asciiTheme="minorHAnsi" w:eastAsiaTheme="minorHAnsi" w:hAnsiTheme="minorHAnsi" w:cstheme="minorBidi"/>
          <w:snapToGrid/>
          <w:sz w:val="24"/>
          <w:szCs w:val="24"/>
        </w:rPr>
        <w:t>, in the absence of</w:t>
      </w:r>
      <w:r w:rsidR="00FE26BD" w:rsidRPr="009F5692">
        <w:rPr>
          <w:rFonts w:asciiTheme="minorHAnsi" w:eastAsiaTheme="minorHAnsi" w:hAnsiTheme="minorHAnsi" w:cstheme="minorBidi"/>
          <w:snapToGrid/>
          <w:sz w:val="24"/>
          <w:szCs w:val="24"/>
        </w:rPr>
        <w:t xml:space="preserve"> progressive disease in any compartment</w:t>
      </w:r>
      <w:r w:rsidR="00E24E8B">
        <w:rPr>
          <w:rFonts w:asciiTheme="minorHAnsi" w:eastAsiaTheme="minorHAnsi" w:hAnsiTheme="minorHAnsi" w:cstheme="minorBidi"/>
          <w:snapToGrid/>
          <w:sz w:val="24"/>
          <w:szCs w:val="24"/>
        </w:rPr>
        <w:t>, be included in the continuing restriction</w:t>
      </w:r>
      <w:r w:rsidR="00FE26BD" w:rsidRPr="009F5692">
        <w:rPr>
          <w:rFonts w:asciiTheme="minorHAnsi" w:eastAsiaTheme="minorHAnsi" w:hAnsiTheme="minorHAnsi" w:cstheme="minorBidi"/>
          <w:snapToGrid/>
          <w:sz w:val="24"/>
          <w:szCs w:val="24"/>
        </w:rPr>
        <w:t>.</w:t>
      </w:r>
    </w:p>
    <w:p w:rsidR="00A17178" w:rsidRDefault="00A17178" w:rsidP="00E9700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recalled that in its July 2018 consideration of </w:t>
      </w:r>
      <w:proofErr w:type="spellStart"/>
      <w:r>
        <w:rPr>
          <w:rFonts w:asciiTheme="minorHAnsi" w:hAnsiTheme="minorHAnsi" w:cs="Arial"/>
          <w:bCs/>
          <w:snapToGrid w:val="0"/>
          <w:lang w:val="en-GB"/>
        </w:rPr>
        <w:t>brentuximab</w:t>
      </w:r>
      <w:proofErr w:type="spellEnd"/>
      <w:r>
        <w:rPr>
          <w:rFonts w:asciiTheme="minorHAnsi" w:hAnsiTheme="minorHAnsi" w:cs="Arial"/>
          <w:bCs/>
          <w:snapToGrid w:val="0"/>
          <w:lang w:val="en-GB"/>
        </w:rPr>
        <w:t xml:space="preserve"> </w:t>
      </w:r>
      <w:proofErr w:type="spellStart"/>
      <w:r>
        <w:rPr>
          <w:rFonts w:asciiTheme="minorHAnsi" w:hAnsiTheme="minorHAnsi" w:cs="Arial"/>
          <w:bCs/>
          <w:snapToGrid w:val="0"/>
          <w:lang w:val="en-GB"/>
        </w:rPr>
        <w:t>vedotin</w:t>
      </w:r>
      <w:proofErr w:type="spellEnd"/>
      <w:r>
        <w:rPr>
          <w:rFonts w:asciiTheme="minorHAnsi" w:hAnsiTheme="minorHAnsi" w:cs="Arial"/>
          <w:bCs/>
          <w:snapToGrid w:val="0"/>
          <w:lang w:val="en-GB"/>
        </w:rPr>
        <w:t xml:space="preserve"> it had previously considered that the claim of superior comparative effectiveness to methotrexate was reasonable for the MF and </w:t>
      </w:r>
      <w:proofErr w:type="spellStart"/>
      <w:r>
        <w:rPr>
          <w:rFonts w:asciiTheme="minorHAnsi" w:hAnsiTheme="minorHAnsi" w:cs="Arial"/>
          <w:bCs/>
          <w:snapToGrid w:val="0"/>
          <w:lang w:val="en-GB"/>
        </w:rPr>
        <w:t>pcALCL</w:t>
      </w:r>
      <w:proofErr w:type="spellEnd"/>
      <w:r>
        <w:rPr>
          <w:rFonts w:asciiTheme="minorHAnsi" w:hAnsiTheme="minorHAnsi" w:cs="Arial"/>
          <w:bCs/>
          <w:snapToGrid w:val="0"/>
          <w:lang w:val="en-GB"/>
        </w:rPr>
        <w:t xml:space="preserve"> subtypes only and was not adequately supported by the data in the </w:t>
      </w:r>
      <w:proofErr w:type="spellStart"/>
      <w:r>
        <w:rPr>
          <w:rFonts w:asciiTheme="minorHAnsi" w:hAnsiTheme="minorHAnsi" w:cs="Arial"/>
          <w:bCs/>
          <w:snapToGrid w:val="0"/>
          <w:lang w:val="en-GB"/>
        </w:rPr>
        <w:t>LyP</w:t>
      </w:r>
      <w:proofErr w:type="spellEnd"/>
      <w:r>
        <w:rPr>
          <w:rFonts w:asciiTheme="minorHAnsi" w:hAnsiTheme="minorHAnsi" w:cs="Arial"/>
          <w:bCs/>
          <w:snapToGrid w:val="0"/>
          <w:lang w:val="en-GB"/>
        </w:rPr>
        <w:t xml:space="preserve"> and SS subtypes (Paragraph 7.11. </w:t>
      </w:r>
      <w:proofErr w:type="spellStart"/>
      <w:r w:rsidRPr="00A17178">
        <w:rPr>
          <w:rFonts w:asciiTheme="minorHAnsi" w:eastAsiaTheme="minorHAnsi" w:hAnsiTheme="minorHAnsi" w:cstheme="minorBidi"/>
          <w:szCs w:val="22"/>
        </w:rPr>
        <w:t>brentuximab</w:t>
      </w:r>
      <w:proofErr w:type="spellEnd"/>
      <w:r w:rsidRPr="00A17178">
        <w:rPr>
          <w:rFonts w:asciiTheme="minorHAnsi" w:eastAsiaTheme="minorHAnsi" w:hAnsiTheme="minorHAnsi" w:cstheme="minorBidi"/>
          <w:szCs w:val="22"/>
        </w:rPr>
        <w:t xml:space="preserve"> </w:t>
      </w:r>
      <w:proofErr w:type="spellStart"/>
      <w:r w:rsidRPr="00A17178">
        <w:rPr>
          <w:rFonts w:asciiTheme="minorHAnsi" w:eastAsiaTheme="minorHAnsi" w:hAnsiTheme="minorHAnsi" w:cstheme="minorBidi"/>
          <w:szCs w:val="22"/>
        </w:rPr>
        <w:t>vedotin</w:t>
      </w:r>
      <w:proofErr w:type="spellEnd"/>
      <w:r w:rsidRPr="00A17178">
        <w:rPr>
          <w:rFonts w:asciiTheme="minorHAnsi" w:eastAsiaTheme="minorHAnsi" w:hAnsiTheme="minorHAnsi" w:cstheme="minorBidi"/>
          <w:szCs w:val="22"/>
        </w:rPr>
        <w:t xml:space="preserve"> PBAC </w:t>
      </w:r>
      <w:r w:rsidR="006D4D52">
        <w:rPr>
          <w:rFonts w:asciiTheme="minorHAnsi" w:eastAsiaTheme="minorHAnsi" w:hAnsiTheme="minorHAnsi" w:cstheme="minorBidi"/>
          <w:szCs w:val="22"/>
        </w:rPr>
        <w:t>PSD</w:t>
      </w:r>
      <w:r w:rsidRPr="00A17178">
        <w:rPr>
          <w:rFonts w:asciiTheme="minorHAnsi" w:eastAsiaTheme="minorHAnsi" w:hAnsiTheme="minorHAnsi" w:cstheme="minorBidi"/>
          <w:szCs w:val="22"/>
        </w:rPr>
        <w:t>, July 2018</w:t>
      </w:r>
      <w:r>
        <w:rPr>
          <w:rFonts w:asciiTheme="minorHAnsi" w:eastAsiaTheme="minorHAnsi" w:hAnsiTheme="minorHAnsi" w:cstheme="minorBidi"/>
          <w:szCs w:val="22"/>
        </w:rPr>
        <w:t>).</w:t>
      </w:r>
      <w:r>
        <w:rPr>
          <w:rFonts w:asciiTheme="minorHAnsi" w:hAnsiTheme="minorHAnsi" w:cs="Arial"/>
          <w:bCs/>
          <w:snapToGrid w:val="0"/>
          <w:lang w:val="en-GB"/>
        </w:rPr>
        <w:t xml:space="preserve"> The PBAC also recalled that it had considered that </w:t>
      </w:r>
      <w:proofErr w:type="spellStart"/>
      <w:r>
        <w:rPr>
          <w:rFonts w:asciiTheme="minorHAnsi" w:hAnsiTheme="minorHAnsi" w:cs="Arial"/>
          <w:bCs/>
          <w:snapToGrid w:val="0"/>
          <w:lang w:val="en-GB"/>
        </w:rPr>
        <w:t>brentuximab</w:t>
      </w:r>
      <w:proofErr w:type="spellEnd"/>
      <w:r>
        <w:rPr>
          <w:rFonts w:asciiTheme="minorHAnsi" w:hAnsiTheme="minorHAnsi" w:cs="Arial"/>
          <w:bCs/>
          <w:snapToGrid w:val="0"/>
          <w:lang w:val="en-GB"/>
        </w:rPr>
        <w:t xml:space="preserve"> </w:t>
      </w:r>
      <w:proofErr w:type="spellStart"/>
      <w:r>
        <w:rPr>
          <w:rFonts w:asciiTheme="minorHAnsi" w:hAnsiTheme="minorHAnsi" w:cs="Arial"/>
          <w:bCs/>
          <w:snapToGrid w:val="0"/>
          <w:lang w:val="en-GB"/>
        </w:rPr>
        <w:t>vedotin</w:t>
      </w:r>
      <w:proofErr w:type="spellEnd"/>
      <w:r>
        <w:rPr>
          <w:rFonts w:asciiTheme="minorHAnsi" w:hAnsiTheme="minorHAnsi" w:cs="Arial"/>
          <w:bCs/>
          <w:snapToGrid w:val="0"/>
          <w:lang w:val="en-GB"/>
        </w:rPr>
        <w:t xml:space="preserve"> </w:t>
      </w:r>
      <w:proofErr w:type="gramStart"/>
      <w:r>
        <w:rPr>
          <w:rFonts w:asciiTheme="minorHAnsi" w:hAnsiTheme="minorHAnsi" w:cs="Arial"/>
          <w:bCs/>
          <w:snapToGrid w:val="0"/>
          <w:lang w:val="en-GB"/>
        </w:rPr>
        <w:t>may</w:t>
      </w:r>
      <w:proofErr w:type="gramEnd"/>
      <w:r>
        <w:rPr>
          <w:rFonts w:asciiTheme="minorHAnsi" w:hAnsiTheme="minorHAnsi" w:cs="Arial"/>
          <w:bCs/>
          <w:snapToGrid w:val="0"/>
          <w:lang w:val="en-GB"/>
        </w:rPr>
        <w:t xml:space="preserve"> have an inferior safety profile compared with methotrexate (P</w:t>
      </w:r>
      <w:r w:rsidR="009F0121">
        <w:rPr>
          <w:rFonts w:asciiTheme="minorHAnsi" w:hAnsiTheme="minorHAnsi" w:cs="Arial"/>
          <w:bCs/>
          <w:snapToGrid w:val="0"/>
          <w:lang w:val="en-GB"/>
        </w:rPr>
        <w:t>aragraph 7.12</w:t>
      </w:r>
      <w:r>
        <w:rPr>
          <w:rFonts w:asciiTheme="minorHAnsi" w:hAnsiTheme="minorHAnsi" w:cs="Arial"/>
          <w:bCs/>
          <w:snapToGrid w:val="0"/>
          <w:lang w:val="en-GB"/>
        </w:rPr>
        <w:t xml:space="preserve">. </w:t>
      </w:r>
      <w:proofErr w:type="spellStart"/>
      <w:r w:rsidRPr="00A17178">
        <w:rPr>
          <w:rFonts w:asciiTheme="minorHAnsi" w:eastAsiaTheme="minorHAnsi" w:hAnsiTheme="minorHAnsi" w:cstheme="minorBidi"/>
          <w:szCs w:val="22"/>
        </w:rPr>
        <w:t>brentuximab</w:t>
      </w:r>
      <w:proofErr w:type="spellEnd"/>
      <w:r w:rsidRPr="00A17178">
        <w:rPr>
          <w:rFonts w:asciiTheme="minorHAnsi" w:eastAsiaTheme="minorHAnsi" w:hAnsiTheme="minorHAnsi" w:cstheme="minorBidi"/>
          <w:szCs w:val="22"/>
        </w:rPr>
        <w:t xml:space="preserve"> </w:t>
      </w:r>
      <w:proofErr w:type="spellStart"/>
      <w:r w:rsidRPr="00A17178">
        <w:rPr>
          <w:rFonts w:asciiTheme="minorHAnsi" w:eastAsiaTheme="minorHAnsi" w:hAnsiTheme="minorHAnsi" w:cstheme="minorBidi"/>
          <w:szCs w:val="22"/>
        </w:rPr>
        <w:t>vedotin</w:t>
      </w:r>
      <w:proofErr w:type="spellEnd"/>
      <w:r w:rsidRPr="00A17178">
        <w:rPr>
          <w:rFonts w:asciiTheme="minorHAnsi" w:eastAsiaTheme="minorHAnsi" w:hAnsiTheme="minorHAnsi" w:cstheme="minorBidi"/>
          <w:szCs w:val="22"/>
        </w:rPr>
        <w:t xml:space="preserve"> PBAC </w:t>
      </w:r>
      <w:r w:rsidR="006D4D52">
        <w:rPr>
          <w:rFonts w:asciiTheme="minorHAnsi" w:eastAsiaTheme="minorHAnsi" w:hAnsiTheme="minorHAnsi" w:cstheme="minorBidi"/>
          <w:szCs w:val="22"/>
        </w:rPr>
        <w:t>PSD</w:t>
      </w:r>
      <w:r w:rsidRPr="00A17178">
        <w:rPr>
          <w:rFonts w:asciiTheme="minorHAnsi" w:eastAsiaTheme="minorHAnsi" w:hAnsiTheme="minorHAnsi" w:cstheme="minorBidi"/>
          <w:szCs w:val="22"/>
        </w:rPr>
        <w:t>, July 2018</w:t>
      </w:r>
      <w:r>
        <w:rPr>
          <w:rFonts w:asciiTheme="minorHAnsi" w:eastAsiaTheme="minorHAnsi" w:hAnsiTheme="minorHAnsi" w:cstheme="minorBidi"/>
          <w:szCs w:val="22"/>
        </w:rPr>
        <w:t>)</w:t>
      </w:r>
      <w:r w:rsidR="00D47CAA">
        <w:rPr>
          <w:rFonts w:asciiTheme="minorHAnsi" w:hAnsiTheme="minorHAnsi" w:cs="Arial"/>
          <w:bCs/>
          <w:snapToGrid w:val="0"/>
          <w:lang w:val="en-GB"/>
        </w:rPr>
        <w:t>.</w:t>
      </w:r>
    </w:p>
    <w:p w:rsidR="002A5C4F" w:rsidRDefault="002A5C4F" w:rsidP="00E97008">
      <w:pPr>
        <w:widowControl w:val="0"/>
        <w:numPr>
          <w:ilvl w:val="1"/>
          <w:numId w:val="5"/>
        </w:numPr>
        <w:spacing w:after="120"/>
        <w:jc w:val="both"/>
        <w:rPr>
          <w:rFonts w:asciiTheme="minorHAnsi" w:hAnsiTheme="minorHAnsi" w:cs="Arial"/>
          <w:bCs/>
          <w:snapToGrid w:val="0"/>
          <w:lang w:val="en-GB"/>
        </w:rPr>
      </w:pPr>
      <w:r w:rsidRPr="00CD3894">
        <w:rPr>
          <w:rStyle w:val="CommentReference"/>
          <w:rFonts w:ascii="Calibri" w:hAnsi="Calibri"/>
          <w:sz w:val="24"/>
          <w:szCs w:val="24"/>
        </w:rPr>
        <w:t xml:space="preserve">The </w:t>
      </w:r>
      <w:r>
        <w:rPr>
          <w:rStyle w:val="CommentReference"/>
          <w:rFonts w:ascii="Calibri" w:hAnsi="Calibri"/>
          <w:sz w:val="24"/>
          <w:szCs w:val="24"/>
        </w:rPr>
        <w:t>PBAC noted that the</w:t>
      </w:r>
      <w:r w:rsidR="00F07CF0">
        <w:rPr>
          <w:rStyle w:val="CommentReference"/>
          <w:rFonts w:ascii="Calibri" w:hAnsi="Calibri"/>
          <w:sz w:val="24"/>
          <w:szCs w:val="24"/>
        </w:rPr>
        <w:t xml:space="preserve"> July 2018 submission and</w:t>
      </w:r>
      <w:r>
        <w:rPr>
          <w:rStyle w:val="CommentReference"/>
          <w:rFonts w:ascii="Calibri" w:hAnsi="Calibri"/>
          <w:sz w:val="24"/>
          <w:szCs w:val="24"/>
        </w:rPr>
        <w:t xml:space="preserve"> </w:t>
      </w:r>
      <w:r w:rsidRPr="00CD3894">
        <w:rPr>
          <w:rStyle w:val="CommentReference"/>
          <w:rFonts w:ascii="Calibri" w:hAnsi="Calibri"/>
          <w:sz w:val="24"/>
          <w:szCs w:val="24"/>
        </w:rPr>
        <w:t xml:space="preserve">minor resubmission </w:t>
      </w:r>
      <w:r w:rsidR="00F07CF0">
        <w:rPr>
          <w:rStyle w:val="CommentReference"/>
          <w:rFonts w:ascii="Calibri" w:hAnsi="Calibri"/>
          <w:sz w:val="24"/>
          <w:szCs w:val="24"/>
        </w:rPr>
        <w:t>presented</w:t>
      </w:r>
      <w:r w:rsidRPr="00CD3894">
        <w:rPr>
          <w:rStyle w:val="CommentReference"/>
          <w:rFonts w:ascii="Calibri" w:hAnsi="Calibri"/>
          <w:sz w:val="24"/>
          <w:szCs w:val="24"/>
        </w:rPr>
        <w:t xml:space="preserve"> a cost-effectiveness analysis versus methotrexate based o</w:t>
      </w:r>
      <w:r>
        <w:rPr>
          <w:rStyle w:val="CommentReference"/>
          <w:rFonts w:ascii="Calibri" w:hAnsi="Calibri"/>
          <w:sz w:val="24"/>
          <w:szCs w:val="24"/>
        </w:rPr>
        <w:t>n cost per responder (ORR)</w:t>
      </w:r>
      <w:r w:rsidR="00F07CF0">
        <w:rPr>
          <w:rStyle w:val="CommentReference"/>
          <w:rFonts w:ascii="Calibri" w:hAnsi="Calibri"/>
          <w:sz w:val="24"/>
          <w:szCs w:val="24"/>
        </w:rPr>
        <w:t>.</w:t>
      </w:r>
      <w:r>
        <w:rPr>
          <w:rStyle w:val="CommentReference"/>
          <w:rFonts w:ascii="Calibri" w:hAnsi="Calibri"/>
          <w:sz w:val="24"/>
          <w:szCs w:val="24"/>
        </w:rPr>
        <w:t xml:space="preserve"> </w:t>
      </w:r>
      <w:r w:rsidR="00F07CF0">
        <w:rPr>
          <w:rStyle w:val="CommentReference"/>
          <w:rFonts w:ascii="Calibri" w:hAnsi="Calibri"/>
          <w:sz w:val="24"/>
          <w:szCs w:val="24"/>
        </w:rPr>
        <w:t>U</w:t>
      </w:r>
      <w:r>
        <w:rPr>
          <w:rStyle w:val="CommentReference"/>
          <w:rFonts w:ascii="Calibri" w:hAnsi="Calibri"/>
          <w:sz w:val="24"/>
          <w:szCs w:val="24"/>
        </w:rPr>
        <w:t>sing the revised price proposed in the resubmission</w:t>
      </w:r>
      <w:r w:rsidR="00F07CF0">
        <w:rPr>
          <w:rStyle w:val="CommentReference"/>
          <w:rFonts w:ascii="Calibri" w:hAnsi="Calibri"/>
          <w:sz w:val="24"/>
          <w:szCs w:val="24"/>
        </w:rPr>
        <w:t xml:space="preserve">, </w:t>
      </w:r>
      <w:r w:rsidR="00F07CF0">
        <w:rPr>
          <w:rFonts w:asciiTheme="minorHAnsi" w:eastAsiaTheme="minorHAnsi" w:hAnsiTheme="minorHAnsi" w:cstheme="minorBidi"/>
        </w:rPr>
        <w:t>t</w:t>
      </w:r>
      <w:r w:rsidR="00F07CF0" w:rsidRPr="00CD3894">
        <w:rPr>
          <w:rFonts w:asciiTheme="minorHAnsi" w:eastAsiaTheme="minorHAnsi" w:hAnsiTheme="minorHAnsi" w:cstheme="minorBidi"/>
        </w:rPr>
        <w:t xml:space="preserve">he cost per responder (ORR) was </w:t>
      </w:r>
      <w:r w:rsidR="008F6555">
        <w:rPr>
          <w:rFonts w:asciiTheme="minorHAnsi" w:eastAsiaTheme="minorHAnsi" w:hAnsiTheme="minorHAnsi" w:cstheme="minorBidi"/>
        </w:rPr>
        <w:t>$45,000 - $75,000</w:t>
      </w:r>
      <w:r w:rsidR="00F07CF0">
        <w:rPr>
          <w:rFonts w:asciiTheme="minorHAnsi" w:eastAsiaTheme="minorHAnsi" w:hAnsiTheme="minorHAnsi" w:cstheme="minorBidi"/>
        </w:rPr>
        <w:t xml:space="preserve"> and the cost per additional year without progression </w:t>
      </w:r>
      <w:r w:rsidR="00F07CF0" w:rsidRPr="00CD3894">
        <w:rPr>
          <w:rFonts w:asciiTheme="minorHAnsi" w:eastAsiaTheme="minorHAnsi" w:hAnsiTheme="minorHAnsi" w:cstheme="minorBidi"/>
        </w:rPr>
        <w:t xml:space="preserve">was </w:t>
      </w:r>
      <w:r w:rsidR="004936AC">
        <w:rPr>
          <w:rFonts w:asciiTheme="minorHAnsi" w:eastAsiaTheme="minorHAnsi" w:hAnsiTheme="minorHAnsi" w:cstheme="minorBidi"/>
        </w:rPr>
        <w:t>$15,000 - $45,000</w:t>
      </w:r>
      <w:r w:rsidR="00F07CF0" w:rsidRPr="00CD3894">
        <w:rPr>
          <w:rFonts w:asciiTheme="minorHAnsi" w:eastAsiaTheme="minorHAnsi" w:hAnsiTheme="minorHAnsi" w:cstheme="minorBidi"/>
        </w:rPr>
        <w:t xml:space="preserve">. </w:t>
      </w:r>
      <w:r w:rsidR="00F07CF0">
        <w:rPr>
          <w:rFonts w:asciiTheme="minorHAnsi" w:eastAsiaTheme="minorHAnsi" w:hAnsiTheme="minorHAnsi" w:cstheme="minorBidi"/>
        </w:rPr>
        <w:t xml:space="preserve">The PBAC considered that the revised ICER for cost per responder (ORR) was acceptable based on previous PBAC decisions in the context of difficult to treat and relatively rare diseases. </w:t>
      </w:r>
      <w:r>
        <w:rPr>
          <w:rFonts w:asciiTheme="minorHAnsi" w:eastAsiaTheme="minorHAnsi" w:hAnsiTheme="minorHAnsi" w:cstheme="minorBidi"/>
        </w:rPr>
        <w:t xml:space="preserve">The PBAC noted that, as the largest CTCL subtype in the ALCANZA trial, the resulting ICER </w:t>
      </w:r>
      <w:proofErr w:type="gramStart"/>
      <w:r>
        <w:rPr>
          <w:rFonts w:asciiTheme="minorHAnsi" w:eastAsiaTheme="minorHAnsi" w:hAnsiTheme="minorHAnsi" w:cstheme="minorBidi"/>
        </w:rPr>
        <w:t>was largely based</w:t>
      </w:r>
      <w:proofErr w:type="gramEnd"/>
      <w:r>
        <w:rPr>
          <w:rFonts w:asciiTheme="minorHAnsi" w:eastAsiaTheme="minorHAnsi" w:hAnsiTheme="minorHAnsi" w:cstheme="minorBidi"/>
        </w:rPr>
        <w:t xml:space="preserve"> on the bene</w:t>
      </w:r>
      <w:r w:rsidR="00D47CAA">
        <w:rPr>
          <w:rFonts w:asciiTheme="minorHAnsi" w:eastAsiaTheme="minorHAnsi" w:hAnsiTheme="minorHAnsi" w:cstheme="minorBidi"/>
        </w:rPr>
        <w:t>fits seen in patients with MF.</w:t>
      </w:r>
    </w:p>
    <w:p w:rsidR="006C780F" w:rsidRPr="009F0121" w:rsidRDefault="00487CF2" w:rsidP="002F1E39">
      <w:pPr>
        <w:widowControl w:val="0"/>
        <w:numPr>
          <w:ilvl w:val="1"/>
          <w:numId w:val="5"/>
        </w:numPr>
        <w:spacing w:after="120"/>
        <w:jc w:val="both"/>
        <w:rPr>
          <w:rStyle w:val="CommentReference"/>
          <w:rFonts w:asciiTheme="minorHAnsi" w:hAnsiTheme="minorHAnsi" w:cs="Arial"/>
          <w:bCs/>
          <w:snapToGrid w:val="0"/>
          <w:sz w:val="24"/>
          <w:szCs w:val="24"/>
          <w:lang w:val="en-GB"/>
        </w:rPr>
      </w:pPr>
      <w:r w:rsidRPr="009F0121">
        <w:rPr>
          <w:rStyle w:val="CommentReference"/>
          <w:rFonts w:ascii="Calibri" w:hAnsi="Calibri"/>
          <w:sz w:val="24"/>
          <w:szCs w:val="22"/>
        </w:rPr>
        <w:t xml:space="preserve">The PBAC noted </w:t>
      </w:r>
      <w:r w:rsidR="009F0121">
        <w:rPr>
          <w:rStyle w:val="CommentReference"/>
          <w:rFonts w:ascii="Calibri" w:hAnsi="Calibri"/>
          <w:sz w:val="24"/>
          <w:szCs w:val="22"/>
        </w:rPr>
        <w:t xml:space="preserve">the </w:t>
      </w:r>
      <w:r w:rsidR="009F0121" w:rsidRPr="009F0121">
        <w:rPr>
          <w:rStyle w:val="CommentReference"/>
          <w:rFonts w:ascii="Calibri" w:hAnsi="Calibri"/>
          <w:sz w:val="24"/>
          <w:szCs w:val="22"/>
        </w:rPr>
        <w:t xml:space="preserve">additional data provided in the minor resubmission to support </w:t>
      </w:r>
      <w:r w:rsidRPr="009F0121">
        <w:rPr>
          <w:rStyle w:val="CommentReference"/>
          <w:rFonts w:ascii="Calibri" w:hAnsi="Calibri"/>
          <w:sz w:val="24"/>
          <w:szCs w:val="22"/>
        </w:rPr>
        <w:t xml:space="preserve">the </w:t>
      </w:r>
      <w:r w:rsidR="009F0121" w:rsidRPr="009F0121">
        <w:rPr>
          <w:rStyle w:val="CommentReference"/>
          <w:rFonts w:ascii="Calibri" w:hAnsi="Calibri"/>
          <w:sz w:val="24"/>
          <w:szCs w:val="22"/>
        </w:rPr>
        <w:t xml:space="preserve">use of </w:t>
      </w:r>
      <w:proofErr w:type="spellStart"/>
      <w:r w:rsidR="009F0121" w:rsidRPr="009F0121">
        <w:rPr>
          <w:rStyle w:val="CommentReference"/>
          <w:rFonts w:ascii="Calibri" w:hAnsi="Calibri"/>
          <w:sz w:val="24"/>
          <w:szCs w:val="22"/>
        </w:rPr>
        <w:t>brentuximab</w:t>
      </w:r>
      <w:proofErr w:type="spellEnd"/>
      <w:r w:rsidR="009F0121" w:rsidRPr="009F0121">
        <w:rPr>
          <w:rStyle w:val="CommentReference"/>
          <w:rFonts w:ascii="Calibri" w:hAnsi="Calibri"/>
          <w:sz w:val="24"/>
          <w:szCs w:val="22"/>
        </w:rPr>
        <w:t xml:space="preserve"> </w:t>
      </w:r>
      <w:proofErr w:type="spellStart"/>
      <w:r w:rsidR="009F0121" w:rsidRPr="009F0121">
        <w:rPr>
          <w:rStyle w:val="CommentReference"/>
          <w:rFonts w:ascii="Calibri" w:hAnsi="Calibri"/>
          <w:sz w:val="24"/>
          <w:szCs w:val="22"/>
        </w:rPr>
        <w:t>vedotin</w:t>
      </w:r>
      <w:proofErr w:type="spellEnd"/>
      <w:r w:rsidR="009F0121" w:rsidRPr="009F0121">
        <w:rPr>
          <w:rStyle w:val="CommentReference"/>
          <w:rFonts w:ascii="Calibri" w:hAnsi="Calibri"/>
          <w:sz w:val="24"/>
          <w:szCs w:val="22"/>
        </w:rPr>
        <w:t xml:space="preserve"> in patients with SS. </w:t>
      </w:r>
      <w:r w:rsidR="009F0121">
        <w:rPr>
          <w:rStyle w:val="CommentReference"/>
          <w:rFonts w:ascii="Calibri" w:hAnsi="Calibri"/>
          <w:sz w:val="24"/>
          <w:szCs w:val="22"/>
        </w:rPr>
        <w:t xml:space="preserve">The PBAC also noted the minor </w:t>
      </w:r>
      <w:r w:rsidR="0082739B">
        <w:rPr>
          <w:rStyle w:val="CommentReference"/>
          <w:rFonts w:ascii="Calibri" w:hAnsi="Calibri"/>
          <w:sz w:val="24"/>
          <w:szCs w:val="22"/>
        </w:rPr>
        <w:t>re</w:t>
      </w:r>
      <w:r w:rsidR="009F0121">
        <w:rPr>
          <w:rStyle w:val="CommentReference"/>
          <w:rFonts w:ascii="Calibri" w:hAnsi="Calibri"/>
          <w:sz w:val="24"/>
          <w:szCs w:val="22"/>
        </w:rPr>
        <w:t>submission</w:t>
      </w:r>
      <w:r w:rsidR="00E24E8B">
        <w:rPr>
          <w:rStyle w:val="CommentReference"/>
          <w:rFonts w:ascii="Calibri" w:hAnsi="Calibri"/>
          <w:sz w:val="24"/>
          <w:szCs w:val="22"/>
        </w:rPr>
        <w:t>’</w:t>
      </w:r>
      <w:r w:rsidR="009F0121">
        <w:rPr>
          <w:rStyle w:val="CommentReference"/>
          <w:rFonts w:ascii="Calibri" w:hAnsi="Calibri"/>
          <w:sz w:val="24"/>
          <w:szCs w:val="22"/>
        </w:rPr>
        <w:t>s argument</w:t>
      </w:r>
      <w:r w:rsidRPr="009F0121">
        <w:rPr>
          <w:rStyle w:val="CommentReference"/>
          <w:rFonts w:ascii="Calibri" w:hAnsi="Calibri"/>
          <w:sz w:val="24"/>
          <w:szCs w:val="22"/>
        </w:rPr>
        <w:t xml:space="preserve"> that patients with CD30 positive SS, a poor prognosis cancer, appeared to benefit to a similar degree to those with MF. </w:t>
      </w:r>
      <w:r w:rsidR="002F25E6">
        <w:rPr>
          <w:rFonts w:asciiTheme="minorHAnsi" w:eastAsiaTheme="minorHAnsi" w:hAnsiTheme="minorHAnsi" w:cstheme="minorBidi"/>
        </w:rPr>
        <w:t xml:space="preserve">The PBAC considered that inclusion of a </w:t>
      </w:r>
      <w:r w:rsidR="002F25E6" w:rsidRPr="00B07055">
        <w:rPr>
          <w:rFonts w:asciiTheme="minorHAnsi" w:eastAsiaTheme="minorHAnsi" w:hAnsiTheme="minorHAnsi" w:cstheme="minorBidi"/>
          <w:szCs w:val="22"/>
        </w:rPr>
        <w:t>response assessment</w:t>
      </w:r>
      <w:r w:rsidR="002F25E6">
        <w:rPr>
          <w:rFonts w:asciiTheme="minorHAnsi" w:eastAsiaTheme="minorHAnsi" w:hAnsiTheme="minorHAnsi" w:cstheme="minorBidi"/>
        </w:rPr>
        <w:t xml:space="preserve"> requirement in the proposed restriction would reduce the uncertainty associated with </w:t>
      </w:r>
      <w:proofErr w:type="spellStart"/>
      <w:r w:rsidR="002F25E6">
        <w:rPr>
          <w:rFonts w:asciiTheme="minorHAnsi" w:eastAsiaTheme="minorHAnsi" w:hAnsiTheme="minorHAnsi" w:cstheme="minorBidi"/>
        </w:rPr>
        <w:t>brentuximab</w:t>
      </w:r>
      <w:proofErr w:type="spellEnd"/>
      <w:r w:rsidR="002F25E6">
        <w:rPr>
          <w:rFonts w:asciiTheme="minorHAnsi" w:eastAsiaTheme="minorHAnsi" w:hAnsiTheme="minorHAnsi" w:cstheme="minorBidi"/>
        </w:rPr>
        <w:t xml:space="preserve"> being cost-effective for the treatment of </w:t>
      </w:r>
      <w:r w:rsidR="002F25E6">
        <w:rPr>
          <w:rStyle w:val="CommentReference"/>
          <w:rFonts w:ascii="Calibri" w:hAnsi="Calibri"/>
          <w:sz w:val="24"/>
          <w:szCs w:val="22"/>
        </w:rPr>
        <w:t xml:space="preserve">patients with the </w:t>
      </w:r>
      <w:r w:rsidR="002F25E6" w:rsidRPr="009F0121">
        <w:rPr>
          <w:rStyle w:val="CommentReference"/>
          <w:rFonts w:ascii="Calibri" w:hAnsi="Calibri"/>
          <w:sz w:val="24"/>
          <w:szCs w:val="22"/>
        </w:rPr>
        <w:t>SS</w:t>
      </w:r>
      <w:r w:rsidR="002F25E6">
        <w:rPr>
          <w:rStyle w:val="CommentReference"/>
          <w:rFonts w:ascii="Calibri" w:hAnsi="Calibri"/>
          <w:sz w:val="24"/>
          <w:szCs w:val="22"/>
        </w:rPr>
        <w:t>.</w:t>
      </w:r>
      <w:r w:rsidR="002F25E6" w:rsidRPr="00586E59">
        <w:rPr>
          <w:rStyle w:val="CommentReference"/>
          <w:rFonts w:ascii="Calibri" w:hAnsi="Calibri"/>
          <w:sz w:val="24"/>
          <w:szCs w:val="22"/>
        </w:rPr>
        <w:t xml:space="preserve"> </w:t>
      </w:r>
      <w:r w:rsidRPr="009F0121">
        <w:rPr>
          <w:rStyle w:val="CommentReference"/>
          <w:rFonts w:ascii="Calibri" w:hAnsi="Calibri"/>
          <w:sz w:val="24"/>
          <w:szCs w:val="22"/>
        </w:rPr>
        <w:t xml:space="preserve">In these specific circumstances of poor prognosis, very low patient numbers and </w:t>
      </w:r>
      <w:r w:rsidR="009F0121">
        <w:rPr>
          <w:rStyle w:val="CommentReference"/>
          <w:rFonts w:ascii="Calibri" w:hAnsi="Calibri"/>
          <w:sz w:val="24"/>
          <w:szCs w:val="22"/>
        </w:rPr>
        <w:t>some evidence of a similar degree of benefit to patients with MF</w:t>
      </w:r>
      <w:r w:rsidRPr="009F0121">
        <w:rPr>
          <w:rStyle w:val="CommentReference"/>
          <w:rFonts w:ascii="Calibri" w:hAnsi="Calibri"/>
          <w:sz w:val="24"/>
          <w:szCs w:val="22"/>
        </w:rPr>
        <w:t xml:space="preserve">, the PBAC </w:t>
      </w:r>
      <w:r w:rsidR="008E7F84">
        <w:rPr>
          <w:rStyle w:val="CommentReference"/>
          <w:rFonts w:ascii="Calibri" w:hAnsi="Calibri"/>
          <w:sz w:val="24"/>
          <w:szCs w:val="22"/>
        </w:rPr>
        <w:t>considered</w:t>
      </w:r>
      <w:r w:rsidR="008E7F84" w:rsidRPr="009F0121">
        <w:rPr>
          <w:rStyle w:val="CommentReference"/>
          <w:rFonts w:ascii="Calibri" w:hAnsi="Calibri"/>
          <w:sz w:val="24"/>
          <w:szCs w:val="22"/>
        </w:rPr>
        <w:t xml:space="preserve"> </w:t>
      </w:r>
      <w:r w:rsidR="00E24E8B">
        <w:rPr>
          <w:rStyle w:val="CommentReference"/>
          <w:rFonts w:ascii="Calibri" w:hAnsi="Calibri"/>
          <w:sz w:val="24"/>
          <w:szCs w:val="22"/>
        </w:rPr>
        <w:t>the listing should</w:t>
      </w:r>
      <w:r w:rsidR="00E24E8B" w:rsidRPr="009F0121">
        <w:rPr>
          <w:rStyle w:val="CommentReference"/>
          <w:rFonts w:ascii="Calibri" w:hAnsi="Calibri"/>
          <w:sz w:val="24"/>
          <w:szCs w:val="22"/>
        </w:rPr>
        <w:t xml:space="preserve"> </w:t>
      </w:r>
      <w:r w:rsidRPr="009F0121">
        <w:rPr>
          <w:rStyle w:val="CommentReference"/>
          <w:rFonts w:ascii="Calibri" w:hAnsi="Calibri"/>
          <w:sz w:val="24"/>
          <w:szCs w:val="22"/>
        </w:rPr>
        <w:t xml:space="preserve">include </w:t>
      </w:r>
      <w:r w:rsidR="009F0121">
        <w:rPr>
          <w:rStyle w:val="CommentReference"/>
          <w:rFonts w:ascii="Calibri" w:hAnsi="Calibri"/>
          <w:sz w:val="24"/>
          <w:szCs w:val="22"/>
        </w:rPr>
        <w:t xml:space="preserve">patients with </w:t>
      </w:r>
      <w:r w:rsidRPr="009F0121">
        <w:rPr>
          <w:rStyle w:val="CommentReference"/>
          <w:rFonts w:ascii="Calibri" w:hAnsi="Calibri"/>
          <w:sz w:val="24"/>
          <w:szCs w:val="22"/>
        </w:rPr>
        <w:t>SS.</w:t>
      </w:r>
    </w:p>
    <w:p w:rsidR="00C94A93" w:rsidRPr="00A700F6" w:rsidRDefault="009F0121" w:rsidP="002F25E6">
      <w:pPr>
        <w:pStyle w:val="ListParagraph"/>
        <w:widowControl/>
        <w:numPr>
          <w:ilvl w:val="1"/>
          <w:numId w:val="5"/>
        </w:numPr>
        <w:spacing w:before="120" w:after="160"/>
        <w:contextualSpacing w:val="0"/>
        <w:rPr>
          <w:rStyle w:val="CommentReference"/>
          <w:rFonts w:asciiTheme="minorHAnsi" w:hAnsiTheme="minorHAnsi" w:cstheme="minorHAnsi"/>
          <w:sz w:val="24"/>
          <w:szCs w:val="24"/>
        </w:rPr>
      </w:pPr>
      <w:r w:rsidRPr="00A700F6">
        <w:rPr>
          <w:rStyle w:val="CommentReference"/>
          <w:rFonts w:asciiTheme="minorHAnsi" w:hAnsiTheme="minorHAnsi" w:cstheme="minorHAnsi"/>
          <w:sz w:val="24"/>
          <w:szCs w:val="24"/>
        </w:rPr>
        <w:t xml:space="preserve">The PBAC noted the additional data provided in the minor resubmission to support the use of </w:t>
      </w:r>
      <w:proofErr w:type="spellStart"/>
      <w:r w:rsidRPr="00A700F6">
        <w:rPr>
          <w:rStyle w:val="CommentReference"/>
          <w:rFonts w:asciiTheme="minorHAnsi" w:hAnsiTheme="minorHAnsi" w:cstheme="minorHAnsi"/>
          <w:sz w:val="24"/>
          <w:szCs w:val="24"/>
        </w:rPr>
        <w:t>brentuximab</w:t>
      </w:r>
      <w:proofErr w:type="spellEnd"/>
      <w:r w:rsidRPr="00A700F6">
        <w:rPr>
          <w:rStyle w:val="CommentReference"/>
          <w:rFonts w:asciiTheme="minorHAnsi" w:hAnsiTheme="minorHAnsi" w:cstheme="minorHAnsi"/>
          <w:sz w:val="24"/>
          <w:szCs w:val="24"/>
        </w:rPr>
        <w:t xml:space="preserve"> </w:t>
      </w:r>
      <w:proofErr w:type="spellStart"/>
      <w:r w:rsidRPr="00A700F6">
        <w:rPr>
          <w:rStyle w:val="CommentReference"/>
          <w:rFonts w:asciiTheme="minorHAnsi" w:hAnsiTheme="minorHAnsi" w:cstheme="minorHAnsi"/>
          <w:sz w:val="24"/>
          <w:szCs w:val="24"/>
        </w:rPr>
        <w:t>vedotin</w:t>
      </w:r>
      <w:proofErr w:type="spellEnd"/>
      <w:r w:rsidRPr="00A700F6">
        <w:rPr>
          <w:rStyle w:val="CommentReference"/>
          <w:rFonts w:asciiTheme="minorHAnsi" w:hAnsiTheme="minorHAnsi" w:cstheme="minorHAnsi"/>
          <w:sz w:val="24"/>
          <w:szCs w:val="24"/>
        </w:rPr>
        <w:t xml:space="preserve"> in patients with </w:t>
      </w:r>
      <w:proofErr w:type="spellStart"/>
      <w:r w:rsidRPr="00A700F6">
        <w:rPr>
          <w:rStyle w:val="CommentReference"/>
          <w:rFonts w:asciiTheme="minorHAnsi" w:hAnsiTheme="minorHAnsi" w:cstheme="minorHAnsi"/>
          <w:sz w:val="24"/>
          <w:szCs w:val="24"/>
        </w:rPr>
        <w:t>LyP</w:t>
      </w:r>
      <w:proofErr w:type="spellEnd"/>
      <w:r w:rsidRPr="00A700F6">
        <w:rPr>
          <w:rStyle w:val="CommentReference"/>
          <w:rFonts w:asciiTheme="minorHAnsi" w:hAnsiTheme="minorHAnsi" w:cstheme="minorHAnsi"/>
          <w:sz w:val="24"/>
          <w:szCs w:val="24"/>
        </w:rPr>
        <w:t xml:space="preserve">. The </w:t>
      </w:r>
      <w:r w:rsidR="00E152C6" w:rsidRPr="00A700F6">
        <w:rPr>
          <w:rStyle w:val="CommentReference"/>
          <w:rFonts w:asciiTheme="minorHAnsi" w:hAnsiTheme="minorHAnsi" w:cstheme="minorHAnsi"/>
          <w:sz w:val="24"/>
          <w:szCs w:val="24"/>
        </w:rPr>
        <w:t xml:space="preserve">PBAC noted the minor </w:t>
      </w:r>
      <w:r w:rsidR="0082739B" w:rsidRPr="00A700F6">
        <w:rPr>
          <w:rStyle w:val="CommentReference"/>
          <w:rFonts w:asciiTheme="minorHAnsi" w:hAnsiTheme="minorHAnsi" w:cstheme="minorHAnsi"/>
          <w:sz w:val="24"/>
          <w:szCs w:val="24"/>
        </w:rPr>
        <w:t>re</w:t>
      </w:r>
      <w:r w:rsidR="00E152C6" w:rsidRPr="00A700F6">
        <w:rPr>
          <w:rStyle w:val="CommentReference"/>
          <w:rFonts w:asciiTheme="minorHAnsi" w:hAnsiTheme="minorHAnsi" w:cstheme="minorHAnsi"/>
          <w:sz w:val="24"/>
          <w:szCs w:val="24"/>
        </w:rPr>
        <w:t>submission</w:t>
      </w:r>
      <w:r w:rsidR="0082739B" w:rsidRPr="00A700F6">
        <w:rPr>
          <w:rStyle w:val="CommentReference"/>
          <w:rFonts w:asciiTheme="minorHAnsi" w:hAnsiTheme="minorHAnsi" w:cstheme="minorHAnsi"/>
          <w:sz w:val="24"/>
          <w:szCs w:val="24"/>
        </w:rPr>
        <w:t>’</w:t>
      </w:r>
      <w:r w:rsidR="00E152C6" w:rsidRPr="00A700F6">
        <w:rPr>
          <w:rStyle w:val="CommentReference"/>
          <w:rFonts w:asciiTheme="minorHAnsi" w:hAnsiTheme="minorHAnsi" w:cstheme="minorHAnsi"/>
          <w:sz w:val="24"/>
          <w:szCs w:val="24"/>
        </w:rPr>
        <w:t>s argument</w:t>
      </w:r>
      <w:r w:rsidR="006C780F" w:rsidRPr="00A700F6">
        <w:rPr>
          <w:rStyle w:val="CommentReference"/>
          <w:rFonts w:asciiTheme="minorHAnsi" w:hAnsiTheme="minorHAnsi" w:cstheme="minorHAnsi"/>
          <w:sz w:val="24"/>
          <w:szCs w:val="24"/>
        </w:rPr>
        <w:t xml:space="preserve"> that some patients with </w:t>
      </w:r>
      <w:proofErr w:type="spellStart"/>
      <w:r w:rsidR="006C780F" w:rsidRPr="00A700F6">
        <w:rPr>
          <w:rStyle w:val="CommentReference"/>
          <w:rFonts w:asciiTheme="minorHAnsi" w:hAnsiTheme="minorHAnsi" w:cstheme="minorHAnsi"/>
          <w:sz w:val="24"/>
          <w:szCs w:val="24"/>
        </w:rPr>
        <w:t>LyP</w:t>
      </w:r>
      <w:proofErr w:type="spellEnd"/>
      <w:r w:rsidR="006C780F" w:rsidRPr="00A700F6">
        <w:rPr>
          <w:rStyle w:val="CommentReference"/>
          <w:rFonts w:asciiTheme="minorHAnsi" w:hAnsiTheme="minorHAnsi" w:cstheme="minorHAnsi"/>
          <w:sz w:val="24"/>
          <w:szCs w:val="24"/>
        </w:rPr>
        <w:t xml:space="preserve"> appear to benefit</w:t>
      </w:r>
      <w:r w:rsidR="00401807" w:rsidRPr="00A700F6">
        <w:rPr>
          <w:rStyle w:val="CommentReference"/>
          <w:rFonts w:asciiTheme="minorHAnsi" w:hAnsiTheme="minorHAnsi" w:cstheme="minorHAnsi"/>
          <w:sz w:val="24"/>
          <w:szCs w:val="24"/>
        </w:rPr>
        <w:t xml:space="preserve"> from treatment</w:t>
      </w:r>
      <w:r w:rsidR="00E152C6" w:rsidRPr="00A700F6">
        <w:rPr>
          <w:rStyle w:val="CommentReference"/>
          <w:rFonts w:asciiTheme="minorHAnsi" w:hAnsiTheme="minorHAnsi" w:cstheme="minorHAnsi"/>
          <w:sz w:val="24"/>
          <w:szCs w:val="24"/>
        </w:rPr>
        <w:t xml:space="preserve"> with </w:t>
      </w:r>
      <w:proofErr w:type="spellStart"/>
      <w:r w:rsidR="00E152C6" w:rsidRPr="00A700F6">
        <w:rPr>
          <w:rStyle w:val="CommentReference"/>
          <w:rFonts w:asciiTheme="minorHAnsi" w:hAnsiTheme="minorHAnsi" w:cstheme="minorHAnsi"/>
          <w:sz w:val="24"/>
          <w:szCs w:val="24"/>
        </w:rPr>
        <w:t>brentuximab</w:t>
      </w:r>
      <w:proofErr w:type="spellEnd"/>
      <w:r w:rsidR="00E152C6" w:rsidRPr="00A700F6">
        <w:rPr>
          <w:rStyle w:val="CommentReference"/>
          <w:rFonts w:asciiTheme="minorHAnsi" w:hAnsiTheme="minorHAnsi" w:cstheme="minorHAnsi"/>
          <w:sz w:val="24"/>
          <w:szCs w:val="24"/>
        </w:rPr>
        <w:t xml:space="preserve"> </w:t>
      </w:r>
      <w:proofErr w:type="spellStart"/>
      <w:r w:rsidR="00E152C6" w:rsidRPr="00A700F6">
        <w:rPr>
          <w:rStyle w:val="CommentReference"/>
          <w:rFonts w:asciiTheme="minorHAnsi" w:hAnsiTheme="minorHAnsi" w:cstheme="minorHAnsi"/>
          <w:sz w:val="24"/>
          <w:szCs w:val="24"/>
        </w:rPr>
        <w:t>vedotin</w:t>
      </w:r>
      <w:proofErr w:type="spellEnd"/>
      <w:r w:rsidRPr="00A700F6">
        <w:rPr>
          <w:rStyle w:val="CommentReference"/>
          <w:rFonts w:asciiTheme="minorHAnsi" w:hAnsiTheme="minorHAnsi" w:cstheme="minorHAnsi"/>
          <w:sz w:val="24"/>
          <w:szCs w:val="24"/>
        </w:rPr>
        <w:t>. However</w:t>
      </w:r>
      <w:r w:rsidR="006C780F" w:rsidRPr="00A700F6">
        <w:rPr>
          <w:rStyle w:val="CommentReference"/>
          <w:rFonts w:asciiTheme="minorHAnsi" w:hAnsiTheme="minorHAnsi" w:cstheme="minorHAnsi"/>
          <w:sz w:val="24"/>
          <w:szCs w:val="24"/>
        </w:rPr>
        <w:t xml:space="preserve">, </w:t>
      </w:r>
      <w:r w:rsidRPr="00A700F6">
        <w:rPr>
          <w:rStyle w:val="CommentReference"/>
          <w:rFonts w:asciiTheme="minorHAnsi" w:hAnsiTheme="minorHAnsi" w:cstheme="minorHAnsi"/>
          <w:sz w:val="24"/>
          <w:szCs w:val="24"/>
        </w:rPr>
        <w:t xml:space="preserve">the </w:t>
      </w:r>
      <w:r w:rsidR="00C94A93" w:rsidRPr="00A700F6">
        <w:rPr>
          <w:rStyle w:val="CommentReference"/>
          <w:rFonts w:asciiTheme="minorHAnsi" w:hAnsiTheme="minorHAnsi" w:cstheme="minorHAnsi"/>
          <w:sz w:val="24"/>
          <w:szCs w:val="24"/>
        </w:rPr>
        <w:t>PBAC recalled that</w:t>
      </w:r>
      <w:r w:rsidR="00C94A93" w:rsidRPr="00A700F6">
        <w:rPr>
          <w:rFonts w:asciiTheme="minorHAnsi" w:eastAsiaTheme="minorHAnsi" w:hAnsiTheme="minorHAnsi" w:cstheme="minorHAnsi"/>
          <w:sz w:val="24"/>
          <w:szCs w:val="24"/>
        </w:rPr>
        <w:t xml:space="preserve"> the </w:t>
      </w:r>
      <w:proofErr w:type="spellStart"/>
      <w:r w:rsidR="00C94A93" w:rsidRPr="00A700F6">
        <w:rPr>
          <w:rFonts w:asciiTheme="minorHAnsi" w:eastAsiaTheme="minorHAnsi" w:hAnsiTheme="minorHAnsi" w:cstheme="minorHAnsi"/>
          <w:sz w:val="24"/>
          <w:szCs w:val="24"/>
        </w:rPr>
        <w:t>LyP</w:t>
      </w:r>
      <w:proofErr w:type="spellEnd"/>
      <w:r w:rsidR="00C94A93" w:rsidRPr="00A700F6">
        <w:rPr>
          <w:rFonts w:asciiTheme="minorHAnsi" w:eastAsiaTheme="minorHAnsi" w:hAnsiTheme="minorHAnsi" w:cstheme="minorHAnsi"/>
          <w:sz w:val="24"/>
          <w:szCs w:val="24"/>
        </w:rPr>
        <w:t xml:space="preserve"> subtype is not consistently defined as a </w:t>
      </w:r>
      <w:proofErr w:type="gramStart"/>
      <w:r w:rsidR="00C94A93" w:rsidRPr="00A700F6">
        <w:rPr>
          <w:rFonts w:asciiTheme="minorHAnsi" w:eastAsiaTheme="minorHAnsi" w:hAnsiTheme="minorHAnsi" w:cstheme="minorHAnsi"/>
          <w:sz w:val="24"/>
          <w:szCs w:val="24"/>
        </w:rPr>
        <w:t>cancer,</w:t>
      </w:r>
      <w:proofErr w:type="gramEnd"/>
      <w:r w:rsidR="00C94A93" w:rsidRPr="00A700F6">
        <w:rPr>
          <w:rFonts w:asciiTheme="minorHAnsi" w:eastAsiaTheme="minorHAnsi" w:hAnsiTheme="minorHAnsi" w:cstheme="minorHAnsi"/>
          <w:sz w:val="24"/>
          <w:szCs w:val="24"/>
        </w:rPr>
        <w:t xml:space="preserve"> can resolve without treatment and does not affect life-expectancy. </w:t>
      </w:r>
      <w:r w:rsidR="00C94A93" w:rsidRPr="00A700F6">
        <w:rPr>
          <w:rFonts w:asciiTheme="minorHAnsi" w:hAnsiTheme="minorHAnsi" w:cstheme="minorHAnsi"/>
          <w:bCs/>
          <w:sz w:val="24"/>
          <w:szCs w:val="24"/>
          <w:lang w:val="en-GB"/>
        </w:rPr>
        <w:t xml:space="preserve"> </w:t>
      </w:r>
      <w:r w:rsidR="00D570F3" w:rsidRPr="00A700F6">
        <w:rPr>
          <w:rStyle w:val="CommentReference"/>
          <w:rFonts w:asciiTheme="minorHAnsi" w:hAnsiTheme="minorHAnsi" w:cstheme="minorHAnsi"/>
          <w:sz w:val="24"/>
          <w:szCs w:val="24"/>
        </w:rPr>
        <w:t xml:space="preserve">The PBAC considered that the evidence provided </w:t>
      </w:r>
      <w:r w:rsidR="00922DD5" w:rsidRPr="00A700F6">
        <w:rPr>
          <w:rStyle w:val="CommentReference"/>
          <w:rFonts w:asciiTheme="minorHAnsi" w:hAnsiTheme="minorHAnsi" w:cstheme="minorHAnsi"/>
          <w:sz w:val="24"/>
          <w:szCs w:val="24"/>
        </w:rPr>
        <w:t xml:space="preserve">in the minor resubmission </w:t>
      </w:r>
      <w:r w:rsidR="008E7F84" w:rsidRPr="00A700F6">
        <w:rPr>
          <w:rStyle w:val="CommentReference"/>
          <w:rFonts w:asciiTheme="minorHAnsi" w:hAnsiTheme="minorHAnsi" w:cstheme="minorHAnsi"/>
          <w:sz w:val="24"/>
          <w:szCs w:val="24"/>
        </w:rPr>
        <w:t xml:space="preserve">did not adequately address the cost-effectiveness of </w:t>
      </w:r>
      <w:proofErr w:type="spellStart"/>
      <w:r w:rsidR="008E7F84" w:rsidRPr="00A700F6">
        <w:rPr>
          <w:rStyle w:val="CommentReference"/>
          <w:rFonts w:asciiTheme="minorHAnsi" w:hAnsiTheme="minorHAnsi" w:cstheme="minorHAnsi"/>
          <w:sz w:val="24"/>
          <w:szCs w:val="24"/>
        </w:rPr>
        <w:t>brentuximab</w:t>
      </w:r>
      <w:proofErr w:type="spellEnd"/>
      <w:r w:rsidR="008E7F84" w:rsidRPr="00A700F6">
        <w:rPr>
          <w:rStyle w:val="CommentReference"/>
          <w:rFonts w:asciiTheme="minorHAnsi" w:hAnsiTheme="minorHAnsi" w:cstheme="minorHAnsi"/>
          <w:sz w:val="24"/>
          <w:szCs w:val="24"/>
        </w:rPr>
        <w:t xml:space="preserve"> for the treatment of </w:t>
      </w:r>
      <w:proofErr w:type="spellStart"/>
      <w:r w:rsidR="00D570F3" w:rsidRPr="00A700F6">
        <w:rPr>
          <w:rStyle w:val="CommentReference"/>
          <w:rFonts w:asciiTheme="minorHAnsi" w:hAnsiTheme="minorHAnsi" w:cstheme="minorHAnsi"/>
          <w:sz w:val="24"/>
          <w:szCs w:val="24"/>
        </w:rPr>
        <w:t>LyP</w:t>
      </w:r>
      <w:proofErr w:type="spellEnd"/>
      <w:r w:rsidR="00D570F3" w:rsidRPr="00A700F6">
        <w:rPr>
          <w:rStyle w:val="CommentReference"/>
          <w:rFonts w:asciiTheme="minorHAnsi" w:hAnsiTheme="minorHAnsi" w:cstheme="minorHAnsi"/>
          <w:sz w:val="24"/>
          <w:szCs w:val="24"/>
        </w:rPr>
        <w:t xml:space="preserve"> </w:t>
      </w:r>
      <w:r w:rsidR="008E7F84" w:rsidRPr="00A700F6">
        <w:rPr>
          <w:rStyle w:val="CommentReference"/>
          <w:rFonts w:asciiTheme="minorHAnsi" w:hAnsiTheme="minorHAnsi" w:cstheme="minorHAnsi"/>
          <w:sz w:val="24"/>
          <w:szCs w:val="24"/>
        </w:rPr>
        <w:t>given</w:t>
      </w:r>
      <w:r w:rsidR="00D570F3" w:rsidRPr="00A700F6">
        <w:rPr>
          <w:rStyle w:val="CommentReference"/>
          <w:rFonts w:asciiTheme="minorHAnsi" w:hAnsiTheme="minorHAnsi" w:cstheme="minorHAnsi"/>
          <w:sz w:val="24"/>
          <w:szCs w:val="24"/>
        </w:rPr>
        <w:t xml:space="preserve"> the majority of patients with </w:t>
      </w:r>
      <w:proofErr w:type="spellStart"/>
      <w:r w:rsidR="00D570F3" w:rsidRPr="00A700F6">
        <w:rPr>
          <w:rStyle w:val="CommentReference"/>
          <w:rFonts w:asciiTheme="minorHAnsi" w:hAnsiTheme="minorHAnsi" w:cstheme="minorHAnsi"/>
          <w:sz w:val="24"/>
          <w:szCs w:val="24"/>
        </w:rPr>
        <w:t>LyP</w:t>
      </w:r>
      <w:proofErr w:type="spellEnd"/>
      <w:r w:rsidR="00D570F3" w:rsidRPr="00A700F6">
        <w:rPr>
          <w:rStyle w:val="CommentReference"/>
          <w:rFonts w:asciiTheme="minorHAnsi" w:hAnsiTheme="minorHAnsi" w:cstheme="minorHAnsi"/>
          <w:sz w:val="24"/>
          <w:szCs w:val="24"/>
        </w:rPr>
        <w:t xml:space="preserve"> do not require treatment with this type of therapy. </w:t>
      </w:r>
      <w:r w:rsidR="006D19BA" w:rsidRPr="00A700F6">
        <w:rPr>
          <w:rStyle w:val="CommentReference"/>
          <w:rFonts w:asciiTheme="minorHAnsi" w:hAnsiTheme="minorHAnsi" w:cstheme="minorHAnsi"/>
          <w:sz w:val="24"/>
          <w:szCs w:val="24"/>
        </w:rPr>
        <w:t>T</w:t>
      </w:r>
      <w:r w:rsidR="00C94A93" w:rsidRPr="00A700F6">
        <w:rPr>
          <w:rStyle w:val="CommentReference"/>
          <w:rFonts w:asciiTheme="minorHAnsi" w:hAnsiTheme="minorHAnsi" w:cstheme="minorHAnsi"/>
          <w:sz w:val="24"/>
          <w:szCs w:val="24"/>
        </w:rPr>
        <w:t xml:space="preserve">he PBAC recommended that patients with the </w:t>
      </w:r>
      <w:proofErr w:type="spellStart"/>
      <w:r w:rsidR="00C94A93" w:rsidRPr="00A700F6">
        <w:rPr>
          <w:rStyle w:val="CommentReference"/>
          <w:rFonts w:asciiTheme="minorHAnsi" w:hAnsiTheme="minorHAnsi" w:cstheme="minorHAnsi"/>
          <w:sz w:val="24"/>
          <w:szCs w:val="24"/>
        </w:rPr>
        <w:t>LyP</w:t>
      </w:r>
      <w:proofErr w:type="spellEnd"/>
      <w:r w:rsidR="00C94A93" w:rsidRPr="00A700F6">
        <w:rPr>
          <w:rStyle w:val="CommentReference"/>
          <w:rFonts w:asciiTheme="minorHAnsi" w:hAnsiTheme="minorHAnsi" w:cstheme="minorHAnsi"/>
          <w:sz w:val="24"/>
          <w:szCs w:val="24"/>
        </w:rPr>
        <w:t xml:space="preserve"> CTCL subtype </w:t>
      </w:r>
      <w:proofErr w:type="gramStart"/>
      <w:r w:rsidR="00C94A93" w:rsidRPr="00A700F6">
        <w:rPr>
          <w:rStyle w:val="CommentReference"/>
          <w:rFonts w:asciiTheme="minorHAnsi" w:hAnsiTheme="minorHAnsi" w:cstheme="minorHAnsi"/>
          <w:sz w:val="24"/>
          <w:szCs w:val="24"/>
        </w:rPr>
        <w:t>be excluded</w:t>
      </w:r>
      <w:proofErr w:type="gramEnd"/>
      <w:r w:rsidR="00C94A93" w:rsidRPr="00A700F6">
        <w:rPr>
          <w:rStyle w:val="CommentReference"/>
          <w:rFonts w:asciiTheme="minorHAnsi" w:hAnsiTheme="minorHAnsi" w:cstheme="minorHAnsi"/>
          <w:sz w:val="24"/>
          <w:szCs w:val="24"/>
        </w:rPr>
        <w:t xml:space="preserve"> from PBS subsidised access to </w:t>
      </w:r>
      <w:proofErr w:type="spellStart"/>
      <w:r w:rsidR="00C94A93" w:rsidRPr="00A700F6">
        <w:rPr>
          <w:rStyle w:val="CommentReference"/>
          <w:rFonts w:asciiTheme="minorHAnsi" w:hAnsiTheme="minorHAnsi" w:cstheme="minorHAnsi"/>
          <w:sz w:val="24"/>
          <w:szCs w:val="24"/>
        </w:rPr>
        <w:t>brentuximab</w:t>
      </w:r>
      <w:proofErr w:type="spellEnd"/>
      <w:r w:rsidR="00C94A93" w:rsidRPr="00A700F6">
        <w:rPr>
          <w:rStyle w:val="CommentReference"/>
          <w:rFonts w:asciiTheme="minorHAnsi" w:hAnsiTheme="minorHAnsi" w:cstheme="minorHAnsi"/>
          <w:sz w:val="24"/>
          <w:szCs w:val="24"/>
        </w:rPr>
        <w:t xml:space="preserve"> </w:t>
      </w:r>
      <w:proofErr w:type="spellStart"/>
      <w:r w:rsidR="00C94A93" w:rsidRPr="00A700F6">
        <w:rPr>
          <w:rStyle w:val="CommentReference"/>
          <w:rFonts w:asciiTheme="minorHAnsi" w:hAnsiTheme="minorHAnsi" w:cstheme="minorHAnsi"/>
          <w:sz w:val="24"/>
          <w:szCs w:val="24"/>
        </w:rPr>
        <w:t>vedotin</w:t>
      </w:r>
      <w:proofErr w:type="spellEnd"/>
      <w:r w:rsidR="00C94A93" w:rsidRPr="00A700F6">
        <w:rPr>
          <w:rStyle w:val="CommentReference"/>
          <w:rFonts w:asciiTheme="minorHAnsi" w:hAnsiTheme="minorHAnsi" w:cstheme="minorHAnsi"/>
          <w:sz w:val="24"/>
          <w:szCs w:val="24"/>
        </w:rPr>
        <w:t>.</w:t>
      </w:r>
    </w:p>
    <w:p w:rsidR="006825A1" w:rsidRPr="006D19BA" w:rsidRDefault="006825A1" w:rsidP="006825A1">
      <w:pPr>
        <w:pStyle w:val="ListParagraph"/>
        <w:widowControl/>
        <w:numPr>
          <w:ilvl w:val="1"/>
          <w:numId w:val="5"/>
        </w:numPr>
        <w:spacing w:before="120" w:after="160"/>
        <w:contextualSpacing w:val="0"/>
        <w:rPr>
          <w:rStyle w:val="CommentReference"/>
          <w:rFonts w:asciiTheme="minorHAnsi" w:eastAsiaTheme="minorHAnsi" w:hAnsiTheme="minorHAnsi" w:cstheme="minorBidi"/>
          <w:i/>
          <w:snapToGrid/>
          <w:sz w:val="24"/>
          <w:szCs w:val="22"/>
        </w:rPr>
      </w:pPr>
      <w:r>
        <w:rPr>
          <w:rStyle w:val="CommentReference"/>
          <w:rFonts w:ascii="Calibri" w:hAnsi="Calibri"/>
          <w:sz w:val="24"/>
          <w:szCs w:val="22"/>
        </w:rPr>
        <w:t xml:space="preserve">The PBAC considered that amendments to the proposed restriction (restricting use first line or in combination with other CTCL therapies) </w:t>
      </w:r>
      <w:r w:rsidR="009B258E">
        <w:rPr>
          <w:rStyle w:val="CommentReference"/>
          <w:rFonts w:ascii="Calibri" w:hAnsi="Calibri"/>
          <w:sz w:val="24"/>
          <w:szCs w:val="22"/>
        </w:rPr>
        <w:t>reduced</w:t>
      </w:r>
      <w:r>
        <w:rPr>
          <w:rStyle w:val="CommentReference"/>
          <w:rFonts w:ascii="Calibri" w:hAnsi="Calibri"/>
          <w:sz w:val="24"/>
          <w:szCs w:val="22"/>
        </w:rPr>
        <w:t xml:space="preserve"> previous concerns that </w:t>
      </w:r>
      <w:r>
        <w:rPr>
          <w:rStyle w:val="CommentReference"/>
          <w:rFonts w:ascii="Calibri" w:hAnsi="Calibri"/>
          <w:sz w:val="24"/>
          <w:szCs w:val="22"/>
        </w:rPr>
        <w:lastRenderedPageBreak/>
        <w:t xml:space="preserve">the estimates were uncertain due to the risk of use of </w:t>
      </w:r>
      <w:proofErr w:type="spellStart"/>
      <w:r>
        <w:rPr>
          <w:rStyle w:val="CommentReference"/>
          <w:rFonts w:ascii="Calibri" w:hAnsi="Calibri"/>
          <w:sz w:val="24"/>
          <w:szCs w:val="22"/>
        </w:rPr>
        <w:t>brentuximab</w:t>
      </w:r>
      <w:proofErr w:type="spellEnd"/>
      <w:r>
        <w:rPr>
          <w:rStyle w:val="CommentReference"/>
          <w:rFonts w:ascii="Calibri" w:hAnsi="Calibri"/>
          <w:sz w:val="24"/>
          <w:szCs w:val="22"/>
        </w:rPr>
        <w:t xml:space="preserve"> </w:t>
      </w:r>
      <w:proofErr w:type="spellStart"/>
      <w:r>
        <w:rPr>
          <w:rStyle w:val="CommentReference"/>
          <w:rFonts w:ascii="Calibri" w:hAnsi="Calibri"/>
          <w:sz w:val="24"/>
          <w:szCs w:val="22"/>
        </w:rPr>
        <w:t>v</w:t>
      </w:r>
      <w:r w:rsidR="00D47CAA">
        <w:rPr>
          <w:rStyle w:val="CommentReference"/>
          <w:rFonts w:ascii="Calibri" w:hAnsi="Calibri"/>
          <w:sz w:val="24"/>
          <w:szCs w:val="22"/>
        </w:rPr>
        <w:t>edotin</w:t>
      </w:r>
      <w:proofErr w:type="spellEnd"/>
      <w:r w:rsidR="00D47CAA">
        <w:rPr>
          <w:rStyle w:val="CommentReference"/>
          <w:rFonts w:ascii="Calibri" w:hAnsi="Calibri"/>
          <w:sz w:val="24"/>
          <w:szCs w:val="22"/>
        </w:rPr>
        <w:t xml:space="preserve"> outside the restriction.</w:t>
      </w:r>
    </w:p>
    <w:p w:rsidR="00F603E3" w:rsidRPr="00922DD5" w:rsidRDefault="0032728D" w:rsidP="007E18E1">
      <w:pPr>
        <w:pStyle w:val="ListParagraph"/>
        <w:widowControl/>
        <w:numPr>
          <w:ilvl w:val="1"/>
          <w:numId w:val="5"/>
        </w:numPr>
        <w:spacing w:before="120" w:after="160"/>
        <w:contextualSpacing w:val="0"/>
        <w:rPr>
          <w:rStyle w:val="CommentReference"/>
          <w:rFonts w:asciiTheme="minorHAnsi" w:eastAsiaTheme="minorHAnsi" w:hAnsiTheme="minorHAnsi" w:cstheme="minorBidi"/>
          <w:i/>
          <w:snapToGrid/>
          <w:sz w:val="24"/>
          <w:szCs w:val="22"/>
        </w:rPr>
      </w:pPr>
      <w:r>
        <w:rPr>
          <w:rStyle w:val="CommentReference"/>
          <w:rFonts w:ascii="Calibri" w:hAnsi="Calibri"/>
          <w:sz w:val="24"/>
          <w:szCs w:val="22"/>
        </w:rPr>
        <w:t>Th</w:t>
      </w:r>
      <w:r w:rsidR="007E18E1">
        <w:rPr>
          <w:rStyle w:val="CommentReference"/>
          <w:rFonts w:ascii="Calibri" w:hAnsi="Calibri"/>
          <w:sz w:val="24"/>
          <w:szCs w:val="22"/>
        </w:rPr>
        <w:t>e PBAC noted that</w:t>
      </w:r>
      <w:r w:rsidR="006D19BA">
        <w:rPr>
          <w:rStyle w:val="CommentReference"/>
          <w:rFonts w:ascii="Calibri" w:hAnsi="Calibri"/>
          <w:sz w:val="24"/>
          <w:szCs w:val="22"/>
        </w:rPr>
        <w:t xml:space="preserve">, while it had recommended that </w:t>
      </w:r>
      <w:r w:rsidR="006D19BA" w:rsidRPr="00D570F3">
        <w:rPr>
          <w:rStyle w:val="CommentReference"/>
          <w:rFonts w:ascii="Calibri" w:hAnsi="Calibri"/>
          <w:sz w:val="24"/>
          <w:szCs w:val="22"/>
        </w:rPr>
        <w:t xml:space="preserve">patients with the </w:t>
      </w:r>
      <w:proofErr w:type="spellStart"/>
      <w:r w:rsidR="006D19BA" w:rsidRPr="00D570F3">
        <w:rPr>
          <w:rStyle w:val="CommentReference"/>
          <w:rFonts w:ascii="Calibri" w:hAnsi="Calibri"/>
          <w:sz w:val="24"/>
          <w:szCs w:val="22"/>
        </w:rPr>
        <w:t>LyP</w:t>
      </w:r>
      <w:proofErr w:type="spellEnd"/>
      <w:r w:rsidR="006D19BA" w:rsidRPr="00D570F3">
        <w:rPr>
          <w:rStyle w:val="CommentReference"/>
          <w:rFonts w:ascii="Calibri" w:hAnsi="Calibri"/>
          <w:sz w:val="24"/>
          <w:szCs w:val="22"/>
        </w:rPr>
        <w:t xml:space="preserve"> CTCL subtype </w:t>
      </w:r>
      <w:proofErr w:type="gramStart"/>
      <w:r w:rsidR="006D19BA" w:rsidRPr="00D570F3">
        <w:rPr>
          <w:rStyle w:val="CommentReference"/>
          <w:rFonts w:ascii="Calibri" w:hAnsi="Calibri"/>
          <w:sz w:val="24"/>
          <w:szCs w:val="22"/>
        </w:rPr>
        <w:t>be excluded</w:t>
      </w:r>
      <w:proofErr w:type="gramEnd"/>
      <w:r w:rsidR="006D19BA" w:rsidRPr="00D570F3">
        <w:rPr>
          <w:rStyle w:val="CommentReference"/>
          <w:rFonts w:ascii="Calibri" w:hAnsi="Calibri"/>
          <w:sz w:val="24"/>
          <w:szCs w:val="22"/>
        </w:rPr>
        <w:t xml:space="preserve"> from PBS subsidised access to </w:t>
      </w:r>
      <w:proofErr w:type="spellStart"/>
      <w:r w:rsidR="006D19BA" w:rsidRPr="00D570F3">
        <w:rPr>
          <w:rStyle w:val="CommentReference"/>
          <w:rFonts w:ascii="Calibri" w:hAnsi="Calibri"/>
          <w:sz w:val="24"/>
          <w:szCs w:val="22"/>
        </w:rPr>
        <w:t>brentuximab</w:t>
      </w:r>
      <w:proofErr w:type="spellEnd"/>
      <w:r w:rsidR="006D19BA" w:rsidRPr="00D570F3">
        <w:rPr>
          <w:rStyle w:val="CommentReference"/>
          <w:rFonts w:ascii="Calibri" w:hAnsi="Calibri"/>
          <w:sz w:val="24"/>
          <w:szCs w:val="22"/>
        </w:rPr>
        <w:t xml:space="preserve"> </w:t>
      </w:r>
      <w:proofErr w:type="spellStart"/>
      <w:r w:rsidR="006D19BA" w:rsidRPr="00D570F3">
        <w:rPr>
          <w:rStyle w:val="CommentReference"/>
          <w:rFonts w:ascii="Calibri" w:hAnsi="Calibri"/>
          <w:sz w:val="24"/>
          <w:szCs w:val="22"/>
        </w:rPr>
        <w:t>vedotin</w:t>
      </w:r>
      <w:proofErr w:type="spellEnd"/>
      <w:r w:rsidR="006D19BA">
        <w:rPr>
          <w:rStyle w:val="CommentReference"/>
          <w:rFonts w:ascii="Calibri" w:hAnsi="Calibri"/>
          <w:sz w:val="24"/>
          <w:szCs w:val="22"/>
        </w:rPr>
        <w:t>,</w:t>
      </w:r>
      <w:r w:rsidR="007E18E1">
        <w:rPr>
          <w:rStyle w:val="CommentReference"/>
          <w:rFonts w:ascii="Calibri" w:hAnsi="Calibri"/>
          <w:sz w:val="24"/>
          <w:szCs w:val="22"/>
        </w:rPr>
        <w:t xml:space="preserve"> </w:t>
      </w:r>
      <w:proofErr w:type="spellStart"/>
      <w:r w:rsidR="007E18E1">
        <w:rPr>
          <w:rStyle w:val="CommentReference"/>
          <w:rFonts w:ascii="Calibri" w:hAnsi="Calibri"/>
          <w:sz w:val="24"/>
          <w:szCs w:val="22"/>
        </w:rPr>
        <w:t>LyP</w:t>
      </w:r>
      <w:proofErr w:type="spellEnd"/>
      <w:r w:rsidR="007E18E1">
        <w:rPr>
          <w:rStyle w:val="CommentReference"/>
          <w:rFonts w:ascii="Calibri" w:hAnsi="Calibri"/>
          <w:sz w:val="24"/>
          <w:szCs w:val="22"/>
        </w:rPr>
        <w:t xml:space="preserve"> patient numbers were included in the proposed</w:t>
      </w:r>
      <w:r w:rsidR="006D19BA">
        <w:rPr>
          <w:rStyle w:val="CommentReference"/>
          <w:rFonts w:ascii="Calibri" w:hAnsi="Calibri"/>
          <w:sz w:val="24"/>
          <w:szCs w:val="22"/>
        </w:rPr>
        <w:t xml:space="preserve"> financial estimates. T</w:t>
      </w:r>
      <w:r w:rsidR="00AE4C1B" w:rsidRPr="007E18E1">
        <w:rPr>
          <w:rStyle w:val="CommentReference"/>
          <w:rFonts w:ascii="Calibri" w:hAnsi="Calibri"/>
          <w:sz w:val="24"/>
          <w:szCs w:val="22"/>
        </w:rPr>
        <w:t xml:space="preserve">he </w:t>
      </w:r>
      <w:r w:rsidR="007E18E1">
        <w:rPr>
          <w:rStyle w:val="CommentReference"/>
          <w:rFonts w:ascii="Calibri" w:hAnsi="Calibri"/>
          <w:sz w:val="24"/>
          <w:szCs w:val="22"/>
        </w:rPr>
        <w:t>PBAC considered</w:t>
      </w:r>
      <w:r w:rsidR="006C780F" w:rsidRPr="007E18E1">
        <w:rPr>
          <w:rStyle w:val="CommentReference"/>
          <w:rFonts w:ascii="Calibri" w:hAnsi="Calibri"/>
          <w:sz w:val="24"/>
          <w:szCs w:val="22"/>
        </w:rPr>
        <w:t xml:space="preserve"> that it was not possible </w:t>
      </w:r>
      <w:proofErr w:type="gramStart"/>
      <w:r w:rsidR="006C780F" w:rsidRPr="007E18E1">
        <w:rPr>
          <w:rStyle w:val="CommentReference"/>
          <w:rFonts w:ascii="Calibri" w:hAnsi="Calibri"/>
          <w:sz w:val="24"/>
          <w:szCs w:val="22"/>
        </w:rPr>
        <w:t>to accurately split</w:t>
      </w:r>
      <w:proofErr w:type="gramEnd"/>
      <w:r w:rsidR="006C780F" w:rsidRPr="007E18E1">
        <w:rPr>
          <w:rStyle w:val="CommentReference"/>
          <w:rFonts w:ascii="Calibri" w:hAnsi="Calibri"/>
          <w:sz w:val="24"/>
          <w:szCs w:val="22"/>
        </w:rPr>
        <w:t xml:space="preserve"> </w:t>
      </w:r>
      <w:proofErr w:type="spellStart"/>
      <w:r w:rsidR="006C780F" w:rsidRPr="007E18E1">
        <w:rPr>
          <w:rStyle w:val="CommentReference"/>
          <w:rFonts w:ascii="Calibri" w:hAnsi="Calibri"/>
          <w:sz w:val="24"/>
          <w:szCs w:val="22"/>
        </w:rPr>
        <w:t>LyP</w:t>
      </w:r>
      <w:proofErr w:type="spellEnd"/>
      <w:r w:rsidR="006C780F" w:rsidRPr="007E18E1">
        <w:rPr>
          <w:rStyle w:val="CommentReference"/>
          <w:rFonts w:ascii="Calibri" w:hAnsi="Calibri"/>
          <w:sz w:val="24"/>
          <w:szCs w:val="22"/>
        </w:rPr>
        <w:t xml:space="preserve"> numbers from the combined </w:t>
      </w:r>
      <w:proofErr w:type="spellStart"/>
      <w:r w:rsidR="006C780F" w:rsidRPr="007E18E1">
        <w:rPr>
          <w:rStyle w:val="CommentReference"/>
          <w:rFonts w:ascii="Calibri" w:hAnsi="Calibri"/>
          <w:sz w:val="24"/>
          <w:szCs w:val="22"/>
        </w:rPr>
        <w:t>pcALCL</w:t>
      </w:r>
      <w:proofErr w:type="spellEnd"/>
      <w:r w:rsidR="006C780F" w:rsidRPr="007E18E1">
        <w:rPr>
          <w:rStyle w:val="CommentReference"/>
          <w:rFonts w:ascii="Calibri" w:hAnsi="Calibri"/>
          <w:sz w:val="24"/>
          <w:szCs w:val="22"/>
        </w:rPr>
        <w:t xml:space="preserve"> and </w:t>
      </w:r>
      <w:proofErr w:type="spellStart"/>
      <w:r w:rsidR="006C780F" w:rsidRPr="007E18E1">
        <w:rPr>
          <w:rStyle w:val="CommentReference"/>
          <w:rFonts w:ascii="Calibri" w:hAnsi="Calibri"/>
          <w:sz w:val="24"/>
          <w:szCs w:val="22"/>
        </w:rPr>
        <w:t>LyP</w:t>
      </w:r>
      <w:proofErr w:type="spellEnd"/>
      <w:r w:rsidR="006C780F" w:rsidRPr="007E18E1">
        <w:rPr>
          <w:rStyle w:val="CommentReference"/>
          <w:rFonts w:ascii="Calibri" w:hAnsi="Calibri"/>
          <w:sz w:val="24"/>
          <w:szCs w:val="22"/>
        </w:rPr>
        <w:t xml:space="preserve"> numbers provided due to different registry requirements for reporting. </w:t>
      </w:r>
      <w:r w:rsidR="006D19BA">
        <w:rPr>
          <w:rStyle w:val="CommentReference"/>
          <w:rFonts w:ascii="Calibri" w:hAnsi="Calibri"/>
          <w:sz w:val="24"/>
          <w:szCs w:val="22"/>
        </w:rPr>
        <w:t>However, g</w:t>
      </w:r>
      <w:r w:rsidR="006C780F" w:rsidRPr="007E18E1">
        <w:rPr>
          <w:rStyle w:val="CommentReference"/>
          <w:rFonts w:ascii="Calibri" w:hAnsi="Calibri"/>
          <w:sz w:val="24"/>
          <w:szCs w:val="22"/>
        </w:rPr>
        <w:t>iven the overall small number of patients, the overall modest budget impact and the RSA proposed, the PBAC considered it reasonable to accept the numbers as proposed</w:t>
      </w:r>
      <w:r w:rsidR="008E7F84">
        <w:rPr>
          <w:rStyle w:val="CommentReference"/>
          <w:rFonts w:ascii="Calibri" w:hAnsi="Calibri"/>
          <w:sz w:val="24"/>
          <w:szCs w:val="22"/>
        </w:rPr>
        <w:t xml:space="preserve"> in the minor resubmission</w:t>
      </w:r>
      <w:r w:rsidR="006C780F" w:rsidRPr="007E18E1">
        <w:rPr>
          <w:rStyle w:val="CommentReference"/>
          <w:rFonts w:ascii="Calibri" w:hAnsi="Calibri"/>
          <w:sz w:val="24"/>
          <w:szCs w:val="22"/>
        </w:rPr>
        <w:t xml:space="preserve"> as the maximum number of PBS-eligible CD30 positive CTCL </w:t>
      </w:r>
      <w:r w:rsidR="006451C4">
        <w:rPr>
          <w:rStyle w:val="CommentReference"/>
          <w:rFonts w:ascii="Calibri" w:hAnsi="Calibri"/>
          <w:sz w:val="24"/>
          <w:szCs w:val="22"/>
        </w:rPr>
        <w:t xml:space="preserve">patients </w:t>
      </w:r>
      <w:r w:rsidR="006C780F" w:rsidRPr="007E18E1">
        <w:rPr>
          <w:rStyle w:val="CommentReference"/>
          <w:rFonts w:ascii="Calibri" w:hAnsi="Calibri"/>
          <w:sz w:val="24"/>
          <w:szCs w:val="22"/>
        </w:rPr>
        <w:t xml:space="preserve">to </w:t>
      </w:r>
      <w:proofErr w:type="gramStart"/>
      <w:r w:rsidR="006C780F" w:rsidRPr="007E18E1">
        <w:rPr>
          <w:rStyle w:val="CommentReference"/>
          <w:rFonts w:ascii="Calibri" w:hAnsi="Calibri"/>
          <w:sz w:val="24"/>
          <w:szCs w:val="22"/>
        </w:rPr>
        <w:t>be treated</w:t>
      </w:r>
      <w:proofErr w:type="gramEnd"/>
      <w:r w:rsidR="006C780F" w:rsidRPr="007E18E1">
        <w:rPr>
          <w:rStyle w:val="CommentReference"/>
          <w:rFonts w:ascii="Calibri" w:hAnsi="Calibri"/>
          <w:sz w:val="24"/>
          <w:szCs w:val="22"/>
        </w:rPr>
        <w:t xml:space="preserve"> per annum.</w:t>
      </w:r>
    </w:p>
    <w:p w:rsidR="00922DD5" w:rsidRPr="007E18E1" w:rsidRDefault="00922DD5" w:rsidP="007E18E1">
      <w:pPr>
        <w:pStyle w:val="ListParagraph"/>
        <w:widowControl/>
        <w:numPr>
          <w:ilvl w:val="1"/>
          <w:numId w:val="5"/>
        </w:numPr>
        <w:spacing w:before="120" w:after="160"/>
        <w:contextualSpacing w:val="0"/>
        <w:rPr>
          <w:rFonts w:asciiTheme="minorHAnsi" w:eastAsiaTheme="minorHAnsi" w:hAnsiTheme="minorHAnsi" w:cstheme="minorBidi"/>
          <w:i/>
          <w:snapToGrid/>
          <w:sz w:val="24"/>
          <w:szCs w:val="22"/>
        </w:rPr>
      </w:pPr>
      <w:r>
        <w:rPr>
          <w:rStyle w:val="CommentReference"/>
          <w:rFonts w:ascii="Calibri" w:hAnsi="Calibri"/>
          <w:sz w:val="24"/>
          <w:szCs w:val="22"/>
        </w:rPr>
        <w:t xml:space="preserve">The PBAC considered that the RSA proposed </w:t>
      </w:r>
      <w:r w:rsidR="001829A9">
        <w:rPr>
          <w:rStyle w:val="CommentReference"/>
          <w:rFonts w:ascii="Calibri" w:hAnsi="Calibri"/>
          <w:sz w:val="24"/>
          <w:szCs w:val="22"/>
        </w:rPr>
        <w:t>by the sponsor, with a financial cap set at the level of the estimates utilisation</w:t>
      </w:r>
      <w:r>
        <w:rPr>
          <w:rStyle w:val="CommentReference"/>
          <w:rFonts w:ascii="Calibri" w:hAnsi="Calibri"/>
          <w:sz w:val="24"/>
          <w:szCs w:val="22"/>
        </w:rPr>
        <w:t xml:space="preserve"> was appropriate to </w:t>
      </w:r>
      <w:r w:rsidR="009D4FAA">
        <w:rPr>
          <w:rStyle w:val="CommentReference"/>
          <w:rFonts w:ascii="Calibri" w:hAnsi="Calibri"/>
          <w:sz w:val="24"/>
          <w:szCs w:val="22"/>
        </w:rPr>
        <w:t xml:space="preserve">mitigate any residual uncertainties regarding the potential use of </w:t>
      </w:r>
      <w:proofErr w:type="spellStart"/>
      <w:r w:rsidR="009D4FAA">
        <w:rPr>
          <w:rStyle w:val="CommentReference"/>
          <w:rFonts w:ascii="Calibri" w:hAnsi="Calibri"/>
          <w:sz w:val="24"/>
          <w:szCs w:val="22"/>
        </w:rPr>
        <w:t>brentuximab</w:t>
      </w:r>
      <w:proofErr w:type="spellEnd"/>
      <w:r w:rsidR="009D4FAA">
        <w:rPr>
          <w:rStyle w:val="CommentReference"/>
          <w:rFonts w:ascii="Calibri" w:hAnsi="Calibri"/>
          <w:sz w:val="24"/>
          <w:szCs w:val="22"/>
        </w:rPr>
        <w:t xml:space="preserve"> </w:t>
      </w:r>
      <w:proofErr w:type="spellStart"/>
      <w:r w:rsidR="009D4FAA">
        <w:rPr>
          <w:rStyle w:val="CommentReference"/>
          <w:rFonts w:ascii="Calibri" w:hAnsi="Calibri"/>
          <w:sz w:val="24"/>
          <w:szCs w:val="22"/>
        </w:rPr>
        <w:t>vedotin</w:t>
      </w:r>
      <w:proofErr w:type="spellEnd"/>
      <w:r w:rsidR="009D4FAA">
        <w:rPr>
          <w:rStyle w:val="CommentReference"/>
          <w:rFonts w:ascii="Calibri" w:hAnsi="Calibri"/>
          <w:sz w:val="24"/>
          <w:szCs w:val="22"/>
        </w:rPr>
        <w:t xml:space="preserve"> </w:t>
      </w:r>
      <w:r>
        <w:rPr>
          <w:rStyle w:val="CommentReference"/>
          <w:rFonts w:ascii="Calibri" w:hAnsi="Calibri"/>
          <w:sz w:val="24"/>
          <w:szCs w:val="22"/>
        </w:rPr>
        <w:t>outside the proposed restriction.</w:t>
      </w:r>
    </w:p>
    <w:p w:rsidR="00F603E3" w:rsidRDefault="007E18E1" w:rsidP="00F603E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advised that </w:t>
      </w:r>
      <w:proofErr w:type="spellStart"/>
      <w:r>
        <w:rPr>
          <w:rFonts w:asciiTheme="minorHAnsi" w:eastAsiaTheme="minorHAnsi" w:hAnsiTheme="minorHAnsi" w:cstheme="minorBidi"/>
          <w:snapToGrid/>
          <w:sz w:val="24"/>
          <w:szCs w:val="22"/>
        </w:rPr>
        <w:t>b</w:t>
      </w:r>
      <w:r w:rsidR="007F394C">
        <w:rPr>
          <w:rFonts w:asciiTheme="minorHAnsi" w:eastAsiaTheme="minorHAnsi" w:hAnsiTheme="minorHAnsi" w:cstheme="minorBidi"/>
          <w:snapToGrid/>
          <w:sz w:val="24"/>
          <w:szCs w:val="22"/>
        </w:rPr>
        <w:t>rentuximab</w:t>
      </w:r>
      <w:proofErr w:type="spellEnd"/>
      <w:r w:rsidR="007F394C">
        <w:rPr>
          <w:rFonts w:asciiTheme="minorHAnsi" w:eastAsiaTheme="minorHAnsi" w:hAnsiTheme="minorHAnsi" w:cstheme="minorBidi"/>
          <w:snapToGrid/>
          <w:sz w:val="24"/>
          <w:szCs w:val="22"/>
        </w:rPr>
        <w:t xml:space="preserve"> </w:t>
      </w:r>
      <w:proofErr w:type="spellStart"/>
      <w:r w:rsidR="007F394C">
        <w:rPr>
          <w:rFonts w:asciiTheme="minorHAnsi" w:eastAsiaTheme="minorHAnsi" w:hAnsiTheme="minorHAnsi" w:cstheme="minorBidi"/>
          <w:snapToGrid/>
          <w:sz w:val="24"/>
          <w:szCs w:val="22"/>
        </w:rPr>
        <w:t>vedotin</w:t>
      </w:r>
      <w:proofErr w:type="spellEnd"/>
      <w:r w:rsidR="007F394C">
        <w:rPr>
          <w:rFonts w:asciiTheme="minorHAnsi" w:eastAsiaTheme="minorHAnsi" w:hAnsiTheme="minorHAnsi" w:cstheme="minorBidi"/>
          <w:snapToGrid/>
          <w:sz w:val="24"/>
          <w:szCs w:val="22"/>
        </w:rPr>
        <w:t xml:space="preserve"> wa</w:t>
      </w:r>
      <w:r w:rsidR="00F603E3" w:rsidRPr="00AE4C1B">
        <w:rPr>
          <w:rFonts w:asciiTheme="minorHAnsi" w:eastAsiaTheme="minorHAnsi" w:hAnsiTheme="minorHAnsi" w:cstheme="minorBidi"/>
          <w:snapToGrid/>
          <w:sz w:val="24"/>
          <w:szCs w:val="22"/>
        </w:rPr>
        <w:t>s not suitable for prescribin</w:t>
      </w:r>
      <w:r>
        <w:rPr>
          <w:rFonts w:asciiTheme="minorHAnsi" w:eastAsiaTheme="minorHAnsi" w:hAnsiTheme="minorHAnsi" w:cstheme="minorBidi"/>
          <w:snapToGrid/>
          <w:sz w:val="24"/>
          <w:szCs w:val="22"/>
        </w:rPr>
        <w:t>g by nurse practitioners</w:t>
      </w:r>
      <w:r w:rsidR="00F603E3" w:rsidRPr="00AE4C1B">
        <w:rPr>
          <w:rFonts w:asciiTheme="minorHAnsi" w:eastAsiaTheme="minorHAnsi" w:hAnsiTheme="minorHAnsi" w:cstheme="minorBidi"/>
          <w:snapToGrid/>
          <w:sz w:val="24"/>
          <w:szCs w:val="22"/>
        </w:rPr>
        <w:t>.</w:t>
      </w:r>
    </w:p>
    <w:p w:rsidR="007E18E1" w:rsidRDefault="007F394C" w:rsidP="00F603E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noted</w:t>
      </w:r>
      <w:r w:rsidR="007E18E1" w:rsidRPr="007E18E1">
        <w:rPr>
          <w:rFonts w:asciiTheme="minorHAnsi" w:eastAsiaTheme="minorHAnsi" w:hAnsiTheme="minorHAnsi" w:cstheme="minorBidi"/>
          <w:snapToGrid/>
          <w:sz w:val="24"/>
          <w:szCs w:val="22"/>
        </w:rPr>
        <w:t xml:space="preserve"> that the </w:t>
      </w:r>
      <w:r w:rsidR="007E18E1">
        <w:rPr>
          <w:rFonts w:asciiTheme="minorHAnsi" w:eastAsiaTheme="minorHAnsi" w:hAnsiTheme="minorHAnsi" w:cstheme="minorBidi"/>
          <w:snapToGrid/>
          <w:sz w:val="24"/>
          <w:szCs w:val="22"/>
        </w:rPr>
        <w:t xml:space="preserve">Early Supply Rule </w:t>
      </w:r>
      <w:r>
        <w:rPr>
          <w:rFonts w:asciiTheme="minorHAnsi" w:eastAsiaTheme="minorHAnsi" w:hAnsiTheme="minorHAnsi" w:cstheme="minorBidi"/>
          <w:snapToGrid/>
          <w:sz w:val="24"/>
          <w:szCs w:val="22"/>
        </w:rPr>
        <w:t>does not currently apply to Section 100 (Efficient Funding of Chemotherapy) listings</w:t>
      </w:r>
      <w:r w:rsidR="007E18E1">
        <w:rPr>
          <w:rFonts w:asciiTheme="minorHAnsi" w:eastAsiaTheme="minorHAnsi" w:hAnsiTheme="minorHAnsi" w:cstheme="minorBidi"/>
          <w:snapToGrid/>
          <w:sz w:val="24"/>
          <w:szCs w:val="22"/>
        </w:rPr>
        <w:t>.</w:t>
      </w:r>
    </w:p>
    <w:p w:rsidR="007F394C" w:rsidRPr="009052BF" w:rsidRDefault="007F394C" w:rsidP="007F394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9052BF">
        <w:rPr>
          <w:rFonts w:asciiTheme="minorHAnsi" w:eastAsiaTheme="minorHAnsi" w:hAnsiTheme="minorHAnsi" w:cstheme="minorBidi"/>
          <w:snapToGrid/>
          <w:sz w:val="24"/>
          <w:szCs w:val="22"/>
        </w:rPr>
        <w:t xml:space="preserve">The PBAC recommended that </w:t>
      </w:r>
      <w:proofErr w:type="spellStart"/>
      <w:r w:rsidRPr="009052BF">
        <w:rPr>
          <w:rFonts w:asciiTheme="minorHAnsi" w:eastAsiaTheme="minorHAnsi" w:hAnsiTheme="minorHAnsi" w:cstheme="minorBidi"/>
          <w:snapToGrid/>
          <w:sz w:val="24"/>
          <w:szCs w:val="22"/>
        </w:rPr>
        <w:t>brentuximab</w:t>
      </w:r>
      <w:proofErr w:type="spellEnd"/>
      <w:r w:rsidRPr="009052BF">
        <w:rPr>
          <w:rFonts w:asciiTheme="minorHAnsi" w:eastAsiaTheme="minorHAnsi" w:hAnsiTheme="minorHAnsi" w:cstheme="minorBidi"/>
          <w:snapToGrid/>
          <w:sz w:val="24"/>
          <w:szCs w:val="22"/>
        </w:rPr>
        <w:t xml:space="preserve"> </w:t>
      </w:r>
      <w:proofErr w:type="spellStart"/>
      <w:r w:rsidRPr="009052BF">
        <w:rPr>
          <w:rFonts w:asciiTheme="minorHAnsi" w:eastAsiaTheme="minorHAnsi" w:hAnsiTheme="minorHAnsi" w:cstheme="minorBidi"/>
          <w:snapToGrid/>
          <w:sz w:val="24"/>
          <w:szCs w:val="22"/>
        </w:rPr>
        <w:t>vedotin</w:t>
      </w:r>
      <w:proofErr w:type="spellEnd"/>
      <w:r w:rsidRPr="009052BF">
        <w:rPr>
          <w:rFonts w:asciiTheme="minorHAnsi" w:eastAsiaTheme="minorHAnsi" w:hAnsiTheme="minorHAnsi" w:cstheme="minorBidi"/>
          <w:snapToGrid/>
          <w:sz w:val="24"/>
          <w:szCs w:val="22"/>
        </w:rPr>
        <w:t xml:space="preserve"> </w:t>
      </w:r>
      <w:proofErr w:type="gramStart"/>
      <w:r w:rsidRPr="009052BF">
        <w:rPr>
          <w:rFonts w:asciiTheme="minorHAnsi" w:eastAsiaTheme="minorHAnsi" w:hAnsiTheme="minorHAnsi" w:cstheme="minorBidi"/>
          <w:snapToGrid/>
          <w:sz w:val="24"/>
          <w:szCs w:val="22"/>
        </w:rPr>
        <w:t>should not be treated</w:t>
      </w:r>
      <w:proofErr w:type="gramEnd"/>
      <w:r w:rsidRPr="009052BF">
        <w:rPr>
          <w:rFonts w:asciiTheme="minorHAnsi" w:eastAsiaTheme="minorHAnsi" w:hAnsiTheme="minorHAnsi" w:cstheme="minorBidi"/>
          <w:snapToGrid/>
          <w:sz w:val="24"/>
          <w:szCs w:val="22"/>
        </w:rPr>
        <w:t xml:space="preserve"> as interchangeable with any other drugs.</w:t>
      </w:r>
    </w:p>
    <w:p w:rsidR="007E18E1" w:rsidRDefault="00E97008" w:rsidP="007E18E1">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E18E1">
        <w:rPr>
          <w:rFonts w:asciiTheme="minorHAnsi" w:eastAsiaTheme="minorHAnsi" w:hAnsiTheme="minorHAnsi" w:cstheme="minorBidi"/>
          <w:snapToGrid/>
          <w:sz w:val="24"/>
          <w:szCs w:val="22"/>
        </w:rPr>
        <w:t>The PBA</w:t>
      </w:r>
      <w:r w:rsidR="007E18E1" w:rsidRPr="007E18E1">
        <w:rPr>
          <w:rFonts w:asciiTheme="minorHAnsi" w:eastAsiaTheme="minorHAnsi" w:hAnsiTheme="minorHAnsi" w:cstheme="minorBidi"/>
          <w:snapToGrid/>
          <w:sz w:val="24"/>
          <w:szCs w:val="22"/>
        </w:rPr>
        <w:t xml:space="preserve">C noted that this submission </w:t>
      </w:r>
      <w:r w:rsidRPr="007E18E1">
        <w:rPr>
          <w:rFonts w:asciiTheme="minorHAnsi" w:eastAsiaTheme="minorHAnsi" w:hAnsiTheme="minorHAnsi" w:cstheme="minorBidi"/>
          <w:snapToGrid/>
          <w:sz w:val="24"/>
          <w:szCs w:val="22"/>
        </w:rPr>
        <w:t>is not eligible for an Independent Review</w:t>
      </w:r>
      <w:r w:rsidR="007E18E1" w:rsidRPr="007E18E1">
        <w:rPr>
          <w:rFonts w:asciiTheme="minorHAnsi" w:eastAsiaTheme="minorHAnsi" w:hAnsiTheme="minorHAnsi" w:cstheme="minorBidi"/>
          <w:snapToGrid/>
          <w:sz w:val="24"/>
          <w:szCs w:val="22"/>
        </w:rPr>
        <w:t xml:space="preserve"> as it made a positive recommendation</w:t>
      </w:r>
      <w:r w:rsidR="00D47CAA">
        <w:rPr>
          <w:rFonts w:asciiTheme="minorHAnsi" w:eastAsiaTheme="minorHAnsi" w:hAnsiTheme="minorHAnsi" w:cstheme="minorBidi"/>
          <w:snapToGrid/>
          <w:sz w:val="24"/>
          <w:szCs w:val="22"/>
        </w:rPr>
        <w:t>.</w:t>
      </w:r>
    </w:p>
    <w:p w:rsidR="00E97008" w:rsidRPr="00A17178" w:rsidRDefault="00E97008" w:rsidP="007E18E1">
      <w:pPr>
        <w:widowControl w:val="0"/>
        <w:spacing w:after="120"/>
        <w:jc w:val="both"/>
        <w:rPr>
          <w:rFonts w:asciiTheme="minorHAnsi" w:hAnsiTheme="minorHAnsi" w:cs="Arial"/>
          <w:b/>
          <w:bCs/>
          <w:snapToGrid w:val="0"/>
          <w:lang w:val="en-GB"/>
        </w:rPr>
      </w:pPr>
      <w:r w:rsidRPr="00A17178">
        <w:rPr>
          <w:rFonts w:asciiTheme="minorHAnsi" w:hAnsiTheme="minorHAnsi" w:cs="Arial"/>
          <w:b/>
          <w:bCs/>
          <w:snapToGrid w:val="0"/>
          <w:lang w:val="en-GB"/>
        </w:rPr>
        <w:t>Outcome:</w:t>
      </w:r>
    </w:p>
    <w:p w:rsidR="00E97008" w:rsidRPr="00A17178" w:rsidRDefault="00E97008" w:rsidP="00E97008">
      <w:pPr>
        <w:jc w:val="both"/>
        <w:rPr>
          <w:rFonts w:asciiTheme="minorHAnsi" w:hAnsiTheme="minorHAnsi" w:cs="Arial"/>
          <w:bCs/>
          <w:snapToGrid w:val="0"/>
          <w:lang w:val="en-GB"/>
        </w:rPr>
      </w:pPr>
      <w:r w:rsidRPr="00A17178">
        <w:rPr>
          <w:rFonts w:asciiTheme="minorHAnsi" w:hAnsiTheme="minorHAnsi" w:cs="Arial"/>
          <w:bCs/>
          <w:snapToGrid w:val="0"/>
          <w:lang w:val="en-GB"/>
        </w:rPr>
        <w:t xml:space="preserve">Recommended </w:t>
      </w:r>
    </w:p>
    <w:p w:rsidR="00E97008" w:rsidRPr="005D06D4" w:rsidRDefault="00E97008" w:rsidP="001F74E6">
      <w:pPr>
        <w:pStyle w:val="Heading1"/>
        <w:rPr>
          <w:lang w:val="en-GB"/>
        </w:rPr>
      </w:pPr>
      <w:r w:rsidRPr="005D06D4">
        <w:rPr>
          <w:lang w:val="en-GB"/>
        </w:rPr>
        <w:t>Recommended listing</w:t>
      </w:r>
    </w:p>
    <w:p w:rsidR="00E97008" w:rsidRPr="005D06D4" w:rsidRDefault="005D06D4" w:rsidP="005D06D4">
      <w:pPr>
        <w:widowControl w:val="0"/>
        <w:numPr>
          <w:ilvl w:val="1"/>
          <w:numId w:val="5"/>
        </w:numPr>
        <w:spacing w:after="120"/>
        <w:jc w:val="both"/>
        <w:rPr>
          <w:rFonts w:asciiTheme="minorHAnsi" w:hAnsiTheme="minorHAnsi" w:cs="Arial"/>
          <w:bCs/>
          <w:snapToGrid w:val="0"/>
          <w:lang w:val="en-GB"/>
        </w:rPr>
      </w:pPr>
      <w:r w:rsidRPr="005D06D4">
        <w:rPr>
          <w:rFonts w:asciiTheme="minorHAnsi" w:hAnsiTheme="minorHAnsi" w:cs="Arial"/>
          <w:bCs/>
          <w:snapToGrid w:val="0"/>
          <w:lang w:val="en-GB"/>
        </w:rPr>
        <w:t xml:space="preserve">Add new item: </w:t>
      </w:r>
    </w:p>
    <w:p w:rsidR="00A26815" w:rsidRDefault="00A26815">
      <w:r>
        <w:br w:type="page"/>
      </w:r>
    </w:p>
    <w:tbl>
      <w:tblPr>
        <w:tblW w:w="4942" w:type="pct"/>
        <w:tblInd w:w="104" w:type="dxa"/>
        <w:tblLook w:val="0000" w:firstRow="0" w:lastRow="0" w:firstColumn="0" w:lastColumn="0" w:noHBand="0" w:noVBand="0"/>
      </w:tblPr>
      <w:tblGrid>
        <w:gridCol w:w="2483"/>
        <w:gridCol w:w="327"/>
        <w:gridCol w:w="1344"/>
        <w:gridCol w:w="1245"/>
        <w:gridCol w:w="1525"/>
        <w:gridCol w:w="1997"/>
      </w:tblGrid>
      <w:tr w:rsidR="00E821C2" w:rsidRPr="00E0178F" w:rsidTr="00A26815">
        <w:trPr>
          <w:trHeight w:val="471"/>
        </w:trPr>
        <w:tc>
          <w:tcPr>
            <w:tcW w:w="1575" w:type="pct"/>
            <w:gridSpan w:val="2"/>
            <w:tcBorders>
              <w:bottom w:val="single" w:sz="4" w:space="0" w:color="auto"/>
            </w:tcBorders>
          </w:tcPr>
          <w:p w:rsidR="00E821C2" w:rsidRPr="00C31241" w:rsidRDefault="00E821C2" w:rsidP="00E821C2">
            <w:pPr>
              <w:keepLines/>
              <w:widowControl w:val="0"/>
              <w:ind w:left="-108"/>
              <w:rPr>
                <w:rFonts w:ascii="Arial Narrow" w:hAnsi="Arial Narrow" w:cs="Arial"/>
                <w:b/>
                <w:snapToGrid w:val="0"/>
                <w:sz w:val="20"/>
                <w:szCs w:val="20"/>
                <w:lang w:eastAsia="en-US"/>
              </w:rPr>
            </w:pPr>
            <w:r w:rsidRPr="00C31241">
              <w:rPr>
                <w:rFonts w:ascii="Arial Narrow" w:hAnsi="Arial Narrow" w:cs="Arial"/>
                <w:b/>
                <w:snapToGrid w:val="0"/>
                <w:sz w:val="20"/>
                <w:szCs w:val="20"/>
                <w:lang w:eastAsia="en-US"/>
              </w:rPr>
              <w:lastRenderedPageBreak/>
              <w:t>Name, Restriction,</w:t>
            </w:r>
          </w:p>
          <w:p w:rsidR="00E821C2" w:rsidRPr="00C31241" w:rsidRDefault="00E821C2" w:rsidP="00E821C2">
            <w:pPr>
              <w:keepLines/>
              <w:widowControl w:val="0"/>
              <w:ind w:left="-108"/>
              <w:rPr>
                <w:rFonts w:ascii="Arial Narrow" w:hAnsi="Arial Narrow" w:cs="Arial"/>
                <w:b/>
                <w:snapToGrid w:val="0"/>
                <w:sz w:val="20"/>
                <w:szCs w:val="20"/>
                <w:lang w:eastAsia="en-US"/>
              </w:rPr>
            </w:pPr>
            <w:r w:rsidRPr="00C31241">
              <w:rPr>
                <w:rFonts w:ascii="Arial Narrow" w:hAnsi="Arial Narrow" w:cs="Arial"/>
                <w:b/>
                <w:snapToGrid w:val="0"/>
                <w:sz w:val="20"/>
                <w:szCs w:val="20"/>
                <w:lang w:eastAsia="en-US"/>
              </w:rPr>
              <w:t>Manner of administration and form</w:t>
            </w:r>
          </w:p>
        </w:tc>
        <w:tc>
          <w:tcPr>
            <w:tcW w:w="753" w:type="pct"/>
            <w:tcBorders>
              <w:bottom w:val="single" w:sz="4" w:space="0" w:color="auto"/>
            </w:tcBorders>
          </w:tcPr>
          <w:p w:rsidR="00E821C2" w:rsidRPr="00C31241" w:rsidRDefault="00E821C2" w:rsidP="00E0178F">
            <w:pPr>
              <w:widowControl w:val="0"/>
              <w:ind w:left="-108"/>
              <w:jc w:val="center"/>
              <w:rPr>
                <w:rFonts w:ascii="Arial Narrow" w:hAnsi="Arial Narrow" w:cs="Arial"/>
                <w:b/>
                <w:snapToGrid w:val="0"/>
                <w:sz w:val="20"/>
                <w:szCs w:val="20"/>
                <w:lang w:eastAsia="en-US"/>
              </w:rPr>
            </w:pPr>
            <w:r w:rsidRPr="00C31241">
              <w:rPr>
                <w:rFonts w:ascii="Arial Narrow" w:hAnsi="Arial Narrow" w:cs="Arial"/>
                <w:b/>
                <w:snapToGrid w:val="0"/>
                <w:sz w:val="20"/>
                <w:szCs w:val="20"/>
                <w:lang w:eastAsia="en-US"/>
              </w:rPr>
              <w:t>Max.</w:t>
            </w:r>
          </w:p>
          <w:p w:rsidR="00E821C2" w:rsidRPr="00C31241" w:rsidRDefault="00E0178F" w:rsidP="00E0178F">
            <w:pPr>
              <w:widowControl w:val="0"/>
              <w:ind w:left="-108"/>
              <w:jc w:val="center"/>
              <w:rPr>
                <w:rFonts w:ascii="Arial Narrow" w:hAnsi="Arial Narrow" w:cs="Arial"/>
                <w:b/>
                <w:snapToGrid w:val="0"/>
                <w:sz w:val="20"/>
                <w:szCs w:val="20"/>
                <w:lang w:eastAsia="en-US"/>
              </w:rPr>
            </w:pPr>
            <w:r>
              <w:rPr>
                <w:rFonts w:ascii="Arial Narrow" w:hAnsi="Arial Narrow" w:cs="Arial"/>
                <w:b/>
                <w:snapToGrid w:val="0"/>
                <w:sz w:val="20"/>
                <w:szCs w:val="20"/>
                <w:lang w:eastAsia="en-US"/>
              </w:rPr>
              <w:t>Amt.</w:t>
            </w:r>
          </w:p>
        </w:tc>
        <w:tc>
          <w:tcPr>
            <w:tcW w:w="698" w:type="pct"/>
            <w:tcBorders>
              <w:bottom w:val="single" w:sz="4" w:space="0" w:color="auto"/>
            </w:tcBorders>
          </w:tcPr>
          <w:p w:rsidR="00E821C2" w:rsidRPr="00C31241" w:rsidRDefault="00E821C2" w:rsidP="00E0178F">
            <w:pPr>
              <w:widowControl w:val="0"/>
              <w:ind w:left="-108"/>
              <w:jc w:val="center"/>
              <w:rPr>
                <w:rFonts w:ascii="Arial Narrow" w:hAnsi="Arial Narrow" w:cs="Arial"/>
                <w:b/>
                <w:snapToGrid w:val="0"/>
                <w:sz w:val="20"/>
                <w:szCs w:val="20"/>
                <w:lang w:eastAsia="en-US"/>
              </w:rPr>
            </w:pPr>
            <w:r w:rsidRPr="00C31241">
              <w:rPr>
                <w:rFonts w:ascii="Arial Narrow" w:hAnsi="Arial Narrow" w:cs="Arial"/>
                <w:b/>
                <w:snapToGrid w:val="0"/>
                <w:sz w:val="20"/>
                <w:szCs w:val="20"/>
                <w:lang w:eastAsia="en-US"/>
              </w:rPr>
              <w:t>№.of</w:t>
            </w:r>
          </w:p>
          <w:p w:rsidR="00E821C2" w:rsidRPr="00C31241" w:rsidRDefault="00E821C2" w:rsidP="00E0178F">
            <w:pPr>
              <w:widowControl w:val="0"/>
              <w:ind w:left="-108"/>
              <w:jc w:val="center"/>
              <w:rPr>
                <w:rFonts w:ascii="Arial Narrow" w:hAnsi="Arial Narrow" w:cs="Arial"/>
                <w:b/>
                <w:snapToGrid w:val="0"/>
                <w:sz w:val="20"/>
                <w:szCs w:val="20"/>
                <w:lang w:eastAsia="en-US"/>
              </w:rPr>
            </w:pPr>
            <w:proofErr w:type="spellStart"/>
            <w:r w:rsidRPr="00C31241">
              <w:rPr>
                <w:rFonts w:ascii="Arial Narrow" w:hAnsi="Arial Narrow" w:cs="Arial"/>
                <w:b/>
                <w:snapToGrid w:val="0"/>
                <w:sz w:val="20"/>
                <w:szCs w:val="20"/>
                <w:lang w:eastAsia="en-US"/>
              </w:rPr>
              <w:t>Rpts</w:t>
            </w:r>
            <w:proofErr w:type="spellEnd"/>
          </w:p>
        </w:tc>
        <w:tc>
          <w:tcPr>
            <w:tcW w:w="1974" w:type="pct"/>
            <w:gridSpan w:val="2"/>
            <w:tcBorders>
              <w:bottom w:val="single" w:sz="4" w:space="0" w:color="auto"/>
            </w:tcBorders>
          </w:tcPr>
          <w:p w:rsidR="00E821C2" w:rsidRPr="00C31241" w:rsidRDefault="00E821C2" w:rsidP="00E0178F">
            <w:pPr>
              <w:widowControl w:val="0"/>
              <w:jc w:val="center"/>
              <w:rPr>
                <w:rFonts w:ascii="Arial Narrow" w:hAnsi="Arial Narrow" w:cs="Arial"/>
                <w:b/>
                <w:snapToGrid w:val="0"/>
                <w:sz w:val="20"/>
                <w:szCs w:val="20"/>
                <w:lang w:val="fr-FR" w:eastAsia="en-US"/>
              </w:rPr>
            </w:pPr>
            <w:r w:rsidRPr="00C31241">
              <w:rPr>
                <w:rFonts w:ascii="Arial Narrow" w:hAnsi="Arial Narrow" w:cs="Arial"/>
                <w:b/>
                <w:snapToGrid w:val="0"/>
                <w:sz w:val="20"/>
                <w:szCs w:val="20"/>
                <w:lang w:eastAsia="en-US"/>
              </w:rPr>
              <w:t>Proprietary Name and Manufacturer</w:t>
            </w:r>
          </w:p>
        </w:tc>
      </w:tr>
      <w:tr w:rsidR="00E821C2" w:rsidRPr="00E0178F" w:rsidTr="00A26815">
        <w:trPr>
          <w:trHeight w:val="577"/>
        </w:trPr>
        <w:tc>
          <w:tcPr>
            <w:tcW w:w="1575" w:type="pct"/>
            <w:gridSpan w:val="2"/>
          </w:tcPr>
          <w:p w:rsidR="00E821C2" w:rsidRPr="00C31241" w:rsidRDefault="00E821C2" w:rsidP="005D06D4">
            <w:pPr>
              <w:keepLines/>
              <w:widowControl w:val="0"/>
              <w:ind w:left="-108"/>
              <w:jc w:val="both"/>
              <w:rPr>
                <w:rFonts w:ascii="Arial Narrow" w:hAnsi="Arial Narrow" w:cs="Arial"/>
                <w:snapToGrid w:val="0"/>
                <w:sz w:val="20"/>
                <w:szCs w:val="20"/>
                <w:lang w:eastAsia="en-US"/>
              </w:rPr>
            </w:pPr>
            <w:proofErr w:type="spellStart"/>
            <w:r w:rsidRPr="00C31241">
              <w:rPr>
                <w:rFonts w:ascii="Arial Narrow" w:hAnsi="Arial Narrow" w:cs="Calibri"/>
                <w:smallCaps/>
                <w:snapToGrid w:val="0"/>
                <w:sz w:val="20"/>
                <w:szCs w:val="20"/>
                <w:lang w:eastAsia="en-US"/>
              </w:rPr>
              <w:t>Brentuximab</w:t>
            </w:r>
            <w:proofErr w:type="spellEnd"/>
            <w:r w:rsidRPr="00C31241">
              <w:rPr>
                <w:rFonts w:ascii="Arial Narrow" w:hAnsi="Arial Narrow" w:cs="Calibri"/>
                <w:smallCaps/>
                <w:snapToGrid w:val="0"/>
                <w:sz w:val="20"/>
                <w:szCs w:val="20"/>
                <w:lang w:eastAsia="en-US"/>
              </w:rPr>
              <w:t xml:space="preserve"> </w:t>
            </w:r>
            <w:proofErr w:type="spellStart"/>
            <w:r w:rsidRPr="00C31241">
              <w:rPr>
                <w:rFonts w:ascii="Arial Narrow" w:hAnsi="Arial Narrow" w:cs="Calibri"/>
                <w:smallCaps/>
                <w:snapToGrid w:val="0"/>
                <w:sz w:val="20"/>
                <w:szCs w:val="20"/>
                <w:lang w:eastAsia="en-US"/>
              </w:rPr>
              <w:t>vedotin</w:t>
            </w:r>
            <w:proofErr w:type="spellEnd"/>
          </w:p>
          <w:p w:rsidR="00E821C2" w:rsidRPr="00C31241" w:rsidRDefault="00E821C2" w:rsidP="005D06D4">
            <w:pPr>
              <w:keepLines/>
              <w:widowControl w:val="0"/>
              <w:ind w:left="-108"/>
              <w:jc w:val="both"/>
              <w:rPr>
                <w:rFonts w:ascii="Arial Narrow" w:hAnsi="Arial Narrow" w:cs="Arial"/>
                <w:snapToGrid w:val="0"/>
                <w:sz w:val="20"/>
                <w:szCs w:val="20"/>
                <w:lang w:eastAsia="en-US"/>
              </w:rPr>
            </w:pPr>
            <w:r w:rsidRPr="00C31241">
              <w:rPr>
                <w:rFonts w:ascii="Arial Narrow" w:hAnsi="Arial Narrow" w:cs="Calibri"/>
                <w:snapToGrid w:val="0"/>
                <w:sz w:val="20"/>
                <w:szCs w:val="20"/>
                <w:lang w:eastAsia="en-US"/>
              </w:rPr>
              <w:t>50 mg injection, 1 vial</w:t>
            </w:r>
          </w:p>
        </w:tc>
        <w:tc>
          <w:tcPr>
            <w:tcW w:w="753" w:type="pct"/>
          </w:tcPr>
          <w:p w:rsidR="00E821C2" w:rsidRPr="00C31241" w:rsidRDefault="00741A64" w:rsidP="00E0178F">
            <w:pPr>
              <w:keepLines/>
              <w:widowControl w:val="0"/>
              <w:ind w:left="-108"/>
              <w:jc w:val="center"/>
              <w:rPr>
                <w:rFonts w:ascii="Arial Narrow" w:hAnsi="Arial Narrow" w:cs="Arial"/>
                <w:snapToGrid w:val="0"/>
                <w:sz w:val="20"/>
                <w:szCs w:val="20"/>
                <w:lang w:eastAsia="en-US"/>
              </w:rPr>
            </w:pPr>
            <w:r w:rsidRPr="00C31241">
              <w:rPr>
                <w:rFonts w:ascii="Arial Narrow" w:hAnsi="Arial Narrow" w:cs="Arial"/>
                <w:snapToGrid w:val="0"/>
                <w:sz w:val="20"/>
                <w:szCs w:val="20"/>
                <w:lang w:eastAsia="en-US"/>
              </w:rPr>
              <w:t>180</w:t>
            </w:r>
            <w:r w:rsidR="00E821C2" w:rsidRPr="00C31241">
              <w:rPr>
                <w:rFonts w:ascii="Arial Narrow" w:hAnsi="Arial Narrow" w:cs="Arial"/>
                <w:snapToGrid w:val="0"/>
                <w:sz w:val="20"/>
                <w:szCs w:val="20"/>
                <w:lang w:eastAsia="en-US"/>
              </w:rPr>
              <w:t xml:space="preserve"> mg</w:t>
            </w:r>
          </w:p>
        </w:tc>
        <w:tc>
          <w:tcPr>
            <w:tcW w:w="698" w:type="pct"/>
          </w:tcPr>
          <w:p w:rsidR="00E821C2" w:rsidRPr="00C31241" w:rsidRDefault="00E821C2" w:rsidP="00E0178F">
            <w:pPr>
              <w:keepLines/>
              <w:widowControl w:val="0"/>
              <w:ind w:left="-108"/>
              <w:jc w:val="center"/>
              <w:rPr>
                <w:rFonts w:ascii="Arial Narrow" w:hAnsi="Arial Narrow" w:cs="Arial"/>
                <w:snapToGrid w:val="0"/>
                <w:sz w:val="20"/>
                <w:szCs w:val="20"/>
                <w:lang w:eastAsia="en-US"/>
              </w:rPr>
            </w:pPr>
            <w:r w:rsidRPr="00C31241">
              <w:rPr>
                <w:rFonts w:ascii="Arial Narrow" w:hAnsi="Arial Narrow" w:cs="Arial"/>
                <w:snapToGrid w:val="0"/>
                <w:sz w:val="20"/>
                <w:szCs w:val="20"/>
                <w:lang w:eastAsia="en-US"/>
              </w:rPr>
              <w:t>3</w:t>
            </w:r>
          </w:p>
        </w:tc>
        <w:tc>
          <w:tcPr>
            <w:tcW w:w="855" w:type="pct"/>
          </w:tcPr>
          <w:p w:rsidR="00E821C2" w:rsidRPr="00C31241" w:rsidRDefault="00E821C2" w:rsidP="00E0178F">
            <w:pPr>
              <w:keepLines/>
              <w:widowControl w:val="0"/>
              <w:jc w:val="center"/>
              <w:rPr>
                <w:rFonts w:ascii="Arial Narrow" w:hAnsi="Arial Narrow" w:cs="Arial"/>
                <w:snapToGrid w:val="0"/>
                <w:sz w:val="20"/>
                <w:szCs w:val="20"/>
                <w:lang w:eastAsia="en-US"/>
              </w:rPr>
            </w:pPr>
            <w:proofErr w:type="spellStart"/>
            <w:r w:rsidRPr="00C31241">
              <w:rPr>
                <w:rFonts w:ascii="Arial Narrow" w:hAnsi="Arial Narrow" w:cs="Arial"/>
                <w:snapToGrid w:val="0"/>
                <w:sz w:val="20"/>
                <w:szCs w:val="20"/>
                <w:lang w:eastAsia="en-US"/>
              </w:rPr>
              <w:t>Adcetris</w:t>
            </w:r>
            <w:proofErr w:type="spellEnd"/>
          </w:p>
        </w:tc>
        <w:tc>
          <w:tcPr>
            <w:tcW w:w="1119" w:type="pct"/>
          </w:tcPr>
          <w:p w:rsidR="00E821C2" w:rsidRPr="00C31241" w:rsidRDefault="00E821C2" w:rsidP="00E0178F">
            <w:pPr>
              <w:keepLines/>
              <w:widowControl w:val="0"/>
              <w:jc w:val="center"/>
              <w:rPr>
                <w:rFonts w:ascii="Arial Narrow" w:hAnsi="Arial Narrow" w:cs="Arial"/>
                <w:snapToGrid w:val="0"/>
                <w:sz w:val="20"/>
                <w:szCs w:val="20"/>
                <w:lang w:eastAsia="en-US"/>
              </w:rPr>
            </w:pPr>
            <w:r w:rsidRPr="00C31241">
              <w:rPr>
                <w:rFonts w:ascii="Arial Narrow" w:hAnsi="Arial Narrow" w:cs="Arial"/>
                <w:snapToGrid w:val="0"/>
                <w:sz w:val="20"/>
                <w:szCs w:val="20"/>
                <w:lang w:eastAsia="en-US"/>
              </w:rPr>
              <w:t>Takeda</w:t>
            </w:r>
          </w:p>
        </w:tc>
      </w:tr>
      <w:tr w:rsidR="00E0178F" w:rsidRPr="00E0178F" w:rsidTr="00A26815">
        <w:trPr>
          <w:cantSplit/>
          <w:trHeight w:val="360"/>
        </w:trPr>
        <w:tc>
          <w:tcPr>
            <w:tcW w:w="1392" w:type="pct"/>
            <w:tcBorders>
              <w:top w:val="single" w:sz="4" w:space="0" w:color="auto"/>
              <w:left w:val="single" w:sz="4" w:space="0" w:color="auto"/>
              <w:bottom w:val="single" w:sz="4" w:space="0" w:color="auto"/>
              <w:right w:val="single" w:sz="4" w:space="0" w:color="auto"/>
            </w:tcBorders>
          </w:tcPr>
          <w:p w:rsidR="00E0178F" w:rsidRPr="00C31241" w:rsidRDefault="00E0178F" w:rsidP="00593237">
            <w:pPr>
              <w:keepLines/>
              <w:widowControl w:val="0"/>
              <w:contextualSpacing/>
              <w:jc w:val="both"/>
              <w:rPr>
                <w:rFonts w:ascii="Arial Narrow" w:hAnsi="Arial Narrow" w:cs="Calibri"/>
                <w:b/>
                <w:snapToGrid w:val="0"/>
                <w:sz w:val="20"/>
                <w:szCs w:val="20"/>
                <w:lang w:eastAsia="en-US"/>
              </w:rPr>
            </w:pPr>
            <w:r w:rsidRPr="00C31241">
              <w:rPr>
                <w:rFonts w:ascii="Arial Narrow" w:hAnsi="Arial Narrow" w:cs="Calibri"/>
                <w:b/>
                <w:snapToGrid w:val="0"/>
                <w:sz w:val="20"/>
                <w:szCs w:val="20"/>
                <w:lang w:eastAsia="en-US"/>
              </w:rPr>
              <w:t>Category / program</w:t>
            </w:r>
          </w:p>
        </w:tc>
        <w:tc>
          <w:tcPr>
            <w:tcW w:w="3608" w:type="pct"/>
            <w:gridSpan w:val="5"/>
            <w:tcBorders>
              <w:top w:val="single" w:sz="4" w:space="0" w:color="auto"/>
              <w:left w:val="single" w:sz="4" w:space="0" w:color="auto"/>
              <w:bottom w:val="single" w:sz="4" w:space="0" w:color="auto"/>
              <w:right w:val="single" w:sz="4" w:space="0" w:color="auto"/>
            </w:tcBorders>
          </w:tcPr>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Section 100 – Efficient Funding of Chemotherapy</w:t>
            </w:r>
          </w:p>
        </w:tc>
      </w:tr>
      <w:tr w:rsidR="00E0178F" w:rsidRPr="00E0178F" w:rsidTr="00A26815">
        <w:trPr>
          <w:cantSplit/>
          <w:trHeight w:val="360"/>
        </w:trPr>
        <w:tc>
          <w:tcPr>
            <w:tcW w:w="1392" w:type="pct"/>
            <w:tcBorders>
              <w:top w:val="single" w:sz="4" w:space="0" w:color="auto"/>
              <w:left w:val="single" w:sz="4" w:space="0" w:color="auto"/>
              <w:bottom w:val="single" w:sz="4" w:space="0" w:color="auto"/>
              <w:right w:val="single" w:sz="4" w:space="0" w:color="auto"/>
            </w:tcBorders>
          </w:tcPr>
          <w:p w:rsidR="00E0178F" w:rsidRPr="00C31241" w:rsidRDefault="00E0178F" w:rsidP="00593237">
            <w:pPr>
              <w:keepLines/>
              <w:widowControl w:val="0"/>
              <w:contextualSpacing/>
              <w:jc w:val="both"/>
              <w:rPr>
                <w:rFonts w:ascii="Arial Narrow" w:hAnsi="Arial Narrow" w:cs="Calibri"/>
                <w:b/>
                <w:snapToGrid w:val="0"/>
                <w:sz w:val="20"/>
                <w:szCs w:val="20"/>
                <w:lang w:eastAsia="en-US"/>
              </w:rPr>
            </w:pPr>
            <w:r w:rsidRPr="00C31241">
              <w:rPr>
                <w:rFonts w:ascii="Arial Narrow" w:hAnsi="Arial Narrow" w:cs="Calibri"/>
                <w:b/>
                <w:snapToGrid w:val="0"/>
                <w:sz w:val="20"/>
                <w:szCs w:val="20"/>
                <w:lang w:eastAsia="en-US"/>
              </w:rPr>
              <w:t>Condition:</w:t>
            </w:r>
          </w:p>
        </w:tc>
        <w:tc>
          <w:tcPr>
            <w:tcW w:w="3608" w:type="pct"/>
            <w:gridSpan w:val="5"/>
            <w:tcBorders>
              <w:top w:val="single" w:sz="4" w:space="0" w:color="auto"/>
              <w:left w:val="single" w:sz="4" w:space="0" w:color="auto"/>
              <w:bottom w:val="single" w:sz="4" w:space="0" w:color="auto"/>
              <w:right w:val="single" w:sz="4" w:space="0" w:color="auto"/>
            </w:tcBorders>
          </w:tcPr>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CD30 positive cutaneous T-cell lymphoma</w:t>
            </w:r>
          </w:p>
        </w:tc>
      </w:tr>
      <w:tr w:rsidR="00E0178F" w:rsidRPr="00E0178F" w:rsidTr="00A26815">
        <w:trPr>
          <w:cantSplit/>
          <w:trHeight w:val="360"/>
        </w:trPr>
        <w:tc>
          <w:tcPr>
            <w:tcW w:w="1392" w:type="pct"/>
            <w:tcBorders>
              <w:top w:val="single" w:sz="4" w:space="0" w:color="auto"/>
              <w:left w:val="single" w:sz="4" w:space="0" w:color="auto"/>
              <w:bottom w:val="single" w:sz="4" w:space="0" w:color="auto"/>
              <w:right w:val="single" w:sz="4" w:space="0" w:color="auto"/>
            </w:tcBorders>
          </w:tcPr>
          <w:p w:rsidR="00E0178F" w:rsidRPr="00C31241" w:rsidRDefault="00E0178F" w:rsidP="00593237">
            <w:pPr>
              <w:keepLines/>
              <w:widowControl w:val="0"/>
              <w:contextualSpacing/>
              <w:jc w:val="both"/>
              <w:rPr>
                <w:rFonts w:ascii="Arial Narrow" w:hAnsi="Arial Narrow" w:cs="Calibri"/>
                <w:b/>
                <w:snapToGrid w:val="0"/>
                <w:sz w:val="20"/>
                <w:szCs w:val="20"/>
                <w:lang w:eastAsia="en-US"/>
              </w:rPr>
            </w:pPr>
            <w:r w:rsidRPr="00C31241">
              <w:rPr>
                <w:rFonts w:ascii="Arial Narrow" w:hAnsi="Arial Narrow" w:cs="Calibri"/>
                <w:b/>
                <w:snapToGrid w:val="0"/>
                <w:sz w:val="20"/>
                <w:szCs w:val="20"/>
                <w:lang w:eastAsia="en-US"/>
              </w:rPr>
              <w:t>PBS Indication:</w:t>
            </w:r>
          </w:p>
        </w:tc>
        <w:tc>
          <w:tcPr>
            <w:tcW w:w="3608" w:type="pct"/>
            <w:gridSpan w:val="5"/>
            <w:tcBorders>
              <w:top w:val="single" w:sz="4" w:space="0" w:color="auto"/>
              <w:left w:val="single" w:sz="4" w:space="0" w:color="auto"/>
              <w:bottom w:val="single" w:sz="4" w:space="0" w:color="auto"/>
              <w:right w:val="single" w:sz="4" w:space="0" w:color="auto"/>
            </w:tcBorders>
          </w:tcPr>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CD30 positive cutaneous T-cell lymphoma</w:t>
            </w:r>
          </w:p>
        </w:tc>
      </w:tr>
      <w:tr w:rsidR="00E0178F" w:rsidRPr="00E0178F" w:rsidTr="00A26815">
        <w:trPr>
          <w:cantSplit/>
          <w:trHeight w:val="360"/>
        </w:trPr>
        <w:tc>
          <w:tcPr>
            <w:tcW w:w="1392" w:type="pct"/>
            <w:tcBorders>
              <w:top w:val="single" w:sz="4" w:space="0" w:color="auto"/>
              <w:left w:val="single" w:sz="4" w:space="0" w:color="auto"/>
              <w:bottom w:val="single" w:sz="4" w:space="0" w:color="auto"/>
              <w:right w:val="single" w:sz="4" w:space="0" w:color="auto"/>
            </w:tcBorders>
          </w:tcPr>
          <w:p w:rsidR="00E0178F" w:rsidRPr="00C31241" w:rsidRDefault="00E0178F" w:rsidP="00593237">
            <w:pPr>
              <w:keepLines/>
              <w:widowControl w:val="0"/>
              <w:contextualSpacing/>
              <w:jc w:val="both"/>
              <w:rPr>
                <w:rFonts w:ascii="Arial Narrow" w:hAnsi="Arial Narrow" w:cs="Calibri"/>
                <w:b/>
                <w:snapToGrid w:val="0"/>
                <w:sz w:val="20"/>
                <w:szCs w:val="20"/>
                <w:lang w:eastAsia="en-US"/>
              </w:rPr>
            </w:pPr>
            <w:r w:rsidRPr="00C31241">
              <w:rPr>
                <w:rFonts w:ascii="Arial Narrow" w:hAnsi="Arial Narrow" w:cs="Calibri"/>
                <w:b/>
                <w:snapToGrid w:val="0"/>
                <w:sz w:val="20"/>
                <w:szCs w:val="20"/>
                <w:lang w:eastAsia="en-US"/>
              </w:rPr>
              <w:t>Treatment phase:</w:t>
            </w:r>
          </w:p>
        </w:tc>
        <w:tc>
          <w:tcPr>
            <w:tcW w:w="3608" w:type="pct"/>
            <w:gridSpan w:val="5"/>
            <w:tcBorders>
              <w:top w:val="single" w:sz="4" w:space="0" w:color="auto"/>
              <w:left w:val="single" w:sz="4" w:space="0" w:color="auto"/>
              <w:bottom w:val="single" w:sz="4" w:space="0" w:color="auto"/>
              <w:right w:val="single" w:sz="4" w:space="0" w:color="auto"/>
            </w:tcBorders>
          </w:tcPr>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Initial treatment</w:t>
            </w:r>
          </w:p>
        </w:tc>
      </w:tr>
      <w:tr w:rsidR="00E0178F" w:rsidRPr="00E0178F" w:rsidTr="00A26815">
        <w:trPr>
          <w:cantSplit/>
          <w:trHeight w:val="360"/>
        </w:trPr>
        <w:tc>
          <w:tcPr>
            <w:tcW w:w="1392" w:type="pct"/>
            <w:tcBorders>
              <w:top w:val="single" w:sz="4" w:space="0" w:color="auto"/>
              <w:left w:val="single" w:sz="4" w:space="0" w:color="auto"/>
              <w:bottom w:val="single" w:sz="4" w:space="0" w:color="auto"/>
              <w:right w:val="single" w:sz="4" w:space="0" w:color="auto"/>
            </w:tcBorders>
          </w:tcPr>
          <w:p w:rsidR="00E0178F" w:rsidRPr="00C31241" w:rsidRDefault="00E0178F" w:rsidP="00593237">
            <w:pPr>
              <w:keepLines/>
              <w:widowControl w:val="0"/>
              <w:contextualSpacing/>
              <w:jc w:val="both"/>
              <w:rPr>
                <w:rFonts w:ascii="Arial Narrow" w:hAnsi="Arial Narrow" w:cs="Calibri"/>
                <w:b/>
                <w:snapToGrid w:val="0"/>
                <w:sz w:val="20"/>
                <w:szCs w:val="20"/>
                <w:lang w:eastAsia="en-US"/>
              </w:rPr>
            </w:pPr>
            <w:r w:rsidRPr="00C31241">
              <w:rPr>
                <w:rFonts w:ascii="Arial Narrow" w:hAnsi="Arial Narrow" w:cs="Calibri"/>
                <w:b/>
                <w:snapToGrid w:val="0"/>
                <w:sz w:val="20"/>
                <w:szCs w:val="20"/>
                <w:lang w:eastAsia="en-US"/>
              </w:rPr>
              <w:t>Restriction:</w:t>
            </w:r>
          </w:p>
          <w:p w:rsidR="00E0178F" w:rsidRPr="00C31241" w:rsidRDefault="00E0178F" w:rsidP="00593237">
            <w:pPr>
              <w:keepLines/>
              <w:widowControl w:val="0"/>
              <w:contextualSpacing/>
              <w:jc w:val="both"/>
              <w:rPr>
                <w:rFonts w:ascii="Arial Narrow" w:hAnsi="Arial Narrow" w:cs="Calibri"/>
                <w:snapToGrid w:val="0"/>
                <w:sz w:val="20"/>
                <w:szCs w:val="20"/>
                <w:lang w:eastAsia="en-US"/>
              </w:rPr>
            </w:pPr>
          </w:p>
        </w:tc>
        <w:tc>
          <w:tcPr>
            <w:tcW w:w="3608" w:type="pct"/>
            <w:gridSpan w:val="5"/>
            <w:tcBorders>
              <w:top w:val="single" w:sz="4" w:space="0" w:color="auto"/>
              <w:left w:val="single" w:sz="4" w:space="0" w:color="auto"/>
              <w:bottom w:val="single" w:sz="4" w:space="0" w:color="auto"/>
              <w:right w:val="single" w:sz="4" w:space="0" w:color="auto"/>
            </w:tcBorders>
          </w:tcPr>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fldChar w:fldCharType="begin">
                <w:ffData>
                  <w:name w:val="Check1"/>
                  <w:enabled/>
                  <w:calcOnExit w:val="0"/>
                  <w:checkBox>
                    <w:sizeAuto/>
                    <w:default w:val="0"/>
                  </w:checkBox>
                </w:ffData>
              </w:fldChar>
            </w:r>
            <w:r w:rsidRPr="00C31241">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C31241">
              <w:rPr>
                <w:rFonts w:ascii="Arial Narrow" w:hAnsi="Arial Narrow" w:cs="Calibri"/>
                <w:snapToGrid w:val="0"/>
                <w:sz w:val="20"/>
                <w:szCs w:val="20"/>
                <w:lang w:eastAsia="en-US"/>
              </w:rPr>
              <w:fldChar w:fldCharType="end"/>
            </w:r>
            <w:r w:rsidRPr="00C31241">
              <w:rPr>
                <w:rFonts w:ascii="Arial Narrow" w:hAnsi="Arial Narrow" w:cs="Calibri"/>
                <w:snapToGrid w:val="0"/>
                <w:sz w:val="20"/>
                <w:szCs w:val="20"/>
                <w:lang w:eastAsia="en-US"/>
              </w:rPr>
              <w:t>Restricted benefit</w:t>
            </w:r>
          </w:p>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fldChar w:fldCharType="begin">
                <w:ffData>
                  <w:name w:val=""/>
                  <w:enabled/>
                  <w:calcOnExit w:val="0"/>
                  <w:checkBox>
                    <w:sizeAuto/>
                    <w:default w:val="1"/>
                  </w:checkBox>
                </w:ffData>
              </w:fldChar>
            </w:r>
            <w:r w:rsidRPr="00C31241">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C31241">
              <w:rPr>
                <w:rFonts w:ascii="Arial Narrow" w:hAnsi="Arial Narrow" w:cs="Calibri"/>
                <w:snapToGrid w:val="0"/>
                <w:sz w:val="20"/>
                <w:szCs w:val="20"/>
                <w:lang w:eastAsia="en-US"/>
              </w:rPr>
              <w:fldChar w:fldCharType="end"/>
            </w:r>
            <w:r w:rsidRPr="00C31241">
              <w:rPr>
                <w:rFonts w:ascii="Arial Narrow" w:hAnsi="Arial Narrow" w:cs="Calibri"/>
                <w:snapToGrid w:val="0"/>
                <w:sz w:val="20"/>
                <w:szCs w:val="20"/>
                <w:lang w:eastAsia="en-US"/>
              </w:rPr>
              <w:t>Authority Required - In Writing</w:t>
            </w:r>
          </w:p>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fldChar w:fldCharType="begin">
                <w:ffData>
                  <w:name w:val="Check3"/>
                  <w:enabled/>
                  <w:calcOnExit w:val="0"/>
                  <w:checkBox>
                    <w:sizeAuto/>
                    <w:default w:val="0"/>
                  </w:checkBox>
                </w:ffData>
              </w:fldChar>
            </w:r>
            <w:r w:rsidRPr="00C31241">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C31241">
              <w:rPr>
                <w:rFonts w:ascii="Arial Narrow" w:hAnsi="Arial Narrow" w:cs="Calibri"/>
                <w:snapToGrid w:val="0"/>
                <w:sz w:val="20"/>
                <w:szCs w:val="20"/>
                <w:lang w:eastAsia="en-US"/>
              </w:rPr>
              <w:fldChar w:fldCharType="end"/>
            </w:r>
            <w:r w:rsidRPr="00C31241">
              <w:rPr>
                <w:rFonts w:ascii="Arial Narrow" w:hAnsi="Arial Narrow" w:cs="Calibri"/>
                <w:snapToGrid w:val="0"/>
                <w:sz w:val="20"/>
                <w:szCs w:val="20"/>
                <w:lang w:eastAsia="en-US"/>
              </w:rPr>
              <w:t>Authority Required - Telephone</w:t>
            </w:r>
          </w:p>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fldChar w:fldCharType="begin">
                <w:ffData>
                  <w:name w:val=""/>
                  <w:enabled/>
                  <w:calcOnExit w:val="0"/>
                  <w:checkBox>
                    <w:sizeAuto/>
                    <w:default w:val="0"/>
                  </w:checkBox>
                </w:ffData>
              </w:fldChar>
            </w:r>
            <w:r w:rsidRPr="00C31241">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C31241">
              <w:rPr>
                <w:rFonts w:ascii="Arial Narrow" w:hAnsi="Arial Narrow" w:cs="Calibri"/>
                <w:snapToGrid w:val="0"/>
                <w:sz w:val="20"/>
                <w:szCs w:val="20"/>
                <w:lang w:eastAsia="en-US"/>
              </w:rPr>
              <w:fldChar w:fldCharType="end"/>
            </w:r>
            <w:r w:rsidRPr="00C31241">
              <w:rPr>
                <w:rFonts w:ascii="Arial Narrow" w:hAnsi="Arial Narrow" w:cs="Calibri"/>
                <w:snapToGrid w:val="0"/>
                <w:sz w:val="20"/>
                <w:szCs w:val="20"/>
                <w:lang w:eastAsia="en-US"/>
              </w:rPr>
              <w:t>Authority Required – Emergency</w:t>
            </w:r>
          </w:p>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fldChar w:fldCharType="begin">
                <w:ffData>
                  <w:name w:val="Check5"/>
                  <w:enabled/>
                  <w:calcOnExit w:val="0"/>
                  <w:checkBox>
                    <w:sizeAuto/>
                    <w:default w:val="0"/>
                  </w:checkBox>
                </w:ffData>
              </w:fldChar>
            </w:r>
            <w:r w:rsidRPr="00C31241">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C31241">
              <w:rPr>
                <w:rFonts w:ascii="Arial Narrow" w:hAnsi="Arial Narrow" w:cs="Calibri"/>
                <w:snapToGrid w:val="0"/>
                <w:sz w:val="20"/>
                <w:szCs w:val="20"/>
                <w:lang w:eastAsia="en-US"/>
              </w:rPr>
              <w:fldChar w:fldCharType="end"/>
            </w:r>
            <w:r w:rsidRPr="00C31241">
              <w:rPr>
                <w:rFonts w:ascii="Arial Narrow" w:hAnsi="Arial Narrow" w:cs="Calibri"/>
                <w:snapToGrid w:val="0"/>
                <w:sz w:val="20"/>
                <w:szCs w:val="20"/>
                <w:lang w:eastAsia="en-US"/>
              </w:rPr>
              <w:t>Authority Required - Electronic</w:t>
            </w:r>
          </w:p>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fldChar w:fldCharType="begin">
                <w:ffData>
                  <w:name w:val="Check5"/>
                  <w:enabled/>
                  <w:calcOnExit w:val="0"/>
                  <w:checkBox>
                    <w:sizeAuto/>
                    <w:default w:val="0"/>
                  </w:checkBox>
                </w:ffData>
              </w:fldChar>
            </w:r>
            <w:r w:rsidRPr="00C31241">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C31241">
              <w:rPr>
                <w:rFonts w:ascii="Arial Narrow" w:hAnsi="Arial Narrow" w:cs="Calibri"/>
                <w:snapToGrid w:val="0"/>
                <w:sz w:val="20"/>
                <w:szCs w:val="20"/>
                <w:lang w:eastAsia="en-US"/>
              </w:rPr>
              <w:fldChar w:fldCharType="end"/>
            </w:r>
            <w:r w:rsidRPr="00C31241">
              <w:rPr>
                <w:rFonts w:ascii="Arial Narrow" w:hAnsi="Arial Narrow" w:cs="Calibri"/>
                <w:snapToGrid w:val="0"/>
                <w:sz w:val="20"/>
                <w:szCs w:val="20"/>
                <w:lang w:eastAsia="en-US"/>
              </w:rPr>
              <w:t>Streamlined</w:t>
            </w:r>
          </w:p>
        </w:tc>
      </w:tr>
      <w:tr w:rsidR="00E0178F" w:rsidRPr="00E0178F" w:rsidTr="00A26815">
        <w:trPr>
          <w:cantSplit/>
          <w:trHeight w:val="360"/>
        </w:trPr>
        <w:tc>
          <w:tcPr>
            <w:tcW w:w="1392" w:type="pct"/>
            <w:tcBorders>
              <w:top w:val="single" w:sz="4" w:space="0" w:color="auto"/>
              <w:left w:val="single" w:sz="4" w:space="0" w:color="auto"/>
              <w:bottom w:val="single" w:sz="4" w:space="0" w:color="auto"/>
              <w:right w:val="single" w:sz="4" w:space="0" w:color="auto"/>
            </w:tcBorders>
          </w:tcPr>
          <w:p w:rsidR="00E0178F" w:rsidRPr="00C31241" w:rsidRDefault="00E0178F" w:rsidP="00593237">
            <w:pPr>
              <w:keepLines/>
              <w:widowControl w:val="0"/>
              <w:contextualSpacing/>
              <w:jc w:val="both"/>
              <w:rPr>
                <w:rFonts w:ascii="Arial Narrow" w:hAnsi="Arial Narrow" w:cs="Calibri"/>
                <w:b/>
                <w:snapToGrid w:val="0"/>
                <w:sz w:val="20"/>
                <w:szCs w:val="20"/>
                <w:lang w:eastAsia="en-US"/>
              </w:rPr>
            </w:pPr>
            <w:r w:rsidRPr="00C31241">
              <w:rPr>
                <w:rFonts w:ascii="Arial Narrow" w:hAnsi="Arial Narrow" w:cs="Calibri"/>
                <w:b/>
                <w:snapToGrid w:val="0"/>
                <w:sz w:val="20"/>
                <w:szCs w:val="20"/>
                <w:lang w:eastAsia="en-US"/>
              </w:rPr>
              <w:t>Clinical criteria:</w:t>
            </w:r>
          </w:p>
          <w:p w:rsidR="00E0178F" w:rsidRPr="00C31241" w:rsidRDefault="00E0178F" w:rsidP="00593237">
            <w:pPr>
              <w:keepLines/>
              <w:widowControl w:val="0"/>
              <w:contextualSpacing/>
              <w:jc w:val="both"/>
              <w:rPr>
                <w:rFonts w:ascii="Arial Narrow" w:hAnsi="Arial Narrow" w:cs="Calibri"/>
                <w:snapToGrid w:val="0"/>
                <w:sz w:val="20"/>
                <w:szCs w:val="20"/>
                <w:lang w:eastAsia="en-US"/>
              </w:rPr>
            </w:pPr>
          </w:p>
        </w:tc>
        <w:tc>
          <w:tcPr>
            <w:tcW w:w="3608" w:type="pct"/>
            <w:gridSpan w:val="5"/>
            <w:tcBorders>
              <w:top w:val="single" w:sz="4" w:space="0" w:color="auto"/>
              <w:left w:val="single" w:sz="4" w:space="0" w:color="auto"/>
              <w:bottom w:val="single" w:sz="4" w:space="0" w:color="auto"/>
              <w:right w:val="single" w:sz="4" w:space="0" w:color="auto"/>
            </w:tcBorders>
          </w:tcPr>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Patient must have pathologically confirmed CD30 positive cutaneous T cell lymphoma,</w:t>
            </w:r>
          </w:p>
          <w:p w:rsidR="00E0178F" w:rsidRPr="00C31241" w:rsidRDefault="00E0178F" w:rsidP="00593237">
            <w:pPr>
              <w:keepLines/>
              <w:widowControl w:val="0"/>
              <w:contextualSpacing/>
              <w:jc w:val="both"/>
              <w:rPr>
                <w:rFonts w:ascii="Arial Narrow" w:hAnsi="Arial Narrow" w:cs="Calibri"/>
                <w:snapToGrid w:val="0"/>
                <w:sz w:val="20"/>
                <w:szCs w:val="20"/>
              </w:rPr>
            </w:pPr>
            <w:r w:rsidRPr="00C31241">
              <w:rPr>
                <w:rFonts w:ascii="Arial Narrow" w:hAnsi="Arial Narrow" w:cs="Calibri"/>
                <w:snapToGrid w:val="0"/>
                <w:sz w:val="20"/>
                <w:szCs w:val="20"/>
              </w:rPr>
              <w:t>AND</w:t>
            </w:r>
          </w:p>
          <w:p w:rsidR="00E0178F" w:rsidRPr="00C31241" w:rsidRDefault="00E0178F" w:rsidP="00593237">
            <w:pPr>
              <w:keepLines/>
              <w:widowControl w:val="0"/>
              <w:contextualSpacing/>
              <w:jc w:val="both"/>
              <w:rPr>
                <w:rFonts w:ascii="Arial Narrow" w:hAnsi="Arial Narrow" w:cs="Calibri"/>
                <w:snapToGrid w:val="0"/>
                <w:sz w:val="20"/>
                <w:szCs w:val="20"/>
              </w:rPr>
            </w:pPr>
            <w:r w:rsidRPr="00C31241">
              <w:rPr>
                <w:rFonts w:ascii="Arial Narrow" w:hAnsi="Arial Narrow" w:cs="Calibri"/>
                <w:snapToGrid w:val="0"/>
                <w:sz w:val="20"/>
                <w:szCs w:val="20"/>
              </w:rPr>
              <w:t xml:space="preserve">Patient must have a diagnosis of mycosis </w:t>
            </w:r>
            <w:proofErr w:type="spellStart"/>
            <w:r w:rsidRPr="00C31241">
              <w:rPr>
                <w:rFonts w:ascii="Arial Narrow" w:hAnsi="Arial Narrow" w:cs="Calibri"/>
                <w:snapToGrid w:val="0"/>
                <w:sz w:val="20"/>
                <w:szCs w:val="20"/>
              </w:rPr>
              <w:t>fungoides</w:t>
            </w:r>
            <w:proofErr w:type="spellEnd"/>
            <w:r w:rsidRPr="00C31241">
              <w:rPr>
                <w:rFonts w:ascii="Arial Narrow" w:hAnsi="Arial Narrow" w:cs="Calibri"/>
                <w:snapToGrid w:val="0"/>
                <w:sz w:val="20"/>
                <w:szCs w:val="20"/>
              </w:rPr>
              <w:t>; OR</w:t>
            </w:r>
          </w:p>
          <w:p w:rsidR="00E0178F" w:rsidRPr="00C31241" w:rsidRDefault="00E0178F" w:rsidP="00593237">
            <w:pPr>
              <w:keepLines/>
              <w:widowControl w:val="0"/>
              <w:contextualSpacing/>
              <w:jc w:val="both"/>
              <w:rPr>
                <w:rFonts w:ascii="Arial Narrow" w:hAnsi="Arial Narrow" w:cs="Calibri"/>
                <w:snapToGrid w:val="0"/>
                <w:sz w:val="20"/>
                <w:szCs w:val="20"/>
              </w:rPr>
            </w:pPr>
            <w:r w:rsidRPr="00C31241">
              <w:rPr>
                <w:rFonts w:ascii="Arial Narrow" w:hAnsi="Arial Narrow" w:cs="Calibri"/>
                <w:snapToGrid w:val="0"/>
                <w:sz w:val="20"/>
                <w:szCs w:val="20"/>
              </w:rPr>
              <w:t xml:space="preserve">Patient must have a diagnosis of </w:t>
            </w:r>
            <w:proofErr w:type="spellStart"/>
            <w:r w:rsidRPr="00C31241">
              <w:rPr>
                <w:rFonts w:ascii="Arial Narrow" w:hAnsi="Arial Narrow" w:cs="Calibri"/>
                <w:snapToGrid w:val="0"/>
                <w:sz w:val="20"/>
                <w:szCs w:val="20"/>
              </w:rPr>
              <w:t>Sézary</w:t>
            </w:r>
            <w:proofErr w:type="spellEnd"/>
            <w:r w:rsidRPr="00C31241">
              <w:rPr>
                <w:rFonts w:ascii="Arial Narrow" w:hAnsi="Arial Narrow" w:cs="Calibri"/>
                <w:snapToGrid w:val="0"/>
                <w:sz w:val="20"/>
                <w:szCs w:val="20"/>
              </w:rPr>
              <w:t xml:space="preserve"> syndrome; OR</w:t>
            </w:r>
          </w:p>
          <w:p w:rsidR="00E0178F" w:rsidRPr="00C31241" w:rsidRDefault="00E0178F" w:rsidP="00593237">
            <w:pPr>
              <w:keepLines/>
              <w:widowControl w:val="0"/>
              <w:contextualSpacing/>
              <w:jc w:val="both"/>
              <w:rPr>
                <w:rFonts w:ascii="Arial Narrow" w:hAnsi="Arial Narrow" w:cs="Calibri"/>
                <w:snapToGrid w:val="0"/>
                <w:sz w:val="20"/>
                <w:szCs w:val="20"/>
              </w:rPr>
            </w:pPr>
            <w:r w:rsidRPr="00C31241">
              <w:rPr>
                <w:rFonts w:ascii="Arial Narrow" w:hAnsi="Arial Narrow" w:cs="Calibri"/>
                <w:snapToGrid w:val="0"/>
                <w:sz w:val="20"/>
                <w:szCs w:val="20"/>
              </w:rPr>
              <w:t>Patient must have a diagnosis of primary cutaneous anaplastic large cell lymphoma;</w:t>
            </w:r>
          </w:p>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AND</w:t>
            </w:r>
          </w:p>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Patient must have received prior systemic treatment for this condition,</w:t>
            </w:r>
          </w:p>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AND</w:t>
            </w:r>
          </w:p>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The condition must be relapsed or refractory,</w:t>
            </w:r>
          </w:p>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AND</w:t>
            </w:r>
          </w:p>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The treatment must not exceed 4 cycles</w:t>
            </w:r>
            <w:r w:rsidRPr="00C31241">
              <w:rPr>
                <w:rFonts w:ascii="Arial Narrow" w:hAnsi="Arial Narrow" w:cs="Calibri"/>
                <w:i/>
                <w:snapToGrid w:val="0"/>
                <w:sz w:val="20"/>
                <w:szCs w:val="20"/>
                <w:lang w:eastAsia="en-US"/>
              </w:rPr>
              <w:t xml:space="preserve"> </w:t>
            </w:r>
            <w:r w:rsidRPr="00C31241">
              <w:rPr>
                <w:rFonts w:ascii="Arial Narrow" w:hAnsi="Arial Narrow" w:cs="Calibri"/>
                <w:snapToGrid w:val="0"/>
                <w:sz w:val="20"/>
                <w:szCs w:val="20"/>
                <w:lang w:eastAsia="en-US"/>
              </w:rPr>
              <w:t>under this restriction,</w:t>
            </w:r>
          </w:p>
          <w:p w:rsidR="00E0178F" w:rsidRPr="00C31241" w:rsidRDefault="00E0178F" w:rsidP="00593237">
            <w:pPr>
              <w:keepLines/>
              <w:widowControl w:val="0"/>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AND</w:t>
            </w:r>
          </w:p>
          <w:p w:rsidR="00E0178F" w:rsidRPr="00C31241" w:rsidRDefault="00E0178F" w:rsidP="00593237">
            <w:pPr>
              <w:keepLines/>
              <w:widowControl w:val="0"/>
              <w:contextualSpacing/>
              <w:jc w:val="both"/>
              <w:rPr>
                <w:rFonts w:ascii="Arial Narrow" w:hAnsi="Arial Narrow" w:cs="Calibri"/>
                <w:i/>
                <w:snapToGrid w:val="0"/>
                <w:sz w:val="20"/>
                <w:szCs w:val="20"/>
                <w:lang w:eastAsia="en-US"/>
              </w:rPr>
            </w:pPr>
            <w:r w:rsidRPr="00C31241">
              <w:rPr>
                <w:rFonts w:ascii="Arial Narrow" w:hAnsi="Arial Narrow" w:cs="Calibri"/>
                <w:snapToGrid w:val="0"/>
                <w:sz w:val="20"/>
                <w:szCs w:val="20"/>
                <w:lang w:eastAsia="en-US"/>
              </w:rPr>
              <w:t>The treatment must be the sole PBS-subsidised systemic anti-cancer therapy for this condition.</w:t>
            </w:r>
          </w:p>
        </w:tc>
      </w:tr>
      <w:tr w:rsidR="00E0178F" w:rsidRPr="00E0178F" w:rsidTr="00A26815">
        <w:trPr>
          <w:cantSplit/>
          <w:trHeight w:val="360"/>
        </w:trPr>
        <w:tc>
          <w:tcPr>
            <w:tcW w:w="1392" w:type="pct"/>
            <w:tcBorders>
              <w:top w:val="single" w:sz="4" w:space="0" w:color="auto"/>
              <w:left w:val="single" w:sz="4" w:space="0" w:color="auto"/>
              <w:bottom w:val="single" w:sz="4" w:space="0" w:color="auto"/>
              <w:right w:val="single" w:sz="4" w:space="0" w:color="auto"/>
            </w:tcBorders>
          </w:tcPr>
          <w:p w:rsidR="00E0178F" w:rsidRPr="00C31241" w:rsidRDefault="00E0178F" w:rsidP="00593237">
            <w:pPr>
              <w:keepLines/>
              <w:widowControl w:val="0"/>
              <w:contextualSpacing/>
              <w:jc w:val="both"/>
              <w:rPr>
                <w:rFonts w:ascii="Arial Narrow" w:hAnsi="Arial Narrow" w:cs="Calibri"/>
                <w:b/>
                <w:snapToGrid w:val="0"/>
                <w:sz w:val="20"/>
                <w:szCs w:val="20"/>
                <w:lang w:eastAsia="en-US"/>
              </w:rPr>
            </w:pPr>
            <w:r w:rsidRPr="00C31241">
              <w:rPr>
                <w:rFonts w:ascii="Arial Narrow" w:hAnsi="Arial Narrow" w:cs="Calibri"/>
                <w:b/>
                <w:snapToGrid w:val="0"/>
                <w:sz w:val="20"/>
                <w:szCs w:val="20"/>
                <w:lang w:eastAsia="en-US"/>
              </w:rPr>
              <w:t>Prescriber Instructions</w:t>
            </w:r>
          </w:p>
          <w:p w:rsidR="00E0178F" w:rsidRPr="00C31241" w:rsidRDefault="00E0178F" w:rsidP="00593237">
            <w:pPr>
              <w:keepLines/>
              <w:widowControl w:val="0"/>
              <w:contextualSpacing/>
              <w:jc w:val="both"/>
              <w:rPr>
                <w:rFonts w:ascii="Arial Narrow" w:hAnsi="Arial Narrow" w:cs="Calibri"/>
                <w:snapToGrid w:val="0"/>
                <w:sz w:val="20"/>
                <w:szCs w:val="20"/>
                <w:lang w:eastAsia="en-US"/>
              </w:rPr>
            </w:pPr>
          </w:p>
        </w:tc>
        <w:tc>
          <w:tcPr>
            <w:tcW w:w="3608" w:type="pct"/>
            <w:gridSpan w:val="5"/>
            <w:tcBorders>
              <w:top w:val="single" w:sz="4" w:space="0" w:color="auto"/>
              <w:left w:val="single" w:sz="4" w:space="0" w:color="auto"/>
              <w:bottom w:val="single" w:sz="4" w:space="0" w:color="auto"/>
              <w:right w:val="single" w:sz="4" w:space="0" w:color="auto"/>
            </w:tcBorders>
          </w:tcPr>
          <w:p w:rsidR="00E0178F" w:rsidRPr="00C31241" w:rsidRDefault="00E0178F" w:rsidP="00593237">
            <w:pPr>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The authority application must be made in writing</w:t>
            </w:r>
            <w:r w:rsidRPr="00C31241">
              <w:rPr>
                <w:rFonts w:ascii="Arial Narrow" w:hAnsi="Arial Narrow" w:cs="Calibri"/>
                <w:i/>
                <w:snapToGrid w:val="0"/>
                <w:sz w:val="20"/>
                <w:szCs w:val="20"/>
                <w:lang w:eastAsia="en-US"/>
              </w:rPr>
              <w:t xml:space="preserve"> </w:t>
            </w:r>
            <w:r w:rsidRPr="00C31241">
              <w:rPr>
                <w:rFonts w:ascii="Arial Narrow" w:hAnsi="Arial Narrow" w:cs="Calibri"/>
                <w:snapToGrid w:val="0"/>
                <w:sz w:val="20"/>
                <w:szCs w:val="20"/>
                <w:lang w:eastAsia="en-US"/>
              </w:rPr>
              <w:t>and must include:</w:t>
            </w:r>
          </w:p>
          <w:p w:rsidR="00E0178F" w:rsidRPr="00C31241" w:rsidRDefault="00E0178F" w:rsidP="00593237">
            <w:pPr>
              <w:numPr>
                <w:ilvl w:val="0"/>
                <w:numId w:val="34"/>
              </w:numPr>
              <w:tabs>
                <w:tab w:val="left" w:pos="4381"/>
              </w:tabs>
              <w:spacing w:before="120" w:after="120" w:line="276" w:lineRule="auto"/>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a completed authority prescription form; and</w:t>
            </w:r>
          </w:p>
          <w:p w:rsidR="00E0178F" w:rsidRPr="00C31241" w:rsidRDefault="00E0178F" w:rsidP="00593237">
            <w:pPr>
              <w:numPr>
                <w:ilvl w:val="0"/>
                <w:numId w:val="34"/>
              </w:numPr>
              <w:spacing w:before="120" w:after="120" w:line="276" w:lineRule="auto"/>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 xml:space="preserve">a completed Cutaneous T-cell lymphoma (CTCL) </w:t>
            </w:r>
            <w:proofErr w:type="spellStart"/>
            <w:r w:rsidRPr="00C31241">
              <w:rPr>
                <w:rFonts w:ascii="Arial Narrow" w:hAnsi="Arial Narrow" w:cs="Calibri"/>
                <w:snapToGrid w:val="0"/>
                <w:sz w:val="20"/>
                <w:szCs w:val="20"/>
                <w:lang w:eastAsia="en-US"/>
              </w:rPr>
              <w:t>Brentuximab</w:t>
            </w:r>
            <w:proofErr w:type="spellEnd"/>
            <w:r w:rsidRPr="00C31241">
              <w:rPr>
                <w:rFonts w:ascii="Arial Narrow" w:hAnsi="Arial Narrow" w:cs="Calibri"/>
                <w:snapToGrid w:val="0"/>
                <w:sz w:val="20"/>
                <w:szCs w:val="20"/>
                <w:lang w:eastAsia="en-US"/>
              </w:rPr>
              <w:t xml:space="preserve"> </w:t>
            </w:r>
            <w:proofErr w:type="spellStart"/>
            <w:r w:rsidRPr="00C31241">
              <w:rPr>
                <w:rFonts w:ascii="Arial Narrow" w:hAnsi="Arial Narrow" w:cs="Calibri"/>
                <w:snapToGrid w:val="0"/>
                <w:sz w:val="20"/>
                <w:szCs w:val="20"/>
                <w:lang w:eastAsia="en-US"/>
              </w:rPr>
              <w:t>vedotin</w:t>
            </w:r>
            <w:proofErr w:type="spellEnd"/>
            <w:r w:rsidRPr="00C31241">
              <w:rPr>
                <w:rFonts w:ascii="Arial Narrow" w:hAnsi="Arial Narrow" w:cs="Calibri"/>
                <w:snapToGrid w:val="0"/>
                <w:sz w:val="20"/>
                <w:szCs w:val="20"/>
                <w:lang w:eastAsia="en-US"/>
              </w:rPr>
              <w:t xml:space="preserve"> PBS Authority Application Supporting Information Form which includes the following:</w:t>
            </w:r>
          </w:p>
          <w:p w:rsidR="00E0178F" w:rsidRPr="00C31241" w:rsidRDefault="00E0178F" w:rsidP="00593237">
            <w:pPr>
              <w:numPr>
                <w:ilvl w:val="0"/>
                <w:numId w:val="32"/>
              </w:numPr>
              <w:spacing w:before="120" w:after="120" w:line="276" w:lineRule="auto"/>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 xml:space="preserve">Evidence of a diagnosis of either mycosis </w:t>
            </w:r>
            <w:proofErr w:type="spellStart"/>
            <w:r w:rsidRPr="00C31241">
              <w:rPr>
                <w:rFonts w:ascii="Arial Narrow" w:hAnsi="Arial Narrow" w:cs="Calibri"/>
                <w:snapToGrid w:val="0"/>
                <w:sz w:val="20"/>
                <w:szCs w:val="20"/>
                <w:lang w:eastAsia="en-US"/>
              </w:rPr>
              <w:t>fungoides</w:t>
            </w:r>
            <w:proofErr w:type="spellEnd"/>
            <w:r w:rsidRPr="00C31241">
              <w:rPr>
                <w:rFonts w:ascii="Arial Narrow" w:hAnsi="Arial Narrow" w:cs="Calibri"/>
                <w:snapToGrid w:val="0"/>
                <w:sz w:val="20"/>
                <w:szCs w:val="20"/>
                <w:lang w:eastAsia="en-US"/>
              </w:rPr>
              <w:t xml:space="preserve">, </w:t>
            </w:r>
            <w:proofErr w:type="spellStart"/>
            <w:r w:rsidRPr="00C31241">
              <w:rPr>
                <w:rFonts w:ascii="Arial Narrow" w:hAnsi="Arial Narrow" w:cs="Calibri"/>
                <w:snapToGrid w:val="0"/>
                <w:sz w:val="20"/>
                <w:szCs w:val="20"/>
                <w:lang w:eastAsia="en-US"/>
              </w:rPr>
              <w:t>Sézary</w:t>
            </w:r>
            <w:proofErr w:type="spellEnd"/>
            <w:r w:rsidRPr="00C31241">
              <w:rPr>
                <w:rFonts w:ascii="Arial Narrow" w:hAnsi="Arial Narrow" w:cs="Calibri"/>
                <w:snapToGrid w:val="0"/>
                <w:sz w:val="20"/>
                <w:szCs w:val="20"/>
                <w:lang w:eastAsia="en-US"/>
              </w:rPr>
              <w:t xml:space="preserve"> syndrome or primary cutaneous anaplastic large cell lymphoma; and</w:t>
            </w:r>
          </w:p>
          <w:p w:rsidR="00E0178F" w:rsidRPr="00C31241" w:rsidRDefault="00E0178F" w:rsidP="00593237">
            <w:pPr>
              <w:numPr>
                <w:ilvl w:val="0"/>
                <w:numId w:val="32"/>
              </w:numPr>
              <w:spacing w:before="120" w:after="120" w:line="276" w:lineRule="auto"/>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 xml:space="preserve">Evidence of CD30 positivity of at least 3% of malignant cells, either from a histology report on the tumour sample or from a flow </w:t>
            </w:r>
            <w:proofErr w:type="spellStart"/>
            <w:r w:rsidRPr="00C31241">
              <w:rPr>
                <w:rFonts w:ascii="Arial Narrow" w:hAnsi="Arial Narrow" w:cs="Calibri"/>
                <w:snapToGrid w:val="0"/>
                <w:sz w:val="20"/>
                <w:szCs w:val="20"/>
                <w:lang w:eastAsia="en-US"/>
              </w:rPr>
              <w:t>cytometric</w:t>
            </w:r>
            <w:proofErr w:type="spellEnd"/>
            <w:r w:rsidRPr="00C31241">
              <w:rPr>
                <w:rFonts w:ascii="Arial Narrow" w:hAnsi="Arial Narrow" w:cs="Calibri"/>
                <w:snapToGrid w:val="0"/>
                <w:sz w:val="20"/>
                <w:szCs w:val="20"/>
                <w:lang w:eastAsia="en-US"/>
              </w:rPr>
              <w:t xml:space="preserve"> analysis of lymphoma cells</w:t>
            </w:r>
            <w:r w:rsidRPr="00C31241">
              <w:rPr>
                <w:rFonts w:ascii="Arial Narrow" w:hAnsi="Arial Narrow" w:cs="Calibri"/>
                <w:snapToGrid w:val="0"/>
                <w:color w:val="0070C0"/>
                <w:sz w:val="20"/>
                <w:szCs w:val="20"/>
                <w:lang w:eastAsia="en-US"/>
              </w:rPr>
              <w:t xml:space="preserve"> </w:t>
            </w:r>
            <w:r w:rsidRPr="00C31241">
              <w:rPr>
                <w:rFonts w:ascii="Arial Narrow" w:hAnsi="Arial Narrow" w:cs="Calibri"/>
                <w:snapToGrid w:val="0"/>
                <w:sz w:val="20"/>
                <w:szCs w:val="20"/>
                <w:lang w:eastAsia="en-US"/>
              </w:rPr>
              <w:t>the blood; and</w:t>
            </w:r>
          </w:p>
          <w:p w:rsidR="00E0178F" w:rsidRPr="00C31241" w:rsidRDefault="00E0178F" w:rsidP="00593237">
            <w:pPr>
              <w:numPr>
                <w:ilvl w:val="0"/>
                <w:numId w:val="32"/>
              </w:numPr>
              <w:spacing w:before="120" w:after="120" w:line="276" w:lineRule="auto"/>
              <w:contextualSpacing/>
              <w:jc w:val="both"/>
              <w:rPr>
                <w:rFonts w:ascii="Arial Narrow" w:hAnsi="Arial Narrow" w:cs="Calibri"/>
                <w:snapToGrid w:val="0"/>
                <w:sz w:val="20"/>
                <w:szCs w:val="20"/>
                <w:lang w:eastAsia="en-US"/>
              </w:rPr>
            </w:pPr>
            <w:r w:rsidRPr="00C31241">
              <w:rPr>
                <w:rFonts w:ascii="Arial Narrow" w:hAnsi="Arial Narrow" w:cs="Calibri"/>
                <w:snapToGrid w:val="0"/>
                <w:sz w:val="20"/>
                <w:szCs w:val="20"/>
                <w:lang w:eastAsia="en-US"/>
              </w:rPr>
              <w:t xml:space="preserve">Date of commencement and completion of the most recent prior systemic treatment. </w:t>
            </w:r>
          </w:p>
        </w:tc>
      </w:tr>
      <w:tr w:rsidR="00E0178F" w:rsidRPr="00E0178F" w:rsidTr="00A26815">
        <w:trPr>
          <w:cantSplit/>
          <w:trHeight w:val="360"/>
        </w:trPr>
        <w:tc>
          <w:tcPr>
            <w:tcW w:w="1392" w:type="pct"/>
            <w:tcBorders>
              <w:top w:val="single" w:sz="4" w:space="0" w:color="auto"/>
              <w:left w:val="single" w:sz="4" w:space="0" w:color="auto"/>
              <w:bottom w:val="single" w:sz="4" w:space="0" w:color="auto"/>
              <w:right w:val="single" w:sz="4" w:space="0" w:color="auto"/>
            </w:tcBorders>
          </w:tcPr>
          <w:p w:rsidR="00E0178F" w:rsidRPr="00C31241" w:rsidRDefault="00E0178F" w:rsidP="00593237">
            <w:pPr>
              <w:keepLines/>
              <w:widowControl w:val="0"/>
              <w:contextualSpacing/>
              <w:jc w:val="both"/>
              <w:rPr>
                <w:rFonts w:ascii="Arial Narrow" w:hAnsi="Arial Narrow" w:cs="Calibri"/>
                <w:b/>
                <w:snapToGrid w:val="0"/>
                <w:sz w:val="20"/>
                <w:szCs w:val="20"/>
                <w:lang w:eastAsia="en-US"/>
              </w:rPr>
            </w:pPr>
            <w:r w:rsidRPr="00C31241">
              <w:rPr>
                <w:rFonts w:ascii="Arial Narrow" w:hAnsi="Arial Narrow" w:cs="Calibri"/>
                <w:b/>
                <w:snapToGrid w:val="0"/>
                <w:sz w:val="20"/>
                <w:szCs w:val="20"/>
                <w:lang w:eastAsia="en-US"/>
              </w:rPr>
              <w:t>Administrative Advice</w:t>
            </w:r>
          </w:p>
        </w:tc>
        <w:tc>
          <w:tcPr>
            <w:tcW w:w="3608" w:type="pct"/>
            <w:gridSpan w:val="5"/>
            <w:tcBorders>
              <w:top w:val="single" w:sz="4" w:space="0" w:color="auto"/>
              <w:left w:val="single" w:sz="4" w:space="0" w:color="auto"/>
              <w:bottom w:val="single" w:sz="4" w:space="0" w:color="auto"/>
              <w:right w:val="single" w:sz="4" w:space="0" w:color="auto"/>
            </w:tcBorders>
          </w:tcPr>
          <w:p w:rsidR="00E0178F" w:rsidRPr="00C31241" w:rsidRDefault="00E0178F" w:rsidP="00593237">
            <w:pPr>
              <w:keepLines/>
              <w:widowControl w:val="0"/>
              <w:jc w:val="both"/>
              <w:rPr>
                <w:rFonts w:ascii="Arial Narrow" w:hAnsi="Arial Narrow" w:cs="Calibri"/>
                <w:snapToGrid w:val="0"/>
                <w:sz w:val="20"/>
                <w:szCs w:val="22"/>
                <w:lang w:eastAsia="en-US"/>
              </w:rPr>
            </w:pPr>
            <w:r w:rsidRPr="00C31241">
              <w:rPr>
                <w:rFonts w:ascii="Arial Narrow" w:hAnsi="Arial Narrow" w:cs="Calibri"/>
                <w:snapToGrid w:val="0"/>
                <w:sz w:val="20"/>
                <w:szCs w:val="22"/>
                <w:lang w:eastAsia="en-US"/>
              </w:rPr>
              <w:t>No increase in the maximum numbe</w:t>
            </w:r>
            <w:r w:rsidR="00D47CAA">
              <w:rPr>
                <w:rFonts w:ascii="Arial Narrow" w:hAnsi="Arial Narrow" w:cs="Calibri"/>
                <w:snapToGrid w:val="0"/>
                <w:sz w:val="20"/>
                <w:szCs w:val="22"/>
                <w:lang w:eastAsia="en-US"/>
              </w:rPr>
              <w:t>r of repeats may be authorised.</w:t>
            </w:r>
          </w:p>
          <w:p w:rsidR="00E0178F" w:rsidRPr="00C31241" w:rsidRDefault="00E0178F" w:rsidP="00593237">
            <w:pPr>
              <w:keepLines/>
              <w:widowControl w:val="0"/>
              <w:contextualSpacing/>
              <w:jc w:val="both"/>
              <w:rPr>
                <w:rFonts w:ascii="Arial Narrow" w:hAnsi="Arial Narrow" w:cs="Calibri"/>
                <w:snapToGrid w:val="0"/>
                <w:sz w:val="20"/>
                <w:szCs w:val="22"/>
                <w:lang w:eastAsia="en-US"/>
              </w:rPr>
            </w:pPr>
            <w:r w:rsidRPr="00C31241">
              <w:rPr>
                <w:rFonts w:ascii="Arial Narrow" w:hAnsi="Arial Narrow" w:cs="Calibri"/>
                <w:snapToGrid w:val="0"/>
                <w:sz w:val="20"/>
                <w:szCs w:val="22"/>
                <w:lang w:eastAsia="en-US"/>
              </w:rPr>
              <w:t>No increase in the maximum quantity or number of units may be authorised.</w:t>
            </w:r>
          </w:p>
          <w:p w:rsidR="00E0178F" w:rsidRPr="00C31241" w:rsidRDefault="00E0178F" w:rsidP="00593237">
            <w:pPr>
              <w:keepLines/>
              <w:widowControl w:val="0"/>
              <w:contextualSpacing/>
              <w:jc w:val="both"/>
              <w:rPr>
                <w:rFonts w:ascii="Arial Narrow" w:hAnsi="Arial Narrow" w:cs="Calibri"/>
                <w:i/>
                <w:snapToGrid w:val="0"/>
                <w:sz w:val="20"/>
                <w:szCs w:val="22"/>
                <w:lang w:eastAsia="en-US"/>
              </w:rPr>
            </w:pPr>
            <w:r w:rsidRPr="00C31241">
              <w:rPr>
                <w:rFonts w:ascii="Arial Narrow" w:hAnsi="Arial Narrow" w:cs="Calibri"/>
                <w:snapToGrid w:val="0"/>
                <w:sz w:val="20"/>
                <w:szCs w:val="22"/>
                <w:lang w:eastAsia="en-US"/>
              </w:rPr>
              <w:t>Special Pricing Arrangements apply</w:t>
            </w:r>
            <w:r w:rsidRPr="00C31241">
              <w:rPr>
                <w:rFonts w:ascii="Arial Narrow" w:hAnsi="Arial Narrow" w:cs="Calibri"/>
                <w:i/>
                <w:snapToGrid w:val="0"/>
                <w:sz w:val="20"/>
                <w:szCs w:val="22"/>
                <w:lang w:eastAsia="en-US"/>
              </w:rPr>
              <w:t>.</w:t>
            </w:r>
          </w:p>
        </w:tc>
      </w:tr>
    </w:tbl>
    <w:p w:rsidR="00E0178F" w:rsidRDefault="00E0178F"/>
    <w:p w:rsidR="00083BDD" w:rsidRDefault="00083BDD">
      <w:r>
        <w:br w:type="page"/>
      </w:r>
    </w:p>
    <w:tbl>
      <w:tblPr>
        <w:tblW w:w="4942" w:type="pct"/>
        <w:tblInd w:w="107" w:type="dxa"/>
        <w:tblLook w:val="0000" w:firstRow="0" w:lastRow="0" w:firstColumn="0" w:lastColumn="0" w:noHBand="0" w:noVBand="0"/>
      </w:tblPr>
      <w:tblGrid>
        <w:gridCol w:w="2078"/>
        <w:gridCol w:w="732"/>
        <w:gridCol w:w="1206"/>
        <w:gridCol w:w="1245"/>
        <w:gridCol w:w="1522"/>
        <w:gridCol w:w="2077"/>
        <w:gridCol w:w="61"/>
      </w:tblGrid>
      <w:tr w:rsidR="00E821C2" w:rsidRPr="00E0178F" w:rsidTr="00E0178F">
        <w:trPr>
          <w:trHeight w:val="471"/>
        </w:trPr>
        <w:tc>
          <w:tcPr>
            <w:tcW w:w="1575" w:type="pct"/>
            <w:gridSpan w:val="2"/>
            <w:tcBorders>
              <w:bottom w:val="single" w:sz="4" w:space="0" w:color="auto"/>
            </w:tcBorders>
          </w:tcPr>
          <w:p w:rsidR="00E821C2" w:rsidRPr="00C31241" w:rsidRDefault="00E821C2" w:rsidP="005D06D4">
            <w:pPr>
              <w:widowControl w:val="0"/>
              <w:ind w:left="-108"/>
              <w:jc w:val="both"/>
              <w:rPr>
                <w:rFonts w:ascii="Arial Narrow" w:hAnsi="Arial Narrow" w:cs="Arial"/>
                <w:b/>
                <w:snapToGrid w:val="0"/>
                <w:sz w:val="20"/>
                <w:szCs w:val="20"/>
                <w:lang w:eastAsia="en-US"/>
              </w:rPr>
            </w:pPr>
            <w:r w:rsidRPr="00C31241">
              <w:rPr>
                <w:rFonts w:ascii="Arial Narrow" w:hAnsi="Arial Narrow" w:cs="Arial"/>
                <w:b/>
                <w:snapToGrid w:val="0"/>
                <w:sz w:val="20"/>
                <w:szCs w:val="20"/>
                <w:lang w:eastAsia="en-US"/>
              </w:rPr>
              <w:lastRenderedPageBreak/>
              <w:t>Name, Restriction,</w:t>
            </w:r>
          </w:p>
          <w:p w:rsidR="00E821C2" w:rsidRPr="00C31241" w:rsidRDefault="00E821C2" w:rsidP="00E821C2">
            <w:pPr>
              <w:widowControl w:val="0"/>
              <w:ind w:left="-108"/>
              <w:rPr>
                <w:rFonts w:ascii="Arial Narrow" w:hAnsi="Arial Narrow" w:cs="Arial"/>
                <w:b/>
                <w:snapToGrid w:val="0"/>
                <w:sz w:val="20"/>
                <w:szCs w:val="20"/>
                <w:lang w:eastAsia="en-US"/>
              </w:rPr>
            </w:pPr>
            <w:r w:rsidRPr="00C31241">
              <w:rPr>
                <w:rFonts w:ascii="Arial Narrow" w:hAnsi="Arial Narrow" w:cs="Arial"/>
                <w:b/>
                <w:snapToGrid w:val="0"/>
                <w:sz w:val="20"/>
                <w:szCs w:val="20"/>
                <w:lang w:eastAsia="en-US"/>
              </w:rPr>
              <w:t>Manner of administration and form</w:t>
            </w:r>
          </w:p>
        </w:tc>
        <w:tc>
          <w:tcPr>
            <w:tcW w:w="676" w:type="pct"/>
            <w:tcBorders>
              <w:bottom w:val="single" w:sz="4" w:space="0" w:color="auto"/>
            </w:tcBorders>
          </w:tcPr>
          <w:p w:rsidR="00E821C2" w:rsidRPr="00C31241" w:rsidRDefault="00E821C2" w:rsidP="00E0178F">
            <w:pPr>
              <w:widowControl w:val="0"/>
              <w:ind w:left="-108"/>
              <w:jc w:val="center"/>
              <w:rPr>
                <w:rFonts w:ascii="Arial Narrow" w:hAnsi="Arial Narrow" w:cs="Arial"/>
                <w:b/>
                <w:snapToGrid w:val="0"/>
                <w:sz w:val="20"/>
                <w:szCs w:val="20"/>
                <w:lang w:eastAsia="en-US"/>
              </w:rPr>
            </w:pPr>
            <w:r w:rsidRPr="00C31241">
              <w:rPr>
                <w:rFonts w:ascii="Arial Narrow" w:hAnsi="Arial Narrow" w:cs="Arial"/>
                <w:b/>
                <w:snapToGrid w:val="0"/>
                <w:sz w:val="20"/>
                <w:szCs w:val="20"/>
                <w:lang w:eastAsia="en-US"/>
              </w:rPr>
              <w:t>Max.</w:t>
            </w:r>
          </w:p>
          <w:p w:rsidR="00E821C2" w:rsidRPr="00C31241" w:rsidRDefault="00E0178F" w:rsidP="00E0178F">
            <w:pPr>
              <w:widowControl w:val="0"/>
              <w:ind w:left="-108"/>
              <w:jc w:val="center"/>
              <w:rPr>
                <w:rFonts w:ascii="Arial Narrow" w:hAnsi="Arial Narrow" w:cs="Arial"/>
                <w:b/>
                <w:snapToGrid w:val="0"/>
                <w:sz w:val="20"/>
                <w:szCs w:val="20"/>
                <w:lang w:eastAsia="en-US"/>
              </w:rPr>
            </w:pPr>
            <w:r>
              <w:rPr>
                <w:rFonts w:ascii="Arial Narrow" w:hAnsi="Arial Narrow" w:cs="Arial"/>
                <w:b/>
                <w:snapToGrid w:val="0"/>
                <w:sz w:val="20"/>
                <w:szCs w:val="20"/>
                <w:lang w:eastAsia="en-US"/>
              </w:rPr>
              <w:t>Amt.</w:t>
            </w:r>
          </w:p>
        </w:tc>
        <w:tc>
          <w:tcPr>
            <w:tcW w:w="698" w:type="pct"/>
            <w:tcBorders>
              <w:bottom w:val="single" w:sz="4" w:space="0" w:color="auto"/>
            </w:tcBorders>
          </w:tcPr>
          <w:p w:rsidR="00E821C2" w:rsidRPr="00C31241" w:rsidRDefault="00E821C2" w:rsidP="00E0178F">
            <w:pPr>
              <w:widowControl w:val="0"/>
              <w:ind w:left="-108"/>
              <w:jc w:val="center"/>
              <w:rPr>
                <w:rFonts w:ascii="Arial Narrow" w:hAnsi="Arial Narrow" w:cs="Arial"/>
                <w:b/>
                <w:snapToGrid w:val="0"/>
                <w:sz w:val="20"/>
                <w:szCs w:val="20"/>
                <w:lang w:eastAsia="en-US"/>
              </w:rPr>
            </w:pPr>
            <w:r w:rsidRPr="00C31241">
              <w:rPr>
                <w:rFonts w:ascii="Arial Narrow" w:hAnsi="Arial Narrow" w:cs="Arial"/>
                <w:b/>
                <w:snapToGrid w:val="0"/>
                <w:sz w:val="20"/>
                <w:szCs w:val="20"/>
                <w:lang w:eastAsia="en-US"/>
              </w:rPr>
              <w:t>№.of</w:t>
            </w:r>
          </w:p>
          <w:p w:rsidR="00E821C2" w:rsidRPr="00C31241" w:rsidRDefault="00E821C2" w:rsidP="00E0178F">
            <w:pPr>
              <w:widowControl w:val="0"/>
              <w:ind w:left="-108"/>
              <w:jc w:val="center"/>
              <w:rPr>
                <w:rFonts w:ascii="Arial Narrow" w:hAnsi="Arial Narrow" w:cs="Arial"/>
                <w:b/>
                <w:snapToGrid w:val="0"/>
                <w:sz w:val="20"/>
                <w:szCs w:val="20"/>
                <w:lang w:eastAsia="en-US"/>
              </w:rPr>
            </w:pPr>
            <w:proofErr w:type="spellStart"/>
            <w:r w:rsidRPr="00C31241">
              <w:rPr>
                <w:rFonts w:ascii="Arial Narrow" w:hAnsi="Arial Narrow" w:cs="Arial"/>
                <w:b/>
                <w:snapToGrid w:val="0"/>
                <w:sz w:val="20"/>
                <w:szCs w:val="20"/>
                <w:lang w:eastAsia="en-US"/>
              </w:rPr>
              <w:t>Rpts</w:t>
            </w:r>
            <w:proofErr w:type="spellEnd"/>
          </w:p>
        </w:tc>
        <w:tc>
          <w:tcPr>
            <w:tcW w:w="2051" w:type="pct"/>
            <w:gridSpan w:val="3"/>
            <w:tcBorders>
              <w:bottom w:val="single" w:sz="4" w:space="0" w:color="auto"/>
            </w:tcBorders>
          </w:tcPr>
          <w:p w:rsidR="00E821C2" w:rsidRPr="00C31241" w:rsidRDefault="00E821C2" w:rsidP="00E0178F">
            <w:pPr>
              <w:widowControl w:val="0"/>
              <w:jc w:val="center"/>
              <w:rPr>
                <w:rFonts w:ascii="Arial Narrow" w:hAnsi="Arial Narrow" w:cs="Arial"/>
                <w:b/>
                <w:snapToGrid w:val="0"/>
                <w:sz w:val="20"/>
                <w:szCs w:val="20"/>
                <w:lang w:val="fr-FR" w:eastAsia="en-US"/>
              </w:rPr>
            </w:pPr>
            <w:r w:rsidRPr="00C31241">
              <w:rPr>
                <w:rFonts w:ascii="Arial Narrow" w:hAnsi="Arial Narrow" w:cs="Arial"/>
                <w:b/>
                <w:snapToGrid w:val="0"/>
                <w:sz w:val="20"/>
                <w:szCs w:val="20"/>
                <w:lang w:eastAsia="en-US"/>
              </w:rPr>
              <w:t>Proprietary Name and Manufacturer</w:t>
            </w:r>
          </w:p>
        </w:tc>
      </w:tr>
      <w:tr w:rsidR="00E821C2" w:rsidRPr="00E0178F" w:rsidTr="00E0178F">
        <w:trPr>
          <w:trHeight w:val="577"/>
        </w:trPr>
        <w:tc>
          <w:tcPr>
            <w:tcW w:w="1575" w:type="pct"/>
            <w:gridSpan w:val="2"/>
          </w:tcPr>
          <w:p w:rsidR="00E821C2" w:rsidRPr="00C31241" w:rsidRDefault="00E821C2" w:rsidP="005D06D4">
            <w:pPr>
              <w:widowControl w:val="0"/>
              <w:ind w:left="-108"/>
              <w:jc w:val="both"/>
              <w:rPr>
                <w:rFonts w:ascii="Arial Narrow" w:hAnsi="Arial Narrow" w:cs="Arial"/>
                <w:snapToGrid w:val="0"/>
                <w:sz w:val="20"/>
                <w:szCs w:val="20"/>
                <w:lang w:eastAsia="en-US"/>
              </w:rPr>
            </w:pPr>
            <w:proofErr w:type="spellStart"/>
            <w:r w:rsidRPr="00C31241">
              <w:rPr>
                <w:rFonts w:ascii="Arial Narrow" w:hAnsi="Arial Narrow" w:cs="Calibri"/>
                <w:smallCaps/>
                <w:snapToGrid w:val="0"/>
                <w:sz w:val="20"/>
                <w:szCs w:val="20"/>
                <w:lang w:eastAsia="en-US"/>
              </w:rPr>
              <w:t>Brentuximab</w:t>
            </w:r>
            <w:proofErr w:type="spellEnd"/>
            <w:r w:rsidRPr="00C31241">
              <w:rPr>
                <w:rFonts w:ascii="Arial Narrow" w:hAnsi="Arial Narrow" w:cs="Calibri"/>
                <w:smallCaps/>
                <w:snapToGrid w:val="0"/>
                <w:sz w:val="20"/>
                <w:szCs w:val="20"/>
                <w:lang w:eastAsia="en-US"/>
              </w:rPr>
              <w:t xml:space="preserve"> </w:t>
            </w:r>
            <w:proofErr w:type="spellStart"/>
            <w:r w:rsidRPr="00C31241">
              <w:rPr>
                <w:rFonts w:ascii="Arial Narrow" w:hAnsi="Arial Narrow" w:cs="Calibri"/>
                <w:smallCaps/>
                <w:snapToGrid w:val="0"/>
                <w:sz w:val="20"/>
                <w:szCs w:val="20"/>
                <w:lang w:eastAsia="en-US"/>
              </w:rPr>
              <w:t>vedotin</w:t>
            </w:r>
            <w:proofErr w:type="spellEnd"/>
          </w:p>
          <w:p w:rsidR="00E821C2" w:rsidRPr="00C31241" w:rsidRDefault="00E821C2" w:rsidP="005D06D4">
            <w:pPr>
              <w:widowControl w:val="0"/>
              <w:ind w:left="-108"/>
              <w:jc w:val="both"/>
              <w:rPr>
                <w:rFonts w:ascii="Arial Narrow" w:hAnsi="Arial Narrow" w:cs="Arial"/>
                <w:snapToGrid w:val="0"/>
                <w:sz w:val="20"/>
                <w:szCs w:val="20"/>
                <w:lang w:eastAsia="en-US"/>
              </w:rPr>
            </w:pPr>
            <w:r w:rsidRPr="00C31241">
              <w:rPr>
                <w:rFonts w:ascii="Arial Narrow" w:hAnsi="Arial Narrow" w:cs="Calibri"/>
                <w:snapToGrid w:val="0"/>
                <w:sz w:val="20"/>
                <w:szCs w:val="20"/>
                <w:lang w:eastAsia="en-US"/>
              </w:rPr>
              <w:t>50 mg injection, 1 vial</w:t>
            </w:r>
          </w:p>
        </w:tc>
        <w:tc>
          <w:tcPr>
            <w:tcW w:w="676" w:type="pct"/>
          </w:tcPr>
          <w:p w:rsidR="00E821C2" w:rsidRPr="00C31241" w:rsidRDefault="00741A64" w:rsidP="00E0178F">
            <w:pPr>
              <w:widowControl w:val="0"/>
              <w:ind w:left="-108"/>
              <w:jc w:val="center"/>
              <w:rPr>
                <w:rFonts w:ascii="Arial Narrow" w:hAnsi="Arial Narrow" w:cs="Arial"/>
                <w:snapToGrid w:val="0"/>
                <w:sz w:val="20"/>
                <w:szCs w:val="20"/>
                <w:lang w:eastAsia="en-US"/>
              </w:rPr>
            </w:pPr>
            <w:r w:rsidRPr="00C31241">
              <w:rPr>
                <w:rFonts w:ascii="Arial Narrow" w:hAnsi="Arial Narrow" w:cs="Arial"/>
                <w:snapToGrid w:val="0"/>
                <w:sz w:val="20"/>
                <w:szCs w:val="20"/>
                <w:lang w:eastAsia="en-US"/>
              </w:rPr>
              <w:t>180</w:t>
            </w:r>
            <w:r w:rsidR="00E821C2" w:rsidRPr="00C31241">
              <w:rPr>
                <w:rFonts w:ascii="Arial Narrow" w:hAnsi="Arial Narrow" w:cs="Arial"/>
                <w:snapToGrid w:val="0"/>
                <w:sz w:val="20"/>
                <w:szCs w:val="20"/>
                <w:lang w:eastAsia="en-US"/>
              </w:rPr>
              <w:t xml:space="preserve"> mg</w:t>
            </w:r>
          </w:p>
        </w:tc>
        <w:tc>
          <w:tcPr>
            <w:tcW w:w="698" w:type="pct"/>
          </w:tcPr>
          <w:p w:rsidR="00E821C2" w:rsidRPr="00C31241" w:rsidRDefault="00E821C2" w:rsidP="00E0178F">
            <w:pPr>
              <w:widowControl w:val="0"/>
              <w:ind w:left="-108"/>
              <w:jc w:val="center"/>
              <w:rPr>
                <w:rFonts w:ascii="Arial Narrow" w:hAnsi="Arial Narrow" w:cs="Arial"/>
                <w:snapToGrid w:val="0"/>
                <w:sz w:val="20"/>
                <w:szCs w:val="20"/>
                <w:lang w:eastAsia="en-US"/>
              </w:rPr>
            </w:pPr>
            <w:r w:rsidRPr="00C31241">
              <w:rPr>
                <w:rFonts w:ascii="Arial Narrow" w:hAnsi="Arial Narrow" w:cs="Arial"/>
                <w:snapToGrid w:val="0"/>
                <w:sz w:val="20"/>
                <w:szCs w:val="20"/>
                <w:lang w:eastAsia="en-US"/>
              </w:rPr>
              <w:t>11</w:t>
            </w:r>
          </w:p>
        </w:tc>
        <w:tc>
          <w:tcPr>
            <w:tcW w:w="853" w:type="pct"/>
          </w:tcPr>
          <w:p w:rsidR="00E821C2" w:rsidRPr="00C31241" w:rsidRDefault="00E821C2" w:rsidP="00E0178F">
            <w:pPr>
              <w:widowControl w:val="0"/>
              <w:jc w:val="center"/>
              <w:rPr>
                <w:rFonts w:ascii="Arial Narrow" w:hAnsi="Arial Narrow" w:cs="Arial"/>
                <w:snapToGrid w:val="0"/>
                <w:sz w:val="20"/>
                <w:szCs w:val="20"/>
                <w:lang w:eastAsia="en-US"/>
              </w:rPr>
            </w:pPr>
            <w:proofErr w:type="spellStart"/>
            <w:r w:rsidRPr="00C31241">
              <w:rPr>
                <w:rFonts w:ascii="Arial Narrow" w:hAnsi="Arial Narrow" w:cs="Arial"/>
                <w:snapToGrid w:val="0"/>
                <w:sz w:val="20"/>
                <w:szCs w:val="20"/>
                <w:lang w:eastAsia="en-US"/>
              </w:rPr>
              <w:t>Adcetris</w:t>
            </w:r>
            <w:proofErr w:type="spellEnd"/>
          </w:p>
        </w:tc>
        <w:tc>
          <w:tcPr>
            <w:tcW w:w="1198" w:type="pct"/>
            <w:gridSpan w:val="2"/>
          </w:tcPr>
          <w:p w:rsidR="00E821C2" w:rsidRPr="00C31241" w:rsidRDefault="00E821C2" w:rsidP="00E0178F">
            <w:pPr>
              <w:widowControl w:val="0"/>
              <w:jc w:val="center"/>
              <w:rPr>
                <w:rFonts w:ascii="Arial Narrow" w:hAnsi="Arial Narrow" w:cs="Arial"/>
                <w:snapToGrid w:val="0"/>
                <w:sz w:val="20"/>
                <w:szCs w:val="20"/>
                <w:lang w:eastAsia="en-US"/>
              </w:rPr>
            </w:pPr>
            <w:r w:rsidRPr="00C31241">
              <w:rPr>
                <w:rFonts w:ascii="Arial Narrow" w:hAnsi="Arial Narrow" w:cs="Arial"/>
                <w:snapToGrid w:val="0"/>
                <w:sz w:val="20"/>
                <w:szCs w:val="20"/>
                <w:lang w:eastAsia="en-US"/>
              </w:rPr>
              <w:t>Takeda</w:t>
            </w:r>
          </w:p>
        </w:tc>
      </w:tr>
      <w:tr w:rsidR="005D06D4" w:rsidRPr="00E0178F" w:rsidTr="00083BDD">
        <w:trPr>
          <w:gridAfter w:val="1"/>
          <w:wAfter w:w="35" w:type="pct"/>
          <w:cantSplit/>
          <w:trHeight w:val="360"/>
        </w:trPr>
        <w:tc>
          <w:tcPr>
            <w:tcW w:w="1165" w:type="pct"/>
            <w:tcBorders>
              <w:top w:val="single" w:sz="4" w:space="0" w:color="auto"/>
              <w:left w:val="single" w:sz="4" w:space="0" w:color="auto"/>
              <w:bottom w:val="single" w:sz="4" w:space="0" w:color="auto"/>
              <w:right w:val="single" w:sz="4" w:space="0" w:color="auto"/>
            </w:tcBorders>
          </w:tcPr>
          <w:p w:rsidR="005D06D4" w:rsidRPr="00E0178F" w:rsidRDefault="005D06D4" w:rsidP="005D06D4">
            <w:pPr>
              <w:widowControl w:val="0"/>
              <w:contextualSpacing/>
              <w:jc w:val="both"/>
              <w:rPr>
                <w:rFonts w:ascii="Arial Narrow" w:hAnsi="Arial Narrow" w:cs="Calibri"/>
                <w:b/>
                <w:snapToGrid w:val="0"/>
                <w:sz w:val="20"/>
                <w:szCs w:val="20"/>
                <w:lang w:eastAsia="en-US"/>
              </w:rPr>
            </w:pPr>
            <w:r w:rsidRPr="00E0178F">
              <w:rPr>
                <w:rFonts w:ascii="Arial Narrow" w:hAnsi="Arial Narrow" w:cs="Calibri"/>
                <w:b/>
                <w:snapToGrid w:val="0"/>
                <w:sz w:val="20"/>
                <w:szCs w:val="20"/>
                <w:lang w:eastAsia="en-US"/>
              </w:rPr>
              <w:t>Category / program</w:t>
            </w:r>
          </w:p>
        </w:tc>
        <w:tc>
          <w:tcPr>
            <w:tcW w:w="3801" w:type="pct"/>
            <w:gridSpan w:val="5"/>
            <w:tcBorders>
              <w:top w:val="single" w:sz="4" w:space="0" w:color="auto"/>
              <w:left w:val="single" w:sz="4" w:space="0" w:color="auto"/>
              <w:bottom w:val="single" w:sz="4" w:space="0" w:color="auto"/>
              <w:right w:val="single" w:sz="4" w:space="0" w:color="auto"/>
            </w:tcBorders>
          </w:tcPr>
          <w:p w:rsidR="005D06D4" w:rsidRPr="00E0178F" w:rsidRDefault="005D06D4" w:rsidP="005D06D4">
            <w:pPr>
              <w:widowControl w:val="0"/>
              <w:contextualSpacing/>
              <w:jc w:val="both"/>
              <w:rPr>
                <w:rFonts w:ascii="Arial Narrow" w:hAnsi="Arial Narrow" w:cs="Calibri"/>
                <w:snapToGrid w:val="0"/>
                <w:sz w:val="20"/>
                <w:szCs w:val="22"/>
                <w:lang w:eastAsia="en-US"/>
              </w:rPr>
            </w:pPr>
            <w:r w:rsidRPr="00E0178F">
              <w:rPr>
                <w:rFonts w:ascii="Arial Narrow" w:hAnsi="Arial Narrow" w:cs="Calibri"/>
                <w:snapToGrid w:val="0"/>
                <w:sz w:val="20"/>
                <w:szCs w:val="20"/>
                <w:lang w:eastAsia="en-US"/>
              </w:rPr>
              <w:t>Section 100 – Efficient Funding of Chemotherapy</w:t>
            </w:r>
          </w:p>
        </w:tc>
      </w:tr>
      <w:tr w:rsidR="005D06D4" w:rsidRPr="00E0178F" w:rsidTr="00083BDD">
        <w:trPr>
          <w:gridAfter w:val="1"/>
          <w:wAfter w:w="35" w:type="pct"/>
          <w:cantSplit/>
          <w:trHeight w:val="360"/>
        </w:trPr>
        <w:tc>
          <w:tcPr>
            <w:tcW w:w="1165" w:type="pct"/>
            <w:tcBorders>
              <w:top w:val="single" w:sz="4" w:space="0" w:color="auto"/>
              <w:left w:val="single" w:sz="4" w:space="0" w:color="auto"/>
              <w:bottom w:val="single" w:sz="4" w:space="0" w:color="auto"/>
              <w:right w:val="single" w:sz="4" w:space="0" w:color="auto"/>
            </w:tcBorders>
          </w:tcPr>
          <w:p w:rsidR="005D06D4" w:rsidRPr="00E0178F" w:rsidRDefault="005D06D4" w:rsidP="005D06D4">
            <w:pPr>
              <w:widowControl w:val="0"/>
              <w:contextualSpacing/>
              <w:jc w:val="both"/>
              <w:rPr>
                <w:rFonts w:ascii="Arial Narrow" w:hAnsi="Arial Narrow" w:cs="Calibri"/>
                <w:b/>
                <w:snapToGrid w:val="0"/>
                <w:sz w:val="20"/>
                <w:szCs w:val="20"/>
                <w:lang w:eastAsia="en-US"/>
              </w:rPr>
            </w:pPr>
            <w:r w:rsidRPr="00E0178F">
              <w:rPr>
                <w:rFonts w:ascii="Arial Narrow" w:hAnsi="Arial Narrow" w:cs="Calibri"/>
                <w:b/>
                <w:snapToGrid w:val="0"/>
                <w:sz w:val="20"/>
                <w:szCs w:val="20"/>
                <w:lang w:eastAsia="en-US"/>
              </w:rPr>
              <w:t>Condition:</w:t>
            </w:r>
          </w:p>
        </w:tc>
        <w:tc>
          <w:tcPr>
            <w:tcW w:w="3801" w:type="pct"/>
            <w:gridSpan w:val="5"/>
            <w:tcBorders>
              <w:top w:val="single" w:sz="4" w:space="0" w:color="auto"/>
              <w:left w:val="single" w:sz="4" w:space="0" w:color="auto"/>
              <w:bottom w:val="single" w:sz="4" w:space="0" w:color="auto"/>
              <w:right w:val="single" w:sz="4" w:space="0" w:color="auto"/>
            </w:tcBorders>
          </w:tcPr>
          <w:p w:rsidR="005D06D4" w:rsidRPr="00E0178F" w:rsidRDefault="005D06D4" w:rsidP="005D06D4">
            <w:pPr>
              <w:widowControl w:val="0"/>
              <w:contextualSpacing/>
              <w:jc w:val="both"/>
              <w:rPr>
                <w:rFonts w:ascii="Arial Narrow" w:hAnsi="Arial Narrow" w:cs="Calibri"/>
                <w:snapToGrid w:val="0"/>
                <w:sz w:val="20"/>
                <w:szCs w:val="22"/>
                <w:lang w:eastAsia="en-US"/>
              </w:rPr>
            </w:pPr>
            <w:r w:rsidRPr="00E0178F">
              <w:rPr>
                <w:rFonts w:ascii="Arial Narrow" w:hAnsi="Arial Narrow" w:cs="Calibri"/>
                <w:snapToGrid w:val="0"/>
                <w:sz w:val="20"/>
                <w:szCs w:val="22"/>
                <w:lang w:eastAsia="en-US"/>
              </w:rPr>
              <w:t>CD30 positive cutaneous T-cell lymphoma</w:t>
            </w:r>
          </w:p>
        </w:tc>
      </w:tr>
      <w:tr w:rsidR="005D06D4" w:rsidRPr="00E0178F" w:rsidTr="00083BDD">
        <w:trPr>
          <w:gridAfter w:val="1"/>
          <w:wAfter w:w="35" w:type="pct"/>
          <w:cantSplit/>
          <w:trHeight w:val="360"/>
        </w:trPr>
        <w:tc>
          <w:tcPr>
            <w:tcW w:w="1165" w:type="pct"/>
            <w:tcBorders>
              <w:top w:val="single" w:sz="4" w:space="0" w:color="auto"/>
              <w:left w:val="single" w:sz="4" w:space="0" w:color="auto"/>
              <w:bottom w:val="single" w:sz="4" w:space="0" w:color="auto"/>
              <w:right w:val="single" w:sz="4" w:space="0" w:color="auto"/>
            </w:tcBorders>
          </w:tcPr>
          <w:p w:rsidR="005D06D4" w:rsidRPr="00E0178F" w:rsidRDefault="005D06D4" w:rsidP="005D06D4">
            <w:pPr>
              <w:widowControl w:val="0"/>
              <w:contextualSpacing/>
              <w:jc w:val="both"/>
              <w:rPr>
                <w:rFonts w:ascii="Arial Narrow" w:hAnsi="Arial Narrow" w:cs="Calibri"/>
                <w:b/>
                <w:snapToGrid w:val="0"/>
                <w:sz w:val="20"/>
                <w:szCs w:val="20"/>
                <w:lang w:eastAsia="en-US"/>
              </w:rPr>
            </w:pPr>
            <w:r w:rsidRPr="00E0178F">
              <w:rPr>
                <w:rFonts w:ascii="Arial Narrow" w:hAnsi="Arial Narrow" w:cs="Calibri"/>
                <w:b/>
                <w:snapToGrid w:val="0"/>
                <w:sz w:val="20"/>
                <w:szCs w:val="20"/>
                <w:lang w:eastAsia="en-US"/>
              </w:rPr>
              <w:t>PBS Indication:</w:t>
            </w:r>
          </w:p>
        </w:tc>
        <w:tc>
          <w:tcPr>
            <w:tcW w:w="3801" w:type="pct"/>
            <w:gridSpan w:val="5"/>
            <w:tcBorders>
              <w:top w:val="single" w:sz="4" w:space="0" w:color="auto"/>
              <w:left w:val="single" w:sz="4" w:space="0" w:color="auto"/>
              <w:bottom w:val="single" w:sz="4" w:space="0" w:color="auto"/>
              <w:right w:val="single" w:sz="4" w:space="0" w:color="auto"/>
            </w:tcBorders>
          </w:tcPr>
          <w:p w:rsidR="005D06D4" w:rsidRPr="00E0178F" w:rsidRDefault="005D06D4" w:rsidP="005D06D4">
            <w:pPr>
              <w:widowControl w:val="0"/>
              <w:contextualSpacing/>
              <w:jc w:val="both"/>
              <w:rPr>
                <w:rFonts w:ascii="Arial Narrow" w:hAnsi="Arial Narrow" w:cs="Calibri"/>
                <w:snapToGrid w:val="0"/>
                <w:sz w:val="20"/>
                <w:szCs w:val="22"/>
                <w:lang w:eastAsia="en-US"/>
              </w:rPr>
            </w:pPr>
            <w:r w:rsidRPr="00E0178F">
              <w:rPr>
                <w:rFonts w:ascii="Arial Narrow" w:hAnsi="Arial Narrow" w:cs="Calibri"/>
                <w:snapToGrid w:val="0"/>
                <w:sz w:val="20"/>
                <w:szCs w:val="22"/>
                <w:lang w:eastAsia="en-US"/>
              </w:rPr>
              <w:t>CD30 positive</w:t>
            </w:r>
            <w:r w:rsidRPr="00E0178F">
              <w:rPr>
                <w:rFonts w:ascii="Arial Narrow" w:hAnsi="Arial Narrow" w:cs="Calibri"/>
                <w:snapToGrid w:val="0"/>
                <w:color w:val="0070C0"/>
                <w:sz w:val="20"/>
                <w:szCs w:val="22"/>
                <w:lang w:eastAsia="en-US"/>
              </w:rPr>
              <w:t xml:space="preserve"> </w:t>
            </w:r>
            <w:r w:rsidRPr="00E0178F">
              <w:rPr>
                <w:rFonts w:ascii="Arial Narrow" w:hAnsi="Arial Narrow" w:cs="Calibri"/>
                <w:snapToGrid w:val="0"/>
                <w:sz w:val="20"/>
                <w:szCs w:val="22"/>
                <w:lang w:eastAsia="en-US"/>
              </w:rPr>
              <w:t>cutaneous T-cell lymphoma</w:t>
            </w:r>
          </w:p>
        </w:tc>
      </w:tr>
      <w:tr w:rsidR="005D06D4" w:rsidRPr="00E0178F" w:rsidTr="00083BDD">
        <w:trPr>
          <w:gridAfter w:val="1"/>
          <w:wAfter w:w="35" w:type="pct"/>
          <w:cantSplit/>
          <w:trHeight w:val="360"/>
        </w:trPr>
        <w:tc>
          <w:tcPr>
            <w:tcW w:w="1165" w:type="pct"/>
            <w:tcBorders>
              <w:top w:val="single" w:sz="4" w:space="0" w:color="auto"/>
              <w:left w:val="single" w:sz="4" w:space="0" w:color="auto"/>
              <w:bottom w:val="single" w:sz="4" w:space="0" w:color="auto"/>
              <w:right w:val="single" w:sz="4" w:space="0" w:color="auto"/>
            </w:tcBorders>
          </w:tcPr>
          <w:p w:rsidR="005D06D4" w:rsidRPr="00E0178F" w:rsidRDefault="005D06D4" w:rsidP="005D06D4">
            <w:pPr>
              <w:widowControl w:val="0"/>
              <w:contextualSpacing/>
              <w:jc w:val="both"/>
              <w:rPr>
                <w:rFonts w:ascii="Arial Narrow" w:hAnsi="Arial Narrow" w:cs="Calibri"/>
                <w:b/>
                <w:snapToGrid w:val="0"/>
                <w:sz w:val="20"/>
                <w:szCs w:val="20"/>
                <w:lang w:eastAsia="en-US"/>
              </w:rPr>
            </w:pPr>
            <w:r w:rsidRPr="00E0178F">
              <w:rPr>
                <w:rFonts w:ascii="Arial Narrow" w:hAnsi="Arial Narrow" w:cs="Calibri"/>
                <w:b/>
                <w:snapToGrid w:val="0"/>
                <w:sz w:val="20"/>
                <w:szCs w:val="20"/>
                <w:lang w:eastAsia="en-US"/>
              </w:rPr>
              <w:t>Treatment phase:</w:t>
            </w:r>
          </w:p>
        </w:tc>
        <w:tc>
          <w:tcPr>
            <w:tcW w:w="3801" w:type="pct"/>
            <w:gridSpan w:val="5"/>
            <w:tcBorders>
              <w:top w:val="single" w:sz="4" w:space="0" w:color="auto"/>
              <w:left w:val="single" w:sz="4" w:space="0" w:color="auto"/>
              <w:bottom w:val="single" w:sz="4" w:space="0" w:color="auto"/>
              <w:right w:val="single" w:sz="4" w:space="0" w:color="auto"/>
            </w:tcBorders>
          </w:tcPr>
          <w:p w:rsidR="005D06D4" w:rsidRPr="00E0178F" w:rsidRDefault="005D06D4" w:rsidP="005D06D4">
            <w:pPr>
              <w:widowControl w:val="0"/>
              <w:contextualSpacing/>
              <w:jc w:val="both"/>
              <w:rPr>
                <w:rFonts w:ascii="Arial Narrow" w:hAnsi="Arial Narrow" w:cs="Calibri"/>
                <w:snapToGrid w:val="0"/>
                <w:sz w:val="20"/>
                <w:szCs w:val="22"/>
                <w:lang w:eastAsia="en-US"/>
              </w:rPr>
            </w:pPr>
            <w:r w:rsidRPr="00E0178F">
              <w:rPr>
                <w:rFonts w:ascii="Arial Narrow" w:hAnsi="Arial Narrow" w:cs="Calibri"/>
                <w:snapToGrid w:val="0"/>
                <w:sz w:val="20"/>
                <w:szCs w:val="22"/>
                <w:lang w:eastAsia="en-US"/>
              </w:rPr>
              <w:t>Continuing treatment</w:t>
            </w:r>
          </w:p>
        </w:tc>
      </w:tr>
      <w:tr w:rsidR="005D06D4" w:rsidRPr="00E0178F" w:rsidTr="00083BDD">
        <w:trPr>
          <w:gridAfter w:val="1"/>
          <w:wAfter w:w="35" w:type="pct"/>
          <w:cantSplit/>
          <w:trHeight w:val="360"/>
        </w:trPr>
        <w:tc>
          <w:tcPr>
            <w:tcW w:w="1165" w:type="pct"/>
            <w:tcBorders>
              <w:top w:val="single" w:sz="4" w:space="0" w:color="auto"/>
              <w:left w:val="single" w:sz="4" w:space="0" w:color="auto"/>
              <w:bottom w:val="single" w:sz="4" w:space="0" w:color="auto"/>
              <w:right w:val="single" w:sz="4" w:space="0" w:color="auto"/>
            </w:tcBorders>
          </w:tcPr>
          <w:p w:rsidR="005D06D4" w:rsidRPr="00E0178F" w:rsidRDefault="005D06D4" w:rsidP="005D06D4">
            <w:pPr>
              <w:widowControl w:val="0"/>
              <w:contextualSpacing/>
              <w:jc w:val="both"/>
              <w:rPr>
                <w:rFonts w:ascii="Arial Narrow" w:hAnsi="Arial Narrow" w:cs="Calibri"/>
                <w:b/>
                <w:snapToGrid w:val="0"/>
                <w:sz w:val="20"/>
                <w:szCs w:val="20"/>
                <w:lang w:eastAsia="en-US"/>
              </w:rPr>
            </w:pPr>
            <w:r w:rsidRPr="00E0178F">
              <w:rPr>
                <w:rFonts w:ascii="Arial Narrow" w:hAnsi="Arial Narrow" w:cs="Calibri"/>
                <w:b/>
                <w:snapToGrid w:val="0"/>
                <w:sz w:val="20"/>
                <w:szCs w:val="20"/>
                <w:lang w:eastAsia="en-US"/>
              </w:rPr>
              <w:t>Restriction:</w:t>
            </w:r>
          </w:p>
          <w:p w:rsidR="005D06D4" w:rsidRPr="00E0178F" w:rsidRDefault="005D06D4" w:rsidP="005D06D4">
            <w:pPr>
              <w:widowControl w:val="0"/>
              <w:contextualSpacing/>
              <w:jc w:val="both"/>
              <w:rPr>
                <w:rFonts w:ascii="Arial Narrow" w:hAnsi="Arial Narrow" w:cs="Calibri"/>
                <w:snapToGrid w:val="0"/>
                <w:sz w:val="20"/>
                <w:szCs w:val="20"/>
                <w:lang w:eastAsia="en-US"/>
              </w:rPr>
            </w:pPr>
          </w:p>
        </w:tc>
        <w:tc>
          <w:tcPr>
            <w:tcW w:w="3801" w:type="pct"/>
            <w:gridSpan w:val="5"/>
            <w:tcBorders>
              <w:top w:val="single" w:sz="4" w:space="0" w:color="auto"/>
              <w:left w:val="single" w:sz="4" w:space="0" w:color="auto"/>
              <w:bottom w:val="single" w:sz="4" w:space="0" w:color="auto"/>
              <w:right w:val="single" w:sz="4" w:space="0" w:color="auto"/>
            </w:tcBorders>
          </w:tcPr>
          <w:p w:rsidR="005D06D4" w:rsidRPr="00E0178F" w:rsidRDefault="005D06D4" w:rsidP="005D06D4">
            <w:pPr>
              <w:widowControl w:val="0"/>
              <w:contextualSpacing/>
              <w:jc w:val="both"/>
              <w:rPr>
                <w:rFonts w:ascii="Arial Narrow" w:hAnsi="Arial Narrow" w:cs="Calibri"/>
                <w:snapToGrid w:val="0"/>
                <w:sz w:val="20"/>
                <w:szCs w:val="20"/>
                <w:lang w:eastAsia="en-US"/>
              </w:rPr>
            </w:pPr>
            <w:r w:rsidRPr="00E0178F">
              <w:rPr>
                <w:rFonts w:ascii="Arial Narrow" w:hAnsi="Arial Narrow" w:cs="Calibri"/>
                <w:snapToGrid w:val="0"/>
                <w:sz w:val="20"/>
                <w:szCs w:val="20"/>
                <w:lang w:eastAsia="en-US"/>
              </w:rPr>
              <w:fldChar w:fldCharType="begin">
                <w:ffData>
                  <w:name w:val="Check1"/>
                  <w:enabled/>
                  <w:calcOnExit w:val="0"/>
                  <w:checkBox>
                    <w:sizeAuto/>
                    <w:default w:val="0"/>
                  </w:checkBox>
                </w:ffData>
              </w:fldChar>
            </w:r>
            <w:r w:rsidRPr="00E0178F">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E0178F">
              <w:rPr>
                <w:rFonts w:ascii="Arial Narrow" w:hAnsi="Arial Narrow" w:cs="Calibri"/>
                <w:snapToGrid w:val="0"/>
                <w:sz w:val="20"/>
                <w:szCs w:val="20"/>
                <w:lang w:eastAsia="en-US"/>
              </w:rPr>
              <w:fldChar w:fldCharType="end"/>
            </w:r>
            <w:r w:rsidRPr="00E0178F">
              <w:rPr>
                <w:rFonts w:ascii="Arial Narrow" w:hAnsi="Arial Narrow" w:cs="Calibri"/>
                <w:snapToGrid w:val="0"/>
                <w:sz w:val="20"/>
                <w:szCs w:val="20"/>
                <w:lang w:eastAsia="en-US"/>
              </w:rPr>
              <w:t>Restricted benefit</w:t>
            </w:r>
          </w:p>
          <w:p w:rsidR="005D06D4" w:rsidRPr="00E0178F" w:rsidRDefault="005D06D4" w:rsidP="005D06D4">
            <w:pPr>
              <w:widowControl w:val="0"/>
              <w:contextualSpacing/>
              <w:jc w:val="both"/>
              <w:rPr>
                <w:rFonts w:ascii="Arial Narrow" w:hAnsi="Arial Narrow" w:cs="Calibri"/>
                <w:snapToGrid w:val="0"/>
                <w:sz w:val="20"/>
                <w:szCs w:val="20"/>
                <w:lang w:eastAsia="en-US"/>
              </w:rPr>
            </w:pPr>
            <w:r w:rsidRPr="00E0178F">
              <w:rPr>
                <w:rFonts w:ascii="Arial Narrow" w:hAnsi="Arial Narrow" w:cs="Calibri"/>
                <w:snapToGrid w:val="0"/>
                <w:sz w:val="20"/>
                <w:szCs w:val="20"/>
                <w:lang w:eastAsia="en-US"/>
              </w:rPr>
              <w:fldChar w:fldCharType="begin">
                <w:ffData>
                  <w:name w:val=""/>
                  <w:enabled/>
                  <w:calcOnExit w:val="0"/>
                  <w:checkBox>
                    <w:sizeAuto/>
                    <w:default w:val="0"/>
                  </w:checkBox>
                </w:ffData>
              </w:fldChar>
            </w:r>
            <w:r w:rsidRPr="00E0178F">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E0178F">
              <w:rPr>
                <w:rFonts w:ascii="Arial Narrow" w:hAnsi="Arial Narrow" w:cs="Calibri"/>
                <w:snapToGrid w:val="0"/>
                <w:sz w:val="20"/>
                <w:szCs w:val="20"/>
                <w:lang w:eastAsia="en-US"/>
              </w:rPr>
              <w:fldChar w:fldCharType="end"/>
            </w:r>
            <w:r w:rsidRPr="00E0178F">
              <w:rPr>
                <w:rFonts w:ascii="Arial Narrow" w:hAnsi="Arial Narrow" w:cs="Calibri"/>
                <w:snapToGrid w:val="0"/>
                <w:sz w:val="20"/>
                <w:szCs w:val="20"/>
                <w:lang w:eastAsia="en-US"/>
              </w:rPr>
              <w:t>Authority Required - In Writing</w:t>
            </w:r>
          </w:p>
          <w:p w:rsidR="005D06D4" w:rsidRPr="00E0178F" w:rsidRDefault="005D06D4" w:rsidP="005D06D4">
            <w:pPr>
              <w:widowControl w:val="0"/>
              <w:contextualSpacing/>
              <w:jc w:val="both"/>
              <w:rPr>
                <w:rFonts w:ascii="Arial Narrow" w:hAnsi="Arial Narrow" w:cs="Calibri"/>
                <w:snapToGrid w:val="0"/>
                <w:sz w:val="20"/>
                <w:szCs w:val="20"/>
                <w:lang w:eastAsia="en-US"/>
              </w:rPr>
            </w:pPr>
            <w:r w:rsidRPr="00E0178F">
              <w:rPr>
                <w:rFonts w:ascii="Arial Narrow" w:hAnsi="Arial Narrow" w:cs="Calibri"/>
                <w:snapToGrid w:val="0"/>
                <w:sz w:val="20"/>
                <w:szCs w:val="20"/>
                <w:lang w:eastAsia="en-US"/>
              </w:rPr>
              <w:fldChar w:fldCharType="begin">
                <w:ffData>
                  <w:name w:val="Check3"/>
                  <w:enabled/>
                  <w:calcOnExit w:val="0"/>
                  <w:checkBox>
                    <w:sizeAuto/>
                    <w:default w:val="1"/>
                  </w:checkBox>
                </w:ffData>
              </w:fldChar>
            </w:r>
            <w:r w:rsidRPr="00E0178F">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E0178F">
              <w:rPr>
                <w:rFonts w:ascii="Arial Narrow" w:hAnsi="Arial Narrow" w:cs="Calibri"/>
                <w:snapToGrid w:val="0"/>
                <w:sz w:val="20"/>
                <w:szCs w:val="20"/>
                <w:lang w:eastAsia="en-US"/>
              </w:rPr>
              <w:fldChar w:fldCharType="end"/>
            </w:r>
            <w:r w:rsidRPr="00E0178F">
              <w:rPr>
                <w:rFonts w:ascii="Arial Narrow" w:hAnsi="Arial Narrow" w:cs="Calibri"/>
                <w:snapToGrid w:val="0"/>
                <w:sz w:val="20"/>
                <w:szCs w:val="20"/>
                <w:lang w:eastAsia="en-US"/>
              </w:rPr>
              <w:t>Authority Required - Telephone</w:t>
            </w:r>
          </w:p>
          <w:p w:rsidR="005D06D4" w:rsidRPr="00E0178F" w:rsidRDefault="005D06D4" w:rsidP="005D06D4">
            <w:pPr>
              <w:widowControl w:val="0"/>
              <w:contextualSpacing/>
              <w:jc w:val="both"/>
              <w:rPr>
                <w:rFonts w:ascii="Arial Narrow" w:hAnsi="Arial Narrow" w:cs="Calibri"/>
                <w:snapToGrid w:val="0"/>
                <w:sz w:val="20"/>
                <w:szCs w:val="20"/>
                <w:lang w:eastAsia="en-US"/>
              </w:rPr>
            </w:pPr>
            <w:r w:rsidRPr="00E0178F">
              <w:rPr>
                <w:rFonts w:ascii="Arial Narrow" w:hAnsi="Arial Narrow" w:cs="Calibri"/>
                <w:snapToGrid w:val="0"/>
                <w:sz w:val="20"/>
                <w:szCs w:val="20"/>
                <w:lang w:eastAsia="en-US"/>
              </w:rPr>
              <w:fldChar w:fldCharType="begin">
                <w:ffData>
                  <w:name w:val=""/>
                  <w:enabled/>
                  <w:calcOnExit w:val="0"/>
                  <w:checkBox>
                    <w:sizeAuto/>
                    <w:default w:val="0"/>
                  </w:checkBox>
                </w:ffData>
              </w:fldChar>
            </w:r>
            <w:r w:rsidRPr="00E0178F">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E0178F">
              <w:rPr>
                <w:rFonts w:ascii="Arial Narrow" w:hAnsi="Arial Narrow" w:cs="Calibri"/>
                <w:snapToGrid w:val="0"/>
                <w:sz w:val="20"/>
                <w:szCs w:val="20"/>
                <w:lang w:eastAsia="en-US"/>
              </w:rPr>
              <w:fldChar w:fldCharType="end"/>
            </w:r>
            <w:r w:rsidRPr="00E0178F">
              <w:rPr>
                <w:rFonts w:ascii="Arial Narrow" w:hAnsi="Arial Narrow" w:cs="Calibri"/>
                <w:snapToGrid w:val="0"/>
                <w:sz w:val="20"/>
                <w:szCs w:val="20"/>
                <w:lang w:eastAsia="en-US"/>
              </w:rPr>
              <w:t>Authority Required – Emergency</w:t>
            </w:r>
          </w:p>
          <w:p w:rsidR="005D06D4" w:rsidRPr="00E0178F" w:rsidRDefault="005D06D4" w:rsidP="005D06D4">
            <w:pPr>
              <w:widowControl w:val="0"/>
              <w:contextualSpacing/>
              <w:jc w:val="both"/>
              <w:rPr>
                <w:rFonts w:ascii="Arial Narrow" w:hAnsi="Arial Narrow" w:cs="Calibri"/>
                <w:snapToGrid w:val="0"/>
                <w:sz w:val="20"/>
                <w:szCs w:val="20"/>
                <w:lang w:eastAsia="en-US"/>
              </w:rPr>
            </w:pPr>
            <w:r w:rsidRPr="00E0178F">
              <w:rPr>
                <w:rFonts w:ascii="Arial Narrow" w:hAnsi="Arial Narrow" w:cs="Calibri"/>
                <w:snapToGrid w:val="0"/>
                <w:sz w:val="20"/>
                <w:szCs w:val="20"/>
                <w:lang w:eastAsia="en-US"/>
              </w:rPr>
              <w:fldChar w:fldCharType="begin">
                <w:ffData>
                  <w:name w:val="Check5"/>
                  <w:enabled/>
                  <w:calcOnExit w:val="0"/>
                  <w:checkBox>
                    <w:sizeAuto/>
                    <w:default w:val="0"/>
                  </w:checkBox>
                </w:ffData>
              </w:fldChar>
            </w:r>
            <w:r w:rsidRPr="00E0178F">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E0178F">
              <w:rPr>
                <w:rFonts w:ascii="Arial Narrow" w:hAnsi="Arial Narrow" w:cs="Calibri"/>
                <w:snapToGrid w:val="0"/>
                <w:sz w:val="20"/>
                <w:szCs w:val="20"/>
                <w:lang w:eastAsia="en-US"/>
              </w:rPr>
              <w:fldChar w:fldCharType="end"/>
            </w:r>
            <w:r w:rsidRPr="00E0178F">
              <w:rPr>
                <w:rFonts w:ascii="Arial Narrow" w:hAnsi="Arial Narrow" w:cs="Calibri"/>
                <w:snapToGrid w:val="0"/>
                <w:sz w:val="20"/>
                <w:szCs w:val="20"/>
                <w:lang w:eastAsia="en-US"/>
              </w:rPr>
              <w:t>Authority Required - Electronic</w:t>
            </w:r>
          </w:p>
          <w:p w:rsidR="005D06D4" w:rsidRPr="00E0178F" w:rsidRDefault="005D06D4" w:rsidP="005D06D4">
            <w:pPr>
              <w:widowControl w:val="0"/>
              <w:contextualSpacing/>
              <w:jc w:val="both"/>
              <w:rPr>
                <w:rFonts w:ascii="Arial Narrow" w:hAnsi="Arial Narrow" w:cs="Calibri"/>
                <w:snapToGrid w:val="0"/>
                <w:sz w:val="20"/>
                <w:szCs w:val="22"/>
                <w:lang w:eastAsia="en-US"/>
              </w:rPr>
            </w:pPr>
            <w:r w:rsidRPr="00E0178F">
              <w:rPr>
                <w:rFonts w:ascii="Arial Narrow" w:hAnsi="Arial Narrow" w:cs="Calibri"/>
                <w:snapToGrid w:val="0"/>
                <w:sz w:val="20"/>
                <w:szCs w:val="20"/>
                <w:lang w:eastAsia="en-US"/>
              </w:rPr>
              <w:fldChar w:fldCharType="begin">
                <w:ffData>
                  <w:name w:val="Check5"/>
                  <w:enabled/>
                  <w:calcOnExit w:val="0"/>
                  <w:checkBox>
                    <w:sizeAuto/>
                    <w:default w:val="0"/>
                  </w:checkBox>
                </w:ffData>
              </w:fldChar>
            </w:r>
            <w:r w:rsidRPr="00E0178F">
              <w:rPr>
                <w:rFonts w:ascii="Arial Narrow" w:hAnsi="Arial Narrow" w:cs="Calibri"/>
                <w:snapToGrid w:val="0"/>
                <w:sz w:val="20"/>
                <w:szCs w:val="20"/>
                <w:lang w:eastAsia="en-US"/>
              </w:rPr>
              <w:instrText xml:space="preserve"> FORMCHECKBOX </w:instrText>
            </w:r>
            <w:r w:rsidR="00D75151">
              <w:rPr>
                <w:rFonts w:ascii="Arial Narrow" w:hAnsi="Arial Narrow" w:cs="Calibri"/>
                <w:snapToGrid w:val="0"/>
                <w:sz w:val="20"/>
                <w:szCs w:val="20"/>
                <w:lang w:eastAsia="en-US"/>
              </w:rPr>
            </w:r>
            <w:r w:rsidR="00D75151">
              <w:rPr>
                <w:rFonts w:ascii="Arial Narrow" w:hAnsi="Arial Narrow" w:cs="Calibri"/>
                <w:snapToGrid w:val="0"/>
                <w:sz w:val="20"/>
                <w:szCs w:val="20"/>
                <w:lang w:eastAsia="en-US"/>
              </w:rPr>
              <w:fldChar w:fldCharType="separate"/>
            </w:r>
            <w:r w:rsidRPr="00E0178F">
              <w:rPr>
                <w:rFonts w:ascii="Arial Narrow" w:hAnsi="Arial Narrow" w:cs="Calibri"/>
                <w:snapToGrid w:val="0"/>
                <w:sz w:val="20"/>
                <w:szCs w:val="20"/>
                <w:lang w:eastAsia="en-US"/>
              </w:rPr>
              <w:fldChar w:fldCharType="end"/>
            </w:r>
            <w:r w:rsidRPr="00E0178F">
              <w:rPr>
                <w:rFonts w:ascii="Arial Narrow" w:hAnsi="Arial Narrow" w:cs="Calibri"/>
                <w:snapToGrid w:val="0"/>
                <w:sz w:val="20"/>
                <w:szCs w:val="20"/>
                <w:lang w:eastAsia="en-US"/>
              </w:rPr>
              <w:t>Streamlined</w:t>
            </w:r>
          </w:p>
        </w:tc>
      </w:tr>
      <w:tr w:rsidR="005D06D4" w:rsidRPr="00E0178F" w:rsidTr="00083BDD">
        <w:trPr>
          <w:gridAfter w:val="1"/>
          <w:wAfter w:w="35" w:type="pct"/>
          <w:cantSplit/>
          <w:trHeight w:val="360"/>
        </w:trPr>
        <w:tc>
          <w:tcPr>
            <w:tcW w:w="1165" w:type="pct"/>
            <w:tcBorders>
              <w:top w:val="single" w:sz="4" w:space="0" w:color="auto"/>
              <w:left w:val="single" w:sz="4" w:space="0" w:color="auto"/>
              <w:bottom w:val="single" w:sz="4" w:space="0" w:color="auto"/>
              <w:right w:val="single" w:sz="4" w:space="0" w:color="auto"/>
            </w:tcBorders>
          </w:tcPr>
          <w:p w:rsidR="005D06D4" w:rsidRPr="00E0178F" w:rsidRDefault="005D06D4" w:rsidP="005D06D4">
            <w:pPr>
              <w:widowControl w:val="0"/>
              <w:contextualSpacing/>
              <w:jc w:val="both"/>
              <w:rPr>
                <w:rFonts w:ascii="Arial Narrow" w:hAnsi="Arial Narrow" w:cs="Calibri"/>
                <w:b/>
                <w:snapToGrid w:val="0"/>
                <w:sz w:val="20"/>
                <w:szCs w:val="20"/>
                <w:lang w:eastAsia="en-US"/>
              </w:rPr>
            </w:pPr>
            <w:r w:rsidRPr="00E0178F">
              <w:rPr>
                <w:rFonts w:ascii="Arial Narrow" w:hAnsi="Arial Narrow" w:cs="Calibri"/>
                <w:b/>
                <w:snapToGrid w:val="0"/>
                <w:sz w:val="20"/>
                <w:szCs w:val="20"/>
                <w:lang w:eastAsia="en-US"/>
              </w:rPr>
              <w:t>Clinical criteria:</w:t>
            </w:r>
          </w:p>
          <w:p w:rsidR="005D06D4" w:rsidRPr="00E0178F" w:rsidRDefault="005D06D4" w:rsidP="005D06D4">
            <w:pPr>
              <w:widowControl w:val="0"/>
              <w:contextualSpacing/>
              <w:jc w:val="both"/>
              <w:rPr>
                <w:rFonts w:ascii="Arial Narrow" w:hAnsi="Arial Narrow" w:cs="Calibri"/>
                <w:snapToGrid w:val="0"/>
                <w:sz w:val="20"/>
                <w:szCs w:val="20"/>
                <w:lang w:eastAsia="en-US"/>
              </w:rPr>
            </w:pPr>
          </w:p>
        </w:tc>
        <w:tc>
          <w:tcPr>
            <w:tcW w:w="3801" w:type="pct"/>
            <w:gridSpan w:val="5"/>
            <w:tcBorders>
              <w:top w:val="single" w:sz="4" w:space="0" w:color="auto"/>
              <w:left w:val="single" w:sz="4" w:space="0" w:color="auto"/>
              <w:bottom w:val="single" w:sz="4" w:space="0" w:color="auto"/>
              <w:right w:val="single" w:sz="4" w:space="0" w:color="auto"/>
            </w:tcBorders>
          </w:tcPr>
          <w:p w:rsidR="005D06D4" w:rsidRPr="00E0178F" w:rsidRDefault="005D06D4" w:rsidP="005D06D4">
            <w:pPr>
              <w:widowControl w:val="0"/>
              <w:contextualSpacing/>
              <w:jc w:val="both"/>
              <w:rPr>
                <w:rFonts w:ascii="Arial Narrow" w:hAnsi="Arial Narrow" w:cs="Calibri"/>
                <w:snapToGrid w:val="0"/>
                <w:sz w:val="20"/>
                <w:szCs w:val="22"/>
                <w:lang w:eastAsia="en-US"/>
              </w:rPr>
            </w:pPr>
            <w:r w:rsidRPr="00E0178F">
              <w:rPr>
                <w:rFonts w:ascii="Arial Narrow" w:hAnsi="Arial Narrow" w:cs="Calibri"/>
                <w:snapToGrid w:val="0"/>
                <w:sz w:val="20"/>
                <w:szCs w:val="22"/>
                <w:lang w:eastAsia="en-US"/>
              </w:rPr>
              <w:t>Patient must have previously received PBS-subsidised treatment wi</w:t>
            </w:r>
            <w:r w:rsidR="00712068" w:rsidRPr="00E0178F">
              <w:rPr>
                <w:rFonts w:ascii="Arial Narrow" w:hAnsi="Arial Narrow" w:cs="Calibri"/>
                <w:snapToGrid w:val="0"/>
                <w:sz w:val="20"/>
                <w:szCs w:val="22"/>
                <w:lang w:eastAsia="en-US"/>
              </w:rPr>
              <w:t>th this drug for this condition,</w:t>
            </w:r>
          </w:p>
          <w:p w:rsidR="005D06D4" w:rsidRPr="00E0178F" w:rsidRDefault="005D06D4" w:rsidP="005D06D4">
            <w:pPr>
              <w:widowControl w:val="0"/>
              <w:contextualSpacing/>
              <w:jc w:val="both"/>
              <w:rPr>
                <w:rFonts w:ascii="Arial Narrow" w:hAnsi="Arial Narrow" w:cs="Calibri"/>
                <w:snapToGrid w:val="0"/>
                <w:sz w:val="20"/>
                <w:szCs w:val="22"/>
                <w:lang w:eastAsia="en-US"/>
              </w:rPr>
            </w:pPr>
            <w:r w:rsidRPr="00E0178F">
              <w:rPr>
                <w:rFonts w:ascii="Arial Narrow" w:hAnsi="Arial Narrow" w:cs="Calibri"/>
                <w:snapToGrid w:val="0"/>
                <w:sz w:val="20"/>
                <w:szCs w:val="22"/>
                <w:lang w:eastAsia="en-US"/>
              </w:rPr>
              <w:t>AND</w:t>
            </w:r>
          </w:p>
          <w:p w:rsidR="005D06D4" w:rsidRPr="00E0178F" w:rsidRDefault="005D06D4" w:rsidP="005D06D4">
            <w:pPr>
              <w:widowControl w:val="0"/>
              <w:contextualSpacing/>
              <w:jc w:val="both"/>
              <w:rPr>
                <w:rFonts w:ascii="Arial Narrow" w:hAnsi="Arial Narrow" w:cs="Calibri"/>
                <w:snapToGrid w:val="0"/>
                <w:sz w:val="20"/>
                <w:szCs w:val="22"/>
                <w:lang w:eastAsia="en-US"/>
              </w:rPr>
            </w:pPr>
            <w:r w:rsidRPr="00E0178F">
              <w:rPr>
                <w:rFonts w:ascii="Arial Narrow" w:hAnsi="Arial Narrow" w:cs="Calibri"/>
                <w:snapToGrid w:val="0"/>
                <w:sz w:val="20"/>
                <w:szCs w:val="22"/>
                <w:lang w:eastAsia="en-US"/>
              </w:rPr>
              <w:t>Patient must have achieved an objective response with this drug</w:t>
            </w:r>
            <w:r w:rsidR="00712068" w:rsidRPr="00E0178F">
              <w:rPr>
                <w:rFonts w:ascii="Arial Narrow" w:hAnsi="Arial Narrow" w:cs="Calibri"/>
                <w:snapToGrid w:val="0"/>
                <w:sz w:val="20"/>
                <w:szCs w:val="22"/>
                <w:lang w:eastAsia="en-US"/>
              </w:rPr>
              <w:t>,</w:t>
            </w:r>
          </w:p>
          <w:p w:rsidR="005D06D4" w:rsidRPr="00E0178F" w:rsidRDefault="005D06D4" w:rsidP="005D06D4">
            <w:pPr>
              <w:widowControl w:val="0"/>
              <w:contextualSpacing/>
              <w:jc w:val="both"/>
              <w:rPr>
                <w:rFonts w:ascii="Arial Narrow" w:hAnsi="Arial Narrow" w:cs="Calibri"/>
                <w:snapToGrid w:val="0"/>
                <w:sz w:val="20"/>
                <w:szCs w:val="22"/>
                <w:lang w:eastAsia="en-US"/>
              </w:rPr>
            </w:pPr>
            <w:r w:rsidRPr="00E0178F">
              <w:rPr>
                <w:rFonts w:ascii="Arial Narrow" w:hAnsi="Arial Narrow" w:cs="Calibri"/>
                <w:snapToGrid w:val="0"/>
                <w:sz w:val="20"/>
                <w:szCs w:val="22"/>
                <w:lang w:eastAsia="en-US"/>
              </w:rPr>
              <w:t>AND</w:t>
            </w:r>
          </w:p>
          <w:p w:rsidR="005D06D4" w:rsidRPr="00E0178F" w:rsidRDefault="005D06D4" w:rsidP="005D06D4">
            <w:pPr>
              <w:widowControl w:val="0"/>
              <w:contextualSpacing/>
              <w:jc w:val="both"/>
              <w:rPr>
                <w:rFonts w:ascii="Arial Narrow" w:hAnsi="Arial Narrow" w:cs="Calibri"/>
                <w:snapToGrid w:val="0"/>
                <w:sz w:val="20"/>
                <w:szCs w:val="22"/>
                <w:lang w:eastAsia="en-US"/>
              </w:rPr>
            </w:pPr>
            <w:r w:rsidRPr="00E0178F">
              <w:rPr>
                <w:rFonts w:ascii="Arial Narrow" w:hAnsi="Arial Narrow" w:cs="Calibri"/>
                <w:snapToGrid w:val="0"/>
                <w:sz w:val="20"/>
                <w:szCs w:val="22"/>
                <w:lang w:eastAsia="en-US"/>
              </w:rPr>
              <w:t>Patient must not develop disease progression</w:t>
            </w:r>
            <w:r w:rsidRPr="00E0178F">
              <w:rPr>
                <w:rFonts w:ascii="Arial Narrow" w:hAnsi="Arial Narrow" w:cs="Calibri"/>
                <w:i/>
                <w:snapToGrid w:val="0"/>
                <w:sz w:val="20"/>
                <w:szCs w:val="22"/>
                <w:lang w:eastAsia="en-US"/>
              </w:rPr>
              <w:t xml:space="preserve"> </w:t>
            </w:r>
            <w:r w:rsidRPr="00E0178F">
              <w:rPr>
                <w:rFonts w:ascii="Arial Narrow" w:hAnsi="Arial Narrow" w:cs="Calibri"/>
                <w:snapToGrid w:val="0"/>
                <w:sz w:val="20"/>
                <w:szCs w:val="22"/>
                <w:lang w:eastAsia="en-US"/>
              </w:rPr>
              <w:t>while receiving PBS-subsidised treatment with this drug for this condition,</w:t>
            </w:r>
          </w:p>
          <w:p w:rsidR="005D06D4" w:rsidRPr="00E0178F" w:rsidRDefault="005D06D4" w:rsidP="005D06D4">
            <w:pPr>
              <w:widowControl w:val="0"/>
              <w:contextualSpacing/>
              <w:jc w:val="both"/>
              <w:rPr>
                <w:rFonts w:ascii="Arial Narrow" w:hAnsi="Arial Narrow" w:cs="Calibri"/>
                <w:snapToGrid w:val="0"/>
                <w:sz w:val="20"/>
                <w:szCs w:val="22"/>
                <w:lang w:eastAsia="en-US"/>
              </w:rPr>
            </w:pPr>
            <w:r w:rsidRPr="00E0178F">
              <w:rPr>
                <w:rFonts w:ascii="Arial Narrow" w:hAnsi="Arial Narrow" w:cs="Calibri"/>
                <w:snapToGrid w:val="0"/>
                <w:sz w:val="20"/>
                <w:szCs w:val="22"/>
                <w:lang w:eastAsia="en-US"/>
              </w:rPr>
              <w:t>AND</w:t>
            </w:r>
          </w:p>
          <w:p w:rsidR="005D06D4" w:rsidRPr="00E0178F" w:rsidRDefault="005D06D4" w:rsidP="005D06D4">
            <w:pPr>
              <w:widowControl w:val="0"/>
              <w:contextualSpacing/>
              <w:jc w:val="both"/>
              <w:rPr>
                <w:rFonts w:ascii="Arial Narrow" w:hAnsi="Arial Narrow" w:cs="Calibri"/>
                <w:snapToGrid w:val="0"/>
                <w:sz w:val="20"/>
                <w:szCs w:val="22"/>
                <w:lang w:eastAsia="en-US"/>
              </w:rPr>
            </w:pPr>
            <w:r w:rsidRPr="00E0178F">
              <w:rPr>
                <w:rFonts w:ascii="Arial Narrow" w:hAnsi="Arial Narrow" w:cs="Calibri"/>
                <w:snapToGrid w:val="0"/>
                <w:sz w:val="20"/>
                <w:szCs w:val="22"/>
                <w:lang w:eastAsia="en-US"/>
              </w:rPr>
              <w:t>The treatment must be the sole PBS-subsid</w:t>
            </w:r>
            <w:r w:rsidR="00712068" w:rsidRPr="00E0178F">
              <w:rPr>
                <w:rFonts w:ascii="Arial Narrow" w:hAnsi="Arial Narrow" w:cs="Calibri"/>
                <w:snapToGrid w:val="0"/>
                <w:sz w:val="20"/>
                <w:szCs w:val="22"/>
                <w:lang w:eastAsia="en-US"/>
              </w:rPr>
              <w:t xml:space="preserve">ised </w:t>
            </w:r>
            <w:r w:rsidR="0083036F" w:rsidRPr="00E0178F">
              <w:rPr>
                <w:rFonts w:ascii="Arial Narrow" w:hAnsi="Arial Narrow" w:cs="Calibri"/>
                <w:snapToGrid w:val="0"/>
                <w:sz w:val="20"/>
                <w:szCs w:val="20"/>
                <w:lang w:eastAsia="en-US"/>
              </w:rPr>
              <w:t xml:space="preserve">systemic anti-cancer </w:t>
            </w:r>
            <w:r w:rsidR="00712068" w:rsidRPr="00E0178F">
              <w:rPr>
                <w:rFonts w:ascii="Arial Narrow" w:hAnsi="Arial Narrow" w:cs="Calibri"/>
                <w:snapToGrid w:val="0"/>
                <w:sz w:val="20"/>
                <w:szCs w:val="22"/>
                <w:lang w:eastAsia="en-US"/>
              </w:rPr>
              <w:t>therapy for this condition,</w:t>
            </w:r>
          </w:p>
          <w:p w:rsidR="005D06D4" w:rsidRPr="00E0178F" w:rsidRDefault="005D06D4" w:rsidP="005D06D4">
            <w:pPr>
              <w:widowControl w:val="0"/>
              <w:contextualSpacing/>
              <w:jc w:val="both"/>
              <w:rPr>
                <w:rFonts w:ascii="Arial Narrow" w:hAnsi="Arial Narrow" w:cs="Calibri"/>
                <w:snapToGrid w:val="0"/>
                <w:sz w:val="20"/>
                <w:szCs w:val="22"/>
                <w:lang w:eastAsia="en-US"/>
              </w:rPr>
            </w:pPr>
            <w:r w:rsidRPr="00E0178F">
              <w:rPr>
                <w:rFonts w:ascii="Arial Narrow" w:hAnsi="Arial Narrow" w:cs="Calibri"/>
                <w:snapToGrid w:val="0"/>
                <w:sz w:val="20"/>
                <w:szCs w:val="22"/>
                <w:lang w:eastAsia="en-US"/>
              </w:rPr>
              <w:t xml:space="preserve">AND </w:t>
            </w:r>
          </w:p>
          <w:p w:rsidR="005D06D4" w:rsidRPr="00E0178F" w:rsidRDefault="005D06D4" w:rsidP="001677DC">
            <w:pPr>
              <w:widowControl w:val="0"/>
              <w:contextualSpacing/>
              <w:jc w:val="both"/>
              <w:rPr>
                <w:rFonts w:ascii="Arial Narrow" w:hAnsi="Arial Narrow" w:cs="Calibri"/>
                <w:snapToGrid w:val="0"/>
                <w:sz w:val="20"/>
                <w:szCs w:val="22"/>
                <w:lang w:eastAsia="en-US"/>
              </w:rPr>
            </w:pPr>
            <w:r w:rsidRPr="00E0178F">
              <w:rPr>
                <w:rFonts w:ascii="Arial Narrow" w:hAnsi="Arial Narrow" w:cs="Calibri"/>
                <w:snapToGrid w:val="0"/>
                <w:sz w:val="20"/>
                <w:szCs w:val="22"/>
                <w:lang w:eastAsia="en-US"/>
              </w:rPr>
              <w:t>The treatment must not exceed 12 cycles under this restriction.</w:t>
            </w:r>
          </w:p>
        </w:tc>
      </w:tr>
      <w:tr w:rsidR="005D06D4" w:rsidRPr="00E0178F" w:rsidTr="00083BDD">
        <w:trPr>
          <w:gridAfter w:val="1"/>
          <w:wAfter w:w="35" w:type="pct"/>
          <w:cantSplit/>
          <w:trHeight w:val="360"/>
        </w:trPr>
        <w:tc>
          <w:tcPr>
            <w:tcW w:w="1165" w:type="pct"/>
            <w:tcBorders>
              <w:top w:val="single" w:sz="4" w:space="0" w:color="auto"/>
              <w:left w:val="single" w:sz="4" w:space="0" w:color="auto"/>
              <w:bottom w:val="single" w:sz="4" w:space="0" w:color="auto"/>
              <w:right w:val="single" w:sz="4" w:space="0" w:color="auto"/>
            </w:tcBorders>
          </w:tcPr>
          <w:p w:rsidR="005D06D4" w:rsidRPr="00E0178F" w:rsidRDefault="005D06D4" w:rsidP="005D06D4">
            <w:pPr>
              <w:widowControl w:val="0"/>
              <w:contextualSpacing/>
              <w:jc w:val="both"/>
              <w:rPr>
                <w:rFonts w:ascii="Arial Narrow" w:hAnsi="Arial Narrow" w:cs="Arial"/>
                <w:b/>
                <w:snapToGrid w:val="0"/>
                <w:sz w:val="20"/>
                <w:szCs w:val="20"/>
                <w:lang w:eastAsia="en-US"/>
              </w:rPr>
            </w:pPr>
            <w:r w:rsidRPr="00E0178F">
              <w:rPr>
                <w:rFonts w:ascii="Arial Narrow" w:hAnsi="Arial Narrow" w:cs="Arial"/>
                <w:b/>
                <w:snapToGrid w:val="0"/>
                <w:sz w:val="20"/>
                <w:szCs w:val="20"/>
                <w:lang w:eastAsia="en-US"/>
              </w:rPr>
              <w:t>Prescriber Instructions</w:t>
            </w:r>
          </w:p>
        </w:tc>
        <w:tc>
          <w:tcPr>
            <w:tcW w:w="3801" w:type="pct"/>
            <w:gridSpan w:val="5"/>
            <w:tcBorders>
              <w:top w:val="single" w:sz="4" w:space="0" w:color="auto"/>
              <w:left w:val="single" w:sz="4" w:space="0" w:color="auto"/>
              <w:bottom w:val="single" w:sz="4" w:space="0" w:color="auto"/>
              <w:right w:val="single" w:sz="4" w:space="0" w:color="auto"/>
            </w:tcBorders>
          </w:tcPr>
          <w:p w:rsidR="00741A64" w:rsidRPr="00E0178F" w:rsidRDefault="00741A64" w:rsidP="00741A64">
            <w:pPr>
              <w:widowControl w:val="0"/>
              <w:contextualSpacing/>
              <w:jc w:val="both"/>
              <w:rPr>
                <w:rFonts w:ascii="Arial Narrow" w:hAnsi="Arial Narrow" w:cs="Calibri"/>
                <w:snapToGrid w:val="0"/>
                <w:sz w:val="20"/>
                <w:szCs w:val="22"/>
              </w:rPr>
            </w:pPr>
            <w:r w:rsidRPr="00E0178F">
              <w:rPr>
                <w:rFonts w:ascii="Arial Narrow" w:hAnsi="Arial Narrow" w:cs="Calibri"/>
                <w:snapToGrid w:val="0"/>
                <w:sz w:val="20"/>
                <w:szCs w:val="22"/>
              </w:rPr>
              <w:t xml:space="preserve">An objective response </w:t>
            </w:r>
            <w:proofErr w:type="gramStart"/>
            <w:r w:rsidRPr="00E0178F">
              <w:rPr>
                <w:rFonts w:ascii="Arial Narrow" w:hAnsi="Arial Narrow" w:cs="Calibri"/>
                <w:snapToGrid w:val="0"/>
                <w:sz w:val="20"/>
                <w:szCs w:val="22"/>
              </w:rPr>
              <w:t>is defined</w:t>
            </w:r>
            <w:proofErr w:type="gramEnd"/>
            <w:r w:rsidRPr="00E0178F">
              <w:rPr>
                <w:rFonts w:ascii="Arial Narrow" w:hAnsi="Arial Narrow" w:cs="Calibri"/>
                <w:snapToGrid w:val="0"/>
                <w:sz w:val="20"/>
                <w:szCs w:val="22"/>
              </w:rPr>
              <w:t xml:space="preserve"> as the demonstration of response by clinical observation of skin lesions, or response by positron-emission tomography (PET) and/or computed tomography (C</w:t>
            </w:r>
            <w:r w:rsidR="00D47CAA">
              <w:rPr>
                <w:rFonts w:ascii="Arial Narrow" w:hAnsi="Arial Narrow" w:cs="Calibri"/>
                <w:snapToGrid w:val="0"/>
                <w:sz w:val="20"/>
                <w:szCs w:val="22"/>
              </w:rPr>
              <w:t>T) standard criteria.</w:t>
            </w:r>
          </w:p>
          <w:p w:rsidR="005D06D4" w:rsidRPr="00E0178F" w:rsidRDefault="005D06D4" w:rsidP="005D06D4">
            <w:pPr>
              <w:widowControl w:val="0"/>
              <w:contextualSpacing/>
              <w:jc w:val="both"/>
              <w:rPr>
                <w:rFonts w:ascii="Arial Narrow" w:hAnsi="Arial Narrow" w:cs="Calibri"/>
                <w:snapToGrid w:val="0"/>
                <w:sz w:val="20"/>
                <w:szCs w:val="22"/>
                <w:lang w:eastAsia="en-US"/>
              </w:rPr>
            </w:pPr>
            <w:r w:rsidRPr="00E0178F">
              <w:rPr>
                <w:rFonts w:ascii="Arial Narrow" w:hAnsi="Arial Narrow" w:cs="Calibri"/>
                <w:snapToGrid w:val="0"/>
                <w:sz w:val="20"/>
                <w:szCs w:val="22"/>
                <w:lang w:eastAsia="en-US"/>
              </w:rPr>
              <w:t xml:space="preserve">The treatment must not exceed a lifetime </w:t>
            </w:r>
            <w:proofErr w:type="gramStart"/>
            <w:r w:rsidRPr="00E0178F">
              <w:rPr>
                <w:rFonts w:ascii="Arial Narrow" w:hAnsi="Arial Narrow" w:cs="Calibri"/>
                <w:snapToGrid w:val="0"/>
                <w:sz w:val="20"/>
                <w:szCs w:val="22"/>
                <w:lang w:eastAsia="en-US"/>
              </w:rPr>
              <w:t>total of 16</w:t>
            </w:r>
            <w:proofErr w:type="gramEnd"/>
            <w:r w:rsidRPr="00E0178F">
              <w:rPr>
                <w:rFonts w:ascii="Arial Narrow" w:hAnsi="Arial Narrow" w:cs="Calibri"/>
                <w:snapToGrid w:val="0"/>
                <w:sz w:val="20"/>
                <w:szCs w:val="22"/>
                <w:lang w:eastAsia="en-US"/>
              </w:rPr>
              <w:t xml:space="preserve"> cycles.</w:t>
            </w:r>
          </w:p>
        </w:tc>
      </w:tr>
      <w:tr w:rsidR="005D06D4" w:rsidRPr="00E0178F" w:rsidTr="00083BDD">
        <w:trPr>
          <w:gridAfter w:val="1"/>
          <w:wAfter w:w="35" w:type="pct"/>
          <w:cantSplit/>
          <w:trHeight w:val="360"/>
        </w:trPr>
        <w:tc>
          <w:tcPr>
            <w:tcW w:w="1165" w:type="pct"/>
            <w:tcBorders>
              <w:top w:val="single" w:sz="4" w:space="0" w:color="auto"/>
              <w:left w:val="single" w:sz="4" w:space="0" w:color="auto"/>
              <w:bottom w:val="single" w:sz="4" w:space="0" w:color="auto"/>
              <w:right w:val="single" w:sz="4" w:space="0" w:color="auto"/>
            </w:tcBorders>
          </w:tcPr>
          <w:p w:rsidR="005D06D4" w:rsidRPr="00E0178F" w:rsidRDefault="005D06D4" w:rsidP="005D06D4">
            <w:pPr>
              <w:widowControl w:val="0"/>
              <w:contextualSpacing/>
              <w:jc w:val="both"/>
              <w:rPr>
                <w:rFonts w:ascii="Arial Narrow" w:hAnsi="Arial Narrow" w:cs="Arial"/>
                <w:b/>
                <w:snapToGrid w:val="0"/>
                <w:sz w:val="20"/>
                <w:szCs w:val="20"/>
                <w:lang w:eastAsia="en-US"/>
              </w:rPr>
            </w:pPr>
            <w:r w:rsidRPr="00E0178F">
              <w:rPr>
                <w:rFonts w:ascii="Arial Narrow" w:hAnsi="Arial Narrow" w:cs="Arial"/>
                <w:b/>
                <w:snapToGrid w:val="0"/>
                <w:sz w:val="20"/>
                <w:szCs w:val="20"/>
                <w:lang w:eastAsia="en-US"/>
              </w:rPr>
              <w:t>Administrative Advice</w:t>
            </w:r>
          </w:p>
        </w:tc>
        <w:tc>
          <w:tcPr>
            <w:tcW w:w="3801" w:type="pct"/>
            <w:gridSpan w:val="5"/>
            <w:tcBorders>
              <w:top w:val="single" w:sz="4" w:space="0" w:color="auto"/>
              <w:left w:val="single" w:sz="4" w:space="0" w:color="auto"/>
              <w:bottom w:val="single" w:sz="4" w:space="0" w:color="auto"/>
              <w:right w:val="single" w:sz="4" w:space="0" w:color="auto"/>
            </w:tcBorders>
          </w:tcPr>
          <w:p w:rsidR="005D06D4" w:rsidRPr="00E0178F" w:rsidRDefault="005D06D4" w:rsidP="005D06D4">
            <w:pPr>
              <w:widowControl w:val="0"/>
              <w:jc w:val="both"/>
              <w:rPr>
                <w:rFonts w:ascii="Arial Narrow" w:hAnsi="Arial Narrow" w:cs="Calibri"/>
                <w:snapToGrid w:val="0"/>
                <w:sz w:val="20"/>
                <w:szCs w:val="22"/>
                <w:lang w:eastAsia="en-US"/>
              </w:rPr>
            </w:pPr>
            <w:r w:rsidRPr="00E0178F">
              <w:rPr>
                <w:rFonts w:ascii="Arial Narrow" w:hAnsi="Arial Narrow" w:cs="Calibri"/>
                <w:snapToGrid w:val="0"/>
                <w:sz w:val="20"/>
                <w:szCs w:val="22"/>
                <w:lang w:eastAsia="en-US"/>
              </w:rPr>
              <w:t>No increase in the maximum numbe</w:t>
            </w:r>
            <w:r w:rsidR="00D47CAA">
              <w:rPr>
                <w:rFonts w:ascii="Arial Narrow" w:hAnsi="Arial Narrow" w:cs="Calibri"/>
                <w:snapToGrid w:val="0"/>
                <w:sz w:val="20"/>
                <w:szCs w:val="22"/>
                <w:lang w:eastAsia="en-US"/>
              </w:rPr>
              <w:t>r of repeats may be authorised.</w:t>
            </w:r>
          </w:p>
          <w:p w:rsidR="005D06D4" w:rsidRPr="00E0178F" w:rsidRDefault="005D06D4" w:rsidP="005D06D4">
            <w:pPr>
              <w:widowControl w:val="0"/>
              <w:jc w:val="both"/>
              <w:rPr>
                <w:rFonts w:ascii="Arial Narrow" w:hAnsi="Arial Narrow" w:cs="Calibri"/>
                <w:snapToGrid w:val="0"/>
                <w:sz w:val="20"/>
                <w:szCs w:val="22"/>
                <w:lang w:eastAsia="en-US"/>
              </w:rPr>
            </w:pPr>
            <w:r w:rsidRPr="00E0178F">
              <w:rPr>
                <w:rFonts w:ascii="Arial Narrow" w:hAnsi="Arial Narrow" w:cs="Calibri"/>
                <w:snapToGrid w:val="0"/>
                <w:sz w:val="20"/>
                <w:szCs w:val="22"/>
                <w:lang w:eastAsia="en-US"/>
              </w:rPr>
              <w:t>No increase in the maximum quantity or number of units may be authorised.</w:t>
            </w:r>
          </w:p>
          <w:p w:rsidR="005D06D4" w:rsidRPr="00E0178F" w:rsidRDefault="005D06D4" w:rsidP="005D06D4">
            <w:pPr>
              <w:widowControl w:val="0"/>
              <w:jc w:val="both"/>
              <w:rPr>
                <w:rFonts w:ascii="Arial Narrow" w:hAnsi="Arial Narrow" w:cs="Calibri"/>
                <w:snapToGrid w:val="0"/>
                <w:sz w:val="20"/>
                <w:szCs w:val="22"/>
                <w:lang w:eastAsia="en-US"/>
              </w:rPr>
            </w:pPr>
            <w:r w:rsidRPr="00E0178F">
              <w:rPr>
                <w:rFonts w:ascii="Arial Narrow" w:hAnsi="Arial Narrow" w:cs="Calibri"/>
                <w:snapToGrid w:val="0"/>
                <w:sz w:val="20"/>
                <w:szCs w:val="22"/>
                <w:lang w:eastAsia="en-US"/>
              </w:rPr>
              <w:t>Special Pricing Arrangements apply.</w:t>
            </w:r>
          </w:p>
        </w:tc>
      </w:tr>
    </w:tbl>
    <w:p w:rsidR="00E97008" w:rsidRPr="005D06D4" w:rsidRDefault="00E97008" w:rsidP="005D06D4">
      <w:pPr>
        <w:jc w:val="both"/>
        <w:rPr>
          <w:rFonts w:asciiTheme="minorHAnsi" w:hAnsiTheme="minorHAnsi" w:cs="Arial"/>
          <w:bCs/>
          <w:snapToGrid w:val="0"/>
          <w:lang w:val="en-GB"/>
        </w:rPr>
      </w:pPr>
    </w:p>
    <w:p w:rsidR="00C25977" w:rsidRPr="00FD04AB" w:rsidRDefault="00FA0CB6" w:rsidP="00FA0CB6">
      <w:pPr>
        <w:pStyle w:val="Heading1"/>
        <w:rPr>
          <w:lang w:val="en-GB"/>
        </w:rPr>
      </w:pPr>
      <w:r w:rsidRPr="00FD04AB">
        <w:rPr>
          <w:lang w:val="en-GB"/>
        </w:rPr>
        <w:t>Context for Decision</w:t>
      </w:r>
    </w:p>
    <w:p w:rsidR="00FA0CB6" w:rsidRPr="00FD04AB" w:rsidRDefault="00FA0CB6" w:rsidP="00C31241">
      <w:pPr>
        <w:spacing w:after="120"/>
        <w:ind w:left="720"/>
        <w:jc w:val="both"/>
        <w:rPr>
          <w:rFonts w:asciiTheme="minorHAnsi" w:eastAsiaTheme="minorHAnsi" w:hAnsiTheme="minorHAnsi"/>
        </w:rPr>
      </w:pPr>
      <w:r w:rsidRPr="00FD04AB">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A0CB6" w:rsidRPr="00FD04AB" w:rsidRDefault="00FA0CB6" w:rsidP="00FA0CB6">
      <w:pPr>
        <w:pStyle w:val="Heading1"/>
        <w:rPr>
          <w:lang w:val="en-GB"/>
        </w:rPr>
      </w:pPr>
      <w:r w:rsidRPr="00FD04AB">
        <w:rPr>
          <w:lang w:val="en-GB"/>
        </w:rPr>
        <w:t>Sponsor’s Comment</w:t>
      </w:r>
    </w:p>
    <w:p w:rsidR="00F64CC1" w:rsidRPr="00D75151" w:rsidRDefault="00C151DF" w:rsidP="00D75151">
      <w:pPr>
        <w:pStyle w:val="ListParagraph"/>
        <w:rPr>
          <w:rFonts w:ascii="Calibri" w:hAnsi="Calibri" w:cs="Calibri"/>
          <w:sz w:val="24"/>
          <w:szCs w:val="24"/>
        </w:rPr>
      </w:pPr>
      <w:r w:rsidRPr="00126CB6">
        <w:rPr>
          <w:rFonts w:asciiTheme="minorHAnsi" w:eastAsiaTheme="minorHAnsi" w:hAnsiTheme="minorHAnsi"/>
          <w:bCs/>
          <w:sz w:val="24"/>
          <w:szCs w:val="24"/>
          <w:lang w:val="en-GB"/>
        </w:rPr>
        <w:t xml:space="preserve">Takeda Pharmaceuticals Australia welcomes the PBAC’s positive recommendation for the listing of its innovative medicine </w:t>
      </w:r>
      <w:proofErr w:type="spellStart"/>
      <w:r w:rsidRPr="00126CB6">
        <w:rPr>
          <w:rFonts w:asciiTheme="minorHAnsi" w:eastAsiaTheme="minorHAnsi" w:hAnsiTheme="minorHAnsi"/>
          <w:bCs/>
          <w:sz w:val="24"/>
          <w:szCs w:val="24"/>
          <w:lang w:val="en-GB"/>
        </w:rPr>
        <w:t>brentuximab</w:t>
      </w:r>
      <w:proofErr w:type="spellEnd"/>
      <w:r w:rsidRPr="00126CB6">
        <w:rPr>
          <w:rFonts w:asciiTheme="minorHAnsi" w:eastAsiaTheme="minorHAnsi" w:hAnsiTheme="minorHAnsi"/>
          <w:bCs/>
          <w:sz w:val="24"/>
          <w:szCs w:val="24"/>
          <w:lang w:val="en-GB"/>
        </w:rPr>
        <w:t xml:space="preserve"> </w:t>
      </w:r>
      <w:proofErr w:type="spellStart"/>
      <w:r w:rsidRPr="00126CB6">
        <w:rPr>
          <w:rFonts w:asciiTheme="minorHAnsi" w:eastAsiaTheme="minorHAnsi" w:hAnsiTheme="minorHAnsi"/>
          <w:bCs/>
          <w:sz w:val="24"/>
          <w:szCs w:val="24"/>
          <w:lang w:val="en-GB"/>
        </w:rPr>
        <w:t>vedotin</w:t>
      </w:r>
      <w:proofErr w:type="spellEnd"/>
      <w:r w:rsidRPr="00126CB6">
        <w:rPr>
          <w:rFonts w:asciiTheme="minorHAnsi" w:eastAsiaTheme="minorHAnsi" w:hAnsiTheme="minorHAnsi"/>
          <w:bCs/>
          <w:sz w:val="24"/>
          <w:szCs w:val="24"/>
          <w:lang w:val="en-GB"/>
        </w:rPr>
        <w:t xml:space="preserve"> for patients with relapsed </w:t>
      </w:r>
      <w:r w:rsidRPr="00126CB6">
        <w:rPr>
          <w:rFonts w:asciiTheme="minorHAnsi" w:eastAsiaTheme="minorHAnsi" w:hAnsiTheme="minorHAnsi"/>
          <w:bCs/>
          <w:sz w:val="24"/>
          <w:szCs w:val="24"/>
          <w:lang w:val="en-GB"/>
        </w:rPr>
        <w:lastRenderedPageBreak/>
        <w:t>or refractory cutaneous T-cell lymphoma. Takeda Australia also acknowledges and thanks the clinical community and the patients / carers who contributed to this outcome via their input to the PBAC.</w:t>
      </w:r>
      <w:bookmarkStart w:id="1" w:name="_GoBack"/>
      <w:bookmarkEnd w:id="1"/>
    </w:p>
    <w:sectPr w:rsidR="00F64CC1" w:rsidRPr="00D75151" w:rsidSect="00C27B58">
      <w:headerReference w:type="default" r:id="rId8"/>
      <w:footerReference w:type="default" r:id="rId9"/>
      <w:pgSz w:w="11906" w:h="16838"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082757" w16cid:durableId="1F96EFF0"/>
  <w16cid:commentId w16cid:paraId="2D185CC3" w16cid:durableId="1F9D154C"/>
  <w16cid:commentId w16cid:paraId="1CBC9584" w16cid:durableId="1F9D1770"/>
  <w16cid:commentId w16cid:paraId="55DA126A" w16cid:durableId="1F96EFF1"/>
  <w16cid:commentId w16cid:paraId="0B3F30D9" w16cid:durableId="1F9D17CE"/>
  <w16cid:commentId w16cid:paraId="0C374E3D" w16cid:durableId="1F96EFF2"/>
  <w16cid:commentId w16cid:paraId="2A01563C" w16cid:durableId="1F96EFF3"/>
  <w16cid:commentId w16cid:paraId="61E65698" w16cid:durableId="1F9D1814"/>
  <w16cid:commentId w16cid:paraId="212312C1" w16cid:durableId="1F9D1871"/>
  <w16cid:commentId w16cid:paraId="0C1BF9E9" w16cid:durableId="1F96EFF4"/>
  <w16cid:commentId w16cid:paraId="3BE3E312" w16cid:durableId="1F9D18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494" w:rsidRDefault="00146494">
      <w:r>
        <w:separator/>
      </w:r>
    </w:p>
    <w:p w:rsidR="00146494" w:rsidRDefault="00146494"/>
  </w:endnote>
  <w:endnote w:type="continuationSeparator" w:id="0">
    <w:p w:rsidR="00146494" w:rsidRDefault="00146494">
      <w:r>
        <w:continuationSeparator/>
      </w:r>
    </w:p>
    <w:p w:rsidR="00146494" w:rsidRDefault="00146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676366"/>
      <w:docPartObj>
        <w:docPartGallery w:val="Page Numbers (Bottom of Page)"/>
        <w:docPartUnique/>
      </w:docPartObj>
    </w:sdtPr>
    <w:sdtEndPr>
      <w:rPr>
        <w:rFonts w:asciiTheme="minorHAnsi" w:hAnsiTheme="minorHAnsi" w:cstheme="minorHAnsi"/>
        <w:noProof/>
      </w:rPr>
    </w:sdtEndPr>
    <w:sdtContent>
      <w:p w:rsidR="000C05DC" w:rsidRDefault="000C05DC">
        <w:pPr>
          <w:pStyle w:val="Footer"/>
          <w:jc w:val="center"/>
        </w:pPr>
      </w:p>
      <w:p w:rsidR="000C05DC" w:rsidRPr="000C05DC" w:rsidRDefault="000C05DC">
        <w:pPr>
          <w:pStyle w:val="Footer"/>
          <w:jc w:val="center"/>
          <w:rPr>
            <w:rFonts w:asciiTheme="minorHAnsi" w:hAnsiTheme="minorHAnsi" w:cstheme="minorHAnsi"/>
          </w:rPr>
        </w:pPr>
        <w:r w:rsidRPr="000C05DC">
          <w:rPr>
            <w:rFonts w:asciiTheme="minorHAnsi" w:hAnsiTheme="minorHAnsi" w:cstheme="minorHAnsi"/>
          </w:rPr>
          <w:fldChar w:fldCharType="begin"/>
        </w:r>
        <w:r w:rsidRPr="000C05DC">
          <w:rPr>
            <w:rFonts w:asciiTheme="minorHAnsi" w:hAnsiTheme="minorHAnsi" w:cstheme="minorHAnsi"/>
          </w:rPr>
          <w:instrText xml:space="preserve"> PAGE   \* MERGEFORMAT </w:instrText>
        </w:r>
        <w:r w:rsidRPr="000C05DC">
          <w:rPr>
            <w:rFonts w:asciiTheme="minorHAnsi" w:hAnsiTheme="minorHAnsi" w:cstheme="minorHAnsi"/>
          </w:rPr>
          <w:fldChar w:fldCharType="separate"/>
        </w:r>
        <w:r w:rsidR="00D75151">
          <w:rPr>
            <w:rFonts w:asciiTheme="minorHAnsi" w:hAnsiTheme="minorHAnsi" w:cstheme="minorHAnsi"/>
            <w:noProof/>
          </w:rPr>
          <w:t>25</w:t>
        </w:r>
        <w:r w:rsidRPr="000C05DC">
          <w:rPr>
            <w:rFonts w:asciiTheme="minorHAnsi" w:hAnsiTheme="minorHAnsi" w:cstheme="minorHAnsi"/>
            <w:noProof/>
          </w:rPr>
          <w:fldChar w:fldCharType="end"/>
        </w:r>
      </w:p>
    </w:sdtContent>
  </w:sdt>
  <w:p w:rsidR="000C05DC" w:rsidRDefault="000C0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494" w:rsidRDefault="00146494">
      <w:r>
        <w:separator/>
      </w:r>
    </w:p>
    <w:p w:rsidR="00146494" w:rsidRDefault="00146494"/>
  </w:footnote>
  <w:footnote w:type="continuationSeparator" w:id="0">
    <w:p w:rsidR="00146494" w:rsidRDefault="00146494">
      <w:r>
        <w:continuationSeparator/>
      </w:r>
    </w:p>
    <w:p w:rsidR="00146494" w:rsidRDefault="00146494"/>
  </w:footnote>
  <w:footnote w:id="1">
    <w:p w:rsidR="00593237" w:rsidRPr="00F22B60" w:rsidRDefault="00593237">
      <w:pPr>
        <w:pStyle w:val="FootnoteText"/>
        <w:rPr>
          <w:rFonts w:asciiTheme="minorHAnsi" w:hAnsiTheme="minorHAnsi" w:cstheme="minorHAnsi"/>
        </w:rPr>
      </w:pPr>
      <w:r w:rsidRPr="00F22B60">
        <w:rPr>
          <w:rStyle w:val="FootnoteReference"/>
          <w:rFonts w:asciiTheme="minorHAnsi" w:hAnsiTheme="minorHAnsi" w:cstheme="minorHAnsi"/>
        </w:rPr>
        <w:footnoteRef/>
      </w:r>
      <w:r w:rsidRPr="00F22B60">
        <w:rPr>
          <w:rFonts w:asciiTheme="minorHAnsi" w:hAnsiTheme="minorHAnsi" w:cstheme="minorHAnsi"/>
        </w:rPr>
        <w:t xml:space="preserve"> </w:t>
      </w:r>
      <w:r>
        <w:rPr>
          <w:rFonts w:asciiTheme="minorHAnsi" w:hAnsiTheme="minorHAnsi" w:cstheme="minorHAnsi"/>
        </w:rPr>
        <w:t xml:space="preserve">DPMQ calculated using ‘Impact-Pub’ and ‘Impact-EFF’ worksheets from 2018-0306_Takeda_brentuximab </w:t>
      </w:r>
      <w:proofErr w:type="spellStart"/>
      <w:r>
        <w:rPr>
          <w:rFonts w:asciiTheme="minorHAnsi" w:hAnsiTheme="minorHAnsi" w:cstheme="minorHAnsi"/>
        </w:rPr>
        <w:t>vedotin_utilisation</w:t>
      </w:r>
      <w:proofErr w:type="spellEnd"/>
      <w:r>
        <w:rPr>
          <w:rFonts w:asciiTheme="minorHAnsi" w:hAnsiTheme="minorHAnsi" w:cstheme="minorHAnsi"/>
        </w:rPr>
        <w:t xml:space="preserve"> and cost model RR </w:t>
      </w:r>
      <w:proofErr w:type="spellStart"/>
      <w:r>
        <w:rPr>
          <w:rFonts w:asciiTheme="minorHAnsi" w:hAnsiTheme="minorHAnsi" w:cstheme="minorHAnsi"/>
        </w:rPr>
        <w:t>CTCL_Section</w:t>
      </w:r>
      <w:proofErr w:type="spellEnd"/>
      <w:r>
        <w:rPr>
          <w:rFonts w:asciiTheme="minorHAnsi" w:hAnsiTheme="minorHAnsi" w:cstheme="minorHAnsi"/>
        </w:rPr>
        <w:t xml:space="preserve"> 4.xlsx.</w:t>
      </w:r>
    </w:p>
  </w:footnote>
  <w:footnote w:id="2">
    <w:p w:rsidR="00593237" w:rsidRPr="00F22B60" w:rsidRDefault="00593237" w:rsidP="00AE64E3">
      <w:pPr>
        <w:pStyle w:val="FootnoteText"/>
        <w:rPr>
          <w:rFonts w:asciiTheme="minorHAnsi" w:hAnsiTheme="minorHAnsi" w:cstheme="minorHAnsi"/>
        </w:rPr>
      </w:pPr>
      <w:r w:rsidRPr="00F22B60">
        <w:rPr>
          <w:rStyle w:val="FootnoteReference"/>
          <w:rFonts w:asciiTheme="minorHAnsi" w:hAnsiTheme="minorHAnsi" w:cstheme="minorHAnsi"/>
        </w:rPr>
        <w:footnoteRef/>
      </w:r>
      <w:r w:rsidRPr="00F22B60">
        <w:rPr>
          <w:rFonts w:asciiTheme="minorHAnsi" w:hAnsiTheme="minorHAnsi" w:cstheme="minorHAnsi"/>
        </w:rPr>
        <w:t xml:space="preserve"> </w:t>
      </w:r>
      <w:r>
        <w:rPr>
          <w:rFonts w:asciiTheme="minorHAnsi" w:hAnsiTheme="minorHAnsi" w:cstheme="minorHAnsi"/>
        </w:rPr>
        <w:t xml:space="preserve">DPMQ calculated using ‘Impact-Pub’ and ‘Impact-EFF’ worksheets from 2018-0306_Takeda_brentuximab </w:t>
      </w:r>
      <w:proofErr w:type="spellStart"/>
      <w:r>
        <w:rPr>
          <w:rFonts w:asciiTheme="minorHAnsi" w:hAnsiTheme="minorHAnsi" w:cstheme="minorHAnsi"/>
        </w:rPr>
        <w:t>vedotin_utilisation</w:t>
      </w:r>
      <w:proofErr w:type="spellEnd"/>
      <w:r>
        <w:rPr>
          <w:rFonts w:asciiTheme="minorHAnsi" w:hAnsiTheme="minorHAnsi" w:cstheme="minorHAnsi"/>
        </w:rPr>
        <w:t xml:space="preserve"> and cost model RR </w:t>
      </w:r>
      <w:proofErr w:type="spellStart"/>
      <w:r>
        <w:rPr>
          <w:rFonts w:asciiTheme="minorHAnsi" w:hAnsiTheme="minorHAnsi" w:cstheme="minorHAnsi"/>
        </w:rPr>
        <w:t>CTCL_Section</w:t>
      </w:r>
      <w:proofErr w:type="spellEnd"/>
      <w:r>
        <w:rPr>
          <w:rFonts w:asciiTheme="minorHAnsi" w:hAnsiTheme="minorHAnsi" w:cstheme="minorHAnsi"/>
        </w:rPr>
        <w:t xml:space="preserve"> 4.xlsx.</w:t>
      </w:r>
    </w:p>
  </w:footnote>
  <w:footnote w:id="3">
    <w:p w:rsidR="00593237" w:rsidRPr="00717CA6" w:rsidRDefault="00593237" w:rsidP="00C93A2E">
      <w:pPr>
        <w:pStyle w:val="FootnoteText"/>
        <w:rPr>
          <w:rFonts w:asciiTheme="minorHAnsi" w:hAnsiTheme="minorHAnsi" w:cstheme="minorHAnsi"/>
        </w:rPr>
      </w:pPr>
      <w:r w:rsidRPr="00717CA6">
        <w:rPr>
          <w:rStyle w:val="FootnoteReference"/>
          <w:rFonts w:asciiTheme="minorHAnsi" w:hAnsiTheme="minorHAnsi" w:cstheme="minorHAnsi"/>
        </w:rPr>
        <w:footnoteRef/>
      </w:r>
      <w:r w:rsidRPr="00717CA6">
        <w:rPr>
          <w:rFonts w:asciiTheme="minorHAnsi" w:hAnsiTheme="minorHAnsi" w:cstheme="minorHAnsi"/>
        </w:rPr>
        <w:t xml:space="preserve"> Locally advanced HER2 positive breast cancer Authority Form pb094-1807en-f.pdf states that for a patient to qualify for PBS authority approval, a “</w:t>
      </w:r>
      <w:r w:rsidRPr="00717CA6">
        <w:rPr>
          <w:rFonts w:asciiTheme="minorHAnsi" w:hAnsiTheme="minorHAnsi" w:cstheme="minorHAnsi"/>
          <w:i/>
        </w:rPr>
        <w:t>Pathology report from an Approved Pathology Authority confirming the presence of HER2 gene amplification by in situ hybridisation (ISH)</w:t>
      </w:r>
      <w:r w:rsidRPr="00717CA6">
        <w:rPr>
          <w:rFonts w:asciiTheme="minorHAnsi" w:hAnsiTheme="minorHAnsi" w:cstheme="minorHAnsi"/>
        </w:rPr>
        <w:t xml:space="preserve">” </w:t>
      </w:r>
      <w:proofErr w:type="gramStart"/>
      <w:r w:rsidRPr="00717CA6">
        <w:rPr>
          <w:rFonts w:asciiTheme="minorHAnsi" w:hAnsiTheme="minorHAnsi" w:cstheme="minorHAnsi"/>
        </w:rPr>
        <w:t>must be provided</w:t>
      </w:r>
      <w:proofErr w:type="gramEnd"/>
      <w:r w:rsidRPr="00717CA6">
        <w:rPr>
          <w:rFonts w:asciiTheme="minorHAnsi" w:hAnsiTheme="minorHAnsi" w:cstheme="minorHAnsi"/>
        </w:rPr>
        <w:t xml:space="preserve">. Source: </w:t>
      </w:r>
      <w:hyperlink r:id="rId1" w:history="1">
        <w:r w:rsidRPr="00717CA6">
          <w:rPr>
            <w:rStyle w:val="Hyperlink"/>
            <w:rFonts w:asciiTheme="minorHAnsi" w:eastAsiaTheme="majorEastAsia" w:hAnsiTheme="minorHAnsi" w:cstheme="minorHAnsi"/>
          </w:rPr>
          <w:t>https://www.humanservices.gov.au/organisations/health-professionals/forms/pb094</w:t>
        </w:r>
      </w:hyperlink>
    </w:p>
  </w:footnote>
  <w:footnote w:id="4">
    <w:p w:rsidR="00593237" w:rsidRPr="00CE53E6" w:rsidRDefault="00593237">
      <w:pPr>
        <w:pStyle w:val="FootnoteText"/>
        <w:rPr>
          <w:rFonts w:asciiTheme="minorHAnsi" w:hAnsiTheme="minorHAnsi" w:cstheme="minorHAnsi"/>
        </w:rPr>
      </w:pPr>
      <w:r w:rsidRPr="00CE53E6">
        <w:rPr>
          <w:rStyle w:val="FootnoteReference"/>
          <w:rFonts w:asciiTheme="minorHAnsi" w:hAnsiTheme="minorHAnsi" w:cstheme="minorHAnsi"/>
        </w:rPr>
        <w:footnoteRef/>
      </w:r>
      <w:r w:rsidRPr="00CE53E6">
        <w:rPr>
          <w:rFonts w:asciiTheme="minorHAnsi" w:hAnsiTheme="minorHAnsi" w:cstheme="minorHAnsi"/>
        </w:rPr>
        <w:t xml:space="preserve"> </w:t>
      </w:r>
      <w:proofErr w:type="spellStart"/>
      <w:r>
        <w:rPr>
          <w:rFonts w:asciiTheme="minorHAnsi" w:hAnsiTheme="minorHAnsi" w:cstheme="minorHAnsi"/>
        </w:rPr>
        <w:t>Duvic</w:t>
      </w:r>
      <w:proofErr w:type="spellEnd"/>
      <w:r>
        <w:rPr>
          <w:rFonts w:asciiTheme="minorHAnsi" w:hAnsiTheme="minorHAnsi" w:cstheme="minorHAnsi"/>
        </w:rPr>
        <w:t xml:space="preserve"> (2017) = The 1 SS patient with a response had an estimated PFS of 5.5 months. Kim (2017) = </w:t>
      </w:r>
      <w:proofErr w:type="gramStart"/>
      <w:r>
        <w:rPr>
          <w:rFonts w:asciiTheme="minorHAnsi" w:hAnsiTheme="minorHAnsi" w:cstheme="minorHAnsi"/>
        </w:rPr>
        <w:t>2</w:t>
      </w:r>
      <w:proofErr w:type="gramEnd"/>
      <w:r>
        <w:rPr>
          <w:rFonts w:asciiTheme="minorHAnsi" w:hAnsiTheme="minorHAnsi" w:cstheme="minorHAnsi"/>
        </w:rPr>
        <w:t xml:space="preserve"> SS patients with a response had an estimated PFS of 7.8 mont</w:t>
      </w:r>
      <w:r w:rsidR="00D47CAA">
        <w:rPr>
          <w:rFonts w:asciiTheme="minorHAnsi" w:hAnsiTheme="minorHAnsi" w:cstheme="minorHAnsi"/>
        </w:rPr>
        <w:t>hs and 9.7 months respectively.</w:t>
      </w:r>
    </w:p>
  </w:footnote>
  <w:footnote w:id="5">
    <w:p w:rsidR="00593237" w:rsidRPr="00D9026C" w:rsidRDefault="00593237">
      <w:pPr>
        <w:pStyle w:val="FootnoteText"/>
        <w:rPr>
          <w:rFonts w:asciiTheme="minorHAnsi" w:hAnsiTheme="minorHAnsi" w:cstheme="minorHAnsi"/>
        </w:rPr>
      </w:pPr>
      <w:r w:rsidRPr="00D9026C">
        <w:rPr>
          <w:rStyle w:val="FootnoteReference"/>
          <w:rFonts w:asciiTheme="minorHAnsi" w:hAnsiTheme="minorHAnsi" w:cstheme="minorHAnsi"/>
        </w:rPr>
        <w:footnoteRef/>
      </w:r>
      <w:r w:rsidRPr="00D9026C">
        <w:rPr>
          <w:rFonts w:asciiTheme="minorHAnsi" w:hAnsiTheme="minorHAnsi" w:cstheme="minorHAnsi"/>
        </w:rPr>
        <w:t xml:space="preserve"> </w:t>
      </w:r>
      <w:r>
        <w:rPr>
          <w:rFonts w:asciiTheme="minorHAnsi" w:hAnsiTheme="minorHAnsi" w:cstheme="minorHAnsi"/>
        </w:rPr>
        <w:t xml:space="preserve">MF patients in ALCANZA </w:t>
      </w:r>
      <w:proofErr w:type="gramStart"/>
      <w:r>
        <w:rPr>
          <w:rFonts w:asciiTheme="minorHAnsi" w:hAnsiTheme="minorHAnsi" w:cstheme="minorHAnsi"/>
        </w:rPr>
        <w:t>were allowed</w:t>
      </w:r>
      <w:proofErr w:type="gramEnd"/>
      <w:r>
        <w:rPr>
          <w:rFonts w:asciiTheme="minorHAnsi" w:hAnsiTheme="minorHAnsi" w:cstheme="minorHAnsi"/>
        </w:rPr>
        <w:t xml:space="preserve"> to have circulating SS cells in their blood of up to 1000 </w:t>
      </w:r>
      <w:proofErr w:type="spellStart"/>
      <w:r>
        <w:rPr>
          <w:rFonts w:asciiTheme="minorHAnsi" w:hAnsiTheme="minorHAnsi" w:cstheme="minorHAnsi"/>
        </w:rPr>
        <w:t>Sezary</w:t>
      </w:r>
      <w:proofErr w:type="spellEnd"/>
      <w:r>
        <w:rPr>
          <w:rFonts w:asciiTheme="minorHAnsi" w:hAnsiTheme="minorHAnsi" w:cstheme="minorHAnsi"/>
        </w:rPr>
        <w:t xml:space="preserve"> cells/mm</w:t>
      </w:r>
      <w:r>
        <w:rPr>
          <w:rFonts w:asciiTheme="minorHAnsi" w:hAnsiTheme="minorHAnsi" w:cstheme="minorHAnsi"/>
          <w:vertAlign w:val="superscript"/>
        </w:rPr>
        <w:t>3</w:t>
      </w:r>
      <w:r>
        <w:rPr>
          <w:rFonts w:asciiTheme="minorHAnsi" w:hAnsiTheme="minorHAnsi" w:cstheme="minorHAnsi"/>
        </w:rPr>
        <w:t>.</w:t>
      </w:r>
    </w:p>
  </w:footnote>
  <w:footnote w:id="6">
    <w:p w:rsidR="00593237" w:rsidRPr="003D3A20" w:rsidRDefault="00593237">
      <w:pPr>
        <w:pStyle w:val="FootnoteText"/>
        <w:rPr>
          <w:rFonts w:asciiTheme="minorHAnsi" w:hAnsiTheme="minorHAnsi" w:cstheme="minorHAnsi"/>
        </w:rPr>
      </w:pPr>
      <w:r w:rsidRPr="003D3A20">
        <w:rPr>
          <w:rStyle w:val="FootnoteReference"/>
          <w:rFonts w:asciiTheme="minorHAnsi" w:hAnsiTheme="minorHAnsi" w:cstheme="minorHAnsi"/>
        </w:rPr>
        <w:footnoteRef/>
      </w:r>
      <w:r w:rsidRPr="003D3A20">
        <w:rPr>
          <w:rFonts w:asciiTheme="minorHAnsi" w:hAnsiTheme="minorHAnsi" w:cstheme="minorHAnsi"/>
        </w:rPr>
        <w:t xml:space="preserve"> Kim et al (2017) “Outcomes by CD30 expression in patients with CTCL receiving </w:t>
      </w:r>
      <w:proofErr w:type="spellStart"/>
      <w:r w:rsidRPr="003D3A20">
        <w:rPr>
          <w:rFonts w:asciiTheme="minorHAnsi" w:hAnsiTheme="minorHAnsi" w:cstheme="minorHAnsi"/>
        </w:rPr>
        <w:t>brentuximab</w:t>
      </w:r>
      <w:proofErr w:type="spellEnd"/>
      <w:r w:rsidRPr="003D3A20">
        <w:rPr>
          <w:rFonts w:asciiTheme="minorHAnsi" w:hAnsiTheme="minorHAnsi" w:cstheme="minorHAnsi"/>
        </w:rPr>
        <w:t xml:space="preserve"> </w:t>
      </w:r>
      <w:proofErr w:type="spellStart"/>
      <w:r w:rsidRPr="003D3A20">
        <w:rPr>
          <w:rFonts w:asciiTheme="minorHAnsi" w:hAnsiTheme="minorHAnsi" w:cstheme="minorHAnsi"/>
        </w:rPr>
        <w:t>vedotin</w:t>
      </w:r>
      <w:proofErr w:type="spellEnd"/>
      <w:r w:rsidRPr="003D3A20">
        <w:rPr>
          <w:rFonts w:asciiTheme="minorHAnsi" w:hAnsiTheme="minorHAnsi" w:cstheme="minorHAnsi"/>
        </w:rPr>
        <w:t xml:space="preserve"> (BV) vs physician's choice (PC) in the Phase 3 ALCANZA study.” J. </w:t>
      </w:r>
      <w:proofErr w:type="spellStart"/>
      <w:r w:rsidRPr="003D3A20">
        <w:rPr>
          <w:rFonts w:asciiTheme="minorHAnsi" w:hAnsiTheme="minorHAnsi" w:cstheme="minorHAnsi"/>
        </w:rPr>
        <w:t>Clin</w:t>
      </w:r>
      <w:proofErr w:type="spellEnd"/>
      <w:r w:rsidRPr="003D3A20">
        <w:rPr>
          <w:rFonts w:asciiTheme="minorHAnsi" w:hAnsiTheme="minorHAnsi" w:cstheme="minorHAnsi"/>
        </w:rPr>
        <w:t xml:space="preserve">. </w:t>
      </w:r>
      <w:proofErr w:type="spellStart"/>
      <w:r w:rsidRPr="003D3A20">
        <w:rPr>
          <w:rFonts w:asciiTheme="minorHAnsi" w:hAnsiTheme="minorHAnsi" w:cstheme="minorHAnsi"/>
        </w:rPr>
        <w:t>Oncol</w:t>
      </w:r>
      <w:proofErr w:type="spellEnd"/>
      <w:r w:rsidRPr="003D3A20">
        <w:rPr>
          <w:rFonts w:asciiTheme="minorHAnsi" w:hAnsiTheme="minorHAnsi" w:cstheme="minorHAnsi"/>
        </w:rPr>
        <w:t xml:space="preserve">. Abstract 7517 </w:t>
      </w:r>
      <w:hyperlink r:id="rId2" w:history="1">
        <w:r w:rsidRPr="003D3A20">
          <w:rPr>
            <w:rStyle w:val="Hyperlink"/>
            <w:rFonts w:asciiTheme="minorHAnsi" w:eastAsiaTheme="majorEastAsia" w:hAnsiTheme="minorHAnsi" w:cstheme="minorHAnsi"/>
          </w:rPr>
          <w:t>http://ascopubs.org/doi/abs/10.1200/JCO.2017.35.15_suppl.7517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5DC" w:rsidRPr="007B43A9" w:rsidRDefault="000C05DC" w:rsidP="000C05DC">
    <w:pPr>
      <w:jc w:val="center"/>
      <w:rPr>
        <w:rFonts w:asciiTheme="minorHAnsi" w:hAnsiTheme="minorHAnsi" w:cstheme="minorHAnsi"/>
        <w:i/>
      </w:rPr>
    </w:pPr>
    <w:r w:rsidRPr="007B43A9">
      <w:rPr>
        <w:rFonts w:asciiTheme="minorHAnsi" w:hAnsiTheme="minorHAnsi" w:cstheme="minorHAnsi"/>
        <w:i/>
      </w:rPr>
      <w:t>Public Summary Document – November 2018 PBAC Meeting</w:t>
    </w:r>
  </w:p>
  <w:p w:rsidR="000C05DC" w:rsidRDefault="000C0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207F73"/>
    <w:multiLevelType w:val="hybridMultilevel"/>
    <w:tmpl w:val="5BB45CFC"/>
    <w:lvl w:ilvl="0" w:tplc="C88ACCA2">
      <w:start w:val="2"/>
      <w:numFmt w:val="lowerRoman"/>
      <w:lvlText w:val="(%1)"/>
      <w:lvlJc w:val="left"/>
      <w:pPr>
        <w:ind w:left="1037" w:hanging="720"/>
      </w:pPr>
      <w:rPr>
        <w:rFonts w:hint="default"/>
      </w:rPr>
    </w:lvl>
    <w:lvl w:ilvl="1" w:tplc="08090019">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8" w15:restartNumberingAfterBreak="0">
    <w:nsid w:val="0FCF22B5"/>
    <w:multiLevelType w:val="hybridMultilevel"/>
    <w:tmpl w:val="6164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91EAC"/>
    <w:multiLevelType w:val="hybridMultilevel"/>
    <w:tmpl w:val="D220CCD8"/>
    <w:lvl w:ilvl="0" w:tplc="0C090001">
      <w:start w:val="1"/>
      <w:numFmt w:val="bullet"/>
      <w:lvlText w:val=""/>
      <w:lvlJc w:val="left"/>
      <w:pPr>
        <w:ind w:left="933" w:hanging="360"/>
      </w:pPr>
      <w:rPr>
        <w:rFonts w:ascii="Symbol" w:hAnsi="Symbol" w:hint="default"/>
      </w:rPr>
    </w:lvl>
    <w:lvl w:ilvl="1" w:tplc="0C090003">
      <w:start w:val="1"/>
      <w:numFmt w:val="bullet"/>
      <w:lvlText w:val="o"/>
      <w:lvlJc w:val="left"/>
      <w:pPr>
        <w:ind w:left="1653" w:hanging="360"/>
      </w:pPr>
      <w:rPr>
        <w:rFonts w:ascii="Courier New" w:hAnsi="Courier New" w:cs="Courier New" w:hint="default"/>
      </w:rPr>
    </w:lvl>
    <w:lvl w:ilvl="2" w:tplc="0C090005" w:tentative="1">
      <w:start w:val="1"/>
      <w:numFmt w:val="bullet"/>
      <w:lvlText w:val=""/>
      <w:lvlJc w:val="left"/>
      <w:pPr>
        <w:ind w:left="2373" w:hanging="360"/>
      </w:pPr>
      <w:rPr>
        <w:rFonts w:ascii="Wingdings" w:hAnsi="Wingdings" w:hint="default"/>
      </w:rPr>
    </w:lvl>
    <w:lvl w:ilvl="3" w:tplc="0C090001" w:tentative="1">
      <w:start w:val="1"/>
      <w:numFmt w:val="bullet"/>
      <w:lvlText w:val=""/>
      <w:lvlJc w:val="left"/>
      <w:pPr>
        <w:ind w:left="3093" w:hanging="360"/>
      </w:pPr>
      <w:rPr>
        <w:rFonts w:ascii="Symbol" w:hAnsi="Symbol" w:hint="default"/>
      </w:rPr>
    </w:lvl>
    <w:lvl w:ilvl="4" w:tplc="0C090003" w:tentative="1">
      <w:start w:val="1"/>
      <w:numFmt w:val="bullet"/>
      <w:lvlText w:val="o"/>
      <w:lvlJc w:val="left"/>
      <w:pPr>
        <w:ind w:left="3813" w:hanging="360"/>
      </w:pPr>
      <w:rPr>
        <w:rFonts w:ascii="Courier New" w:hAnsi="Courier New" w:cs="Courier New" w:hint="default"/>
      </w:rPr>
    </w:lvl>
    <w:lvl w:ilvl="5" w:tplc="0C090005" w:tentative="1">
      <w:start w:val="1"/>
      <w:numFmt w:val="bullet"/>
      <w:lvlText w:val=""/>
      <w:lvlJc w:val="left"/>
      <w:pPr>
        <w:ind w:left="4533" w:hanging="360"/>
      </w:pPr>
      <w:rPr>
        <w:rFonts w:ascii="Wingdings" w:hAnsi="Wingdings" w:hint="default"/>
      </w:rPr>
    </w:lvl>
    <w:lvl w:ilvl="6" w:tplc="0C090001" w:tentative="1">
      <w:start w:val="1"/>
      <w:numFmt w:val="bullet"/>
      <w:lvlText w:val=""/>
      <w:lvlJc w:val="left"/>
      <w:pPr>
        <w:ind w:left="5253" w:hanging="360"/>
      </w:pPr>
      <w:rPr>
        <w:rFonts w:ascii="Symbol" w:hAnsi="Symbol" w:hint="default"/>
      </w:rPr>
    </w:lvl>
    <w:lvl w:ilvl="7" w:tplc="0C090003" w:tentative="1">
      <w:start w:val="1"/>
      <w:numFmt w:val="bullet"/>
      <w:lvlText w:val="o"/>
      <w:lvlJc w:val="left"/>
      <w:pPr>
        <w:ind w:left="5973" w:hanging="360"/>
      </w:pPr>
      <w:rPr>
        <w:rFonts w:ascii="Courier New" w:hAnsi="Courier New" w:cs="Courier New" w:hint="default"/>
      </w:rPr>
    </w:lvl>
    <w:lvl w:ilvl="8" w:tplc="0C090005" w:tentative="1">
      <w:start w:val="1"/>
      <w:numFmt w:val="bullet"/>
      <w:lvlText w:val=""/>
      <w:lvlJc w:val="left"/>
      <w:pPr>
        <w:ind w:left="6693" w:hanging="360"/>
      </w:pPr>
      <w:rPr>
        <w:rFonts w:ascii="Wingdings" w:hAnsi="Wingdings" w:hint="default"/>
      </w:rPr>
    </w:lvl>
  </w:abstractNum>
  <w:abstractNum w:abstractNumId="10" w15:restartNumberingAfterBreak="0">
    <w:nsid w:val="12377B2C"/>
    <w:multiLevelType w:val="hybridMultilevel"/>
    <w:tmpl w:val="1ECE1B36"/>
    <w:lvl w:ilvl="0" w:tplc="281897BA">
      <w:start w:val="1"/>
      <w:numFmt w:val="lowerRoman"/>
      <w:lvlText w:val="(%1)"/>
      <w:lvlJc w:val="left"/>
      <w:pPr>
        <w:ind w:left="1037" w:hanging="72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1" w15:restartNumberingAfterBreak="0">
    <w:nsid w:val="15E113C3"/>
    <w:multiLevelType w:val="multilevel"/>
    <w:tmpl w:val="87AA293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F837807"/>
    <w:multiLevelType w:val="hybridMultilevel"/>
    <w:tmpl w:val="F10C0B0A"/>
    <w:lvl w:ilvl="0" w:tplc="484C13A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6A06A6"/>
    <w:multiLevelType w:val="hybridMultilevel"/>
    <w:tmpl w:val="52C82AFA"/>
    <w:lvl w:ilvl="0" w:tplc="2F5E9D5C">
      <w:start w:val="1"/>
      <w:numFmt w:val="lowerRoman"/>
      <w:lvlText w:val="(%1)"/>
      <w:lvlJc w:val="left"/>
      <w:pPr>
        <w:ind w:left="1037" w:hanging="720"/>
      </w:pPr>
      <w:rPr>
        <w:rFonts w:hint="default"/>
      </w:rPr>
    </w:lvl>
    <w:lvl w:ilvl="1" w:tplc="08090019">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8"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1D1581"/>
    <w:multiLevelType w:val="hybridMultilevel"/>
    <w:tmpl w:val="49A8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0C50CA"/>
    <w:multiLevelType w:val="hybridMultilevel"/>
    <w:tmpl w:val="99001A4A"/>
    <w:lvl w:ilvl="0" w:tplc="944CBDE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442297"/>
    <w:multiLevelType w:val="hybridMultilevel"/>
    <w:tmpl w:val="FFCE29FC"/>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A40B8"/>
    <w:multiLevelType w:val="multilevel"/>
    <w:tmpl w:val="87AA293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8445D9"/>
    <w:multiLevelType w:val="hybridMultilevel"/>
    <w:tmpl w:val="05D4D288"/>
    <w:lvl w:ilvl="0" w:tplc="C7CC786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94543C"/>
    <w:multiLevelType w:val="multilevel"/>
    <w:tmpl w:val="78105E1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EA38D8"/>
    <w:multiLevelType w:val="hybridMultilevel"/>
    <w:tmpl w:val="D77071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4D033C"/>
    <w:multiLevelType w:val="multilevel"/>
    <w:tmpl w:val="99085978"/>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
  </w:num>
  <w:num w:numId="3">
    <w:abstractNumId w:val="6"/>
  </w:num>
  <w:num w:numId="4">
    <w:abstractNumId w:val="24"/>
  </w:num>
  <w:num w:numId="5">
    <w:abstractNumId w:val="31"/>
  </w:num>
  <w:num w:numId="6">
    <w:abstractNumId w:val="12"/>
  </w:num>
  <w:num w:numId="7">
    <w:abstractNumId w:val="20"/>
  </w:num>
  <w:num w:numId="8">
    <w:abstractNumId w:val="4"/>
  </w:num>
  <w:num w:numId="9">
    <w:abstractNumId w:val="19"/>
  </w:num>
  <w:num w:numId="10">
    <w:abstractNumId w:val="18"/>
  </w:num>
  <w:num w:numId="11">
    <w:abstractNumId w:val="15"/>
  </w:num>
  <w:num w:numId="12">
    <w:abstractNumId w:val="1"/>
  </w:num>
  <w:num w:numId="13">
    <w:abstractNumId w:val="0"/>
  </w:num>
  <w:num w:numId="14">
    <w:abstractNumId w:val="31"/>
  </w:num>
  <w:num w:numId="15">
    <w:abstractNumId w:val="22"/>
  </w:num>
  <w:num w:numId="16">
    <w:abstractNumId w:val="30"/>
  </w:num>
  <w:num w:numId="17">
    <w:abstractNumId w:val="21"/>
  </w:num>
  <w:num w:numId="18">
    <w:abstractNumId w:val="17"/>
  </w:num>
  <w:num w:numId="19">
    <w:abstractNumId w:val="23"/>
  </w:num>
  <w:num w:numId="20">
    <w:abstractNumId w:val="9"/>
  </w:num>
  <w:num w:numId="21">
    <w:abstractNumId w:val="8"/>
  </w:num>
  <w:num w:numId="22">
    <w:abstractNumId w:val="11"/>
  </w:num>
  <w:num w:numId="23">
    <w:abstractNumId w:val="25"/>
  </w:num>
  <w:num w:numId="24">
    <w:abstractNumId w:val="29"/>
  </w:num>
  <w:num w:numId="25">
    <w:abstractNumId w:val="31"/>
  </w:num>
  <w:num w:numId="26">
    <w:abstractNumId w:val="31"/>
  </w:num>
  <w:num w:numId="27">
    <w:abstractNumId w:val="26"/>
  </w:num>
  <w:num w:numId="28">
    <w:abstractNumId w:val="27"/>
  </w:num>
  <w:num w:numId="29">
    <w:abstractNumId w:val="5"/>
  </w:num>
  <w:num w:numId="30">
    <w:abstractNumId w:val="2"/>
  </w:num>
  <w:num w:numId="31">
    <w:abstractNumId w:val="14"/>
  </w:num>
  <w:num w:numId="32">
    <w:abstractNumId w:val="10"/>
  </w:num>
  <w:num w:numId="33">
    <w:abstractNumId w:val="7"/>
  </w:num>
  <w:num w:numId="34">
    <w:abstractNumId w:val="16"/>
  </w:num>
  <w:num w:numId="35">
    <w:abstractNumId w:val="31"/>
  </w:num>
  <w:num w:numId="36">
    <w:abstractNumId w:val="31"/>
  </w:num>
  <w:num w:numId="37">
    <w:abstractNumId w:val="31"/>
  </w:num>
  <w:num w:numId="38">
    <w:abstractNumId w:val="31"/>
  </w:num>
  <w:num w:numId="39">
    <w:abstractNumId w:val="31"/>
  </w:num>
  <w:num w:numId="4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212B6"/>
    <w:rsid w:val="000225B8"/>
    <w:rsid w:val="0002433F"/>
    <w:rsid w:val="0002464A"/>
    <w:rsid w:val="00026DE2"/>
    <w:rsid w:val="0003106B"/>
    <w:rsid w:val="000326AB"/>
    <w:rsid w:val="00036EE5"/>
    <w:rsid w:val="000421A1"/>
    <w:rsid w:val="0004240E"/>
    <w:rsid w:val="00045E26"/>
    <w:rsid w:val="000514B5"/>
    <w:rsid w:val="000533E7"/>
    <w:rsid w:val="000556AE"/>
    <w:rsid w:val="00057624"/>
    <w:rsid w:val="00060E64"/>
    <w:rsid w:val="00064B25"/>
    <w:rsid w:val="000655D2"/>
    <w:rsid w:val="00066755"/>
    <w:rsid w:val="00077143"/>
    <w:rsid w:val="00080334"/>
    <w:rsid w:val="00082169"/>
    <w:rsid w:val="00083BDD"/>
    <w:rsid w:val="000878A7"/>
    <w:rsid w:val="000969AD"/>
    <w:rsid w:val="000A2D29"/>
    <w:rsid w:val="000B185D"/>
    <w:rsid w:val="000B558D"/>
    <w:rsid w:val="000C05DC"/>
    <w:rsid w:val="000C6996"/>
    <w:rsid w:val="000D18E7"/>
    <w:rsid w:val="000D23BA"/>
    <w:rsid w:val="000E681E"/>
    <w:rsid w:val="000E7370"/>
    <w:rsid w:val="000F0003"/>
    <w:rsid w:val="000F0F57"/>
    <w:rsid w:val="000F4319"/>
    <w:rsid w:val="000F4E6A"/>
    <w:rsid w:val="000F6DF4"/>
    <w:rsid w:val="00103323"/>
    <w:rsid w:val="00104227"/>
    <w:rsid w:val="001107BF"/>
    <w:rsid w:val="00111818"/>
    <w:rsid w:val="001209C6"/>
    <w:rsid w:val="00120DFE"/>
    <w:rsid w:val="00123993"/>
    <w:rsid w:val="0012417C"/>
    <w:rsid w:val="00126CB6"/>
    <w:rsid w:val="00132F5F"/>
    <w:rsid w:val="00140ED6"/>
    <w:rsid w:val="00142395"/>
    <w:rsid w:val="00142714"/>
    <w:rsid w:val="00144B03"/>
    <w:rsid w:val="001452ED"/>
    <w:rsid w:val="00146494"/>
    <w:rsid w:val="00156B26"/>
    <w:rsid w:val="00163329"/>
    <w:rsid w:val="00164623"/>
    <w:rsid w:val="00165B08"/>
    <w:rsid w:val="00165B64"/>
    <w:rsid w:val="001665E9"/>
    <w:rsid w:val="001677DC"/>
    <w:rsid w:val="001739BD"/>
    <w:rsid w:val="00180713"/>
    <w:rsid w:val="001829A9"/>
    <w:rsid w:val="001830CE"/>
    <w:rsid w:val="0018643B"/>
    <w:rsid w:val="00196307"/>
    <w:rsid w:val="001A096D"/>
    <w:rsid w:val="001A3173"/>
    <w:rsid w:val="001A33EA"/>
    <w:rsid w:val="001B017F"/>
    <w:rsid w:val="001B2BBC"/>
    <w:rsid w:val="001B5129"/>
    <w:rsid w:val="001C06E7"/>
    <w:rsid w:val="001C1195"/>
    <w:rsid w:val="001C3753"/>
    <w:rsid w:val="001C7ACE"/>
    <w:rsid w:val="001D3456"/>
    <w:rsid w:val="001E7674"/>
    <w:rsid w:val="001F1850"/>
    <w:rsid w:val="001F626C"/>
    <w:rsid w:val="001F74E6"/>
    <w:rsid w:val="00201CD8"/>
    <w:rsid w:val="00203FAC"/>
    <w:rsid w:val="00213CFB"/>
    <w:rsid w:val="00216B5E"/>
    <w:rsid w:val="00217BE1"/>
    <w:rsid w:val="00231100"/>
    <w:rsid w:val="00231AA8"/>
    <w:rsid w:val="00232E46"/>
    <w:rsid w:val="0024154A"/>
    <w:rsid w:val="00241F53"/>
    <w:rsid w:val="00250A4B"/>
    <w:rsid w:val="00252627"/>
    <w:rsid w:val="002529C5"/>
    <w:rsid w:val="002611EC"/>
    <w:rsid w:val="002707AD"/>
    <w:rsid w:val="00271BA1"/>
    <w:rsid w:val="002732A1"/>
    <w:rsid w:val="002762FA"/>
    <w:rsid w:val="00277505"/>
    <w:rsid w:val="0028385F"/>
    <w:rsid w:val="002904CE"/>
    <w:rsid w:val="00290869"/>
    <w:rsid w:val="0029458F"/>
    <w:rsid w:val="0029625B"/>
    <w:rsid w:val="002A104C"/>
    <w:rsid w:val="002A3D31"/>
    <w:rsid w:val="002A4960"/>
    <w:rsid w:val="002A4C69"/>
    <w:rsid w:val="002A58D5"/>
    <w:rsid w:val="002A5C4F"/>
    <w:rsid w:val="002B1AE6"/>
    <w:rsid w:val="002B2DE8"/>
    <w:rsid w:val="002B30F8"/>
    <w:rsid w:val="002B3F6F"/>
    <w:rsid w:val="002B5596"/>
    <w:rsid w:val="002C212F"/>
    <w:rsid w:val="002C4864"/>
    <w:rsid w:val="002D4543"/>
    <w:rsid w:val="002E3153"/>
    <w:rsid w:val="002E4420"/>
    <w:rsid w:val="002E6B18"/>
    <w:rsid w:val="002E72CA"/>
    <w:rsid w:val="002F1A7C"/>
    <w:rsid w:val="002F1E39"/>
    <w:rsid w:val="002F25E6"/>
    <w:rsid w:val="002F3BFA"/>
    <w:rsid w:val="002F49C1"/>
    <w:rsid w:val="002F600D"/>
    <w:rsid w:val="002F7088"/>
    <w:rsid w:val="00300AD6"/>
    <w:rsid w:val="00306605"/>
    <w:rsid w:val="00310A9E"/>
    <w:rsid w:val="00311BB0"/>
    <w:rsid w:val="003144B1"/>
    <w:rsid w:val="00315BE9"/>
    <w:rsid w:val="0031746C"/>
    <w:rsid w:val="00317C6C"/>
    <w:rsid w:val="00322ABB"/>
    <w:rsid w:val="00326E79"/>
    <w:rsid w:val="0032728D"/>
    <w:rsid w:val="0033031D"/>
    <w:rsid w:val="003325E8"/>
    <w:rsid w:val="0033518A"/>
    <w:rsid w:val="003367EF"/>
    <w:rsid w:val="00341AE4"/>
    <w:rsid w:val="0036172C"/>
    <w:rsid w:val="00362444"/>
    <w:rsid w:val="00366DA4"/>
    <w:rsid w:val="00372FA9"/>
    <w:rsid w:val="00374577"/>
    <w:rsid w:val="00377546"/>
    <w:rsid w:val="00377EF2"/>
    <w:rsid w:val="00381064"/>
    <w:rsid w:val="00386A6A"/>
    <w:rsid w:val="003872CF"/>
    <w:rsid w:val="00387AEE"/>
    <w:rsid w:val="00390B4B"/>
    <w:rsid w:val="00394381"/>
    <w:rsid w:val="0039782C"/>
    <w:rsid w:val="003A5B4A"/>
    <w:rsid w:val="003B23C5"/>
    <w:rsid w:val="003B2A75"/>
    <w:rsid w:val="003B5392"/>
    <w:rsid w:val="003B59E9"/>
    <w:rsid w:val="003B6124"/>
    <w:rsid w:val="003C076E"/>
    <w:rsid w:val="003C2FB5"/>
    <w:rsid w:val="003D3A20"/>
    <w:rsid w:val="003D4AC4"/>
    <w:rsid w:val="003D63B7"/>
    <w:rsid w:val="003E468B"/>
    <w:rsid w:val="003F3228"/>
    <w:rsid w:val="003F4748"/>
    <w:rsid w:val="003F5C8C"/>
    <w:rsid w:val="00401807"/>
    <w:rsid w:val="00405AD0"/>
    <w:rsid w:val="004252EC"/>
    <w:rsid w:val="004465BD"/>
    <w:rsid w:val="00447B95"/>
    <w:rsid w:val="00453B24"/>
    <w:rsid w:val="00463740"/>
    <w:rsid w:val="00466ADA"/>
    <w:rsid w:val="00466EF6"/>
    <w:rsid w:val="0047180B"/>
    <w:rsid w:val="00476245"/>
    <w:rsid w:val="00477C83"/>
    <w:rsid w:val="0048115E"/>
    <w:rsid w:val="00483035"/>
    <w:rsid w:val="00485940"/>
    <w:rsid w:val="00485AF6"/>
    <w:rsid w:val="00486D02"/>
    <w:rsid w:val="00487CF2"/>
    <w:rsid w:val="004936AC"/>
    <w:rsid w:val="004958E0"/>
    <w:rsid w:val="004A2484"/>
    <w:rsid w:val="004A5A85"/>
    <w:rsid w:val="004A71D1"/>
    <w:rsid w:val="004B1F1F"/>
    <w:rsid w:val="004B5640"/>
    <w:rsid w:val="004C1BD7"/>
    <w:rsid w:val="004C31FE"/>
    <w:rsid w:val="004C691D"/>
    <w:rsid w:val="004C6C07"/>
    <w:rsid w:val="004C7D4C"/>
    <w:rsid w:val="004D2C33"/>
    <w:rsid w:val="004E692D"/>
    <w:rsid w:val="004F245C"/>
    <w:rsid w:val="00501554"/>
    <w:rsid w:val="00512566"/>
    <w:rsid w:val="005127CC"/>
    <w:rsid w:val="00514CD7"/>
    <w:rsid w:val="00516FC4"/>
    <w:rsid w:val="005305F7"/>
    <w:rsid w:val="005319B2"/>
    <w:rsid w:val="00532402"/>
    <w:rsid w:val="00532C74"/>
    <w:rsid w:val="00532E56"/>
    <w:rsid w:val="00534E2E"/>
    <w:rsid w:val="00540E21"/>
    <w:rsid w:val="00544087"/>
    <w:rsid w:val="00544552"/>
    <w:rsid w:val="00557253"/>
    <w:rsid w:val="005574DB"/>
    <w:rsid w:val="005652C9"/>
    <w:rsid w:val="00577C4D"/>
    <w:rsid w:val="00580D07"/>
    <w:rsid w:val="00581932"/>
    <w:rsid w:val="00586E59"/>
    <w:rsid w:val="00593237"/>
    <w:rsid w:val="00595223"/>
    <w:rsid w:val="005963BB"/>
    <w:rsid w:val="005A2520"/>
    <w:rsid w:val="005A3173"/>
    <w:rsid w:val="005A3223"/>
    <w:rsid w:val="005A3DA3"/>
    <w:rsid w:val="005A52C4"/>
    <w:rsid w:val="005B4AFB"/>
    <w:rsid w:val="005B4B45"/>
    <w:rsid w:val="005D03AB"/>
    <w:rsid w:val="005D06D4"/>
    <w:rsid w:val="005D5017"/>
    <w:rsid w:val="005E1333"/>
    <w:rsid w:val="005F01B7"/>
    <w:rsid w:val="005F488C"/>
    <w:rsid w:val="00601A91"/>
    <w:rsid w:val="00601C82"/>
    <w:rsid w:val="006021ED"/>
    <w:rsid w:val="00602BA3"/>
    <w:rsid w:val="00606EED"/>
    <w:rsid w:val="00612E34"/>
    <w:rsid w:val="00614159"/>
    <w:rsid w:val="006177BA"/>
    <w:rsid w:val="00617C00"/>
    <w:rsid w:val="00620325"/>
    <w:rsid w:val="00622594"/>
    <w:rsid w:val="00623E5D"/>
    <w:rsid w:val="00625E00"/>
    <w:rsid w:val="006263BF"/>
    <w:rsid w:val="0062748A"/>
    <w:rsid w:val="00630A2C"/>
    <w:rsid w:val="00633A25"/>
    <w:rsid w:val="0063554E"/>
    <w:rsid w:val="0063682E"/>
    <w:rsid w:val="00642BA5"/>
    <w:rsid w:val="006436CD"/>
    <w:rsid w:val="006451C4"/>
    <w:rsid w:val="00650CF0"/>
    <w:rsid w:val="00651169"/>
    <w:rsid w:val="00653D69"/>
    <w:rsid w:val="0066502E"/>
    <w:rsid w:val="006670BE"/>
    <w:rsid w:val="00670A76"/>
    <w:rsid w:val="006711AA"/>
    <w:rsid w:val="00672B57"/>
    <w:rsid w:val="00675622"/>
    <w:rsid w:val="0067747D"/>
    <w:rsid w:val="00681517"/>
    <w:rsid w:val="006825A1"/>
    <w:rsid w:val="00682B9A"/>
    <w:rsid w:val="00686923"/>
    <w:rsid w:val="006906DB"/>
    <w:rsid w:val="00691E6C"/>
    <w:rsid w:val="00692028"/>
    <w:rsid w:val="00696129"/>
    <w:rsid w:val="00697CF2"/>
    <w:rsid w:val="00697DEC"/>
    <w:rsid w:val="006A12A5"/>
    <w:rsid w:val="006A793E"/>
    <w:rsid w:val="006B0D94"/>
    <w:rsid w:val="006B4436"/>
    <w:rsid w:val="006B485D"/>
    <w:rsid w:val="006C708E"/>
    <w:rsid w:val="006C780F"/>
    <w:rsid w:val="006D14E7"/>
    <w:rsid w:val="006D19BA"/>
    <w:rsid w:val="006D2997"/>
    <w:rsid w:val="006D4D52"/>
    <w:rsid w:val="006D6493"/>
    <w:rsid w:val="006D6EC7"/>
    <w:rsid w:val="006D777B"/>
    <w:rsid w:val="006E1717"/>
    <w:rsid w:val="006E74A3"/>
    <w:rsid w:val="006F47BD"/>
    <w:rsid w:val="006F5125"/>
    <w:rsid w:val="007020D5"/>
    <w:rsid w:val="00702B6F"/>
    <w:rsid w:val="007056BF"/>
    <w:rsid w:val="00712068"/>
    <w:rsid w:val="0071340B"/>
    <w:rsid w:val="007162D1"/>
    <w:rsid w:val="007174BB"/>
    <w:rsid w:val="00717CA6"/>
    <w:rsid w:val="0072025D"/>
    <w:rsid w:val="007353D3"/>
    <w:rsid w:val="00741A64"/>
    <w:rsid w:val="0074319F"/>
    <w:rsid w:val="007500A6"/>
    <w:rsid w:val="007611BD"/>
    <w:rsid w:val="0076420C"/>
    <w:rsid w:val="007658DF"/>
    <w:rsid w:val="00767ED6"/>
    <w:rsid w:val="007753C2"/>
    <w:rsid w:val="00775B60"/>
    <w:rsid w:val="007836B3"/>
    <w:rsid w:val="007838B8"/>
    <w:rsid w:val="007843D5"/>
    <w:rsid w:val="0078687E"/>
    <w:rsid w:val="007A174E"/>
    <w:rsid w:val="007A6A01"/>
    <w:rsid w:val="007C0F57"/>
    <w:rsid w:val="007C127C"/>
    <w:rsid w:val="007C40B6"/>
    <w:rsid w:val="007C5A8E"/>
    <w:rsid w:val="007C729F"/>
    <w:rsid w:val="007E18E1"/>
    <w:rsid w:val="007E1D28"/>
    <w:rsid w:val="007E2F7B"/>
    <w:rsid w:val="007E6015"/>
    <w:rsid w:val="007F2641"/>
    <w:rsid w:val="007F394C"/>
    <w:rsid w:val="007F4386"/>
    <w:rsid w:val="007F7C36"/>
    <w:rsid w:val="00806176"/>
    <w:rsid w:val="00806796"/>
    <w:rsid w:val="00811F5A"/>
    <w:rsid w:val="008151D6"/>
    <w:rsid w:val="00816613"/>
    <w:rsid w:val="00817F23"/>
    <w:rsid w:val="0082034F"/>
    <w:rsid w:val="008219AD"/>
    <w:rsid w:val="00826F6D"/>
    <w:rsid w:val="0082739B"/>
    <w:rsid w:val="0083036F"/>
    <w:rsid w:val="008306F3"/>
    <w:rsid w:val="00830BAB"/>
    <w:rsid w:val="00835C4E"/>
    <w:rsid w:val="008541A9"/>
    <w:rsid w:val="00856DDD"/>
    <w:rsid w:val="00863E68"/>
    <w:rsid w:val="008727D9"/>
    <w:rsid w:val="00873F94"/>
    <w:rsid w:val="008766FC"/>
    <w:rsid w:val="00882085"/>
    <w:rsid w:val="00883188"/>
    <w:rsid w:val="00891EE3"/>
    <w:rsid w:val="00897D58"/>
    <w:rsid w:val="00897F22"/>
    <w:rsid w:val="008A1956"/>
    <w:rsid w:val="008A4937"/>
    <w:rsid w:val="008A50F1"/>
    <w:rsid w:val="008B00E3"/>
    <w:rsid w:val="008B1E0B"/>
    <w:rsid w:val="008B486C"/>
    <w:rsid w:val="008B6EFF"/>
    <w:rsid w:val="008D1B5C"/>
    <w:rsid w:val="008D236A"/>
    <w:rsid w:val="008D3C82"/>
    <w:rsid w:val="008D447E"/>
    <w:rsid w:val="008D7A41"/>
    <w:rsid w:val="008E2D23"/>
    <w:rsid w:val="008E3680"/>
    <w:rsid w:val="008E44FC"/>
    <w:rsid w:val="008E5870"/>
    <w:rsid w:val="008E7F84"/>
    <w:rsid w:val="008F019D"/>
    <w:rsid w:val="008F1434"/>
    <w:rsid w:val="008F5FA4"/>
    <w:rsid w:val="008F6555"/>
    <w:rsid w:val="008F7355"/>
    <w:rsid w:val="009003F6"/>
    <w:rsid w:val="00904222"/>
    <w:rsid w:val="009052BF"/>
    <w:rsid w:val="009067B7"/>
    <w:rsid w:val="0091076F"/>
    <w:rsid w:val="009164EF"/>
    <w:rsid w:val="00922DD5"/>
    <w:rsid w:val="009231A7"/>
    <w:rsid w:val="00930937"/>
    <w:rsid w:val="00933E6C"/>
    <w:rsid w:val="00937958"/>
    <w:rsid w:val="00942160"/>
    <w:rsid w:val="0095146F"/>
    <w:rsid w:val="009602C5"/>
    <w:rsid w:val="00962223"/>
    <w:rsid w:val="0096359C"/>
    <w:rsid w:val="00966D0D"/>
    <w:rsid w:val="0096748D"/>
    <w:rsid w:val="009717F8"/>
    <w:rsid w:val="00974C21"/>
    <w:rsid w:val="00982FAC"/>
    <w:rsid w:val="00984244"/>
    <w:rsid w:val="009846D9"/>
    <w:rsid w:val="00986253"/>
    <w:rsid w:val="00987B10"/>
    <w:rsid w:val="00995F68"/>
    <w:rsid w:val="009B0F67"/>
    <w:rsid w:val="009B258E"/>
    <w:rsid w:val="009B418F"/>
    <w:rsid w:val="009C703C"/>
    <w:rsid w:val="009D3CAA"/>
    <w:rsid w:val="009D4FAA"/>
    <w:rsid w:val="009E0E81"/>
    <w:rsid w:val="009E12F4"/>
    <w:rsid w:val="009E31F3"/>
    <w:rsid w:val="009E40E1"/>
    <w:rsid w:val="009F0121"/>
    <w:rsid w:val="009F4E46"/>
    <w:rsid w:val="009F5692"/>
    <w:rsid w:val="009F5B65"/>
    <w:rsid w:val="009F5F2E"/>
    <w:rsid w:val="00A02E70"/>
    <w:rsid w:val="00A06225"/>
    <w:rsid w:val="00A128E6"/>
    <w:rsid w:val="00A17178"/>
    <w:rsid w:val="00A26815"/>
    <w:rsid w:val="00A34E6C"/>
    <w:rsid w:val="00A350A9"/>
    <w:rsid w:val="00A37C8D"/>
    <w:rsid w:val="00A51E9A"/>
    <w:rsid w:val="00A5273B"/>
    <w:rsid w:val="00A53A9D"/>
    <w:rsid w:val="00A55FEE"/>
    <w:rsid w:val="00A62C1A"/>
    <w:rsid w:val="00A6426D"/>
    <w:rsid w:val="00A65DE7"/>
    <w:rsid w:val="00A665C1"/>
    <w:rsid w:val="00A673BF"/>
    <w:rsid w:val="00A700F6"/>
    <w:rsid w:val="00A70622"/>
    <w:rsid w:val="00A70977"/>
    <w:rsid w:val="00A72146"/>
    <w:rsid w:val="00A7682C"/>
    <w:rsid w:val="00A77613"/>
    <w:rsid w:val="00A8390C"/>
    <w:rsid w:val="00A849EE"/>
    <w:rsid w:val="00A86BF1"/>
    <w:rsid w:val="00A928BD"/>
    <w:rsid w:val="00AA0B72"/>
    <w:rsid w:val="00AA2DC1"/>
    <w:rsid w:val="00AA4D1C"/>
    <w:rsid w:val="00AA66FC"/>
    <w:rsid w:val="00AA68D0"/>
    <w:rsid w:val="00AB3680"/>
    <w:rsid w:val="00AB7FD2"/>
    <w:rsid w:val="00AC193C"/>
    <w:rsid w:val="00AC2EAA"/>
    <w:rsid w:val="00AC5206"/>
    <w:rsid w:val="00AC599D"/>
    <w:rsid w:val="00AD033F"/>
    <w:rsid w:val="00AD2711"/>
    <w:rsid w:val="00AE0061"/>
    <w:rsid w:val="00AE0D0E"/>
    <w:rsid w:val="00AE11A5"/>
    <w:rsid w:val="00AE13E2"/>
    <w:rsid w:val="00AE22D3"/>
    <w:rsid w:val="00AE4C1B"/>
    <w:rsid w:val="00AE64E3"/>
    <w:rsid w:val="00AF10F7"/>
    <w:rsid w:val="00AF62DF"/>
    <w:rsid w:val="00AF68CC"/>
    <w:rsid w:val="00B07055"/>
    <w:rsid w:val="00B0741B"/>
    <w:rsid w:val="00B1059E"/>
    <w:rsid w:val="00B13F1E"/>
    <w:rsid w:val="00B1686D"/>
    <w:rsid w:val="00B176C8"/>
    <w:rsid w:val="00B205AA"/>
    <w:rsid w:val="00B22E84"/>
    <w:rsid w:val="00B250E2"/>
    <w:rsid w:val="00B25F75"/>
    <w:rsid w:val="00B26B3F"/>
    <w:rsid w:val="00B371A4"/>
    <w:rsid w:val="00B419ED"/>
    <w:rsid w:val="00B43E90"/>
    <w:rsid w:val="00B467DC"/>
    <w:rsid w:val="00B56118"/>
    <w:rsid w:val="00B5740B"/>
    <w:rsid w:val="00B61740"/>
    <w:rsid w:val="00B6773F"/>
    <w:rsid w:val="00B701CF"/>
    <w:rsid w:val="00B801BA"/>
    <w:rsid w:val="00B82C52"/>
    <w:rsid w:val="00B8389F"/>
    <w:rsid w:val="00B83E91"/>
    <w:rsid w:val="00B84D5C"/>
    <w:rsid w:val="00B870A3"/>
    <w:rsid w:val="00B9078C"/>
    <w:rsid w:val="00BB69F5"/>
    <w:rsid w:val="00BB7EC3"/>
    <w:rsid w:val="00BC4B9A"/>
    <w:rsid w:val="00BD774B"/>
    <w:rsid w:val="00BD784C"/>
    <w:rsid w:val="00BE2550"/>
    <w:rsid w:val="00BE7A86"/>
    <w:rsid w:val="00BF15F0"/>
    <w:rsid w:val="00BF4CB6"/>
    <w:rsid w:val="00C00DA7"/>
    <w:rsid w:val="00C077F0"/>
    <w:rsid w:val="00C12768"/>
    <w:rsid w:val="00C151DF"/>
    <w:rsid w:val="00C24EF9"/>
    <w:rsid w:val="00C25977"/>
    <w:rsid w:val="00C27B58"/>
    <w:rsid w:val="00C31241"/>
    <w:rsid w:val="00C34D31"/>
    <w:rsid w:val="00C35996"/>
    <w:rsid w:val="00C4747E"/>
    <w:rsid w:val="00C47546"/>
    <w:rsid w:val="00C47EDD"/>
    <w:rsid w:val="00C5342C"/>
    <w:rsid w:val="00C543A8"/>
    <w:rsid w:val="00C56858"/>
    <w:rsid w:val="00C57084"/>
    <w:rsid w:val="00C603D4"/>
    <w:rsid w:val="00C6256A"/>
    <w:rsid w:val="00C75C2F"/>
    <w:rsid w:val="00C77891"/>
    <w:rsid w:val="00C87E60"/>
    <w:rsid w:val="00C91449"/>
    <w:rsid w:val="00C92D10"/>
    <w:rsid w:val="00C93A2E"/>
    <w:rsid w:val="00C94A93"/>
    <w:rsid w:val="00C962F5"/>
    <w:rsid w:val="00CA292F"/>
    <w:rsid w:val="00CB3342"/>
    <w:rsid w:val="00CD3894"/>
    <w:rsid w:val="00CD7947"/>
    <w:rsid w:val="00CE10C4"/>
    <w:rsid w:val="00CE27B5"/>
    <w:rsid w:val="00CE53E6"/>
    <w:rsid w:val="00CE5438"/>
    <w:rsid w:val="00CE6212"/>
    <w:rsid w:val="00CE6A9B"/>
    <w:rsid w:val="00D00E65"/>
    <w:rsid w:val="00D0321E"/>
    <w:rsid w:val="00D133CF"/>
    <w:rsid w:val="00D1455A"/>
    <w:rsid w:val="00D16F37"/>
    <w:rsid w:val="00D24A2F"/>
    <w:rsid w:val="00D257A2"/>
    <w:rsid w:val="00D31150"/>
    <w:rsid w:val="00D3138B"/>
    <w:rsid w:val="00D32123"/>
    <w:rsid w:val="00D3280C"/>
    <w:rsid w:val="00D3406A"/>
    <w:rsid w:val="00D42E14"/>
    <w:rsid w:val="00D4572C"/>
    <w:rsid w:val="00D469B2"/>
    <w:rsid w:val="00D47CAA"/>
    <w:rsid w:val="00D570F3"/>
    <w:rsid w:val="00D741EB"/>
    <w:rsid w:val="00D75151"/>
    <w:rsid w:val="00D776FF"/>
    <w:rsid w:val="00D8260F"/>
    <w:rsid w:val="00D83605"/>
    <w:rsid w:val="00D84934"/>
    <w:rsid w:val="00D9026C"/>
    <w:rsid w:val="00D91179"/>
    <w:rsid w:val="00D91271"/>
    <w:rsid w:val="00D919F5"/>
    <w:rsid w:val="00D9219A"/>
    <w:rsid w:val="00D94F03"/>
    <w:rsid w:val="00DA06F1"/>
    <w:rsid w:val="00DA2CB5"/>
    <w:rsid w:val="00DA4BAC"/>
    <w:rsid w:val="00DA6CD7"/>
    <w:rsid w:val="00DA72A2"/>
    <w:rsid w:val="00DE6D27"/>
    <w:rsid w:val="00DF217D"/>
    <w:rsid w:val="00DF26A7"/>
    <w:rsid w:val="00DF67C5"/>
    <w:rsid w:val="00DF71DD"/>
    <w:rsid w:val="00DF7819"/>
    <w:rsid w:val="00DF7FCB"/>
    <w:rsid w:val="00E0178F"/>
    <w:rsid w:val="00E04589"/>
    <w:rsid w:val="00E04F0C"/>
    <w:rsid w:val="00E152C6"/>
    <w:rsid w:val="00E15627"/>
    <w:rsid w:val="00E164B3"/>
    <w:rsid w:val="00E16910"/>
    <w:rsid w:val="00E2386F"/>
    <w:rsid w:val="00E24E8B"/>
    <w:rsid w:val="00E42BDB"/>
    <w:rsid w:val="00E4446B"/>
    <w:rsid w:val="00E44C4B"/>
    <w:rsid w:val="00E46902"/>
    <w:rsid w:val="00E548D7"/>
    <w:rsid w:val="00E57C1E"/>
    <w:rsid w:val="00E57EEB"/>
    <w:rsid w:val="00E62D94"/>
    <w:rsid w:val="00E65E54"/>
    <w:rsid w:val="00E778C7"/>
    <w:rsid w:val="00E80155"/>
    <w:rsid w:val="00E81F28"/>
    <w:rsid w:val="00E821C2"/>
    <w:rsid w:val="00E848C0"/>
    <w:rsid w:val="00E84FF4"/>
    <w:rsid w:val="00E869FA"/>
    <w:rsid w:val="00E91B96"/>
    <w:rsid w:val="00E941A1"/>
    <w:rsid w:val="00E95CE3"/>
    <w:rsid w:val="00E97008"/>
    <w:rsid w:val="00EA2825"/>
    <w:rsid w:val="00EB0B63"/>
    <w:rsid w:val="00EB1936"/>
    <w:rsid w:val="00EB5088"/>
    <w:rsid w:val="00EC241C"/>
    <w:rsid w:val="00ED0825"/>
    <w:rsid w:val="00ED1644"/>
    <w:rsid w:val="00ED2593"/>
    <w:rsid w:val="00ED7D9C"/>
    <w:rsid w:val="00EE1992"/>
    <w:rsid w:val="00EE5AE0"/>
    <w:rsid w:val="00EE782A"/>
    <w:rsid w:val="00EF2336"/>
    <w:rsid w:val="00EF2C64"/>
    <w:rsid w:val="00EF44A0"/>
    <w:rsid w:val="00EF4FED"/>
    <w:rsid w:val="00F033CE"/>
    <w:rsid w:val="00F050BD"/>
    <w:rsid w:val="00F05657"/>
    <w:rsid w:val="00F07CF0"/>
    <w:rsid w:val="00F21782"/>
    <w:rsid w:val="00F22B60"/>
    <w:rsid w:val="00F24755"/>
    <w:rsid w:val="00F25578"/>
    <w:rsid w:val="00F258E5"/>
    <w:rsid w:val="00F300BC"/>
    <w:rsid w:val="00F3334E"/>
    <w:rsid w:val="00F363E0"/>
    <w:rsid w:val="00F36CCB"/>
    <w:rsid w:val="00F374E5"/>
    <w:rsid w:val="00F43AF2"/>
    <w:rsid w:val="00F5007E"/>
    <w:rsid w:val="00F50EC4"/>
    <w:rsid w:val="00F550CF"/>
    <w:rsid w:val="00F57A6D"/>
    <w:rsid w:val="00F603E3"/>
    <w:rsid w:val="00F638CC"/>
    <w:rsid w:val="00F64CC1"/>
    <w:rsid w:val="00F72317"/>
    <w:rsid w:val="00F74B85"/>
    <w:rsid w:val="00F80475"/>
    <w:rsid w:val="00F8247A"/>
    <w:rsid w:val="00F835F3"/>
    <w:rsid w:val="00F84704"/>
    <w:rsid w:val="00F8588F"/>
    <w:rsid w:val="00F87B7C"/>
    <w:rsid w:val="00F90CF2"/>
    <w:rsid w:val="00F9629A"/>
    <w:rsid w:val="00F97EFC"/>
    <w:rsid w:val="00FA0CB6"/>
    <w:rsid w:val="00FA5883"/>
    <w:rsid w:val="00FA6055"/>
    <w:rsid w:val="00FB322F"/>
    <w:rsid w:val="00FB442F"/>
    <w:rsid w:val="00FB52A9"/>
    <w:rsid w:val="00FC0D88"/>
    <w:rsid w:val="00FC1929"/>
    <w:rsid w:val="00FC5B46"/>
    <w:rsid w:val="00FC7502"/>
    <w:rsid w:val="00FC792D"/>
    <w:rsid w:val="00FD2FF3"/>
    <w:rsid w:val="00FD6D8E"/>
    <w:rsid w:val="00FD73C2"/>
    <w:rsid w:val="00FE0E94"/>
    <w:rsid w:val="00FE1F33"/>
    <w:rsid w:val="00FE26BD"/>
    <w:rsid w:val="00FE66B0"/>
    <w:rsid w:val="00FF00BD"/>
    <w:rsid w:val="00FF1ED4"/>
    <w:rsid w:val="00FF2801"/>
    <w:rsid w:val="00FF2C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7D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1F74E6"/>
    <w:pPr>
      <w:keepNext/>
      <w:keepLines/>
      <w:widowControl/>
      <w:numPr>
        <w:numId w:val="14"/>
      </w:numPr>
      <w:spacing w:before="240" w:after="120"/>
      <w:contextualSpacing w:val="0"/>
      <w:jc w:val="left"/>
      <w:outlineLvl w:val="0"/>
    </w:pPr>
    <w:rPr>
      <w:rFonts w:asciiTheme="minorHAnsi" w:hAnsiTheme="minorHAnsi"/>
      <w:b/>
      <w:sz w:val="32"/>
      <w:szCs w:val="32"/>
    </w:rPr>
  </w:style>
  <w:style w:type="paragraph" w:styleId="Heading2">
    <w:name w:val="heading 2"/>
    <w:basedOn w:val="Normal"/>
    <w:next w:val="Normal"/>
    <w:link w:val="Heading2Char"/>
    <w:uiPriority w:val="1"/>
    <w:qFormat/>
    <w:rsid w:val="001F74E6"/>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List Paragraph1,PBAC normal points,Bullet point,List Paragraph11,Recommendation"/>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List Paragraph1 Char,PBAC normal points Char,Bullet point Char,List Paragraph11 Char,Recommendation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1F74E6"/>
    <w:rPr>
      <w:rFonts w:asciiTheme="minorHAnsi" w:hAnsiTheme="minorHAnsi" w:cs="Arial"/>
      <w:b/>
      <w:snapToGrid w:val="0"/>
      <w:sz w:val="32"/>
      <w:szCs w:val="32"/>
      <w:lang w:eastAsia="en-US"/>
    </w:rPr>
  </w:style>
  <w:style w:type="character" w:customStyle="1" w:styleId="Heading2Char">
    <w:name w:val="Heading 2 Char"/>
    <w:basedOn w:val="DefaultParagraphFont"/>
    <w:link w:val="Heading2"/>
    <w:uiPriority w:val="1"/>
    <w:rsid w:val="001F74E6"/>
    <w:rPr>
      <w:rFonts w:asciiTheme="minorHAnsi" w:eastAsiaTheme="majorEastAsia" w:hAnsiTheme="minorHAnsi" w:cstheme="majorBidi"/>
      <w:b/>
      <w:i/>
      <w:sz w:val="28"/>
      <w:szCs w:val="28"/>
      <w:lang w:eastAsia="en-US"/>
    </w:rPr>
  </w:style>
  <w:style w:type="paragraph" w:styleId="BodyText">
    <w:name w:val="Body Text"/>
    <w:basedOn w:val="Normal"/>
    <w:link w:val="BodyTextChar"/>
    <w:rsid w:val="007658DF"/>
    <w:pPr>
      <w:spacing w:after="120"/>
    </w:pPr>
  </w:style>
  <w:style w:type="character" w:customStyle="1" w:styleId="BodyTextChar">
    <w:name w:val="Body Text Char"/>
    <w:basedOn w:val="DefaultParagraphFont"/>
    <w:link w:val="BodyText"/>
    <w:rsid w:val="007658DF"/>
    <w:rPr>
      <w:sz w:val="24"/>
      <w:szCs w:val="24"/>
    </w:rPr>
  </w:style>
  <w:style w:type="paragraph" w:customStyle="1" w:styleId="Bulletpoints">
    <w:name w:val="Bullet points"/>
    <w:basedOn w:val="ListParagraph"/>
    <w:qFormat/>
    <w:rsid w:val="00830BAB"/>
    <w:pPr>
      <w:numPr>
        <w:numId w:val="19"/>
      </w:numPr>
      <w:contextualSpacing w:val="0"/>
    </w:pPr>
    <w:rPr>
      <w:rFonts w:ascii="Calibri" w:hAnsi="Calibri"/>
      <w:sz w:val="24"/>
      <w:szCs w:val="24"/>
    </w:rPr>
  </w:style>
  <w:style w:type="paragraph" w:customStyle="1" w:styleId="TableFooter">
    <w:name w:val="Table Footer"/>
    <w:basedOn w:val="Normal"/>
    <w:link w:val="TableFooterChar"/>
    <w:qFormat/>
    <w:rsid w:val="0029625B"/>
    <w:pPr>
      <w:widowControl w:val="0"/>
      <w:jc w:val="both"/>
    </w:pPr>
    <w:rPr>
      <w:rFonts w:ascii="Arial Narrow" w:hAnsi="Arial Narrow" w:cs="Arial"/>
      <w:snapToGrid w:val="0"/>
      <w:sz w:val="18"/>
      <w:szCs w:val="20"/>
      <w:lang w:eastAsia="en-US"/>
    </w:rPr>
  </w:style>
  <w:style w:type="paragraph" w:styleId="FootnoteText">
    <w:name w:val="footnote text"/>
    <w:basedOn w:val="Normal"/>
    <w:link w:val="FootnoteTextChar"/>
    <w:rsid w:val="00717CA6"/>
    <w:rPr>
      <w:sz w:val="20"/>
      <w:szCs w:val="20"/>
    </w:rPr>
  </w:style>
  <w:style w:type="character" w:customStyle="1" w:styleId="FootnoteTextChar">
    <w:name w:val="Footnote Text Char"/>
    <w:basedOn w:val="DefaultParagraphFont"/>
    <w:link w:val="FootnoteText"/>
    <w:rsid w:val="00717CA6"/>
  </w:style>
  <w:style w:type="character" w:styleId="FootnoteReference">
    <w:name w:val="footnote reference"/>
    <w:basedOn w:val="DefaultParagraphFont"/>
    <w:rsid w:val="00717CA6"/>
    <w:rPr>
      <w:vertAlign w:val="superscript"/>
    </w:rPr>
  </w:style>
  <w:style w:type="paragraph" w:styleId="IntenseQuote">
    <w:name w:val="Intense Quote"/>
    <w:basedOn w:val="ListParagraph"/>
    <w:next w:val="Normal"/>
    <w:link w:val="IntenseQuoteChar"/>
    <w:uiPriority w:val="60"/>
    <w:qFormat/>
    <w:rsid w:val="00CD7947"/>
    <w:pPr>
      <w:widowControl/>
      <w:spacing w:after="120"/>
      <w:ind w:left="0"/>
      <w:contextualSpacing w:val="0"/>
    </w:pPr>
    <w:rPr>
      <w:rFonts w:asciiTheme="minorHAnsi" w:eastAsiaTheme="minorHAnsi" w:hAnsiTheme="minorHAnsi" w:cstheme="minorBidi"/>
      <w:snapToGrid/>
      <w:sz w:val="24"/>
      <w:szCs w:val="22"/>
    </w:rPr>
  </w:style>
  <w:style w:type="character" w:customStyle="1" w:styleId="IntenseQuoteChar">
    <w:name w:val="Intense Quote Char"/>
    <w:basedOn w:val="DefaultParagraphFont"/>
    <w:link w:val="IntenseQuote"/>
    <w:uiPriority w:val="60"/>
    <w:rsid w:val="00CD7947"/>
    <w:rPr>
      <w:rFonts w:asciiTheme="minorHAnsi" w:eastAsiaTheme="minorHAnsi" w:hAnsiTheme="minorHAnsi" w:cstheme="minorBidi"/>
      <w:sz w:val="24"/>
      <w:szCs w:val="22"/>
      <w:lang w:eastAsia="en-US"/>
    </w:rPr>
  </w:style>
  <w:style w:type="paragraph" w:styleId="Caption">
    <w:name w:val="caption"/>
    <w:basedOn w:val="Normal"/>
    <w:next w:val="Normal"/>
    <w:link w:val="CaptionChar"/>
    <w:unhideWhenUsed/>
    <w:rsid w:val="00123993"/>
    <w:pPr>
      <w:widowControl w:val="0"/>
      <w:jc w:val="both"/>
    </w:pPr>
    <w:rPr>
      <w:rFonts w:ascii="Arial Narrow" w:hAnsi="Arial Narrow" w:cs="Arial"/>
      <w:b/>
      <w:bCs/>
      <w:snapToGrid w:val="0"/>
      <w:color w:val="000000" w:themeColor="text1"/>
      <w:sz w:val="20"/>
      <w:szCs w:val="18"/>
      <w:lang w:eastAsia="en-US"/>
    </w:rPr>
  </w:style>
  <w:style w:type="character" w:customStyle="1" w:styleId="CaptionChar">
    <w:name w:val="Caption Char"/>
    <w:link w:val="Caption"/>
    <w:rsid w:val="00123993"/>
    <w:rPr>
      <w:rFonts w:ascii="Arial Narrow" w:hAnsi="Arial Narrow" w:cs="Arial"/>
      <w:b/>
      <w:bCs/>
      <w:snapToGrid w:val="0"/>
      <w:color w:val="000000" w:themeColor="text1"/>
      <w:szCs w:val="18"/>
      <w:lang w:eastAsia="en-US"/>
    </w:rPr>
  </w:style>
  <w:style w:type="paragraph" w:customStyle="1" w:styleId="Default">
    <w:name w:val="Default"/>
    <w:rsid w:val="00123993"/>
    <w:pPr>
      <w:autoSpaceDE w:val="0"/>
      <w:autoSpaceDN w:val="0"/>
      <w:adjustRightInd w:val="0"/>
    </w:pPr>
    <w:rPr>
      <w:rFonts w:ascii="Calibri" w:hAnsi="Calibri" w:cs="Calibri"/>
      <w:color w:val="000000"/>
      <w:sz w:val="24"/>
      <w:szCs w:val="24"/>
    </w:rPr>
  </w:style>
  <w:style w:type="character" w:customStyle="1" w:styleId="TableFooterChar">
    <w:name w:val="Table Footer Char"/>
    <w:link w:val="TableFooter"/>
    <w:rsid w:val="001F626C"/>
    <w:rPr>
      <w:rFonts w:ascii="Arial Narrow" w:hAnsi="Arial Narrow" w:cs="Arial"/>
      <w:snapToGrid w:val="0"/>
      <w:sz w:val="18"/>
      <w:lang w:eastAsia="en-US"/>
    </w:rPr>
  </w:style>
  <w:style w:type="character" w:customStyle="1" w:styleId="TabletextChar">
    <w:name w:val="Table text Char"/>
    <w:link w:val="Tabletext"/>
    <w:uiPriority w:val="2"/>
    <w:rsid w:val="001F626C"/>
    <w:rPr>
      <w:rFonts w:ascii="Arial" w:hAnsi="Arial"/>
      <w:lang w:eastAsia="en-US"/>
    </w:rPr>
  </w:style>
  <w:style w:type="table" w:customStyle="1" w:styleId="Summarybox1">
    <w:name w:val="Summary box1"/>
    <w:basedOn w:val="TableNormal"/>
    <w:next w:val="TableGrid"/>
    <w:uiPriority w:val="59"/>
    <w:rsid w:val="00156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9231A7"/>
    <w:rPr>
      <w:sz w:val="24"/>
      <w:szCs w:val="24"/>
    </w:rPr>
  </w:style>
  <w:style w:type="character" w:styleId="FollowedHyperlink">
    <w:name w:val="FollowedHyperlink"/>
    <w:basedOn w:val="DefaultParagraphFont"/>
    <w:semiHidden/>
    <w:unhideWhenUsed/>
    <w:rsid w:val="00311BB0"/>
    <w:rPr>
      <w:color w:val="800080" w:themeColor="followedHyperlink"/>
      <w:u w:val="single"/>
    </w:rPr>
  </w:style>
  <w:style w:type="character" w:styleId="PlaceholderText">
    <w:name w:val="Placeholder Text"/>
    <w:basedOn w:val="DefaultParagraphFont"/>
    <w:uiPriority w:val="99"/>
    <w:unhideWhenUsed/>
    <w:rsid w:val="005932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83107097">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scopubs.org/doi/abs/10.1200/JCO.2017.35.15_suppl.7517" TargetMode="External"/><Relationship Id="rId1" Type="http://schemas.openxmlformats.org/officeDocument/2006/relationships/hyperlink" Target="https://www.humanservices.gov.au/organisations/health-professionals/forms/pb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D4785-964F-4E5B-99E0-CF47C96C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9338</Words>
  <Characters>53239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2019-02-22T00:37:00Z</dcterms:created>
  <dcterms:modified xsi:type="dcterms:W3CDTF">2019-02-25T01:35:00Z</dcterms:modified>
</cp:coreProperties>
</file>