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22" w:rsidRDefault="008B4126" w:rsidP="00964ACD">
      <w:pPr>
        <w:ind w:left="709" w:hanging="709"/>
        <w:jc w:val="left"/>
      </w:pPr>
      <w:bookmarkStart w:id="0" w:name="_GoBack"/>
      <w:bookmarkEnd w:id="0"/>
      <w:r>
        <w:rPr>
          <w:b/>
          <w:sz w:val="36"/>
          <w:szCs w:val="36"/>
        </w:rPr>
        <w:t>5</w:t>
      </w:r>
      <w:r w:rsidR="00433044" w:rsidRPr="00C12C14">
        <w:rPr>
          <w:b/>
          <w:sz w:val="36"/>
          <w:szCs w:val="36"/>
        </w:rPr>
        <w:t>.</w:t>
      </w:r>
      <w:r>
        <w:rPr>
          <w:b/>
          <w:sz w:val="36"/>
          <w:szCs w:val="36"/>
        </w:rPr>
        <w:t>02</w:t>
      </w:r>
      <w:r w:rsidR="00B60939" w:rsidRPr="00C12C14">
        <w:rPr>
          <w:b/>
          <w:sz w:val="36"/>
          <w:szCs w:val="36"/>
        </w:rPr>
        <w:tab/>
      </w:r>
      <w:r w:rsidR="00196AE4">
        <w:rPr>
          <w:b/>
          <w:sz w:val="36"/>
          <w:szCs w:val="36"/>
        </w:rPr>
        <w:t>BUPRENORPHINE</w:t>
      </w:r>
      <w:r w:rsidR="00B60939" w:rsidRPr="00C12C14">
        <w:rPr>
          <w:b/>
          <w:sz w:val="36"/>
          <w:szCs w:val="36"/>
        </w:rPr>
        <w:t xml:space="preserve">, </w:t>
      </w:r>
      <w:r w:rsidR="006118E0">
        <w:rPr>
          <w:b/>
          <w:sz w:val="36"/>
          <w:szCs w:val="36"/>
        </w:rPr>
        <w:t xml:space="preserve">Injection, </w:t>
      </w:r>
      <w:r w:rsidR="008A25E8">
        <w:rPr>
          <w:b/>
          <w:sz w:val="36"/>
          <w:szCs w:val="36"/>
        </w:rPr>
        <w:br/>
      </w:r>
      <w:r w:rsidR="006118E0">
        <w:rPr>
          <w:b/>
          <w:sz w:val="36"/>
          <w:szCs w:val="36"/>
        </w:rPr>
        <w:t xml:space="preserve">8 mg in 0.16 mL pre-filled syringe, </w:t>
      </w:r>
      <w:r w:rsidR="008A25E8">
        <w:rPr>
          <w:b/>
          <w:sz w:val="36"/>
          <w:szCs w:val="36"/>
        </w:rPr>
        <w:br/>
      </w:r>
      <w:r w:rsidR="006118E0">
        <w:rPr>
          <w:b/>
          <w:sz w:val="36"/>
          <w:szCs w:val="36"/>
        </w:rPr>
        <w:t xml:space="preserve">16 mg in 0.32 mL pre-filled syringe, </w:t>
      </w:r>
      <w:r w:rsidR="008A25E8">
        <w:rPr>
          <w:b/>
          <w:sz w:val="36"/>
          <w:szCs w:val="36"/>
        </w:rPr>
        <w:br/>
      </w:r>
      <w:r w:rsidR="006118E0">
        <w:rPr>
          <w:b/>
          <w:sz w:val="36"/>
          <w:szCs w:val="36"/>
        </w:rPr>
        <w:t xml:space="preserve">24 mg in 0.48 mL pre-filled syringe, </w:t>
      </w:r>
      <w:r w:rsidR="008A25E8">
        <w:rPr>
          <w:b/>
          <w:sz w:val="36"/>
          <w:szCs w:val="36"/>
        </w:rPr>
        <w:br/>
      </w:r>
      <w:r w:rsidR="006118E0">
        <w:rPr>
          <w:b/>
          <w:sz w:val="36"/>
          <w:szCs w:val="36"/>
        </w:rPr>
        <w:t xml:space="preserve">32 mg in 0.64 mL pre-filled syringe, </w:t>
      </w:r>
      <w:r w:rsidR="008A25E8">
        <w:rPr>
          <w:b/>
          <w:sz w:val="36"/>
          <w:szCs w:val="36"/>
        </w:rPr>
        <w:br/>
      </w:r>
      <w:r w:rsidR="006118E0">
        <w:rPr>
          <w:b/>
          <w:sz w:val="36"/>
          <w:szCs w:val="36"/>
        </w:rPr>
        <w:t xml:space="preserve">64 mg in 0.18 mL pre-filled syringe, </w:t>
      </w:r>
      <w:r w:rsidR="008A25E8">
        <w:rPr>
          <w:b/>
          <w:sz w:val="36"/>
          <w:szCs w:val="36"/>
        </w:rPr>
        <w:br/>
      </w:r>
      <w:r w:rsidR="006118E0">
        <w:rPr>
          <w:b/>
          <w:sz w:val="36"/>
          <w:szCs w:val="36"/>
        </w:rPr>
        <w:t xml:space="preserve">96 mg in 0.27 mL pre-filled syringe, </w:t>
      </w:r>
      <w:r w:rsidR="008A25E8">
        <w:rPr>
          <w:b/>
          <w:sz w:val="36"/>
          <w:szCs w:val="36"/>
        </w:rPr>
        <w:br/>
      </w:r>
      <w:r w:rsidR="006118E0">
        <w:rPr>
          <w:b/>
          <w:sz w:val="36"/>
          <w:szCs w:val="36"/>
        </w:rPr>
        <w:t xml:space="preserve">128 mg in 0.36 mL pre-filled syringe, </w:t>
      </w:r>
      <w:r w:rsidR="008A25E8">
        <w:rPr>
          <w:b/>
          <w:sz w:val="36"/>
          <w:szCs w:val="36"/>
        </w:rPr>
        <w:br/>
      </w:r>
      <w:proofErr w:type="spellStart"/>
      <w:r w:rsidR="00196AE4">
        <w:rPr>
          <w:b/>
          <w:sz w:val="36"/>
          <w:szCs w:val="36"/>
        </w:rPr>
        <w:t>Buvidal</w:t>
      </w:r>
      <w:proofErr w:type="spellEnd"/>
      <w:r w:rsidR="00B60939" w:rsidRPr="00D7042D">
        <w:rPr>
          <w:b/>
          <w:sz w:val="36"/>
          <w:szCs w:val="36"/>
        </w:rPr>
        <w:t>®</w:t>
      </w:r>
      <w:r w:rsidR="00B60939" w:rsidRPr="00C12C14">
        <w:rPr>
          <w:b/>
          <w:sz w:val="36"/>
          <w:szCs w:val="36"/>
        </w:rPr>
        <w:t xml:space="preserve">, </w:t>
      </w:r>
      <w:proofErr w:type="spellStart"/>
      <w:r w:rsidR="00196AE4">
        <w:rPr>
          <w:b/>
          <w:sz w:val="36"/>
          <w:szCs w:val="36"/>
        </w:rPr>
        <w:t>Camurus</w:t>
      </w:r>
      <w:proofErr w:type="spellEnd"/>
      <w:r w:rsidR="00196AE4">
        <w:rPr>
          <w:b/>
          <w:sz w:val="36"/>
          <w:szCs w:val="36"/>
        </w:rPr>
        <w:t xml:space="preserve"> AB</w:t>
      </w:r>
      <w:r w:rsidR="00B60939" w:rsidRPr="00C12C14">
        <w:rPr>
          <w:b/>
          <w:sz w:val="36"/>
          <w:szCs w:val="36"/>
        </w:rPr>
        <w:t>.</w:t>
      </w:r>
    </w:p>
    <w:p w:rsidR="00B50DB8" w:rsidRPr="003D7A9A" w:rsidRDefault="00B50DB8" w:rsidP="00B737AB">
      <w:pPr>
        <w:pStyle w:val="Heading1"/>
        <w:rPr>
          <w:caps/>
        </w:rPr>
      </w:pPr>
      <w:bookmarkStart w:id="1" w:name="_Toc524525731"/>
      <w:r w:rsidRPr="003D7A9A">
        <w:t>Purpose of Application</w:t>
      </w:r>
      <w:bookmarkEnd w:id="1"/>
    </w:p>
    <w:p w:rsidR="002C2775" w:rsidRPr="008B1757" w:rsidRDefault="00FD3368" w:rsidP="00DB2F6E">
      <w:pPr>
        <w:pStyle w:val="ListParagraph"/>
        <w:widowControl/>
        <w:numPr>
          <w:ilvl w:val="1"/>
          <w:numId w:val="2"/>
        </w:numPr>
      </w:pPr>
      <w:r>
        <w:t xml:space="preserve">The submission requested a Section 100 (Opiate Dependence Treatment Program) or a Section 85 listing for prolonged release subcutaneous injection of buprenorphine for the treatment of opioid dependence. Prolonged release buprenorphine has not been previously considered by the PBAC. </w:t>
      </w:r>
    </w:p>
    <w:p w:rsidR="00C2778B" w:rsidRDefault="00FD3368" w:rsidP="00DB2F6E">
      <w:pPr>
        <w:pStyle w:val="ListParagraph"/>
        <w:widowControl/>
        <w:numPr>
          <w:ilvl w:val="1"/>
          <w:numId w:val="2"/>
        </w:numPr>
        <w:spacing w:after="120"/>
      </w:pPr>
      <w:r>
        <w:t xml:space="preserve">Listing was requested on a cost-effectiveness basis compared with sublingual buprenorphine/naloxone. </w:t>
      </w:r>
    </w:p>
    <w:p w:rsidR="008B1757" w:rsidRPr="008B1757" w:rsidRDefault="008B1757" w:rsidP="008B1757">
      <w:pPr>
        <w:rPr>
          <w:rStyle w:val="CommentReference"/>
        </w:rPr>
      </w:pPr>
      <w:r>
        <w:rPr>
          <w:rStyle w:val="CommentReference"/>
        </w:rPr>
        <w:t xml:space="preserve">Table </w:t>
      </w:r>
      <w:r w:rsidR="00FD3368">
        <w:rPr>
          <w:rStyle w:val="CommentReference"/>
        </w:rPr>
        <w:t>1</w:t>
      </w:r>
      <w:r>
        <w:rPr>
          <w:rStyle w:val="CommentReference"/>
        </w:rPr>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FD3368" w:rsidRPr="00A518F3" w:rsidTr="00FD3368">
        <w:tc>
          <w:tcPr>
            <w:tcW w:w="1668" w:type="dxa"/>
            <w:vAlign w:val="center"/>
          </w:tcPr>
          <w:p w:rsidR="00FD3368" w:rsidRPr="00A518F3" w:rsidRDefault="00FD3368" w:rsidP="00FD3368">
            <w:pPr>
              <w:pStyle w:val="Tabletext"/>
              <w:rPr>
                <w:b/>
              </w:rPr>
            </w:pPr>
            <w:r w:rsidRPr="00A518F3">
              <w:rPr>
                <w:b/>
              </w:rPr>
              <w:t>Component</w:t>
            </w:r>
          </w:p>
        </w:tc>
        <w:tc>
          <w:tcPr>
            <w:tcW w:w="7488" w:type="dxa"/>
            <w:vAlign w:val="center"/>
          </w:tcPr>
          <w:p w:rsidR="00FD3368" w:rsidRPr="00A518F3" w:rsidRDefault="00FD3368" w:rsidP="00FD3368">
            <w:pPr>
              <w:pStyle w:val="Tabletext"/>
              <w:jc w:val="center"/>
              <w:rPr>
                <w:b/>
              </w:rPr>
            </w:pPr>
            <w:r w:rsidRPr="00A518F3">
              <w:rPr>
                <w:b/>
              </w:rPr>
              <w:t>Description</w:t>
            </w:r>
          </w:p>
        </w:tc>
      </w:tr>
      <w:tr w:rsidR="00FD3368" w:rsidTr="00FD3368">
        <w:tc>
          <w:tcPr>
            <w:tcW w:w="1668" w:type="dxa"/>
            <w:vAlign w:val="center"/>
          </w:tcPr>
          <w:p w:rsidR="00FD3368" w:rsidRDefault="00FD3368" w:rsidP="00FD3368">
            <w:pPr>
              <w:pStyle w:val="Tabletext"/>
            </w:pPr>
            <w:r>
              <w:t>Population</w:t>
            </w:r>
          </w:p>
        </w:tc>
        <w:tc>
          <w:tcPr>
            <w:tcW w:w="7488" w:type="dxa"/>
            <w:vAlign w:val="center"/>
          </w:tcPr>
          <w:p w:rsidR="00FD3368" w:rsidRDefault="00FD3368" w:rsidP="00FD3368">
            <w:pPr>
              <w:pStyle w:val="Tabletext"/>
            </w:pPr>
            <w:r>
              <w:t>Patients with opioid dependence</w:t>
            </w:r>
          </w:p>
        </w:tc>
      </w:tr>
      <w:tr w:rsidR="00FD3368" w:rsidTr="00FD3368">
        <w:tc>
          <w:tcPr>
            <w:tcW w:w="1668" w:type="dxa"/>
            <w:vAlign w:val="center"/>
          </w:tcPr>
          <w:p w:rsidR="00FD3368" w:rsidRDefault="00FD3368" w:rsidP="00FD3368">
            <w:pPr>
              <w:pStyle w:val="Tabletext"/>
            </w:pPr>
            <w:r>
              <w:t>Intervention</w:t>
            </w:r>
          </w:p>
        </w:tc>
        <w:tc>
          <w:tcPr>
            <w:tcW w:w="7488" w:type="dxa"/>
            <w:vAlign w:val="center"/>
          </w:tcPr>
          <w:p w:rsidR="00FD3368" w:rsidRDefault="00FD3368" w:rsidP="00FD3368">
            <w:pPr>
              <w:pStyle w:val="Tabletext"/>
            </w:pPr>
            <w:r>
              <w:t>P</w:t>
            </w:r>
            <w:r w:rsidRPr="00F13439">
              <w:t>rolonged-release once weekly or once monthly subcutaneous injection of buprenorphine</w:t>
            </w:r>
          </w:p>
        </w:tc>
      </w:tr>
      <w:tr w:rsidR="00FD3368" w:rsidTr="00FD3368">
        <w:tc>
          <w:tcPr>
            <w:tcW w:w="1668" w:type="dxa"/>
            <w:vAlign w:val="center"/>
          </w:tcPr>
          <w:p w:rsidR="00FD3368" w:rsidRDefault="00FD3368" w:rsidP="00FD3368">
            <w:pPr>
              <w:pStyle w:val="Tabletext"/>
            </w:pPr>
            <w:r>
              <w:t>Comparator</w:t>
            </w:r>
          </w:p>
        </w:tc>
        <w:tc>
          <w:tcPr>
            <w:tcW w:w="7488" w:type="dxa"/>
            <w:vAlign w:val="center"/>
          </w:tcPr>
          <w:p w:rsidR="00FD3368" w:rsidRDefault="00FD3368" w:rsidP="00FD3368">
            <w:pPr>
              <w:pStyle w:val="Tabletext"/>
            </w:pPr>
            <w:r w:rsidRPr="00F13439">
              <w:t>Sublingual buprenorphine/naloxone</w:t>
            </w:r>
          </w:p>
          <w:p w:rsidR="00FD3368" w:rsidRDefault="00FD3368" w:rsidP="00FD3368">
            <w:pPr>
              <w:pStyle w:val="Tabletext"/>
            </w:pPr>
            <w:r w:rsidRPr="00F13439">
              <w:t xml:space="preserve">RBP-6000 (an alternative </w:t>
            </w:r>
            <w:r>
              <w:t>subcutaneous</w:t>
            </w:r>
            <w:r w:rsidRPr="00F13439">
              <w:t xml:space="preserve"> depot preparation of </w:t>
            </w:r>
            <w:r>
              <w:t>buprenorphine</w:t>
            </w:r>
            <w:r w:rsidRPr="00F13439">
              <w:t xml:space="preserve">) </w:t>
            </w:r>
            <w:r>
              <w:t>identified as a potential near market</w:t>
            </w:r>
            <w:r w:rsidRPr="00F13439">
              <w:t xml:space="preserve"> comparator</w:t>
            </w:r>
          </w:p>
        </w:tc>
      </w:tr>
      <w:tr w:rsidR="00FD3368" w:rsidTr="00FD3368">
        <w:tc>
          <w:tcPr>
            <w:tcW w:w="1668" w:type="dxa"/>
            <w:vAlign w:val="center"/>
          </w:tcPr>
          <w:p w:rsidR="00FD3368" w:rsidRDefault="00FD3368" w:rsidP="00FD3368">
            <w:pPr>
              <w:pStyle w:val="Tabletext"/>
            </w:pPr>
            <w:r>
              <w:t>Outcomes</w:t>
            </w:r>
          </w:p>
        </w:tc>
        <w:tc>
          <w:tcPr>
            <w:tcW w:w="7488" w:type="dxa"/>
            <w:vAlign w:val="center"/>
          </w:tcPr>
          <w:p w:rsidR="00FD3368" w:rsidRDefault="00FD3368" w:rsidP="00956655">
            <w:pPr>
              <w:pStyle w:val="Tabletext"/>
            </w:pPr>
            <w:r>
              <w:t xml:space="preserve">Responder rate (based on predefined proportions of negative urine toxicology or </w:t>
            </w:r>
            <w:r w:rsidR="00726D10">
              <w:t>self-report</w:t>
            </w:r>
            <w:r>
              <w:t xml:space="preserve"> of illicit opioid use for the duration of the study), percentage of urine samples negative for illicit opioids, cumulative distribution function of percent samples that we</w:t>
            </w:r>
            <w:r w:rsidRPr="005F274B">
              <w:t>re negative for illicit opioids (Week 5-25) (supported</w:t>
            </w:r>
            <w:r>
              <w:t xml:space="preserve"> </w:t>
            </w:r>
            <w:r w:rsidRPr="005F274B">
              <w:t>by self-reported illicit opioid use</w:t>
            </w:r>
            <w:r>
              <w:t>), time to sustained abstinence of opioid use, trial retention rate, quality of life (</w:t>
            </w:r>
            <w:r w:rsidRPr="00A555CE">
              <w:t>Work Productivity and Activity Impairment</w:t>
            </w:r>
            <w:r>
              <w:t xml:space="preserve"> </w:t>
            </w:r>
            <w:r w:rsidRPr="00A555CE">
              <w:t>Questionnaire-General Health (WPAI-GH)</w:t>
            </w:r>
            <w:r>
              <w:t>; EQ-5D-5L Health Questionnaire), adverse events</w:t>
            </w:r>
          </w:p>
        </w:tc>
      </w:tr>
      <w:tr w:rsidR="00FD3368" w:rsidTr="00FD3368">
        <w:tc>
          <w:tcPr>
            <w:tcW w:w="1668" w:type="dxa"/>
            <w:vAlign w:val="center"/>
          </w:tcPr>
          <w:p w:rsidR="00FD3368" w:rsidRDefault="00FD3368" w:rsidP="00FD3368">
            <w:pPr>
              <w:pStyle w:val="Tabletext"/>
            </w:pPr>
            <w:r>
              <w:t>Clinical claim</w:t>
            </w:r>
          </w:p>
        </w:tc>
        <w:tc>
          <w:tcPr>
            <w:tcW w:w="7488" w:type="dxa"/>
            <w:vAlign w:val="center"/>
          </w:tcPr>
          <w:p w:rsidR="00FD3368" w:rsidRPr="007356E8" w:rsidRDefault="00FD3368" w:rsidP="00FD3368">
            <w:pPr>
              <w:pStyle w:val="Tabletext"/>
              <w:rPr>
                <w:i/>
              </w:rPr>
            </w:pPr>
            <w:r>
              <w:t>In patients with opioid dependence, prolonged release buprenorphine is more effective than sublingual buprenorphine/naloxone at increasing the mean percentage of negative urine samples supported by self-reports of illicit opioid use, and comparable in terms of safety</w:t>
            </w:r>
          </w:p>
          <w:p w:rsidR="003D7A9A" w:rsidRDefault="003D7A9A" w:rsidP="00FD3368">
            <w:pPr>
              <w:pStyle w:val="Tabletext"/>
            </w:pPr>
            <w:r>
              <w:t>No clinical claim was made regarding the comparison with RBP-6000, due to poor exchangeability of trials</w:t>
            </w:r>
          </w:p>
        </w:tc>
      </w:tr>
    </w:tbl>
    <w:p w:rsidR="00BD45C1" w:rsidRDefault="00FD3368" w:rsidP="00FD3368">
      <w:pPr>
        <w:pStyle w:val="TableFooter"/>
      </w:pPr>
      <w:r>
        <w:t xml:space="preserve">Source: Table 11, p.2 </w:t>
      </w:r>
      <w:r w:rsidRPr="00D13A3E">
        <w:t xml:space="preserve">of the </w:t>
      </w:r>
      <w:r>
        <w:t>submission.</w:t>
      </w:r>
    </w:p>
    <w:p w:rsidR="00BD45C1" w:rsidRDefault="00BD45C1">
      <w:pPr>
        <w:widowControl/>
        <w:jc w:val="left"/>
        <w:rPr>
          <w:rFonts w:ascii="Arial Narrow" w:hAnsi="Arial Narrow"/>
          <w:sz w:val="18"/>
        </w:rPr>
      </w:pPr>
      <w:r>
        <w:br w:type="page"/>
      </w:r>
    </w:p>
    <w:p w:rsidR="00B60939" w:rsidRDefault="00B50DB8" w:rsidP="00B737AB">
      <w:pPr>
        <w:pStyle w:val="Heading1"/>
        <w:rPr>
          <w:caps/>
        </w:rPr>
      </w:pPr>
      <w:bookmarkStart w:id="2" w:name="_Toc524525732"/>
      <w:r w:rsidRPr="003D7A9A">
        <w:lastRenderedPageBreak/>
        <w:t>Requested listing</w:t>
      </w:r>
      <w:bookmarkEnd w:id="2"/>
    </w:p>
    <w:p w:rsidR="00617E12" w:rsidRPr="00591957" w:rsidRDefault="00617E12" w:rsidP="00591957">
      <w:pPr>
        <w:widowControl/>
        <w:rPr>
          <w:color w:val="3366FF"/>
        </w:rPr>
      </w:pPr>
    </w:p>
    <w:tbl>
      <w:tblPr>
        <w:tblW w:w="5104" w:type="pct"/>
        <w:tblBorders>
          <w:top w:val="single" w:sz="4" w:space="0" w:color="auto"/>
          <w:bottom w:val="single" w:sz="4" w:space="0" w:color="auto"/>
          <w:insideH w:val="single" w:sz="4" w:space="0" w:color="auto"/>
        </w:tblBorders>
        <w:tblLook w:val="04A0" w:firstRow="1" w:lastRow="0" w:firstColumn="1" w:lastColumn="0" w:noHBand="0" w:noVBand="1"/>
      </w:tblPr>
      <w:tblGrid>
        <w:gridCol w:w="3411"/>
        <w:gridCol w:w="1379"/>
        <w:gridCol w:w="966"/>
        <w:gridCol w:w="1515"/>
        <w:gridCol w:w="1944"/>
      </w:tblGrid>
      <w:tr w:rsidR="00FD3368" w:rsidRPr="007D2D5F" w:rsidTr="00FC61CA">
        <w:tc>
          <w:tcPr>
            <w:tcW w:w="1851" w:type="pct"/>
            <w:tcBorders>
              <w:bottom w:val="single" w:sz="4" w:space="0" w:color="auto"/>
            </w:tcBorders>
          </w:tcPr>
          <w:p w:rsidR="00FD3368" w:rsidRPr="002C71CE" w:rsidRDefault="00FD3368" w:rsidP="00FD3368">
            <w:pPr>
              <w:pStyle w:val="Tabletext"/>
              <w:rPr>
                <w:b/>
                <w:bCs/>
              </w:rPr>
            </w:pPr>
            <w:r w:rsidRPr="002C71CE">
              <w:rPr>
                <w:b/>
              </w:rPr>
              <w:t>Name, restriction, manner of administration, form</w:t>
            </w:r>
          </w:p>
        </w:tc>
        <w:tc>
          <w:tcPr>
            <w:tcW w:w="748" w:type="pct"/>
            <w:tcBorders>
              <w:bottom w:val="single" w:sz="4" w:space="0" w:color="auto"/>
            </w:tcBorders>
          </w:tcPr>
          <w:p w:rsidR="00FD3368" w:rsidRPr="002C71CE" w:rsidRDefault="00FD3368" w:rsidP="00FD3368">
            <w:pPr>
              <w:pStyle w:val="Tabletext"/>
              <w:jc w:val="center"/>
              <w:rPr>
                <w:b/>
                <w:bCs/>
              </w:rPr>
            </w:pPr>
            <w:r w:rsidRPr="002C71CE">
              <w:rPr>
                <w:b/>
              </w:rPr>
              <w:t>Maximum quantity (units)</w:t>
            </w:r>
          </w:p>
        </w:tc>
        <w:tc>
          <w:tcPr>
            <w:tcW w:w="524" w:type="pct"/>
            <w:tcBorders>
              <w:bottom w:val="single" w:sz="4" w:space="0" w:color="auto"/>
            </w:tcBorders>
          </w:tcPr>
          <w:p w:rsidR="00FD3368" w:rsidRPr="002C71CE" w:rsidRDefault="00FD3368" w:rsidP="00FD3368">
            <w:pPr>
              <w:pStyle w:val="Tabletext"/>
              <w:rPr>
                <w:b/>
                <w:bCs/>
              </w:rPr>
            </w:pPr>
            <w:r w:rsidRPr="002C71CE">
              <w:rPr>
                <w:b/>
              </w:rPr>
              <w:t>No. of repeats</w:t>
            </w:r>
          </w:p>
        </w:tc>
        <w:tc>
          <w:tcPr>
            <w:tcW w:w="822" w:type="pct"/>
            <w:tcBorders>
              <w:bottom w:val="single" w:sz="4" w:space="0" w:color="auto"/>
            </w:tcBorders>
          </w:tcPr>
          <w:p w:rsidR="00FD3368" w:rsidRPr="002C71CE" w:rsidRDefault="00FD3368" w:rsidP="00FD3368">
            <w:pPr>
              <w:pStyle w:val="Tabletext"/>
              <w:rPr>
                <w:b/>
                <w:bCs/>
              </w:rPr>
            </w:pPr>
            <w:r>
              <w:rPr>
                <w:b/>
              </w:rPr>
              <w:t>Ex-manufacturer price</w:t>
            </w:r>
          </w:p>
        </w:tc>
        <w:tc>
          <w:tcPr>
            <w:tcW w:w="1055" w:type="pct"/>
            <w:tcBorders>
              <w:bottom w:val="single" w:sz="4" w:space="0" w:color="auto"/>
            </w:tcBorders>
          </w:tcPr>
          <w:p w:rsidR="00FD3368" w:rsidRPr="002C71CE" w:rsidRDefault="00FD3368" w:rsidP="00FD3368">
            <w:pPr>
              <w:pStyle w:val="Tabletext"/>
              <w:rPr>
                <w:b/>
                <w:bCs/>
              </w:rPr>
            </w:pPr>
            <w:r w:rsidRPr="002C71CE">
              <w:rPr>
                <w:b/>
              </w:rPr>
              <w:t>Proprietary name and manufacturer</w:t>
            </w:r>
          </w:p>
        </w:tc>
      </w:tr>
      <w:tr w:rsidR="00FD3368" w:rsidRPr="00954BC4" w:rsidTr="00FC61CA">
        <w:tc>
          <w:tcPr>
            <w:tcW w:w="1851" w:type="pct"/>
            <w:tcBorders>
              <w:bottom w:val="nil"/>
            </w:tcBorders>
          </w:tcPr>
          <w:p w:rsidR="00FD3368" w:rsidRPr="00366EEF" w:rsidRDefault="00A015C0" w:rsidP="00A015C0">
            <w:pPr>
              <w:pStyle w:val="Tabletext"/>
            </w:pPr>
            <w:r>
              <w:t>BUPRENORPHINE</w:t>
            </w:r>
            <w:r w:rsidR="00FD3368" w:rsidRPr="00366EEF">
              <w:t xml:space="preserve"> 50 mg/mL weekly subcutaneous </w:t>
            </w:r>
            <w:r>
              <w:t>depot injection, pre-filled syringe</w:t>
            </w:r>
          </w:p>
        </w:tc>
        <w:tc>
          <w:tcPr>
            <w:tcW w:w="748" w:type="pct"/>
            <w:tcBorders>
              <w:bottom w:val="nil"/>
            </w:tcBorders>
          </w:tcPr>
          <w:p w:rsidR="00FD3368" w:rsidRPr="00892A36" w:rsidRDefault="00FD3368" w:rsidP="00FD3368">
            <w:pPr>
              <w:pStyle w:val="Tabletext"/>
              <w:jc w:val="center"/>
              <w:rPr>
                <w:rFonts w:ascii="Times" w:hAnsi="Times"/>
                <w:i/>
              </w:rPr>
            </w:pPr>
          </w:p>
        </w:tc>
        <w:tc>
          <w:tcPr>
            <w:tcW w:w="524" w:type="pct"/>
            <w:tcBorders>
              <w:bottom w:val="nil"/>
            </w:tcBorders>
          </w:tcPr>
          <w:p w:rsidR="00FD3368" w:rsidRPr="00892A36" w:rsidRDefault="00FD3368" w:rsidP="00FD3368">
            <w:pPr>
              <w:pStyle w:val="Tabletext"/>
              <w:jc w:val="center"/>
              <w:rPr>
                <w:rFonts w:ascii="Times" w:hAnsi="Times"/>
                <w:i/>
              </w:rPr>
            </w:pPr>
          </w:p>
        </w:tc>
        <w:tc>
          <w:tcPr>
            <w:tcW w:w="822" w:type="pct"/>
            <w:tcBorders>
              <w:bottom w:val="nil"/>
            </w:tcBorders>
          </w:tcPr>
          <w:p w:rsidR="00FD3368" w:rsidRPr="00892A36" w:rsidRDefault="00FD3368" w:rsidP="00FD3368">
            <w:pPr>
              <w:pStyle w:val="Tabletext"/>
              <w:rPr>
                <w:rFonts w:ascii="Times" w:hAnsi="Times"/>
                <w:i/>
              </w:rPr>
            </w:pPr>
          </w:p>
        </w:tc>
        <w:tc>
          <w:tcPr>
            <w:tcW w:w="1055" w:type="pct"/>
            <w:vMerge w:val="restart"/>
            <w:vAlign w:val="center"/>
          </w:tcPr>
          <w:p w:rsidR="00FD3368" w:rsidRPr="00954BC4" w:rsidRDefault="00FD3368" w:rsidP="00FD3368">
            <w:pPr>
              <w:pStyle w:val="Tabletext"/>
              <w:jc w:val="center"/>
            </w:pPr>
            <w:r w:rsidRPr="00954BC4">
              <w:t>BUVIDAL</w:t>
            </w:r>
            <w:r w:rsidR="00FC61CA" w:rsidRPr="005D3D8A">
              <w:t xml:space="preserve"> WEEKLY</w:t>
            </w:r>
          </w:p>
          <w:p w:rsidR="00FD3368" w:rsidRPr="00954BC4" w:rsidRDefault="00FD3368" w:rsidP="00FD3368">
            <w:pPr>
              <w:pStyle w:val="Tabletext"/>
              <w:jc w:val="center"/>
              <w:rPr>
                <w:rFonts w:ascii="Times" w:hAnsi="Times"/>
              </w:rPr>
            </w:pPr>
            <w:proofErr w:type="spellStart"/>
            <w:r w:rsidRPr="00954BC4">
              <w:t>Camurus</w:t>
            </w:r>
            <w:proofErr w:type="spellEnd"/>
            <w:r w:rsidRPr="00954BC4">
              <w:t xml:space="preserve"> AB</w:t>
            </w:r>
          </w:p>
        </w:tc>
      </w:tr>
      <w:tr w:rsidR="00FD3368" w:rsidRPr="00954BC4" w:rsidTr="00FC61CA">
        <w:tc>
          <w:tcPr>
            <w:tcW w:w="1851" w:type="pct"/>
            <w:tcBorders>
              <w:top w:val="nil"/>
              <w:bottom w:val="nil"/>
            </w:tcBorders>
          </w:tcPr>
          <w:p w:rsidR="00FD3368" w:rsidRPr="00366EEF" w:rsidRDefault="00FD3368" w:rsidP="00A015C0">
            <w:pPr>
              <w:pStyle w:val="Tabletext"/>
              <w:ind w:left="170"/>
            </w:pPr>
            <w:r w:rsidRPr="00366EEF">
              <w:t>8 mg in 0.16 m</w:t>
            </w:r>
            <w:r w:rsidR="00A015C0">
              <w:t>L</w:t>
            </w:r>
            <w:r w:rsidRPr="00366EEF">
              <w:t xml:space="preserve"> </w:t>
            </w:r>
          </w:p>
        </w:tc>
        <w:tc>
          <w:tcPr>
            <w:tcW w:w="748" w:type="pct"/>
            <w:tcBorders>
              <w:top w:val="nil"/>
              <w:bottom w:val="nil"/>
            </w:tcBorders>
          </w:tcPr>
          <w:p w:rsidR="00FD3368" w:rsidRPr="00954BC4" w:rsidRDefault="00FD3368" w:rsidP="00FD3368">
            <w:pPr>
              <w:pStyle w:val="Tabletext"/>
              <w:jc w:val="center"/>
            </w:pPr>
            <w:r w:rsidRPr="00954BC4">
              <w:t>1</w:t>
            </w:r>
          </w:p>
        </w:tc>
        <w:tc>
          <w:tcPr>
            <w:tcW w:w="524" w:type="pct"/>
            <w:tcBorders>
              <w:top w:val="nil"/>
              <w:bottom w:val="nil"/>
            </w:tcBorders>
          </w:tcPr>
          <w:p w:rsidR="00FD3368" w:rsidRPr="00954BC4" w:rsidRDefault="00FD3368" w:rsidP="00FD3368">
            <w:pPr>
              <w:pStyle w:val="Tabletext"/>
              <w:jc w:val="center"/>
            </w:pPr>
            <w:r w:rsidRPr="00954BC4">
              <w:t>NA</w:t>
            </w:r>
          </w:p>
        </w:tc>
        <w:tc>
          <w:tcPr>
            <w:tcW w:w="822" w:type="pct"/>
            <w:tcBorders>
              <w:top w:val="nil"/>
              <w:bottom w:val="nil"/>
            </w:tcBorders>
          </w:tcPr>
          <w:p w:rsidR="00FD3368" w:rsidRPr="00954BC4" w:rsidRDefault="00FD3368" w:rsidP="00FD3368">
            <w:pPr>
              <w:pStyle w:val="Tabletext"/>
            </w:pPr>
            <w:r w:rsidRPr="00954BC4">
              <w:t>$</w:t>
            </w:r>
            <w:r w:rsidR="00464910">
              <w:rPr>
                <w:noProof/>
                <w:color w:val="000000"/>
                <w:highlight w:val="black"/>
              </w:rPr>
              <w:t>''''''''''''''''</w:t>
            </w:r>
          </w:p>
        </w:tc>
        <w:tc>
          <w:tcPr>
            <w:tcW w:w="1055" w:type="pct"/>
            <w:vMerge/>
          </w:tcPr>
          <w:p w:rsidR="00FD3368" w:rsidRPr="00954BC4" w:rsidRDefault="00FD3368" w:rsidP="00FD3368">
            <w:pPr>
              <w:pStyle w:val="Tabletext"/>
            </w:pPr>
          </w:p>
        </w:tc>
      </w:tr>
      <w:tr w:rsidR="00FD3368" w:rsidRPr="00954BC4" w:rsidTr="00FC61CA">
        <w:tc>
          <w:tcPr>
            <w:tcW w:w="1851" w:type="pct"/>
            <w:tcBorders>
              <w:top w:val="nil"/>
              <w:bottom w:val="nil"/>
            </w:tcBorders>
          </w:tcPr>
          <w:p w:rsidR="00FD3368" w:rsidRPr="00366EEF" w:rsidRDefault="00FD3368" w:rsidP="00A015C0">
            <w:pPr>
              <w:pStyle w:val="Tabletext"/>
              <w:ind w:left="170"/>
            </w:pPr>
            <w:r w:rsidRPr="00366EEF">
              <w:t xml:space="preserve">16 mg in 0.32 </w:t>
            </w:r>
            <w:r w:rsidR="00A015C0">
              <w:t>mL</w:t>
            </w:r>
            <w:r w:rsidRPr="00366EEF">
              <w:t xml:space="preserve"> </w:t>
            </w:r>
          </w:p>
        </w:tc>
        <w:tc>
          <w:tcPr>
            <w:tcW w:w="748" w:type="pct"/>
            <w:tcBorders>
              <w:top w:val="nil"/>
              <w:bottom w:val="nil"/>
            </w:tcBorders>
          </w:tcPr>
          <w:p w:rsidR="00FD3368" w:rsidRPr="00954BC4" w:rsidRDefault="00FD3368" w:rsidP="00FD3368">
            <w:pPr>
              <w:pStyle w:val="Tabletext"/>
              <w:jc w:val="center"/>
            </w:pPr>
            <w:r w:rsidRPr="00954BC4">
              <w:t>1</w:t>
            </w:r>
          </w:p>
        </w:tc>
        <w:tc>
          <w:tcPr>
            <w:tcW w:w="524" w:type="pct"/>
            <w:tcBorders>
              <w:top w:val="nil"/>
              <w:bottom w:val="nil"/>
            </w:tcBorders>
          </w:tcPr>
          <w:p w:rsidR="00FD3368" w:rsidRPr="00954BC4" w:rsidRDefault="00FD3368" w:rsidP="00FD3368">
            <w:pPr>
              <w:pStyle w:val="Tabletext"/>
              <w:jc w:val="center"/>
            </w:pPr>
            <w:r w:rsidRPr="00954BC4">
              <w:t>NA</w:t>
            </w:r>
          </w:p>
        </w:tc>
        <w:tc>
          <w:tcPr>
            <w:tcW w:w="822" w:type="pct"/>
            <w:tcBorders>
              <w:top w:val="nil"/>
              <w:bottom w:val="nil"/>
            </w:tcBorders>
          </w:tcPr>
          <w:p w:rsidR="00FD3368" w:rsidRPr="00954BC4" w:rsidRDefault="00FD3368" w:rsidP="00FD3368">
            <w:pPr>
              <w:pStyle w:val="Tabletext"/>
            </w:pPr>
            <w:r w:rsidRPr="00954BC4">
              <w:t>$</w:t>
            </w:r>
            <w:r w:rsidR="00464910">
              <w:rPr>
                <w:noProof/>
                <w:color w:val="000000"/>
                <w:highlight w:val="black"/>
              </w:rPr>
              <w:t>''''''''''''''''</w:t>
            </w:r>
          </w:p>
        </w:tc>
        <w:tc>
          <w:tcPr>
            <w:tcW w:w="1055" w:type="pct"/>
            <w:vMerge/>
          </w:tcPr>
          <w:p w:rsidR="00FD3368" w:rsidRPr="00954BC4" w:rsidRDefault="00FD3368" w:rsidP="00FD3368">
            <w:pPr>
              <w:pStyle w:val="Tabletext"/>
            </w:pPr>
          </w:p>
        </w:tc>
      </w:tr>
      <w:tr w:rsidR="00FD3368" w:rsidRPr="007D2D5F" w:rsidTr="00FC61CA">
        <w:tc>
          <w:tcPr>
            <w:tcW w:w="1851" w:type="pct"/>
            <w:tcBorders>
              <w:top w:val="nil"/>
              <w:bottom w:val="nil"/>
            </w:tcBorders>
          </w:tcPr>
          <w:p w:rsidR="00FD3368" w:rsidRPr="00366EEF" w:rsidRDefault="00FD3368" w:rsidP="00FD3368">
            <w:pPr>
              <w:pStyle w:val="Tabletext"/>
              <w:ind w:left="170"/>
            </w:pPr>
            <w:r w:rsidRPr="00366EEF">
              <w:t>24 mg</w:t>
            </w:r>
            <w:r w:rsidR="00A015C0">
              <w:t xml:space="preserve"> </w:t>
            </w:r>
            <w:r w:rsidRPr="00366EEF">
              <w:t>in 0.48 m</w:t>
            </w:r>
            <w:r w:rsidR="00A015C0">
              <w:t>L</w:t>
            </w:r>
          </w:p>
        </w:tc>
        <w:tc>
          <w:tcPr>
            <w:tcW w:w="748" w:type="pct"/>
            <w:tcBorders>
              <w:top w:val="nil"/>
              <w:bottom w:val="nil"/>
            </w:tcBorders>
          </w:tcPr>
          <w:p w:rsidR="00FD3368" w:rsidRPr="00954BC4" w:rsidRDefault="00FD3368" w:rsidP="00FD3368">
            <w:pPr>
              <w:pStyle w:val="Tabletext"/>
              <w:jc w:val="center"/>
            </w:pPr>
            <w:r w:rsidRPr="00954BC4">
              <w:t>1</w:t>
            </w:r>
          </w:p>
        </w:tc>
        <w:tc>
          <w:tcPr>
            <w:tcW w:w="524" w:type="pct"/>
            <w:tcBorders>
              <w:top w:val="nil"/>
              <w:bottom w:val="nil"/>
            </w:tcBorders>
          </w:tcPr>
          <w:p w:rsidR="00FD3368" w:rsidRPr="00954BC4" w:rsidRDefault="00FD3368" w:rsidP="00FD3368">
            <w:pPr>
              <w:pStyle w:val="Tabletext"/>
              <w:jc w:val="center"/>
            </w:pPr>
            <w:r w:rsidRPr="00954BC4">
              <w:t>NA</w:t>
            </w:r>
          </w:p>
        </w:tc>
        <w:tc>
          <w:tcPr>
            <w:tcW w:w="822" w:type="pct"/>
            <w:tcBorders>
              <w:top w:val="nil"/>
              <w:bottom w:val="nil"/>
            </w:tcBorders>
          </w:tcPr>
          <w:p w:rsidR="00FD3368" w:rsidRPr="00954BC4" w:rsidRDefault="00FD3368" w:rsidP="00FD3368">
            <w:pPr>
              <w:pStyle w:val="Tabletext"/>
            </w:pPr>
            <w:r w:rsidRPr="00954BC4">
              <w:t>$</w:t>
            </w:r>
            <w:r w:rsidR="00464910">
              <w:rPr>
                <w:noProof/>
                <w:color w:val="000000"/>
                <w:highlight w:val="black"/>
              </w:rPr>
              <w:t>''''''''''''''''</w:t>
            </w:r>
          </w:p>
        </w:tc>
        <w:tc>
          <w:tcPr>
            <w:tcW w:w="1055" w:type="pct"/>
            <w:vMerge/>
          </w:tcPr>
          <w:p w:rsidR="00FD3368" w:rsidRPr="00892A36" w:rsidRDefault="00FD3368" w:rsidP="00FD3368">
            <w:pPr>
              <w:pStyle w:val="Tabletext"/>
              <w:rPr>
                <w:i/>
              </w:rPr>
            </w:pPr>
          </w:p>
        </w:tc>
      </w:tr>
      <w:tr w:rsidR="00FD3368" w:rsidRPr="007D2D5F" w:rsidTr="00FC61CA">
        <w:tc>
          <w:tcPr>
            <w:tcW w:w="1851" w:type="pct"/>
            <w:tcBorders>
              <w:top w:val="nil"/>
              <w:bottom w:val="single" w:sz="4" w:space="0" w:color="auto"/>
            </w:tcBorders>
          </w:tcPr>
          <w:p w:rsidR="00FD3368" w:rsidRPr="00366EEF" w:rsidRDefault="00FD3368" w:rsidP="00A015C0">
            <w:pPr>
              <w:pStyle w:val="Tabletext"/>
              <w:ind w:left="170"/>
            </w:pPr>
            <w:r w:rsidRPr="00366EEF">
              <w:t>32 mg in 0.64 m</w:t>
            </w:r>
            <w:r w:rsidR="00A015C0">
              <w:t>L</w:t>
            </w:r>
          </w:p>
        </w:tc>
        <w:tc>
          <w:tcPr>
            <w:tcW w:w="748" w:type="pct"/>
            <w:tcBorders>
              <w:top w:val="nil"/>
              <w:bottom w:val="single" w:sz="4" w:space="0" w:color="auto"/>
            </w:tcBorders>
          </w:tcPr>
          <w:p w:rsidR="00FD3368" w:rsidRPr="00954BC4" w:rsidRDefault="00FD3368" w:rsidP="00FD3368">
            <w:pPr>
              <w:pStyle w:val="Tabletext"/>
              <w:jc w:val="center"/>
            </w:pPr>
            <w:r w:rsidRPr="00954BC4">
              <w:t>1</w:t>
            </w:r>
          </w:p>
        </w:tc>
        <w:tc>
          <w:tcPr>
            <w:tcW w:w="524" w:type="pct"/>
            <w:tcBorders>
              <w:top w:val="nil"/>
              <w:bottom w:val="single" w:sz="4" w:space="0" w:color="auto"/>
            </w:tcBorders>
          </w:tcPr>
          <w:p w:rsidR="00FD3368" w:rsidRPr="00954BC4" w:rsidRDefault="00FD3368" w:rsidP="00FD3368">
            <w:pPr>
              <w:pStyle w:val="Tabletext"/>
              <w:jc w:val="center"/>
            </w:pPr>
            <w:r w:rsidRPr="00954BC4">
              <w:t>NA</w:t>
            </w:r>
          </w:p>
        </w:tc>
        <w:tc>
          <w:tcPr>
            <w:tcW w:w="822" w:type="pct"/>
            <w:tcBorders>
              <w:top w:val="nil"/>
              <w:bottom w:val="single" w:sz="4" w:space="0" w:color="auto"/>
            </w:tcBorders>
          </w:tcPr>
          <w:p w:rsidR="00FD3368" w:rsidRPr="00954BC4" w:rsidRDefault="00FD3368" w:rsidP="00FD3368">
            <w:pPr>
              <w:pStyle w:val="Tabletext"/>
            </w:pPr>
            <w:r w:rsidRPr="00954BC4">
              <w:t>$</w:t>
            </w:r>
            <w:r w:rsidR="00464910">
              <w:rPr>
                <w:noProof/>
                <w:color w:val="000000"/>
                <w:highlight w:val="black"/>
              </w:rPr>
              <w:t>''''''''''''''''</w:t>
            </w:r>
          </w:p>
        </w:tc>
        <w:tc>
          <w:tcPr>
            <w:tcW w:w="1055" w:type="pct"/>
            <w:vMerge/>
            <w:tcBorders>
              <w:bottom w:val="single" w:sz="4" w:space="0" w:color="auto"/>
            </w:tcBorders>
          </w:tcPr>
          <w:p w:rsidR="00FD3368" w:rsidRPr="00892A36" w:rsidRDefault="00FD3368" w:rsidP="00FD3368">
            <w:pPr>
              <w:pStyle w:val="Tabletext"/>
              <w:rPr>
                <w:i/>
              </w:rPr>
            </w:pPr>
          </w:p>
        </w:tc>
      </w:tr>
      <w:tr w:rsidR="00FD3368" w:rsidRPr="007D2D5F" w:rsidTr="00FC61CA">
        <w:tc>
          <w:tcPr>
            <w:tcW w:w="1851" w:type="pct"/>
            <w:tcBorders>
              <w:bottom w:val="nil"/>
            </w:tcBorders>
          </w:tcPr>
          <w:p w:rsidR="00FD3368" w:rsidRPr="00366EEF" w:rsidRDefault="00A015C0" w:rsidP="00A015C0">
            <w:pPr>
              <w:pStyle w:val="Tabletext"/>
            </w:pPr>
            <w:r>
              <w:t>BUPRENORPHINE</w:t>
            </w:r>
            <w:r w:rsidR="00FD3368" w:rsidRPr="00366EEF">
              <w:t xml:space="preserve"> 356 mg/mL monthly subcutaneous </w:t>
            </w:r>
            <w:r>
              <w:t>depot</w:t>
            </w:r>
            <w:r w:rsidR="00FD3368" w:rsidRPr="00366EEF">
              <w:t xml:space="preserve"> injection</w:t>
            </w:r>
            <w:r>
              <w:t>,</w:t>
            </w:r>
            <w:r w:rsidR="00FD3368" w:rsidRPr="00366EEF">
              <w:t xml:space="preserve"> prefilled syringe</w:t>
            </w:r>
          </w:p>
        </w:tc>
        <w:tc>
          <w:tcPr>
            <w:tcW w:w="748" w:type="pct"/>
            <w:tcBorders>
              <w:bottom w:val="nil"/>
            </w:tcBorders>
          </w:tcPr>
          <w:p w:rsidR="00FD3368" w:rsidRPr="00892A36" w:rsidRDefault="00FD3368" w:rsidP="00FD3368">
            <w:pPr>
              <w:pStyle w:val="Tabletext"/>
              <w:jc w:val="center"/>
              <w:rPr>
                <w:i/>
              </w:rPr>
            </w:pPr>
          </w:p>
        </w:tc>
        <w:tc>
          <w:tcPr>
            <w:tcW w:w="524" w:type="pct"/>
            <w:tcBorders>
              <w:bottom w:val="nil"/>
            </w:tcBorders>
          </w:tcPr>
          <w:p w:rsidR="00FD3368" w:rsidRPr="00892A36" w:rsidRDefault="00FD3368" w:rsidP="00FD3368">
            <w:pPr>
              <w:pStyle w:val="Tabletext"/>
              <w:jc w:val="center"/>
              <w:rPr>
                <w:i/>
              </w:rPr>
            </w:pPr>
          </w:p>
        </w:tc>
        <w:tc>
          <w:tcPr>
            <w:tcW w:w="822" w:type="pct"/>
            <w:tcBorders>
              <w:bottom w:val="nil"/>
            </w:tcBorders>
          </w:tcPr>
          <w:p w:rsidR="00FD3368" w:rsidRPr="00892A36" w:rsidRDefault="00FD3368" w:rsidP="00FD3368">
            <w:pPr>
              <w:pStyle w:val="Tabletext"/>
              <w:rPr>
                <w:i/>
              </w:rPr>
            </w:pPr>
          </w:p>
        </w:tc>
        <w:tc>
          <w:tcPr>
            <w:tcW w:w="1055" w:type="pct"/>
            <w:vMerge w:val="restart"/>
            <w:tcBorders>
              <w:bottom w:val="nil"/>
            </w:tcBorders>
            <w:vAlign w:val="center"/>
          </w:tcPr>
          <w:p w:rsidR="00F94D80" w:rsidRDefault="00F94D80" w:rsidP="00FD3368">
            <w:pPr>
              <w:pStyle w:val="Tabletext"/>
              <w:jc w:val="center"/>
            </w:pPr>
          </w:p>
          <w:p w:rsidR="00F94D80" w:rsidRDefault="00F94D80" w:rsidP="00FD3368">
            <w:pPr>
              <w:pStyle w:val="Tabletext"/>
              <w:jc w:val="center"/>
            </w:pPr>
          </w:p>
          <w:p w:rsidR="00F94D80" w:rsidRDefault="00F94D80" w:rsidP="00FD3368">
            <w:pPr>
              <w:pStyle w:val="Tabletext"/>
              <w:jc w:val="center"/>
            </w:pPr>
          </w:p>
          <w:p w:rsidR="00FC61CA" w:rsidRPr="00954BC4" w:rsidRDefault="00FD3368" w:rsidP="00FC61CA">
            <w:pPr>
              <w:pStyle w:val="Tabletext"/>
              <w:jc w:val="center"/>
            </w:pPr>
            <w:r w:rsidRPr="00954BC4">
              <w:t>BUVIDAL</w:t>
            </w:r>
            <w:r w:rsidR="00FC61CA">
              <w:t xml:space="preserve"> M</w:t>
            </w:r>
            <w:r w:rsidR="00FC61CA" w:rsidRPr="005D3D8A">
              <w:t>ONTHLY</w:t>
            </w:r>
          </w:p>
          <w:p w:rsidR="00FD3368" w:rsidRPr="00892A36" w:rsidRDefault="00FD3368" w:rsidP="00FD3368">
            <w:pPr>
              <w:pStyle w:val="Tabletext"/>
              <w:jc w:val="center"/>
              <w:rPr>
                <w:i/>
              </w:rPr>
            </w:pPr>
            <w:proofErr w:type="spellStart"/>
            <w:r w:rsidRPr="00954BC4">
              <w:t>Camurus</w:t>
            </w:r>
            <w:proofErr w:type="spellEnd"/>
            <w:r w:rsidRPr="00954BC4">
              <w:t xml:space="preserve"> AB</w:t>
            </w:r>
          </w:p>
        </w:tc>
      </w:tr>
      <w:tr w:rsidR="00FD3368" w:rsidRPr="007D2D5F" w:rsidTr="00FC61CA">
        <w:tc>
          <w:tcPr>
            <w:tcW w:w="1851" w:type="pct"/>
            <w:tcBorders>
              <w:top w:val="nil"/>
              <w:bottom w:val="nil"/>
            </w:tcBorders>
          </w:tcPr>
          <w:p w:rsidR="00FD3368" w:rsidRPr="00366EEF" w:rsidRDefault="00FD3368" w:rsidP="00A015C0">
            <w:pPr>
              <w:pStyle w:val="Tabletext"/>
              <w:ind w:left="170"/>
            </w:pPr>
            <w:r w:rsidRPr="00366EEF">
              <w:t>64 mg in 0.18 m</w:t>
            </w:r>
            <w:r w:rsidR="00A015C0">
              <w:t>L</w:t>
            </w:r>
          </w:p>
        </w:tc>
        <w:tc>
          <w:tcPr>
            <w:tcW w:w="748" w:type="pct"/>
            <w:tcBorders>
              <w:top w:val="nil"/>
              <w:bottom w:val="nil"/>
            </w:tcBorders>
          </w:tcPr>
          <w:p w:rsidR="00FD3368" w:rsidRPr="00954BC4" w:rsidRDefault="00FD3368" w:rsidP="00FD3368">
            <w:pPr>
              <w:pStyle w:val="Tabletext"/>
              <w:jc w:val="center"/>
            </w:pPr>
            <w:r w:rsidRPr="00954BC4">
              <w:t>1</w:t>
            </w:r>
          </w:p>
        </w:tc>
        <w:tc>
          <w:tcPr>
            <w:tcW w:w="524" w:type="pct"/>
            <w:tcBorders>
              <w:top w:val="nil"/>
              <w:bottom w:val="nil"/>
            </w:tcBorders>
          </w:tcPr>
          <w:p w:rsidR="00FD3368" w:rsidRPr="00954BC4" w:rsidRDefault="00FD3368" w:rsidP="00FD3368">
            <w:pPr>
              <w:pStyle w:val="Tabletext"/>
              <w:jc w:val="center"/>
            </w:pPr>
            <w:r w:rsidRPr="00954BC4">
              <w:t>NA</w:t>
            </w:r>
          </w:p>
        </w:tc>
        <w:tc>
          <w:tcPr>
            <w:tcW w:w="822" w:type="pct"/>
            <w:tcBorders>
              <w:top w:val="nil"/>
              <w:bottom w:val="nil"/>
            </w:tcBorders>
          </w:tcPr>
          <w:p w:rsidR="00FD3368" w:rsidRPr="00954BC4" w:rsidRDefault="00FD3368" w:rsidP="00FD3368">
            <w:pPr>
              <w:pStyle w:val="Tabletext"/>
            </w:pPr>
            <w:r w:rsidRPr="00954BC4">
              <w:rPr>
                <w:szCs w:val="20"/>
              </w:rPr>
              <w:t>$</w:t>
            </w:r>
            <w:r w:rsidR="00464910">
              <w:rPr>
                <w:noProof/>
                <w:color w:val="000000"/>
                <w:szCs w:val="20"/>
                <w:highlight w:val="black"/>
              </w:rPr>
              <w:t>'''''''''''''''''</w:t>
            </w:r>
          </w:p>
        </w:tc>
        <w:tc>
          <w:tcPr>
            <w:tcW w:w="1055" w:type="pct"/>
            <w:vMerge/>
            <w:tcBorders>
              <w:bottom w:val="nil"/>
            </w:tcBorders>
          </w:tcPr>
          <w:p w:rsidR="00FD3368" w:rsidRPr="00892A36" w:rsidRDefault="00FD3368" w:rsidP="00FD3368">
            <w:pPr>
              <w:pStyle w:val="Tabletext"/>
              <w:rPr>
                <w:i/>
              </w:rPr>
            </w:pPr>
          </w:p>
        </w:tc>
      </w:tr>
      <w:tr w:rsidR="00FD3368" w:rsidRPr="007D2D5F" w:rsidTr="00FC61CA">
        <w:tc>
          <w:tcPr>
            <w:tcW w:w="1851" w:type="pct"/>
            <w:tcBorders>
              <w:top w:val="nil"/>
              <w:bottom w:val="nil"/>
            </w:tcBorders>
          </w:tcPr>
          <w:p w:rsidR="00FD3368" w:rsidRPr="00366EEF" w:rsidRDefault="00FD3368" w:rsidP="00FD3368">
            <w:pPr>
              <w:pStyle w:val="Tabletext"/>
              <w:ind w:left="170"/>
            </w:pPr>
            <w:r w:rsidRPr="00366EEF">
              <w:t>96 mg in 0.27 m</w:t>
            </w:r>
            <w:r w:rsidR="00A015C0">
              <w:t>L</w:t>
            </w:r>
          </w:p>
        </w:tc>
        <w:tc>
          <w:tcPr>
            <w:tcW w:w="748" w:type="pct"/>
            <w:tcBorders>
              <w:top w:val="nil"/>
              <w:bottom w:val="nil"/>
            </w:tcBorders>
          </w:tcPr>
          <w:p w:rsidR="00FD3368" w:rsidRPr="00954BC4" w:rsidRDefault="00FD3368" w:rsidP="00FD3368">
            <w:pPr>
              <w:pStyle w:val="Tabletext"/>
              <w:jc w:val="center"/>
            </w:pPr>
            <w:r w:rsidRPr="00954BC4">
              <w:t>1</w:t>
            </w:r>
          </w:p>
        </w:tc>
        <w:tc>
          <w:tcPr>
            <w:tcW w:w="524" w:type="pct"/>
            <w:tcBorders>
              <w:top w:val="nil"/>
              <w:bottom w:val="nil"/>
            </w:tcBorders>
          </w:tcPr>
          <w:p w:rsidR="00FD3368" w:rsidRPr="00954BC4" w:rsidRDefault="00FD3368" w:rsidP="00FD3368">
            <w:pPr>
              <w:pStyle w:val="Tabletext"/>
              <w:jc w:val="center"/>
            </w:pPr>
            <w:r w:rsidRPr="00954BC4">
              <w:t>NA</w:t>
            </w:r>
          </w:p>
        </w:tc>
        <w:tc>
          <w:tcPr>
            <w:tcW w:w="822" w:type="pct"/>
            <w:tcBorders>
              <w:top w:val="nil"/>
              <w:bottom w:val="nil"/>
            </w:tcBorders>
          </w:tcPr>
          <w:p w:rsidR="00FD3368" w:rsidRPr="00954BC4" w:rsidRDefault="00FD3368" w:rsidP="00FD3368">
            <w:pPr>
              <w:pStyle w:val="Tabletext"/>
            </w:pPr>
            <w:r w:rsidRPr="00954BC4">
              <w:rPr>
                <w:szCs w:val="20"/>
              </w:rPr>
              <w:t>$</w:t>
            </w:r>
            <w:r w:rsidR="00464910">
              <w:rPr>
                <w:noProof/>
                <w:color w:val="000000"/>
                <w:szCs w:val="20"/>
                <w:highlight w:val="black"/>
              </w:rPr>
              <w:t>'''''''''''''''''</w:t>
            </w:r>
          </w:p>
        </w:tc>
        <w:tc>
          <w:tcPr>
            <w:tcW w:w="1055" w:type="pct"/>
            <w:vMerge/>
            <w:tcBorders>
              <w:bottom w:val="nil"/>
            </w:tcBorders>
          </w:tcPr>
          <w:p w:rsidR="00FD3368" w:rsidRPr="00892A36" w:rsidRDefault="00FD3368" w:rsidP="00FD3368">
            <w:pPr>
              <w:pStyle w:val="Tabletext"/>
              <w:rPr>
                <w:i/>
              </w:rPr>
            </w:pPr>
          </w:p>
        </w:tc>
      </w:tr>
      <w:tr w:rsidR="00FD3368" w:rsidRPr="007D2D5F" w:rsidTr="00FC61CA">
        <w:tc>
          <w:tcPr>
            <w:tcW w:w="1851" w:type="pct"/>
            <w:tcBorders>
              <w:top w:val="nil"/>
              <w:bottom w:val="nil"/>
            </w:tcBorders>
          </w:tcPr>
          <w:p w:rsidR="00FD3368" w:rsidRPr="00366EEF" w:rsidRDefault="00FD3368" w:rsidP="00A015C0">
            <w:pPr>
              <w:pStyle w:val="Tabletext"/>
              <w:ind w:left="170"/>
            </w:pPr>
            <w:r w:rsidRPr="00366EEF">
              <w:t>128 mg in 0.36 m</w:t>
            </w:r>
            <w:r w:rsidR="00A015C0">
              <w:t>L</w:t>
            </w:r>
          </w:p>
        </w:tc>
        <w:tc>
          <w:tcPr>
            <w:tcW w:w="748" w:type="pct"/>
            <w:tcBorders>
              <w:top w:val="nil"/>
              <w:bottom w:val="nil"/>
            </w:tcBorders>
          </w:tcPr>
          <w:p w:rsidR="00FD3368" w:rsidRPr="00954BC4" w:rsidRDefault="00FD3368" w:rsidP="00FD3368">
            <w:pPr>
              <w:pStyle w:val="Tabletext"/>
              <w:jc w:val="center"/>
            </w:pPr>
            <w:r w:rsidRPr="00954BC4">
              <w:t>1</w:t>
            </w:r>
          </w:p>
        </w:tc>
        <w:tc>
          <w:tcPr>
            <w:tcW w:w="524" w:type="pct"/>
            <w:tcBorders>
              <w:top w:val="nil"/>
              <w:bottom w:val="nil"/>
            </w:tcBorders>
          </w:tcPr>
          <w:p w:rsidR="00FD3368" w:rsidRPr="00954BC4" w:rsidRDefault="00FD3368" w:rsidP="00FD3368">
            <w:pPr>
              <w:pStyle w:val="Tabletext"/>
              <w:jc w:val="center"/>
            </w:pPr>
            <w:r w:rsidRPr="00954BC4">
              <w:t>NA</w:t>
            </w:r>
          </w:p>
        </w:tc>
        <w:tc>
          <w:tcPr>
            <w:tcW w:w="822" w:type="pct"/>
            <w:tcBorders>
              <w:top w:val="nil"/>
              <w:bottom w:val="nil"/>
            </w:tcBorders>
          </w:tcPr>
          <w:p w:rsidR="00FD3368" w:rsidRPr="00954BC4" w:rsidRDefault="00FD3368" w:rsidP="00FD3368">
            <w:pPr>
              <w:pStyle w:val="Tabletext"/>
            </w:pPr>
            <w:r w:rsidRPr="00954BC4">
              <w:rPr>
                <w:szCs w:val="20"/>
              </w:rPr>
              <w:t>$</w:t>
            </w:r>
            <w:r w:rsidR="00464910">
              <w:rPr>
                <w:noProof/>
                <w:color w:val="000000"/>
                <w:szCs w:val="20"/>
                <w:highlight w:val="black"/>
              </w:rPr>
              <w:t>''''''''''''''''</w:t>
            </w:r>
          </w:p>
        </w:tc>
        <w:tc>
          <w:tcPr>
            <w:tcW w:w="1055" w:type="pct"/>
            <w:vMerge/>
            <w:tcBorders>
              <w:bottom w:val="nil"/>
            </w:tcBorders>
          </w:tcPr>
          <w:p w:rsidR="00FD3368" w:rsidRPr="00892A36" w:rsidRDefault="00FD3368" w:rsidP="00FD3368">
            <w:pPr>
              <w:pStyle w:val="Tabletext"/>
              <w:rPr>
                <w:i/>
              </w:rPr>
            </w:pPr>
          </w:p>
        </w:tc>
      </w:tr>
    </w:tbl>
    <w:p w:rsidR="00FD3368" w:rsidRDefault="00FD3368" w:rsidP="00FD3368">
      <w:pPr>
        <w:pStyle w:val="TableFooter"/>
      </w:pPr>
    </w:p>
    <w:tbl>
      <w:tblPr>
        <w:tblW w:w="9072" w:type="dxa"/>
        <w:tblInd w:w="108" w:type="dxa"/>
        <w:tblLayout w:type="fixed"/>
        <w:tblLook w:val="0000" w:firstRow="0" w:lastRow="0" w:firstColumn="0" w:lastColumn="0" w:noHBand="0" w:noVBand="0"/>
      </w:tblPr>
      <w:tblGrid>
        <w:gridCol w:w="1985"/>
        <w:gridCol w:w="7087"/>
      </w:tblGrid>
      <w:tr w:rsidR="00FD3368" w:rsidTr="006175FC">
        <w:trPr>
          <w:cantSplit/>
        </w:trPr>
        <w:tc>
          <w:tcPr>
            <w:tcW w:w="1985" w:type="dxa"/>
            <w:tcBorders>
              <w:top w:val="single" w:sz="4" w:space="0" w:color="auto"/>
              <w:left w:val="single" w:sz="4" w:space="0" w:color="auto"/>
              <w:bottom w:val="single" w:sz="4" w:space="0" w:color="auto"/>
              <w:right w:val="single" w:sz="4" w:space="0" w:color="auto"/>
            </w:tcBorders>
          </w:tcPr>
          <w:p w:rsidR="00FD3368" w:rsidRPr="00892A36" w:rsidRDefault="00FD3368" w:rsidP="006175FC">
            <w:pPr>
              <w:pStyle w:val="Tabletext"/>
              <w:keepNext/>
              <w:rPr>
                <w:b/>
              </w:rPr>
            </w:pPr>
            <w:r w:rsidRPr="009D61EF">
              <w:rPr>
                <w:rFonts w:cs="Arial"/>
                <w:b/>
                <w:lang w:eastAsia="en-AU"/>
              </w:rPr>
              <w:t>Category/Program:</w:t>
            </w:r>
          </w:p>
        </w:tc>
        <w:tc>
          <w:tcPr>
            <w:tcW w:w="7087" w:type="dxa"/>
            <w:tcBorders>
              <w:top w:val="single" w:sz="4" w:space="0" w:color="auto"/>
              <w:left w:val="single" w:sz="4" w:space="0" w:color="auto"/>
              <w:bottom w:val="single" w:sz="4" w:space="0" w:color="auto"/>
              <w:right w:val="single" w:sz="4" w:space="0" w:color="auto"/>
            </w:tcBorders>
          </w:tcPr>
          <w:p w:rsidR="00FD3368" w:rsidRDefault="00FD3368" w:rsidP="006175FC">
            <w:pPr>
              <w:pStyle w:val="Tabletext"/>
              <w:keepNext/>
              <w:widowControl w:val="0"/>
            </w:pPr>
            <w:r w:rsidRPr="009D61EF">
              <w:rPr>
                <w:lang w:eastAsia="en-AU"/>
              </w:rPr>
              <w:t>Section 100 Opiate Dependence (or Section 85)</w:t>
            </w:r>
          </w:p>
        </w:tc>
      </w:tr>
      <w:tr w:rsidR="00FD3368" w:rsidTr="006175FC">
        <w:trPr>
          <w:cantSplit/>
        </w:trPr>
        <w:tc>
          <w:tcPr>
            <w:tcW w:w="1985" w:type="dxa"/>
            <w:tcBorders>
              <w:top w:val="single" w:sz="4" w:space="0" w:color="auto"/>
              <w:left w:val="single" w:sz="4" w:space="0" w:color="auto"/>
              <w:bottom w:val="single" w:sz="4" w:space="0" w:color="auto"/>
              <w:right w:val="single" w:sz="4" w:space="0" w:color="auto"/>
            </w:tcBorders>
          </w:tcPr>
          <w:p w:rsidR="00FD3368" w:rsidRPr="00B9165B" w:rsidRDefault="00FD3368" w:rsidP="006175FC">
            <w:pPr>
              <w:pStyle w:val="Tabletext"/>
              <w:keepNext/>
              <w:rPr>
                <w:b/>
              </w:rPr>
            </w:pPr>
            <w:r w:rsidRPr="00B9165B">
              <w:rPr>
                <w:b/>
                <w:lang w:eastAsia="en-AU"/>
              </w:rPr>
              <w:t>Prescriber type:</w:t>
            </w:r>
          </w:p>
        </w:tc>
        <w:tc>
          <w:tcPr>
            <w:tcW w:w="7087" w:type="dxa"/>
            <w:tcBorders>
              <w:top w:val="single" w:sz="4" w:space="0" w:color="auto"/>
              <w:left w:val="single" w:sz="4" w:space="0" w:color="auto"/>
              <w:bottom w:val="single" w:sz="4" w:space="0" w:color="auto"/>
              <w:right w:val="single" w:sz="4" w:space="0" w:color="auto"/>
            </w:tcBorders>
          </w:tcPr>
          <w:p w:rsidR="00FD3368" w:rsidRDefault="00FD3368" w:rsidP="006175FC">
            <w:pPr>
              <w:pStyle w:val="Tabletext"/>
              <w:keepNext/>
            </w:pPr>
            <w:r w:rsidRPr="009D61EF">
              <w:rPr>
                <w:szCs w:val="24"/>
                <w:lang w:eastAsia="en-AU"/>
              </w:rPr>
              <w:fldChar w:fldCharType="begin">
                <w:ffData>
                  <w:name w:val="Check1"/>
                  <w:enabled/>
                  <w:calcOnExit w:val="0"/>
                  <w:checkBox>
                    <w:sizeAuto/>
                    <w:default w:val="0"/>
                  </w:checkBox>
                </w:ffData>
              </w:fldChar>
            </w:r>
            <w:r w:rsidRPr="009D61EF">
              <w:rPr>
                <w:szCs w:val="24"/>
                <w:lang w:eastAsia="en-AU"/>
              </w:rPr>
              <w:instrText xml:space="preserve"> FORMCHECKBOX </w:instrText>
            </w:r>
            <w:r w:rsidR="000F6C8D">
              <w:rPr>
                <w:szCs w:val="24"/>
                <w:lang w:eastAsia="en-AU"/>
              </w:rPr>
            </w:r>
            <w:r w:rsidR="000F6C8D">
              <w:rPr>
                <w:szCs w:val="24"/>
                <w:lang w:eastAsia="en-AU"/>
              </w:rPr>
              <w:fldChar w:fldCharType="separate"/>
            </w:r>
            <w:r w:rsidRPr="009D61EF">
              <w:rPr>
                <w:szCs w:val="24"/>
                <w:lang w:eastAsia="en-AU"/>
              </w:rPr>
              <w:fldChar w:fldCharType="end"/>
            </w:r>
            <w:r w:rsidRPr="009D61EF">
              <w:rPr>
                <w:szCs w:val="24"/>
                <w:lang w:eastAsia="en-AU"/>
              </w:rPr>
              <w:t xml:space="preserve">Dental </w:t>
            </w:r>
            <w:r w:rsidRPr="009D61EF">
              <w:rPr>
                <w:szCs w:val="24"/>
                <w:lang w:eastAsia="en-AU"/>
              </w:rPr>
              <w:fldChar w:fldCharType="begin">
                <w:ffData>
                  <w:name w:val=""/>
                  <w:enabled/>
                  <w:calcOnExit w:val="0"/>
                  <w:checkBox>
                    <w:sizeAuto/>
                    <w:default w:val="1"/>
                  </w:checkBox>
                </w:ffData>
              </w:fldChar>
            </w:r>
            <w:r w:rsidRPr="009D61EF">
              <w:rPr>
                <w:szCs w:val="24"/>
                <w:lang w:eastAsia="en-AU"/>
              </w:rPr>
              <w:instrText xml:space="preserve"> FORMCHECKBOX </w:instrText>
            </w:r>
            <w:r w:rsidR="000F6C8D">
              <w:rPr>
                <w:szCs w:val="24"/>
                <w:lang w:eastAsia="en-AU"/>
              </w:rPr>
            </w:r>
            <w:r w:rsidR="000F6C8D">
              <w:rPr>
                <w:szCs w:val="24"/>
                <w:lang w:eastAsia="en-AU"/>
              </w:rPr>
              <w:fldChar w:fldCharType="separate"/>
            </w:r>
            <w:r w:rsidRPr="009D61EF">
              <w:rPr>
                <w:szCs w:val="24"/>
                <w:lang w:eastAsia="en-AU"/>
              </w:rPr>
              <w:fldChar w:fldCharType="end"/>
            </w:r>
            <w:r w:rsidRPr="009D61EF">
              <w:rPr>
                <w:szCs w:val="24"/>
                <w:lang w:eastAsia="en-AU"/>
              </w:rPr>
              <w:t xml:space="preserve">Medical Practitioners  </w:t>
            </w:r>
            <w:r w:rsidRPr="009D61EF">
              <w:rPr>
                <w:szCs w:val="24"/>
                <w:lang w:eastAsia="en-AU"/>
              </w:rPr>
              <w:fldChar w:fldCharType="begin">
                <w:ffData>
                  <w:name w:val=""/>
                  <w:enabled/>
                  <w:calcOnExit w:val="0"/>
                  <w:checkBox>
                    <w:sizeAuto/>
                    <w:default w:val="1"/>
                  </w:checkBox>
                </w:ffData>
              </w:fldChar>
            </w:r>
            <w:r w:rsidRPr="009D61EF">
              <w:rPr>
                <w:szCs w:val="24"/>
                <w:lang w:eastAsia="en-AU"/>
              </w:rPr>
              <w:instrText xml:space="preserve"> FORMCHECKBOX </w:instrText>
            </w:r>
            <w:r w:rsidR="000F6C8D">
              <w:rPr>
                <w:szCs w:val="24"/>
                <w:lang w:eastAsia="en-AU"/>
              </w:rPr>
            </w:r>
            <w:r w:rsidR="000F6C8D">
              <w:rPr>
                <w:szCs w:val="24"/>
                <w:lang w:eastAsia="en-AU"/>
              </w:rPr>
              <w:fldChar w:fldCharType="separate"/>
            </w:r>
            <w:r w:rsidRPr="009D61EF">
              <w:rPr>
                <w:szCs w:val="24"/>
                <w:lang w:eastAsia="en-AU"/>
              </w:rPr>
              <w:fldChar w:fldCharType="end"/>
            </w:r>
            <w:r w:rsidRPr="009D61EF">
              <w:rPr>
                <w:szCs w:val="24"/>
                <w:lang w:eastAsia="en-AU"/>
              </w:rPr>
              <w:t>Nurse practitioners</w:t>
            </w:r>
            <w:r w:rsidR="006175FC">
              <w:rPr>
                <w:szCs w:val="24"/>
                <w:lang w:eastAsia="en-AU"/>
              </w:rPr>
              <w:t xml:space="preserve">  </w:t>
            </w:r>
            <w:r w:rsidRPr="009D61EF">
              <w:rPr>
                <w:szCs w:val="24"/>
                <w:lang w:eastAsia="en-AU"/>
              </w:rPr>
              <w:fldChar w:fldCharType="begin">
                <w:ffData>
                  <w:name w:val=""/>
                  <w:enabled/>
                  <w:calcOnExit w:val="0"/>
                  <w:checkBox>
                    <w:sizeAuto/>
                    <w:default w:val="0"/>
                  </w:checkBox>
                </w:ffData>
              </w:fldChar>
            </w:r>
            <w:r w:rsidRPr="009D61EF">
              <w:rPr>
                <w:szCs w:val="24"/>
                <w:lang w:eastAsia="en-AU"/>
              </w:rPr>
              <w:instrText xml:space="preserve"> FORMCHECKBOX </w:instrText>
            </w:r>
            <w:r w:rsidR="000F6C8D">
              <w:rPr>
                <w:szCs w:val="24"/>
                <w:lang w:eastAsia="en-AU"/>
              </w:rPr>
            </w:r>
            <w:r w:rsidR="000F6C8D">
              <w:rPr>
                <w:szCs w:val="24"/>
                <w:lang w:eastAsia="en-AU"/>
              </w:rPr>
              <w:fldChar w:fldCharType="separate"/>
            </w:r>
            <w:r w:rsidRPr="009D61EF">
              <w:rPr>
                <w:szCs w:val="24"/>
                <w:lang w:eastAsia="en-AU"/>
              </w:rPr>
              <w:fldChar w:fldCharType="end"/>
            </w:r>
            <w:r w:rsidRPr="009D61EF">
              <w:rPr>
                <w:szCs w:val="24"/>
                <w:lang w:eastAsia="en-AU"/>
              </w:rPr>
              <w:t xml:space="preserve">Optometrists </w:t>
            </w:r>
            <w:r w:rsidRPr="009D61EF">
              <w:rPr>
                <w:szCs w:val="24"/>
                <w:lang w:eastAsia="en-AU"/>
              </w:rPr>
              <w:fldChar w:fldCharType="begin">
                <w:ffData>
                  <w:name w:val="Check5"/>
                  <w:enabled/>
                  <w:calcOnExit w:val="0"/>
                  <w:checkBox>
                    <w:sizeAuto/>
                    <w:default w:val="0"/>
                  </w:checkBox>
                </w:ffData>
              </w:fldChar>
            </w:r>
            <w:r w:rsidRPr="009D61EF">
              <w:rPr>
                <w:szCs w:val="24"/>
                <w:lang w:eastAsia="en-AU"/>
              </w:rPr>
              <w:instrText xml:space="preserve"> FORMCHECKBOX </w:instrText>
            </w:r>
            <w:r w:rsidR="000F6C8D">
              <w:rPr>
                <w:szCs w:val="24"/>
                <w:lang w:eastAsia="en-AU"/>
              </w:rPr>
            </w:r>
            <w:r w:rsidR="000F6C8D">
              <w:rPr>
                <w:szCs w:val="24"/>
                <w:lang w:eastAsia="en-AU"/>
              </w:rPr>
              <w:fldChar w:fldCharType="separate"/>
            </w:r>
            <w:r w:rsidRPr="009D61EF">
              <w:rPr>
                <w:szCs w:val="24"/>
                <w:lang w:eastAsia="en-AU"/>
              </w:rPr>
              <w:fldChar w:fldCharType="end"/>
            </w:r>
            <w:r w:rsidRPr="009D61EF">
              <w:rPr>
                <w:szCs w:val="24"/>
                <w:lang w:eastAsia="en-AU"/>
              </w:rPr>
              <w:t>Midwives</w:t>
            </w:r>
          </w:p>
        </w:tc>
      </w:tr>
      <w:tr w:rsidR="00FD3368" w:rsidTr="006175FC">
        <w:trPr>
          <w:cantSplit/>
        </w:trPr>
        <w:tc>
          <w:tcPr>
            <w:tcW w:w="1985" w:type="dxa"/>
            <w:tcBorders>
              <w:top w:val="single" w:sz="4" w:space="0" w:color="auto"/>
              <w:left w:val="single" w:sz="4" w:space="0" w:color="auto"/>
              <w:bottom w:val="single" w:sz="4" w:space="0" w:color="auto"/>
              <w:right w:val="single" w:sz="4" w:space="0" w:color="auto"/>
            </w:tcBorders>
          </w:tcPr>
          <w:p w:rsidR="00FD3368" w:rsidRPr="00892A36" w:rsidRDefault="00FD3368" w:rsidP="00FD3368">
            <w:pPr>
              <w:pStyle w:val="Tabletext"/>
              <w:rPr>
                <w:b/>
              </w:rPr>
            </w:pPr>
            <w:r w:rsidRPr="00892A36">
              <w:rPr>
                <w:b/>
              </w:rPr>
              <w:t>Condition:</w:t>
            </w:r>
          </w:p>
        </w:tc>
        <w:tc>
          <w:tcPr>
            <w:tcW w:w="7087" w:type="dxa"/>
            <w:tcBorders>
              <w:top w:val="single" w:sz="4" w:space="0" w:color="auto"/>
              <w:left w:val="single" w:sz="4" w:space="0" w:color="auto"/>
              <w:bottom w:val="single" w:sz="4" w:space="0" w:color="auto"/>
              <w:right w:val="single" w:sz="4" w:space="0" w:color="auto"/>
            </w:tcBorders>
          </w:tcPr>
          <w:p w:rsidR="00FD3368" w:rsidRDefault="00FD3368" w:rsidP="00FD3368">
            <w:pPr>
              <w:pStyle w:val="Tabletext"/>
            </w:pPr>
            <w:r w:rsidRPr="009D61EF">
              <w:rPr>
                <w:lang w:eastAsia="en-AU"/>
              </w:rPr>
              <w:t>Opiate dependence</w:t>
            </w:r>
          </w:p>
        </w:tc>
      </w:tr>
      <w:tr w:rsidR="00FD3368" w:rsidTr="006175FC">
        <w:trPr>
          <w:cantSplit/>
        </w:trPr>
        <w:tc>
          <w:tcPr>
            <w:tcW w:w="1985" w:type="dxa"/>
            <w:tcBorders>
              <w:top w:val="single" w:sz="4" w:space="0" w:color="auto"/>
              <w:left w:val="single" w:sz="4" w:space="0" w:color="auto"/>
              <w:bottom w:val="single" w:sz="4" w:space="0" w:color="auto"/>
              <w:right w:val="single" w:sz="4" w:space="0" w:color="auto"/>
            </w:tcBorders>
          </w:tcPr>
          <w:p w:rsidR="00FD3368" w:rsidRPr="00892A36" w:rsidRDefault="00FD3368" w:rsidP="00FD3368">
            <w:pPr>
              <w:pStyle w:val="Tabletext"/>
              <w:rPr>
                <w:b/>
              </w:rPr>
            </w:pPr>
            <w:r w:rsidRPr="00892A36">
              <w:rPr>
                <w:b/>
              </w:rPr>
              <w:t>PBS Indication:</w:t>
            </w:r>
          </w:p>
        </w:tc>
        <w:tc>
          <w:tcPr>
            <w:tcW w:w="7087" w:type="dxa"/>
            <w:tcBorders>
              <w:top w:val="single" w:sz="4" w:space="0" w:color="auto"/>
              <w:left w:val="single" w:sz="4" w:space="0" w:color="auto"/>
              <w:bottom w:val="single" w:sz="4" w:space="0" w:color="auto"/>
              <w:right w:val="single" w:sz="4" w:space="0" w:color="auto"/>
            </w:tcBorders>
          </w:tcPr>
          <w:p w:rsidR="00FD3368" w:rsidRDefault="00FD3368" w:rsidP="00FD3368">
            <w:pPr>
              <w:pStyle w:val="Tabletext"/>
            </w:pPr>
            <w:r w:rsidRPr="009D61EF">
              <w:rPr>
                <w:lang w:eastAsia="en-AU"/>
              </w:rPr>
              <w:t>Opiate dependence</w:t>
            </w:r>
          </w:p>
        </w:tc>
      </w:tr>
      <w:tr w:rsidR="00FD3368" w:rsidTr="006175FC">
        <w:trPr>
          <w:cantSplit/>
        </w:trPr>
        <w:tc>
          <w:tcPr>
            <w:tcW w:w="1985" w:type="dxa"/>
            <w:tcBorders>
              <w:top w:val="single" w:sz="4" w:space="0" w:color="auto"/>
              <w:left w:val="single" w:sz="4" w:space="0" w:color="auto"/>
              <w:bottom w:val="single" w:sz="4" w:space="0" w:color="auto"/>
              <w:right w:val="single" w:sz="4" w:space="0" w:color="auto"/>
            </w:tcBorders>
          </w:tcPr>
          <w:p w:rsidR="00FD3368" w:rsidRPr="00374F2C" w:rsidRDefault="00FD3368" w:rsidP="00FD3368">
            <w:pPr>
              <w:pStyle w:val="Tabletext"/>
              <w:rPr>
                <w:b/>
              </w:rPr>
            </w:pPr>
            <w:r>
              <w:rPr>
                <w:b/>
              </w:rPr>
              <w:t>Clinical criteria:</w:t>
            </w:r>
          </w:p>
        </w:tc>
        <w:tc>
          <w:tcPr>
            <w:tcW w:w="7087" w:type="dxa"/>
            <w:tcBorders>
              <w:top w:val="single" w:sz="4" w:space="0" w:color="auto"/>
              <w:left w:val="single" w:sz="4" w:space="0" w:color="auto"/>
              <w:bottom w:val="single" w:sz="4" w:space="0" w:color="auto"/>
              <w:right w:val="single" w:sz="4" w:space="0" w:color="auto"/>
            </w:tcBorders>
          </w:tcPr>
          <w:p w:rsidR="00FD3368" w:rsidRPr="00374F2C" w:rsidRDefault="00FD3368" w:rsidP="00FD3368">
            <w:pPr>
              <w:pStyle w:val="Tabletext"/>
            </w:pPr>
            <w:r w:rsidRPr="00374F2C">
              <w:t>The treatment must be within a framework of medical, social and psychological treatment.</w:t>
            </w:r>
          </w:p>
          <w:p w:rsidR="00FD3368" w:rsidRPr="00374F2C" w:rsidRDefault="00FD3368" w:rsidP="00FD3368">
            <w:pPr>
              <w:pStyle w:val="Tabletext"/>
            </w:pPr>
            <w:r w:rsidRPr="00374F2C">
              <w:t>AND</w:t>
            </w:r>
          </w:p>
          <w:p w:rsidR="00FD3368" w:rsidRDefault="00FD3368" w:rsidP="00FD3368">
            <w:pPr>
              <w:pStyle w:val="Tabletext"/>
              <w:rPr>
                <w:rFonts w:cs="Arial"/>
              </w:rPr>
            </w:pPr>
            <w:r w:rsidRPr="00374F2C">
              <w:rPr>
                <w:rFonts w:cs="Arial"/>
              </w:rPr>
              <w:t>The treatment must be administered by a health care professional</w:t>
            </w:r>
          </w:p>
        </w:tc>
      </w:tr>
      <w:tr w:rsidR="00FD3368" w:rsidTr="006175FC">
        <w:trPr>
          <w:cantSplit/>
        </w:trPr>
        <w:tc>
          <w:tcPr>
            <w:tcW w:w="1985" w:type="dxa"/>
            <w:tcBorders>
              <w:top w:val="single" w:sz="4" w:space="0" w:color="auto"/>
              <w:left w:val="single" w:sz="4" w:space="0" w:color="auto"/>
              <w:bottom w:val="single" w:sz="4" w:space="0" w:color="auto"/>
              <w:right w:val="single" w:sz="4" w:space="0" w:color="auto"/>
            </w:tcBorders>
          </w:tcPr>
          <w:p w:rsidR="00FD3368" w:rsidRPr="00A03265" w:rsidRDefault="00FD3368" w:rsidP="00FD3368">
            <w:pPr>
              <w:pStyle w:val="Tabletext"/>
              <w:rPr>
                <w:b/>
              </w:rPr>
            </w:pPr>
            <w:r w:rsidRPr="00A03265">
              <w:rPr>
                <w:rFonts w:cs="Arial"/>
                <w:b/>
                <w:lang w:eastAsia="en-AU"/>
              </w:rPr>
              <w:t>Notes</w:t>
            </w:r>
          </w:p>
        </w:tc>
        <w:tc>
          <w:tcPr>
            <w:tcW w:w="7087" w:type="dxa"/>
            <w:tcBorders>
              <w:top w:val="single" w:sz="4" w:space="0" w:color="auto"/>
              <w:left w:val="single" w:sz="4" w:space="0" w:color="auto"/>
              <w:bottom w:val="single" w:sz="4" w:space="0" w:color="auto"/>
              <w:right w:val="single" w:sz="4" w:space="0" w:color="auto"/>
            </w:tcBorders>
          </w:tcPr>
          <w:p w:rsidR="00FD3368" w:rsidRDefault="00FD3368" w:rsidP="00FD3368">
            <w:pPr>
              <w:pStyle w:val="Tabletext"/>
              <w:rPr>
                <w:rFonts w:cs="Arial"/>
                <w:lang w:eastAsia="en-AU"/>
              </w:rPr>
            </w:pPr>
            <w:r w:rsidRPr="009D61EF">
              <w:rPr>
                <w:rFonts w:cs="Arial"/>
                <w:lang w:eastAsia="en-AU"/>
              </w:rPr>
              <w:t xml:space="preserve">Care must be taken to comply with the provisions of </w:t>
            </w:r>
            <w:r w:rsidR="008B4126">
              <w:rPr>
                <w:rFonts w:cs="Arial"/>
                <w:lang w:eastAsia="en-AU"/>
              </w:rPr>
              <w:t>S</w:t>
            </w:r>
            <w:r w:rsidRPr="009D61EF">
              <w:rPr>
                <w:rFonts w:cs="Arial"/>
                <w:lang w:eastAsia="en-AU"/>
              </w:rPr>
              <w:t>tate/Territory law when prescribing and administering this drug.</w:t>
            </w:r>
          </w:p>
          <w:p w:rsidR="00FD3368" w:rsidRDefault="00FD3368" w:rsidP="00FD3368">
            <w:pPr>
              <w:pStyle w:val="Tabletext"/>
            </w:pPr>
            <w:r>
              <w:t>Shared Care Model:</w:t>
            </w:r>
          </w:p>
          <w:p w:rsidR="00FD3368" w:rsidRDefault="00FD3368" w:rsidP="00FD3368">
            <w:pPr>
              <w:pStyle w:val="Tabletext"/>
            </w:pPr>
            <w: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366282" w:rsidRPr="00EA4420" w:rsidRDefault="007B140E" w:rsidP="0014592A">
      <w:pPr>
        <w:pStyle w:val="ListParagraph"/>
        <w:widowControl/>
        <w:numPr>
          <w:ilvl w:val="1"/>
          <w:numId w:val="2"/>
        </w:numPr>
      </w:pPr>
      <w:r w:rsidRPr="007356E8">
        <w:t xml:space="preserve">The submission provided pricing information at the ex-manufacturer level, which may </w:t>
      </w:r>
      <w:r w:rsidRPr="00EA4420">
        <w:t xml:space="preserve">be appropriate if a decision is made for prolonged release buprenorphine to be a Section 100 </w:t>
      </w:r>
      <w:r w:rsidR="0014592A" w:rsidRPr="00EA4420">
        <w:t xml:space="preserve">(Opiate Dependence) </w:t>
      </w:r>
      <w:r w:rsidRPr="00EA4420">
        <w:t>listing.</w:t>
      </w:r>
      <w:r w:rsidR="0014592A" w:rsidRPr="00EA4420">
        <w:t xml:space="preserve"> </w:t>
      </w:r>
      <w:r w:rsidR="00366282" w:rsidRPr="00EA4420">
        <w:t xml:space="preserve">Under the </w:t>
      </w:r>
      <w:r w:rsidR="00A03574" w:rsidRPr="00EA4420">
        <w:t xml:space="preserve">current </w:t>
      </w:r>
      <w:r w:rsidR="00366282" w:rsidRPr="00EA4420">
        <w:t>Opiate Dependence Treatment Program (ODTP) arrangements, the Commonwealth funds the full cost of the medicines via direct payments to the drug s</w:t>
      </w:r>
      <w:r w:rsidR="00A03574" w:rsidRPr="00EA4420">
        <w:t xml:space="preserve">ponsors. </w:t>
      </w:r>
      <w:r w:rsidRPr="00EA4420">
        <w:t>S</w:t>
      </w:r>
      <w:r w:rsidR="00366282" w:rsidRPr="00EA4420">
        <w:t xml:space="preserve">ponsors organise delivery of </w:t>
      </w:r>
      <w:r w:rsidR="00A03574" w:rsidRPr="00EA4420">
        <w:t>the product to dispensing sites, which can be hospital and community</w:t>
      </w:r>
      <w:r w:rsidR="00366282" w:rsidRPr="00EA4420">
        <w:t xml:space="preserve"> pharmac</w:t>
      </w:r>
      <w:r w:rsidR="00A03574" w:rsidRPr="00EA4420">
        <w:t>ies</w:t>
      </w:r>
      <w:r w:rsidR="00366282" w:rsidRPr="00EA4420">
        <w:t>, alcohol and drug treatment clinics or other public or private health clinics.</w:t>
      </w:r>
      <w:r w:rsidR="00D26A46" w:rsidRPr="00EA4420">
        <w:t xml:space="preserve"> Currently, all treatments subsidised under the ODTP restrict supply to clinics and pharmacies that are approved by State and Territory governments and prices are listed at the ex-manufacturer level.</w:t>
      </w:r>
    </w:p>
    <w:p w:rsidR="00BE11AB" w:rsidRPr="00EA4420" w:rsidRDefault="00A03574" w:rsidP="00DB2F6E">
      <w:pPr>
        <w:pStyle w:val="ListParagraph"/>
        <w:widowControl/>
        <w:numPr>
          <w:ilvl w:val="1"/>
          <w:numId w:val="2"/>
        </w:numPr>
      </w:pPr>
      <w:r w:rsidRPr="00EA4420">
        <w:rPr>
          <w:rFonts w:asciiTheme="minorHAnsi" w:hAnsiTheme="minorHAnsi" w:cstheme="minorHAnsi"/>
        </w:rPr>
        <w:t xml:space="preserve">Each state and territory operates individual programs for access to opiate substitution therapy (OST). Under these arrangements, jurisdictions approve prescribers, patients and dosing sites for participation in the program. In some jurisdictions, participation numbers for patients, prescribers and dosing sites can be capped. </w:t>
      </w:r>
      <w:r w:rsidR="0014592A" w:rsidRPr="00EA4420">
        <w:rPr>
          <w:rFonts w:asciiTheme="minorHAnsi" w:hAnsiTheme="minorHAnsi" w:cstheme="minorHAnsi"/>
        </w:rPr>
        <w:t>Due to potential</w:t>
      </w:r>
      <w:r w:rsidR="00BB7359" w:rsidRPr="00EA4420">
        <w:rPr>
          <w:rFonts w:asciiTheme="minorHAnsi" w:hAnsiTheme="minorHAnsi" w:cstheme="minorHAnsi"/>
        </w:rPr>
        <w:t xml:space="preserve"> capping of patient numbers, the increase system capacity claimed in the submission </w:t>
      </w:r>
      <w:r w:rsidR="00BB7359" w:rsidRPr="00EA4420">
        <w:rPr>
          <w:rFonts w:asciiTheme="minorHAnsi" w:hAnsiTheme="minorHAnsi" w:cstheme="minorHAnsi"/>
        </w:rPr>
        <w:lastRenderedPageBreak/>
        <w:t xml:space="preserve">may not be realised in practice. </w:t>
      </w:r>
      <w:r w:rsidRPr="00EA4420">
        <w:rPr>
          <w:rFonts w:asciiTheme="minorHAnsi" w:hAnsiTheme="minorHAnsi" w:cstheme="minorHAnsi"/>
        </w:rPr>
        <w:t xml:space="preserve">Prescribers </w:t>
      </w:r>
      <w:r w:rsidR="00D26A46" w:rsidRPr="00EA4420">
        <w:rPr>
          <w:rFonts w:asciiTheme="minorHAnsi" w:hAnsiTheme="minorHAnsi" w:cstheme="minorHAnsi"/>
        </w:rPr>
        <w:t xml:space="preserve">of OST medicines must </w:t>
      </w:r>
      <w:r w:rsidRPr="00EA4420">
        <w:rPr>
          <w:rFonts w:asciiTheme="minorHAnsi" w:hAnsiTheme="minorHAnsi" w:cstheme="minorHAnsi"/>
        </w:rPr>
        <w:t xml:space="preserve">seek authority approval from their state health department. </w:t>
      </w:r>
      <w:r w:rsidR="00D26A46" w:rsidRPr="00EA4420">
        <w:rPr>
          <w:rFonts w:asciiTheme="minorHAnsi" w:hAnsiTheme="minorHAnsi" w:cstheme="minorHAnsi"/>
        </w:rPr>
        <w:t xml:space="preserve"> </w:t>
      </w:r>
    </w:p>
    <w:p w:rsidR="00DE47B3" w:rsidRPr="00EA4420" w:rsidRDefault="002D74AE" w:rsidP="00DB2F6E">
      <w:pPr>
        <w:pStyle w:val="ListParagraph"/>
        <w:widowControl/>
        <w:numPr>
          <w:ilvl w:val="1"/>
          <w:numId w:val="2"/>
        </w:numPr>
      </w:pPr>
      <w:r w:rsidRPr="00EA4420">
        <w:t>The requirement for prolonged release buprenorphine administration by a GP or nurse eliminates the requirement for pharmacists to supervise dose administration at community pharmacies, and therefore the submission argue</w:t>
      </w:r>
      <w:r w:rsidR="007F1AA6" w:rsidRPr="00EA4420">
        <w:t>d</w:t>
      </w:r>
      <w:r w:rsidRPr="00EA4420">
        <w:t xml:space="preserve"> that restricting supply of prolonged release buprenorphine to approved pharmacies only may not be necessary. The </w:t>
      </w:r>
      <w:r w:rsidR="007F1AA6" w:rsidRPr="00EA4420">
        <w:t>submission stated</w:t>
      </w:r>
      <w:r w:rsidRPr="00EA4420">
        <w:t xml:space="preserve"> that this may therefore warrant consideration of a General Schedule (Section 85) listing for prolonged release buprenorphine, provided appropriate contingencies could be built in to ensure fulfilment of local legislative requirements regarding Schedule 8 drugs and non-possession by the patient.</w:t>
      </w:r>
    </w:p>
    <w:p w:rsidR="00BB7359" w:rsidRPr="00B8589F" w:rsidRDefault="007F1AA6" w:rsidP="00DB2F6E">
      <w:pPr>
        <w:pStyle w:val="ListParagraph"/>
        <w:widowControl/>
        <w:numPr>
          <w:ilvl w:val="1"/>
          <w:numId w:val="2"/>
        </w:numPr>
      </w:pPr>
      <w:r w:rsidRPr="00EA4420">
        <w:t xml:space="preserve">General Schedule listing of prolonged release buprenorphine is unlikely to be </w:t>
      </w:r>
      <w:r w:rsidR="00BB7359" w:rsidRPr="00EA4420">
        <w:t>implementable</w:t>
      </w:r>
      <w:r w:rsidRPr="00EA4420">
        <w:t xml:space="preserve">. The submission suggested that, as patients cannot personally </w:t>
      </w:r>
      <w:r w:rsidR="007F5D06" w:rsidRPr="00EA4420">
        <w:t>handle</w:t>
      </w:r>
      <w:r w:rsidR="007F5D06">
        <w:rPr>
          <w:i/>
        </w:rPr>
        <w:t xml:space="preserve"> </w:t>
      </w:r>
      <w:r w:rsidR="007F5D06" w:rsidRPr="00EA4420">
        <w:t>the</w:t>
      </w:r>
      <w:r w:rsidRPr="00EA4420">
        <w:t xml:space="preserve"> product, the medicine would be delivered directly to the prescribers’ rooms instead of the pharmacy. In this proposed scenario, the prescriber would facilitate a prescription to the pharmacy for claiming. As the medicine would never have physically been at the pharmacy premises to facilitate the supply and PBS claim, this would be a breach of the conditions of approval of the Section 90 (community) pharmacy.</w:t>
      </w:r>
      <w:r w:rsidR="005C59B4">
        <w:t xml:space="preserve"> </w:t>
      </w:r>
      <w:r w:rsidR="00E97CDA" w:rsidRPr="00B8589F">
        <w:t xml:space="preserve">The ESC </w:t>
      </w:r>
      <w:r w:rsidR="005C59B4" w:rsidRPr="00B8589F">
        <w:t xml:space="preserve">further considered that </w:t>
      </w:r>
      <w:r w:rsidR="00E97CDA" w:rsidRPr="00B8589F">
        <w:t>a General Schedule listing</w:t>
      </w:r>
      <w:r w:rsidR="005C59B4" w:rsidRPr="00B8589F">
        <w:t xml:space="preserve"> was problematic as it</w:t>
      </w:r>
      <w:r w:rsidR="00E97CDA" w:rsidRPr="00B8589F">
        <w:t xml:space="preserve"> would preclude </w:t>
      </w:r>
      <w:r w:rsidR="005C59B4" w:rsidRPr="00B8589F">
        <w:t xml:space="preserve">some </w:t>
      </w:r>
      <w:r w:rsidR="00E97CDA" w:rsidRPr="00B8589F">
        <w:t>incarcerated people</w:t>
      </w:r>
      <w:r w:rsidR="005C59B4" w:rsidRPr="00B8589F">
        <w:t xml:space="preserve"> from accessing this treatment. Given the potential advantages of administer</w:t>
      </w:r>
      <w:r w:rsidR="00253D30" w:rsidRPr="00B8589F">
        <w:t>ing</w:t>
      </w:r>
      <w:r w:rsidR="005C59B4" w:rsidRPr="00B8589F">
        <w:t xml:space="preserve"> a monthly injectable opioid substitution product for prisoners, </w:t>
      </w:r>
      <w:r w:rsidR="00253D30" w:rsidRPr="00B8589F">
        <w:t xml:space="preserve">the </w:t>
      </w:r>
      <w:r w:rsidR="005C59B4" w:rsidRPr="00B8589F">
        <w:t xml:space="preserve">ESC considered that it was more </w:t>
      </w:r>
      <w:r w:rsidR="00253D30" w:rsidRPr="00B8589F">
        <w:t>appropriate</w:t>
      </w:r>
      <w:r w:rsidR="005C59B4" w:rsidRPr="00B8589F">
        <w:t xml:space="preserve"> for a listing to occur under Section 100. </w:t>
      </w:r>
    </w:p>
    <w:p w:rsidR="00253D30" w:rsidRPr="005A4CBA" w:rsidRDefault="007F1AA6" w:rsidP="00253D30">
      <w:pPr>
        <w:pStyle w:val="ListParagraph"/>
        <w:widowControl/>
        <w:numPr>
          <w:ilvl w:val="1"/>
          <w:numId w:val="2"/>
        </w:numPr>
      </w:pPr>
      <w:r w:rsidRPr="00EA4420">
        <w:t>The proposed Section 100 listing is consistent with existing Section 100 (Op</w:t>
      </w:r>
      <w:r w:rsidR="0014592A" w:rsidRPr="00EA4420">
        <w:t>iate</w:t>
      </w:r>
      <w:r w:rsidRPr="00EA4420">
        <w:t xml:space="preserve"> Dependence) listings, except for the requirement that a health care professional administer prolonged release buprenorphine.</w:t>
      </w:r>
      <w:r w:rsidR="005A4CBA">
        <w:t xml:space="preserve"> </w:t>
      </w:r>
    </w:p>
    <w:p w:rsidR="00BB7359" w:rsidRPr="00B8589F" w:rsidRDefault="00BB7359" w:rsidP="00253D30">
      <w:pPr>
        <w:pStyle w:val="ListParagraph"/>
        <w:widowControl/>
        <w:numPr>
          <w:ilvl w:val="1"/>
          <w:numId w:val="2"/>
        </w:numPr>
      </w:pPr>
      <w:r w:rsidRPr="00B8589F">
        <w:t>Currently access to products under Section 100 (Opi</w:t>
      </w:r>
      <w:r w:rsidR="0014592A" w:rsidRPr="00B8589F">
        <w:t>ate</w:t>
      </w:r>
      <w:r w:rsidRPr="00B8589F">
        <w:t xml:space="preserve"> Dependence) is primarily provided through community pharmacies, representing an estimated 75% of patients. Listing prolonged release buprenorphine will be a significant shift away from this model, as the product will be administered directly by a health professional (medical practitioner or nurse practitioner). </w:t>
      </w:r>
      <w:r w:rsidR="00F93E37" w:rsidRPr="00B8589F">
        <w:t>The Pre-Sub</w:t>
      </w:r>
      <w:r w:rsidR="005C59B4" w:rsidRPr="00B8589F">
        <w:t>-C</w:t>
      </w:r>
      <w:r w:rsidR="00F93E37" w:rsidRPr="00B8589F">
        <w:t>ommittee Response</w:t>
      </w:r>
      <w:r w:rsidR="005A0CA2" w:rsidRPr="00B8589F">
        <w:t xml:space="preserve"> (PSCR) maintained it was not within the scope of the submission to determine how the practice model should work</w:t>
      </w:r>
      <w:r w:rsidR="00253D30" w:rsidRPr="00B8589F">
        <w:t xml:space="preserve">, but </w:t>
      </w:r>
      <w:r w:rsidR="00253D30" w:rsidRPr="00B8589F">
        <w:rPr>
          <w:rFonts w:asciiTheme="minorHAnsi" w:hAnsiTheme="minorHAnsi" w:cstheme="minorHAnsi"/>
        </w:rPr>
        <w:t xml:space="preserve">proposed that pharmacists could arrange delivery of the product to GP clinics for administration. </w:t>
      </w:r>
      <w:r w:rsidR="005A4CBA">
        <w:rPr>
          <w:rFonts w:asciiTheme="minorHAnsi" w:hAnsiTheme="minorHAnsi" w:cstheme="minorHAnsi"/>
        </w:rPr>
        <w:t>DUSC considered that t</w:t>
      </w:r>
      <w:r w:rsidR="00253D30" w:rsidRPr="00B8589F">
        <w:rPr>
          <w:rFonts w:asciiTheme="minorHAnsi" w:hAnsiTheme="minorHAnsi" w:cstheme="minorHAnsi"/>
        </w:rPr>
        <w:t xml:space="preserve">his would be impractical and burdensome for pharmacies, and cannot be relied upon as the sole mechanism to manage the supply of the product. Additionally, the cost for pharmacies to provide this service was not accounted for by the sponsor.  </w:t>
      </w:r>
      <w:r w:rsidR="005C59B4" w:rsidRPr="00B8589F">
        <w:t>The ESC suggested that</w:t>
      </w:r>
      <w:r w:rsidR="00253D30" w:rsidRPr="00B8589F">
        <w:t xml:space="preserve"> alternative</w:t>
      </w:r>
      <w:r w:rsidR="005C59B4" w:rsidRPr="00B8589F">
        <w:t xml:space="preserve"> models may include direct supply of the product to approved administration sites (i.e. GP clinics), or supply and administration by trained/accredited pharmacists, but noted that any supply model would have associated costs which have not been determined. </w:t>
      </w:r>
    </w:p>
    <w:p w:rsidR="00BB7359" w:rsidRPr="00B8589F" w:rsidRDefault="0014592A" w:rsidP="00BB7359">
      <w:pPr>
        <w:pStyle w:val="ListParagraph"/>
        <w:widowControl/>
        <w:numPr>
          <w:ilvl w:val="1"/>
          <w:numId w:val="2"/>
        </w:numPr>
      </w:pPr>
      <w:r w:rsidRPr="00B8589F">
        <w:lastRenderedPageBreak/>
        <w:t>Under a S</w:t>
      </w:r>
      <w:r w:rsidR="00BB7359" w:rsidRPr="00B8589F">
        <w:t>ection 100 listing</w:t>
      </w:r>
      <w:r w:rsidR="0075006F">
        <w:t>,</w:t>
      </w:r>
      <w:r w:rsidR="00BB7359" w:rsidRPr="00B8589F">
        <w:t xml:space="preserve"> the Commonwealth would fund the full cost of the medicine without fees, mark-ups or PBS patient co-payment. </w:t>
      </w:r>
      <w:r w:rsidRPr="00B8589F">
        <w:t>D</w:t>
      </w:r>
      <w:r w:rsidR="00BB7359" w:rsidRPr="00B8589F">
        <w:t xml:space="preserve">ispensing sites could elect to charge private fees, although due to the reduced frequency of medication administration, these fees may be lower than those charged for existing listings. </w:t>
      </w:r>
      <w:r w:rsidR="005C59B4" w:rsidRPr="00B8589F">
        <w:t xml:space="preserve">The ESC agreed that, </w:t>
      </w:r>
      <w:r w:rsidR="00F90C35" w:rsidRPr="00B8589F">
        <w:t xml:space="preserve">assuming </w:t>
      </w:r>
      <w:r w:rsidR="005C59B4" w:rsidRPr="00B8589F">
        <w:t xml:space="preserve">most </w:t>
      </w:r>
      <w:r w:rsidR="00F90C35" w:rsidRPr="00B8589F">
        <w:t xml:space="preserve">patients transitioned to monthly dosing, there would </w:t>
      </w:r>
      <w:r w:rsidR="00B23DB0" w:rsidRPr="00B8589F">
        <w:t xml:space="preserve">likely </w:t>
      </w:r>
      <w:r w:rsidR="00F90C35" w:rsidRPr="00B8589F">
        <w:t xml:space="preserve">be a reduction in </w:t>
      </w:r>
      <w:r w:rsidR="00B23DB0" w:rsidRPr="00B8589F">
        <w:t>private f</w:t>
      </w:r>
      <w:r w:rsidR="00F90C35" w:rsidRPr="00B8589F">
        <w:t>ees</w:t>
      </w:r>
      <w:r w:rsidR="00B23DB0" w:rsidRPr="00B8589F">
        <w:t xml:space="preserve"> charged, and that this is a benefit for patients who</w:t>
      </w:r>
      <w:r w:rsidR="005C59B4" w:rsidRPr="00B8589F">
        <w:t xml:space="preserve"> currently</w:t>
      </w:r>
      <w:r w:rsidR="00B23DB0" w:rsidRPr="00B8589F">
        <w:t xml:space="preserve"> choose not to be treated due to prohibitive private fees for </w:t>
      </w:r>
      <w:r w:rsidR="005C59B4" w:rsidRPr="00B8589F">
        <w:t>existing</w:t>
      </w:r>
      <w:r w:rsidR="00B23DB0" w:rsidRPr="00B8589F">
        <w:t xml:space="preserve"> treatments</w:t>
      </w:r>
      <w:r w:rsidR="00F52F40" w:rsidRPr="00B8589F">
        <w:t>. However, the ESC noted that some patients are c</w:t>
      </w:r>
      <w:r w:rsidR="00253D30" w:rsidRPr="00B8589F">
        <w:t>urrently able to access a month’</w:t>
      </w:r>
      <w:r w:rsidR="00F52F40" w:rsidRPr="00B8589F">
        <w:t xml:space="preserve">s supply of sublingual buprenorphine/naloxone and therefore reduced frequency of </w:t>
      </w:r>
      <w:r w:rsidR="009D1406" w:rsidRPr="00B8589F">
        <w:t>attending a clinic or pharmacy</w:t>
      </w:r>
      <w:r w:rsidR="00F52F40" w:rsidRPr="00B8589F">
        <w:t xml:space="preserve"> may not be realised in these patients</w:t>
      </w:r>
      <w:r w:rsidR="009D1406" w:rsidRPr="00B8589F">
        <w:t>, although costs may still be lower</w:t>
      </w:r>
      <w:r w:rsidR="00F52F40" w:rsidRPr="00B8589F">
        <w:t xml:space="preserve">. </w:t>
      </w:r>
    </w:p>
    <w:p w:rsidR="00534286" w:rsidRDefault="00BD4EC4" w:rsidP="00534286">
      <w:pPr>
        <w:pStyle w:val="ListParagraph"/>
        <w:widowControl/>
        <w:numPr>
          <w:ilvl w:val="1"/>
          <w:numId w:val="2"/>
        </w:numPr>
        <w:rPr>
          <w:i/>
        </w:rPr>
      </w:pPr>
      <w:r w:rsidRPr="00EA4420">
        <w:t xml:space="preserve">Liaison with states and territories </w:t>
      </w:r>
      <w:r w:rsidR="00912E5E" w:rsidRPr="00EA4420">
        <w:t>would</w:t>
      </w:r>
      <w:r w:rsidRPr="00EA4420">
        <w:t xml:space="preserve"> be required to ascertain their willingness to offer this product through their existing OST programs as well as what individual assessment criteria for participation by prescribers and dosing sites might be needed.  Time for liaison with states and territories </w:t>
      </w:r>
      <w:r w:rsidR="00912E5E" w:rsidRPr="00EA4420">
        <w:t>would</w:t>
      </w:r>
      <w:r w:rsidRPr="00EA4420">
        <w:t xml:space="preserve"> need to be factored into </w:t>
      </w:r>
      <w:r w:rsidR="000518B7" w:rsidRPr="00EA4420">
        <w:t>implementation of a positive recommendation for this product.</w:t>
      </w:r>
      <w:r w:rsidR="00534286">
        <w:t xml:space="preserve"> </w:t>
      </w:r>
    </w:p>
    <w:p w:rsidR="00B8589F" w:rsidRPr="00534286" w:rsidRDefault="00B8589F" w:rsidP="00B8589F">
      <w:pPr>
        <w:pStyle w:val="ListParagraph"/>
        <w:widowControl/>
        <w:rPr>
          <w:i/>
        </w:rPr>
      </w:pPr>
      <w:r w:rsidRPr="005A4CBA">
        <w:rPr>
          <w:i/>
        </w:rPr>
        <w:t>For more detail on PBAC’s view, see section 7 PBAC outcome.</w:t>
      </w:r>
    </w:p>
    <w:p w:rsidR="00B50DB8" w:rsidRPr="003D7A9A" w:rsidRDefault="00B50DB8" w:rsidP="00B737AB">
      <w:pPr>
        <w:pStyle w:val="Heading1"/>
        <w:rPr>
          <w:caps/>
        </w:rPr>
      </w:pPr>
      <w:bookmarkStart w:id="3" w:name="_Toc524525733"/>
      <w:r w:rsidRPr="003D7A9A">
        <w:t>Background</w:t>
      </w:r>
      <w:bookmarkEnd w:id="3"/>
    </w:p>
    <w:p w:rsidR="00B60939" w:rsidRPr="004151CF" w:rsidRDefault="00591957" w:rsidP="00B60939">
      <w:pPr>
        <w:rPr>
          <w:b/>
          <w:i/>
          <w:sz w:val="28"/>
          <w:szCs w:val="28"/>
        </w:rPr>
      </w:pPr>
      <w:r w:rsidRPr="004151CF">
        <w:rPr>
          <w:b/>
          <w:i/>
          <w:sz w:val="28"/>
          <w:szCs w:val="28"/>
        </w:rPr>
        <w:t>Registration status</w:t>
      </w:r>
    </w:p>
    <w:p w:rsidR="00591957" w:rsidRPr="00882085" w:rsidRDefault="00591957" w:rsidP="00B60939"/>
    <w:p w:rsidR="00534286" w:rsidRPr="004118C4" w:rsidRDefault="00952224" w:rsidP="00534286">
      <w:pPr>
        <w:pStyle w:val="ListParagraph"/>
        <w:widowControl/>
        <w:numPr>
          <w:ilvl w:val="1"/>
          <w:numId w:val="2"/>
        </w:numPr>
      </w:pPr>
      <w:r w:rsidRPr="004118C4">
        <w:t xml:space="preserve">Prolonged release buprenorphine </w:t>
      </w:r>
      <w:r w:rsidR="00D35583" w:rsidRPr="004118C4">
        <w:t xml:space="preserve">was </w:t>
      </w:r>
      <w:r w:rsidR="004118C4" w:rsidRPr="004118C4">
        <w:t xml:space="preserve">submitted </w:t>
      </w:r>
      <w:r w:rsidR="00D35583" w:rsidRPr="004118C4">
        <w:t xml:space="preserve">under the TGA/PBAC parallel process. At the time of PBAC consideration, the ratified resolution of the October 2018 </w:t>
      </w:r>
      <w:r w:rsidR="00F53D52">
        <w:t>Advisory Committee on Medicines (</w:t>
      </w:r>
      <w:r w:rsidR="00D35583" w:rsidRPr="004118C4">
        <w:t>ACM</w:t>
      </w:r>
      <w:r w:rsidR="00F53D52">
        <w:t>)</w:t>
      </w:r>
      <w:r w:rsidR="00D35583" w:rsidRPr="004118C4">
        <w:t xml:space="preserve"> meeting were available. The ACM agreed </w:t>
      </w:r>
      <w:r w:rsidR="004118C4" w:rsidRPr="004118C4">
        <w:t>with the proposed indication “…for the treatment</w:t>
      </w:r>
      <w:r w:rsidR="00B23DB0" w:rsidRPr="004118C4">
        <w:t xml:space="preserve"> </w:t>
      </w:r>
      <w:r w:rsidR="004118C4" w:rsidRPr="004118C4">
        <w:t xml:space="preserve">of opioid dependence within a framework of medical, social and psychological treatment…for use in adults and adolescents aged 16 years and over.” </w:t>
      </w:r>
    </w:p>
    <w:p w:rsidR="00B8589F" w:rsidRPr="00F53D52" w:rsidRDefault="004118C4" w:rsidP="00B8589F">
      <w:pPr>
        <w:pStyle w:val="ListParagraph"/>
        <w:widowControl/>
        <w:numPr>
          <w:ilvl w:val="1"/>
          <w:numId w:val="2"/>
        </w:numPr>
        <w:rPr>
          <w:i/>
        </w:rPr>
      </w:pPr>
      <w:r w:rsidRPr="004118C4">
        <w:t xml:space="preserve">The ACM agreed that patients should be stabilised on sublingual buprenorphine or buprenorphine/naloxone for at least 7 days before being transitioned to prolonged release buprenorphine, with no explicit requirement for patients to be on weekly injections prior to commencing once monthly treatment. </w:t>
      </w:r>
      <w:r w:rsidR="00B23DB0" w:rsidRPr="00F53D52">
        <w:rPr>
          <w:i/>
        </w:rPr>
        <w:t xml:space="preserve"> </w:t>
      </w:r>
      <w:bookmarkStart w:id="4" w:name="_Toc524525734"/>
    </w:p>
    <w:p w:rsidR="00B8589F" w:rsidRPr="00C8051A" w:rsidRDefault="00203181" w:rsidP="00B737AB">
      <w:pPr>
        <w:pStyle w:val="Heading1"/>
        <w:rPr>
          <w:i/>
          <w:sz w:val="28"/>
        </w:rPr>
      </w:pPr>
      <w:r w:rsidRPr="00B8589F">
        <w:t xml:space="preserve">Population and </w:t>
      </w:r>
      <w:r w:rsidR="008E0D3C" w:rsidRPr="00B8589F">
        <w:t>d</w:t>
      </w:r>
      <w:r w:rsidRPr="00B8589F">
        <w:t>isease</w:t>
      </w:r>
      <w:bookmarkEnd w:id="4"/>
    </w:p>
    <w:p w:rsidR="002D74AE" w:rsidRPr="002D74AE" w:rsidRDefault="00375DCB" w:rsidP="00F53D52">
      <w:pPr>
        <w:pStyle w:val="ListParagraph"/>
        <w:widowControl/>
        <w:numPr>
          <w:ilvl w:val="1"/>
          <w:numId w:val="2"/>
        </w:numPr>
      </w:pPr>
      <w:r w:rsidRPr="00375DCB">
        <w:t xml:space="preserve">The target population in the submission is people with opioid dependence/opioid use disorder. </w:t>
      </w:r>
      <w:r w:rsidR="002D74AE" w:rsidRPr="002D74AE">
        <w:t xml:space="preserve">Regular use of opioids can lead to opioid use disorder, which is a </w:t>
      </w:r>
      <w:proofErr w:type="spellStart"/>
      <w:r w:rsidR="002D74AE" w:rsidRPr="002D74AE">
        <w:t>neurobehavioural</w:t>
      </w:r>
      <w:proofErr w:type="spellEnd"/>
      <w:r w:rsidR="002D74AE" w:rsidRPr="002D74AE">
        <w:t xml:space="preserve"> chronic disorder with a natural history of relapse and remission, characterised by a problematic pattern of opioid use despite adverse social, psychological, and/or physical consequences. </w:t>
      </w:r>
      <w:r w:rsidR="00F53D52" w:rsidRPr="00F53D52">
        <w:rPr>
          <w:rFonts w:cs="Calibri"/>
        </w:rPr>
        <w:t>DUSC noted that the demographics of opioid misuse are changing, with increasing misuse of prescription opioids in place of illicit opioids</w:t>
      </w:r>
      <w:r w:rsidR="00F53D52">
        <w:rPr>
          <w:rFonts w:cs="Calibri"/>
        </w:rPr>
        <w:t xml:space="preserve">. </w:t>
      </w:r>
    </w:p>
    <w:p w:rsidR="00894489" w:rsidRPr="00EA4420" w:rsidRDefault="00375DCB" w:rsidP="00DB2F6E">
      <w:pPr>
        <w:pStyle w:val="ListParagraph"/>
        <w:widowControl/>
        <w:numPr>
          <w:ilvl w:val="1"/>
          <w:numId w:val="2"/>
        </w:numPr>
      </w:pPr>
      <w:r w:rsidRPr="00EA4420">
        <w:lastRenderedPageBreak/>
        <w:t xml:space="preserve">Evidence-based interventions for opioid dependence include opioid withdrawal (detoxification), medication assisted treatment, psychosocial interventions and antagonist-assisted treatment either individually or in combination. Medication assisted treatment involves treatment of opioid dependence with a legally obtained, orally administered, long-lasting opioid which eliminates withdrawal symptoms and cravings or blocks the euphoric effect of opioid use. </w:t>
      </w:r>
    </w:p>
    <w:p w:rsidR="00E55BB5" w:rsidRDefault="00375DCB" w:rsidP="00CE5E9B">
      <w:pPr>
        <w:pStyle w:val="ListParagraph"/>
        <w:widowControl/>
        <w:numPr>
          <w:ilvl w:val="1"/>
          <w:numId w:val="2"/>
        </w:numPr>
      </w:pPr>
      <w:r w:rsidRPr="00EA4420">
        <w:t xml:space="preserve">Currently, three medications are PBS listed in Australia for long-term maintenance treatment for patients with opioid dependence (methadone, sublingual buprenorphine, and sublingual buprenorphine/naloxone). The submission claimed that </w:t>
      </w:r>
      <w:r w:rsidR="00526307" w:rsidRPr="00EA4420">
        <w:t>prolonged release buprenorphine would provide an alternative treatment option for people with opioid dependence.</w:t>
      </w:r>
      <w:r w:rsidR="009C2BB4">
        <w:t xml:space="preserve"> </w:t>
      </w:r>
      <w:r w:rsidR="009C2BB4" w:rsidRPr="00B8589F">
        <w:t>The ESC agreed</w:t>
      </w:r>
      <w:r w:rsidR="00F52F40" w:rsidRPr="00B8589F">
        <w:t xml:space="preserve"> that there is a clinical place for</w:t>
      </w:r>
      <w:r w:rsidR="009C2BB4" w:rsidRPr="00B8589F">
        <w:t xml:space="preserve"> prolonged release buprenorphine in certain patient populations with opioid use disorder</w:t>
      </w:r>
      <w:r w:rsidR="00AF4D84" w:rsidRPr="00B8589F">
        <w:t>,</w:t>
      </w:r>
      <w:r w:rsidR="00F52F40" w:rsidRPr="00B8589F">
        <w:t xml:space="preserve"> particularly </w:t>
      </w:r>
      <w:r w:rsidR="00F52F40" w:rsidRPr="00B8589F">
        <w:rPr>
          <w:rFonts w:asciiTheme="minorHAnsi" w:hAnsiTheme="minorHAnsi"/>
          <w:szCs w:val="24"/>
        </w:rPr>
        <w:t xml:space="preserve">as there are currently patients who choose not to be treated for opioid use disorder under the current pharmacy-based model due to perceived social </w:t>
      </w:r>
      <w:r w:rsidR="00253D30" w:rsidRPr="00B8589F">
        <w:rPr>
          <w:rFonts w:asciiTheme="minorHAnsi" w:hAnsiTheme="minorHAnsi"/>
          <w:szCs w:val="24"/>
        </w:rPr>
        <w:t>un</w:t>
      </w:r>
      <w:r w:rsidR="00F52F40" w:rsidRPr="00B8589F">
        <w:rPr>
          <w:rFonts w:asciiTheme="minorHAnsi" w:hAnsiTheme="minorHAnsi"/>
          <w:szCs w:val="24"/>
        </w:rPr>
        <w:t xml:space="preserve">acceptability, and </w:t>
      </w:r>
      <w:r w:rsidR="00253D30" w:rsidRPr="00B8589F">
        <w:rPr>
          <w:rFonts w:asciiTheme="minorHAnsi" w:hAnsiTheme="minorHAnsi"/>
          <w:szCs w:val="24"/>
        </w:rPr>
        <w:t>such</w:t>
      </w:r>
      <w:r w:rsidR="00F52F40" w:rsidRPr="00B8589F">
        <w:rPr>
          <w:rFonts w:asciiTheme="minorHAnsi" w:hAnsiTheme="minorHAnsi"/>
          <w:szCs w:val="24"/>
        </w:rPr>
        <w:t xml:space="preserve"> patients may be more willing to seek treatment through a practice model delivered through general practice</w:t>
      </w:r>
      <w:r w:rsidR="00B71180" w:rsidRPr="00B8589F">
        <w:rPr>
          <w:rFonts w:asciiTheme="minorHAnsi" w:hAnsiTheme="minorHAnsi"/>
          <w:szCs w:val="24"/>
        </w:rPr>
        <w:t>, if that was the model of care under which prolonged release buprenorphine was to be made available</w:t>
      </w:r>
      <w:r w:rsidR="00F52F40" w:rsidRPr="00B8589F">
        <w:rPr>
          <w:rFonts w:asciiTheme="minorHAnsi" w:hAnsiTheme="minorHAnsi"/>
          <w:szCs w:val="24"/>
        </w:rPr>
        <w:t xml:space="preserve">. </w:t>
      </w:r>
      <w:r w:rsidR="00F52F40" w:rsidRPr="00B8589F">
        <w:t xml:space="preserve">  </w:t>
      </w:r>
    </w:p>
    <w:p w:rsidR="00534286" w:rsidRPr="00534286" w:rsidRDefault="00B8589F" w:rsidP="00534286">
      <w:pPr>
        <w:pStyle w:val="ListParagraph"/>
        <w:widowControl/>
        <w:rPr>
          <w:i/>
        </w:rPr>
      </w:pPr>
      <w:r w:rsidRPr="00F53D52">
        <w:rPr>
          <w:i/>
        </w:rPr>
        <w:t>For more detail on PBAC’s view, see section 7 PBAC outcome.</w:t>
      </w:r>
    </w:p>
    <w:p w:rsidR="00B50DB8" w:rsidRPr="00EA4420" w:rsidRDefault="00B50DB8" w:rsidP="00B737AB">
      <w:pPr>
        <w:pStyle w:val="Heading1"/>
        <w:rPr>
          <w:caps/>
        </w:rPr>
      </w:pPr>
      <w:bookmarkStart w:id="5" w:name="_Toc524525735"/>
      <w:r w:rsidRPr="00EA4420">
        <w:t>Comparator</w:t>
      </w:r>
      <w:bookmarkEnd w:id="5"/>
    </w:p>
    <w:p w:rsidR="002C2775" w:rsidRPr="00EA4420" w:rsidRDefault="00526307" w:rsidP="009C2BB4">
      <w:pPr>
        <w:pStyle w:val="ListParagraph"/>
        <w:widowControl/>
        <w:numPr>
          <w:ilvl w:val="1"/>
          <w:numId w:val="2"/>
        </w:numPr>
      </w:pPr>
      <w:r w:rsidRPr="00EA4420">
        <w:rPr>
          <w:rFonts w:cs="Calibri"/>
          <w:snapToGrid/>
          <w:szCs w:val="24"/>
          <w:lang w:val="en-US" w:eastAsia="en-AU"/>
        </w:rPr>
        <w:t xml:space="preserve">The submission nominated sublingual buprenorphine/naloxone as the main comparator (therapy most likely to be replaced in practice). This was appropriate. </w:t>
      </w:r>
    </w:p>
    <w:p w:rsidR="003D3FBF" w:rsidRPr="00EA4420" w:rsidRDefault="00526307" w:rsidP="00DB2F6E">
      <w:pPr>
        <w:pStyle w:val="ListParagraph"/>
        <w:widowControl/>
        <w:numPr>
          <w:ilvl w:val="1"/>
          <w:numId w:val="2"/>
        </w:numPr>
      </w:pPr>
      <w:r w:rsidRPr="00EA4420">
        <w:rPr>
          <w:rFonts w:cs="Calibri"/>
          <w:snapToGrid/>
          <w:szCs w:val="24"/>
          <w:lang w:val="en-US" w:eastAsia="en-AU"/>
        </w:rPr>
        <w:t xml:space="preserve">The submission also nominated RBP-6000, an alternative subcutaneous depot preparation of buprenorphine, as a near-market comparator (same drug with similar routes of administration). </w:t>
      </w:r>
      <w:r w:rsidR="003D7A9A" w:rsidRPr="00EA4420">
        <w:rPr>
          <w:rFonts w:cs="Calibri"/>
          <w:snapToGrid/>
          <w:szCs w:val="24"/>
          <w:lang w:val="en-US" w:eastAsia="en-AU"/>
        </w:rPr>
        <w:t xml:space="preserve">The sponsor stated that </w:t>
      </w:r>
      <w:r w:rsidRPr="00EA4420">
        <w:rPr>
          <w:rFonts w:cs="Calibri"/>
          <w:snapToGrid/>
          <w:szCs w:val="24"/>
          <w:lang w:val="en-US" w:eastAsia="en-AU"/>
        </w:rPr>
        <w:t xml:space="preserve">RBP-6000 </w:t>
      </w:r>
      <w:r w:rsidR="003D7A9A" w:rsidRPr="00EA4420">
        <w:rPr>
          <w:rFonts w:cs="Calibri"/>
          <w:snapToGrid/>
          <w:szCs w:val="24"/>
          <w:lang w:val="en-US" w:eastAsia="en-AU"/>
        </w:rPr>
        <w:t>has</w:t>
      </w:r>
      <w:r w:rsidRPr="00EA4420">
        <w:rPr>
          <w:rFonts w:cs="Calibri"/>
          <w:snapToGrid/>
          <w:szCs w:val="24"/>
          <w:lang w:val="en-US" w:eastAsia="en-AU"/>
        </w:rPr>
        <w:t xml:space="preserve"> been submitted to the TGA for registration. This was appropriate.</w:t>
      </w:r>
    </w:p>
    <w:p w:rsidR="00CB0E1B" w:rsidRPr="00CB0E1B" w:rsidRDefault="00526307" w:rsidP="00DB2F6E">
      <w:pPr>
        <w:pStyle w:val="ListParagraph"/>
        <w:widowControl/>
        <w:numPr>
          <w:ilvl w:val="1"/>
          <w:numId w:val="2"/>
        </w:numPr>
      </w:pPr>
      <w:r w:rsidRPr="00EA4420">
        <w:rPr>
          <w:rFonts w:cs="Calibri"/>
          <w:snapToGrid/>
          <w:szCs w:val="24"/>
          <w:lang w:val="en-US" w:eastAsia="en-AU"/>
        </w:rPr>
        <w:t>Methadone may be considered an alternative comparator as a therapy that may be replaced by prolonged release buprenorphine, however was not nominated in the submission.</w:t>
      </w:r>
      <w:r w:rsidR="00CB0E1B" w:rsidRPr="00CB0E1B">
        <w:rPr>
          <w:rFonts w:cs="Calibri"/>
          <w:i/>
          <w:snapToGrid/>
          <w:szCs w:val="24"/>
          <w:lang w:val="en-US" w:eastAsia="en-AU"/>
        </w:rPr>
        <w:t xml:space="preserve"> </w:t>
      </w:r>
    </w:p>
    <w:p w:rsidR="00B60939" w:rsidRPr="00B8589F" w:rsidRDefault="00CB0E1B" w:rsidP="00DB2F6E">
      <w:pPr>
        <w:pStyle w:val="ListParagraph"/>
        <w:widowControl/>
        <w:numPr>
          <w:ilvl w:val="1"/>
          <w:numId w:val="2"/>
        </w:numPr>
      </w:pPr>
      <w:r w:rsidRPr="00B8589F">
        <w:rPr>
          <w:rFonts w:cs="Calibri"/>
          <w:snapToGrid/>
          <w:szCs w:val="24"/>
          <w:lang w:val="en-US" w:eastAsia="en-AU"/>
        </w:rPr>
        <w:t xml:space="preserve">The ESC agreed sublingual buprenorphine/naloxone was a suitable main comparator, and that other opioid substitution therapies including methadone and buprenorphine could also be considered therapies likely to be replaced. </w:t>
      </w:r>
    </w:p>
    <w:p w:rsidR="00534286" w:rsidRPr="00534286" w:rsidRDefault="00B8589F" w:rsidP="00534286">
      <w:pPr>
        <w:pStyle w:val="ListParagraph"/>
        <w:widowControl/>
        <w:rPr>
          <w:i/>
        </w:rPr>
      </w:pPr>
      <w:r w:rsidRPr="00C97126">
        <w:rPr>
          <w:i/>
        </w:rPr>
        <w:t xml:space="preserve">For more detail on </w:t>
      </w:r>
      <w:r w:rsidR="00534286" w:rsidRPr="00C97126">
        <w:rPr>
          <w:i/>
        </w:rPr>
        <w:t>PBAC’s view, see section 7 PBAC outcome.</w:t>
      </w:r>
    </w:p>
    <w:p w:rsidR="00B50DB8" w:rsidRPr="00B737AB" w:rsidRDefault="00BD6CF3" w:rsidP="00B737AB">
      <w:pPr>
        <w:pStyle w:val="Heading1"/>
      </w:pPr>
      <w:bookmarkStart w:id="6" w:name="_Toc524525736"/>
      <w:r w:rsidRPr="00B737AB">
        <w:t>C</w:t>
      </w:r>
      <w:r w:rsidR="00B50DB8" w:rsidRPr="00B737AB">
        <w:t>onsideration of the evidence</w:t>
      </w:r>
      <w:bookmarkEnd w:id="6"/>
    </w:p>
    <w:p w:rsidR="00384D65" w:rsidRPr="00384D65" w:rsidRDefault="00D16F7F" w:rsidP="00B737AB">
      <w:pPr>
        <w:pStyle w:val="Heading2"/>
      </w:pPr>
      <w:r w:rsidRPr="00384D65">
        <w:t>Sponsor hearing</w:t>
      </w:r>
    </w:p>
    <w:p w:rsidR="00D16F7F" w:rsidRPr="00F73216" w:rsidRDefault="00D16F7F" w:rsidP="00D16F7F">
      <w:pPr>
        <w:keepNext/>
        <w:numPr>
          <w:ilvl w:val="1"/>
          <w:numId w:val="2"/>
        </w:numPr>
        <w:rPr>
          <w:bCs/>
        </w:rPr>
      </w:pPr>
      <w:r w:rsidRPr="00F73216">
        <w:rPr>
          <w:bCs/>
        </w:rPr>
        <w:t xml:space="preserve">The sponsor requested a hearing for this item.  The clinician </w:t>
      </w:r>
      <w:r w:rsidR="00F21C2C" w:rsidRPr="00F73216">
        <w:rPr>
          <w:bCs/>
        </w:rPr>
        <w:t xml:space="preserve">at the hearing </w:t>
      </w:r>
      <w:r w:rsidR="0088696B" w:rsidRPr="00F73216">
        <w:rPr>
          <w:bCs/>
        </w:rPr>
        <w:t xml:space="preserve">presented a brief overview the clinical data and discussed the importance of retention in </w:t>
      </w:r>
      <w:r w:rsidR="0088696B" w:rsidRPr="00F73216">
        <w:rPr>
          <w:bCs/>
        </w:rPr>
        <w:lastRenderedPageBreak/>
        <w:t xml:space="preserve">treatment for opiate dependence. The clinician further presented </w:t>
      </w:r>
      <w:r w:rsidR="00F73216" w:rsidRPr="00F73216">
        <w:rPr>
          <w:bCs/>
        </w:rPr>
        <w:t xml:space="preserve">examples of an </w:t>
      </w:r>
      <w:r w:rsidR="0088696B" w:rsidRPr="00F73216">
        <w:rPr>
          <w:bCs/>
        </w:rPr>
        <w:t>implementation model from a NSW Health perspective</w:t>
      </w:r>
      <w:r w:rsidR="00F73216" w:rsidRPr="00F73216">
        <w:rPr>
          <w:bCs/>
        </w:rPr>
        <w:t xml:space="preserve">. </w:t>
      </w:r>
      <w:r w:rsidRPr="00F73216">
        <w:rPr>
          <w:bCs/>
        </w:rPr>
        <w:t xml:space="preserve">The PBAC considered that the hearing was informative </w:t>
      </w:r>
      <w:r w:rsidR="00F73216" w:rsidRPr="00F73216">
        <w:rPr>
          <w:bCs/>
        </w:rPr>
        <w:t>however it did not substantially address how prolonged release</w:t>
      </w:r>
      <w:r w:rsidR="008D36D6">
        <w:rPr>
          <w:bCs/>
        </w:rPr>
        <w:t xml:space="preserve"> buprenorphine</w:t>
      </w:r>
      <w:r w:rsidR="00F73216" w:rsidRPr="00F73216">
        <w:rPr>
          <w:bCs/>
        </w:rPr>
        <w:t xml:space="preserve"> would be implemented under current arrangements. </w:t>
      </w:r>
    </w:p>
    <w:p w:rsidR="00384D65" w:rsidRPr="00525B39" w:rsidRDefault="00D16F7F" w:rsidP="00B737AB">
      <w:pPr>
        <w:pStyle w:val="Heading2"/>
      </w:pPr>
      <w:r w:rsidRPr="00525B39">
        <w:t>Consumer comments</w:t>
      </w:r>
    </w:p>
    <w:p w:rsidR="00F73216" w:rsidRPr="00F73216" w:rsidRDefault="00830736" w:rsidP="00D16F7F">
      <w:pPr>
        <w:numPr>
          <w:ilvl w:val="1"/>
          <w:numId w:val="2"/>
        </w:numPr>
        <w:spacing w:after="120"/>
        <w:rPr>
          <w:rFonts w:asciiTheme="minorHAnsi" w:hAnsiTheme="minorHAnsi"/>
          <w:bCs/>
        </w:rPr>
      </w:pPr>
      <w:r w:rsidRPr="00F73216">
        <w:rPr>
          <w:rFonts w:asciiTheme="minorHAnsi" w:hAnsiTheme="minorHAnsi"/>
          <w:bCs/>
        </w:rPr>
        <w:t>T</w:t>
      </w:r>
      <w:r w:rsidR="00D16F7F" w:rsidRPr="00F73216">
        <w:rPr>
          <w:rFonts w:asciiTheme="minorHAnsi" w:hAnsiTheme="minorHAnsi"/>
          <w:bCs/>
        </w:rPr>
        <w:t>he PBAC noted and welco</w:t>
      </w:r>
      <w:r w:rsidR="007A5026" w:rsidRPr="00F73216">
        <w:rPr>
          <w:rFonts w:asciiTheme="minorHAnsi" w:hAnsiTheme="minorHAnsi"/>
          <w:bCs/>
        </w:rPr>
        <w:t xml:space="preserve">med the input from three organisations </w:t>
      </w:r>
      <w:r w:rsidR="00D16F7F" w:rsidRPr="00F73216">
        <w:rPr>
          <w:rFonts w:asciiTheme="minorHAnsi" w:hAnsiTheme="minorHAnsi"/>
          <w:bCs/>
        </w:rPr>
        <w:t xml:space="preserve">via the Consumer Comments facility on the PBS website. The comments described a range of </w:t>
      </w:r>
      <w:r w:rsidR="007A5026" w:rsidRPr="00F73216">
        <w:rPr>
          <w:rFonts w:asciiTheme="minorHAnsi" w:hAnsiTheme="minorHAnsi"/>
          <w:bCs/>
        </w:rPr>
        <w:t xml:space="preserve">anticipated </w:t>
      </w:r>
      <w:r w:rsidR="00116A01" w:rsidRPr="00F73216">
        <w:rPr>
          <w:rFonts w:asciiTheme="minorHAnsi" w:hAnsiTheme="minorHAnsi"/>
          <w:bCs/>
        </w:rPr>
        <w:t xml:space="preserve">social </w:t>
      </w:r>
      <w:r w:rsidR="007A5026" w:rsidRPr="00F73216">
        <w:rPr>
          <w:rFonts w:asciiTheme="minorHAnsi" w:hAnsiTheme="minorHAnsi"/>
          <w:bCs/>
        </w:rPr>
        <w:t xml:space="preserve">benefits of treatment with </w:t>
      </w:r>
      <w:r w:rsidRPr="00F73216">
        <w:rPr>
          <w:rFonts w:asciiTheme="minorHAnsi" w:hAnsiTheme="minorHAnsi"/>
          <w:bCs/>
        </w:rPr>
        <w:t xml:space="preserve">prolonged release </w:t>
      </w:r>
      <w:r w:rsidR="007A5026" w:rsidRPr="00F73216">
        <w:rPr>
          <w:rFonts w:asciiTheme="minorHAnsi" w:hAnsiTheme="minorHAnsi"/>
          <w:bCs/>
        </w:rPr>
        <w:t>buprenorphine</w:t>
      </w:r>
      <w:r w:rsidR="00D16F7F" w:rsidRPr="00F73216">
        <w:rPr>
          <w:rFonts w:asciiTheme="minorHAnsi" w:hAnsiTheme="minorHAnsi"/>
          <w:bCs/>
        </w:rPr>
        <w:t xml:space="preserve"> including </w:t>
      </w:r>
      <w:r w:rsidRPr="00F73216">
        <w:rPr>
          <w:rFonts w:asciiTheme="minorHAnsi" w:hAnsiTheme="minorHAnsi"/>
          <w:bCs/>
        </w:rPr>
        <w:t>a</w:t>
      </w:r>
      <w:r w:rsidR="004F5D98" w:rsidRPr="00F73216">
        <w:rPr>
          <w:rFonts w:asciiTheme="minorHAnsi" w:hAnsiTheme="minorHAnsi"/>
          <w:bCs/>
        </w:rPr>
        <w:t xml:space="preserve"> </w:t>
      </w:r>
      <w:r w:rsidRPr="00F73216">
        <w:rPr>
          <w:rFonts w:asciiTheme="minorHAnsi" w:hAnsiTheme="minorHAnsi"/>
          <w:bCs/>
        </w:rPr>
        <w:t xml:space="preserve">reduction in dispensing fees </w:t>
      </w:r>
      <w:r w:rsidR="00116A01" w:rsidRPr="00F73216">
        <w:rPr>
          <w:rFonts w:asciiTheme="minorHAnsi" w:hAnsiTheme="minorHAnsi"/>
          <w:bCs/>
        </w:rPr>
        <w:t xml:space="preserve">and a lessening of </w:t>
      </w:r>
      <w:r w:rsidR="002003E7" w:rsidRPr="00F73216">
        <w:rPr>
          <w:rFonts w:asciiTheme="minorHAnsi" w:hAnsiTheme="minorHAnsi"/>
          <w:bCs/>
        </w:rPr>
        <w:t xml:space="preserve">the </w:t>
      </w:r>
      <w:r w:rsidR="00116A01" w:rsidRPr="00F73216">
        <w:rPr>
          <w:rFonts w:asciiTheme="minorHAnsi" w:hAnsiTheme="minorHAnsi"/>
          <w:bCs/>
        </w:rPr>
        <w:t>stigma</w:t>
      </w:r>
      <w:r w:rsidR="002003E7" w:rsidRPr="00F73216">
        <w:rPr>
          <w:rFonts w:asciiTheme="minorHAnsi" w:hAnsiTheme="minorHAnsi"/>
          <w:bCs/>
        </w:rPr>
        <w:t xml:space="preserve"> and limitations that are</w:t>
      </w:r>
      <w:r w:rsidR="00116A01" w:rsidRPr="00F73216">
        <w:rPr>
          <w:rFonts w:asciiTheme="minorHAnsi" w:hAnsiTheme="minorHAnsi"/>
          <w:bCs/>
        </w:rPr>
        <w:t xml:space="preserve"> associated with </w:t>
      </w:r>
      <w:r w:rsidR="002003E7" w:rsidRPr="00F73216">
        <w:rPr>
          <w:rFonts w:asciiTheme="minorHAnsi" w:hAnsiTheme="minorHAnsi"/>
          <w:bCs/>
        </w:rPr>
        <w:t>supervised dosing</w:t>
      </w:r>
      <w:r w:rsidR="00116A01" w:rsidRPr="00F73216">
        <w:rPr>
          <w:rFonts w:asciiTheme="minorHAnsi" w:hAnsiTheme="minorHAnsi"/>
          <w:bCs/>
        </w:rPr>
        <w:t xml:space="preserve">. The </w:t>
      </w:r>
      <w:r w:rsidR="002003E7" w:rsidRPr="00F73216">
        <w:rPr>
          <w:rFonts w:asciiTheme="minorHAnsi" w:hAnsiTheme="minorHAnsi"/>
          <w:bCs/>
        </w:rPr>
        <w:t xml:space="preserve">comments noted prolonged release buprenorphine would be another treatment option </w:t>
      </w:r>
      <w:r w:rsidR="00963751" w:rsidRPr="00F73216">
        <w:rPr>
          <w:rFonts w:asciiTheme="minorHAnsi" w:hAnsiTheme="minorHAnsi"/>
          <w:bCs/>
        </w:rPr>
        <w:t xml:space="preserve">and not a replacement </w:t>
      </w:r>
      <w:r w:rsidR="002003E7" w:rsidRPr="00F73216">
        <w:rPr>
          <w:rFonts w:asciiTheme="minorHAnsi" w:hAnsiTheme="minorHAnsi"/>
          <w:bCs/>
        </w:rPr>
        <w:t>for</w:t>
      </w:r>
      <w:r w:rsidR="00C8051A">
        <w:rPr>
          <w:rFonts w:asciiTheme="minorHAnsi" w:hAnsiTheme="minorHAnsi"/>
          <w:bCs/>
        </w:rPr>
        <w:t xml:space="preserve"> </w:t>
      </w:r>
      <w:r w:rsidR="00F53D52">
        <w:rPr>
          <w:rFonts w:asciiTheme="minorHAnsi" w:hAnsiTheme="minorHAnsi"/>
          <w:bCs/>
        </w:rPr>
        <w:t xml:space="preserve">all </w:t>
      </w:r>
      <w:r w:rsidR="00C8051A">
        <w:rPr>
          <w:rFonts w:asciiTheme="minorHAnsi" w:hAnsiTheme="minorHAnsi"/>
          <w:bCs/>
        </w:rPr>
        <w:t>existing</w:t>
      </w:r>
      <w:r w:rsidR="002003E7" w:rsidRPr="00F73216">
        <w:rPr>
          <w:rFonts w:asciiTheme="minorHAnsi" w:hAnsiTheme="minorHAnsi"/>
          <w:bCs/>
        </w:rPr>
        <w:t xml:space="preserve"> opiate dependence treatment</w:t>
      </w:r>
      <w:r w:rsidR="00C8051A">
        <w:rPr>
          <w:rFonts w:asciiTheme="minorHAnsi" w:hAnsiTheme="minorHAnsi"/>
          <w:bCs/>
        </w:rPr>
        <w:t>s</w:t>
      </w:r>
      <w:r w:rsidR="002003E7" w:rsidRPr="00F73216">
        <w:rPr>
          <w:rFonts w:asciiTheme="minorHAnsi" w:hAnsiTheme="minorHAnsi"/>
          <w:bCs/>
        </w:rPr>
        <w:t xml:space="preserve">. </w:t>
      </w:r>
    </w:p>
    <w:p w:rsidR="00D16F7F" w:rsidRPr="00B737AB" w:rsidRDefault="00D16F7F" w:rsidP="00B737AB">
      <w:pPr>
        <w:pStyle w:val="Heading2"/>
        <w:rPr>
          <w:highlight w:val="yellow"/>
        </w:rPr>
      </w:pPr>
      <w:bookmarkStart w:id="7" w:name="_Toc524525737"/>
      <w:r w:rsidRPr="00B737AB">
        <w:t>Clinical trials</w:t>
      </w:r>
      <w:bookmarkEnd w:id="7"/>
    </w:p>
    <w:p w:rsidR="00526307" w:rsidRPr="0061770D" w:rsidRDefault="00526307" w:rsidP="008A25E8">
      <w:pPr>
        <w:pStyle w:val="ListParagraph"/>
        <w:keepNext/>
        <w:widowControl/>
        <w:numPr>
          <w:ilvl w:val="1"/>
          <w:numId w:val="2"/>
        </w:numPr>
      </w:pPr>
      <w:r w:rsidRPr="0061770D">
        <w:rPr>
          <w:rFonts w:cs="Calibri"/>
          <w:snapToGrid/>
          <w:szCs w:val="24"/>
          <w:lang w:val="en-US" w:eastAsia="en-AU"/>
        </w:rPr>
        <w:t>The submission was based on a series of comparisons between prolonged release buprenorphine and nominated comparators:</w:t>
      </w:r>
    </w:p>
    <w:p w:rsidR="00526307" w:rsidRPr="00526307" w:rsidRDefault="00526307" w:rsidP="00DB2F6E">
      <w:pPr>
        <w:pStyle w:val="ListParagraph"/>
        <w:widowControl/>
        <w:numPr>
          <w:ilvl w:val="0"/>
          <w:numId w:val="13"/>
        </w:numPr>
        <w:spacing w:before="120"/>
        <w:rPr>
          <w:i/>
        </w:rPr>
      </w:pPr>
      <w:r w:rsidRPr="00526307">
        <w:t xml:space="preserve">One head-to-head comparison of </w:t>
      </w:r>
      <w:r w:rsidR="0061770D">
        <w:t xml:space="preserve">the percent of urine samples negative for illicit opioids with </w:t>
      </w:r>
      <w:r>
        <w:t>prolonged release buprenorphine versus sublingual buprenorphine/naloxone in patients with moderate to severe opioid use disorder (HS-11-421)</w:t>
      </w:r>
      <w:r w:rsidRPr="00526307">
        <w:t xml:space="preserve"> </w:t>
      </w:r>
      <w:r>
        <w:t>and</w:t>
      </w:r>
      <w:r w:rsidRPr="00526307">
        <w:t xml:space="preserve"> an additional </w:t>
      </w:r>
      <w:r>
        <w:t xml:space="preserve">single arm open label </w:t>
      </w:r>
      <w:r w:rsidRPr="00526307">
        <w:t>safety</w:t>
      </w:r>
      <w:r>
        <w:t xml:space="preserve"> study examining the long term effects of treatment with </w:t>
      </w:r>
      <w:r w:rsidR="0061770D">
        <w:t>prolonged</w:t>
      </w:r>
      <w:r>
        <w:t xml:space="preserve"> release buprenorphine in patients with opioid use disorder (HS-14-499)</w:t>
      </w:r>
      <w:r w:rsidRPr="00526307">
        <w:t xml:space="preserve">. </w:t>
      </w:r>
    </w:p>
    <w:p w:rsidR="00862502" w:rsidRPr="00862502" w:rsidRDefault="00526307" w:rsidP="00DB2F6E">
      <w:pPr>
        <w:widowControl/>
        <w:numPr>
          <w:ilvl w:val="0"/>
          <w:numId w:val="13"/>
        </w:numPr>
        <w:spacing w:before="120" w:after="160"/>
      </w:pPr>
      <w:r w:rsidRPr="00526307">
        <w:t xml:space="preserve">One </w:t>
      </w:r>
      <w:r w:rsidR="0061770D">
        <w:t>indirect</w:t>
      </w:r>
      <w:r w:rsidRPr="00526307">
        <w:t xml:space="preserve"> comparison of </w:t>
      </w:r>
      <w:r w:rsidR="0061770D">
        <w:t>the percent of urine samples negative for illicit opioids with prolonged release buprenorphine (HS-11-421) versus</w:t>
      </w:r>
      <w:r w:rsidRPr="00526307">
        <w:t xml:space="preserve"> </w:t>
      </w:r>
      <w:r w:rsidR="0061770D">
        <w:t>RBP-6000 (NCT02357901)</w:t>
      </w:r>
      <w:r w:rsidRPr="00526307">
        <w:t xml:space="preserve">. </w:t>
      </w:r>
    </w:p>
    <w:p w:rsidR="00862502" w:rsidRPr="00B50DB8" w:rsidRDefault="00A73134" w:rsidP="00DB2F6E">
      <w:pPr>
        <w:pStyle w:val="ListParagraph"/>
        <w:widowControl/>
        <w:numPr>
          <w:ilvl w:val="1"/>
          <w:numId w:val="2"/>
        </w:numPr>
      </w:pPr>
      <w:r>
        <w:rPr>
          <w:rFonts w:cs="Calibri"/>
          <w:snapToGrid/>
          <w:szCs w:val="24"/>
          <w:lang w:val="en-US" w:eastAsia="en-AU"/>
        </w:rPr>
        <w:t xml:space="preserve">Details of the </w:t>
      </w:r>
      <w:r w:rsidR="0061770D">
        <w:rPr>
          <w:rFonts w:cs="Calibri"/>
          <w:snapToGrid/>
          <w:szCs w:val="24"/>
          <w:lang w:val="en-US" w:eastAsia="en-AU"/>
        </w:rPr>
        <w:t>studie</w:t>
      </w:r>
      <w:r>
        <w:rPr>
          <w:rFonts w:cs="Calibri"/>
          <w:snapToGrid/>
          <w:szCs w:val="24"/>
          <w:lang w:val="en-US" w:eastAsia="en-AU"/>
        </w:rPr>
        <w:t xml:space="preserve">s presented in the submission are provided in the table below.  </w:t>
      </w:r>
    </w:p>
    <w:p w:rsidR="008E0D3C" w:rsidRPr="008E0D3C" w:rsidRDefault="008E0D3C" w:rsidP="00F94D80">
      <w:pPr>
        <w:keepNext/>
        <w:rPr>
          <w:rStyle w:val="CommentReference"/>
        </w:rPr>
      </w:pPr>
      <w:r w:rsidRPr="008E0D3C">
        <w:rPr>
          <w:rStyle w:val="CommentReference"/>
        </w:rPr>
        <w:lastRenderedPageBreak/>
        <w:t xml:space="preserve">Table </w:t>
      </w:r>
      <w:r w:rsidR="0061770D">
        <w:rPr>
          <w:rStyle w:val="CommentReference"/>
        </w:rPr>
        <w:t>2</w:t>
      </w:r>
      <w:r w:rsidRPr="008E0D3C">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61770D" w:rsidRPr="00B41614" w:rsidTr="006B5037">
        <w:trPr>
          <w:tblHeader/>
        </w:trPr>
        <w:tc>
          <w:tcPr>
            <w:tcW w:w="796" w:type="pct"/>
            <w:vAlign w:val="center"/>
          </w:tcPr>
          <w:p w:rsidR="0061770D" w:rsidRPr="00B41614" w:rsidRDefault="0061770D" w:rsidP="00F94D80">
            <w:pPr>
              <w:pStyle w:val="Tabletext"/>
              <w:keepNext/>
              <w:rPr>
                <w:b/>
              </w:rPr>
            </w:pPr>
            <w:r w:rsidRPr="00B41614">
              <w:rPr>
                <w:b/>
              </w:rPr>
              <w:t>Trial ID</w:t>
            </w:r>
          </w:p>
        </w:tc>
        <w:tc>
          <w:tcPr>
            <w:tcW w:w="3027" w:type="pct"/>
            <w:vAlign w:val="center"/>
          </w:tcPr>
          <w:p w:rsidR="0061770D" w:rsidRPr="00B41614" w:rsidRDefault="0061770D" w:rsidP="00F94D80">
            <w:pPr>
              <w:pStyle w:val="Tabletext"/>
              <w:keepNext/>
              <w:jc w:val="center"/>
              <w:rPr>
                <w:b/>
              </w:rPr>
            </w:pPr>
            <w:r w:rsidRPr="00B41614">
              <w:rPr>
                <w:b/>
              </w:rPr>
              <w:t>Protocol title/ Publication title</w:t>
            </w:r>
          </w:p>
        </w:tc>
        <w:tc>
          <w:tcPr>
            <w:tcW w:w="1177" w:type="pct"/>
            <w:vAlign w:val="center"/>
          </w:tcPr>
          <w:p w:rsidR="0061770D" w:rsidRPr="00B41614" w:rsidRDefault="0061770D" w:rsidP="00F94D80">
            <w:pPr>
              <w:pStyle w:val="Tabletext"/>
              <w:keepNext/>
              <w:jc w:val="center"/>
              <w:rPr>
                <w:b/>
              </w:rPr>
            </w:pPr>
            <w:r w:rsidRPr="00B41614">
              <w:rPr>
                <w:b/>
              </w:rPr>
              <w:t>Publication citation</w:t>
            </w:r>
          </w:p>
        </w:tc>
      </w:tr>
      <w:tr w:rsidR="0061770D" w:rsidRPr="00CB38A8" w:rsidTr="006B5037">
        <w:tc>
          <w:tcPr>
            <w:tcW w:w="5000" w:type="pct"/>
            <w:gridSpan w:val="3"/>
            <w:vAlign w:val="center"/>
          </w:tcPr>
          <w:p w:rsidR="0061770D" w:rsidRPr="0061770D" w:rsidRDefault="0061770D" w:rsidP="00F94D80">
            <w:pPr>
              <w:pStyle w:val="Tabletext"/>
              <w:keepNext/>
              <w:rPr>
                <w:b/>
              </w:rPr>
            </w:pPr>
            <w:r>
              <w:rPr>
                <w:b/>
              </w:rPr>
              <w:t>Prolonged release buprenorphine studies</w:t>
            </w:r>
          </w:p>
        </w:tc>
      </w:tr>
      <w:tr w:rsidR="0061770D" w:rsidRPr="00CB38A8" w:rsidTr="006B5037">
        <w:tc>
          <w:tcPr>
            <w:tcW w:w="796" w:type="pct"/>
            <w:vMerge w:val="restart"/>
            <w:vAlign w:val="center"/>
          </w:tcPr>
          <w:p w:rsidR="0061770D" w:rsidRPr="00CB38A8" w:rsidRDefault="0061770D" w:rsidP="00F94D80">
            <w:pPr>
              <w:pStyle w:val="Tabletext"/>
              <w:keepNext/>
              <w:rPr>
                <w:rFonts w:ascii="Times" w:hAnsi="Times"/>
              </w:rPr>
            </w:pPr>
            <w:r>
              <w:t>HS-11-421</w:t>
            </w:r>
          </w:p>
        </w:tc>
        <w:tc>
          <w:tcPr>
            <w:tcW w:w="3027" w:type="pct"/>
            <w:tcBorders>
              <w:bottom w:val="nil"/>
            </w:tcBorders>
            <w:vAlign w:val="center"/>
          </w:tcPr>
          <w:p w:rsidR="0061770D" w:rsidRPr="00AB6248" w:rsidRDefault="0061770D" w:rsidP="00F94D80">
            <w:pPr>
              <w:pStyle w:val="Tabletext"/>
              <w:keepNext/>
              <w:rPr>
                <w:szCs w:val="18"/>
              </w:rPr>
            </w:pPr>
            <w:r w:rsidRPr="00FD13BA">
              <w:rPr>
                <w:szCs w:val="18"/>
              </w:rPr>
              <w:t>A Phase III, Randomised, Double-Blind, Active-Controlled, Parallel Group, Multicenter Trial Assessing the Efficacy and Safety of a Once Weekly and Once Monthly, Long-Acting Subcutaneous Injectable Depot of Buprenorphine (CAM2038) in Treatment of Adult Outpatients with Opioid Use Disorder</w:t>
            </w:r>
          </w:p>
        </w:tc>
        <w:tc>
          <w:tcPr>
            <w:tcW w:w="1177" w:type="pct"/>
            <w:tcBorders>
              <w:bottom w:val="nil"/>
            </w:tcBorders>
            <w:vAlign w:val="center"/>
          </w:tcPr>
          <w:p w:rsidR="0061770D" w:rsidRPr="00CB38A8" w:rsidRDefault="0061770D" w:rsidP="00F94D80">
            <w:pPr>
              <w:pStyle w:val="Tabletext"/>
              <w:keepNext/>
              <w:rPr>
                <w:rFonts w:ascii="Times" w:hAnsi="Times"/>
              </w:rPr>
            </w:pPr>
            <w:r>
              <w:t>April 2018</w:t>
            </w:r>
          </w:p>
        </w:tc>
      </w:tr>
      <w:tr w:rsidR="0061770D" w:rsidRPr="00CB38A8" w:rsidTr="006B5037">
        <w:tc>
          <w:tcPr>
            <w:tcW w:w="796" w:type="pct"/>
            <w:vMerge/>
            <w:tcBorders>
              <w:bottom w:val="single" w:sz="4" w:space="0" w:color="auto"/>
            </w:tcBorders>
            <w:vAlign w:val="center"/>
          </w:tcPr>
          <w:p w:rsidR="0061770D" w:rsidRPr="00CB38A8" w:rsidRDefault="0061770D" w:rsidP="00F94D80">
            <w:pPr>
              <w:pStyle w:val="Tabletext"/>
              <w:keepNext/>
            </w:pPr>
          </w:p>
        </w:tc>
        <w:tc>
          <w:tcPr>
            <w:tcW w:w="3027" w:type="pct"/>
            <w:tcBorders>
              <w:top w:val="nil"/>
              <w:bottom w:val="single" w:sz="4" w:space="0" w:color="auto"/>
            </w:tcBorders>
          </w:tcPr>
          <w:p w:rsidR="0061770D" w:rsidRPr="00E34A35" w:rsidRDefault="0061770D" w:rsidP="00F94D80">
            <w:pPr>
              <w:pStyle w:val="Tabletext"/>
              <w:keepNext/>
              <w:rPr>
                <w:szCs w:val="18"/>
                <w:lang w:eastAsia="en-AU"/>
              </w:rPr>
            </w:pPr>
            <w:proofErr w:type="spellStart"/>
            <w:r w:rsidRPr="00FD37AE">
              <w:t>Lofwall</w:t>
            </w:r>
            <w:proofErr w:type="spellEnd"/>
            <w:r w:rsidRPr="00FD37AE">
              <w:t xml:space="preserve"> MR, Walsh SL, </w:t>
            </w:r>
            <w:proofErr w:type="spellStart"/>
            <w:r w:rsidRPr="00FD37AE">
              <w:t>Nunes</w:t>
            </w:r>
            <w:proofErr w:type="spellEnd"/>
            <w:r w:rsidRPr="00FD37AE">
              <w:t xml:space="preserve"> EV et al. Weekly and Monthly Subcutaneous Buprenorphine Depot Formulations vs Daily Sublingual Buprenorphine With Naloxone for Treatment of OUD: A Randomised Clinical Trial.</w:t>
            </w:r>
          </w:p>
        </w:tc>
        <w:tc>
          <w:tcPr>
            <w:tcW w:w="1177" w:type="pct"/>
            <w:tcBorders>
              <w:top w:val="nil"/>
              <w:bottom w:val="single" w:sz="4" w:space="0" w:color="auto"/>
            </w:tcBorders>
            <w:vAlign w:val="center"/>
          </w:tcPr>
          <w:p w:rsidR="0061770D" w:rsidRPr="00E34A35" w:rsidRDefault="0061770D" w:rsidP="00F94D80">
            <w:pPr>
              <w:pStyle w:val="Tabletext"/>
              <w:keepNext/>
              <w:rPr>
                <w:szCs w:val="18"/>
                <w:lang w:eastAsia="en-AU"/>
              </w:rPr>
            </w:pPr>
            <w:r w:rsidRPr="007E06D1">
              <w:rPr>
                <w:i/>
                <w:szCs w:val="18"/>
                <w:lang w:eastAsia="en-AU"/>
              </w:rPr>
              <w:t>JAMA Intern Med</w:t>
            </w:r>
            <w:r>
              <w:rPr>
                <w:szCs w:val="18"/>
                <w:lang w:eastAsia="en-AU"/>
              </w:rPr>
              <w:t xml:space="preserve"> </w:t>
            </w:r>
            <w:r w:rsidRPr="00E34A35">
              <w:rPr>
                <w:szCs w:val="18"/>
                <w:lang w:eastAsia="en-AU"/>
              </w:rPr>
              <w:t>201</w:t>
            </w:r>
            <w:r>
              <w:rPr>
                <w:szCs w:val="18"/>
                <w:lang w:eastAsia="en-AU"/>
              </w:rPr>
              <w:t>8</w:t>
            </w:r>
            <w:r w:rsidRPr="00E34A35">
              <w:rPr>
                <w:szCs w:val="18"/>
                <w:lang w:eastAsia="en-AU"/>
              </w:rPr>
              <w:t xml:space="preserve">; </w:t>
            </w:r>
            <w:r>
              <w:rPr>
                <w:szCs w:val="18"/>
                <w:lang w:eastAsia="en-AU"/>
              </w:rPr>
              <w:t>178(6)</w:t>
            </w:r>
            <w:r w:rsidRPr="00E34A35">
              <w:rPr>
                <w:szCs w:val="18"/>
                <w:lang w:eastAsia="en-AU"/>
              </w:rPr>
              <w:t>:</w:t>
            </w:r>
            <w:r>
              <w:rPr>
                <w:szCs w:val="18"/>
                <w:lang w:eastAsia="en-AU"/>
              </w:rPr>
              <w:t>764-773</w:t>
            </w:r>
          </w:p>
        </w:tc>
      </w:tr>
      <w:tr w:rsidR="0061770D" w:rsidRPr="00CB38A8" w:rsidTr="006B5037">
        <w:tc>
          <w:tcPr>
            <w:tcW w:w="796" w:type="pct"/>
            <w:vAlign w:val="center"/>
          </w:tcPr>
          <w:p w:rsidR="0061770D" w:rsidRPr="00CB38A8" w:rsidRDefault="0061770D" w:rsidP="00F94D80">
            <w:pPr>
              <w:pStyle w:val="Tabletext"/>
              <w:keepNext/>
              <w:rPr>
                <w:rFonts w:ascii="Times" w:hAnsi="Times"/>
              </w:rPr>
            </w:pPr>
            <w:r>
              <w:t>HS-14-499</w:t>
            </w:r>
          </w:p>
        </w:tc>
        <w:tc>
          <w:tcPr>
            <w:tcW w:w="3027" w:type="pct"/>
            <w:tcBorders>
              <w:bottom w:val="single" w:sz="4" w:space="0" w:color="auto"/>
            </w:tcBorders>
            <w:vAlign w:val="center"/>
          </w:tcPr>
          <w:p w:rsidR="0061770D" w:rsidRPr="00CB38A8" w:rsidRDefault="0061770D" w:rsidP="00F94D80">
            <w:pPr>
              <w:pStyle w:val="Tabletext"/>
              <w:keepNext/>
              <w:rPr>
                <w:rFonts w:ascii="Times" w:hAnsi="Times"/>
              </w:rPr>
            </w:pPr>
            <w:r w:rsidRPr="00EC62A4">
              <w:rPr>
                <w:szCs w:val="18"/>
              </w:rPr>
              <w:t>An Open-Label Multicenter Study Assessing the Long-Term Safety of a Once Weekly and Once Monthly, Long-Acting Subcutaneous Injection Depot of Buprenorphine (CAM2038) in Adult Outpatients with Opioid Use Disorder</w:t>
            </w:r>
            <w:r w:rsidRPr="00E34A35">
              <w:rPr>
                <w:szCs w:val="18"/>
              </w:rPr>
              <w:t>.</w:t>
            </w:r>
            <w:r w:rsidRPr="00CB38A8">
              <w:t xml:space="preserve"> </w:t>
            </w:r>
          </w:p>
        </w:tc>
        <w:tc>
          <w:tcPr>
            <w:tcW w:w="1177" w:type="pct"/>
            <w:tcBorders>
              <w:bottom w:val="single" w:sz="4" w:space="0" w:color="auto"/>
            </w:tcBorders>
            <w:vAlign w:val="center"/>
          </w:tcPr>
          <w:p w:rsidR="0061770D" w:rsidRPr="004A2558" w:rsidRDefault="0061770D" w:rsidP="00F94D80">
            <w:pPr>
              <w:pStyle w:val="Tabletext"/>
              <w:keepNext/>
            </w:pPr>
            <w:r>
              <w:t>June 2017</w:t>
            </w:r>
          </w:p>
        </w:tc>
      </w:tr>
      <w:tr w:rsidR="0061770D" w:rsidRPr="00CB38A8" w:rsidTr="006B5037">
        <w:tc>
          <w:tcPr>
            <w:tcW w:w="5000" w:type="pct"/>
            <w:gridSpan w:val="3"/>
            <w:vAlign w:val="center"/>
          </w:tcPr>
          <w:p w:rsidR="0061770D" w:rsidRPr="0061770D" w:rsidRDefault="0061770D" w:rsidP="00F94D80">
            <w:pPr>
              <w:pStyle w:val="Tabletext"/>
              <w:keepNext/>
              <w:rPr>
                <w:b/>
              </w:rPr>
            </w:pPr>
            <w:r>
              <w:rPr>
                <w:b/>
              </w:rPr>
              <w:t>Subcutaneous buprenorphine depot (RPB-6000) studies</w:t>
            </w:r>
          </w:p>
        </w:tc>
      </w:tr>
      <w:tr w:rsidR="0061770D" w:rsidRPr="00CB38A8" w:rsidTr="006B5037">
        <w:tc>
          <w:tcPr>
            <w:tcW w:w="796" w:type="pct"/>
            <w:vAlign w:val="center"/>
          </w:tcPr>
          <w:p w:rsidR="0061770D" w:rsidRPr="00A73BB8" w:rsidRDefault="0061770D" w:rsidP="00F94D80">
            <w:pPr>
              <w:pStyle w:val="TableText0"/>
              <w:widowControl w:val="0"/>
            </w:pPr>
            <w:r w:rsidRPr="00A73BB8">
              <w:t xml:space="preserve">RB-US-13-0001 </w:t>
            </w:r>
          </w:p>
          <w:p w:rsidR="0061770D" w:rsidRDefault="0061770D" w:rsidP="00F94D80">
            <w:pPr>
              <w:pStyle w:val="Tabletext"/>
              <w:keepNext/>
            </w:pPr>
          </w:p>
        </w:tc>
        <w:tc>
          <w:tcPr>
            <w:tcW w:w="3027" w:type="pct"/>
          </w:tcPr>
          <w:p w:rsidR="0061770D" w:rsidRDefault="0061770D" w:rsidP="00F94D80">
            <w:pPr>
              <w:pStyle w:val="Tabletext"/>
              <w:keepNext/>
              <w:rPr>
                <w:szCs w:val="18"/>
              </w:rPr>
            </w:pPr>
            <w:r>
              <w:rPr>
                <w:szCs w:val="18"/>
              </w:rPr>
              <w:t>Phase 3 randomised placebo-controlled trial designed to assess the efficacy, safety, and tolerability of RBP-6000 compared to placebo in treatment seeking adults with a diagnosis of opioid use disorder</w:t>
            </w:r>
          </w:p>
        </w:tc>
        <w:tc>
          <w:tcPr>
            <w:tcW w:w="1177" w:type="pct"/>
          </w:tcPr>
          <w:p w:rsidR="0061770D" w:rsidRPr="0061770D" w:rsidRDefault="0061770D" w:rsidP="00F94D80">
            <w:pPr>
              <w:pStyle w:val="Tabletext"/>
              <w:keepNext/>
            </w:pPr>
            <w:r>
              <w:t>Clinicaltrials.gov (NCT02357901)</w:t>
            </w:r>
          </w:p>
        </w:tc>
      </w:tr>
    </w:tbl>
    <w:p w:rsidR="0061770D" w:rsidRPr="00B1011F" w:rsidRDefault="0061770D" w:rsidP="0061770D">
      <w:pPr>
        <w:pStyle w:val="TableFooter"/>
        <w:rPr>
          <w:sz w:val="20"/>
        </w:rPr>
      </w:pPr>
      <w:r>
        <w:t>Source: Table 23, p.32 of the submission; Appendix A of the submission</w:t>
      </w:r>
    </w:p>
    <w:p w:rsidR="00862502" w:rsidRPr="008F120A" w:rsidRDefault="00862502" w:rsidP="008F120A">
      <w:pPr>
        <w:widowControl/>
      </w:pPr>
    </w:p>
    <w:p w:rsidR="007F1017" w:rsidRDefault="008F120A" w:rsidP="00DB2F6E">
      <w:pPr>
        <w:pStyle w:val="ListParagraph"/>
        <w:widowControl/>
        <w:numPr>
          <w:ilvl w:val="1"/>
          <w:numId w:val="2"/>
        </w:numPr>
      </w:pPr>
      <w:r w:rsidRPr="00B50DB8">
        <w:t xml:space="preserve">The key features of the </w:t>
      </w:r>
      <w:r w:rsidR="00955950">
        <w:t>included studies</w:t>
      </w:r>
      <w:r w:rsidRPr="00B50DB8">
        <w:t xml:space="preserve"> are </w:t>
      </w:r>
      <w:r w:rsidR="00955950">
        <w:t xml:space="preserve">summarised in the table below. </w:t>
      </w:r>
    </w:p>
    <w:p w:rsidR="007F1017" w:rsidRPr="00E2771E" w:rsidRDefault="007F1017" w:rsidP="008A25E8">
      <w:pPr>
        <w:keepNext/>
        <w:rPr>
          <w:rStyle w:val="CommentReference"/>
        </w:rPr>
      </w:pPr>
      <w:r w:rsidRPr="00E2771E">
        <w:rPr>
          <w:rStyle w:val="CommentReference"/>
        </w:rPr>
        <w:t xml:space="preserve">Table </w:t>
      </w:r>
      <w:r w:rsidR="00955950">
        <w:rPr>
          <w:rStyle w:val="CommentReference"/>
        </w:rPr>
        <w:t>3</w:t>
      </w:r>
      <w:r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2"/>
        <w:gridCol w:w="840"/>
        <w:gridCol w:w="1410"/>
        <w:gridCol w:w="1120"/>
        <w:gridCol w:w="1546"/>
        <w:gridCol w:w="1122"/>
        <w:gridCol w:w="1697"/>
      </w:tblGrid>
      <w:tr w:rsidR="00B41614" w:rsidRPr="00B41614" w:rsidTr="00955950">
        <w:tc>
          <w:tcPr>
            <w:tcW w:w="711" w:type="pct"/>
            <w:shd w:val="clear" w:color="auto" w:fill="auto"/>
            <w:vAlign w:val="center"/>
          </w:tcPr>
          <w:p w:rsidR="007F1017" w:rsidRPr="00B41614" w:rsidRDefault="007F1017" w:rsidP="008A25E8">
            <w:pPr>
              <w:pStyle w:val="Tabletext"/>
              <w:keepNext/>
              <w:rPr>
                <w:b/>
                <w:lang w:val="en-US"/>
              </w:rPr>
            </w:pPr>
            <w:r w:rsidRPr="00B41614">
              <w:rPr>
                <w:b/>
                <w:lang w:val="en-US"/>
              </w:rPr>
              <w:t>Trial</w:t>
            </w:r>
          </w:p>
        </w:tc>
        <w:tc>
          <w:tcPr>
            <w:tcW w:w="466" w:type="pct"/>
            <w:shd w:val="clear" w:color="auto" w:fill="auto"/>
            <w:vAlign w:val="center"/>
          </w:tcPr>
          <w:p w:rsidR="007F1017" w:rsidRPr="00B41614" w:rsidRDefault="007F1017" w:rsidP="008A25E8">
            <w:pPr>
              <w:pStyle w:val="Tabletext"/>
              <w:keepNext/>
              <w:jc w:val="center"/>
              <w:rPr>
                <w:b/>
                <w:lang w:val="en-US"/>
              </w:rPr>
            </w:pPr>
            <w:r w:rsidRPr="00B41614">
              <w:rPr>
                <w:b/>
                <w:lang w:val="en-US"/>
              </w:rPr>
              <w:t>N</w:t>
            </w:r>
          </w:p>
        </w:tc>
        <w:tc>
          <w:tcPr>
            <w:tcW w:w="782" w:type="pct"/>
            <w:shd w:val="clear" w:color="auto" w:fill="auto"/>
            <w:vAlign w:val="center"/>
          </w:tcPr>
          <w:p w:rsidR="007F1017" w:rsidRPr="00B41614" w:rsidRDefault="007F1017" w:rsidP="008A25E8">
            <w:pPr>
              <w:pStyle w:val="Tabletext"/>
              <w:keepNext/>
              <w:jc w:val="center"/>
              <w:rPr>
                <w:b/>
                <w:lang w:val="en-US"/>
              </w:rPr>
            </w:pPr>
            <w:r w:rsidRPr="00B41614">
              <w:rPr>
                <w:b/>
                <w:lang w:val="en-US"/>
              </w:rPr>
              <w:t>Design/ duration</w:t>
            </w:r>
          </w:p>
        </w:tc>
        <w:tc>
          <w:tcPr>
            <w:tcW w:w="621" w:type="pct"/>
            <w:shd w:val="clear" w:color="auto" w:fill="auto"/>
            <w:vAlign w:val="center"/>
          </w:tcPr>
          <w:p w:rsidR="007F1017" w:rsidRPr="00B41614" w:rsidRDefault="007F1017" w:rsidP="008A25E8">
            <w:pPr>
              <w:pStyle w:val="Tabletext"/>
              <w:keepNext/>
              <w:jc w:val="center"/>
              <w:rPr>
                <w:b/>
                <w:lang w:val="en-US"/>
              </w:rPr>
            </w:pPr>
            <w:r w:rsidRPr="00B41614">
              <w:rPr>
                <w:b/>
                <w:lang w:val="en-US"/>
              </w:rPr>
              <w:t>Risk of bias</w:t>
            </w:r>
          </w:p>
        </w:tc>
        <w:tc>
          <w:tcPr>
            <w:tcW w:w="857" w:type="pct"/>
            <w:shd w:val="clear" w:color="auto" w:fill="auto"/>
            <w:vAlign w:val="center"/>
          </w:tcPr>
          <w:p w:rsidR="007F1017" w:rsidRPr="00B41614" w:rsidRDefault="007F1017" w:rsidP="008A25E8">
            <w:pPr>
              <w:pStyle w:val="Tabletext"/>
              <w:keepNext/>
              <w:jc w:val="center"/>
              <w:rPr>
                <w:b/>
                <w:lang w:val="en-US"/>
              </w:rPr>
            </w:pPr>
            <w:r w:rsidRPr="00B41614">
              <w:rPr>
                <w:b/>
                <w:lang w:val="en-US"/>
              </w:rPr>
              <w:t>Patient population</w:t>
            </w:r>
          </w:p>
        </w:tc>
        <w:tc>
          <w:tcPr>
            <w:tcW w:w="622" w:type="pct"/>
            <w:shd w:val="clear" w:color="auto" w:fill="auto"/>
            <w:vAlign w:val="center"/>
          </w:tcPr>
          <w:p w:rsidR="007F1017" w:rsidRPr="00B41614" w:rsidRDefault="007F1017" w:rsidP="008A25E8">
            <w:pPr>
              <w:pStyle w:val="Tabletext"/>
              <w:keepNext/>
              <w:jc w:val="center"/>
              <w:rPr>
                <w:b/>
                <w:lang w:val="en-US"/>
              </w:rPr>
            </w:pPr>
            <w:r w:rsidRPr="00B41614">
              <w:rPr>
                <w:b/>
                <w:lang w:val="en-US"/>
              </w:rPr>
              <w:t>Outcome(s)</w:t>
            </w:r>
          </w:p>
        </w:tc>
        <w:tc>
          <w:tcPr>
            <w:tcW w:w="941" w:type="pct"/>
            <w:shd w:val="clear" w:color="auto" w:fill="auto"/>
            <w:vAlign w:val="center"/>
          </w:tcPr>
          <w:p w:rsidR="007F1017" w:rsidRPr="00B41614" w:rsidRDefault="007F1017" w:rsidP="008A25E8">
            <w:pPr>
              <w:pStyle w:val="Tabletext"/>
              <w:keepNext/>
              <w:jc w:val="center"/>
              <w:rPr>
                <w:b/>
                <w:lang w:val="en-US"/>
              </w:rPr>
            </w:pPr>
            <w:r w:rsidRPr="00B41614">
              <w:rPr>
                <w:b/>
                <w:lang w:val="en-US"/>
              </w:rPr>
              <w:t>Use in modelled evaluation</w:t>
            </w:r>
          </w:p>
        </w:tc>
      </w:tr>
      <w:tr w:rsidR="007F1017" w:rsidRPr="00E2771E" w:rsidTr="00B41614">
        <w:tc>
          <w:tcPr>
            <w:tcW w:w="5000" w:type="pct"/>
            <w:gridSpan w:val="7"/>
            <w:shd w:val="clear" w:color="auto" w:fill="auto"/>
            <w:vAlign w:val="center"/>
          </w:tcPr>
          <w:p w:rsidR="007F1017" w:rsidRPr="00B41614" w:rsidRDefault="00955950" w:rsidP="008A25E8">
            <w:pPr>
              <w:pStyle w:val="Tabletext"/>
              <w:keepNext/>
              <w:rPr>
                <w:b/>
                <w:lang w:val="en-US"/>
              </w:rPr>
            </w:pPr>
            <w:r>
              <w:rPr>
                <w:b/>
                <w:lang w:val="en-US"/>
              </w:rPr>
              <w:t xml:space="preserve">Prolonged release buprenorphine </w:t>
            </w:r>
          </w:p>
        </w:tc>
      </w:tr>
      <w:tr w:rsidR="00B41614" w:rsidRPr="00E2771E" w:rsidTr="00955950">
        <w:tc>
          <w:tcPr>
            <w:tcW w:w="711" w:type="pct"/>
            <w:shd w:val="clear" w:color="auto" w:fill="auto"/>
            <w:vAlign w:val="center"/>
          </w:tcPr>
          <w:p w:rsidR="007F1017" w:rsidRPr="00E2771E" w:rsidRDefault="00955950" w:rsidP="008A25E8">
            <w:pPr>
              <w:pStyle w:val="Tabletext"/>
              <w:keepNext/>
              <w:rPr>
                <w:lang w:val="en-US"/>
              </w:rPr>
            </w:pPr>
            <w:r>
              <w:rPr>
                <w:lang w:val="en-US"/>
              </w:rPr>
              <w:t>HS-11-421</w:t>
            </w:r>
          </w:p>
        </w:tc>
        <w:tc>
          <w:tcPr>
            <w:tcW w:w="466" w:type="pct"/>
            <w:shd w:val="clear" w:color="auto" w:fill="auto"/>
            <w:vAlign w:val="center"/>
          </w:tcPr>
          <w:p w:rsidR="007F1017" w:rsidRPr="00E2771E" w:rsidRDefault="00955950" w:rsidP="008A25E8">
            <w:pPr>
              <w:pStyle w:val="Tabletext"/>
              <w:keepNext/>
              <w:jc w:val="center"/>
              <w:rPr>
                <w:lang w:val="en-US"/>
              </w:rPr>
            </w:pPr>
            <w:r>
              <w:rPr>
                <w:lang w:val="en-US"/>
              </w:rPr>
              <w:t>428</w:t>
            </w:r>
          </w:p>
        </w:tc>
        <w:tc>
          <w:tcPr>
            <w:tcW w:w="782" w:type="pct"/>
            <w:shd w:val="clear" w:color="auto" w:fill="auto"/>
            <w:vAlign w:val="center"/>
          </w:tcPr>
          <w:p w:rsidR="007F1017" w:rsidRPr="00E2771E" w:rsidRDefault="007F1017" w:rsidP="008A25E8">
            <w:pPr>
              <w:pStyle w:val="Tabletext"/>
              <w:keepNext/>
              <w:jc w:val="center"/>
              <w:rPr>
                <w:lang w:val="en-US"/>
              </w:rPr>
            </w:pPr>
            <w:r w:rsidRPr="00E2771E">
              <w:rPr>
                <w:lang w:val="en-US"/>
              </w:rPr>
              <w:t>R, DB</w:t>
            </w:r>
            <w:r w:rsidR="00955950">
              <w:rPr>
                <w:lang w:val="en-US"/>
              </w:rPr>
              <w:t>, MC, AC</w:t>
            </w:r>
          </w:p>
          <w:p w:rsidR="007F1017" w:rsidRPr="00E2771E" w:rsidRDefault="00955950" w:rsidP="008A25E8">
            <w:pPr>
              <w:pStyle w:val="Tabletext"/>
              <w:keepNext/>
              <w:jc w:val="center"/>
              <w:rPr>
                <w:lang w:val="en-US"/>
              </w:rPr>
            </w:pPr>
            <w:r>
              <w:rPr>
                <w:lang w:val="en-US"/>
              </w:rPr>
              <w:t>24 weeks</w:t>
            </w:r>
          </w:p>
        </w:tc>
        <w:tc>
          <w:tcPr>
            <w:tcW w:w="621" w:type="pct"/>
            <w:shd w:val="clear" w:color="auto" w:fill="auto"/>
            <w:vAlign w:val="center"/>
          </w:tcPr>
          <w:p w:rsidR="007F1017" w:rsidRPr="00E2771E" w:rsidRDefault="007F1017" w:rsidP="008A25E8">
            <w:pPr>
              <w:pStyle w:val="Tabletext"/>
              <w:keepNext/>
              <w:jc w:val="center"/>
              <w:rPr>
                <w:lang w:val="en-US"/>
              </w:rPr>
            </w:pPr>
            <w:r w:rsidRPr="00E2771E">
              <w:rPr>
                <w:lang w:val="en-US"/>
              </w:rPr>
              <w:t>Low</w:t>
            </w:r>
          </w:p>
        </w:tc>
        <w:tc>
          <w:tcPr>
            <w:tcW w:w="857" w:type="pct"/>
            <w:shd w:val="clear" w:color="auto" w:fill="auto"/>
            <w:vAlign w:val="center"/>
          </w:tcPr>
          <w:p w:rsidR="007F1017" w:rsidRPr="00E2771E" w:rsidRDefault="00955950" w:rsidP="008A25E8">
            <w:pPr>
              <w:pStyle w:val="Tabletext"/>
              <w:keepNext/>
              <w:jc w:val="center"/>
              <w:rPr>
                <w:lang w:val="en-US"/>
              </w:rPr>
            </w:pPr>
            <w:r>
              <w:rPr>
                <w:lang w:val="en-US"/>
              </w:rPr>
              <w:t>Opioid use disorder</w:t>
            </w:r>
          </w:p>
        </w:tc>
        <w:tc>
          <w:tcPr>
            <w:tcW w:w="622" w:type="pct"/>
            <w:shd w:val="clear" w:color="auto" w:fill="auto"/>
            <w:vAlign w:val="center"/>
          </w:tcPr>
          <w:p w:rsidR="007F1017" w:rsidRPr="00E2771E" w:rsidRDefault="00955950" w:rsidP="008A25E8">
            <w:pPr>
              <w:pStyle w:val="Tabletext"/>
              <w:keepNext/>
              <w:jc w:val="center"/>
              <w:rPr>
                <w:lang w:val="en-US"/>
              </w:rPr>
            </w:pPr>
            <w:r>
              <w:rPr>
                <w:lang w:val="en-US"/>
              </w:rPr>
              <w:t>Percent urines negative for illicit opioids</w:t>
            </w:r>
          </w:p>
        </w:tc>
        <w:tc>
          <w:tcPr>
            <w:tcW w:w="941" w:type="pct"/>
            <w:shd w:val="clear" w:color="auto" w:fill="auto"/>
            <w:vAlign w:val="center"/>
          </w:tcPr>
          <w:p w:rsidR="007F1017" w:rsidRPr="00E2771E" w:rsidRDefault="00955950" w:rsidP="008A25E8">
            <w:pPr>
              <w:pStyle w:val="Tabletext"/>
              <w:keepNext/>
              <w:jc w:val="center"/>
              <w:rPr>
                <w:lang w:val="en-US"/>
              </w:rPr>
            </w:pPr>
            <w:r>
              <w:rPr>
                <w:lang w:val="en-US"/>
              </w:rPr>
              <w:t>Used to inform proportions of patients ‘clean’ versus ‘using’ in health states</w:t>
            </w:r>
          </w:p>
        </w:tc>
      </w:tr>
      <w:tr w:rsidR="00B41614" w:rsidRPr="00E2771E" w:rsidTr="00955950">
        <w:tc>
          <w:tcPr>
            <w:tcW w:w="711" w:type="pct"/>
            <w:shd w:val="clear" w:color="auto" w:fill="auto"/>
            <w:vAlign w:val="center"/>
          </w:tcPr>
          <w:p w:rsidR="007F1017" w:rsidRPr="00E2771E" w:rsidRDefault="00955950" w:rsidP="008A25E8">
            <w:pPr>
              <w:pStyle w:val="Tabletext"/>
              <w:keepNext/>
              <w:rPr>
                <w:lang w:val="en-US"/>
              </w:rPr>
            </w:pPr>
            <w:r>
              <w:rPr>
                <w:lang w:val="en-US"/>
              </w:rPr>
              <w:t>HS-14-499</w:t>
            </w:r>
          </w:p>
        </w:tc>
        <w:tc>
          <w:tcPr>
            <w:tcW w:w="466" w:type="pct"/>
            <w:shd w:val="clear" w:color="auto" w:fill="auto"/>
            <w:vAlign w:val="center"/>
          </w:tcPr>
          <w:p w:rsidR="007F1017" w:rsidRPr="00E2771E" w:rsidRDefault="00955950" w:rsidP="008A25E8">
            <w:pPr>
              <w:pStyle w:val="Tabletext"/>
              <w:keepNext/>
              <w:jc w:val="center"/>
              <w:rPr>
                <w:lang w:val="en-US"/>
              </w:rPr>
            </w:pPr>
            <w:r>
              <w:rPr>
                <w:lang w:val="en-US"/>
              </w:rPr>
              <w:t>227</w:t>
            </w:r>
          </w:p>
        </w:tc>
        <w:tc>
          <w:tcPr>
            <w:tcW w:w="782" w:type="pct"/>
            <w:shd w:val="clear" w:color="auto" w:fill="auto"/>
            <w:vAlign w:val="center"/>
          </w:tcPr>
          <w:p w:rsidR="007F1017" w:rsidRPr="00E2771E" w:rsidRDefault="007F1017" w:rsidP="008A25E8">
            <w:pPr>
              <w:pStyle w:val="Tabletext"/>
              <w:keepNext/>
              <w:jc w:val="center"/>
              <w:rPr>
                <w:lang w:val="en-US"/>
              </w:rPr>
            </w:pPr>
            <w:r w:rsidRPr="00E2771E">
              <w:rPr>
                <w:lang w:val="en-US"/>
              </w:rPr>
              <w:t>OL</w:t>
            </w:r>
          </w:p>
          <w:p w:rsidR="007F1017" w:rsidRPr="00E2771E" w:rsidRDefault="00955950" w:rsidP="008A25E8">
            <w:pPr>
              <w:pStyle w:val="Tabletext"/>
              <w:keepNext/>
              <w:jc w:val="center"/>
              <w:rPr>
                <w:lang w:val="en-US"/>
              </w:rPr>
            </w:pPr>
            <w:r>
              <w:rPr>
                <w:lang w:val="en-US"/>
              </w:rPr>
              <w:t>48 weeks</w:t>
            </w:r>
          </w:p>
        </w:tc>
        <w:tc>
          <w:tcPr>
            <w:tcW w:w="621" w:type="pct"/>
            <w:shd w:val="clear" w:color="auto" w:fill="auto"/>
            <w:vAlign w:val="center"/>
          </w:tcPr>
          <w:p w:rsidR="007F1017" w:rsidRPr="00E2771E" w:rsidRDefault="007F1017" w:rsidP="008A25E8">
            <w:pPr>
              <w:pStyle w:val="Tabletext"/>
              <w:keepNext/>
              <w:jc w:val="center"/>
              <w:rPr>
                <w:lang w:val="en-US"/>
              </w:rPr>
            </w:pPr>
            <w:r w:rsidRPr="00E2771E">
              <w:rPr>
                <w:lang w:val="en-US"/>
              </w:rPr>
              <w:t>High</w:t>
            </w:r>
          </w:p>
        </w:tc>
        <w:tc>
          <w:tcPr>
            <w:tcW w:w="857" w:type="pct"/>
            <w:shd w:val="clear" w:color="auto" w:fill="auto"/>
            <w:vAlign w:val="center"/>
          </w:tcPr>
          <w:p w:rsidR="007F1017" w:rsidRPr="00E2771E" w:rsidRDefault="00955950" w:rsidP="008A25E8">
            <w:pPr>
              <w:pStyle w:val="Tabletext"/>
              <w:keepNext/>
              <w:jc w:val="center"/>
              <w:rPr>
                <w:lang w:val="en-US"/>
              </w:rPr>
            </w:pPr>
            <w:r>
              <w:rPr>
                <w:lang w:val="en-US"/>
              </w:rPr>
              <w:t>Opioid use disorder</w:t>
            </w:r>
          </w:p>
        </w:tc>
        <w:tc>
          <w:tcPr>
            <w:tcW w:w="622" w:type="pct"/>
            <w:shd w:val="clear" w:color="auto" w:fill="auto"/>
            <w:vAlign w:val="center"/>
          </w:tcPr>
          <w:p w:rsidR="007F1017" w:rsidRPr="00E2771E" w:rsidRDefault="00955950" w:rsidP="008A25E8">
            <w:pPr>
              <w:pStyle w:val="Tabletext"/>
              <w:keepNext/>
              <w:jc w:val="center"/>
              <w:rPr>
                <w:lang w:val="en-US"/>
              </w:rPr>
            </w:pPr>
            <w:r>
              <w:rPr>
                <w:lang w:val="en-US"/>
              </w:rPr>
              <w:t>Quality of life (EQ-5D)</w:t>
            </w:r>
          </w:p>
        </w:tc>
        <w:tc>
          <w:tcPr>
            <w:tcW w:w="941" w:type="pct"/>
            <w:shd w:val="clear" w:color="auto" w:fill="auto"/>
            <w:vAlign w:val="center"/>
          </w:tcPr>
          <w:p w:rsidR="007F1017" w:rsidRPr="00E2771E" w:rsidRDefault="00955950" w:rsidP="008A25E8">
            <w:pPr>
              <w:pStyle w:val="Tabletext"/>
              <w:keepNext/>
              <w:jc w:val="center"/>
              <w:rPr>
                <w:lang w:val="en-US"/>
              </w:rPr>
            </w:pPr>
            <w:r>
              <w:rPr>
                <w:lang w:val="en-US"/>
              </w:rPr>
              <w:t xml:space="preserve">Used to derive health state utilities for sensitivity analysis </w:t>
            </w:r>
          </w:p>
        </w:tc>
      </w:tr>
      <w:tr w:rsidR="00955950" w:rsidRPr="00E2771E" w:rsidTr="00955950">
        <w:tc>
          <w:tcPr>
            <w:tcW w:w="5000" w:type="pct"/>
            <w:gridSpan w:val="7"/>
            <w:shd w:val="clear" w:color="auto" w:fill="auto"/>
            <w:vAlign w:val="center"/>
          </w:tcPr>
          <w:p w:rsidR="00955950" w:rsidRPr="00955950" w:rsidRDefault="00955950" w:rsidP="008A25E8">
            <w:pPr>
              <w:pStyle w:val="Tabletext"/>
              <w:keepNext/>
              <w:rPr>
                <w:b/>
                <w:lang w:val="en-US"/>
              </w:rPr>
            </w:pPr>
            <w:r>
              <w:rPr>
                <w:b/>
                <w:lang w:val="en-US"/>
              </w:rPr>
              <w:t>RBP-6000 (subcutaneous buprenorphine depot)</w:t>
            </w:r>
          </w:p>
        </w:tc>
      </w:tr>
      <w:tr w:rsidR="00955950" w:rsidRPr="00E2771E" w:rsidTr="00955950">
        <w:tc>
          <w:tcPr>
            <w:tcW w:w="711" w:type="pct"/>
            <w:shd w:val="clear" w:color="auto" w:fill="auto"/>
            <w:vAlign w:val="center"/>
          </w:tcPr>
          <w:p w:rsidR="00955950" w:rsidRPr="00E2771E" w:rsidRDefault="00955950" w:rsidP="008A25E8">
            <w:pPr>
              <w:pStyle w:val="Tabletext"/>
              <w:keepNext/>
              <w:rPr>
                <w:lang w:val="en-US"/>
              </w:rPr>
            </w:pPr>
            <w:r>
              <w:rPr>
                <w:lang w:val="en-US"/>
              </w:rPr>
              <w:t>NCT02357901</w:t>
            </w:r>
          </w:p>
        </w:tc>
        <w:tc>
          <w:tcPr>
            <w:tcW w:w="466" w:type="pct"/>
            <w:shd w:val="clear" w:color="auto" w:fill="auto"/>
            <w:vAlign w:val="center"/>
          </w:tcPr>
          <w:p w:rsidR="00955950" w:rsidRPr="00E2771E" w:rsidRDefault="00955950" w:rsidP="008A25E8">
            <w:pPr>
              <w:pStyle w:val="Tabletext"/>
              <w:keepNext/>
              <w:jc w:val="center"/>
              <w:rPr>
                <w:lang w:val="en-US"/>
              </w:rPr>
            </w:pPr>
            <w:r>
              <w:rPr>
                <w:lang w:val="en-US"/>
              </w:rPr>
              <w:t>504</w:t>
            </w:r>
          </w:p>
        </w:tc>
        <w:tc>
          <w:tcPr>
            <w:tcW w:w="782" w:type="pct"/>
            <w:shd w:val="clear" w:color="auto" w:fill="auto"/>
            <w:vAlign w:val="center"/>
          </w:tcPr>
          <w:p w:rsidR="00955950" w:rsidRPr="00E2771E" w:rsidRDefault="00955950" w:rsidP="008A25E8">
            <w:pPr>
              <w:pStyle w:val="Tabletext"/>
              <w:keepNext/>
              <w:jc w:val="center"/>
              <w:rPr>
                <w:lang w:val="en-US"/>
              </w:rPr>
            </w:pPr>
            <w:r>
              <w:rPr>
                <w:lang w:val="en-US"/>
              </w:rPr>
              <w:t>R, DB, MC, PC</w:t>
            </w:r>
          </w:p>
        </w:tc>
        <w:tc>
          <w:tcPr>
            <w:tcW w:w="621" w:type="pct"/>
            <w:shd w:val="clear" w:color="auto" w:fill="auto"/>
            <w:vAlign w:val="center"/>
          </w:tcPr>
          <w:p w:rsidR="00955950" w:rsidRPr="00E2771E" w:rsidRDefault="00955950" w:rsidP="008A25E8">
            <w:pPr>
              <w:pStyle w:val="Tabletext"/>
              <w:keepNext/>
              <w:jc w:val="center"/>
              <w:rPr>
                <w:lang w:val="en-US"/>
              </w:rPr>
            </w:pPr>
            <w:r>
              <w:rPr>
                <w:lang w:val="en-US"/>
              </w:rPr>
              <w:t>Unclear</w:t>
            </w:r>
          </w:p>
        </w:tc>
        <w:tc>
          <w:tcPr>
            <w:tcW w:w="857" w:type="pct"/>
            <w:shd w:val="clear" w:color="auto" w:fill="auto"/>
            <w:vAlign w:val="center"/>
          </w:tcPr>
          <w:p w:rsidR="00955950" w:rsidRPr="00E2771E" w:rsidRDefault="00955950" w:rsidP="008A25E8">
            <w:pPr>
              <w:pStyle w:val="Tabletext"/>
              <w:keepNext/>
              <w:jc w:val="center"/>
              <w:rPr>
                <w:lang w:val="en-US"/>
              </w:rPr>
            </w:pPr>
            <w:r>
              <w:rPr>
                <w:lang w:val="en-US"/>
              </w:rPr>
              <w:t>Opioid use disorder</w:t>
            </w:r>
          </w:p>
        </w:tc>
        <w:tc>
          <w:tcPr>
            <w:tcW w:w="622" w:type="pct"/>
            <w:shd w:val="clear" w:color="auto" w:fill="auto"/>
            <w:vAlign w:val="center"/>
          </w:tcPr>
          <w:p w:rsidR="00955950" w:rsidRPr="00E2771E" w:rsidRDefault="00955950" w:rsidP="008A25E8">
            <w:pPr>
              <w:pStyle w:val="Tabletext"/>
              <w:keepNext/>
              <w:jc w:val="center"/>
              <w:rPr>
                <w:lang w:val="en-US"/>
              </w:rPr>
            </w:pPr>
            <w:r>
              <w:rPr>
                <w:lang w:val="en-US"/>
              </w:rPr>
              <w:t>Percent urines negative for illicit opioids</w:t>
            </w:r>
          </w:p>
        </w:tc>
        <w:tc>
          <w:tcPr>
            <w:tcW w:w="941" w:type="pct"/>
            <w:shd w:val="clear" w:color="auto" w:fill="auto"/>
            <w:vAlign w:val="center"/>
          </w:tcPr>
          <w:p w:rsidR="00955950" w:rsidRPr="00E2771E" w:rsidRDefault="00955950" w:rsidP="008A25E8">
            <w:pPr>
              <w:pStyle w:val="Tabletext"/>
              <w:keepNext/>
              <w:jc w:val="center"/>
              <w:rPr>
                <w:lang w:val="en-US"/>
              </w:rPr>
            </w:pPr>
            <w:r>
              <w:rPr>
                <w:lang w:val="en-US"/>
              </w:rPr>
              <w:t>Not used</w:t>
            </w:r>
          </w:p>
        </w:tc>
      </w:tr>
    </w:tbl>
    <w:p w:rsidR="00955950" w:rsidRDefault="00955950" w:rsidP="00045017">
      <w:pPr>
        <w:pStyle w:val="TableFooter"/>
      </w:pPr>
      <w:r>
        <w:t xml:space="preserve">Source: Table 23, p.32; </w:t>
      </w:r>
      <w:r w:rsidR="007F63EC">
        <w:t xml:space="preserve">Table 24, p.37 of the submission; </w:t>
      </w:r>
      <w:r>
        <w:t>Table 3, p.8 Appendix A of the submission.</w:t>
      </w:r>
    </w:p>
    <w:p w:rsidR="00B737AB" w:rsidRDefault="007F63EC" w:rsidP="00B737AB">
      <w:pPr>
        <w:pStyle w:val="TableFooter"/>
      </w:pPr>
      <w:r>
        <w:t xml:space="preserve">Abbreviations: R, randomised; DB, double blind; MC, multi-centre; AC, active controlled, OL, open label; PC, placebo controlled </w:t>
      </w:r>
      <w:bookmarkStart w:id="8" w:name="_Toc524525738"/>
    </w:p>
    <w:p w:rsidR="00B60939" w:rsidRPr="00C9624D" w:rsidRDefault="00B60939" w:rsidP="00B737AB">
      <w:pPr>
        <w:pStyle w:val="Heading2"/>
      </w:pPr>
      <w:r w:rsidRPr="00C9624D">
        <w:t>Comparative effectiveness</w:t>
      </w:r>
      <w:bookmarkEnd w:id="8"/>
    </w:p>
    <w:p w:rsidR="00DA3167" w:rsidRPr="007F63EC" w:rsidRDefault="007F63EC" w:rsidP="00F94D80">
      <w:pPr>
        <w:pStyle w:val="ListParagraph"/>
        <w:widowControl/>
        <w:numPr>
          <w:ilvl w:val="1"/>
          <w:numId w:val="2"/>
        </w:numPr>
      </w:pPr>
      <w:r w:rsidRPr="007F63EC">
        <w:rPr>
          <w:rFonts w:cs="Calibri"/>
          <w:snapToGrid/>
          <w:szCs w:val="24"/>
          <w:lang w:val="en-US" w:eastAsia="en-AU"/>
        </w:rPr>
        <w:t xml:space="preserve">The percentage of urine samples negative for illicit opioids, using primary imputation for missing urine test results (assuming missing values were positive) from trial HS-11-421 is </w:t>
      </w:r>
      <w:proofErr w:type="spellStart"/>
      <w:r w:rsidRPr="007F63EC">
        <w:rPr>
          <w:rFonts w:cs="Calibri"/>
          <w:snapToGrid/>
          <w:szCs w:val="24"/>
          <w:lang w:val="en-US" w:eastAsia="en-AU"/>
        </w:rPr>
        <w:t>summarised</w:t>
      </w:r>
      <w:proofErr w:type="spellEnd"/>
      <w:r w:rsidRPr="007F63EC">
        <w:rPr>
          <w:rFonts w:cs="Calibri"/>
          <w:snapToGrid/>
          <w:szCs w:val="24"/>
          <w:lang w:val="en-US" w:eastAsia="en-AU"/>
        </w:rPr>
        <w:t xml:space="preserve"> in the table below.</w:t>
      </w:r>
    </w:p>
    <w:p w:rsidR="007F63EC" w:rsidRPr="007F63EC" w:rsidRDefault="007F63EC" w:rsidP="00F94D80">
      <w:pPr>
        <w:keepNext/>
        <w:rPr>
          <w:rStyle w:val="CommentReference"/>
        </w:rPr>
      </w:pPr>
      <w:r w:rsidRPr="007F63EC">
        <w:rPr>
          <w:rStyle w:val="CommentReference"/>
        </w:rPr>
        <w:t>Table 4: Percentage urine samples negative for illicit opioids, without self-reported opioid use (ITT with imputed data; primary efficacy variable for the EU)</w:t>
      </w:r>
    </w:p>
    <w:tbl>
      <w:tblPr>
        <w:tblStyle w:val="TableGrid"/>
        <w:tblW w:w="0" w:type="auto"/>
        <w:tblLook w:val="04A0" w:firstRow="1" w:lastRow="0" w:firstColumn="1" w:lastColumn="0" w:noHBand="0" w:noVBand="1"/>
        <w:tblCaption w:val="Percentage urine samples negative for illicit opioids, without self-reported opioid use (ITT with imputed data; primary efficacy variable for the EU)"/>
      </w:tblPr>
      <w:tblGrid>
        <w:gridCol w:w="2263"/>
        <w:gridCol w:w="2265"/>
        <w:gridCol w:w="2244"/>
        <w:gridCol w:w="2245"/>
      </w:tblGrid>
      <w:tr w:rsidR="007F63EC" w:rsidRPr="007F63EC" w:rsidTr="000F6C8D">
        <w:trPr>
          <w:cantSplit/>
          <w:tblHeader/>
        </w:trPr>
        <w:tc>
          <w:tcPr>
            <w:tcW w:w="2310" w:type="dxa"/>
            <w:vAlign w:val="center"/>
          </w:tcPr>
          <w:p w:rsidR="007F63EC" w:rsidRPr="007F63EC" w:rsidRDefault="007F63EC" w:rsidP="00F94D80">
            <w:pPr>
              <w:pStyle w:val="Tabletext"/>
              <w:keepNext/>
              <w:jc w:val="center"/>
              <w:rPr>
                <w:b/>
              </w:rPr>
            </w:pPr>
            <w:r w:rsidRPr="007F63EC">
              <w:rPr>
                <w:b/>
              </w:rPr>
              <w:t>Prolonged release buprenorphine</w:t>
            </w:r>
          </w:p>
          <w:p w:rsidR="007F63EC" w:rsidRPr="007F63EC" w:rsidRDefault="007F63EC" w:rsidP="00F94D80">
            <w:pPr>
              <w:pStyle w:val="Tabletext"/>
              <w:keepNext/>
              <w:jc w:val="center"/>
              <w:rPr>
                <w:b/>
              </w:rPr>
            </w:pPr>
            <w:r w:rsidRPr="007F63EC">
              <w:rPr>
                <w:b/>
              </w:rPr>
              <w:t>Mean (SE)</w:t>
            </w:r>
          </w:p>
        </w:tc>
        <w:tc>
          <w:tcPr>
            <w:tcW w:w="2311" w:type="dxa"/>
            <w:vAlign w:val="center"/>
          </w:tcPr>
          <w:p w:rsidR="007F63EC" w:rsidRPr="007F63EC" w:rsidRDefault="007F63EC" w:rsidP="00F94D80">
            <w:pPr>
              <w:pStyle w:val="Tabletext"/>
              <w:keepNext/>
              <w:jc w:val="center"/>
              <w:rPr>
                <w:b/>
              </w:rPr>
            </w:pPr>
            <w:r w:rsidRPr="007F63EC">
              <w:rPr>
                <w:b/>
              </w:rPr>
              <w:t>Sublingual buprenorphine/ naloxone</w:t>
            </w:r>
          </w:p>
          <w:p w:rsidR="007F63EC" w:rsidRPr="007F63EC" w:rsidRDefault="007F63EC" w:rsidP="00F94D80">
            <w:pPr>
              <w:pStyle w:val="Tabletext"/>
              <w:keepNext/>
              <w:jc w:val="center"/>
              <w:rPr>
                <w:b/>
              </w:rPr>
            </w:pPr>
            <w:r w:rsidRPr="007F63EC">
              <w:rPr>
                <w:b/>
              </w:rPr>
              <w:t>Mean (SE)</w:t>
            </w:r>
          </w:p>
        </w:tc>
        <w:tc>
          <w:tcPr>
            <w:tcW w:w="2311" w:type="dxa"/>
            <w:vAlign w:val="center"/>
          </w:tcPr>
          <w:p w:rsidR="007F63EC" w:rsidRPr="007F63EC" w:rsidRDefault="007F63EC" w:rsidP="00F94D80">
            <w:pPr>
              <w:pStyle w:val="Tabletext"/>
              <w:keepNext/>
              <w:jc w:val="center"/>
              <w:rPr>
                <w:b/>
              </w:rPr>
            </w:pPr>
            <w:r w:rsidRPr="007F63EC">
              <w:rPr>
                <w:b/>
              </w:rPr>
              <w:t>LS mean difference (95% CI)</w:t>
            </w:r>
          </w:p>
        </w:tc>
        <w:tc>
          <w:tcPr>
            <w:tcW w:w="2311" w:type="dxa"/>
            <w:vAlign w:val="center"/>
          </w:tcPr>
          <w:p w:rsidR="007F63EC" w:rsidRPr="007F63EC" w:rsidRDefault="007F63EC" w:rsidP="00F94D80">
            <w:pPr>
              <w:pStyle w:val="Tabletext"/>
              <w:keepNext/>
              <w:jc w:val="center"/>
              <w:rPr>
                <w:b/>
              </w:rPr>
            </w:pPr>
            <w:r w:rsidRPr="007F63EC">
              <w:rPr>
                <w:b/>
              </w:rPr>
              <w:t>p-value (non</w:t>
            </w:r>
            <w:r w:rsidR="00F32FD6">
              <w:rPr>
                <w:b/>
              </w:rPr>
              <w:t>-</w:t>
            </w:r>
            <w:r w:rsidRPr="007F63EC">
              <w:rPr>
                <w:b/>
              </w:rPr>
              <w:t>inferiority)</w:t>
            </w:r>
          </w:p>
        </w:tc>
      </w:tr>
      <w:tr w:rsidR="007F63EC" w:rsidRPr="007F63EC" w:rsidTr="006B5037">
        <w:tc>
          <w:tcPr>
            <w:tcW w:w="2310" w:type="dxa"/>
            <w:vAlign w:val="center"/>
          </w:tcPr>
          <w:p w:rsidR="007F63EC" w:rsidRPr="007F63EC" w:rsidRDefault="007F63EC" w:rsidP="00F94D80">
            <w:pPr>
              <w:pStyle w:val="Tabletext"/>
              <w:keepNext/>
              <w:jc w:val="center"/>
            </w:pPr>
            <w:r w:rsidRPr="007F63EC">
              <w:t xml:space="preserve">35.1 </w:t>
            </w:r>
            <w:r w:rsidRPr="00CB0E1B">
              <w:t>(2.47)</w:t>
            </w:r>
          </w:p>
        </w:tc>
        <w:tc>
          <w:tcPr>
            <w:tcW w:w="2311" w:type="dxa"/>
            <w:vAlign w:val="center"/>
          </w:tcPr>
          <w:p w:rsidR="007F63EC" w:rsidRPr="007F63EC" w:rsidRDefault="007F63EC" w:rsidP="00F94D80">
            <w:pPr>
              <w:pStyle w:val="Tabletext"/>
              <w:keepNext/>
              <w:jc w:val="center"/>
            </w:pPr>
            <w:r w:rsidRPr="007F63EC">
              <w:t xml:space="preserve">28.4 </w:t>
            </w:r>
            <w:r w:rsidRPr="00CB0E1B">
              <w:t>(2.50)</w:t>
            </w:r>
          </w:p>
        </w:tc>
        <w:tc>
          <w:tcPr>
            <w:tcW w:w="2311" w:type="dxa"/>
            <w:vAlign w:val="center"/>
          </w:tcPr>
          <w:p w:rsidR="007F63EC" w:rsidRPr="007F63EC" w:rsidRDefault="007F63EC" w:rsidP="00F94D80">
            <w:pPr>
              <w:pStyle w:val="Tabletext"/>
              <w:keepNext/>
              <w:jc w:val="center"/>
            </w:pPr>
            <w:r w:rsidRPr="007F63EC">
              <w:t>6.7 (-0.1, 13.6)</w:t>
            </w:r>
          </w:p>
        </w:tc>
        <w:tc>
          <w:tcPr>
            <w:tcW w:w="2311" w:type="dxa"/>
            <w:vAlign w:val="center"/>
          </w:tcPr>
          <w:p w:rsidR="007F63EC" w:rsidRPr="007F63EC" w:rsidRDefault="007F63EC" w:rsidP="00F94D80">
            <w:pPr>
              <w:pStyle w:val="Tabletext"/>
              <w:keepNext/>
              <w:jc w:val="center"/>
            </w:pPr>
            <w:r w:rsidRPr="007F63EC">
              <w:t>&lt;0.001</w:t>
            </w:r>
          </w:p>
        </w:tc>
      </w:tr>
    </w:tbl>
    <w:p w:rsidR="007F63EC" w:rsidRPr="007F63EC" w:rsidRDefault="007F63EC" w:rsidP="00F94D80">
      <w:pPr>
        <w:pStyle w:val="TableFooter"/>
      </w:pPr>
      <w:r w:rsidRPr="007F63EC">
        <w:t>Source: Table 39, p.79 of the submission; Table 1</w:t>
      </w:r>
      <w:r w:rsidR="00305BC2">
        <w:t>3</w:t>
      </w:r>
      <w:r w:rsidRPr="007F63EC">
        <w:t>, p.7</w:t>
      </w:r>
      <w:r w:rsidR="00305BC2">
        <w:t>9</w:t>
      </w:r>
      <w:r w:rsidRPr="007F63EC">
        <w:t xml:space="preserve"> HS-11-421 CSR. </w:t>
      </w:r>
    </w:p>
    <w:p w:rsidR="007F63EC" w:rsidRDefault="007F63EC" w:rsidP="00AF2189">
      <w:pPr>
        <w:pStyle w:val="TableFooter"/>
      </w:pPr>
      <w:r w:rsidRPr="007F63EC">
        <w:lastRenderedPageBreak/>
        <w:t>Note: Standard errors were calculated during the evaluation.</w:t>
      </w:r>
    </w:p>
    <w:p w:rsidR="00AF2189" w:rsidRPr="007F63EC" w:rsidRDefault="00AF2189" w:rsidP="00AF2189">
      <w:pPr>
        <w:pStyle w:val="TableFooter"/>
      </w:pPr>
    </w:p>
    <w:p w:rsidR="00247925" w:rsidRPr="00B8589F" w:rsidRDefault="007F63EC" w:rsidP="009C2BB4">
      <w:pPr>
        <w:pStyle w:val="ListParagraph"/>
        <w:widowControl/>
        <w:numPr>
          <w:ilvl w:val="1"/>
          <w:numId w:val="2"/>
        </w:numPr>
        <w:rPr>
          <w:color w:val="3366FF"/>
        </w:rPr>
      </w:pPr>
      <w:r w:rsidRPr="007F63EC">
        <w:t>Prolonged release buprenorphine demonstrated a numerically higher mean for the percentage of urine samples negative for illicit opioids compared with sublingual buprenorphine/naloxone. The lower bound of the 95% confidence interval was above the predefined non-inferiority margin of 11%. Based on this, prolonged release buprenorphine was determined to be non-inferior to sublingual buprenorphine/naloxone.</w:t>
      </w:r>
      <w:r w:rsidR="005164BD">
        <w:t xml:space="preserve"> </w:t>
      </w:r>
      <w:r w:rsidR="005164BD" w:rsidRPr="00B8589F">
        <w:t xml:space="preserve">The ESC recalled that mean percent urine samples negative for opiates was the outcome measure used in the </w:t>
      </w:r>
      <w:r w:rsidR="00185CE5" w:rsidRPr="00B8589F">
        <w:t>November 2005 PBAC considerat</w:t>
      </w:r>
      <w:r w:rsidR="0023238A" w:rsidRPr="00B8589F">
        <w:t>ion of sublingual buprenorphine/</w:t>
      </w:r>
      <w:r w:rsidR="00185CE5" w:rsidRPr="00B8589F">
        <w:t xml:space="preserve">naloxone. </w:t>
      </w:r>
    </w:p>
    <w:p w:rsidR="002B5AC2" w:rsidRPr="002B5AC2" w:rsidRDefault="002B5AC2" w:rsidP="00DB2F6E">
      <w:pPr>
        <w:pStyle w:val="ListParagraph"/>
        <w:widowControl/>
        <w:numPr>
          <w:ilvl w:val="1"/>
          <w:numId w:val="2"/>
        </w:numPr>
      </w:pPr>
      <w:r w:rsidRPr="002B5AC2">
        <w:t>The primary efficacy variable for the FDA was the responder rate. To be considered a responder for study Phase 1, the subject had to have no evidence of illicit opioids use at sample week 13 and no evidence of illicit opioids use for at least two out of the three sample weeks from week 10 to week 12. To be a responder for study Phase 2, the subject had to have no evidence of illicit opioids use at month 6 and no evidence of illicit opioids use in five out of the six illicit opioids use assessments in study Phase 2. To be a responder for the study, the subject must have been a responder for both study phases. For the FDA endpoint, evidence of illicit opioid use was defined as a positive urine toxicology result or a self-reported illicit opioid use.</w:t>
      </w:r>
    </w:p>
    <w:p w:rsidR="002B5AC2" w:rsidRPr="002B5AC2" w:rsidRDefault="002B5AC2" w:rsidP="00DB2F6E">
      <w:pPr>
        <w:pStyle w:val="ListParagraph"/>
        <w:widowControl/>
        <w:numPr>
          <w:ilvl w:val="1"/>
          <w:numId w:val="2"/>
        </w:numPr>
      </w:pPr>
      <w:r w:rsidRPr="002B5AC2">
        <w:t>Response rates for trial HS-11-421 are summarised in the table below.</w:t>
      </w:r>
    </w:p>
    <w:p w:rsidR="002B5AC2" w:rsidRPr="00F64F1F" w:rsidRDefault="002B5AC2" w:rsidP="002B5AC2">
      <w:pPr>
        <w:rPr>
          <w:rStyle w:val="CommentReference"/>
        </w:rPr>
      </w:pPr>
      <w:r w:rsidRPr="00F64F1F">
        <w:rPr>
          <w:rStyle w:val="CommentReference"/>
        </w:rPr>
        <w:t>Table 5: Respon</w:t>
      </w:r>
      <w:r>
        <w:rPr>
          <w:rStyle w:val="CommentReference"/>
        </w:rPr>
        <w:t>der</w:t>
      </w:r>
      <w:r w:rsidRPr="00F64F1F">
        <w:rPr>
          <w:rStyle w:val="CommentReference"/>
        </w:rPr>
        <w:t xml:space="preserve"> rate</w:t>
      </w:r>
      <w:r>
        <w:rPr>
          <w:rStyle w:val="CommentReference"/>
        </w:rPr>
        <w:t>, study Phase 1 and Phase 2</w:t>
      </w:r>
      <w:r w:rsidRPr="00F64F1F">
        <w:rPr>
          <w:rStyle w:val="CommentReference"/>
        </w:rPr>
        <w:t xml:space="preserve"> (ITT; primary efficacy endpoint for the FDA)</w:t>
      </w:r>
    </w:p>
    <w:tbl>
      <w:tblPr>
        <w:tblStyle w:val="TableGrid"/>
        <w:tblW w:w="0" w:type="auto"/>
        <w:tblLook w:val="04A0" w:firstRow="1" w:lastRow="0" w:firstColumn="1" w:lastColumn="0" w:noHBand="0" w:noVBand="1"/>
        <w:tblCaption w:val="Responder rate, study Phase 1 and Phase 2 (ITT; primary efficacy endpoint for the FDA)"/>
      </w:tblPr>
      <w:tblGrid>
        <w:gridCol w:w="2261"/>
        <w:gridCol w:w="2265"/>
        <w:gridCol w:w="2246"/>
        <w:gridCol w:w="2245"/>
      </w:tblGrid>
      <w:tr w:rsidR="002B5AC2" w:rsidTr="000F6C8D">
        <w:trPr>
          <w:cantSplit/>
          <w:tblHeader/>
        </w:trPr>
        <w:tc>
          <w:tcPr>
            <w:tcW w:w="2310" w:type="dxa"/>
            <w:vAlign w:val="center"/>
          </w:tcPr>
          <w:p w:rsidR="002B5AC2" w:rsidRPr="00F64F1F" w:rsidRDefault="002B5AC2" w:rsidP="00942098">
            <w:pPr>
              <w:pStyle w:val="Tabletext"/>
              <w:jc w:val="center"/>
              <w:rPr>
                <w:b/>
              </w:rPr>
            </w:pPr>
            <w:r w:rsidRPr="00F64F1F">
              <w:rPr>
                <w:b/>
              </w:rPr>
              <w:t>Prolonged release buprenorphine</w:t>
            </w:r>
          </w:p>
          <w:p w:rsidR="002B5AC2" w:rsidRPr="00F64F1F" w:rsidRDefault="002B5AC2" w:rsidP="00942098">
            <w:pPr>
              <w:pStyle w:val="Tabletext"/>
              <w:jc w:val="center"/>
              <w:rPr>
                <w:b/>
              </w:rPr>
            </w:pPr>
            <w:proofErr w:type="gramStart"/>
            <w:r w:rsidRPr="00F64F1F">
              <w:rPr>
                <w:b/>
              </w:rPr>
              <w:t>n/N</w:t>
            </w:r>
            <w:proofErr w:type="gramEnd"/>
            <w:r w:rsidRPr="00F64F1F">
              <w:rPr>
                <w:b/>
              </w:rPr>
              <w:t xml:space="preserve"> (%)</w:t>
            </w:r>
          </w:p>
        </w:tc>
        <w:tc>
          <w:tcPr>
            <w:tcW w:w="2311" w:type="dxa"/>
            <w:vAlign w:val="center"/>
          </w:tcPr>
          <w:p w:rsidR="002B5AC2" w:rsidRPr="00F64F1F" w:rsidRDefault="002B5AC2" w:rsidP="00942098">
            <w:pPr>
              <w:pStyle w:val="Tabletext"/>
              <w:jc w:val="center"/>
              <w:rPr>
                <w:b/>
              </w:rPr>
            </w:pPr>
            <w:r w:rsidRPr="00F64F1F">
              <w:rPr>
                <w:b/>
              </w:rPr>
              <w:t>Sublingual buprenorphine/ naloxone</w:t>
            </w:r>
          </w:p>
          <w:p w:rsidR="002B5AC2" w:rsidRPr="00F64F1F" w:rsidRDefault="002B5AC2" w:rsidP="00942098">
            <w:pPr>
              <w:pStyle w:val="Tabletext"/>
              <w:jc w:val="center"/>
              <w:rPr>
                <w:b/>
              </w:rPr>
            </w:pPr>
            <w:proofErr w:type="gramStart"/>
            <w:r w:rsidRPr="00F64F1F">
              <w:rPr>
                <w:b/>
              </w:rPr>
              <w:t>n/N</w:t>
            </w:r>
            <w:proofErr w:type="gramEnd"/>
            <w:r w:rsidRPr="00F64F1F">
              <w:rPr>
                <w:b/>
              </w:rPr>
              <w:t xml:space="preserve"> (%)</w:t>
            </w:r>
          </w:p>
        </w:tc>
        <w:tc>
          <w:tcPr>
            <w:tcW w:w="2311" w:type="dxa"/>
            <w:vAlign w:val="center"/>
          </w:tcPr>
          <w:p w:rsidR="002B5AC2" w:rsidRPr="00F64F1F" w:rsidRDefault="002B5AC2" w:rsidP="00942098">
            <w:pPr>
              <w:pStyle w:val="Tabletext"/>
              <w:jc w:val="center"/>
              <w:rPr>
                <w:b/>
              </w:rPr>
            </w:pPr>
            <w:r>
              <w:rPr>
                <w:b/>
              </w:rPr>
              <w:t>Proportion difference</w:t>
            </w:r>
            <w:r w:rsidRPr="00F64F1F">
              <w:rPr>
                <w:b/>
              </w:rPr>
              <w:t xml:space="preserve"> (95% CI)</w:t>
            </w:r>
          </w:p>
        </w:tc>
        <w:tc>
          <w:tcPr>
            <w:tcW w:w="2311" w:type="dxa"/>
            <w:vAlign w:val="center"/>
          </w:tcPr>
          <w:p w:rsidR="002B5AC2" w:rsidRPr="00F64F1F" w:rsidRDefault="002B5AC2" w:rsidP="00942098">
            <w:pPr>
              <w:pStyle w:val="Tabletext"/>
              <w:jc w:val="center"/>
              <w:rPr>
                <w:b/>
              </w:rPr>
            </w:pPr>
            <w:r>
              <w:rPr>
                <w:b/>
              </w:rPr>
              <w:t>p-value (non</w:t>
            </w:r>
            <w:r w:rsidR="00F32FD6">
              <w:rPr>
                <w:b/>
              </w:rPr>
              <w:t>-</w:t>
            </w:r>
            <w:r>
              <w:rPr>
                <w:b/>
              </w:rPr>
              <w:t>inferiority)</w:t>
            </w:r>
          </w:p>
        </w:tc>
      </w:tr>
      <w:tr w:rsidR="002B5AC2" w:rsidTr="00942098">
        <w:tc>
          <w:tcPr>
            <w:tcW w:w="2310" w:type="dxa"/>
            <w:vAlign w:val="center"/>
          </w:tcPr>
          <w:p w:rsidR="002B5AC2" w:rsidRDefault="002B5AC2" w:rsidP="00942098">
            <w:pPr>
              <w:pStyle w:val="Tabletext"/>
              <w:jc w:val="center"/>
            </w:pPr>
            <w:r>
              <w:t>37/213 (17.4)</w:t>
            </w:r>
          </w:p>
        </w:tc>
        <w:tc>
          <w:tcPr>
            <w:tcW w:w="2311" w:type="dxa"/>
            <w:vAlign w:val="center"/>
          </w:tcPr>
          <w:p w:rsidR="002B5AC2" w:rsidRDefault="002B5AC2" w:rsidP="00942098">
            <w:pPr>
              <w:pStyle w:val="Tabletext"/>
              <w:jc w:val="center"/>
            </w:pPr>
            <w:r>
              <w:t>31/215 (14.4)</w:t>
            </w:r>
          </w:p>
        </w:tc>
        <w:tc>
          <w:tcPr>
            <w:tcW w:w="2311" w:type="dxa"/>
            <w:vAlign w:val="center"/>
          </w:tcPr>
          <w:p w:rsidR="002B5AC2" w:rsidRDefault="002B5AC2" w:rsidP="00942098">
            <w:pPr>
              <w:pStyle w:val="Tabletext"/>
              <w:jc w:val="center"/>
            </w:pPr>
            <w:r>
              <w:t>3.0 (-4.0, 9.9)</w:t>
            </w:r>
          </w:p>
        </w:tc>
        <w:tc>
          <w:tcPr>
            <w:tcW w:w="2311" w:type="dxa"/>
            <w:vAlign w:val="center"/>
          </w:tcPr>
          <w:p w:rsidR="002B5AC2" w:rsidRDefault="002B5AC2" w:rsidP="00942098">
            <w:pPr>
              <w:pStyle w:val="Tabletext"/>
              <w:jc w:val="center"/>
            </w:pPr>
            <w:r>
              <w:rPr>
                <w:lang w:eastAsia="en-GB"/>
              </w:rPr>
              <w:t>&lt;0.001</w:t>
            </w:r>
          </w:p>
        </w:tc>
      </w:tr>
    </w:tbl>
    <w:p w:rsidR="002B5AC2" w:rsidRDefault="002B5AC2" w:rsidP="00B737AB">
      <w:pPr>
        <w:pStyle w:val="TableFooter"/>
      </w:pPr>
      <w:r>
        <w:t>Source: Table 37, p.78 of the submission; Table 11, p.77 HS-11-421 CSR.</w:t>
      </w:r>
    </w:p>
    <w:p w:rsidR="00B737AB" w:rsidRPr="002B5AC2" w:rsidRDefault="00B737AB" w:rsidP="00B737AB">
      <w:pPr>
        <w:pStyle w:val="TableFooter"/>
      </w:pPr>
    </w:p>
    <w:p w:rsidR="002B5AC2" w:rsidRPr="002B5AC2" w:rsidRDefault="002B5AC2" w:rsidP="00DB2F6E">
      <w:pPr>
        <w:pStyle w:val="ListParagraph"/>
        <w:widowControl/>
        <w:numPr>
          <w:ilvl w:val="1"/>
          <w:numId w:val="2"/>
        </w:numPr>
      </w:pPr>
      <w:r w:rsidRPr="002B5AC2">
        <w:t>The response rate for the study was 17.4% in the prolonged release buprenorphine treatment arm, and 14.4% in the sublingual buprenorphine/naloxone treatment arm. Given the lower limit of the 95% CI for response rate (-4.0%) was greater than the pre-defined non-inferiority margin of -10%, non-inferiority of prolonged release buprenorphine to sublingual buprenorphine/naloxone was met.</w:t>
      </w:r>
    </w:p>
    <w:p w:rsidR="00760C4E" w:rsidRPr="008D7641" w:rsidRDefault="007F63EC" w:rsidP="00DB2F6E">
      <w:pPr>
        <w:pStyle w:val="ListParagraph"/>
        <w:widowControl/>
        <w:numPr>
          <w:ilvl w:val="1"/>
          <w:numId w:val="2"/>
        </w:numPr>
      </w:pPr>
      <w:r w:rsidRPr="008D7641">
        <w:t xml:space="preserve">The cumulative distribution function is a continuous plot of the proportion of patients at each point along a continuum, who experience </w:t>
      </w:r>
      <w:r w:rsidR="003D7A9A">
        <w:t xml:space="preserve">a </w:t>
      </w:r>
      <w:r w:rsidR="008D7641" w:rsidRPr="008D7641">
        <w:t>percent</w:t>
      </w:r>
      <w:r w:rsidR="003D7A9A">
        <w:t>age</w:t>
      </w:r>
      <w:r w:rsidR="008D7641" w:rsidRPr="008D7641">
        <w:t xml:space="preserve"> of negative urine samples</w:t>
      </w:r>
      <w:r w:rsidRPr="008D7641">
        <w:t xml:space="preserve"> at that point or lower. It allows the entire distribution of responses for the treatment an</w:t>
      </w:r>
      <w:r w:rsidR="008D7641" w:rsidRPr="008D7641">
        <w:t>d control group to be presented</w:t>
      </w:r>
      <w:r w:rsidRPr="008D7641">
        <w:t>. Support for clinical efficacy is implied by greater separation of the cumulative distribution functions in the hypothesised direction.</w:t>
      </w:r>
      <w:r w:rsidR="008D7641" w:rsidRPr="008D7641">
        <w:t xml:space="preserve"> </w:t>
      </w:r>
      <w:r w:rsidRPr="008D7641">
        <w:t xml:space="preserve">The null hypothesis of no difference in the cumulative distribution function of the percent of urine samples that were negative for illicit opioids from </w:t>
      </w:r>
      <w:r w:rsidR="008F3ED5">
        <w:t xml:space="preserve">sample weeks 5-25 </w:t>
      </w:r>
      <w:r w:rsidR="00FC67DC" w:rsidRPr="007F63EC">
        <w:rPr>
          <w:rFonts w:cs="Calibri"/>
          <w:snapToGrid/>
          <w:szCs w:val="24"/>
          <w:lang w:val="en-US" w:eastAsia="en-AU"/>
        </w:rPr>
        <w:t xml:space="preserve">from trial HS-11-421 </w:t>
      </w:r>
      <w:r w:rsidRPr="008D7641">
        <w:t xml:space="preserve">was tested at the 5% significance level using the Wilcoxon Rank-Sum test, summarised in </w:t>
      </w:r>
      <w:r w:rsidR="008D7641" w:rsidRPr="008D7641">
        <w:t>the table</w:t>
      </w:r>
      <w:r w:rsidRPr="008D7641">
        <w:t xml:space="preserve"> below.</w:t>
      </w:r>
    </w:p>
    <w:p w:rsidR="007F63EC" w:rsidRPr="00416D40" w:rsidRDefault="007F63EC" w:rsidP="00AF2189">
      <w:pPr>
        <w:keepNext/>
        <w:keepLines/>
        <w:rPr>
          <w:rStyle w:val="CommentReference"/>
        </w:rPr>
      </w:pPr>
      <w:r w:rsidRPr="00416D40">
        <w:rPr>
          <w:rStyle w:val="CommentReference"/>
        </w:rPr>
        <w:lastRenderedPageBreak/>
        <w:t xml:space="preserve">Table </w:t>
      </w:r>
      <w:r w:rsidR="002B5AC2">
        <w:rPr>
          <w:rStyle w:val="CommentReference"/>
        </w:rPr>
        <w:t>6</w:t>
      </w:r>
      <w:r w:rsidRPr="00416D40">
        <w:rPr>
          <w:rStyle w:val="CommentReference"/>
        </w:rPr>
        <w:t>: Analysis results for cumulative distribution function of percentage of urine samples negative for illicit opioids (ITT population)</w:t>
      </w:r>
    </w:p>
    <w:tbl>
      <w:tblPr>
        <w:tblW w:w="4952" w:type="pct"/>
        <w:tblCellMar>
          <w:left w:w="0" w:type="dxa"/>
          <w:right w:w="0" w:type="dxa"/>
        </w:tblCellMar>
        <w:tblLook w:val="04A0" w:firstRow="1" w:lastRow="0" w:firstColumn="1" w:lastColumn="0" w:noHBand="0" w:noVBand="1"/>
      </w:tblPr>
      <w:tblGrid>
        <w:gridCol w:w="2217"/>
        <w:gridCol w:w="20"/>
        <w:gridCol w:w="2006"/>
        <w:gridCol w:w="20"/>
        <w:gridCol w:w="1539"/>
        <w:gridCol w:w="1418"/>
        <w:gridCol w:w="1701"/>
      </w:tblGrid>
      <w:tr w:rsidR="00BC0833" w:rsidRPr="00BC0833" w:rsidTr="00E92A6B">
        <w:tc>
          <w:tcPr>
            <w:tcW w:w="22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0833" w:rsidRPr="00BC0833" w:rsidRDefault="00BC0833" w:rsidP="00BC0833">
            <w:pPr>
              <w:pStyle w:val="TableFooter"/>
            </w:pPr>
          </w:p>
        </w:tc>
        <w:tc>
          <w:tcPr>
            <w:tcW w:w="2026"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833" w:rsidRPr="00BC0833" w:rsidRDefault="00BC0833" w:rsidP="00BC0833">
            <w:pPr>
              <w:pStyle w:val="TableFooter"/>
              <w:jc w:val="center"/>
              <w:rPr>
                <w:b/>
                <w:bCs/>
              </w:rPr>
            </w:pPr>
            <w:r w:rsidRPr="00BC0833">
              <w:rPr>
                <w:b/>
                <w:bCs/>
              </w:rPr>
              <w:t>Prolonged release buprenorphine</w:t>
            </w:r>
          </w:p>
        </w:tc>
        <w:tc>
          <w:tcPr>
            <w:tcW w:w="15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833" w:rsidRPr="00BC0833" w:rsidRDefault="00BC0833" w:rsidP="00BC0833">
            <w:pPr>
              <w:pStyle w:val="TableFooter"/>
              <w:rPr>
                <w:b/>
                <w:bCs/>
              </w:rPr>
            </w:pPr>
            <w:r w:rsidRPr="00BC0833">
              <w:rPr>
                <w:b/>
                <w:bCs/>
              </w:rPr>
              <w:t>Sublingual buprenorphine/ naloxone</w:t>
            </w:r>
          </w:p>
        </w:tc>
        <w:tc>
          <w:tcPr>
            <w:tcW w:w="31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0833" w:rsidRPr="00BC0833" w:rsidRDefault="00BC0833" w:rsidP="00BC0833">
            <w:pPr>
              <w:pStyle w:val="TableFooter"/>
            </w:pPr>
            <w:r w:rsidRPr="00BC0833">
              <w:rPr>
                <w:b/>
                <w:bCs/>
              </w:rPr>
              <w:t>Wilcoxon Rank-Sum test</w:t>
            </w:r>
          </w:p>
        </w:tc>
      </w:tr>
      <w:tr w:rsidR="00BC0833" w:rsidRPr="00BC0833" w:rsidTr="00E92A6B">
        <w:trPr>
          <w:trHeight w:val="125"/>
        </w:trPr>
        <w:tc>
          <w:tcPr>
            <w:tcW w:w="2216" w:type="dxa"/>
            <w:vMerge/>
            <w:tcBorders>
              <w:top w:val="single" w:sz="8" w:space="0" w:color="auto"/>
              <w:left w:val="single" w:sz="8" w:space="0" w:color="auto"/>
              <w:bottom w:val="single" w:sz="8" w:space="0" w:color="auto"/>
              <w:right w:val="single" w:sz="8" w:space="0" w:color="auto"/>
            </w:tcBorders>
            <w:vAlign w:val="center"/>
            <w:hideMark/>
          </w:tcPr>
          <w:p w:rsidR="00BC0833" w:rsidRPr="00BC0833" w:rsidRDefault="00BC0833" w:rsidP="00BC0833">
            <w:pPr>
              <w:pStyle w:val="TableFooter"/>
            </w:pPr>
          </w:p>
        </w:tc>
        <w:tc>
          <w:tcPr>
            <w:tcW w:w="2026" w:type="dxa"/>
            <w:gridSpan w:val="2"/>
            <w:vMerge/>
            <w:tcBorders>
              <w:top w:val="single" w:sz="8" w:space="0" w:color="auto"/>
              <w:left w:val="nil"/>
              <w:bottom w:val="single" w:sz="8" w:space="0" w:color="auto"/>
              <w:right w:val="single" w:sz="8" w:space="0" w:color="auto"/>
            </w:tcBorders>
            <w:vAlign w:val="center"/>
            <w:hideMark/>
          </w:tcPr>
          <w:p w:rsidR="00BC0833" w:rsidRPr="00BC0833" w:rsidRDefault="00BC0833" w:rsidP="00BC0833">
            <w:pPr>
              <w:pStyle w:val="TableFooter"/>
              <w:rPr>
                <w:b/>
                <w:bCs/>
              </w:rPr>
            </w:pPr>
          </w:p>
        </w:tc>
        <w:tc>
          <w:tcPr>
            <w:tcW w:w="1559" w:type="dxa"/>
            <w:gridSpan w:val="2"/>
            <w:vMerge/>
            <w:tcBorders>
              <w:top w:val="single" w:sz="8" w:space="0" w:color="auto"/>
              <w:left w:val="nil"/>
              <w:bottom w:val="single" w:sz="8" w:space="0" w:color="auto"/>
              <w:right w:val="single" w:sz="8" w:space="0" w:color="auto"/>
            </w:tcBorders>
            <w:vAlign w:val="center"/>
            <w:hideMark/>
          </w:tcPr>
          <w:p w:rsidR="00BC0833" w:rsidRPr="00BC0833" w:rsidRDefault="00BC0833" w:rsidP="00BC0833">
            <w:pPr>
              <w:pStyle w:val="TableFooter"/>
              <w:rPr>
                <w:b/>
                <w:b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0833" w:rsidRPr="00BC0833" w:rsidRDefault="00BC0833" w:rsidP="00BC0833">
            <w:pPr>
              <w:pStyle w:val="TableFooter"/>
              <w:rPr>
                <w:b/>
                <w:bCs/>
              </w:rPr>
            </w:pPr>
            <w:r w:rsidRPr="00BC0833">
              <w:rPr>
                <w:b/>
                <w:bCs/>
              </w:rPr>
              <w:t>Z-score</w:t>
            </w:r>
          </w:p>
        </w:tc>
        <w:tc>
          <w:tcPr>
            <w:tcW w:w="1701" w:type="dxa"/>
            <w:tcBorders>
              <w:top w:val="nil"/>
              <w:left w:val="nil"/>
              <w:bottom w:val="single" w:sz="8" w:space="0" w:color="auto"/>
              <w:right w:val="single" w:sz="8" w:space="0" w:color="auto"/>
            </w:tcBorders>
            <w:vAlign w:val="center"/>
          </w:tcPr>
          <w:p w:rsidR="00BC0833" w:rsidRPr="00BC0833" w:rsidRDefault="00BC0833" w:rsidP="00BC0833">
            <w:pPr>
              <w:pStyle w:val="TableFooter"/>
              <w:rPr>
                <w:b/>
                <w:bCs/>
              </w:rPr>
            </w:pPr>
            <w:r>
              <w:rPr>
                <w:b/>
                <w:bCs/>
              </w:rPr>
              <w:t xml:space="preserve"> p-value</w:t>
            </w:r>
          </w:p>
        </w:tc>
      </w:tr>
      <w:tr w:rsidR="00BC0833" w:rsidRPr="00BC0833" w:rsidTr="00E92A6B">
        <w:tc>
          <w:tcPr>
            <w:tcW w:w="89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833" w:rsidRPr="00BC0833" w:rsidRDefault="00BC0833" w:rsidP="00BC0833">
            <w:pPr>
              <w:pStyle w:val="TableFooter"/>
            </w:pPr>
            <w:r w:rsidRPr="00BC0833">
              <w:rPr>
                <w:b/>
                <w:bCs/>
              </w:rPr>
              <w:t>Including self-reported opioid use (FDA; weeks 5-25)</w:t>
            </w:r>
          </w:p>
        </w:tc>
      </w:tr>
      <w:tr w:rsidR="00E92A6B" w:rsidRPr="00BC0833" w:rsidTr="00E92A6B">
        <w:tc>
          <w:tcPr>
            <w:tcW w:w="2216" w:type="dxa"/>
            <w:tcBorders>
              <w:top w:val="nil"/>
              <w:left w:val="single" w:sz="8" w:space="0" w:color="auto"/>
              <w:bottom w:val="single" w:sz="8" w:space="0" w:color="auto"/>
            </w:tcBorders>
            <w:tcMar>
              <w:top w:w="0" w:type="dxa"/>
              <w:left w:w="108" w:type="dxa"/>
              <w:bottom w:w="0" w:type="dxa"/>
              <w:right w:w="108" w:type="dxa"/>
            </w:tcMar>
            <w:hideMark/>
          </w:tcPr>
          <w:p w:rsidR="00E92A6B" w:rsidRPr="00BC0833" w:rsidRDefault="00E92A6B" w:rsidP="00BC0833">
            <w:pPr>
              <w:pStyle w:val="TableFooter"/>
            </w:pPr>
            <w:r w:rsidRPr="00BC0833">
              <w:t>Mean (SE)</w:t>
            </w:r>
          </w:p>
        </w:tc>
        <w:tc>
          <w:tcPr>
            <w:tcW w:w="20" w:type="dxa"/>
            <w:tcBorders>
              <w:top w:val="nil"/>
              <w:left w:val="single" w:sz="8" w:space="0" w:color="auto"/>
              <w:bottom w:val="single" w:sz="8" w:space="0" w:color="auto"/>
            </w:tcBorders>
          </w:tcPr>
          <w:p w:rsidR="00E92A6B" w:rsidRPr="00BC0833" w:rsidRDefault="00E92A6B" w:rsidP="00BC0833">
            <w:pPr>
              <w:pStyle w:val="TableFooter"/>
            </w:pPr>
          </w:p>
        </w:tc>
        <w:tc>
          <w:tcPr>
            <w:tcW w:w="20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2A6B" w:rsidRPr="00BC0833" w:rsidRDefault="00E92A6B" w:rsidP="00BC0833">
            <w:pPr>
              <w:pStyle w:val="TableFooter"/>
            </w:pPr>
            <w:r w:rsidRPr="00BC0833">
              <w:t>35.1 (2.55)</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E92A6B" w:rsidRPr="00BC0833" w:rsidRDefault="00E92A6B" w:rsidP="00BC0833">
            <w:pPr>
              <w:pStyle w:val="TableFooter"/>
            </w:pPr>
            <w:r w:rsidRPr="00BC0833">
              <w:t>26.7 (2.53)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92A6B" w:rsidRPr="00BC0833" w:rsidRDefault="00E92A6B" w:rsidP="00BC0833">
            <w:pPr>
              <w:pStyle w:val="TableFooter"/>
              <w:jc w:val="center"/>
            </w:pPr>
            <w:r w:rsidRPr="00BC0833">
              <w:t>-</w:t>
            </w:r>
          </w:p>
        </w:tc>
        <w:tc>
          <w:tcPr>
            <w:tcW w:w="1701" w:type="dxa"/>
            <w:tcBorders>
              <w:top w:val="nil"/>
              <w:left w:val="nil"/>
              <w:bottom w:val="single" w:sz="8" w:space="0" w:color="auto"/>
              <w:right w:val="single" w:sz="8" w:space="0" w:color="auto"/>
            </w:tcBorders>
          </w:tcPr>
          <w:p w:rsidR="00E92A6B" w:rsidRPr="00BC0833" w:rsidRDefault="00E92A6B" w:rsidP="00BC0833">
            <w:pPr>
              <w:pStyle w:val="TableFooter"/>
              <w:jc w:val="center"/>
            </w:pPr>
            <w:r>
              <w:t>-</w:t>
            </w:r>
          </w:p>
        </w:tc>
      </w:tr>
      <w:tr w:rsidR="00BC0833" w:rsidRPr="00BC0833" w:rsidTr="00E92A6B">
        <w:tc>
          <w:tcPr>
            <w:tcW w:w="2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0833" w:rsidRPr="00582D9E" w:rsidRDefault="00BC0833" w:rsidP="00BC0833">
            <w:pPr>
              <w:pStyle w:val="TableFooter"/>
            </w:pPr>
            <w:r w:rsidRPr="00582D9E">
              <w:t>Median [range]</w:t>
            </w:r>
          </w:p>
        </w:tc>
        <w:tc>
          <w:tcPr>
            <w:tcW w:w="20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C0833" w:rsidRPr="00582D9E" w:rsidRDefault="00BC0833" w:rsidP="00BC0833">
            <w:pPr>
              <w:pStyle w:val="TableFooter"/>
            </w:pPr>
            <w:r w:rsidRPr="00582D9E">
              <w:t>26.7 [0-100]</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C0833" w:rsidRPr="00582D9E" w:rsidRDefault="00BC0833" w:rsidP="00BC0833">
            <w:pPr>
              <w:pStyle w:val="TableFooter"/>
            </w:pPr>
            <w:r w:rsidRPr="00582D9E">
              <w:t>0 [0-100]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BC0833" w:rsidRPr="00582D9E" w:rsidRDefault="00BC0833" w:rsidP="00BC0833">
            <w:pPr>
              <w:pStyle w:val="TableFooter"/>
              <w:jc w:val="center"/>
            </w:pPr>
            <w:r w:rsidRPr="00582D9E">
              <w:t>2.86</w:t>
            </w:r>
          </w:p>
        </w:tc>
        <w:tc>
          <w:tcPr>
            <w:tcW w:w="1701" w:type="dxa"/>
            <w:tcBorders>
              <w:top w:val="nil"/>
              <w:left w:val="nil"/>
              <w:bottom w:val="single" w:sz="8" w:space="0" w:color="auto"/>
              <w:right w:val="single" w:sz="8" w:space="0" w:color="auto"/>
            </w:tcBorders>
          </w:tcPr>
          <w:p w:rsidR="00BC0833" w:rsidRPr="00582D9E" w:rsidRDefault="00BC0833" w:rsidP="00BC0833">
            <w:pPr>
              <w:pStyle w:val="TableFooter"/>
              <w:jc w:val="center"/>
            </w:pPr>
            <w:r w:rsidRPr="00582D9E">
              <w:t>0.004</w:t>
            </w:r>
          </w:p>
        </w:tc>
      </w:tr>
      <w:tr w:rsidR="00BC0833" w:rsidRPr="00BC0833" w:rsidTr="00E92A6B">
        <w:tc>
          <w:tcPr>
            <w:tcW w:w="892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0833" w:rsidRPr="00582D9E" w:rsidRDefault="00BC0833" w:rsidP="00BC0833">
            <w:pPr>
              <w:pStyle w:val="TableFooter"/>
            </w:pPr>
            <w:r w:rsidRPr="00582D9E">
              <w:rPr>
                <w:b/>
                <w:bCs/>
              </w:rPr>
              <w:t>Not including self-reported opioid use (EU; weeks 5-25)</w:t>
            </w:r>
          </w:p>
        </w:tc>
      </w:tr>
      <w:tr w:rsidR="00E92A6B" w:rsidRPr="00BC0833" w:rsidTr="00E92A6B">
        <w:tc>
          <w:tcPr>
            <w:tcW w:w="2216" w:type="dxa"/>
            <w:tcBorders>
              <w:top w:val="nil"/>
              <w:left w:val="single" w:sz="8" w:space="0" w:color="auto"/>
              <w:bottom w:val="single" w:sz="8" w:space="0" w:color="auto"/>
            </w:tcBorders>
            <w:tcMar>
              <w:top w:w="0" w:type="dxa"/>
              <w:left w:w="108" w:type="dxa"/>
              <w:bottom w:w="0" w:type="dxa"/>
              <w:right w:w="108" w:type="dxa"/>
            </w:tcMar>
            <w:hideMark/>
          </w:tcPr>
          <w:p w:rsidR="00E92A6B" w:rsidRPr="00582D9E" w:rsidRDefault="00E92A6B" w:rsidP="00BC0833">
            <w:pPr>
              <w:pStyle w:val="TableFooter"/>
            </w:pPr>
            <w:r w:rsidRPr="00582D9E">
              <w:t>Mean (SE)</w:t>
            </w:r>
          </w:p>
        </w:tc>
        <w:tc>
          <w:tcPr>
            <w:tcW w:w="20" w:type="dxa"/>
            <w:tcBorders>
              <w:top w:val="nil"/>
              <w:left w:val="single" w:sz="8" w:space="0" w:color="auto"/>
              <w:bottom w:val="single" w:sz="8" w:space="0" w:color="auto"/>
            </w:tcBorders>
          </w:tcPr>
          <w:p w:rsidR="00E92A6B" w:rsidRPr="00582D9E" w:rsidRDefault="00E92A6B" w:rsidP="00BC0833">
            <w:pPr>
              <w:pStyle w:val="TableFooter"/>
            </w:pPr>
          </w:p>
        </w:tc>
        <w:tc>
          <w:tcPr>
            <w:tcW w:w="20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92A6B" w:rsidRPr="00582D9E" w:rsidRDefault="00E92A6B" w:rsidP="00BC0833">
            <w:pPr>
              <w:pStyle w:val="TableFooter"/>
            </w:pPr>
            <w:r w:rsidRPr="00582D9E">
              <w:t>35.8 (2.56)</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E92A6B" w:rsidRPr="00582D9E" w:rsidRDefault="00E92A6B" w:rsidP="00BC0833">
            <w:pPr>
              <w:pStyle w:val="TableFooter"/>
            </w:pPr>
            <w:r w:rsidRPr="00582D9E">
              <w:t>27.7 (2.55)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92A6B" w:rsidRPr="00582D9E" w:rsidRDefault="00E92A6B" w:rsidP="00BC0833">
            <w:pPr>
              <w:pStyle w:val="TableFooter"/>
              <w:jc w:val="center"/>
            </w:pPr>
            <w:r w:rsidRPr="00582D9E">
              <w:t>-</w:t>
            </w:r>
          </w:p>
        </w:tc>
        <w:tc>
          <w:tcPr>
            <w:tcW w:w="1701" w:type="dxa"/>
            <w:tcBorders>
              <w:top w:val="nil"/>
              <w:left w:val="nil"/>
              <w:bottom w:val="single" w:sz="8" w:space="0" w:color="auto"/>
              <w:right w:val="single" w:sz="8" w:space="0" w:color="auto"/>
            </w:tcBorders>
          </w:tcPr>
          <w:p w:rsidR="00E92A6B" w:rsidRPr="00582D9E" w:rsidRDefault="00E92A6B" w:rsidP="00BC0833">
            <w:pPr>
              <w:pStyle w:val="TableFooter"/>
              <w:jc w:val="center"/>
            </w:pPr>
            <w:r w:rsidRPr="00582D9E">
              <w:t>-</w:t>
            </w:r>
          </w:p>
        </w:tc>
      </w:tr>
      <w:tr w:rsidR="00BC0833" w:rsidRPr="00BC0833" w:rsidTr="00E92A6B">
        <w:tc>
          <w:tcPr>
            <w:tcW w:w="2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0833" w:rsidRPr="00582D9E" w:rsidRDefault="00BC0833" w:rsidP="00BC0833">
            <w:pPr>
              <w:pStyle w:val="TableFooter"/>
            </w:pPr>
            <w:r w:rsidRPr="00582D9E">
              <w:t>Median [range]</w:t>
            </w:r>
          </w:p>
        </w:tc>
        <w:tc>
          <w:tcPr>
            <w:tcW w:w="20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C0833" w:rsidRPr="00582D9E" w:rsidRDefault="00BC0833" w:rsidP="00BC0833">
            <w:pPr>
              <w:pStyle w:val="TableFooter"/>
            </w:pPr>
            <w:r w:rsidRPr="00582D9E">
              <w:t>26.7 [0-100]</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C0833" w:rsidRPr="00582D9E" w:rsidRDefault="00BC0833" w:rsidP="00BC0833">
            <w:pPr>
              <w:pStyle w:val="TableFooter"/>
            </w:pPr>
            <w:r w:rsidRPr="00582D9E">
              <w:t>6.7 [0-100]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BC0833" w:rsidRPr="00582D9E" w:rsidRDefault="00BC0833" w:rsidP="00BC0833">
            <w:pPr>
              <w:pStyle w:val="TableFooter"/>
              <w:jc w:val="center"/>
            </w:pPr>
            <w:r w:rsidRPr="00582D9E">
              <w:t>2.66</w:t>
            </w:r>
          </w:p>
        </w:tc>
        <w:tc>
          <w:tcPr>
            <w:tcW w:w="1701" w:type="dxa"/>
            <w:tcBorders>
              <w:top w:val="nil"/>
              <w:left w:val="nil"/>
              <w:bottom w:val="single" w:sz="8" w:space="0" w:color="auto"/>
              <w:right w:val="single" w:sz="8" w:space="0" w:color="auto"/>
            </w:tcBorders>
          </w:tcPr>
          <w:p w:rsidR="00BC0833" w:rsidRPr="00582D9E" w:rsidRDefault="00BC0833" w:rsidP="00BC0833">
            <w:pPr>
              <w:pStyle w:val="TableFooter"/>
              <w:jc w:val="center"/>
            </w:pPr>
            <w:r w:rsidRPr="00582D9E">
              <w:t>0.008</w:t>
            </w:r>
          </w:p>
        </w:tc>
      </w:tr>
    </w:tbl>
    <w:p w:rsidR="007F63EC" w:rsidRDefault="007F63EC" w:rsidP="007F63EC">
      <w:pPr>
        <w:pStyle w:val="TableFooter"/>
      </w:pPr>
      <w:r>
        <w:t>Source: Table 41, p.83 of the submission; Table 15, p.84 HS-11-421 CSR</w:t>
      </w:r>
    </w:p>
    <w:p w:rsidR="007F63EC" w:rsidRDefault="007F63EC" w:rsidP="00B737AB">
      <w:pPr>
        <w:pStyle w:val="TableFooter"/>
      </w:pPr>
      <w:r>
        <w:t>Note: Standard errors calculated during the evaluation</w:t>
      </w:r>
    </w:p>
    <w:p w:rsidR="00B737AB" w:rsidRPr="008D7641" w:rsidRDefault="00B737AB" w:rsidP="00B737AB">
      <w:pPr>
        <w:pStyle w:val="TableFooter"/>
        <w:rPr>
          <w:color w:val="3366FF"/>
        </w:rPr>
      </w:pPr>
    </w:p>
    <w:p w:rsidR="008D7641" w:rsidRPr="00FC67DC" w:rsidRDefault="008D7641" w:rsidP="00DB2F6E">
      <w:pPr>
        <w:pStyle w:val="ListParagraph"/>
        <w:widowControl/>
        <w:numPr>
          <w:ilvl w:val="1"/>
          <w:numId w:val="2"/>
        </w:numPr>
      </w:pPr>
      <w:r w:rsidRPr="00FC67DC">
        <w:rPr>
          <w:rFonts w:cs="Calibri"/>
          <w:snapToGrid/>
          <w:szCs w:val="24"/>
          <w:lang w:val="en-US" w:eastAsia="en-AU"/>
        </w:rPr>
        <w:t>The cumulative distribution function of percent urine samples negative for illicit opioids over weeks 5-25 (incorporating self-reported opioid use)</w:t>
      </w:r>
      <w:r w:rsidR="00FC67DC" w:rsidRPr="00FC67DC">
        <w:rPr>
          <w:rFonts w:cs="Calibri"/>
          <w:snapToGrid/>
          <w:szCs w:val="24"/>
          <w:lang w:val="en-US" w:eastAsia="en-AU"/>
        </w:rPr>
        <w:t xml:space="preserve"> from trial HS-11-421 </w:t>
      </w:r>
      <w:r w:rsidRPr="00FC67DC">
        <w:rPr>
          <w:rFonts w:cs="Calibri"/>
          <w:snapToGrid/>
          <w:szCs w:val="24"/>
          <w:lang w:val="en-US" w:eastAsia="en-AU"/>
        </w:rPr>
        <w:t xml:space="preserve"> is presented in the figure below (FDA analysis). </w:t>
      </w:r>
    </w:p>
    <w:p w:rsidR="008D7641" w:rsidRPr="00FC67DC" w:rsidRDefault="008D7641" w:rsidP="00942098">
      <w:pPr>
        <w:keepNext/>
        <w:widowControl/>
        <w:rPr>
          <w:rFonts w:ascii="Arial Narrow" w:hAnsi="Arial Narrow"/>
          <w:b/>
          <w:sz w:val="20"/>
          <w:szCs w:val="16"/>
        </w:rPr>
      </w:pPr>
      <w:r w:rsidRPr="00FC67DC">
        <w:rPr>
          <w:rStyle w:val="CommentReference"/>
        </w:rPr>
        <w:t>Figure 1: Cumulative distribution function of percent of urine samples negative for illicit opioids supported by self-report opioid use weeks 5 to 25 (ITT population, includes subjects’ self-reported opioid use [FDA])</w:t>
      </w:r>
      <w:r w:rsidRPr="00FC67DC">
        <w:rPr>
          <w:noProof/>
          <w:lang w:eastAsia="en-AU"/>
        </w:rPr>
        <w:t xml:space="preserve"> </w:t>
      </w:r>
      <w:r w:rsidRPr="00FC67DC">
        <w:rPr>
          <w:noProof/>
          <w:lang w:eastAsia="en-AU"/>
        </w:rPr>
        <w:drawing>
          <wp:inline distT="0" distB="0" distL="0" distR="0" wp14:anchorId="07B265F6" wp14:editId="61545911">
            <wp:extent cx="5723467" cy="3420534"/>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815"/>
                    <a:stretch/>
                  </pic:blipFill>
                  <pic:spPr bwMode="auto">
                    <a:xfrm>
                      <a:off x="0" y="0"/>
                      <a:ext cx="5732145" cy="3425720"/>
                    </a:xfrm>
                    <a:prstGeom prst="rect">
                      <a:avLst/>
                    </a:prstGeom>
                    <a:ln>
                      <a:noFill/>
                    </a:ln>
                    <a:extLst>
                      <a:ext uri="{53640926-AAD7-44D8-BBD7-CCE9431645EC}">
                        <a14:shadowObscured xmlns:a14="http://schemas.microsoft.com/office/drawing/2010/main"/>
                      </a:ext>
                    </a:extLst>
                  </pic:spPr>
                </pic:pic>
              </a:graphicData>
            </a:graphic>
          </wp:inline>
        </w:drawing>
      </w:r>
    </w:p>
    <w:p w:rsidR="008D7641" w:rsidRPr="00FC67DC" w:rsidRDefault="008D7641" w:rsidP="008D7641">
      <w:pPr>
        <w:pStyle w:val="TableFooter"/>
      </w:pPr>
      <w:r w:rsidRPr="00FC67DC">
        <w:t>Source: Figure 12, p.80 of the submission</w:t>
      </w:r>
    </w:p>
    <w:p w:rsidR="008D7641" w:rsidRDefault="008D7641" w:rsidP="00B737AB">
      <w:pPr>
        <w:pStyle w:val="TableFooter"/>
      </w:pPr>
      <w:r w:rsidRPr="00FC67DC">
        <w:t>Notes: CAM2038= prolonged release buprenorphine; SL BPN/NX= sublingual buprenorphine/naloxone</w:t>
      </w:r>
    </w:p>
    <w:p w:rsidR="00B737AB" w:rsidRPr="00FC67DC" w:rsidRDefault="00B737AB" w:rsidP="00B737AB">
      <w:pPr>
        <w:pStyle w:val="TableFooter"/>
      </w:pPr>
    </w:p>
    <w:p w:rsidR="008D7641" w:rsidRPr="00FC67DC" w:rsidRDefault="008D7641" w:rsidP="00CB4948">
      <w:pPr>
        <w:pStyle w:val="ListParagraph"/>
        <w:widowControl/>
        <w:numPr>
          <w:ilvl w:val="1"/>
          <w:numId w:val="2"/>
        </w:numPr>
      </w:pPr>
      <w:r w:rsidRPr="00FC67DC">
        <w:t xml:space="preserve">The cumulative distribution function of percent urine samples negative for illicit opioids over </w:t>
      </w:r>
      <w:r w:rsidR="00CB4948" w:rsidRPr="00CB4948">
        <w:t xml:space="preserve">sample Weeks 5-25 </w:t>
      </w:r>
      <w:r w:rsidR="00FC67DC" w:rsidRPr="00FC67DC">
        <w:rPr>
          <w:rFonts w:cs="Calibri"/>
          <w:snapToGrid/>
          <w:szCs w:val="24"/>
          <w:lang w:val="en-US" w:eastAsia="en-AU"/>
        </w:rPr>
        <w:t xml:space="preserve">from trial HS-11-421 </w:t>
      </w:r>
      <w:r w:rsidRPr="00FC67DC">
        <w:t>is presented in the figure below (EU analysis). This analysis did not incorporate self-report of illicit opioid use.</w:t>
      </w:r>
    </w:p>
    <w:p w:rsidR="008D7641" w:rsidRPr="00FC67DC" w:rsidRDefault="008D7641" w:rsidP="00942098">
      <w:pPr>
        <w:keepNext/>
        <w:widowControl/>
        <w:rPr>
          <w:rStyle w:val="CommentReference"/>
        </w:rPr>
      </w:pPr>
      <w:r w:rsidRPr="00FC67DC">
        <w:rPr>
          <w:rStyle w:val="CommentReference"/>
        </w:rPr>
        <w:lastRenderedPageBreak/>
        <w:t xml:space="preserve">Figure 2: Cumulative distribution function of urine samples negative for illicit opioids </w:t>
      </w:r>
      <w:r w:rsidR="00CB4948">
        <w:rPr>
          <w:rStyle w:val="CommentReference"/>
        </w:rPr>
        <w:t>sample weeks 5-25</w:t>
      </w:r>
      <w:r w:rsidR="00CB4948" w:rsidRPr="00FC67DC">
        <w:rPr>
          <w:rStyle w:val="CommentReference"/>
        </w:rPr>
        <w:t xml:space="preserve"> </w:t>
      </w:r>
      <w:r w:rsidRPr="00FC67DC">
        <w:rPr>
          <w:rStyle w:val="CommentReference"/>
        </w:rPr>
        <w:t>(ITT population, without subjects’ self-reported opioid use [EU])</w:t>
      </w:r>
    </w:p>
    <w:p w:rsidR="008D7641" w:rsidRPr="00FC67DC" w:rsidRDefault="008D7641" w:rsidP="008D7641">
      <w:r w:rsidRPr="00FC67DC">
        <w:rPr>
          <w:noProof/>
          <w:lang w:eastAsia="en-AU"/>
        </w:rPr>
        <w:drawing>
          <wp:inline distT="0" distB="0" distL="0" distR="0" wp14:anchorId="33E4F25C" wp14:editId="71328A30">
            <wp:extent cx="5732145" cy="385635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815"/>
                    <a:stretch/>
                  </pic:blipFill>
                  <pic:spPr bwMode="auto">
                    <a:xfrm>
                      <a:off x="0" y="0"/>
                      <a:ext cx="5732145" cy="3856355"/>
                    </a:xfrm>
                    <a:prstGeom prst="rect">
                      <a:avLst/>
                    </a:prstGeom>
                    <a:ln>
                      <a:noFill/>
                    </a:ln>
                    <a:extLst>
                      <a:ext uri="{53640926-AAD7-44D8-BBD7-CCE9431645EC}">
                        <a14:shadowObscured xmlns:a14="http://schemas.microsoft.com/office/drawing/2010/main"/>
                      </a:ext>
                    </a:extLst>
                  </pic:spPr>
                </pic:pic>
              </a:graphicData>
            </a:graphic>
          </wp:inline>
        </w:drawing>
      </w:r>
    </w:p>
    <w:p w:rsidR="008D7641" w:rsidRPr="00FC67DC" w:rsidRDefault="008D7641" w:rsidP="008D7641">
      <w:pPr>
        <w:pStyle w:val="TableFooter"/>
      </w:pPr>
      <w:r w:rsidRPr="00FC67DC">
        <w:t>Source: Figure 13, p.82 of the submission</w:t>
      </w:r>
    </w:p>
    <w:p w:rsidR="008D7641" w:rsidRDefault="008D7641" w:rsidP="00B737AB">
      <w:pPr>
        <w:pStyle w:val="TableFooter"/>
      </w:pPr>
      <w:r w:rsidRPr="00FC67DC">
        <w:t>Notes: CAM2038= prolonged release buprenorphine; SL BPN/NX= sublingual buprenorphine/naloxone</w:t>
      </w:r>
    </w:p>
    <w:p w:rsidR="00B737AB" w:rsidRPr="00FC67DC" w:rsidRDefault="00B737AB" w:rsidP="00B737AB">
      <w:pPr>
        <w:pStyle w:val="TableFooter"/>
      </w:pPr>
    </w:p>
    <w:p w:rsidR="008D7641" w:rsidRPr="00344372" w:rsidRDefault="008D7641" w:rsidP="00DB2F6E">
      <w:pPr>
        <w:pStyle w:val="ListParagraph"/>
        <w:widowControl/>
        <w:numPr>
          <w:ilvl w:val="1"/>
          <w:numId w:val="2"/>
        </w:numPr>
      </w:pPr>
      <w:r w:rsidRPr="00FC67DC">
        <w:t xml:space="preserve">In both the analyses with and without self-reported opioid use, prolonged release buprenorphine was found to be statistically significantly superior to sublingual buprenorphine/naloxone on the cumulative distribution function of the proportion of opioid negative urine samples. </w:t>
      </w:r>
      <w:r w:rsidR="008B09E2">
        <w:rPr>
          <w:i/>
        </w:rPr>
        <w:t xml:space="preserve"> </w:t>
      </w:r>
    </w:p>
    <w:p w:rsidR="0045191B" w:rsidRPr="00B8589F" w:rsidRDefault="00344372" w:rsidP="00DB2F6E">
      <w:pPr>
        <w:pStyle w:val="ListParagraph"/>
        <w:widowControl/>
        <w:numPr>
          <w:ilvl w:val="1"/>
          <w:numId w:val="2"/>
        </w:numPr>
      </w:pPr>
      <w:r w:rsidRPr="00B8589F">
        <w:t xml:space="preserve">The ESC </w:t>
      </w:r>
      <w:r w:rsidR="00185CE5" w:rsidRPr="00B8589F">
        <w:t xml:space="preserve">considered that </w:t>
      </w:r>
      <w:r w:rsidR="00B71180" w:rsidRPr="00B8589F">
        <w:t>the</w:t>
      </w:r>
      <w:r w:rsidR="00185CE5" w:rsidRPr="00B8589F">
        <w:t xml:space="preserve"> cumulative distribution function as </w:t>
      </w:r>
      <w:r w:rsidR="00B71180" w:rsidRPr="00B8589F">
        <w:t>an</w:t>
      </w:r>
      <w:r w:rsidR="00185CE5" w:rsidRPr="00B8589F">
        <w:t xml:space="preserve"> outcome measure was </w:t>
      </w:r>
      <w:r w:rsidR="0045191B" w:rsidRPr="00B8589F">
        <w:t>difficult to interpret and the clinical</w:t>
      </w:r>
      <w:r w:rsidR="00B71180" w:rsidRPr="00B8589F">
        <w:t xml:space="preserve"> significance of this outcome was</w:t>
      </w:r>
      <w:r w:rsidR="0045191B" w:rsidRPr="00B8589F">
        <w:t xml:space="preserve"> uncertain.</w:t>
      </w:r>
    </w:p>
    <w:p w:rsidR="002B5AC2" w:rsidRDefault="00C40FF8" w:rsidP="00DB2F6E">
      <w:pPr>
        <w:pStyle w:val="ListParagraph"/>
        <w:widowControl/>
        <w:numPr>
          <w:ilvl w:val="1"/>
          <w:numId w:val="2"/>
        </w:numPr>
      </w:pPr>
      <w:r w:rsidRPr="00C40FF8">
        <w:t>Sustained abstinence of opioid use was defined as no opioid use</w:t>
      </w:r>
      <w:r>
        <w:t xml:space="preserve"> from randomisation</w:t>
      </w:r>
      <w:r w:rsidRPr="00C40FF8">
        <w:t xml:space="preserve"> through the rest of treatment period for at least two months. </w:t>
      </w:r>
      <w:r w:rsidR="002B5AC2" w:rsidRPr="002B5AC2">
        <w:t xml:space="preserve">Results for the analysis of time to sustained abstinence of opioid use are summarised in </w:t>
      </w:r>
      <w:r>
        <w:t>the table</w:t>
      </w:r>
      <w:r w:rsidR="002B5AC2" w:rsidRPr="002B5AC2">
        <w:t xml:space="preserve"> below.</w:t>
      </w:r>
    </w:p>
    <w:p w:rsidR="00BD45C1" w:rsidRDefault="00BD45C1">
      <w:pPr>
        <w:widowControl/>
        <w:jc w:val="left"/>
        <w:rPr>
          <w:rStyle w:val="CommentReference"/>
        </w:rPr>
      </w:pPr>
      <w:r>
        <w:rPr>
          <w:rStyle w:val="CommentReference"/>
        </w:rPr>
        <w:br w:type="page"/>
      </w:r>
    </w:p>
    <w:p w:rsidR="00C40FF8" w:rsidRPr="001A53E0" w:rsidRDefault="00C40FF8" w:rsidP="00C40FF8">
      <w:pPr>
        <w:rPr>
          <w:rStyle w:val="CommentReference"/>
        </w:rPr>
      </w:pPr>
      <w:r w:rsidRPr="001A53E0">
        <w:rPr>
          <w:rStyle w:val="CommentReference"/>
        </w:rPr>
        <w:lastRenderedPageBreak/>
        <w:t xml:space="preserve">Table </w:t>
      </w:r>
      <w:r>
        <w:rPr>
          <w:rStyle w:val="CommentReference"/>
        </w:rPr>
        <w:t>7</w:t>
      </w:r>
      <w:r w:rsidRPr="001A53E0">
        <w:rPr>
          <w:rStyle w:val="CommentReference"/>
        </w:rPr>
        <w:t xml:space="preserve">: </w:t>
      </w:r>
      <w:r>
        <w:rPr>
          <w:rStyle w:val="CommentReference"/>
        </w:rPr>
        <w:t>Patien</w:t>
      </w:r>
      <w:r w:rsidRPr="001A53E0">
        <w:rPr>
          <w:rStyle w:val="CommentReference"/>
        </w:rPr>
        <w:t>ts with sustained abstinence of opioid use</w:t>
      </w:r>
    </w:p>
    <w:tbl>
      <w:tblPr>
        <w:tblStyle w:val="TableGrid"/>
        <w:tblW w:w="0" w:type="auto"/>
        <w:tblLook w:val="04A0" w:firstRow="1" w:lastRow="0" w:firstColumn="1" w:lastColumn="0" w:noHBand="0" w:noVBand="1"/>
        <w:tblCaption w:val="Patients with sustained abstinence of opioid use"/>
      </w:tblPr>
      <w:tblGrid>
        <w:gridCol w:w="3640"/>
        <w:gridCol w:w="1939"/>
        <w:gridCol w:w="2139"/>
        <w:gridCol w:w="1299"/>
      </w:tblGrid>
      <w:tr w:rsidR="00C40FF8" w:rsidTr="000F6C8D">
        <w:trPr>
          <w:cantSplit/>
          <w:tblHeader/>
        </w:trPr>
        <w:tc>
          <w:tcPr>
            <w:tcW w:w="3794" w:type="dxa"/>
          </w:tcPr>
          <w:p w:rsidR="00C40FF8" w:rsidRPr="001A53E0" w:rsidRDefault="00C40FF8" w:rsidP="00942098">
            <w:pPr>
              <w:pStyle w:val="Tabletext"/>
              <w:jc w:val="center"/>
              <w:rPr>
                <w:b/>
              </w:rPr>
            </w:pPr>
          </w:p>
        </w:tc>
        <w:tc>
          <w:tcPr>
            <w:tcW w:w="1972" w:type="dxa"/>
          </w:tcPr>
          <w:p w:rsidR="00C40FF8" w:rsidRPr="001A53E0" w:rsidRDefault="00C40FF8" w:rsidP="00942098">
            <w:pPr>
              <w:pStyle w:val="Tabletext"/>
              <w:jc w:val="center"/>
              <w:rPr>
                <w:b/>
              </w:rPr>
            </w:pPr>
            <w:r w:rsidRPr="001A53E0">
              <w:rPr>
                <w:b/>
              </w:rPr>
              <w:t>Prolonged release buprenorphine</w:t>
            </w:r>
          </w:p>
          <w:p w:rsidR="00C40FF8" w:rsidRPr="001A53E0" w:rsidRDefault="00C40FF8" w:rsidP="00942098">
            <w:pPr>
              <w:pStyle w:val="Tabletext"/>
              <w:jc w:val="center"/>
              <w:rPr>
                <w:b/>
              </w:rPr>
            </w:pPr>
            <w:proofErr w:type="gramStart"/>
            <w:r w:rsidRPr="001A53E0">
              <w:rPr>
                <w:b/>
              </w:rPr>
              <w:t>n/N</w:t>
            </w:r>
            <w:proofErr w:type="gramEnd"/>
            <w:r w:rsidRPr="001A53E0">
              <w:rPr>
                <w:b/>
              </w:rPr>
              <w:t xml:space="preserve"> (%)</w:t>
            </w:r>
          </w:p>
        </w:tc>
        <w:tc>
          <w:tcPr>
            <w:tcW w:w="2139" w:type="dxa"/>
          </w:tcPr>
          <w:p w:rsidR="00C40FF8" w:rsidRPr="001A53E0" w:rsidRDefault="00C40FF8" w:rsidP="00942098">
            <w:pPr>
              <w:pStyle w:val="Tabletext"/>
              <w:jc w:val="center"/>
              <w:rPr>
                <w:b/>
              </w:rPr>
            </w:pPr>
            <w:r w:rsidRPr="001A53E0">
              <w:rPr>
                <w:b/>
              </w:rPr>
              <w:t>Sublingual buprenorphine</w:t>
            </w:r>
            <w:r w:rsidR="00F94D80">
              <w:rPr>
                <w:b/>
              </w:rPr>
              <w:t>/</w:t>
            </w:r>
            <w:r w:rsidRPr="001A53E0">
              <w:rPr>
                <w:b/>
              </w:rPr>
              <w:t>naloxone</w:t>
            </w:r>
          </w:p>
          <w:p w:rsidR="00C40FF8" w:rsidRPr="001A53E0" w:rsidRDefault="00C40FF8" w:rsidP="00942098">
            <w:pPr>
              <w:pStyle w:val="Tabletext"/>
              <w:jc w:val="center"/>
              <w:rPr>
                <w:b/>
                <w:color w:val="3366FF"/>
              </w:rPr>
            </w:pPr>
            <w:proofErr w:type="gramStart"/>
            <w:r w:rsidRPr="001A53E0">
              <w:rPr>
                <w:b/>
              </w:rPr>
              <w:t>n/N</w:t>
            </w:r>
            <w:proofErr w:type="gramEnd"/>
            <w:r w:rsidRPr="001A53E0">
              <w:rPr>
                <w:b/>
              </w:rPr>
              <w:t xml:space="preserve"> (%)</w:t>
            </w:r>
          </w:p>
        </w:tc>
        <w:tc>
          <w:tcPr>
            <w:tcW w:w="1338" w:type="dxa"/>
            <w:vAlign w:val="center"/>
          </w:tcPr>
          <w:p w:rsidR="00C40FF8" w:rsidRPr="00463BA6" w:rsidRDefault="00C40FF8" w:rsidP="00942098">
            <w:pPr>
              <w:pStyle w:val="Tabletext"/>
              <w:jc w:val="center"/>
              <w:rPr>
                <w:b/>
              </w:rPr>
            </w:pPr>
            <w:r w:rsidRPr="00463BA6">
              <w:rPr>
                <w:b/>
              </w:rPr>
              <w:t xml:space="preserve">p-value </w:t>
            </w:r>
            <w:r w:rsidR="00F94D80">
              <w:rPr>
                <w:b/>
              </w:rPr>
              <w:br/>
            </w:r>
            <w:r w:rsidRPr="00463BA6">
              <w:rPr>
                <w:b/>
              </w:rPr>
              <w:t>(log rank test)</w:t>
            </w:r>
          </w:p>
        </w:tc>
      </w:tr>
      <w:tr w:rsidR="00C40FF8" w:rsidTr="00726D10">
        <w:tc>
          <w:tcPr>
            <w:tcW w:w="3794" w:type="dxa"/>
            <w:vAlign w:val="center"/>
          </w:tcPr>
          <w:p w:rsidR="00C40FF8" w:rsidRPr="00942098" w:rsidRDefault="00C40FF8" w:rsidP="00942098">
            <w:pPr>
              <w:pStyle w:val="Tabletext"/>
            </w:pPr>
            <w:r w:rsidRPr="00942098">
              <w:t>Subjects with sustained abstinence of opioid use</w:t>
            </w:r>
          </w:p>
        </w:tc>
        <w:tc>
          <w:tcPr>
            <w:tcW w:w="1972" w:type="dxa"/>
            <w:vAlign w:val="center"/>
          </w:tcPr>
          <w:p w:rsidR="00C40FF8" w:rsidRPr="001A53E0" w:rsidRDefault="00C40FF8" w:rsidP="00942098">
            <w:pPr>
              <w:pStyle w:val="Tabletext"/>
              <w:jc w:val="center"/>
            </w:pPr>
            <w:r w:rsidRPr="001A53E0">
              <w:rPr>
                <w:rFonts w:eastAsia="TimesNewRoman"/>
              </w:rPr>
              <w:t>39</w:t>
            </w:r>
            <w:r>
              <w:rPr>
                <w:rFonts w:eastAsia="TimesNewRoman"/>
              </w:rPr>
              <w:t>/213</w:t>
            </w:r>
            <w:r w:rsidRPr="001A53E0">
              <w:rPr>
                <w:rFonts w:eastAsia="TimesNewRoman"/>
              </w:rPr>
              <w:t xml:space="preserve"> (18.31)</w:t>
            </w:r>
          </w:p>
        </w:tc>
        <w:tc>
          <w:tcPr>
            <w:tcW w:w="2139" w:type="dxa"/>
            <w:vAlign w:val="center"/>
          </w:tcPr>
          <w:p w:rsidR="00C40FF8" w:rsidRPr="001A53E0" w:rsidRDefault="00C40FF8" w:rsidP="00942098">
            <w:pPr>
              <w:pStyle w:val="Tabletext"/>
              <w:jc w:val="center"/>
            </w:pPr>
            <w:r w:rsidRPr="001A53E0">
              <w:rPr>
                <w:rFonts w:eastAsia="TimesNewRoman"/>
              </w:rPr>
              <w:t>30</w:t>
            </w:r>
            <w:r>
              <w:rPr>
                <w:rFonts w:eastAsia="TimesNewRoman"/>
              </w:rPr>
              <w:t>/215</w:t>
            </w:r>
            <w:r w:rsidRPr="001A53E0">
              <w:rPr>
                <w:rFonts w:eastAsia="TimesNewRoman"/>
              </w:rPr>
              <w:t xml:space="preserve"> (13.95)</w:t>
            </w:r>
          </w:p>
        </w:tc>
        <w:tc>
          <w:tcPr>
            <w:tcW w:w="1338" w:type="dxa"/>
            <w:vAlign w:val="center"/>
          </w:tcPr>
          <w:p w:rsidR="00C40FF8" w:rsidRPr="001A53E0" w:rsidRDefault="00C40FF8" w:rsidP="00942098">
            <w:pPr>
              <w:pStyle w:val="Tabletext"/>
              <w:jc w:val="center"/>
              <w:rPr>
                <w:rFonts w:eastAsia="TimesNewRoman"/>
              </w:rPr>
            </w:pPr>
            <w:r w:rsidRPr="001A53E0">
              <w:t>0.221</w:t>
            </w:r>
          </w:p>
        </w:tc>
      </w:tr>
    </w:tbl>
    <w:p w:rsidR="00C40FF8" w:rsidRDefault="00C40FF8" w:rsidP="00BD45C1">
      <w:pPr>
        <w:pStyle w:val="TableFooter"/>
        <w:spacing w:after="100" w:afterAutospacing="1"/>
      </w:pPr>
      <w:r>
        <w:t>Source: Table 42, p.86 of the submission; Table 17, p.86 HS-11-421 CSR</w:t>
      </w:r>
    </w:p>
    <w:p w:rsidR="00C40FF8" w:rsidRDefault="00C40FF8" w:rsidP="00DB2F6E">
      <w:pPr>
        <w:pStyle w:val="ListParagraph"/>
        <w:widowControl/>
        <w:numPr>
          <w:ilvl w:val="1"/>
          <w:numId w:val="2"/>
        </w:numPr>
      </w:pPr>
      <w:r w:rsidRPr="00C40FF8">
        <w:t>Although the number and proportion of patients with sustained abstinence was numerically higher in the prolonged release buprenorphine treatment group compared with the sublingual buprenorphine/naloxone treatment group, this difference was not statistically significant. Because this endpoint did not meet the predefined hypothesis for superiority of prolonged release buprenorphine, ordered hypothesis testing was stopped after this endpoint was tested (EMA). Outcomes assessed beyond this were considered exploratory only.</w:t>
      </w:r>
      <w:r w:rsidR="008B09E2">
        <w:t xml:space="preserve"> </w:t>
      </w:r>
    </w:p>
    <w:p w:rsidR="008D7641" w:rsidRPr="00FC67DC" w:rsidRDefault="008D7641" w:rsidP="00DB2F6E">
      <w:pPr>
        <w:pStyle w:val="ListParagraph"/>
        <w:widowControl/>
        <w:numPr>
          <w:ilvl w:val="1"/>
          <w:numId w:val="2"/>
        </w:numPr>
      </w:pPr>
      <w:r w:rsidRPr="00FC67DC">
        <w:t>Results for the analysis of percentage of patients remaining in</w:t>
      </w:r>
      <w:r w:rsidR="00FC67DC" w:rsidRPr="00FC67DC">
        <w:t xml:space="preserve"> the study</w:t>
      </w:r>
      <w:r w:rsidRPr="00FC67DC">
        <w:t xml:space="preserve"> (retention rate)</w:t>
      </w:r>
      <w:r w:rsidR="00FC67DC" w:rsidRPr="00FC67DC">
        <w:t xml:space="preserve"> </w:t>
      </w:r>
      <w:r w:rsidR="00FC67DC" w:rsidRPr="00FC67DC">
        <w:rPr>
          <w:rFonts w:cs="Calibri"/>
          <w:snapToGrid/>
          <w:szCs w:val="24"/>
          <w:lang w:val="en-US" w:eastAsia="en-AU"/>
        </w:rPr>
        <w:t xml:space="preserve">from trial HS-11-421 </w:t>
      </w:r>
      <w:r w:rsidRPr="00FC67DC">
        <w:t>are summarised in the table below.</w:t>
      </w:r>
    </w:p>
    <w:p w:rsidR="008D7641" w:rsidRPr="00FC67DC" w:rsidRDefault="008D7641" w:rsidP="008D7641">
      <w:pPr>
        <w:rPr>
          <w:rStyle w:val="CommentReference"/>
        </w:rPr>
      </w:pPr>
      <w:r w:rsidRPr="00FC67DC">
        <w:rPr>
          <w:rStyle w:val="CommentReference"/>
        </w:rPr>
        <w:t xml:space="preserve">Table </w:t>
      </w:r>
      <w:r w:rsidR="00C40FF8">
        <w:rPr>
          <w:rStyle w:val="CommentReference"/>
        </w:rPr>
        <w:t>8</w:t>
      </w:r>
      <w:r w:rsidRPr="00FC67DC">
        <w:rPr>
          <w:rStyle w:val="CommentReference"/>
        </w:rPr>
        <w:t>: Percentage of patients remaining in the study (retention rate; ITT)</w:t>
      </w:r>
    </w:p>
    <w:tbl>
      <w:tblPr>
        <w:tblStyle w:val="TableGrid"/>
        <w:tblW w:w="0" w:type="auto"/>
        <w:tblLook w:val="04A0" w:firstRow="1" w:lastRow="0" w:firstColumn="1" w:lastColumn="0" w:noHBand="0" w:noVBand="1"/>
        <w:tblCaption w:val="Percentage of patients remaining in the study (retention rate; ITT)"/>
      </w:tblPr>
      <w:tblGrid>
        <w:gridCol w:w="1878"/>
        <w:gridCol w:w="1795"/>
        <w:gridCol w:w="1798"/>
        <w:gridCol w:w="1774"/>
        <w:gridCol w:w="1772"/>
      </w:tblGrid>
      <w:tr w:rsidR="008D7641" w:rsidRPr="00FC67DC" w:rsidTr="000F6C8D">
        <w:trPr>
          <w:cantSplit/>
          <w:tblHeader/>
        </w:trPr>
        <w:tc>
          <w:tcPr>
            <w:tcW w:w="1943" w:type="dxa"/>
          </w:tcPr>
          <w:p w:rsidR="008D7641" w:rsidRPr="00FC67DC" w:rsidRDefault="008D7641" w:rsidP="006B5037">
            <w:pPr>
              <w:pStyle w:val="Tabletext"/>
              <w:jc w:val="center"/>
              <w:rPr>
                <w:b/>
              </w:rPr>
            </w:pPr>
          </w:p>
        </w:tc>
        <w:tc>
          <w:tcPr>
            <w:tcW w:w="1825" w:type="dxa"/>
            <w:vAlign w:val="center"/>
          </w:tcPr>
          <w:p w:rsidR="008D7641" w:rsidRPr="00FC67DC" w:rsidRDefault="008D7641" w:rsidP="006B5037">
            <w:pPr>
              <w:pStyle w:val="Tabletext"/>
              <w:jc w:val="center"/>
              <w:rPr>
                <w:b/>
              </w:rPr>
            </w:pPr>
            <w:r w:rsidRPr="00FC67DC">
              <w:rPr>
                <w:b/>
              </w:rPr>
              <w:t>Prolonged release buprenorphine</w:t>
            </w:r>
          </w:p>
          <w:p w:rsidR="008D7641" w:rsidRPr="00FC67DC" w:rsidRDefault="008D7641" w:rsidP="006B5037">
            <w:pPr>
              <w:pStyle w:val="Tabletext"/>
              <w:jc w:val="center"/>
              <w:rPr>
                <w:b/>
              </w:rPr>
            </w:pPr>
            <w:proofErr w:type="gramStart"/>
            <w:r w:rsidRPr="00FC67DC">
              <w:rPr>
                <w:b/>
              </w:rPr>
              <w:t>n/N</w:t>
            </w:r>
            <w:proofErr w:type="gramEnd"/>
            <w:r w:rsidRPr="00FC67DC">
              <w:rPr>
                <w:b/>
              </w:rPr>
              <w:t xml:space="preserve"> (%)</w:t>
            </w:r>
          </w:p>
        </w:tc>
        <w:tc>
          <w:tcPr>
            <w:tcW w:w="1825" w:type="dxa"/>
            <w:vAlign w:val="center"/>
          </w:tcPr>
          <w:p w:rsidR="008D7641" w:rsidRPr="00FC67DC" w:rsidRDefault="008D7641" w:rsidP="006B5037">
            <w:pPr>
              <w:pStyle w:val="Tabletext"/>
              <w:jc w:val="center"/>
              <w:rPr>
                <w:b/>
              </w:rPr>
            </w:pPr>
            <w:r w:rsidRPr="00FC67DC">
              <w:rPr>
                <w:b/>
              </w:rPr>
              <w:t>Sublingual buprenorphine/ naloxone</w:t>
            </w:r>
          </w:p>
          <w:p w:rsidR="008D7641" w:rsidRPr="00FC67DC" w:rsidRDefault="008D7641" w:rsidP="006B5037">
            <w:pPr>
              <w:pStyle w:val="Tabletext"/>
              <w:jc w:val="center"/>
              <w:rPr>
                <w:b/>
              </w:rPr>
            </w:pPr>
            <w:proofErr w:type="gramStart"/>
            <w:r w:rsidRPr="00FC67DC">
              <w:rPr>
                <w:b/>
              </w:rPr>
              <w:t>n/N</w:t>
            </w:r>
            <w:proofErr w:type="gramEnd"/>
            <w:r w:rsidRPr="00FC67DC">
              <w:rPr>
                <w:b/>
              </w:rPr>
              <w:t xml:space="preserve"> (%)</w:t>
            </w:r>
          </w:p>
        </w:tc>
        <w:tc>
          <w:tcPr>
            <w:tcW w:w="1825" w:type="dxa"/>
            <w:vAlign w:val="center"/>
          </w:tcPr>
          <w:p w:rsidR="008D7641" w:rsidRPr="00FC67DC" w:rsidRDefault="008D7641" w:rsidP="006B5037">
            <w:pPr>
              <w:pStyle w:val="Tabletext"/>
              <w:jc w:val="center"/>
              <w:rPr>
                <w:b/>
              </w:rPr>
            </w:pPr>
            <w:r w:rsidRPr="00FC67DC">
              <w:rPr>
                <w:b/>
              </w:rPr>
              <w:t>Proportion difference</w:t>
            </w:r>
          </w:p>
          <w:p w:rsidR="008D7641" w:rsidRPr="00FC67DC" w:rsidRDefault="008D7641" w:rsidP="006B5037">
            <w:pPr>
              <w:pStyle w:val="Tabletext"/>
              <w:jc w:val="center"/>
              <w:rPr>
                <w:b/>
              </w:rPr>
            </w:pPr>
            <w:r w:rsidRPr="00FC67DC">
              <w:rPr>
                <w:b/>
              </w:rPr>
              <w:t>(95% CI)</w:t>
            </w:r>
          </w:p>
        </w:tc>
        <w:tc>
          <w:tcPr>
            <w:tcW w:w="1825" w:type="dxa"/>
            <w:vAlign w:val="center"/>
          </w:tcPr>
          <w:p w:rsidR="008D7641" w:rsidRPr="00FC67DC" w:rsidRDefault="008D7641" w:rsidP="006B5037">
            <w:pPr>
              <w:pStyle w:val="Tabletext"/>
              <w:jc w:val="center"/>
              <w:rPr>
                <w:b/>
              </w:rPr>
            </w:pPr>
            <w:r w:rsidRPr="00FC67DC">
              <w:rPr>
                <w:b/>
              </w:rPr>
              <w:t>p-value (non</w:t>
            </w:r>
            <w:r w:rsidR="00F32FD6">
              <w:rPr>
                <w:b/>
              </w:rPr>
              <w:t>-</w:t>
            </w:r>
            <w:r w:rsidRPr="00FC67DC">
              <w:rPr>
                <w:b/>
              </w:rPr>
              <w:t>inferiority)</w:t>
            </w:r>
          </w:p>
        </w:tc>
      </w:tr>
      <w:tr w:rsidR="00FC67DC" w:rsidRPr="00FC67DC" w:rsidTr="006B5037">
        <w:tc>
          <w:tcPr>
            <w:tcW w:w="1943" w:type="dxa"/>
            <w:vAlign w:val="center"/>
          </w:tcPr>
          <w:p w:rsidR="008D7641" w:rsidRPr="00942098" w:rsidRDefault="001D4F09" w:rsidP="000E092C">
            <w:pPr>
              <w:pStyle w:val="Tabletext"/>
            </w:pPr>
            <w:r>
              <w:t xml:space="preserve">Subjects remaining </w:t>
            </w:r>
            <w:r w:rsidR="008D7641" w:rsidRPr="00942098">
              <w:t xml:space="preserve">in </w:t>
            </w:r>
            <w:r w:rsidR="000E092C">
              <w:t xml:space="preserve">study </w:t>
            </w:r>
          </w:p>
        </w:tc>
        <w:tc>
          <w:tcPr>
            <w:tcW w:w="1825" w:type="dxa"/>
            <w:vAlign w:val="center"/>
          </w:tcPr>
          <w:p w:rsidR="008D7641" w:rsidRPr="00FC67DC" w:rsidRDefault="008D7641" w:rsidP="006B5037">
            <w:pPr>
              <w:pStyle w:val="Tabletext"/>
              <w:jc w:val="center"/>
            </w:pPr>
            <w:r w:rsidRPr="00FC67DC">
              <w:rPr>
                <w:rFonts w:eastAsia="TimesNewRoman"/>
              </w:rPr>
              <w:t>121/213 (56.8)</w:t>
            </w:r>
          </w:p>
        </w:tc>
        <w:tc>
          <w:tcPr>
            <w:tcW w:w="1825" w:type="dxa"/>
            <w:vAlign w:val="center"/>
          </w:tcPr>
          <w:p w:rsidR="008D7641" w:rsidRPr="00FC67DC" w:rsidRDefault="008D7641" w:rsidP="006B5037">
            <w:pPr>
              <w:pStyle w:val="Tabletext"/>
              <w:jc w:val="center"/>
            </w:pPr>
            <w:r w:rsidRPr="00FC67DC">
              <w:rPr>
                <w:rFonts w:eastAsia="TimesNewRoman"/>
              </w:rPr>
              <w:t>126/215 (58.6)</w:t>
            </w:r>
          </w:p>
        </w:tc>
        <w:tc>
          <w:tcPr>
            <w:tcW w:w="1825" w:type="dxa"/>
            <w:vAlign w:val="center"/>
          </w:tcPr>
          <w:p w:rsidR="008D7641" w:rsidRPr="00FC67DC" w:rsidRDefault="008D7641" w:rsidP="006B5037">
            <w:pPr>
              <w:pStyle w:val="Tabletext"/>
              <w:jc w:val="center"/>
              <w:rPr>
                <w:rFonts w:eastAsia="TimesNewRoman"/>
              </w:rPr>
            </w:pPr>
            <w:r w:rsidRPr="00FC67DC">
              <w:rPr>
                <w:rFonts w:eastAsia="TimesNewRoman"/>
              </w:rPr>
              <w:t>-1.8 (-11.2, 7.6)</w:t>
            </w:r>
          </w:p>
        </w:tc>
        <w:tc>
          <w:tcPr>
            <w:tcW w:w="1825" w:type="dxa"/>
            <w:vAlign w:val="center"/>
          </w:tcPr>
          <w:p w:rsidR="008D7641" w:rsidRPr="00FC67DC" w:rsidRDefault="008D7641" w:rsidP="006B5037">
            <w:pPr>
              <w:pStyle w:val="Tabletext"/>
              <w:jc w:val="center"/>
              <w:rPr>
                <w:rFonts w:eastAsia="TimesNewRoman"/>
              </w:rPr>
            </w:pPr>
            <w:r w:rsidRPr="00FC67DC">
              <w:rPr>
                <w:rFonts w:eastAsia="TimesNewRoman"/>
              </w:rPr>
              <w:t>0.006</w:t>
            </w:r>
          </w:p>
        </w:tc>
      </w:tr>
    </w:tbl>
    <w:p w:rsidR="008D7641" w:rsidRPr="00FC67DC" w:rsidRDefault="008D7641" w:rsidP="008D7641">
      <w:pPr>
        <w:pStyle w:val="TableFooter"/>
      </w:pPr>
      <w:r w:rsidRPr="00FC67DC">
        <w:t>Source: Table 43, p.87 of the submission; Table 18, p.86 HS-11-421 CSR</w:t>
      </w:r>
    </w:p>
    <w:p w:rsidR="008D7641" w:rsidRPr="00FC67DC" w:rsidRDefault="008D7641" w:rsidP="008D7641">
      <w:pPr>
        <w:pStyle w:val="TableFooter"/>
      </w:pPr>
    </w:p>
    <w:p w:rsidR="008D7641" w:rsidRPr="00EA4420" w:rsidRDefault="008D7641" w:rsidP="00DB2F6E">
      <w:pPr>
        <w:pStyle w:val="ListParagraph"/>
        <w:widowControl/>
        <w:numPr>
          <w:ilvl w:val="1"/>
          <w:numId w:val="2"/>
        </w:numPr>
      </w:pPr>
      <w:r w:rsidRPr="00EA4420">
        <w:t>In both treatment groups, just over half of all subjects remained in the study, with retention rates of 56.8% for the prolonged release buprenorphine treatment group and 58.6% for the sublingual buprenorphine/naloxone treatment group. The difference between treatment groups was -1.8% (95% CI: -11.2%, 7.6%), and the prolonged release buprenorphine group was nominally non-inferior to the sublingual buprenorphine/naloxone group (non-inferiority margin of 15% for the EMA analysis).</w:t>
      </w:r>
      <w:r w:rsidR="00C94874">
        <w:t xml:space="preserve"> </w:t>
      </w:r>
    </w:p>
    <w:p w:rsidR="00FC67DC" w:rsidRPr="00EA4420" w:rsidRDefault="00FC67DC" w:rsidP="00DB2F6E">
      <w:pPr>
        <w:pStyle w:val="ListParagraph"/>
        <w:widowControl/>
        <w:numPr>
          <w:ilvl w:val="1"/>
          <w:numId w:val="2"/>
        </w:numPr>
      </w:pPr>
      <w:r w:rsidRPr="00EA4420">
        <w:t>In study HS-14-499, administration of the EQ-5D-5L health questionnaire was introduced by a protocol amendment and baseline values are not available; the earliest time point available was Day 113 (approximately Week 16). The number of subjects with EQ-5D-5L scores varied widely by time point (ranging from 1-167 completions at each time point).</w:t>
      </w:r>
    </w:p>
    <w:p w:rsidR="00FC67DC" w:rsidRPr="00EA4420" w:rsidRDefault="00FC67DC" w:rsidP="00DB2F6E">
      <w:pPr>
        <w:pStyle w:val="ListParagraph"/>
        <w:widowControl/>
        <w:numPr>
          <w:ilvl w:val="1"/>
          <w:numId w:val="2"/>
        </w:numPr>
      </w:pPr>
      <w:r w:rsidRPr="00EA4420">
        <w:t>Utility weights used in a sensitivity analysis in the economic model were derived from all responses to the EQ-5D in study HS-14-499, by whether the patient had a urine sample positive for illicit opioids at that time or not. Utility weights were derived using the English EQ-5D-5L value set (Devlin et al., 2018). The mean weights were 0.92 and 0.87, for people with negative and positive urine samples respectively.</w:t>
      </w:r>
    </w:p>
    <w:p w:rsidR="00890C9B" w:rsidRPr="00EA4420" w:rsidRDefault="00890C9B" w:rsidP="00665704">
      <w:pPr>
        <w:pStyle w:val="ListParagraph"/>
        <w:widowControl/>
        <w:numPr>
          <w:ilvl w:val="1"/>
          <w:numId w:val="2"/>
        </w:numPr>
      </w:pPr>
      <w:r w:rsidRPr="00EA4420">
        <w:t xml:space="preserve">The submission presented a naïve indirect comparison between prolonged release buprenorphine and near market comparator RBP-6000. Due to differences in trial </w:t>
      </w:r>
      <w:r w:rsidRPr="00EA4420">
        <w:lastRenderedPageBreak/>
        <w:t>design, including lack of a common reference arm, the submission suggested that studies HS-11-421 and RB-US-13-0001 were not comparable, and a formal indirect comparison was not appropriate. This was reasonable.</w:t>
      </w:r>
    </w:p>
    <w:p w:rsidR="00FC67DC" w:rsidRPr="005A7B34" w:rsidRDefault="00FC67DC" w:rsidP="000E092C">
      <w:pPr>
        <w:pStyle w:val="ListParagraph"/>
        <w:widowControl/>
        <w:numPr>
          <w:ilvl w:val="1"/>
          <w:numId w:val="2"/>
        </w:numPr>
      </w:pPr>
      <w:r w:rsidRPr="00582D9E">
        <w:t xml:space="preserve">A comparison of the proportions and cumulative distribution function of the proportions of urine samples negative for illicit opioid use </w:t>
      </w:r>
      <w:r w:rsidR="00997814" w:rsidRPr="00582D9E">
        <w:t xml:space="preserve">with self-reports for </w:t>
      </w:r>
      <w:r w:rsidR="00997814" w:rsidRPr="005A7B34">
        <w:t>s</w:t>
      </w:r>
      <w:r w:rsidRPr="005A7B34">
        <w:t>tudies HS-11-421 and RB-US-13-0001 are summarised in the table below.</w:t>
      </w:r>
    </w:p>
    <w:p w:rsidR="00FC67DC" w:rsidRPr="005A7B34" w:rsidRDefault="00FC67DC" w:rsidP="005A7B34">
      <w:pPr>
        <w:pStyle w:val="TableHeading0"/>
        <w:keepLines/>
        <w:spacing w:after="0"/>
      </w:pPr>
      <w:r w:rsidRPr="005A7B34">
        <w:t xml:space="preserve">Table </w:t>
      </w:r>
      <w:r w:rsidR="00C40FF8" w:rsidRPr="005A7B34">
        <w:t>9</w:t>
      </w:r>
      <w:r w:rsidRPr="005A7B34">
        <w:rPr>
          <w:noProof/>
        </w:rPr>
        <w:t xml:space="preserve">: </w:t>
      </w:r>
      <w:r w:rsidRPr="005A7B34">
        <w:t xml:space="preserve">Proportions of urine samples negative for illicit opioid use with self-reports </w:t>
      </w:r>
    </w:p>
    <w:tbl>
      <w:tblPr>
        <w:tblW w:w="5000" w:type="pct"/>
        <w:tblLayout w:type="fixed"/>
        <w:tblLook w:val="04A0" w:firstRow="1" w:lastRow="0" w:firstColumn="1" w:lastColumn="0" w:noHBand="0" w:noVBand="1"/>
      </w:tblPr>
      <w:tblGrid>
        <w:gridCol w:w="2318"/>
        <w:gridCol w:w="1408"/>
        <w:gridCol w:w="1410"/>
        <w:gridCol w:w="1295"/>
        <w:gridCol w:w="1295"/>
        <w:gridCol w:w="1291"/>
      </w:tblGrid>
      <w:tr w:rsidR="00FC67DC" w:rsidRPr="005A7B34" w:rsidTr="00FC67DC">
        <w:trPr>
          <w:tblHeader/>
        </w:trPr>
        <w:tc>
          <w:tcPr>
            <w:tcW w:w="1285" w:type="pct"/>
            <w:tcBorders>
              <w:top w:val="single" w:sz="4" w:space="0" w:color="auto"/>
              <w:left w:val="single" w:sz="4" w:space="0" w:color="auto"/>
              <w:right w:val="single" w:sz="4" w:space="0" w:color="auto"/>
            </w:tcBorders>
            <w:shd w:val="clear" w:color="auto" w:fill="auto"/>
            <w:noWrap/>
            <w:hideMark/>
          </w:tcPr>
          <w:p w:rsidR="00FC67DC" w:rsidRPr="005A7B34" w:rsidRDefault="00FC67DC" w:rsidP="00942098">
            <w:pPr>
              <w:keepNext/>
              <w:keepLines/>
              <w:tabs>
                <w:tab w:val="left" w:pos="2189"/>
              </w:tabs>
              <w:jc w:val="left"/>
              <w:rPr>
                <w:rFonts w:ascii="Arial Narrow" w:hAnsi="Arial Narrow"/>
                <w:b/>
                <w:color w:val="000000"/>
                <w:sz w:val="20"/>
                <w:szCs w:val="20"/>
                <w:lang w:eastAsia="en-AU"/>
              </w:rPr>
            </w:pPr>
            <w:r w:rsidRPr="005A7B34">
              <w:rPr>
                <w:rFonts w:ascii="Arial Narrow" w:hAnsi="Arial Narrow"/>
                <w:b/>
                <w:color w:val="000000"/>
                <w:sz w:val="20"/>
                <w:szCs w:val="20"/>
                <w:lang w:eastAsia="en-AU"/>
              </w:rPr>
              <w:t>Trial ID</w:t>
            </w:r>
          </w:p>
        </w:tc>
        <w:tc>
          <w:tcPr>
            <w:tcW w:w="1563" w:type="pct"/>
            <w:gridSpan w:val="2"/>
            <w:tcBorders>
              <w:top w:val="single" w:sz="4" w:space="0" w:color="auto"/>
              <w:left w:val="single" w:sz="4" w:space="0" w:color="auto"/>
              <w:bottom w:val="single" w:sz="4" w:space="0" w:color="auto"/>
              <w:right w:val="double" w:sz="4" w:space="0" w:color="auto"/>
            </w:tcBorders>
          </w:tcPr>
          <w:p w:rsidR="00FC67DC" w:rsidRPr="005A7B34" w:rsidRDefault="00FC67DC" w:rsidP="00942098">
            <w:pPr>
              <w:keepNext/>
              <w:keepLines/>
              <w:jc w:val="center"/>
              <w:rPr>
                <w:rFonts w:ascii="Arial Narrow" w:hAnsi="Arial Narrow"/>
                <w:b/>
                <w:color w:val="000000"/>
                <w:sz w:val="20"/>
                <w:szCs w:val="20"/>
                <w:lang w:eastAsia="en-AU"/>
              </w:rPr>
            </w:pPr>
            <w:r w:rsidRPr="005A7B34">
              <w:rPr>
                <w:rFonts w:ascii="Arial Narrow" w:hAnsi="Arial Narrow"/>
                <w:b/>
                <w:color w:val="000000"/>
                <w:sz w:val="20"/>
                <w:szCs w:val="20"/>
                <w:lang w:eastAsia="en-AU"/>
              </w:rPr>
              <w:t>HS-11-421</w:t>
            </w:r>
          </w:p>
        </w:tc>
        <w:tc>
          <w:tcPr>
            <w:tcW w:w="2152" w:type="pct"/>
            <w:gridSpan w:val="3"/>
            <w:tcBorders>
              <w:top w:val="single" w:sz="4" w:space="0" w:color="auto"/>
              <w:left w:val="double" w:sz="4" w:space="0" w:color="auto"/>
              <w:bottom w:val="single" w:sz="4" w:space="0" w:color="auto"/>
              <w:right w:val="single" w:sz="4" w:space="0" w:color="auto"/>
            </w:tcBorders>
            <w:shd w:val="clear" w:color="auto" w:fill="auto"/>
            <w:noWrap/>
            <w:hideMark/>
          </w:tcPr>
          <w:p w:rsidR="00FC67DC" w:rsidRPr="005A7B34" w:rsidRDefault="00FC67DC" w:rsidP="00942098">
            <w:pPr>
              <w:keepNext/>
              <w:keepLines/>
              <w:jc w:val="center"/>
              <w:rPr>
                <w:rFonts w:ascii="Arial Narrow" w:hAnsi="Arial Narrow"/>
                <w:b/>
                <w:color w:val="000000"/>
                <w:sz w:val="20"/>
                <w:szCs w:val="20"/>
                <w:lang w:eastAsia="en-AU"/>
              </w:rPr>
            </w:pPr>
            <w:r w:rsidRPr="005A7B34">
              <w:rPr>
                <w:rFonts w:ascii="Arial Narrow" w:hAnsi="Arial Narrow"/>
                <w:b/>
                <w:color w:val="000000"/>
                <w:sz w:val="20"/>
                <w:szCs w:val="20"/>
                <w:lang w:eastAsia="en-AU"/>
              </w:rPr>
              <w:t>RB-US-13-0001</w:t>
            </w:r>
          </w:p>
        </w:tc>
      </w:tr>
      <w:tr w:rsidR="00FC67DC" w:rsidRPr="005A7B34" w:rsidTr="00FC67DC">
        <w:trPr>
          <w:tblHeader/>
        </w:trPr>
        <w:tc>
          <w:tcPr>
            <w:tcW w:w="1285" w:type="pct"/>
            <w:tcBorders>
              <w:left w:val="single" w:sz="4" w:space="0" w:color="auto"/>
              <w:bottom w:val="single" w:sz="4" w:space="0" w:color="auto"/>
              <w:right w:val="single" w:sz="4" w:space="0" w:color="auto"/>
            </w:tcBorders>
            <w:shd w:val="clear" w:color="auto" w:fill="auto"/>
            <w:noWrap/>
            <w:hideMark/>
          </w:tcPr>
          <w:p w:rsidR="00FC67DC" w:rsidRPr="005A7B34" w:rsidRDefault="00FC67DC" w:rsidP="006B5037">
            <w:pPr>
              <w:tabs>
                <w:tab w:val="left" w:pos="2189"/>
              </w:tabs>
              <w:jc w:val="left"/>
              <w:rPr>
                <w:rFonts w:ascii="Arial Narrow" w:hAnsi="Arial Narrow"/>
                <w:b/>
                <w:color w:val="000000"/>
                <w:sz w:val="20"/>
                <w:szCs w:val="20"/>
                <w:lang w:eastAsia="en-AU"/>
              </w:rPr>
            </w:pPr>
            <w:r w:rsidRPr="005A7B34">
              <w:rPr>
                <w:rFonts w:ascii="Arial Narrow" w:hAnsi="Arial Narrow"/>
                <w:b/>
                <w:color w:val="000000"/>
                <w:sz w:val="20"/>
                <w:szCs w:val="20"/>
                <w:lang w:eastAsia="en-AU"/>
              </w:rPr>
              <w:t>Treatment</w:t>
            </w:r>
          </w:p>
        </w:tc>
        <w:tc>
          <w:tcPr>
            <w:tcW w:w="781" w:type="pct"/>
            <w:tcBorders>
              <w:top w:val="single" w:sz="4" w:space="0" w:color="auto"/>
              <w:left w:val="single" w:sz="4" w:space="0" w:color="auto"/>
              <w:bottom w:val="single" w:sz="4" w:space="0" w:color="auto"/>
              <w:right w:val="single" w:sz="4" w:space="0" w:color="auto"/>
            </w:tcBorders>
            <w:vAlign w:val="center"/>
          </w:tcPr>
          <w:p w:rsidR="00FC67DC" w:rsidRPr="005A7B34" w:rsidRDefault="00FC67DC" w:rsidP="006B5037">
            <w:pPr>
              <w:jc w:val="center"/>
              <w:rPr>
                <w:rFonts w:ascii="Arial Narrow" w:hAnsi="Arial Narrow"/>
                <w:b/>
                <w:color w:val="000000"/>
                <w:sz w:val="20"/>
                <w:szCs w:val="20"/>
                <w:lang w:eastAsia="en-AU"/>
              </w:rPr>
            </w:pPr>
            <w:r w:rsidRPr="005A7B34">
              <w:rPr>
                <w:rFonts w:ascii="Arial Narrow" w:hAnsi="Arial Narrow"/>
                <w:b/>
                <w:color w:val="000000"/>
                <w:sz w:val="20"/>
                <w:szCs w:val="20"/>
                <w:lang w:eastAsia="en-AU"/>
              </w:rPr>
              <w:t>Prolonged release buprenorphine</w:t>
            </w:r>
          </w:p>
        </w:tc>
        <w:tc>
          <w:tcPr>
            <w:tcW w:w="782" w:type="pct"/>
            <w:tcBorders>
              <w:top w:val="single" w:sz="4" w:space="0" w:color="auto"/>
              <w:left w:val="single" w:sz="4" w:space="0" w:color="auto"/>
              <w:bottom w:val="single" w:sz="4" w:space="0" w:color="auto"/>
              <w:right w:val="double" w:sz="4" w:space="0" w:color="auto"/>
            </w:tcBorders>
            <w:shd w:val="clear" w:color="auto" w:fill="auto"/>
            <w:noWrap/>
            <w:vAlign w:val="center"/>
            <w:hideMark/>
          </w:tcPr>
          <w:p w:rsidR="00FC67DC" w:rsidRPr="005A7B34" w:rsidRDefault="00FC67DC" w:rsidP="006B5037">
            <w:pPr>
              <w:jc w:val="center"/>
              <w:rPr>
                <w:rFonts w:ascii="Arial Narrow" w:hAnsi="Arial Narrow"/>
                <w:b/>
                <w:color w:val="000000"/>
                <w:sz w:val="20"/>
                <w:szCs w:val="20"/>
                <w:lang w:eastAsia="en-AU"/>
              </w:rPr>
            </w:pPr>
            <w:r w:rsidRPr="005A7B34">
              <w:rPr>
                <w:rFonts w:ascii="Arial Narrow" w:hAnsi="Arial Narrow"/>
                <w:b/>
                <w:color w:val="000000"/>
                <w:sz w:val="20"/>
                <w:szCs w:val="20"/>
                <w:lang w:eastAsia="en-AU"/>
              </w:rPr>
              <w:t>Sublingual buprenorphine/ naloxone</w:t>
            </w:r>
          </w:p>
        </w:tc>
        <w:tc>
          <w:tcPr>
            <w:tcW w:w="718"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rsidR="00FC67DC" w:rsidRPr="005A7B34" w:rsidRDefault="00FC67DC" w:rsidP="006B5037">
            <w:pPr>
              <w:jc w:val="center"/>
              <w:rPr>
                <w:rFonts w:ascii="Arial Narrow" w:hAnsi="Arial Narrow"/>
                <w:b/>
                <w:color w:val="000000"/>
                <w:sz w:val="20"/>
                <w:szCs w:val="20"/>
                <w:lang w:eastAsia="en-AU"/>
              </w:rPr>
            </w:pPr>
            <w:r w:rsidRPr="005A7B34">
              <w:rPr>
                <w:rFonts w:ascii="Arial Narrow" w:hAnsi="Arial Narrow"/>
                <w:b/>
                <w:color w:val="000000"/>
                <w:sz w:val="20"/>
                <w:szCs w:val="20"/>
                <w:lang w:eastAsia="en-AU"/>
              </w:rPr>
              <w:t>RBP-6000 300/100</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rsidR="00FC67DC" w:rsidRPr="005A7B34" w:rsidRDefault="00FC67DC" w:rsidP="006B5037">
            <w:pPr>
              <w:jc w:val="center"/>
              <w:rPr>
                <w:rFonts w:ascii="Arial Narrow" w:hAnsi="Arial Narrow"/>
                <w:b/>
                <w:color w:val="000000"/>
                <w:sz w:val="20"/>
                <w:szCs w:val="20"/>
                <w:lang w:eastAsia="en-AU"/>
              </w:rPr>
            </w:pPr>
            <w:r w:rsidRPr="005A7B34">
              <w:rPr>
                <w:rFonts w:ascii="Arial Narrow" w:hAnsi="Arial Narrow"/>
                <w:b/>
                <w:color w:val="000000"/>
                <w:sz w:val="20"/>
                <w:szCs w:val="20"/>
                <w:lang w:eastAsia="en-AU"/>
              </w:rPr>
              <w:t>RBP-6000</w:t>
            </w:r>
          </w:p>
          <w:p w:rsidR="00FC67DC" w:rsidRPr="005A7B34" w:rsidRDefault="00FC67DC" w:rsidP="006B5037">
            <w:pPr>
              <w:jc w:val="center"/>
              <w:rPr>
                <w:rFonts w:ascii="Arial Narrow" w:hAnsi="Arial Narrow"/>
                <w:b/>
                <w:color w:val="000000"/>
                <w:sz w:val="20"/>
                <w:szCs w:val="20"/>
                <w:lang w:eastAsia="en-AU"/>
              </w:rPr>
            </w:pPr>
            <w:r w:rsidRPr="005A7B34">
              <w:rPr>
                <w:rFonts w:ascii="Arial Narrow" w:hAnsi="Arial Narrow"/>
                <w:b/>
                <w:color w:val="000000"/>
                <w:sz w:val="20"/>
                <w:szCs w:val="20"/>
                <w:lang w:eastAsia="en-AU"/>
              </w:rPr>
              <w:t>300/300</w:t>
            </w:r>
          </w:p>
        </w:tc>
        <w:tc>
          <w:tcPr>
            <w:tcW w:w="716" w:type="pct"/>
            <w:tcBorders>
              <w:top w:val="single" w:sz="4" w:space="0" w:color="auto"/>
              <w:left w:val="single" w:sz="4" w:space="0" w:color="auto"/>
              <w:bottom w:val="single" w:sz="4" w:space="0" w:color="auto"/>
              <w:right w:val="single" w:sz="4" w:space="0" w:color="auto"/>
            </w:tcBorders>
            <w:vAlign w:val="center"/>
          </w:tcPr>
          <w:p w:rsidR="00FC67DC" w:rsidRPr="005A7B34" w:rsidRDefault="00FC67DC" w:rsidP="006B5037">
            <w:pPr>
              <w:jc w:val="center"/>
              <w:rPr>
                <w:rFonts w:ascii="Arial Narrow" w:hAnsi="Arial Narrow"/>
                <w:b/>
                <w:color w:val="000000"/>
                <w:sz w:val="20"/>
                <w:szCs w:val="20"/>
                <w:lang w:eastAsia="en-AU"/>
              </w:rPr>
            </w:pPr>
            <w:r w:rsidRPr="005A7B34">
              <w:rPr>
                <w:rFonts w:ascii="Arial Narrow" w:hAnsi="Arial Narrow"/>
                <w:b/>
                <w:color w:val="000000"/>
                <w:sz w:val="20"/>
                <w:szCs w:val="20"/>
                <w:lang w:eastAsia="en-AU"/>
              </w:rPr>
              <w:t>Placebo</w:t>
            </w:r>
          </w:p>
        </w:tc>
      </w:tr>
      <w:tr w:rsidR="00FC67DC" w:rsidRPr="005A7B34" w:rsidTr="00FC67DC">
        <w:tc>
          <w:tcPr>
            <w:tcW w:w="1285" w:type="pct"/>
            <w:tcBorders>
              <w:top w:val="single" w:sz="4" w:space="0" w:color="auto"/>
              <w:left w:val="single" w:sz="4" w:space="0" w:color="auto"/>
              <w:bottom w:val="single" w:sz="4" w:space="0" w:color="auto"/>
              <w:right w:val="single" w:sz="4" w:space="0" w:color="auto"/>
            </w:tcBorders>
            <w:shd w:val="clear" w:color="auto" w:fill="auto"/>
            <w:noWrap/>
          </w:tcPr>
          <w:p w:rsidR="00FC67DC" w:rsidRPr="005A7B34" w:rsidRDefault="00FC67DC" w:rsidP="006B5037">
            <w:pPr>
              <w:pStyle w:val="Tabletext"/>
            </w:pPr>
            <w:r w:rsidRPr="005A7B34">
              <w:t>N</w:t>
            </w:r>
          </w:p>
        </w:tc>
        <w:tc>
          <w:tcPr>
            <w:tcW w:w="781" w:type="pct"/>
            <w:tcBorders>
              <w:top w:val="single" w:sz="4" w:space="0" w:color="auto"/>
              <w:left w:val="single" w:sz="4" w:space="0" w:color="auto"/>
              <w:bottom w:val="single" w:sz="4" w:space="0" w:color="auto"/>
              <w:right w:val="single" w:sz="4" w:space="0" w:color="auto"/>
            </w:tcBorders>
            <w:vAlign w:val="center"/>
          </w:tcPr>
          <w:p w:rsidR="00FC67DC" w:rsidRPr="005A7B34" w:rsidRDefault="00FC67DC" w:rsidP="006B5037">
            <w:pPr>
              <w:jc w:val="center"/>
              <w:rPr>
                <w:rFonts w:ascii="Arial Narrow" w:hAnsi="Arial Narrow"/>
                <w:color w:val="000000"/>
                <w:sz w:val="20"/>
                <w:szCs w:val="20"/>
                <w:lang w:eastAsia="en-AU"/>
              </w:rPr>
            </w:pPr>
            <w:r w:rsidRPr="005A7B34">
              <w:rPr>
                <w:rFonts w:ascii="Arial Narrow" w:hAnsi="Arial Narrow"/>
                <w:color w:val="000000"/>
                <w:sz w:val="20"/>
                <w:szCs w:val="20"/>
                <w:lang w:eastAsia="en-AU"/>
              </w:rPr>
              <w:t>213</w:t>
            </w:r>
          </w:p>
        </w:tc>
        <w:tc>
          <w:tcPr>
            <w:tcW w:w="782" w:type="pct"/>
            <w:tcBorders>
              <w:top w:val="single" w:sz="4" w:space="0" w:color="auto"/>
              <w:left w:val="single" w:sz="4" w:space="0" w:color="auto"/>
              <w:bottom w:val="single" w:sz="4" w:space="0" w:color="auto"/>
              <w:right w:val="double" w:sz="4" w:space="0" w:color="auto"/>
            </w:tcBorders>
            <w:shd w:val="clear" w:color="auto" w:fill="auto"/>
            <w:noWrap/>
            <w:vAlign w:val="center"/>
          </w:tcPr>
          <w:p w:rsidR="00FC67DC" w:rsidRPr="005A7B34" w:rsidRDefault="00FC67DC" w:rsidP="006B5037">
            <w:pPr>
              <w:jc w:val="center"/>
              <w:rPr>
                <w:rFonts w:ascii="Arial Narrow" w:hAnsi="Arial Narrow"/>
                <w:color w:val="000000"/>
                <w:sz w:val="20"/>
                <w:szCs w:val="20"/>
                <w:lang w:eastAsia="en-AU"/>
              </w:rPr>
            </w:pPr>
            <w:r w:rsidRPr="005A7B34">
              <w:rPr>
                <w:rFonts w:ascii="Arial Narrow" w:hAnsi="Arial Narrow"/>
                <w:color w:val="000000"/>
                <w:sz w:val="20"/>
                <w:szCs w:val="20"/>
                <w:lang w:eastAsia="en-AU"/>
              </w:rPr>
              <w:t>215</w:t>
            </w:r>
          </w:p>
        </w:tc>
        <w:tc>
          <w:tcPr>
            <w:tcW w:w="718" w:type="pct"/>
            <w:tcBorders>
              <w:top w:val="single" w:sz="4" w:space="0" w:color="auto"/>
              <w:left w:val="double" w:sz="4" w:space="0" w:color="auto"/>
              <w:bottom w:val="single" w:sz="4" w:space="0" w:color="auto"/>
              <w:right w:val="single" w:sz="4" w:space="0" w:color="auto"/>
            </w:tcBorders>
            <w:shd w:val="clear" w:color="auto" w:fill="auto"/>
            <w:noWrap/>
            <w:vAlign w:val="center"/>
          </w:tcPr>
          <w:p w:rsidR="00FC67DC" w:rsidRPr="005A7B34" w:rsidRDefault="00FC67DC" w:rsidP="006B5037">
            <w:pPr>
              <w:jc w:val="center"/>
              <w:rPr>
                <w:rFonts w:ascii="Arial Narrow" w:hAnsi="Arial Narrow"/>
                <w:color w:val="000000"/>
                <w:sz w:val="20"/>
                <w:szCs w:val="20"/>
                <w:lang w:eastAsia="en-AU"/>
              </w:rPr>
            </w:pPr>
            <w:r w:rsidRPr="005A7B34">
              <w:rPr>
                <w:rFonts w:ascii="Arial Narrow" w:hAnsi="Arial Narrow"/>
                <w:color w:val="000000"/>
                <w:sz w:val="20"/>
                <w:szCs w:val="20"/>
                <w:lang w:eastAsia="en-AU"/>
              </w:rPr>
              <w:t>196</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67DC" w:rsidRPr="005A7B34" w:rsidRDefault="00FC67DC" w:rsidP="006B5037">
            <w:pPr>
              <w:jc w:val="center"/>
              <w:rPr>
                <w:rFonts w:ascii="Arial Narrow" w:hAnsi="Arial Narrow"/>
                <w:color w:val="000000"/>
                <w:sz w:val="20"/>
                <w:szCs w:val="20"/>
                <w:lang w:eastAsia="en-AU"/>
              </w:rPr>
            </w:pPr>
            <w:r w:rsidRPr="005A7B34">
              <w:rPr>
                <w:rFonts w:ascii="Arial Narrow" w:hAnsi="Arial Narrow"/>
                <w:color w:val="000000"/>
                <w:sz w:val="20"/>
                <w:szCs w:val="20"/>
                <w:lang w:eastAsia="en-AU"/>
              </w:rPr>
              <w:t>194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FC67DC" w:rsidRPr="005A7B34" w:rsidRDefault="00FC67DC" w:rsidP="006B5037">
            <w:pPr>
              <w:jc w:val="center"/>
              <w:rPr>
                <w:rFonts w:ascii="Arial Narrow" w:hAnsi="Arial Narrow"/>
                <w:color w:val="000000"/>
                <w:sz w:val="20"/>
                <w:szCs w:val="20"/>
                <w:lang w:eastAsia="en-AU"/>
              </w:rPr>
            </w:pPr>
            <w:r w:rsidRPr="005A7B34">
              <w:rPr>
                <w:rFonts w:ascii="Arial Narrow" w:hAnsi="Arial Narrow"/>
                <w:color w:val="000000"/>
                <w:sz w:val="20"/>
                <w:szCs w:val="20"/>
                <w:lang w:eastAsia="en-AU"/>
              </w:rPr>
              <w:t>99</w:t>
            </w:r>
          </w:p>
        </w:tc>
      </w:tr>
      <w:tr w:rsidR="00FC67DC" w:rsidRPr="005A7B34" w:rsidTr="006B5037">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tcPr>
          <w:p w:rsidR="00FC67DC" w:rsidRPr="005A7B34" w:rsidRDefault="00FC67DC" w:rsidP="006B5037">
            <w:pPr>
              <w:jc w:val="left"/>
              <w:rPr>
                <w:rFonts w:ascii="Arial Narrow" w:hAnsi="Arial Narrow"/>
                <w:b/>
                <w:color w:val="000000"/>
                <w:sz w:val="20"/>
                <w:szCs w:val="20"/>
                <w:lang w:eastAsia="en-AU"/>
              </w:rPr>
            </w:pPr>
            <w:r w:rsidRPr="005A7B34">
              <w:rPr>
                <w:rFonts w:ascii="Arial Narrow" w:hAnsi="Arial Narrow"/>
                <w:b/>
                <w:color w:val="000000"/>
                <w:sz w:val="20"/>
                <w:szCs w:val="20"/>
                <w:lang w:eastAsia="en-AU"/>
              </w:rPr>
              <w:t xml:space="preserve">Percentage of urine samples negative for opioids with self-reports </w:t>
            </w:r>
          </w:p>
        </w:tc>
      </w:tr>
      <w:tr w:rsidR="00FC67DC" w:rsidRPr="005A7B34" w:rsidTr="00997814">
        <w:tc>
          <w:tcPr>
            <w:tcW w:w="1285" w:type="pct"/>
            <w:tcBorders>
              <w:top w:val="single" w:sz="4" w:space="0" w:color="auto"/>
              <w:left w:val="single" w:sz="4" w:space="0" w:color="auto"/>
              <w:bottom w:val="single" w:sz="4" w:space="0" w:color="auto"/>
              <w:right w:val="single" w:sz="4" w:space="0" w:color="auto"/>
            </w:tcBorders>
            <w:shd w:val="clear" w:color="auto" w:fill="auto"/>
            <w:noWrap/>
          </w:tcPr>
          <w:p w:rsidR="00FC67DC" w:rsidRPr="005A7B34" w:rsidRDefault="00FC67DC" w:rsidP="006B5037">
            <w:pPr>
              <w:pStyle w:val="Tabletext"/>
            </w:pPr>
            <w:r w:rsidRPr="005A7B34">
              <w:t>Percentage mean (SD)</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FC67DC" w:rsidRPr="005A7B34" w:rsidRDefault="00FC67DC" w:rsidP="00582D9E">
            <w:pPr>
              <w:jc w:val="center"/>
              <w:rPr>
                <w:rFonts w:ascii="Arial Narrow" w:hAnsi="Arial Narrow"/>
                <w:color w:val="000000"/>
                <w:sz w:val="20"/>
                <w:szCs w:val="20"/>
                <w:lang w:eastAsia="en-AU"/>
              </w:rPr>
            </w:pPr>
            <w:r w:rsidRPr="005A7B34">
              <w:rPr>
                <w:rFonts w:ascii="Arial Narrow" w:hAnsi="Arial Narrow"/>
                <w:color w:val="000000"/>
                <w:sz w:val="20"/>
                <w:szCs w:val="20"/>
                <w:lang w:eastAsia="en-AU"/>
              </w:rPr>
              <w:t>35.1% (</w:t>
            </w:r>
            <w:r w:rsidR="00582D9E" w:rsidRPr="005A7B34">
              <w:rPr>
                <w:rFonts w:ascii="Arial Narrow" w:hAnsi="Arial Narrow"/>
                <w:color w:val="000000"/>
                <w:sz w:val="20"/>
                <w:szCs w:val="20"/>
                <w:lang w:eastAsia="en-AU"/>
              </w:rPr>
              <w:t>37.2</w:t>
            </w:r>
            <w:r w:rsidRPr="005A7B34">
              <w:rPr>
                <w:rFonts w:ascii="Arial Narrow" w:hAnsi="Arial Narrow"/>
                <w:color w:val="000000"/>
                <w:sz w:val="20"/>
                <w:szCs w:val="20"/>
                <w:lang w:eastAsia="en-AU"/>
              </w:rPr>
              <w:t>)</w:t>
            </w:r>
          </w:p>
        </w:tc>
        <w:tc>
          <w:tcPr>
            <w:tcW w:w="782" w:type="pct"/>
            <w:tcBorders>
              <w:top w:val="single" w:sz="4" w:space="0" w:color="auto"/>
              <w:left w:val="single" w:sz="4" w:space="0" w:color="auto"/>
              <w:bottom w:val="single" w:sz="4" w:space="0" w:color="auto"/>
              <w:right w:val="double" w:sz="4" w:space="0" w:color="auto"/>
            </w:tcBorders>
            <w:shd w:val="clear" w:color="auto" w:fill="auto"/>
            <w:noWrap/>
            <w:vAlign w:val="center"/>
          </w:tcPr>
          <w:p w:rsidR="00582D9E" w:rsidRPr="005A7B34" w:rsidRDefault="00582D9E" w:rsidP="00582D9E">
            <w:pPr>
              <w:jc w:val="center"/>
              <w:rPr>
                <w:rFonts w:ascii="Arial Narrow" w:hAnsi="Arial Narrow"/>
                <w:color w:val="000000"/>
                <w:sz w:val="20"/>
                <w:szCs w:val="20"/>
                <w:lang w:eastAsia="en-AU"/>
              </w:rPr>
            </w:pPr>
            <w:r w:rsidRPr="005A7B34">
              <w:rPr>
                <w:rFonts w:ascii="Arial Narrow" w:hAnsi="Arial Narrow"/>
                <w:color w:val="000000"/>
                <w:sz w:val="20"/>
                <w:szCs w:val="20"/>
                <w:lang w:eastAsia="en-AU"/>
              </w:rPr>
              <w:t>26.7</w:t>
            </w:r>
            <w:r w:rsidR="00FC67DC" w:rsidRPr="005A7B34">
              <w:rPr>
                <w:rFonts w:ascii="Arial Narrow" w:hAnsi="Arial Narrow"/>
                <w:color w:val="000000"/>
                <w:sz w:val="20"/>
                <w:szCs w:val="20"/>
                <w:lang w:eastAsia="en-AU"/>
              </w:rPr>
              <w:t xml:space="preserve">% </w:t>
            </w:r>
            <w:r w:rsidRPr="005A7B34">
              <w:rPr>
                <w:rFonts w:ascii="Arial Narrow" w:hAnsi="Arial Narrow"/>
                <w:color w:val="000000"/>
                <w:sz w:val="20"/>
                <w:szCs w:val="20"/>
                <w:lang w:eastAsia="en-AU"/>
              </w:rPr>
              <w:t>(37.2)</w:t>
            </w:r>
          </w:p>
        </w:tc>
        <w:tc>
          <w:tcPr>
            <w:tcW w:w="718" w:type="pct"/>
            <w:tcBorders>
              <w:top w:val="single" w:sz="4" w:space="0" w:color="auto"/>
              <w:left w:val="double" w:sz="4" w:space="0" w:color="auto"/>
              <w:bottom w:val="single" w:sz="4" w:space="0" w:color="auto"/>
              <w:right w:val="single" w:sz="4" w:space="0" w:color="auto"/>
            </w:tcBorders>
            <w:shd w:val="clear" w:color="auto" w:fill="auto"/>
            <w:noWrap/>
            <w:vAlign w:val="center"/>
          </w:tcPr>
          <w:p w:rsidR="00FC67DC" w:rsidRPr="005A7B34" w:rsidRDefault="00FC67DC" w:rsidP="006B5037">
            <w:pPr>
              <w:pStyle w:val="Tabletext"/>
              <w:jc w:val="center"/>
              <w:rPr>
                <w:rFonts w:cs="Arial"/>
                <w:snapToGrid w:val="0"/>
                <w:color w:val="000000"/>
                <w:szCs w:val="20"/>
                <w:lang w:eastAsia="en-AU"/>
              </w:rPr>
            </w:pPr>
            <w:r w:rsidRPr="005A7B34">
              <w:rPr>
                <w:rFonts w:cs="Arial"/>
                <w:snapToGrid w:val="0"/>
                <w:color w:val="000000"/>
                <w:szCs w:val="20"/>
                <w:lang w:eastAsia="en-AU"/>
              </w:rPr>
              <w:t>43% (38)</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67DC" w:rsidRPr="005A7B34" w:rsidRDefault="00FC67DC" w:rsidP="006B5037">
            <w:pPr>
              <w:pStyle w:val="Tabletext"/>
              <w:jc w:val="center"/>
              <w:rPr>
                <w:rFonts w:cs="Arial"/>
                <w:snapToGrid w:val="0"/>
                <w:color w:val="000000"/>
                <w:szCs w:val="20"/>
                <w:lang w:eastAsia="en-AU"/>
              </w:rPr>
            </w:pPr>
            <w:r w:rsidRPr="005A7B34">
              <w:rPr>
                <w:rFonts w:cs="Arial"/>
                <w:snapToGrid w:val="0"/>
                <w:color w:val="000000"/>
                <w:szCs w:val="20"/>
                <w:lang w:eastAsia="en-AU"/>
              </w:rPr>
              <w:t>41% (40)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FC67DC" w:rsidRPr="005A7B34" w:rsidRDefault="00FC67DC" w:rsidP="006B5037">
            <w:pPr>
              <w:jc w:val="center"/>
              <w:rPr>
                <w:rFonts w:ascii="Arial Narrow" w:hAnsi="Arial Narrow"/>
                <w:color w:val="000000"/>
                <w:sz w:val="20"/>
                <w:szCs w:val="20"/>
                <w:lang w:eastAsia="en-AU"/>
              </w:rPr>
            </w:pPr>
            <w:r w:rsidRPr="005A7B34">
              <w:rPr>
                <w:rFonts w:ascii="Arial Narrow" w:hAnsi="Arial Narrow"/>
                <w:color w:val="000000"/>
                <w:sz w:val="20"/>
                <w:szCs w:val="20"/>
                <w:lang w:eastAsia="en-AU"/>
              </w:rPr>
              <w:t>5% (17)</w:t>
            </w:r>
          </w:p>
        </w:tc>
      </w:tr>
      <w:tr w:rsidR="00FC67DC" w:rsidRPr="005A7B34" w:rsidTr="00997814">
        <w:tc>
          <w:tcPr>
            <w:tcW w:w="1285" w:type="pct"/>
            <w:tcBorders>
              <w:top w:val="single" w:sz="4" w:space="0" w:color="auto"/>
              <w:left w:val="single" w:sz="4" w:space="0" w:color="auto"/>
              <w:bottom w:val="single" w:sz="4" w:space="0" w:color="auto"/>
              <w:right w:val="single" w:sz="4" w:space="0" w:color="auto"/>
            </w:tcBorders>
            <w:shd w:val="clear" w:color="auto" w:fill="auto"/>
            <w:noWrap/>
          </w:tcPr>
          <w:p w:rsidR="00FC67DC" w:rsidRPr="005A7B34" w:rsidRDefault="00FC67DC" w:rsidP="006B5037">
            <w:pPr>
              <w:tabs>
                <w:tab w:val="right" w:pos="2189"/>
              </w:tabs>
              <w:rPr>
                <w:rFonts w:ascii="Arial Narrow" w:hAnsi="Arial Narrow"/>
                <w:color w:val="000000"/>
                <w:sz w:val="20"/>
                <w:szCs w:val="20"/>
                <w:lang w:eastAsia="en-AU"/>
              </w:rPr>
            </w:pPr>
            <w:r w:rsidRPr="005A7B34">
              <w:rPr>
                <w:rFonts w:ascii="Arial Narrow" w:hAnsi="Arial Narrow"/>
                <w:color w:val="000000"/>
                <w:sz w:val="20"/>
                <w:szCs w:val="20"/>
                <w:lang w:eastAsia="en-AU"/>
              </w:rPr>
              <w:t>Median</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FC67DC" w:rsidRPr="005A7B34" w:rsidRDefault="00582D9E" w:rsidP="006B5037">
            <w:pPr>
              <w:jc w:val="center"/>
              <w:rPr>
                <w:rFonts w:ascii="Arial Narrow" w:hAnsi="Arial Narrow"/>
                <w:color w:val="000000"/>
                <w:sz w:val="20"/>
                <w:szCs w:val="20"/>
                <w:lang w:eastAsia="en-AU"/>
              </w:rPr>
            </w:pPr>
            <w:r w:rsidRPr="005A7B34">
              <w:rPr>
                <w:rFonts w:ascii="Arial Narrow" w:hAnsi="Arial Narrow"/>
                <w:sz w:val="20"/>
                <w:szCs w:val="20"/>
              </w:rPr>
              <w:t>26.7</w:t>
            </w:r>
            <w:r w:rsidR="00FC67DC" w:rsidRPr="005A7B34">
              <w:rPr>
                <w:rFonts w:ascii="Arial Narrow" w:hAnsi="Arial Narrow"/>
                <w:sz w:val="20"/>
                <w:szCs w:val="20"/>
              </w:rPr>
              <w:t>%</w:t>
            </w:r>
          </w:p>
        </w:tc>
        <w:tc>
          <w:tcPr>
            <w:tcW w:w="782" w:type="pct"/>
            <w:tcBorders>
              <w:top w:val="single" w:sz="4" w:space="0" w:color="auto"/>
              <w:left w:val="single" w:sz="4" w:space="0" w:color="auto"/>
              <w:bottom w:val="single" w:sz="4" w:space="0" w:color="auto"/>
              <w:right w:val="double" w:sz="4" w:space="0" w:color="auto"/>
            </w:tcBorders>
            <w:shd w:val="clear" w:color="auto" w:fill="auto"/>
            <w:noWrap/>
            <w:vAlign w:val="center"/>
          </w:tcPr>
          <w:p w:rsidR="00FC67DC" w:rsidRPr="005A7B34" w:rsidRDefault="00582D9E" w:rsidP="00582D9E">
            <w:pPr>
              <w:jc w:val="center"/>
              <w:rPr>
                <w:rFonts w:ascii="Arial Narrow" w:hAnsi="Arial Narrow"/>
                <w:color w:val="000000"/>
                <w:sz w:val="20"/>
                <w:szCs w:val="20"/>
                <w:lang w:eastAsia="en-AU"/>
              </w:rPr>
            </w:pPr>
            <w:r w:rsidRPr="005A7B34">
              <w:rPr>
                <w:rFonts w:ascii="Arial Narrow" w:hAnsi="Arial Narrow"/>
                <w:color w:val="000000"/>
                <w:sz w:val="20"/>
                <w:szCs w:val="20"/>
                <w:lang w:eastAsia="en-AU"/>
              </w:rPr>
              <w:t>0%</w:t>
            </w:r>
          </w:p>
        </w:tc>
        <w:tc>
          <w:tcPr>
            <w:tcW w:w="718" w:type="pct"/>
            <w:tcBorders>
              <w:top w:val="single" w:sz="4" w:space="0" w:color="auto"/>
              <w:left w:val="double" w:sz="4" w:space="0" w:color="auto"/>
              <w:bottom w:val="single" w:sz="4" w:space="0" w:color="auto"/>
              <w:right w:val="single" w:sz="4" w:space="0" w:color="auto"/>
            </w:tcBorders>
            <w:shd w:val="clear" w:color="auto" w:fill="auto"/>
            <w:noWrap/>
            <w:vAlign w:val="center"/>
          </w:tcPr>
          <w:p w:rsidR="00FC67DC" w:rsidRPr="005A7B34" w:rsidRDefault="00FC67DC" w:rsidP="006B5037">
            <w:pPr>
              <w:pStyle w:val="Tabletext"/>
              <w:jc w:val="center"/>
              <w:rPr>
                <w:szCs w:val="20"/>
              </w:rPr>
            </w:pPr>
            <w:r w:rsidRPr="005A7B34">
              <w:rPr>
                <w:szCs w:val="20"/>
              </w:rPr>
              <w:t>33%</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67DC" w:rsidRPr="005A7B34" w:rsidRDefault="00FC67DC" w:rsidP="006B5037">
            <w:pPr>
              <w:pStyle w:val="Tabletext"/>
              <w:jc w:val="center"/>
              <w:rPr>
                <w:szCs w:val="20"/>
              </w:rPr>
            </w:pPr>
            <w:r w:rsidRPr="005A7B34">
              <w:rPr>
                <w:szCs w:val="20"/>
              </w:rPr>
              <w:t>30%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FC67DC" w:rsidRPr="005A7B34" w:rsidRDefault="00FC67DC" w:rsidP="006B5037">
            <w:pPr>
              <w:jc w:val="center"/>
              <w:rPr>
                <w:rFonts w:ascii="Arial Narrow" w:hAnsi="Arial Narrow"/>
                <w:color w:val="000000"/>
                <w:sz w:val="20"/>
                <w:szCs w:val="20"/>
                <w:lang w:eastAsia="en-AU"/>
              </w:rPr>
            </w:pPr>
            <w:r w:rsidRPr="005A7B34">
              <w:rPr>
                <w:rFonts w:ascii="Arial Narrow" w:hAnsi="Arial Narrow"/>
                <w:color w:val="000000"/>
                <w:sz w:val="20"/>
                <w:szCs w:val="20"/>
                <w:lang w:eastAsia="en-AU"/>
              </w:rPr>
              <w:t>0</w:t>
            </w:r>
          </w:p>
        </w:tc>
      </w:tr>
    </w:tbl>
    <w:p w:rsidR="00582D9E" w:rsidRPr="00D10B5D" w:rsidRDefault="00FC67DC" w:rsidP="00582D9E">
      <w:pPr>
        <w:pStyle w:val="Tablefootnote"/>
        <w:spacing w:after="0"/>
      </w:pPr>
      <w:r w:rsidRPr="005A7B34">
        <w:t xml:space="preserve">Source: Table 8, p.20, </w:t>
      </w:r>
      <w:r w:rsidRPr="005A7B34">
        <w:rPr>
          <w:szCs w:val="18"/>
        </w:rPr>
        <w:t>Appendix A - Comparison of CAM2038 vs RBP-6000 FINAL</w:t>
      </w:r>
      <w:r w:rsidR="00A75A5C">
        <w:rPr>
          <w:szCs w:val="18"/>
        </w:rPr>
        <w:t>;</w:t>
      </w:r>
      <w:r w:rsidR="00582D9E">
        <w:t xml:space="preserve"> Table 15 of HS-11-421 CSR; RB-US-13-0001: </w:t>
      </w:r>
      <w:r w:rsidR="00582D9E" w:rsidRPr="00067F73">
        <w:t xml:space="preserve">Data extracted from </w:t>
      </w:r>
      <w:proofErr w:type="spellStart"/>
      <w:r w:rsidR="00582D9E" w:rsidRPr="00067F73">
        <w:t>Braeburn</w:t>
      </w:r>
      <w:proofErr w:type="spellEnd"/>
      <w:r w:rsidR="00582D9E" w:rsidRPr="00067F73">
        <w:t xml:space="preserve"> FDA Briefing Document: Figure 16, </w:t>
      </w:r>
      <w:proofErr w:type="spellStart"/>
      <w:r w:rsidR="00582D9E" w:rsidRPr="00067F73">
        <w:t>pg</w:t>
      </w:r>
      <w:proofErr w:type="spellEnd"/>
      <w:r w:rsidR="00582D9E" w:rsidRPr="00067F73">
        <w:t xml:space="preserve"> 71 and Table 12, </w:t>
      </w:r>
      <w:proofErr w:type="spellStart"/>
      <w:r w:rsidR="00582D9E" w:rsidRPr="00067F73">
        <w:t>pg</w:t>
      </w:r>
      <w:proofErr w:type="spellEnd"/>
      <w:r w:rsidR="00582D9E" w:rsidRPr="00067F73">
        <w:t xml:space="preserve"> 72</w:t>
      </w:r>
    </w:p>
    <w:p w:rsidR="00FC67DC" w:rsidRDefault="00FC67DC" w:rsidP="00B737AB">
      <w:pPr>
        <w:pStyle w:val="Tablefootnote"/>
        <w:spacing w:after="0"/>
      </w:pPr>
      <w:r w:rsidRPr="00C313A8">
        <w:t>Abbreviations: BMI, body mass index; SD, standard deviation; SL BPN/NX, sublingual buprenorphine/naloxone</w:t>
      </w:r>
    </w:p>
    <w:p w:rsidR="00B737AB" w:rsidRPr="00997814" w:rsidRDefault="00B737AB" w:rsidP="00B737AB">
      <w:pPr>
        <w:pStyle w:val="Tablefootnote"/>
        <w:spacing w:after="0"/>
        <w:rPr>
          <w:color w:val="3366FF"/>
        </w:rPr>
      </w:pPr>
    </w:p>
    <w:p w:rsidR="00997814" w:rsidRPr="00582D9E" w:rsidRDefault="00997814" w:rsidP="000E092C">
      <w:pPr>
        <w:pStyle w:val="ListParagraph"/>
        <w:widowControl/>
        <w:numPr>
          <w:ilvl w:val="1"/>
          <w:numId w:val="2"/>
        </w:numPr>
      </w:pPr>
      <w:r w:rsidRPr="00582D9E">
        <w:t xml:space="preserve">The cumulative distribution function of the proportions of urine samples negative for illicit opioid use with self-reports and the overall proportions of urine samples negative for illicit opioid use favoured RBP-6000 compared to prolonged release buprenorphine. However, the differences were small and both distributions followed similar trajectories over 24 weeks of treatment. </w:t>
      </w:r>
    </w:p>
    <w:p w:rsidR="00FE70C3" w:rsidRPr="00EA4420" w:rsidRDefault="00997814" w:rsidP="00DB2F6E">
      <w:pPr>
        <w:pStyle w:val="ListParagraph"/>
        <w:widowControl/>
        <w:numPr>
          <w:ilvl w:val="1"/>
          <w:numId w:val="2"/>
        </w:numPr>
        <w:rPr>
          <w:rStyle w:val="CommentReference"/>
          <w:rFonts w:ascii="Calibri" w:hAnsi="Calibri"/>
          <w:b w:val="0"/>
          <w:sz w:val="24"/>
          <w:szCs w:val="22"/>
        </w:rPr>
      </w:pPr>
      <w:r w:rsidRPr="00582D9E">
        <w:t>Overall, the efficacy of prolonged release buprenorphine and RBP-6000 appeared similar. However, given the differences in study design comparisons of efficacy between studies HS-11-421 and RB-US-13-0001 should be interpreted with caution</w:t>
      </w:r>
      <w:r w:rsidRPr="000E092C">
        <w:t>.</w:t>
      </w:r>
      <w:r w:rsidR="00A41C04" w:rsidRPr="00B8589F">
        <w:t xml:space="preserve"> The ESC did not consider that this comparison was informative.</w:t>
      </w:r>
      <w:r w:rsidR="00A41C04">
        <w:rPr>
          <w:i/>
        </w:rPr>
        <w:t xml:space="preserve">  </w:t>
      </w:r>
    </w:p>
    <w:p w:rsidR="00B60939" w:rsidRPr="00C9624D" w:rsidRDefault="00B60939" w:rsidP="00B737AB">
      <w:pPr>
        <w:pStyle w:val="Heading2"/>
      </w:pPr>
      <w:bookmarkStart w:id="9" w:name="_Toc524525739"/>
      <w:r w:rsidRPr="00C9624D">
        <w:t>Comparative harms</w:t>
      </w:r>
      <w:bookmarkEnd w:id="9"/>
    </w:p>
    <w:p w:rsidR="00997814" w:rsidRDefault="00997814" w:rsidP="00DB2F6E">
      <w:pPr>
        <w:pStyle w:val="ListParagraph"/>
        <w:widowControl/>
        <w:numPr>
          <w:ilvl w:val="1"/>
          <w:numId w:val="2"/>
        </w:numPr>
      </w:pPr>
      <w:r w:rsidRPr="00997814">
        <w:t>Overall, the most common drug-related adverse events</w:t>
      </w:r>
      <w:r>
        <w:t xml:space="preserve"> in trial HS-11-421</w:t>
      </w:r>
      <w:r w:rsidRPr="00997814">
        <w:t xml:space="preserve"> were injection site pain (8.2%), constipation (5.8%), injection site pruritus (5.8%), injection site erythema (5.1%), injection site swelling (3.5%), headache (3.0%), injection site reaction (2.8%), and nausea (2.8%). Incidences of individual adverse events related to study drug were generally comparable between </w:t>
      </w:r>
      <w:r w:rsidR="00890C9B">
        <w:t>prolonged release buprenorphine and sublingual buprenorphine/naloxone</w:t>
      </w:r>
      <w:r>
        <w:t>. Apart from injection site reactions, t</w:t>
      </w:r>
      <w:r w:rsidRPr="00997814">
        <w:t xml:space="preserve">he adverse events </w:t>
      </w:r>
      <w:r>
        <w:t>we</w:t>
      </w:r>
      <w:r w:rsidRPr="00997814">
        <w:t>re consistent with the known safety profile of buprenorphine.</w:t>
      </w:r>
    </w:p>
    <w:p w:rsidR="00997814" w:rsidRDefault="00997814" w:rsidP="00DB2F6E">
      <w:pPr>
        <w:pStyle w:val="ListParagraph"/>
        <w:widowControl/>
        <w:numPr>
          <w:ilvl w:val="1"/>
          <w:numId w:val="2"/>
        </w:numPr>
      </w:pPr>
      <w:r w:rsidRPr="00997814">
        <w:t>A total of 88 (20.6%) subjects had at least 1 injection site treatment-emergent adverse event during the study, with 48 (22.3%) in the sublingual buprenorphine/naloxone group and 40 (18.8%) in the prolonged release buprenorphine group. The most common injection site adverse events were injection site pain (8.4%), injection site pruritus (6.1%), and injection site erythema (5.6%). Five subjects (3, sublingual buprenorphine/naloxone; 2, prolonged release buprenorphine) had an injection site ulcer (3, mild; 2, moderate).</w:t>
      </w:r>
    </w:p>
    <w:p w:rsidR="00997814" w:rsidRDefault="00997814" w:rsidP="00DB2F6E">
      <w:pPr>
        <w:pStyle w:val="ListParagraph"/>
        <w:widowControl/>
        <w:numPr>
          <w:ilvl w:val="1"/>
          <w:numId w:val="2"/>
        </w:numPr>
      </w:pPr>
      <w:r>
        <w:lastRenderedPageBreak/>
        <w:t>In regards to adverse events of special interest, t</w:t>
      </w:r>
      <w:r w:rsidRPr="00997814">
        <w:t>here were 5 cases of overdose</w:t>
      </w:r>
      <w:r>
        <w:t xml:space="preserve"> in trial HS-11-421</w:t>
      </w:r>
      <w:r w:rsidRPr="00997814">
        <w:t xml:space="preserve"> (4, accidental; 1, intentional), all of which were in the sublingual buprenorphine/naloxone group. The 4 cases of accidental overdose involved heroin (3 subjects) or clonazepam (1 subject). The intentional overdose involved doxepin, </w:t>
      </w:r>
      <w:proofErr w:type="spellStart"/>
      <w:r w:rsidRPr="00997814">
        <w:t>prazosin</w:t>
      </w:r>
      <w:proofErr w:type="spellEnd"/>
      <w:r w:rsidRPr="00997814">
        <w:t>, and venlafaxine. Four of the cases of overdose (3 accidental; 1 intentional) were considered serious adverse events because they were life-threatening.</w:t>
      </w:r>
    </w:p>
    <w:p w:rsidR="00997814" w:rsidRDefault="00997814" w:rsidP="00DB2F6E">
      <w:pPr>
        <w:pStyle w:val="ListParagraph"/>
        <w:widowControl/>
        <w:numPr>
          <w:ilvl w:val="1"/>
          <w:numId w:val="2"/>
        </w:numPr>
      </w:pPr>
      <w:r w:rsidRPr="00997814">
        <w:t xml:space="preserve">In </w:t>
      </w:r>
      <w:r>
        <w:t xml:space="preserve">study HS-14-499, </w:t>
      </w:r>
      <w:r w:rsidRPr="00997814">
        <w:t>60 (26.4%) subjects had at least 1 study drug-related adverse event. The most common drug-related adverse events were injection site pain (15.4%), injection site swelling (11.5%), and injection site erythema (9.3%). All of the drug-related adverse events, except for one event of injection site pain, were</w:t>
      </w:r>
      <w:r w:rsidR="00942098">
        <w:t xml:space="preserve"> mild or moderate in intensity.</w:t>
      </w:r>
    </w:p>
    <w:p w:rsidR="005D26B4" w:rsidRPr="002B6ACF" w:rsidRDefault="00997814" w:rsidP="00DB2F6E">
      <w:pPr>
        <w:pStyle w:val="ListParagraph"/>
        <w:widowControl/>
        <w:numPr>
          <w:ilvl w:val="1"/>
          <w:numId w:val="2"/>
        </w:numPr>
      </w:pPr>
      <w:r w:rsidRPr="002B6ACF">
        <w:t>In study RB-US-13-0001</w:t>
      </w:r>
      <w:r w:rsidR="00890C9B" w:rsidRPr="002B6ACF">
        <w:t>, the</w:t>
      </w:r>
      <w:r w:rsidRPr="002B6ACF">
        <w:t xml:space="preserve"> most frequently reported adverse events (≥ 5% of patients) </w:t>
      </w:r>
      <w:r w:rsidR="00890C9B" w:rsidRPr="002B6ACF">
        <w:t xml:space="preserve">associated with subcutaneous depot buprenorphine </w:t>
      </w:r>
      <w:r w:rsidRPr="002B6ACF">
        <w:t xml:space="preserve">were severe headache (8.9%), constipation (8.7%), nausea (8.4%), injections site pruritus (7.9%), vomiting (7.4%), insomnia (7.4%), upper respiratory tract infection (6.7%), </w:t>
      </w:r>
      <w:proofErr w:type="spellStart"/>
      <w:r w:rsidRPr="002B6ACF">
        <w:t>nasopharyngitis</w:t>
      </w:r>
      <w:proofErr w:type="spellEnd"/>
      <w:r w:rsidRPr="002B6ACF">
        <w:t xml:space="preserve"> (5.2%), fatigue (5.0%) and injection site pain (5.4%).  This was similar to the most frequently reported adverse events reported in study HS-11-421. However, larger proportions of patients treated with prolonged release buprenorphine in study HS-11-421 reported injection site erythema and injection site pain compared to those treated with RBP-6000 in study RB-US-13-0001.</w:t>
      </w:r>
    </w:p>
    <w:p w:rsidR="008B09E2" w:rsidRPr="00B8589F" w:rsidRDefault="008B09E2" w:rsidP="00DB2F6E">
      <w:pPr>
        <w:pStyle w:val="ListParagraph"/>
        <w:widowControl/>
        <w:numPr>
          <w:ilvl w:val="1"/>
          <w:numId w:val="2"/>
        </w:numPr>
      </w:pPr>
      <w:r w:rsidRPr="00B8589F">
        <w:t>The ESC considered the comparative harms were acceptable</w:t>
      </w:r>
      <w:r w:rsidR="00C94874" w:rsidRPr="00B8589F">
        <w:t xml:space="preserve"> and supported t</w:t>
      </w:r>
      <w:r w:rsidR="00A41C04" w:rsidRPr="00B8589F">
        <w:t xml:space="preserve">he claim of non-inferior safety. </w:t>
      </w:r>
      <w:r w:rsidR="00C94874" w:rsidRPr="00B8589F">
        <w:t xml:space="preserve"> </w:t>
      </w:r>
    </w:p>
    <w:p w:rsidR="007F1017" w:rsidRPr="00C9624D" w:rsidRDefault="007F1017" w:rsidP="00B737AB">
      <w:pPr>
        <w:pStyle w:val="Heading2"/>
      </w:pPr>
      <w:bookmarkStart w:id="10" w:name="_Toc524525740"/>
      <w:r w:rsidRPr="00C9624D">
        <w:t>Benefits/harms</w:t>
      </w:r>
      <w:bookmarkEnd w:id="10"/>
    </w:p>
    <w:p w:rsidR="00FE67B4" w:rsidRDefault="00EC00C9" w:rsidP="00DB2F6E">
      <w:pPr>
        <w:pStyle w:val="ListParagraph"/>
        <w:widowControl/>
        <w:numPr>
          <w:ilvl w:val="1"/>
          <w:numId w:val="2"/>
        </w:numPr>
      </w:pPr>
      <w:r w:rsidRPr="00B50DB8">
        <w:t xml:space="preserve">A summary of the comparative benefits and harms for </w:t>
      </w:r>
      <w:r w:rsidR="00597B78">
        <w:t>prolonged release buprenorphine versus sublingual buprenorphine/naloxone</w:t>
      </w:r>
      <w:r w:rsidRPr="00B50DB8">
        <w:t xml:space="preserve"> is presented in the table below.</w:t>
      </w:r>
      <w:r w:rsidR="00410708" w:rsidRPr="00B50DB8">
        <w:t xml:space="preserve"> </w:t>
      </w:r>
    </w:p>
    <w:p w:rsidR="00FE67B4" w:rsidRDefault="00FE67B4">
      <w:pPr>
        <w:widowControl/>
        <w:jc w:val="left"/>
      </w:pPr>
      <w:r>
        <w:br w:type="page"/>
      </w:r>
    </w:p>
    <w:p w:rsidR="002B5AC2" w:rsidRDefault="002B5AC2" w:rsidP="002B5AC2">
      <w:pPr>
        <w:rPr>
          <w:rStyle w:val="CommentReference"/>
        </w:rPr>
      </w:pPr>
      <w:r w:rsidRPr="00A578DC">
        <w:rPr>
          <w:rStyle w:val="CommentReference"/>
        </w:rPr>
        <w:lastRenderedPageBreak/>
        <w:t xml:space="preserve">Table </w:t>
      </w:r>
      <w:r w:rsidR="00C40FF8">
        <w:rPr>
          <w:rStyle w:val="CommentReference"/>
        </w:rPr>
        <w:t>10</w:t>
      </w:r>
      <w:r w:rsidRPr="00A578DC">
        <w:rPr>
          <w:rStyle w:val="CommentReference"/>
        </w:rPr>
        <w:t xml:space="preserve">: Summary of comparative benefits and harms for </w:t>
      </w:r>
      <w:r>
        <w:rPr>
          <w:rStyle w:val="CommentReference"/>
        </w:rPr>
        <w:t>prolonged release buprenorphine and sublingual buprenorphine/naloxone in trial HS-11-421</w:t>
      </w:r>
    </w:p>
    <w:tbl>
      <w:tblPr>
        <w:tblStyle w:val="TableGrid"/>
        <w:tblW w:w="0" w:type="auto"/>
        <w:tblLook w:val="04A0" w:firstRow="1" w:lastRow="0" w:firstColumn="1" w:lastColumn="0" w:noHBand="0" w:noVBand="1"/>
        <w:tblCaption w:val="Summary of comparative benefits and harms for prolonged release buprenorphine and sublingual buprenorphine/naloxone in trial HS-11-421"/>
      </w:tblPr>
      <w:tblGrid>
        <w:gridCol w:w="2130"/>
        <w:gridCol w:w="1722"/>
        <w:gridCol w:w="1723"/>
        <w:gridCol w:w="1719"/>
        <w:gridCol w:w="1723"/>
      </w:tblGrid>
      <w:tr w:rsidR="00B71180" w:rsidRPr="0023111B" w:rsidTr="000F6C8D">
        <w:trPr>
          <w:cantSplit/>
          <w:tblHeader/>
        </w:trPr>
        <w:tc>
          <w:tcPr>
            <w:tcW w:w="2235" w:type="dxa"/>
          </w:tcPr>
          <w:p w:rsidR="00B71180" w:rsidRPr="0023111B" w:rsidRDefault="00B71180" w:rsidP="00F32FD6">
            <w:pPr>
              <w:rPr>
                <w:rStyle w:val="CommentReference"/>
              </w:rPr>
            </w:pPr>
          </w:p>
        </w:tc>
        <w:tc>
          <w:tcPr>
            <w:tcW w:w="1752" w:type="dxa"/>
          </w:tcPr>
          <w:p w:rsidR="00B71180" w:rsidRPr="0023111B" w:rsidRDefault="00B71180" w:rsidP="00F32FD6">
            <w:pPr>
              <w:jc w:val="center"/>
              <w:rPr>
                <w:rStyle w:val="CommentReference"/>
              </w:rPr>
            </w:pPr>
            <w:r w:rsidRPr="0023111B">
              <w:rPr>
                <w:rFonts w:ascii="Arial Narrow" w:hAnsi="Arial Narrow"/>
                <w:b/>
                <w:sz w:val="20"/>
              </w:rPr>
              <w:t>Prolonged release buprenorphine</w:t>
            </w:r>
            <w:r>
              <w:rPr>
                <w:rFonts w:ascii="Arial Narrow" w:hAnsi="Arial Narrow"/>
                <w:b/>
                <w:sz w:val="20"/>
              </w:rPr>
              <w:t xml:space="preserve"> </w:t>
            </w:r>
          </w:p>
        </w:tc>
        <w:tc>
          <w:tcPr>
            <w:tcW w:w="1752" w:type="dxa"/>
          </w:tcPr>
          <w:p w:rsidR="00B71180" w:rsidRPr="0023111B" w:rsidRDefault="00B71180" w:rsidP="00F32FD6">
            <w:pPr>
              <w:jc w:val="center"/>
              <w:rPr>
                <w:rStyle w:val="CommentReference"/>
              </w:rPr>
            </w:pPr>
            <w:r w:rsidRPr="0023111B">
              <w:rPr>
                <w:rFonts w:ascii="Arial Narrow" w:hAnsi="Arial Narrow"/>
                <w:b/>
                <w:sz w:val="20"/>
              </w:rPr>
              <w:t>S</w:t>
            </w:r>
            <w:r>
              <w:rPr>
                <w:rFonts w:ascii="Arial Narrow" w:hAnsi="Arial Narrow"/>
                <w:b/>
                <w:sz w:val="20"/>
              </w:rPr>
              <w:t xml:space="preserve">L </w:t>
            </w:r>
            <w:r w:rsidRPr="0023111B">
              <w:rPr>
                <w:rFonts w:ascii="Arial Narrow" w:hAnsi="Arial Narrow"/>
                <w:b/>
                <w:sz w:val="20"/>
              </w:rPr>
              <w:t>buprenorphine/ naloxone</w:t>
            </w:r>
            <w:r>
              <w:rPr>
                <w:rFonts w:ascii="Arial Narrow" w:hAnsi="Arial Narrow"/>
                <w:b/>
                <w:sz w:val="20"/>
              </w:rPr>
              <w:t xml:space="preserve"> </w:t>
            </w:r>
          </w:p>
        </w:tc>
        <w:tc>
          <w:tcPr>
            <w:tcW w:w="1752" w:type="dxa"/>
          </w:tcPr>
          <w:p w:rsidR="00F32FD6" w:rsidRDefault="00B71180" w:rsidP="009C5771">
            <w:pPr>
              <w:jc w:val="center"/>
              <w:rPr>
                <w:rFonts w:ascii="Arial Narrow" w:hAnsi="Arial Narrow"/>
                <w:b/>
                <w:sz w:val="20"/>
              </w:rPr>
            </w:pPr>
            <w:r>
              <w:rPr>
                <w:rFonts w:ascii="Arial Narrow" w:hAnsi="Arial Narrow"/>
                <w:b/>
                <w:sz w:val="20"/>
              </w:rPr>
              <w:t xml:space="preserve">Difference </w:t>
            </w:r>
            <w:r w:rsidR="00F32FD6">
              <w:rPr>
                <w:rFonts w:ascii="Arial Narrow" w:hAnsi="Arial Narrow"/>
                <w:b/>
                <w:sz w:val="20"/>
              </w:rPr>
              <w:t xml:space="preserve"> </w:t>
            </w:r>
          </w:p>
          <w:p w:rsidR="00B71180" w:rsidRPr="0023111B" w:rsidRDefault="00F32FD6" w:rsidP="009C5771">
            <w:pPr>
              <w:jc w:val="center"/>
              <w:rPr>
                <w:rFonts w:ascii="Arial Narrow" w:hAnsi="Arial Narrow"/>
                <w:b/>
                <w:sz w:val="20"/>
              </w:rPr>
            </w:pPr>
            <w:r>
              <w:rPr>
                <w:rFonts w:ascii="Arial Narrow" w:hAnsi="Arial Narrow"/>
                <w:b/>
                <w:sz w:val="20"/>
              </w:rPr>
              <w:t>(95% CI)</w:t>
            </w:r>
          </w:p>
        </w:tc>
        <w:tc>
          <w:tcPr>
            <w:tcW w:w="1752" w:type="dxa"/>
          </w:tcPr>
          <w:p w:rsidR="00B71180" w:rsidRPr="0023111B" w:rsidRDefault="00B71180" w:rsidP="00F32FD6">
            <w:pPr>
              <w:jc w:val="center"/>
              <w:rPr>
                <w:rFonts w:ascii="Arial Narrow" w:hAnsi="Arial Narrow"/>
                <w:b/>
                <w:sz w:val="20"/>
              </w:rPr>
            </w:pPr>
            <w:r>
              <w:rPr>
                <w:rFonts w:ascii="Arial Narrow" w:hAnsi="Arial Narrow"/>
                <w:b/>
                <w:sz w:val="20"/>
              </w:rPr>
              <w:t>z-score (p-value)</w:t>
            </w:r>
          </w:p>
        </w:tc>
      </w:tr>
      <w:tr w:rsidR="00A53130" w:rsidRPr="0023111B" w:rsidTr="00F94D80">
        <w:tc>
          <w:tcPr>
            <w:tcW w:w="9243" w:type="dxa"/>
            <w:gridSpan w:val="5"/>
          </w:tcPr>
          <w:p w:rsidR="00A53130" w:rsidRPr="00C14F5F" w:rsidRDefault="00A53130" w:rsidP="00A53130">
            <w:pPr>
              <w:jc w:val="left"/>
              <w:rPr>
                <w:rFonts w:ascii="Arial Narrow" w:eastAsia="TimesNewRoman" w:hAnsi="Arial Narrow" w:cs="TimesNewRoman"/>
                <w:snapToGrid/>
                <w:sz w:val="20"/>
              </w:rPr>
            </w:pPr>
            <w:r w:rsidRPr="00C14F5F">
              <w:rPr>
                <w:rStyle w:val="CommentReference"/>
              </w:rPr>
              <w:t>Benefits</w:t>
            </w:r>
          </w:p>
        </w:tc>
      </w:tr>
      <w:tr w:rsidR="00B71180" w:rsidRPr="0023111B" w:rsidTr="00F32FD6">
        <w:tc>
          <w:tcPr>
            <w:tcW w:w="2235" w:type="dxa"/>
          </w:tcPr>
          <w:p w:rsidR="00B71180" w:rsidRPr="00762B05" w:rsidRDefault="00B71180" w:rsidP="00F32FD6">
            <w:pPr>
              <w:jc w:val="left"/>
              <w:rPr>
                <w:rStyle w:val="CommentReference"/>
                <w:b w:val="0"/>
              </w:rPr>
            </w:pPr>
            <w:r w:rsidRPr="00762B05">
              <w:rPr>
                <w:rStyle w:val="CommentReference"/>
                <w:b w:val="0"/>
              </w:rPr>
              <w:t>Percentage urine samples negative for illicit opioids (excluding self-reports)</w:t>
            </w:r>
          </w:p>
        </w:tc>
        <w:tc>
          <w:tcPr>
            <w:tcW w:w="1752" w:type="dxa"/>
          </w:tcPr>
          <w:p w:rsidR="00B71180" w:rsidRPr="00762B05" w:rsidRDefault="00B71180" w:rsidP="00F32FD6">
            <w:pPr>
              <w:jc w:val="center"/>
              <w:rPr>
                <w:rStyle w:val="CommentReference"/>
                <w:b w:val="0"/>
                <w:szCs w:val="20"/>
              </w:rPr>
            </w:pPr>
            <w:r w:rsidRPr="00762B05">
              <w:rPr>
                <w:rStyle w:val="CommentReference"/>
                <w:b w:val="0"/>
                <w:szCs w:val="20"/>
              </w:rPr>
              <w:t>35.1%</w:t>
            </w:r>
          </w:p>
        </w:tc>
        <w:tc>
          <w:tcPr>
            <w:tcW w:w="1752" w:type="dxa"/>
          </w:tcPr>
          <w:p w:rsidR="00B71180" w:rsidRPr="00762B05" w:rsidRDefault="00B71180" w:rsidP="00F32FD6">
            <w:pPr>
              <w:jc w:val="center"/>
              <w:rPr>
                <w:rStyle w:val="CommentReference"/>
                <w:b w:val="0"/>
                <w:szCs w:val="20"/>
              </w:rPr>
            </w:pPr>
            <w:r w:rsidRPr="00762B05">
              <w:rPr>
                <w:rStyle w:val="CommentReference"/>
                <w:b w:val="0"/>
                <w:szCs w:val="20"/>
              </w:rPr>
              <w:t>28.4%</w:t>
            </w:r>
          </w:p>
        </w:tc>
        <w:tc>
          <w:tcPr>
            <w:tcW w:w="1752" w:type="dxa"/>
          </w:tcPr>
          <w:p w:rsidR="00B71180" w:rsidRPr="00762B05" w:rsidRDefault="00596C80" w:rsidP="00F32FD6">
            <w:pPr>
              <w:jc w:val="center"/>
              <w:rPr>
                <w:rFonts w:ascii="Arial Narrow" w:hAnsi="Arial Narrow"/>
                <w:sz w:val="20"/>
              </w:rPr>
            </w:pPr>
            <w:r w:rsidRPr="00762B05">
              <w:rPr>
                <w:rFonts w:ascii="Arial Narrow" w:hAnsi="Arial Narrow"/>
                <w:sz w:val="20"/>
              </w:rPr>
              <w:t>6.7% (-0.1, 13.6)</w:t>
            </w:r>
          </w:p>
        </w:tc>
        <w:tc>
          <w:tcPr>
            <w:tcW w:w="1752" w:type="dxa"/>
          </w:tcPr>
          <w:p w:rsidR="00B051F1" w:rsidRDefault="00B71180" w:rsidP="00F32FD6">
            <w:pPr>
              <w:jc w:val="center"/>
              <w:rPr>
                <w:b/>
              </w:rPr>
            </w:pPr>
            <w:r w:rsidRPr="00762B05">
              <w:rPr>
                <w:rFonts w:ascii="Arial Narrow" w:eastAsia="TimesNewRoman" w:hAnsi="Arial Narrow" w:cs="TimesNewRoman"/>
                <w:snapToGrid/>
                <w:sz w:val="20"/>
              </w:rPr>
              <w:t>(&lt;0.001)</w:t>
            </w:r>
            <w:r w:rsidR="00B051F1" w:rsidRPr="00B051F1">
              <w:rPr>
                <w:b/>
              </w:rPr>
              <w:t xml:space="preserve"> </w:t>
            </w:r>
          </w:p>
          <w:p w:rsidR="00B71180" w:rsidRPr="00762B05" w:rsidRDefault="00B051F1" w:rsidP="00F32FD6">
            <w:pPr>
              <w:jc w:val="center"/>
              <w:rPr>
                <w:rFonts w:ascii="Arial Narrow" w:eastAsia="TimesNewRoman" w:hAnsi="Arial Narrow" w:cs="TimesNewRoman"/>
                <w:snapToGrid/>
                <w:sz w:val="20"/>
              </w:rPr>
            </w:pPr>
            <w:r w:rsidRPr="00B051F1">
              <w:rPr>
                <w:rFonts w:ascii="Arial Narrow" w:eastAsia="TimesNewRoman" w:hAnsi="Arial Narrow" w:cs="TimesNewRoman"/>
                <w:snapToGrid/>
                <w:sz w:val="20"/>
              </w:rPr>
              <w:t>(non</w:t>
            </w:r>
            <w:r>
              <w:rPr>
                <w:rFonts w:ascii="Arial Narrow" w:eastAsia="TimesNewRoman" w:hAnsi="Arial Narrow" w:cs="TimesNewRoman"/>
                <w:snapToGrid/>
                <w:sz w:val="20"/>
              </w:rPr>
              <w:t>-</w:t>
            </w:r>
            <w:r w:rsidRPr="00B051F1">
              <w:rPr>
                <w:rFonts w:ascii="Arial Narrow" w:eastAsia="TimesNewRoman" w:hAnsi="Arial Narrow" w:cs="TimesNewRoman"/>
                <w:snapToGrid/>
                <w:sz w:val="20"/>
              </w:rPr>
              <w:t>inferiority)</w:t>
            </w:r>
          </w:p>
        </w:tc>
      </w:tr>
      <w:tr w:rsidR="00B71180" w:rsidRPr="0023111B" w:rsidTr="00F32FD6">
        <w:tc>
          <w:tcPr>
            <w:tcW w:w="2235" w:type="dxa"/>
          </w:tcPr>
          <w:p w:rsidR="00B71180" w:rsidRPr="00762B05" w:rsidRDefault="00B71180" w:rsidP="00F32FD6">
            <w:pPr>
              <w:jc w:val="left"/>
              <w:rPr>
                <w:rStyle w:val="CommentReference"/>
                <w:b w:val="0"/>
              </w:rPr>
            </w:pPr>
            <w:r w:rsidRPr="00762B05">
              <w:rPr>
                <w:rStyle w:val="CommentReference"/>
                <w:b w:val="0"/>
              </w:rPr>
              <w:t>Responder rate (including self-reports)</w:t>
            </w:r>
          </w:p>
        </w:tc>
        <w:tc>
          <w:tcPr>
            <w:tcW w:w="1752" w:type="dxa"/>
          </w:tcPr>
          <w:p w:rsidR="00B71180" w:rsidRPr="00762B05" w:rsidRDefault="00B71180" w:rsidP="00F32FD6">
            <w:pPr>
              <w:jc w:val="center"/>
              <w:rPr>
                <w:rStyle w:val="CommentReference"/>
                <w:b w:val="0"/>
                <w:szCs w:val="20"/>
              </w:rPr>
            </w:pPr>
            <w:r w:rsidRPr="00762B05">
              <w:rPr>
                <w:rStyle w:val="CommentReference"/>
                <w:b w:val="0"/>
                <w:szCs w:val="20"/>
              </w:rPr>
              <w:t>17.4%</w:t>
            </w:r>
          </w:p>
        </w:tc>
        <w:tc>
          <w:tcPr>
            <w:tcW w:w="1752" w:type="dxa"/>
          </w:tcPr>
          <w:p w:rsidR="00B71180" w:rsidRPr="00762B05" w:rsidRDefault="00B71180" w:rsidP="00F32FD6">
            <w:pPr>
              <w:jc w:val="center"/>
              <w:rPr>
                <w:rStyle w:val="CommentReference"/>
                <w:b w:val="0"/>
                <w:szCs w:val="20"/>
              </w:rPr>
            </w:pPr>
            <w:r w:rsidRPr="00762B05">
              <w:rPr>
                <w:rStyle w:val="CommentReference"/>
                <w:b w:val="0"/>
                <w:szCs w:val="20"/>
              </w:rPr>
              <w:t>14.4%</w:t>
            </w:r>
          </w:p>
        </w:tc>
        <w:tc>
          <w:tcPr>
            <w:tcW w:w="1752" w:type="dxa"/>
          </w:tcPr>
          <w:p w:rsidR="00B71180" w:rsidRPr="00762B05" w:rsidRDefault="00596C80" w:rsidP="00596C80">
            <w:pPr>
              <w:jc w:val="center"/>
              <w:rPr>
                <w:rFonts w:ascii="Arial Narrow" w:hAnsi="Arial Narrow"/>
                <w:sz w:val="20"/>
              </w:rPr>
            </w:pPr>
            <w:r w:rsidRPr="00762B05">
              <w:rPr>
                <w:rFonts w:ascii="Arial Narrow" w:hAnsi="Arial Narrow"/>
                <w:sz w:val="20"/>
              </w:rPr>
              <w:t>3.0% (-4.0, 9.9)</w:t>
            </w:r>
          </w:p>
        </w:tc>
        <w:tc>
          <w:tcPr>
            <w:tcW w:w="1752" w:type="dxa"/>
          </w:tcPr>
          <w:p w:rsidR="00B71180" w:rsidRDefault="00B71180" w:rsidP="00F32FD6">
            <w:pPr>
              <w:jc w:val="center"/>
              <w:rPr>
                <w:rFonts w:ascii="Arial Narrow" w:eastAsia="TimesNewRoman" w:hAnsi="Arial Narrow" w:cs="TimesNewRoman"/>
                <w:snapToGrid/>
                <w:sz w:val="20"/>
              </w:rPr>
            </w:pPr>
            <w:r w:rsidRPr="00762B05">
              <w:rPr>
                <w:rFonts w:ascii="Arial Narrow" w:eastAsia="TimesNewRoman" w:hAnsi="Arial Narrow" w:cs="TimesNewRoman"/>
                <w:snapToGrid/>
                <w:sz w:val="20"/>
              </w:rPr>
              <w:t>(&lt;0.001)</w:t>
            </w:r>
          </w:p>
          <w:p w:rsidR="00B051F1" w:rsidRPr="00B051F1" w:rsidRDefault="00B051F1" w:rsidP="00F32FD6">
            <w:pPr>
              <w:jc w:val="center"/>
              <w:rPr>
                <w:rFonts w:ascii="Arial Narrow" w:eastAsia="TimesNewRoman" w:hAnsi="Arial Narrow" w:cs="TimesNewRoman"/>
                <w:snapToGrid/>
                <w:sz w:val="20"/>
              </w:rPr>
            </w:pPr>
            <w:r w:rsidRPr="00B051F1">
              <w:rPr>
                <w:rFonts w:ascii="Arial Narrow" w:eastAsia="TimesNewRoman" w:hAnsi="Arial Narrow" w:cs="TimesNewRoman"/>
                <w:snapToGrid/>
                <w:sz w:val="20"/>
              </w:rPr>
              <w:t>(non</w:t>
            </w:r>
            <w:r>
              <w:rPr>
                <w:rFonts w:ascii="Arial Narrow" w:eastAsia="TimesNewRoman" w:hAnsi="Arial Narrow" w:cs="TimesNewRoman"/>
                <w:snapToGrid/>
                <w:sz w:val="20"/>
              </w:rPr>
              <w:t>-</w:t>
            </w:r>
            <w:r w:rsidRPr="00B051F1">
              <w:rPr>
                <w:rFonts w:ascii="Arial Narrow" w:eastAsia="TimesNewRoman" w:hAnsi="Arial Narrow" w:cs="TimesNewRoman"/>
                <w:snapToGrid/>
                <w:sz w:val="20"/>
              </w:rPr>
              <w:t>inferiority)</w:t>
            </w:r>
          </w:p>
        </w:tc>
      </w:tr>
      <w:tr w:rsidR="00B71180" w:rsidRPr="0023111B" w:rsidTr="00F32FD6">
        <w:tc>
          <w:tcPr>
            <w:tcW w:w="2235" w:type="dxa"/>
          </w:tcPr>
          <w:p w:rsidR="00B71180" w:rsidRPr="002B5AC2" w:rsidRDefault="00B71180" w:rsidP="00F32FD6">
            <w:pPr>
              <w:jc w:val="left"/>
              <w:rPr>
                <w:rStyle w:val="CommentReference"/>
                <w:b w:val="0"/>
              </w:rPr>
            </w:pPr>
            <w:r>
              <w:rPr>
                <w:rStyle w:val="CommentReference"/>
                <w:b w:val="0"/>
              </w:rPr>
              <w:t>Percentage of urine samples negative for illicit opioids for half of all patients treated (CDF)</w:t>
            </w:r>
          </w:p>
        </w:tc>
        <w:tc>
          <w:tcPr>
            <w:tcW w:w="1752" w:type="dxa"/>
          </w:tcPr>
          <w:p w:rsidR="00B71180" w:rsidRPr="002B5AC2" w:rsidRDefault="00B71180" w:rsidP="00F32FD6">
            <w:pPr>
              <w:jc w:val="center"/>
              <w:rPr>
                <w:rStyle w:val="CommentReference"/>
                <w:b w:val="0"/>
                <w:szCs w:val="20"/>
              </w:rPr>
            </w:pPr>
            <w:r w:rsidRPr="002B5AC2">
              <w:rPr>
                <w:rStyle w:val="CommentReference"/>
                <w:b w:val="0"/>
                <w:szCs w:val="20"/>
              </w:rPr>
              <w:t>26.7%</w:t>
            </w:r>
          </w:p>
        </w:tc>
        <w:tc>
          <w:tcPr>
            <w:tcW w:w="1752" w:type="dxa"/>
          </w:tcPr>
          <w:p w:rsidR="00B71180" w:rsidRPr="002B5AC2" w:rsidRDefault="00B71180" w:rsidP="00F32FD6">
            <w:pPr>
              <w:jc w:val="center"/>
              <w:rPr>
                <w:rStyle w:val="CommentReference"/>
                <w:b w:val="0"/>
                <w:szCs w:val="20"/>
              </w:rPr>
            </w:pPr>
            <w:r w:rsidRPr="002B5AC2">
              <w:rPr>
                <w:rStyle w:val="CommentReference"/>
                <w:b w:val="0"/>
                <w:szCs w:val="20"/>
              </w:rPr>
              <w:t>6.7%</w:t>
            </w:r>
          </w:p>
        </w:tc>
        <w:tc>
          <w:tcPr>
            <w:tcW w:w="1752" w:type="dxa"/>
          </w:tcPr>
          <w:p w:rsidR="00B71180" w:rsidRPr="002B5AC2" w:rsidRDefault="00B71180" w:rsidP="00F32FD6">
            <w:pPr>
              <w:jc w:val="center"/>
              <w:rPr>
                <w:rFonts w:ascii="Arial Narrow" w:hAnsi="Arial Narrow"/>
                <w:sz w:val="20"/>
              </w:rPr>
            </w:pPr>
            <w:r w:rsidRPr="002B5AC2">
              <w:rPr>
                <w:rFonts w:ascii="Arial Narrow" w:hAnsi="Arial Narrow"/>
                <w:sz w:val="20"/>
              </w:rPr>
              <w:t>20%</w:t>
            </w:r>
          </w:p>
        </w:tc>
        <w:tc>
          <w:tcPr>
            <w:tcW w:w="1752" w:type="dxa"/>
          </w:tcPr>
          <w:p w:rsidR="00B71180" w:rsidRPr="002B5AC2" w:rsidRDefault="00B71180" w:rsidP="00F32FD6">
            <w:pPr>
              <w:jc w:val="center"/>
              <w:rPr>
                <w:rFonts w:ascii="Arial Narrow" w:hAnsi="Arial Narrow"/>
                <w:sz w:val="20"/>
              </w:rPr>
            </w:pPr>
            <w:r w:rsidRPr="002B5AC2">
              <w:rPr>
                <w:rFonts w:ascii="Arial Narrow" w:eastAsia="TimesNewRoman" w:hAnsi="Arial Narrow" w:cs="TimesNewRoman"/>
                <w:snapToGrid/>
                <w:sz w:val="20"/>
              </w:rPr>
              <w:t>2.66 (0.008)</w:t>
            </w:r>
          </w:p>
        </w:tc>
      </w:tr>
      <w:tr w:rsidR="00B71180" w:rsidRPr="0023111B" w:rsidTr="00F32FD6">
        <w:tc>
          <w:tcPr>
            <w:tcW w:w="2235" w:type="dxa"/>
          </w:tcPr>
          <w:p w:rsidR="00B71180" w:rsidRPr="00762B05" w:rsidRDefault="00B71180" w:rsidP="00F32FD6">
            <w:pPr>
              <w:jc w:val="left"/>
              <w:rPr>
                <w:rStyle w:val="CommentReference"/>
                <w:b w:val="0"/>
              </w:rPr>
            </w:pPr>
            <w:r w:rsidRPr="00762B05">
              <w:rPr>
                <w:rStyle w:val="CommentReference"/>
                <w:b w:val="0"/>
              </w:rPr>
              <w:t>Patients with sustained abstinence</w:t>
            </w:r>
            <w:r w:rsidR="00F32FD6" w:rsidRPr="00762B05">
              <w:rPr>
                <w:rStyle w:val="CommentReference"/>
                <w:b w:val="0"/>
              </w:rPr>
              <w:t xml:space="preserve"> of opioid use</w:t>
            </w:r>
          </w:p>
        </w:tc>
        <w:tc>
          <w:tcPr>
            <w:tcW w:w="1752" w:type="dxa"/>
          </w:tcPr>
          <w:p w:rsidR="00B71180" w:rsidRPr="00762B05" w:rsidRDefault="00B71180" w:rsidP="00F32FD6">
            <w:pPr>
              <w:jc w:val="center"/>
              <w:rPr>
                <w:rStyle w:val="CommentReference"/>
                <w:b w:val="0"/>
                <w:szCs w:val="20"/>
              </w:rPr>
            </w:pPr>
            <w:r w:rsidRPr="00762B05">
              <w:rPr>
                <w:rStyle w:val="CommentReference"/>
                <w:b w:val="0"/>
                <w:szCs w:val="20"/>
              </w:rPr>
              <w:t>18.31%</w:t>
            </w:r>
          </w:p>
        </w:tc>
        <w:tc>
          <w:tcPr>
            <w:tcW w:w="1752" w:type="dxa"/>
          </w:tcPr>
          <w:p w:rsidR="00B71180" w:rsidRPr="00762B05" w:rsidRDefault="00B71180" w:rsidP="00F32FD6">
            <w:pPr>
              <w:jc w:val="center"/>
              <w:rPr>
                <w:rStyle w:val="CommentReference"/>
                <w:b w:val="0"/>
                <w:szCs w:val="20"/>
              </w:rPr>
            </w:pPr>
            <w:r w:rsidRPr="00762B05">
              <w:rPr>
                <w:rStyle w:val="CommentReference"/>
                <w:b w:val="0"/>
                <w:szCs w:val="20"/>
              </w:rPr>
              <w:t>13.95%</w:t>
            </w:r>
          </w:p>
        </w:tc>
        <w:tc>
          <w:tcPr>
            <w:tcW w:w="1752" w:type="dxa"/>
          </w:tcPr>
          <w:p w:rsidR="00B71180" w:rsidRPr="00762B05" w:rsidRDefault="00596C80" w:rsidP="00F32FD6">
            <w:pPr>
              <w:jc w:val="center"/>
              <w:rPr>
                <w:rFonts w:ascii="Arial Narrow" w:hAnsi="Arial Narrow"/>
                <w:sz w:val="20"/>
              </w:rPr>
            </w:pPr>
            <w:r w:rsidRPr="00762B05">
              <w:rPr>
                <w:rFonts w:ascii="Arial Narrow" w:hAnsi="Arial Narrow"/>
                <w:sz w:val="20"/>
              </w:rPr>
              <w:t xml:space="preserve">4.36% </w:t>
            </w:r>
          </w:p>
        </w:tc>
        <w:tc>
          <w:tcPr>
            <w:tcW w:w="1752" w:type="dxa"/>
          </w:tcPr>
          <w:p w:rsidR="00B71180" w:rsidRPr="00762B05" w:rsidRDefault="00B71180" w:rsidP="00F32FD6">
            <w:pPr>
              <w:jc w:val="center"/>
              <w:rPr>
                <w:rFonts w:ascii="Arial Narrow" w:eastAsia="TimesNewRoman" w:hAnsi="Arial Narrow" w:cs="TimesNewRoman"/>
                <w:snapToGrid/>
                <w:sz w:val="20"/>
              </w:rPr>
            </w:pPr>
            <w:r w:rsidRPr="00762B05">
              <w:rPr>
                <w:rFonts w:ascii="Arial Narrow" w:eastAsia="TimesNewRoman" w:hAnsi="Arial Narrow" w:cs="TimesNewRoman"/>
                <w:snapToGrid/>
                <w:sz w:val="20"/>
              </w:rPr>
              <w:t>(0.221)</w:t>
            </w:r>
          </w:p>
        </w:tc>
      </w:tr>
      <w:tr w:rsidR="00B71180" w:rsidRPr="0023111B" w:rsidTr="00F32FD6">
        <w:tc>
          <w:tcPr>
            <w:tcW w:w="2235" w:type="dxa"/>
          </w:tcPr>
          <w:p w:rsidR="00B71180" w:rsidRPr="00762B05" w:rsidRDefault="00B71180" w:rsidP="00F32FD6">
            <w:pPr>
              <w:jc w:val="left"/>
              <w:rPr>
                <w:rStyle w:val="CommentReference"/>
                <w:b w:val="0"/>
              </w:rPr>
            </w:pPr>
            <w:r w:rsidRPr="00762B05">
              <w:rPr>
                <w:rStyle w:val="CommentReference"/>
                <w:b w:val="0"/>
              </w:rPr>
              <w:t>Patients remaining on treatment</w:t>
            </w:r>
          </w:p>
        </w:tc>
        <w:tc>
          <w:tcPr>
            <w:tcW w:w="1752" w:type="dxa"/>
          </w:tcPr>
          <w:p w:rsidR="00B71180" w:rsidRPr="00762B05" w:rsidRDefault="00B71180" w:rsidP="00F32FD6">
            <w:pPr>
              <w:jc w:val="center"/>
              <w:rPr>
                <w:rStyle w:val="CommentReference"/>
                <w:b w:val="0"/>
                <w:szCs w:val="20"/>
              </w:rPr>
            </w:pPr>
            <w:r w:rsidRPr="00762B05">
              <w:rPr>
                <w:rStyle w:val="CommentReference"/>
                <w:b w:val="0"/>
                <w:szCs w:val="20"/>
              </w:rPr>
              <w:t>56.8%</w:t>
            </w:r>
          </w:p>
        </w:tc>
        <w:tc>
          <w:tcPr>
            <w:tcW w:w="1752" w:type="dxa"/>
          </w:tcPr>
          <w:p w:rsidR="00B71180" w:rsidRPr="00762B05" w:rsidRDefault="00B71180" w:rsidP="00F32FD6">
            <w:pPr>
              <w:jc w:val="center"/>
              <w:rPr>
                <w:rStyle w:val="CommentReference"/>
                <w:b w:val="0"/>
                <w:szCs w:val="20"/>
              </w:rPr>
            </w:pPr>
            <w:r w:rsidRPr="00762B05">
              <w:rPr>
                <w:rStyle w:val="CommentReference"/>
                <w:b w:val="0"/>
                <w:szCs w:val="20"/>
              </w:rPr>
              <w:t>58.6%</w:t>
            </w:r>
          </w:p>
        </w:tc>
        <w:tc>
          <w:tcPr>
            <w:tcW w:w="1752" w:type="dxa"/>
          </w:tcPr>
          <w:p w:rsidR="00B71180" w:rsidRPr="00762B05" w:rsidRDefault="00596C80" w:rsidP="00F32FD6">
            <w:pPr>
              <w:jc w:val="center"/>
              <w:rPr>
                <w:rFonts w:ascii="Arial Narrow" w:hAnsi="Arial Narrow"/>
                <w:sz w:val="20"/>
              </w:rPr>
            </w:pPr>
            <w:r w:rsidRPr="00762B05">
              <w:rPr>
                <w:rFonts w:ascii="Arial Narrow" w:hAnsi="Arial Narrow"/>
                <w:sz w:val="20"/>
              </w:rPr>
              <w:t>-1.8% (-11.2, 7.6)</w:t>
            </w:r>
          </w:p>
        </w:tc>
        <w:tc>
          <w:tcPr>
            <w:tcW w:w="1752" w:type="dxa"/>
          </w:tcPr>
          <w:p w:rsidR="00B71180" w:rsidRPr="00762B05" w:rsidRDefault="00B71180" w:rsidP="00F32FD6">
            <w:pPr>
              <w:jc w:val="center"/>
              <w:rPr>
                <w:rFonts w:ascii="Arial Narrow" w:eastAsia="TimesNewRoman" w:hAnsi="Arial Narrow" w:cs="TimesNewRoman"/>
                <w:snapToGrid/>
                <w:sz w:val="20"/>
              </w:rPr>
            </w:pPr>
            <w:r w:rsidRPr="00762B05">
              <w:rPr>
                <w:rFonts w:ascii="Arial Narrow" w:eastAsia="TimesNewRoman" w:hAnsi="Arial Narrow" w:cs="TimesNewRoman"/>
                <w:snapToGrid/>
                <w:sz w:val="20"/>
              </w:rPr>
              <w:t>(0.006)</w:t>
            </w:r>
          </w:p>
        </w:tc>
      </w:tr>
      <w:tr w:rsidR="00B71180" w:rsidRPr="0023111B" w:rsidTr="00F32FD6">
        <w:tc>
          <w:tcPr>
            <w:tcW w:w="2235" w:type="dxa"/>
            <w:vMerge w:val="restart"/>
            <w:vAlign w:val="center"/>
          </w:tcPr>
          <w:p w:rsidR="00B71180" w:rsidRPr="0023111B" w:rsidRDefault="00B71180" w:rsidP="00F32FD6">
            <w:pPr>
              <w:jc w:val="left"/>
              <w:rPr>
                <w:rStyle w:val="CommentReference"/>
              </w:rPr>
            </w:pPr>
            <w:r>
              <w:rPr>
                <w:rStyle w:val="CommentReference"/>
              </w:rPr>
              <w:t>Harms</w:t>
            </w:r>
          </w:p>
        </w:tc>
        <w:tc>
          <w:tcPr>
            <w:tcW w:w="1752" w:type="dxa"/>
            <w:vMerge w:val="restart"/>
            <w:tcBorders>
              <w:left w:val="single" w:sz="4" w:space="0" w:color="auto"/>
              <w:right w:val="single" w:sz="4" w:space="0" w:color="auto"/>
            </w:tcBorders>
            <w:vAlign w:val="center"/>
          </w:tcPr>
          <w:p w:rsidR="00B71180" w:rsidRPr="0023111B" w:rsidRDefault="00B71180" w:rsidP="00F32FD6">
            <w:pPr>
              <w:jc w:val="center"/>
              <w:rPr>
                <w:rStyle w:val="CommentReference"/>
              </w:rPr>
            </w:pPr>
            <w:r w:rsidRPr="0023111B">
              <w:rPr>
                <w:rFonts w:ascii="Arial Narrow" w:hAnsi="Arial Narrow"/>
                <w:b/>
                <w:sz w:val="20"/>
              </w:rPr>
              <w:t>Prolonged release buprenorphine, n/N</w:t>
            </w:r>
          </w:p>
        </w:tc>
        <w:tc>
          <w:tcPr>
            <w:tcW w:w="1752" w:type="dxa"/>
            <w:vMerge w:val="restart"/>
            <w:tcBorders>
              <w:left w:val="single" w:sz="4" w:space="0" w:color="auto"/>
              <w:right w:val="single" w:sz="4" w:space="0" w:color="auto"/>
            </w:tcBorders>
            <w:vAlign w:val="center"/>
          </w:tcPr>
          <w:p w:rsidR="00B71180" w:rsidRPr="0023111B" w:rsidRDefault="00B71180" w:rsidP="00F32FD6">
            <w:pPr>
              <w:jc w:val="center"/>
              <w:rPr>
                <w:rStyle w:val="CommentReference"/>
              </w:rPr>
            </w:pPr>
            <w:r w:rsidRPr="0023111B">
              <w:rPr>
                <w:rFonts w:ascii="Arial Narrow" w:hAnsi="Arial Narrow"/>
                <w:b/>
                <w:sz w:val="20"/>
              </w:rPr>
              <w:t>S</w:t>
            </w:r>
            <w:r>
              <w:rPr>
                <w:rFonts w:ascii="Arial Narrow" w:hAnsi="Arial Narrow"/>
                <w:b/>
                <w:sz w:val="20"/>
              </w:rPr>
              <w:t xml:space="preserve">L </w:t>
            </w:r>
            <w:r w:rsidRPr="0023111B">
              <w:rPr>
                <w:rFonts w:ascii="Arial Narrow" w:hAnsi="Arial Narrow"/>
                <w:b/>
                <w:sz w:val="20"/>
              </w:rPr>
              <w:t>buprenorphine/ naloxone, n/N</w:t>
            </w: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B71180" w:rsidRPr="0023111B" w:rsidRDefault="00B71180" w:rsidP="00F32FD6">
            <w:pPr>
              <w:jc w:val="center"/>
              <w:rPr>
                <w:rFonts w:ascii="Arial Narrow" w:hAnsi="Arial Narrow"/>
                <w:b/>
                <w:sz w:val="20"/>
              </w:rPr>
            </w:pPr>
            <w:r w:rsidRPr="0023111B">
              <w:rPr>
                <w:rFonts w:ascii="Arial Narrow" w:hAnsi="Arial Narrow"/>
                <w:b/>
                <w:color w:val="000000"/>
                <w:sz w:val="20"/>
                <w:szCs w:val="18"/>
              </w:rPr>
              <w:t>Event rate/100 patients</w:t>
            </w:r>
          </w:p>
        </w:tc>
      </w:tr>
      <w:tr w:rsidR="00B71180" w:rsidRPr="0023111B" w:rsidTr="00726D10">
        <w:trPr>
          <w:trHeight w:val="63"/>
        </w:trPr>
        <w:tc>
          <w:tcPr>
            <w:tcW w:w="2235" w:type="dxa"/>
            <w:vMerge/>
          </w:tcPr>
          <w:p w:rsidR="00B71180" w:rsidRPr="0023111B" w:rsidRDefault="00B71180" w:rsidP="00F32FD6">
            <w:pPr>
              <w:rPr>
                <w:rStyle w:val="CommentReference"/>
              </w:rPr>
            </w:pPr>
          </w:p>
        </w:tc>
        <w:tc>
          <w:tcPr>
            <w:tcW w:w="1752" w:type="dxa"/>
            <w:vMerge/>
            <w:tcBorders>
              <w:left w:val="single" w:sz="4" w:space="0" w:color="auto"/>
              <w:right w:val="single" w:sz="4" w:space="0" w:color="auto"/>
            </w:tcBorders>
            <w:vAlign w:val="center"/>
          </w:tcPr>
          <w:p w:rsidR="00B71180" w:rsidRPr="0023111B" w:rsidRDefault="00B71180" w:rsidP="00F32FD6">
            <w:pPr>
              <w:jc w:val="center"/>
              <w:rPr>
                <w:rStyle w:val="CommentReference"/>
              </w:rPr>
            </w:pPr>
          </w:p>
        </w:tc>
        <w:tc>
          <w:tcPr>
            <w:tcW w:w="1752" w:type="dxa"/>
            <w:vMerge/>
            <w:tcBorders>
              <w:left w:val="single" w:sz="4" w:space="0" w:color="auto"/>
              <w:right w:val="single" w:sz="4" w:space="0" w:color="auto"/>
            </w:tcBorders>
            <w:vAlign w:val="center"/>
          </w:tcPr>
          <w:p w:rsidR="00B71180" w:rsidRPr="0023111B" w:rsidRDefault="00B71180" w:rsidP="00F32FD6">
            <w:pPr>
              <w:jc w:val="center"/>
              <w:rPr>
                <w:rStyle w:val="CommentReference"/>
              </w:rPr>
            </w:pPr>
          </w:p>
        </w:tc>
        <w:tc>
          <w:tcPr>
            <w:tcW w:w="1752" w:type="dxa"/>
            <w:vAlign w:val="center"/>
          </w:tcPr>
          <w:p w:rsidR="00B71180" w:rsidRPr="0023111B" w:rsidRDefault="00B71180" w:rsidP="00F32FD6">
            <w:pPr>
              <w:jc w:val="center"/>
              <w:rPr>
                <w:rStyle w:val="CommentReference"/>
              </w:rPr>
            </w:pPr>
            <w:r w:rsidRPr="0023111B">
              <w:rPr>
                <w:rFonts w:ascii="Arial Narrow" w:hAnsi="Arial Narrow"/>
                <w:b/>
                <w:sz w:val="20"/>
              </w:rPr>
              <w:t>Prolonged release buprenorphine</w:t>
            </w:r>
          </w:p>
        </w:tc>
        <w:tc>
          <w:tcPr>
            <w:tcW w:w="1752" w:type="dxa"/>
            <w:vAlign w:val="center"/>
          </w:tcPr>
          <w:p w:rsidR="00B71180" w:rsidRPr="0023111B" w:rsidRDefault="00B71180" w:rsidP="00F32FD6">
            <w:pPr>
              <w:jc w:val="center"/>
              <w:rPr>
                <w:rStyle w:val="CommentReference"/>
              </w:rPr>
            </w:pPr>
            <w:r w:rsidRPr="0023111B">
              <w:rPr>
                <w:rFonts w:ascii="Arial Narrow" w:hAnsi="Arial Narrow"/>
                <w:b/>
                <w:sz w:val="20"/>
              </w:rPr>
              <w:t>S</w:t>
            </w:r>
            <w:r>
              <w:rPr>
                <w:rFonts w:ascii="Arial Narrow" w:hAnsi="Arial Narrow"/>
                <w:b/>
                <w:sz w:val="20"/>
              </w:rPr>
              <w:t>L</w:t>
            </w:r>
            <w:r w:rsidRPr="0023111B">
              <w:rPr>
                <w:rFonts w:ascii="Arial Narrow" w:hAnsi="Arial Narrow"/>
                <w:b/>
                <w:sz w:val="20"/>
              </w:rPr>
              <w:t xml:space="preserve"> buprenorphine/ naloxone</w:t>
            </w:r>
          </w:p>
        </w:tc>
      </w:tr>
      <w:tr w:rsidR="00B71180" w:rsidRPr="0023111B" w:rsidTr="00F32FD6">
        <w:tc>
          <w:tcPr>
            <w:tcW w:w="2235" w:type="dxa"/>
          </w:tcPr>
          <w:p w:rsidR="00B71180" w:rsidRPr="002B5AC2" w:rsidRDefault="00B71180" w:rsidP="00F32FD6">
            <w:pPr>
              <w:jc w:val="left"/>
              <w:rPr>
                <w:rStyle w:val="CommentReference"/>
                <w:b w:val="0"/>
              </w:rPr>
            </w:pPr>
            <w:r w:rsidRPr="002B5AC2">
              <w:rPr>
                <w:rStyle w:val="CommentReference"/>
                <w:b w:val="0"/>
              </w:rPr>
              <w:t>Treatment related injection-site adverse event</w:t>
            </w:r>
          </w:p>
        </w:tc>
        <w:tc>
          <w:tcPr>
            <w:tcW w:w="1752" w:type="dxa"/>
          </w:tcPr>
          <w:p w:rsidR="00B71180" w:rsidRPr="002B5AC2" w:rsidRDefault="00B71180" w:rsidP="00F32FD6">
            <w:pPr>
              <w:jc w:val="center"/>
              <w:rPr>
                <w:rStyle w:val="CommentReference"/>
                <w:b w:val="0"/>
              </w:rPr>
            </w:pPr>
            <w:r w:rsidRPr="002B5AC2">
              <w:rPr>
                <w:rStyle w:val="CommentReference"/>
                <w:b w:val="0"/>
              </w:rPr>
              <w:t>36/213</w:t>
            </w:r>
          </w:p>
        </w:tc>
        <w:tc>
          <w:tcPr>
            <w:tcW w:w="1752" w:type="dxa"/>
          </w:tcPr>
          <w:p w:rsidR="00B71180" w:rsidRPr="002B5AC2" w:rsidRDefault="00B71180" w:rsidP="00F32FD6">
            <w:pPr>
              <w:jc w:val="center"/>
              <w:rPr>
                <w:rStyle w:val="CommentReference"/>
                <w:b w:val="0"/>
              </w:rPr>
            </w:pPr>
            <w:r w:rsidRPr="002B5AC2">
              <w:rPr>
                <w:rStyle w:val="CommentReference"/>
                <w:b w:val="0"/>
              </w:rPr>
              <w:t>Not relevant</w:t>
            </w:r>
          </w:p>
        </w:tc>
        <w:tc>
          <w:tcPr>
            <w:tcW w:w="1752" w:type="dxa"/>
          </w:tcPr>
          <w:p w:rsidR="00B71180" w:rsidRPr="002B5AC2" w:rsidRDefault="00B71180" w:rsidP="00F32FD6">
            <w:pPr>
              <w:jc w:val="center"/>
              <w:rPr>
                <w:rStyle w:val="CommentReference"/>
                <w:b w:val="0"/>
              </w:rPr>
            </w:pPr>
            <w:r w:rsidRPr="002B5AC2">
              <w:rPr>
                <w:rStyle w:val="CommentReference"/>
                <w:b w:val="0"/>
              </w:rPr>
              <w:t>17</w:t>
            </w:r>
          </w:p>
        </w:tc>
        <w:tc>
          <w:tcPr>
            <w:tcW w:w="1752" w:type="dxa"/>
          </w:tcPr>
          <w:p w:rsidR="00B71180" w:rsidRPr="002B5AC2" w:rsidRDefault="00B71180" w:rsidP="00F32FD6">
            <w:pPr>
              <w:jc w:val="center"/>
              <w:rPr>
                <w:rStyle w:val="CommentReference"/>
                <w:b w:val="0"/>
              </w:rPr>
            </w:pPr>
            <w:r w:rsidRPr="002B5AC2">
              <w:rPr>
                <w:rStyle w:val="CommentReference"/>
                <w:b w:val="0"/>
              </w:rPr>
              <w:t>Not relevant</w:t>
            </w:r>
          </w:p>
        </w:tc>
      </w:tr>
      <w:tr w:rsidR="00B71180" w:rsidRPr="0023111B" w:rsidTr="00F32FD6">
        <w:tc>
          <w:tcPr>
            <w:tcW w:w="2235" w:type="dxa"/>
          </w:tcPr>
          <w:p w:rsidR="00B71180" w:rsidRPr="002B5AC2" w:rsidRDefault="00B71180" w:rsidP="00F32FD6">
            <w:pPr>
              <w:rPr>
                <w:rStyle w:val="CommentReference"/>
                <w:b w:val="0"/>
              </w:rPr>
            </w:pPr>
            <w:r w:rsidRPr="002B5AC2">
              <w:rPr>
                <w:rStyle w:val="CommentReference"/>
                <w:b w:val="0"/>
              </w:rPr>
              <w:t>Nausea</w:t>
            </w:r>
          </w:p>
        </w:tc>
        <w:tc>
          <w:tcPr>
            <w:tcW w:w="1752" w:type="dxa"/>
          </w:tcPr>
          <w:p w:rsidR="00B71180" w:rsidRPr="002B5AC2" w:rsidRDefault="00B71180" w:rsidP="00F32FD6">
            <w:pPr>
              <w:jc w:val="center"/>
              <w:rPr>
                <w:rStyle w:val="CommentReference"/>
                <w:b w:val="0"/>
              </w:rPr>
            </w:pPr>
            <w:r w:rsidRPr="002B5AC2">
              <w:rPr>
                <w:rStyle w:val="CommentReference"/>
                <w:b w:val="0"/>
              </w:rPr>
              <w:t>9/213</w:t>
            </w:r>
          </w:p>
        </w:tc>
        <w:tc>
          <w:tcPr>
            <w:tcW w:w="1752" w:type="dxa"/>
          </w:tcPr>
          <w:p w:rsidR="00B71180" w:rsidRPr="002B5AC2" w:rsidRDefault="00B71180" w:rsidP="00F32FD6">
            <w:pPr>
              <w:jc w:val="center"/>
              <w:rPr>
                <w:rStyle w:val="CommentReference"/>
                <w:b w:val="0"/>
              </w:rPr>
            </w:pPr>
            <w:r w:rsidRPr="002B5AC2">
              <w:rPr>
                <w:rStyle w:val="CommentReference"/>
                <w:b w:val="0"/>
              </w:rPr>
              <w:t>3/215</w:t>
            </w:r>
          </w:p>
        </w:tc>
        <w:tc>
          <w:tcPr>
            <w:tcW w:w="1752" w:type="dxa"/>
          </w:tcPr>
          <w:p w:rsidR="00B71180" w:rsidRPr="002B5AC2" w:rsidRDefault="00B71180" w:rsidP="00F32FD6">
            <w:pPr>
              <w:jc w:val="center"/>
              <w:rPr>
                <w:rStyle w:val="CommentReference"/>
                <w:b w:val="0"/>
              </w:rPr>
            </w:pPr>
            <w:r w:rsidRPr="002B5AC2">
              <w:rPr>
                <w:rStyle w:val="CommentReference"/>
                <w:b w:val="0"/>
              </w:rPr>
              <w:t>4</w:t>
            </w:r>
          </w:p>
        </w:tc>
        <w:tc>
          <w:tcPr>
            <w:tcW w:w="1752" w:type="dxa"/>
          </w:tcPr>
          <w:p w:rsidR="00B71180" w:rsidRPr="002B5AC2" w:rsidRDefault="00B71180" w:rsidP="00F32FD6">
            <w:pPr>
              <w:jc w:val="center"/>
              <w:rPr>
                <w:rStyle w:val="CommentReference"/>
                <w:b w:val="0"/>
              </w:rPr>
            </w:pPr>
            <w:r w:rsidRPr="002B5AC2">
              <w:rPr>
                <w:rStyle w:val="CommentReference"/>
                <w:b w:val="0"/>
              </w:rPr>
              <w:t>1</w:t>
            </w:r>
          </w:p>
        </w:tc>
      </w:tr>
      <w:tr w:rsidR="00B71180" w:rsidRPr="0023111B" w:rsidTr="00F32FD6">
        <w:tc>
          <w:tcPr>
            <w:tcW w:w="2235" w:type="dxa"/>
          </w:tcPr>
          <w:p w:rsidR="00B71180" w:rsidRPr="002B5AC2" w:rsidRDefault="00B71180" w:rsidP="00F32FD6">
            <w:pPr>
              <w:rPr>
                <w:rStyle w:val="CommentReference"/>
                <w:b w:val="0"/>
              </w:rPr>
            </w:pPr>
            <w:r w:rsidRPr="002B5AC2">
              <w:rPr>
                <w:rStyle w:val="CommentReference"/>
                <w:b w:val="0"/>
              </w:rPr>
              <w:t>Headache</w:t>
            </w:r>
          </w:p>
        </w:tc>
        <w:tc>
          <w:tcPr>
            <w:tcW w:w="1752" w:type="dxa"/>
          </w:tcPr>
          <w:p w:rsidR="00B71180" w:rsidRPr="002B5AC2" w:rsidRDefault="00B71180" w:rsidP="00F32FD6">
            <w:pPr>
              <w:jc w:val="center"/>
              <w:rPr>
                <w:rStyle w:val="CommentReference"/>
                <w:b w:val="0"/>
              </w:rPr>
            </w:pPr>
            <w:r w:rsidRPr="002B5AC2">
              <w:rPr>
                <w:rStyle w:val="CommentReference"/>
                <w:b w:val="0"/>
              </w:rPr>
              <w:t>8/213</w:t>
            </w:r>
          </w:p>
        </w:tc>
        <w:tc>
          <w:tcPr>
            <w:tcW w:w="1752" w:type="dxa"/>
          </w:tcPr>
          <w:p w:rsidR="00B71180" w:rsidRPr="002B5AC2" w:rsidRDefault="00B71180" w:rsidP="00F32FD6">
            <w:pPr>
              <w:jc w:val="center"/>
              <w:rPr>
                <w:rStyle w:val="CommentReference"/>
                <w:b w:val="0"/>
              </w:rPr>
            </w:pPr>
            <w:r w:rsidRPr="002B5AC2">
              <w:rPr>
                <w:rStyle w:val="CommentReference"/>
                <w:b w:val="0"/>
              </w:rPr>
              <w:t>5/215</w:t>
            </w:r>
          </w:p>
        </w:tc>
        <w:tc>
          <w:tcPr>
            <w:tcW w:w="1752" w:type="dxa"/>
          </w:tcPr>
          <w:p w:rsidR="00B71180" w:rsidRPr="002B5AC2" w:rsidRDefault="00B71180" w:rsidP="00F32FD6">
            <w:pPr>
              <w:jc w:val="center"/>
              <w:rPr>
                <w:rStyle w:val="CommentReference"/>
                <w:b w:val="0"/>
              </w:rPr>
            </w:pPr>
            <w:r w:rsidRPr="002B5AC2">
              <w:rPr>
                <w:rStyle w:val="CommentReference"/>
                <w:b w:val="0"/>
              </w:rPr>
              <w:t>4</w:t>
            </w:r>
          </w:p>
        </w:tc>
        <w:tc>
          <w:tcPr>
            <w:tcW w:w="1752" w:type="dxa"/>
          </w:tcPr>
          <w:p w:rsidR="00B71180" w:rsidRPr="002B5AC2" w:rsidRDefault="00B71180" w:rsidP="00F32FD6">
            <w:pPr>
              <w:jc w:val="center"/>
              <w:rPr>
                <w:rStyle w:val="CommentReference"/>
                <w:b w:val="0"/>
              </w:rPr>
            </w:pPr>
            <w:r w:rsidRPr="002B5AC2">
              <w:rPr>
                <w:rStyle w:val="CommentReference"/>
                <w:b w:val="0"/>
              </w:rPr>
              <w:t>2</w:t>
            </w:r>
          </w:p>
        </w:tc>
      </w:tr>
    </w:tbl>
    <w:p w:rsidR="002B5AC2" w:rsidRPr="002B5AC2" w:rsidRDefault="002B5AC2" w:rsidP="002B5AC2">
      <w:pPr>
        <w:pStyle w:val="TableFooter"/>
        <w:rPr>
          <w:rStyle w:val="CommentReference"/>
          <w:b w:val="0"/>
        </w:rPr>
      </w:pPr>
      <w:r w:rsidRPr="002B5AC2">
        <w:rPr>
          <w:rStyle w:val="CommentReference"/>
          <w:b w:val="0"/>
        </w:rPr>
        <w:t>Source</w:t>
      </w:r>
      <w:r>
        <w:t>:</w:t>
      </w:r>
      <w:r w:rsidRPr="00597B78">
        <w:t xml:space="preserve"> </w:t>
      </w:r>
      <w:r>
        <w:t xml:space="preserve">Table 37, p.78; </w:t>
      </w:r>
      <w:r w:rsidRPr="007F63EC">
        <w:t>Table 39, p.79</w:t>
      </w:r>
      <w:r>
        <w:t>;</w:t>
      </w:r>
      <w:r w:rsidR="00246BA7">
        <w:t xml:space="preserve"> Table 42, p.86; </w:t>
      </w:r>
      <w:r>
        <w:t xml:space="preserve">Table 44, p.89 </w:t>
      </w:r>
      <w:r w:rsidRPr="007F63EC">
        <w:t xml:space="preserve">of the submission; Table 11, p.77 </w:t>
      </w:r>
      <w:r>
        <w:t xml:space="preserve">Table 24, p.107 </w:t>
      </w:r>
      <w:r w:rsidRPr="007F63EC">
        <w:t>HS-11-421 CSR</w:t>
      </w:r>
    </w:p>
    <w:p w:rsidR="002B5AC2" w:rsidRPr="002B5AC2" w:rsidRDefault="002B5AC2" w:rsidP="002B5AC2">
      <w:pPr>
        <w:pStyle w:val="TableFooter"/>
        <w:rPr>
          <w:b/>
        </w:rPr>
      </w:pPr>
      <w:r w:rsidRPr="003F5006">
        <w:t>Abbreviations: CDF, cumulative distribution function; SL, sublingual</w:t>
      </w:r>
      <w:r w:rsidR="009C5771">
        <w:t xml:space="preserve">; </w:t>
      </w:r>
      <w:r w:rsidR="00F32FD6">
        <w:t xml:space="preserve">NS, no statistically significant difference.  </w:t>
      </w:r>
    </w:p>
    <w:p w:rsidR="002B5AC2" w:rsidRDefault="002B5AC2" w:rsidP="007F4A61">
      <w:pPr>
        <w:rPr>
          <w:rStyle w:val="CommentReference"/>
        </w:rPr>
      </w:pPr>
    </w:p>
    <w:p w:rsidR="006B5037" w:rsidRPr="00B8589F" w:rsidRDefault="00597B78" w:rsidP="00DB2F6E">
      <w:pPr>
        <w:pStyle w:val="ListParagraph"/>
        <w:widowControl/>
        <w:numPr>
          <w:ilvl w:val="1"/>
          <w:numId w:val="2"/>
        </w:numPr>
      </w:pPr>
      <w:r>
        <w:t>On the basis of the direct eviden</w:t>
      </w:r>
      <w:r w:rsidR="00246BA7">
        <w:t>ce presented in the submission</w:t>
      </w:r>
      <w:r w:rsidR="003F5006">
        <w:t xml:space="preserve">, </w:t>
      </w:r>
      <w:r w:rsidR="003F5006" w:rsidRPr="00B8589F">
        <w:t>over a period of 24</w:t>
      </w:r>
      <w:r w:rsidR="003F5006" w:rsidRPr="003F5006">
        <w:rPr>
          <w:i/>
        </w:rPr>
        <w:t xml:space="preserve"> </w:t>
      </w:r>
      <w:r w:rsidR="003F5006" w:rsidRPr="00B8589F">
        <w:t>weeks</w:t>
      </w:r>
      <w:r w:rsidR="00246BA7" w:rsidRPr="00B8589F">
        <w:t>:</w:t>
      </w:r>
    </w:p>
    <w:p w:rsidR="00F36A86" w:rsidRPr="00B8589F" w:rsidRDefault="00F36A86" w:rsidP="00F36A86">
      <w:pPr>
        <w:pStyle w:val="ListParagraph"/>
        <w:widowControl/>
        <w:numPr>
          <w:ilvl w:val="1"/>
          <w:numId w:val="18"/>
        </w:numPr>
        <w:ind w:left="1077" w:hanging="357"/>
      </w:pPr>
      <w:r w:rsidRPr="00B8589F">
        <w:t>T</w:t>
      </w:r>
      <w:r w:rsidR="008C5078" w:rsidRPr="00B8589F">
        <w:t xml:space="preserve">here was no difference between treatments in the proportion of patients </w:t>
      </w:r>
      <w:r w:rsidRPr="00B8589F">
        <w:t xml:space="preserve">with urine samples negative for illicit opioids; </w:t>
      </w:r>
    </w:p>
    <w:p w:rsidR="00F36A86" w:rsidRPr="00B8589F" w:rsidRDefault="00F36A86" w:rsidP="00F36A86">
      <w:pPr>
        <w:pStyle w:val="ListParagraph"/>
        <w:widowControl/>
        <w:numPr>
          <w:ilvl w:val="1"/>
          <w:numId w:val="18"/>
        </w:numPr>
        <w:ind w:left="1077" w:hanging="357"/>
      </w:pPr>
      <w:r w:rsidRPr="00B8589F">
        <w:t>There was no differen</w:t>
      </w:r>
      <w:r w:rsidR="009D1406" w:rsidRPr="00B8589F">
        <w:t>ce</w:t>
      </w:r>
      <w:r w:rsidRPr="00B8589F">
        <w:t xml:space="preserve"> between treatments in proportion of patients achieving a response (including self-reported opioid use); </w:t>
      </w:r>
    </w:p>
    <w:p w:rsidR="00F36A86" w:rsidRPr="00B8589F" w:rsidRDefault="00572072" w:rsidP="00F36A86">
      <w:pPr>
        <w:pStyle w:val="ListParagraph"/>
        <w:widowControl/>
        <w:numPr>
          <w:ilvl w:val="1"/>
          <w:numId w:val="18"/>
        </w:numPr>
        <w:ind w:left="1077" w:hanging="357"/>
      </w:pPr>
      <w:r w:rsidRPr="00B8589F">
        <w:t>H</w:t>
      </w:r>
      <w:r w:rsidR="004D57F5" w:rsidRPr="00B8589F">
        <w:t xml:space="preserve">alf of all patients treated with prolonged release buprenorphine would have at least </w:t>
      </w:r>
      <w:r w:rsidRPr="00B8589F">
        <w:t>1 out of every 4 (</w:t>
      </w:r>
      <w:r w:rsidR="004D57F5" w:rsidRPr="00B8589F">
        <w:t>26.7%</w:t>
      </w:r>
      <w:r w:rsidRPr="00B8589F">
        <w:t>)</w:t>
      </w:r>
      <w:r w:rsidR="004D57F5" w:rsidRPr="00B8589F">
        <w:t xml:space="preserve"> urine samples negative for illicit opioids, whereas half of all patients treated with sublingual buprenorphine/naloxone would have</w:t>
      </w:r>
      <w:r w:rsidRPr="00B8589F">
        <w:t xml:space="preserve"> around 1 out of every 15</w:t>
      </w:r>
      <w:r w:rsidR="004D57F5" w:rsidRPr="00B8589F">
        <w:t xml:space="preserve"> </w:t>
      </w:r>
      <w:r w:rsidRPr="00B8589F">
        <w:t>(</w:t>
      </w:r>
      <w:r w:rsidR="004D57F5" w:rsidRPr="00B8589F">
        <w:t>6.7%</w:t>
      </w:r>
      <w:r w:rsidRPr="00B8589F">
        <w:t>)</w:t>
      </w:r>
      <w:r w:rsidR="004D57F5" w:rsidRPr="00B8589F">
        <w:t xml:space="preserve"> urine samples negative for illicit opioids;  </w:t>
      </w:r>
    </w:p>
    <w:p w:rsidR="008C5078" w:rsidRPr="00B8589F" w:rsidRDefault="008C5078" w:rsidP="006175FC">
      <w:pPr>
        <w:pStyle w:val="ListParagraph"/>
        <w:widowControl/>
        <w:numPr>
          <w:ilvl w:val="1"/>
          <w:numId w:val="18"/>
        </w:numPr>
        <w:ind w:left="1077" w:hanging="357"/>
      </w:pPr>
      <w:r w:rsidRPr="00B8589F">
        <w:t xml:space="preserve">There was no difference between treatments in the proportion of patients </w:t>
      </w:r>
      <w:r w:rsidR="004D57F5" w:rsidRPr="00B8589F">
        <w:t xml:space="preserve">abstaining from opioid use; </w:t>
      </w:r>
    </w:p>
    <w:p w:rsidR="00384D65" w:rsidRDefault="004D57F5" w:rsidP="00572072">
      <w:pPr>
        <w:pStyle w:val="ListParagraph"/>
        <w:widowControl/>
        <w:numPr>
          <w:ilvl w:val="1"/>
          <w:numId w:val="18"/>
        </w:numPr>
        <w:ind w:left="1077" w:hanging="357"/>
      </w:pPr>
      <w:r w:rsidRPr="00B8589F">
        <w:t>There was no difference between treatments in the percentage of p</w:t>
      </w:r>
      <w:r w:rsidR="00572072" w:rsidRPr="00B8589F">
        <w:t xml:space="preserve">atients remaining on treatment. </w:t>
      </w:r>
    </w:p>
    <w:p w:rsidR="00384D65" w:rsidRDefault="00384D65">
      <w:pPr>
        <w:widowControl/>
        <w:jc w:val="left"/>
      </w:pPr>
      <w:r>
        <w:br w:type="page"/>
      </w:r>
    </w:p>
    <w:p w:rsidR="007F5D06" w:rsidRDefault="007F5D06" w:rsidP="008C5078">
      <w:pPr>
        <w:pStyle w:val="ListParagraph"/>
        <w:widowControl/>
        <w:numPr>
          <w:ilvl w:val="1"/>
          <w:numId w:val="2"/>
        </w:numPr>
      </w:pPr>
      <w:r>
        <w:lastRenderedPageBreak/>
        <w:t>For every 100 patients treated with prolonged release buprenorphine:</w:t>
      </w:r>
    </w:p>
    <w:p w:rsidR="00246BA7" w:rsidRDefault="00246BA7" w:rsidP="00DB2F6E">
      <w:pPr>
        <w:pStyle w:val="ListParagraph"/>
        <w:widowControl/>
        <w:numPr>
          <w:ilvl w:val="1"/>
          <w:numId w:val="14"/>
        </w:numPr>
        <w:ind w:left="1094" w:hanging="380"/>
      </w:pPr>
      <w:r>
        <w:t>17 patients would experience injection-site adverse events. Patients receiving sublingual buprenorphine/ naloxone in the trial received placebo injections, therefore injection-site adverse events experienced by these patients during the trial would not be realised in practice;</w:t>
      </w:r>
    </w:p>
    <w:p w:rsidR="00246BA7" w:rsidRDefault="00246BA7" w:rsidP="00DB2F6E">
      <w:pPr>
        <w:pStyle w:val="ListParagraph"/>
        <w:widowControl/>
        <w:numPr>
          <w:ilvl w:val="1"/>
          <w:numId w:val="14"/>
        </w:numPr>
        <w:ind w:left="1094" w:hanging="380"/>
      </w:pPr>
      <w:r>
        <w:t>An additional 3 patients would experience nausea compared with sublingual buprenorphine/naloxone; and</w:t>
      </w:r>
    </w:p>
    <w:p w:rsidR="00C14F5F" w:rsidRPr="00FE67B4" w:rsidRDefault="00246BA7" w:rsidP="00FE67B4">
      <w:pPr>
        <w:pStyle w:val="ListParagraph"/>
        <w:widowControl/>
        <w:numPr>
          <w:ilvl w:val="1"/>
          <w:numId w:val="14"/>
        </w:numPr>
        <w:ind w:left="1094" w:hanging="380"/>
        <w:jc w:val="left"/>
        <w:rPr>
          <w:b/>
          <w:i/>
          <w:sz w:val="28"/>
        </w:rPr>
      </w:pPr>
      <w:r>
        <w:t>An additional 2 patients would experience headache compared with sublingual buprenorphine/naloxone.</w:t>
      </w:r>
      <w:bookmarkStart w:id="11" w:name="_Toc524525741"/>
    </w:p>
    <w:p w:rsidR="00B60939" w:rsidRPr="00C9624D" w:rsidRDefault="00B60939" w:rsidP="00B737AB">
      <w:pPr>
        <w:pStyle w:val="Heading2"/>
      </w:pPr>
      <w:r w:rsidRPr="00C9624D">
        <w:t>Clinical claim</w:t>
      </w:r>
      <w:bookmarkEnd w:id="11"/>
    </w:p>
    <w:p w:rsidR="00475B8B" w:rsidRPr="00B8589F" w:rsidRDefault="006B5037" w:rsidP="00DB2F6E">
      <w:pPr>
        <w:pStyle w:val="ListParagraph"/>
        <w:widowControl/>
        <w:numPr>
          <w:ilvl w:val="1"/>
          <w:numId w:val="2"/>
        </w:numPr>
      </w:pPr>
      <w:r w:rsidRPr="006B5037">
        <w:t xml:space="preserve">The submission described prolonged release buprenorphine as superior in terms of effectiveness compared with sublingual buprenorphine/naloxone, with a </w:t>
      </w:r>
      <w:r w:rsidRPr="00B8589F">
        <w:t xml:space="preserve">comparable safety profile. </w:t>
      </w:r>
      <w:r w:rsidR="0030255E" w:rsidRPr="00B8589F">
        <w:t>The</w:t>
      </w:r>
      <w:r w:rsidRPr="00B8589F">
        <w:t xml:space="preserve"> </w:t>
      </w:r>
      <w:r w:rsidR="00E97CDA" w:rsidRPr="00B8589F">
        <w:t xml:space="preserve">ESC considered </w:t>
      </w:r>
      <w:r w:rsidR="001F6228" w:rsidRPr="00B8589F">
        <w:t>the</w:t>
      </w:r>
      <w:r w:rsidR="00E97CDA" w:rsidRPr="00B8589F">
        <w:t xml:space="preserve"> </w:t>
      </w:r>
      <w:r w:rsidRPr="00B8589F">
        <w:t xml:space="preserve">claim </w:t>
      </w:r>
      <w:r w:rsidR="001F6228" w:rsidRPr="00B8589F">
        <w:t>of superior effec</w:t>
      </w:r>
      <w:r w:rsidR="00475B8B" w:rsidRPr="00B8589F">
        <w:t>tiveness was not well supported as non-inferiority was demonstrated for the clinical outcomes of proportion of patients with urine samples negative for illicit opioids,</w:t>
      </w:r>
      <w:r w:rsidR="003F5006" w:rsidRPr="00B8589F">
        <w:t xml:space="preserve"> response rate,</w:t>
      </w:r>
      <w:r w:rsidR="00475B8B" w:rsidRPr="00B8589F">
        <w:t xml:space="preserve"> abstinence rate, and retention to treatment. Superiority was only demonstrated based on cumulative distribution function (CDF), however ESC consider this was difficult to interpret and of </w:t>
      </w:r>
      <w:r w:rsidR="00E97CDA" w:rsidRPr="00B8589F">
        <w:t>uncertain</w:t>
      </w:r>
      <w:r w:rsidR="00475B8B" w:rsidRPr="00B8589F">
        <w:t xml:space="preserve"> </w:t>
      </w:r>
      <w:r w:rsidR="00E97CDA" w:rsidRPr="00B8589F">
        <w:t xml:space="preserve">clinical </w:t>
      </w:r>
      <w:r w:rsidR="00475B8B" w:rsidRPr="00B8589F">
        <w:t xml:space="preserve">importance. </w:t>
      </w:r>
    </w:p>
    <w:p w:rsidR="0061223A" w:rsidRPr="00B8589F" w:rsidRDefault="0030255E" w:rsidP="00DB2F6E">
      <w:pPr>
        <w:pStyle w:val="ListParagraph"/>
        <w:widowControl/>
        <w:numPr>
          <w:ilvl w:val="1"/>
          <w:numId w:val="2"/>
        </w:numPr>
      </w:pPr>
      <w:r w:rsidRPr="00B8589F">
        <w:t xml:space="preserve">The ESC </w:t>
      </w:r>
      <w:r w:rsidR="00475B8B" w:rsidRPr="00B8589F">
        <w:t xml:space="preserve">instead </w:t>
      </w:r>
      <w:r w:rsidRPr="00B8589F">
        <w:t xml:space="preserve">accepted that prolonged release buprenorphine is non-inferior to sublingual buprenorphine/naloxone in terms of both efficacy and safety. </w:t>
      </w:r>
    </w:p>
    <w:p w:rsidR="006B5037" w:rsidRPr="00B8589F" w:rsidRDefault="006B5037" w:rsidP="00DB2F6E">
      <w:pPr>
        <w:pStyle w:val="ListParagraph"/>
        <w:widowControl/>
        <w:numPr>
          <w:ilvl w:val="1"/>
          <w:numId w:val="2"/>
        </w:numPr>
      </w:pPr>
      <w:r w:rsidRPr="00EA4420">
        <w:t xml:space="preserve">The submission did not make a therapeutic conclusion regarding the comparative efficacy of prolonged release buprenorphine and near market comparator RBP-6000 (a depot formulation of buprenorphine), due to poor exchangeability of the trials. </w:t>
      </w:r>
      <w:r w:rsidR="001F6228" w:rsidRPr="00B8589F">
        <w:t xml:space="preserve">The ESC agreed </w:t>
      </w:r>
      <w:r w:rsidR="0061223A" w:rsidRPr="00B8589F">
        <w:t xml:space="preserve">that it was reasonable that no clinical claim was made against RBP-6000. </w:t>
      </w:r>
    </w:p>
    <w:p w:rsidR="006B5037" w:rsidRDefault="006B5037" w:rsidP="00DB2F6E">
      <w:pPr>
        <w:pStyle w:val="ListParagraph"/>
        <w:widowControl/>
        <w:numPr>
          <w:ilvl w:val="1"/>
          <w:numId w:val="2"/>
        </w:numPr>
      </w:pPr>
      <w:r w:rsidRPr="00EA4420">
        <w:t xml:space="preserve">The submission also claimed that prolonged release buprenorphine would improve treatment retention, negate diversion, and increase system capacity for treatment, outcomes which were not able to be measured in the clinical studies. </w:t>
      </w:r>
      <w:r w:rsidR="0061223A">
        <w:t>These additional benefits</w:t>
      </w:r>
      <w:r w:rsidRPr="00EA4420">
        <w:t xml:space="preserve"> are difficult to q</w:t>
      </w:r>
      <w:r w:rsidR="0061223A">
        <w:t>uantify and the submission provided</w:t>
      </w:r>
      <w:r w:rsidRPr="00EA4420">
        <w:t xml:space="preserve"> no evidence to support these claims. Whilst it is conceivable that these benefits may be somewhat realised in clinical practice, the size of these benefits is unknown, and thus some more exploration around this is required before a benefit is ascribed to prolonged release buprenorphine.</w:t>
      </w:r>
      <w:r w:rsidR="00E32F42" w:rsidRPr="00EA4420">
        <w:t xml:space="preserve"> </w:t>
      </w:r>
      <w:r w:rsidR="004525F3" w:rsidRPr="00EA4420">
        <w:t xml:space="preserve">Access to prolonged release buprenorphine is unlikely to increase system capacity for treatment as restrictions on prescriber and dosing site numbers will still apply. </w:t>
      </w:r>
    </w:p>
    <w:p w:rsidR="00665704" w:rsidRPr="00B8589F" w:rsidRDefault="00665704" w:rsidP="0030255E">
      <w:pPr>
        <w:pStyle w:val="ListParagraph"/>
        <w:widowControl/>
        <w:numPr>
          <w:ilvl w:val="1"/>
          <w:numId w:val="2"/>
        </w:numPr>
      </w:pPr>
      <w:r w:rsidRPr="00B8589F">
        <w:t>The PSCR acknowledged that benefits not captured in the trial (improved retention in treatment, reduced risk of diversion, increased system capacity to benefit) were difficult to quantify, but maintained that they would apply in clinical practice.</w:t>
      </w:r>
      <w:r w:rsidR="00D65A85" w:rsidRPr="00B8589F">
        <w:t xml:space="preserve"> </w:t>
      </w:r>
      <w:r w:rsidR="0030255E" w:rsidRPr="00B8589F">
        <w:t>The ESC did not accept the claim of superiority based on these additional benefits.</w:t>
      </w:r>
    </w:p>
    <w:p w:rsidR="00FB543D" w:rsidRPr="00F93FA2" w:rsidRDefault="00FB543D" w:rsidP="00FB543D">
      <w:pPr>
        <w:pStyle w:val="ListParagraph"/>
        <w:widowControl/>
        <w:numPr>
          <w:ilvl w:val="1"/>
          <w:numId w:val="2"/>
        </w:numPr>
      </w:pPr>
      <w:r w:rsidRPr="00F93FA2">
        <w:lastRenderedPageBreak/>
        <w:t xml:space="preserve">The PBAC considered that the claim of superior comparative effectiveness </w:t>
      </w:r>
      <w:r w:rsidR="00831B41">
        <w:t xml:space="preserve">was not adequately supported by the data presented. </w:t>
      </w:r>
    </w:p>
    <w:p w:rsidR="00FB543D" w:rsidRPr="00FE67B4" w:rsidRDefault="00FB543D" w:rsidP="00FE67B4">
      <w:pPr>
        <w:pStyle w:val="ListParagraph"/>
        <w:widowControl/>
        <w:numPr>
          <w:ilvl w:val="1"/>
          <w:numId w:val="2"/>
        </w:numPr>
        <w:rPr>
          <w:i/>
        </w:rPr>
      </w:pPr>
      <w:r w:rsidRPr="00EB0D30">
        <w:t xml:space="preserve">The PBAC considered that </w:t>
      </w:r>
      <w:r w:rsidR="00EB0D30" w:rsidRPr="00EB0D30">
        <w:t>the</w:t>
      </w:r>
      <w:r w:rsidRPr="00EB0D30">
        <w:t xml:space="preserve"> claim of non-inferior comparative safety</w:t>
      </w:r>
      <w:r w:rsidR="00831B41">
        <w:t xml:space="preserve"> </w:t>
      </w:r>
      <w:r w:rsidRPr="00EB0D30">
        <w:t>was reasonable</w:t>
      </w:r>
      <w:r w:rsidR="00831B41">
        <w:t>.</w:t>
      </w:r>
    </w:p>
    <w:p w:rsidR="00B60939" w:rsidRPr="00C9624D" w:rsidRDefault="00B60939" w:rsidP="00B737AB">
      <w:pPr>
        <w:pStyle w:val="Heading2"/>
      </w:pPr>
      <w:bookmarkStart w:id="12" w:name="_Toc524525742"/>
      <w:r w:rsidRPr="00C9624D">
        <w:t>Economic analysis</w:t>
      </w:r>
      <w:bookmarkEnd w:id="12"/>
      <w:r w:rsidR="00491B3A" w:rsidRPr="00C9624D">
        <w:t xml:space="preserve"> </w:t>
      </w:r>
    </w:p>
    <w:p w:rsidR="00275C5A" w:rsidRPr="00A267AA" w:rsidRDefault="006B5037" w:rsidP="00DB2F6E">
      <w:pPr>
        <w:pStyle w:val="ListParagraph"/>
        <w:widowControl/>
        <w:numPr>
          <w:ilvl w:val="1"/>
          <w:numId w:val="2"/>
        </w:numPr>
      </w:pPr>
      <w:r w:rsidRPr="00A267AA">
        <w:rPr>
          <w:rFonts w:cs="Calibri"/>
          <w:snapToGrid/>
          <w:szCs w:val="24"/>
          <w:lang w:val="en-US" w:eastAsia="en-AU"/>
        </w:rPr>
        <w:t xml:space="preserve">The submission presented a stepped economic evaluation of prolonged release buprenorphine compared with sublingual buprenorphine/naloxone for the treatment of opioid use disorder. The economic evaluation was based on the mean percentage of urine samples negative for illicit opioids (EU primary </w:t>
      </w:r>
      <w:proofErr w:type="spellStart"/>
      <w:r w:rsidRPr="00A267AA">
        <w:rPr>
          <w:rFonts w:cs="Calibri"/>
          <w:snapToGrid/>
          <w:szCs w:val="24"/>
          <w:lang w:val="en-US" w:eastAsia="en-AU"/>
        </w:rPr>
        <w:t>noninferiority</w:t>
      </w:r>
      <w:proofErr w:type="spellEnd"/>
      <w:r w:rsidRPr="00A267AA">
        <w:rPr>
          <w:rFonts w:cs="Calibri"/>
          <w:snapToGrid/>
          <w:szCs w:val="24"/>
          <w:lang w:val="en-US" w:eastAsia="en-AU"/>
        </w:rPr>
        <w:t xml:space="preserve"> outcome</w:t>
      </w:r>
      <w:r w:rsidR="00C14F5F">
        <w:rPr>
          <w:rFonts w:cs="Calibri"/>
          <w:snapToGrid/>
          <w:szCs w:val="24"/>
          <w:lang w:val="en-US" w:eastAsia="en-AU"/>
        </w:rPr>
        <w:t>, excluding self-report of illicit opioid use</w:t>
      </w:r>
      <w:r w:rsidRPr="00A267AA">
        <w:rPr>
          <w:rFonts w:cs="Calibri"/>
          <w:snapToGrid/>
          <w:szCs w:val="24"/>
          <w:lang w:val="en-US" w:eastAsia="en-AU"/>
        </w:rPr>
        <w:t xml:space="preserve">) measured in the direct </w:t>
      </w:r>
      <w:proofErr w:type="spellStart"/>
      <w:r w:rsidRPr="00A267AA">
        <w:rPr>
          <w:rFonts w:cs="Calibri"/>
          <w:snapToGrid/>
          <w:szCs w:val="24"/>
          <w:lang w:val="en-US" w:eastAsia="en-AU"/>
        </w:rPr>
        <w:t>randomised</w:t>
      </w:r>
      <w:proofErr w:type="spellEnd"/>
      <w:r w:rsidRPr="00A267AA">
        <w:rPr>
          <w:rFonts w:cs="Calibri"/>
          <w:snapToGrid/>
          <w:szCs w:val="24"/>
          <w:lang w:val="en-US" w:eastAsia="en-AU"/>
        </w:rPr>
        <w:t xml:space="preserve"> trial (HS-11-421) and other modelled variables. The type of economic evaluation presented was a cost-utility analysis.</w:t>
      </w:r>
    </w:p>
    <w:p w:rsidR="00275C5A" w:rsidRDefault="00275C5A" w:rsidP="00726D10">
      <w:pPr>
        <w:keepNext/>
        <w:rPr>
          <w:rStyle w:val="CommentReference"/>
        </w:rPr>
      </w:pPr>
      <w:r w:rsidRPr="00A56B6A">
        <w:rPr>
          <w:rStyle w:val="CommentReference"/>
        </w:rPr>
        <w:t xml:space="preserve">Table </w:t>
      </w:r>
      <w:r w:rsidR="002B5AC2">
        <w:rPr>
          <w:rStyle w:val="CommentReference"/>
        </w:rPr>
        <w:t>1</w:t>
      </w:r>
      <w:r w:rsidR="00C40FF8">
        <w:rPr>
          <w:rStyle w:val="CommentReference"/>
        </w:rPr>
        <w:t>1</w:t>
      </w:r>
      <w:r w:rsidRPr="00A56B6A">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275C5A" w:rsidRPr="003D1DE4" w:rsidTr="003C7D19">
        <w:trPr>
          <w:tblHeader/>
        </w:trPr>
        <w:tc>
          <w:tcPr>
            <w:tcW w:w="1396" w:type="pct"/>
            <w:shd w:val="clear" w:color="auto" w:fill="auto"/>
            <w:vAlign w:val="center"/>
          </w:tcPr>
          <w:p w:rsidR="00275C5A" w:rsidRPr="003D1DE4" w:rsidRDefault="00275C5A" w:rsidP="00726D10">
            <w:pPr>
              <w:pStyle w:val="Tabletext"/>
              <w:keepNext/>
              <w:rPr>
                <w:b/>
              </w:rPr>
            </w:pPr>
            <w:r w:rsidRPr="003D1DE4">
              <w:rPr>
                <w:b/>
              </w:rPr>
              <w:t>Component</w:t>
            </w:r>
          </w:p>
        </w:tc>
        <w:tc>
          <w:tcPr>
            <w:tcW w:w="3604" w:type="pct"/>
            <w:shd w:val="clear" w:color="auto" w:fill="auto"/>
            <w:vAlign w:val="center"/>
          </w:tcPr>
          <w:p w:rsidR="00275C5A" w:rsidRPr="003D1DE4" w:rsidRDefault="00275C5A" w:rsidP="00726D10">
            <w:pPr>
              <w:pStyle w:val="Tabletext"/>
              <w:keepNext/>
              <w:jc w:val="center"/>
              <w:rPr>
                <w:b/>
              </w:rPr>
            </w:pPr>
            <w:r w:rsidRPr="003D1DE4">
              <w:rPr>
                <w:b/>
              </w:rPr>
              <w:t>Summary</w:t>
            </w:r>
          </w:p>
        </w:tc>
      </w:tr>
      <w:tr w:rsidR="00A267AA" w:rsidRPr="00E2771E" w:rsidTr="003C7D19">
        <w:tc>
          <w:tcPr>
            <w:tcW w:w="1396" w:type="pct"/>
            <w:shd w:val="clear" w:color="auto" w:fill="auto"/>
            <w:vAlign w:val="center"/>
          </w:tcPr>
          <w:p w:rsidR="00A267AA" w:rsidRPr="00E2771E" w:rsidRDefault="00A267AA" w:rsidP="00726D10">
            <w:pPr>
              <w:pStyle w:val="Tabletext"/>
              <w:keepNext/>
            </w:pPr>
            <w:r>
              <w:t>Type of analysis</w:t>
            </w:r>
          </w:p>
        </w:tc>
        <w:tc>
          <w:tcPr>
            <w:tcW w:w="3604" w:type="pct"/>
            <w:shd w:val="clear" w:color="auto" w:fill="auto"/>
            <w:vAlign w:val="center"/>
          </w:tcPr>
          <w:p w:rsidR="00A267AA" w:rsidRPr="00E2771E" w:rsidRDefault="00A267AA" w:rsidP="00726D10">
            <w:pPr>
              <w:pStyle w:val="Tabletext"/>
              <w:keepNext/>
            </w:pPr>
            <w:r>
              <w:t>C</w:t>
            </w:r>
            <w:r w:rsidRPr="000C0AFA">
              <w:t xml:space="preserve">ost-effectiveness </w:t>
            </w:r>
            <w:r>
              <w:t>analysis/cost-utility analysis</w:t>
            </w:r>
          </w:p>
        </w:tc>
      </w:tr>
      <w:tr w:rsidR="00A267AA" w:rsidRPr="00E2771E" w:rsidTr="003C7D19">
        <w:tc>
          <w:tcPr>
            <w:tcW w:w="1396" w:type="pct"/>
            <w:shd w:val="clear" w:color="auto" w:fill="auto"/>
            <w:vAlign w:val="center"/>
          </w:tcPr>
          <w:p w:rsidR="00A267AA" w:rsidRPr="00E2771E" w:rsidRDefault="00A267AA" w:rsidP="00726D10">
            <w:pPr>
              <w:pStyle w:val="Tabletext"/>
              <w:keepNext/>
            </w:pPr>
            <w:r>
              <w:t>Outcomes</w:t>
            </w:r>
          </w:p>
        </w:tc>
        <w:tc>
          <w:tcPr>
            <w:tcW w:w="3604" w:type="pct"/>
            <w:shd w:val="clear" w:color="auto" w:fill="auto"/>
            <w:vAlign w:val="center"/>
          </w:tcPr>
          <w:p w:rsidR="00A267AA" w:rsidRPr="00E2771E" w:rsidRDefault="00A267AA" w:rsidP="00726D10">
            <w:pPr>
              <w:pStyle w:val="Tabletext"/>
              <w:keepNext/>
            </w:pPr>
            <w:r>
              <w:t>Cost per additional time not using (‘clean’); quality-adjusted life years</w:t>
            </w:r>
          </w:p>
        </w:tc>
      </w:tr>
      <w:tr w:rsidR="00A267AA" w:rsidRPr="00E2771E" w:rsidTr="003C7D19">
        <w:tc>
          <w:tcPr>
            <w:tcW w:w="1396" w:type="pct"/>
            <w:shd w:val="clear" w:color="auto" w:fill="auto"/>
            <w:vAlign w:val="center"/>
          </w:tcPr>
          <w:p w:rsidR="00A267AA" w:rsidRPr="00E2771E" w:rsidRDefault="00A267AA" w:rsidP="00726D10">
            <w:pPr>
              <w:pStyle w:val="Tabletext"/>
              <w:keepNext/>
            </w:pPr>
            <w:r>
              <w:t>Time horizon</w:t>
            </w:r>
          </w:p>
        </w:tc>
        <w:tc>
          <w:tcPr>
            <w:tcW w:w="3604" w:type="pct"/>
            <w:shd w:val="clear" w:color="auto" w:fill="auto"/>
            <w:vAlign w:val="center"/>
          </w:tcPr>
          <w:p w:rsidR="00A267AA" w:rsidRPr="00E2771E" w:rsidRDefault="00A267AA" w:rsidP="00726D10">
            <w:pPr>
              <w:pStyle w:val="Tabletext"/>
              <w:keepNext/>
            </w:pPr>
            <w:r>
              <w:t>5 years</w:t>
            </w:r>
          </w:p>
        </w:tc>
      </w:tr>
      <w:tr w:rsidR="00A267AA" w:rsidRPr="00E2771E" w:rsidTr="003C7D19">
        <w:tc>
          <w:tcPr>
            <w:tcW w:w="1396" w:type="pct"/>
            <w:shd w:val="clear" w:color="auto" w:fill="auto"/>
            <w:vAlign w:val="center"/>
          </w:tcPr>
          <w:p w:rsidR="00A267AA" w:rsidRPr="00E2771E" w:rsidRDefault="00A267AA" w:rsidP="00726D10">
            <w:pPr>
              <w:pStyle w:val="Tabletext"/>
              <w:keepNext/>
            </w:pPr>
            <w:r>
              <w:t>Methods used to generate results</w:t>
            </w:r>
          </w:p>
        </w:tc>
        <w:tc>
          <w:tcPr>
            <w:tcW w:w="3604" w:type="pct"/>
            <w:shd w:val="clear" w:color="auto" w:fill="auto"/>
            <w:vAlign w:val="center"/>
          </w:tcPr>
          <w:p w:rsidR="00A267AA" w:rsidRPr="00E2771E" w:rsidRDefault="00A267AA" w:rsidP="00726D10">
            <w:pPr>
              <w:pStyle w:val="Tabletext"/>
              <w:keepNext/>
            </w:pPr>
            <w:r>
              <w:t>Markov cohort expected value analysis (with half cycle correction)</w:t>
            </w:r>
          </w:p>
        </w:tc>
      </w:tr>
      <w:tr w:rsidR="00A267AA" w:rsidRPr="00E2771E" w:rsidTr="003C7D19">
        <w:tc>
          <w:tcPr>
            <w:tcW w:w="1396" w:type="pct"/>
            <w:shd w:val="clear" w:color="auto" w:fill="auto"/>
            <w:vAlign w:val="center"/>
          </w:tcPr>
          <w:p w:rsidR="00A267AA" w:rsidRPr="00E2771E" w:rsidRDefault="00A267AA" w:rsidP="00726D10">
            <w:pPr>
              <w:pStyle w:val="Tabletext"/>
              <w:keepNext/>
            </w:pPr>
            <w:r>
              <w:t>Treatments</w:t>
            </w:r>
          </w:p>
        </w:tc>
        <w:tc>
          <w:tcPr>
            <w:tcW w:w="3604" w:type="pct"/>
            <w:shd w:val="clear" w:color="auto" w:fill="auto"/>
            <w:vAlign w:val="center"/>
          </w:tcPr>
          <w:p w:rsidR="00A267AA" w:rsidRPr="00E2771E" w:rsidRDefault="00A267AA" w:rsidP="00726D10">
            <w:pPr>
              <w:pStyle w:val="Tabletext"/>
              <w:keepNext/>
            </w:pPr>
            <w:r>
              <w:t>Prolonged release buprenorphine, sublingual buprenorphine/naloxone</w:t>
            </w:r>
          </w:p>
        </w:tc>
      </w:tr>
      <w:tr w:rsidR="00A267AA" w:rsidRPr="00E2771E" w:rsidTr="003C7D19">
        <w:tc>
          <w:tcPr>
            <w:tcW w:w="1396" w:type="pct"/>
            <w:shd w:val="clear" w:color="auto" w:fill="auto"/>
            <w:vAlign w:val="center"/>
          </w:tcPr>
          <w:p w:rsidR="00A267AA" w:rsidRPr="00E2771E" w:rsidRDefault="00A267AA" w:rsidP="00726D10">
            <w:pPr>
              <w:pStyle w:val="Tabletext"/>
              <w:keepNext/>
            </w:pPr>
            <w:r>
              <w:t>Health states</w:t>
            </w:r>
          </w:p>
        </w:tc>
        <w:tc>
          <w:tcPr>
            <w:tcW w:w="3604" w:type="pct"/>
            <w:shd w:val="clear" w:color="auto" w:fill="auto"/>
            <w:vAlign w:val="center"/>
          </w:tcPr>
          <w:p w:rsidR="00A267AA" w:rsidRPr="00E2771E" w:rsidRDefault="00A267AA" w:rsidP="00726D10">
            <w:pPr>
              <w:pStyle w:val="Tabletext"/>
              <w:keepNext/>
            </w:pPr>
            <w:r>
              <w:t>Four health states: initial treatment episode, subsequent treatment episode, non-adherent, death</w:t>
            </w:r>
          </w:p>
        </w:tc>
      </w:tr>
      <w:tr w:rsidR="00A267AA" w:rsidRPr="00E2771E" w:rsidTr="003C7D19">
        <w:tc>
          <w:tcPr>
            <w:tcW w:w="1396" w:type="pct"/>
            <w:shd w:val="clear" w:color="auto" w:fill="auto"/>
            <w:vAlign w:val="center"/>
          </w:tcPr>
          <w:p w:rsidR="00A267AA" w:rsidRPr="00E2771E" w:rsidRDefault="00A267AA" w:rsidP="00726D10">
            <w:pPr>
              <w:pStyle w:val="Tabletext"/>
              <w:keepNext/>
            </w:pPr>
            <w:r>
              <w:t>Cycle length</w:t>
            </w:r>
          </w:p>
        </w:tc>
        <w:tc>
          <w:tcPr>
            <w:tcW w:w="3604" w:type="pct"/>
            <w:shd w:val="clear" w:color="auto" w:fill="auto"/>
            <w:vAlign w:val="center"/>
          </w:tcPr>
          <w:p w:rsidR="00A267AA" w:rsidRPr="00E2771E" w:rsidRDefault="00A267AA" w:rsidP="00726D10">
            <w:pPr>
              <w:pStyle w:val="Tabletext"/>
              <w:keepNext/>
            </w:pPr>
            <w:r>
              <w:t>28 days</w:t>
            </w:r>
          </w:p>
        </w:tc>
      </w:tr>
      <w:tr w:rsidR="00A267AA" w:rsidRPr="00E2771E" w:rsidTr="003C7D19">
        <w:tc>
          <w:tcPr>
            <w:tcW w:w="1396" w:type="pct"/>
            <w:shd w:val="clear" w:color="auto" w:fill="auto"/>
            <w:vAlign w:val="center"/>
          </w:tcPr>
          <w:p w:rsidR="00A267AA" w:rsidRPr="00E2771E" w:rsidRDefault="00A267AA" w:rsidP="00726D10">
            <w:pPr>
              <w:pStyle w:val="Tabletext"/>
              <w:keepNext/>
            </w:pPr>
            <w:r>
              <w:t>Transition probabilities</w:t>
            </w:r>
          </w:p>
        </w:tc>
        <w:tc>
          <w:tcPr>
            <w:tcW w:w="3604" w:type="pct"/>
            <w:shd w:val="clear" w:color="auto" w:fill="auto"/>
            <w:vAlign w:val="center"/>
          </w:tcPr>
          <w:p w:rsidR="00A267AA" w:rsidRDefault="00A267AA" w:rsidP="00726D10">
            <w:pPr>
              <w:pStyle w:val="Tabletext"/>
              <w:keepNext/>
            </w:pPr>
            <w:r>
              <w:t>Probability patients are ‘clean’ or ‘using’ whilst persistent to medication-assisted treatment</w:t>
            </w:r>
          </w:p>
          <w:p w:rsidR="00A267AA" w:rsidRDefault="00A267AA" w:rsidP="00726D10">
            <w:pPr>
              <w:pStyle w:val="Tabletext"/>
              <w:keepNext/>
            </w:pPr>
            <w:r>
              <w:t>- Treatment dependent based on HS-11-421 data</w:t>
            </w:r>
          </w:p>
          <w:p w:rsidR="00A267AA" w:rsidRDefault="00A267AA" w:rsidP="00726D10">
            <w:pPr>
              <w:pStyle w:val="Tabletext"/>
              <w:keepNext/>
            </w:pPr>
            <w:r>
              <w:t>Probability of remaining persistent to treatment</w:t>
            </w:r>
          </w:p>
          <w:p w:rsidR="00A267AA" w:rsidRDefault="00A267AA" w:rsidP="00726D10">
            <w:pPr>
              <w:pStyle w:val="Tabletext"/>
              <w:keepNext/>
            </w:pPr>
            <w:r>
              <w:t>- Comparison of prolonged release buprenorphine data (clinical trial and observational) with rates of persistence to MAT in Australian clinical practice (Burns 2014)</w:t>
            </w:r>
          </w:p>
          <w:p w:rsidR="00A267AA" w:rsidRDefault="00A267AA" w:rsidP="00726D10">
            <w:pPr>
              <w:pStyle w:val="Tabletext"/>
              <w:keepNext/>
            </w:pPr>
            <w:r>
              <w:t>Probability of returning to MAT after a period of discontinuation</w:t>
            </w:r>
          </w:p>
          <w:p w:rsidR="00A267AA" w:rsidRDefault="00A267AA" w:rsidP="00726D10">
            <w:pPr>
              <w:pStyle w:val="Tabletext"/>
              <w:keepNext/>
            </w:pPr>
            <w:r>
              <w:t>- Same for both treatment groups based on data observed for 262 Australian MAT patients over a 5 year follow-up period (Bell 2006)</w:t>
            </w:r>
          </w:p>
          <w:p w:rsidR="00A267AA" w:rsidRDefault="00A267AA" w:rsidP="00726D10">
            <w:pPr>
              <w:pStyle w:val="Tabletext"/>
              <w:keepNext/>
            </w:pPr>
            <w:r>
              <w:t>Probability of death</w:t>
            </w:r>
          </w:p>
          <w:p w:rsidR="00A267AA" w:rsidRPr="00E2771E" w:rsidRDefault="00A267AA" w:rsidP="00726D10">
            <w:pPr>
              <w:pStyle w:val="Tabletext"/>
              <w:keepNext/>
            </w:pPr>
            <w:r>
              <w:t>- Same for both treatment groups but lower for patients persistent to MAT. Based on Australian data for 3349 patients in and out of MAT (Bell 2009)</w:t>
            </w:r>
          </w:p>
        </w:tc>
      </w:tr>
      <w:tr w:rsidR="00A267AA" w:rsidRPr="00E2771E" w:rsidTr="003C7D19">
        <w:tc>
          <w:tcPr>
            <w:tcW w:w="1396" w:type="pct"/>
            <w:shd w:val="clear" w:color="auto" w:fill="auto"/>
            <w:vAlign w:val="center"/>
          </w:tcPr>
          <w:p w:rsidR="00A267AA" w:rsidRPr="00E2771E" w:rsidRDefault="00A267AA" w:rsidP="00726D10">
            <w:pPr>
              <w:pStyle w:val="Tabletext"/>
              <w:keepNext/>
            </w:pPr>
            <w:r>
              <w:t>Discount rate</w:t>
            </w:r>
          </w:p>
        </w:tc>
        <w:tc>
          <w:tcPr>
            <w:tcW w:w="3604" w:type="pct"/>
            <w:shd w:val="clear" w:color="auto" w:fill="auto"/>
            <w:vAlign w:val="center"/>
          </w:tcPr>
          <w:p w:rsidR="00A267AA" w:rsidRPr="00E2771E" w:rsidRDefault="00A267AA" w:rsidP="00726D10">
            <w:pPr>
              <w:pStyle w:val="Tabletext"/>
              <w:keepNext/>
            </w:pPr>
            <w:r>
              <w:t>5% for costs and outcomes</w:t>
            </w:r>
          </w:p>
        </w:tc>
      </w:tr>
      <w:tr w:rsidR="00A267AA" w:rsidRPr="00E2771E" w:rsidTr="003C7D19">
        <w:tc>
          <w:tcPr>
            <w:tcW w:w="1396" w:type="pct"/>
            <w:shd w:val="clear" w:color="auto" w:fill="auto"/>
            <w:vAlign w:val="center"/>
          </w:tcPr>
          <w:p w:rsidR="00A267AA" w:rsidRPr="00E2771E" w:rsidRDefault="00A267AA" w:rsidP="00726D10">
            <w:pPr>
              <w:pStyle w:val="Tabletext"/>
              <w:keepNext/>
            </w:pPr>
            <w:r>
              <w:t>Software package</w:t>
            </w:r>
          </w:p>
        </w:tc>
        <w:tc>
          <w:tcPr>
            <w:tcW w:w="3604" w:type="pct"/>
            <w:shd w:val="clear" w:color="auto" w:fill="auto"/>
            <w:vAlign w:val="center"/>
          </w:tcPr>
          <w:p w:rsidR="00A267AA" w:rsidRPr="00E2771E" w:rsidRDefault="00A267AA" w:rsidP="00726D10">
            <w:pPr>
              <w:pStyle w:val="Tabletext"/>
              <w:keepNext/>
            </w:pPr>
            <w:proofErr w:type="spellStart"/>
            <w:r>
              <w:t>TreeAge</w:t>
            </w:r>
            <w:proofErr w:type="spellEnd"/>
            <w:r>
              <w:t xml:space="preserve"> Pro</w:t>
            </w:r>
          </w:p>
        </w:tc>
      </w:tr>
    </w:tbl>
    <w:p w:rsidR="00A267AA" w:rsidRDefault="003270E4" w:rsidP="00A267AA">
      <w:pPr>
        <w:pStyle w:val="TableFooter"/>
      </w:pPr>
      <w:r>
        <w:t xml:space="preserve">Source: </w:t>
      </w:r>
      <w:r w:rsidR="00A267AA">
        <w:t xml:space="preserve">Table 62, p.144 </w:t>
      </w:r>
      <w:r w:rsidR="00A267AA" w:rsidRPr="00D13A3E">
        <w:t xml:space="preserve">of the </w:t>
      </w:r>
      <w:r w:rsidR="00A267AA">
        <w:t>submission.</w:t>
      </w:r>
    </w:p>
    <w:p w:rsidR="00A267AA" w:rsidRDefault="00A267AA" w:rsidP="00B737AB">
      <w:pPr>
        <w:pStyle w:val="TableFooter"/>
      </w:pPr>
      <w:r>
        <w:t>Abbreviations: MAT, medication assisted treatment</w:t>
      </w:r>
    </w:p>
    <w:p w:rsidR="00B737AB" w:rsidRPr="00B737AB" w:rsidRDefault="00B737AB" w:rsidP="00B737AB">
      <w:pPr>
        <w:pStyle w:val="TableFooter"/>
        <w:rPr>
          <w:sz w:val="20"/>
        </w:rPr>
      </w:pPr>
    </w:p>
    <w:p w:rsidR="00A267AA" w:rsidRDefault="00A267AA" w:rsidP="00DB2F6E">
      <w:pPr>
        <w:pStyle w:val="ListParagraph"/>
        <w:widowControl/>
        <w:numPr>
          <w:ilvl w:val="1"/>
          <w:numId w:val="2"/>
        </w:numPr>
      </w:pPr>
      <w:r>
        <w:t>All patients start the model in the adherent to treatment health state – with a proportion of patients continuing to use illicit opioids. During each four-week cycle, patients may remain adherent to treatment, become non-adherent to treatment or die. The probability of death is based on mortality rates in a cohort of patients receiving buprenorphine treatment between June 2002 and June 2006 in NSW, Australia.</w:t>
      </w:r>
    </w:p>
    <w:p w:rsidR="00A267AA" w:rsidRPr="00A267AA" w:rsidRDefault="00A267AA" w:rsidP="00DB2F6E">
      <w:pPr>
        <w:pStyle w:val="ListParagraph"/>
        <w:widowControl/>
        <w:numPr>
          <w:ilvl w:val="1"/>
          <w:numId w:val="2"/>
        </w:numPr>
      </w:pPr>
      <w:r>
        <w:lastRenderedPageBreak/>
        <w:t xml:space="preserve">The non-adherent state is a tunnel health state to allow probabilities of treatment re-entry at exactly one, two, three and five </w:t>
      </w:r>
      <w:proofErr w:type="gramStart"/>
      <w:r>
        <w:t>years</w:t>
      </w:r>
      <w:proofErr w:type="gramEnd"/>
      <w:r>
        <w:t xml:space="preserve"> post-treatment cessation to be applied. Patients in the non-adherent state have a higher risk of death. Patients in </w:t>
      </w:r>
      <w:r w:rsidR="004525F3">
        <w:t xml:space="preserve">the </w:t>
      </w:r>
      <w:r>
        <w:t>subsequent treatment</w:t>
      </w:r>
      <w:r w:rsidR="004525F3">
        <w:t xml:space="preserve"> episode state</w:t>
      </w:r>
      <w:r>
        <w:t xml:space="preserve"> have the same probabilities of becoming non-adherent and dying as patients in the initial treatment episode state. Patients cycle through these health states in 28-day cycles for five years.</w:t>
      </w:r>
    </w:p>
    <w:p w:rsidR="00384D65" w:rsidRDefault="00A267AA" w:rsidP="00DB2F6E">
      <w:pPr>
        <w:pStyle w:val="ListParagraph"/>
        <w:widowControl/>
        <w:numPr>
          <w:ilvl w:val="1"/>
          <w:numId w:val="2"/>
        </w:numPr>
      </w:pPr>
      <w:r w:rsidRPr="00505AEE">
        <w:t>Key drivers of the economic model are summarised in the table below</w:t>
      </w:r>
      <w:r w:rsidR="00505AEE">
        <w:t>.</w:t>
      </w:r>
    </w:p>
    <w:p w:rsidR="00D110BD" w:rsidRDefault="00D110BD" w:rsidP="00726D10">
      <w:pPr>
        <w:keepNext/>
        <w:rPr>
          <w:rStyle w:val="CommentReference"/>
        </w:rPr>
      </w:pPr>
      <w:r w:rsidRPr="00A56B6A">
        <w:rPr>
          <w:rStyle w:val="CommentReference"/>
        </w:rPr>
        <w:t xml:space="preserve">Table </w:t>
      </w:r>
      <w:r w:rsidR="00A267AA">
        <w:rPr>
          <w:rStyle w:val="CommentReference"/>
        </w:rPr>
        <w:t>1</w:t>
      </w:r>
      <w:r w:rsidR="00C40FF8">
        <w:rPr>
          <w:rStyle w:val="CommentReference"/>
        </w:rPr>
        <w:t>2</w:t>
      </w:r>
      <w:r w:rsidRPr="00A56B6A">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6"/>
        <w:gridCol w:w="5948"/>
        <w:gridCol w:w="1243"/>
      </w:tblGrid>
      <w:tr w:rsidR="00537182" w:rsidRPr="003D1DE4" w:rsidTr="00726D10">
        <w:trPr>
          <w:tblHeader/>
        </w:trPr>
        <w:tc>
          <w:tcPr>
            <w:tcW w:w="1005" w:type="pct"/>
            <w:shd w:val="clear" w:color="auto" w:fill="auto"/>
            <w:vAlign w:val="center"/>
          </w:tcPr>
          <w:p w:rsidR="00D110BD" w:rsidRPr="003D1DE4" w:rsidRDefault="00D110BD" w:rsidP="00726D10">
            <w:pPr>
              <w:pStyle w:val="Tabletext"/>
              <w:keepNext/>
              <w:rPr>
                <w:b/>
                <w:lang w:val="en-US"/>
              </w:rPr>
            </w:pPr>
            <w:r w:rsidRPr="003D1DE4">
              <w:rPr>
                <w:b/>
                <w:lang w:val="en-US"/>
              </w:rPr>
              <w:t>Description</w:t>
            </w:r>
          </w:p>
        </w:tc>
        <w:tc>
          <w:tcPr>
            <w:tcW w:w="3302" w:type="pct"/>
            <w:shd w:val="clear" w:color="auto" w:fill="auto"/>
            <w:vAlign w:val="center"/>
          </w:tcPr>
          <w:p w:rsidR="00D110BD" w:rsidRPr="003D1DE4" w:rsidRDefault="00D110BD" w:rsidP="00726D10">
            <w:pPr>
              <w:pStyle w:val="Tabletext"/>
              <w:keepNext/>
              <w:jc w:val="center"/>
              <w:rPr>
                <w:b/>
                <w:lang w:val="en-US"/>
              </w:rPr>
            </w:pPr>
            <w:r w:rsidRPr="003D1DE4">
              <w:rPr>
                <w:b/>
                <w:lang w:val="en-US"/>
              </w:rPr>
              <w:t>Method/Value</w:t>
            </w:r>
          </w:p>
        </w:tc>
        <w:tc>
          <w:tcPr>
            <w:tcW w:w="693" w:type="pct"/>
            <w:shd w:val="clear" w:color="auto" w:fill="auto"/>
            <w:vAlign w:val="center"/>
          </w:tcPr>
          <w:p w:rsidR="00D110BD" w:rsidRPr="003D1DE4" w:rsidRDefault="00D110BD" w:rsidP="00726D10">
            <w:pPr>
              <w:pStyle w:val="Tabletext"/>
              <w:keepNext/>
              <w:jc w:val="center"/>
              <w:rPr>
                <w:b/>
                <w:lang w:val="en-US"/>
              </w:rPr>
            </w:pPr>
            <w:r w:rsidRPr="003D1DE4">
              <w:rPr>
                <w:b/>
                <w:lang w:val="en-US"/>
              </w:rPr>
              <w:t>Impact</w:t>
            </w:r>
          </w:p>
        </w:tc>
      </w:tr>
      <w:tr w:rsidR="00537182" w:rsidRPr="00E2771E" w:rsidTr="00726D10">
        <w:tc>
          <w:tcPr>
            <w:tcW w:w="1005" w:type="pct"/>
            <w:shd w:val="clear" w:color="auto" w:fill="auto"/>
            <w:vAlign w:val="center"/>
          </w:tcPr>
          <w:p w:rsidR="00D110BD" w:rsidRPr="00E2771E" w:rsidRDefault="00A267AA" w:rsidP="00726D10">
            <w:pPr>
              <w:pStyle w:val="Tabletext"/>
              <w:keepNext/>
              <w:rPr>
                <w:lang w:val="en-US"/>
              </w:rPr>
            </w:pPr>
            <w:r>
              <w:rPr>
                <w:lang w:val="en-US"/>
              </w:rPr>
              <w:t>Retention benefit associated with prolonged release buprenorphine</w:t>
            </w:r>
          </w:p>
        </w:tc>
        <w:tc>
          <w:tcPr>
            <w:tcW w:w="3302" w:type="pct"/>
            <w:shd w:val="clear" w:color="auto" w:fill="auto"/>
            <w:vAlign w:val="center"/>
          </w:tcPr>
          <w:p w:rsidR="00106B80" w:rsidRPr="00EA4420" w:rsidRDefault="00A267AA" w:rsidP="00726D10">
            <w:pPr>
              <w:pStyle w:val="Tabletext"/>
              <w:keepNext/>
              <w:rPr>
                <w:lang w:val="en-US"/>
              </w:rPr>
            </w:pPr>
            <w:r w:rsidRPr="00EA4420">
              <w:rPr>
                <w:lang w:val="en-US"/>
              </w:rPr>
              <w:t xml:space="preserve">The probability of remaining on treatment over time for sublingual buprenorphine/naloxone and prolonged release buprenorphine was derived using the retention curve from </w:t>
            </w:r>
            <w:r w:rsidRPr="0030255E">
              <w:rPr>
                <w:lang w:val="en-US"/>
              </w:rPr>
              <w:t>Burns et al. (</w:t>
            </w:r>
            <w:r w:rsidR="00732194" w:rsidRPr="0030255E">
              <w:rPr>
                <w:lang w:val="en-US"/>
              </w:rPr>
              <w:t>2014</w:t>
            </w:r>
            <w:r w:rsidR="00732194">
              <w:rPr>
                <w:lang w:val="en-US"/>
              </w:rPr>
              <w:t xml:space="preserve">) </w:t>
            </w:r>
            <w:r w:rsidRPr="00EA4420">
              <w:rPr>
                <w:lang w:val="en-US"/>
              </w:rPr>
              <w:t>compared with the retention curve from the HS-14-499 open-label study to calculate a hazard ratio for retention with prolonged release buprenorphine compared to sublingual buprenorphine/naloxone.</w:t>
            </w:r>
            <w:r w:rsidR="00890C9B" w:rsidRPr="00EA4420">
              <w:rPr>
                <w:rFonts w:ascii="Calibri" w:hAnsi="Calibri" w:cs="Arial"/>
                <w:snapToGrid w:val="0"/>
                <w:sz w:val="24"/>
              </w:rPr>
              <w:t xml:space="preserve"> </w:t>
            </w:r>
            <w:r w:rsidR="00890C9B" w:rsidRPr="00EA4420">
              <w:t xml:space="preserve">Burns et al. (2014) was a descriptive </w:t>
            </w:r>
            <w:r w:rsidR="00246BA7" w:rsidRPr="00EA4420">
              <w:t>study, which</w:t>
            </w:r>
            <w:r w:rsidR="00890C9B" w:rsidRPr="00EA4420">
              <w:t xml:space="preserve"> did not take into account buprenorphine dose, a critical factor </w:t>
            </w:r>
            <w:r w:rsidR="00246BA7" w:rsidRPr="00EA4420">
              <w:t>that</w:t>
            </w:r>
            <w:r w:rsidR="00890C9B" w:rsidRPr="00EA4420">
              <w:t xml:space="preserve"> affects treatment retention.</w:t>
            </w:r>
            <w:r w:rsidRPr="00EA4420">
              <w:rPr>
                <w:lang w:val="en-US"/>
              </w:rPr>
              <w:t xml:space="preserve"> The resulting hazard ratio (3.85) was applied over the first 36 weeks of treatment, after which the hazard ratio reverts to 1. </w:t>
            </w:r>
            <w:r w:rsidR="00890C9B" w:rsidRPr="00EA4420">
              <w:rPr>
                <w:lang w:val="en-US"/>
              </w:rPr>
              <w:t xml:space="preserve">No justification was provided for the application of improved retention over 36 weeks. The persistence curves for the remaining time on treatment are assumed to be the same as per Burns et al. (2015). </w:t>
            </w:r>
            <w:r w:rsidR="00890C9B" w:rsidRPr="00EA4420">
              <w:t>Whilst some retention benefit associated with prolonged release buprenorphine may be achieved in practice, it is unlikely to be as significant as that applied in the model. The method used to derive the hazard ratio is associated with uncertainty</w:t>
            </w:r>
            <w:r w:rsidR="00942098" w:rsidRPr="00EA4420">
              <w:t>; the</w:t>
            </w:r>
            <w:r w:rsidR="00890C9B" w:rsidRPr="00EA4420">
              <w:t xml:space="preserve"> treatment effects are drawn from very different data sources (one open label clinical study and one observational study) which may not be comparable</w:t>
            </w:r>
            <w:r w:rsidR="00942098" w:rsidRPr="00EA4420">
              <w:t xml:space="preserve"> and</w:t>
            </w:r>
            <w:r w:rsidR="00890C9B" w:rsidRPr="00EA4420">
              <w:t xml:space="preserve"> assumptions of the Cox proportional hazards model were not assessed. Given the differences in studies, particularly that one was a real-world observational study, the assumption of non-informative censoring is likely to be violated. This manufactured hazard ratio is unlikely to be representative of the true difference in treatment retention between sublingual buprenorphine/naloxone and prolonged release buprenorphine.</w:t>
            </w:r>
          </w:p>
        </w:tc>
        <w:tc>
          <w:tcPr>
            <w:tcW w:w="693" w:type="pct"/>
            <w:shd w:val="clear" w:color="auto" w:fill="auto"/>
            <w:vAlign w:val="center"/>
          </w:tcPr>
          <w:p w:rsidR="00D110BD" w:rsidRPr="00E2771E" w:rsidRDefault="00A267AA" w:rsidP="00726D10">
            <w:pPr>
              <w:pStyle w:val="Tabletext"/>
              <w:keepNext/>
              <w:rPr>
                <w:lang w:val="en-US"/>
              </w:rPr>
            </w:pPr>
            <w:r>
              <w:rPr>
                <w:lang w:val="en-US"/>
              </w:rPr>
              <w:t>High; favours prolonged release buprenorphine</w:t>
            </w:r>
          </w:p>
        </w:tc>
      </w:tr>
      <w:tr w:rsidR="00A267AA" w:rsidRPr="00E2771E" w:rsidTr="00726D10">
        <w:tc>
          <w:tcPr>
            <w:tcW w:w="1005" w:type="pct"/>
            <w:shd w:val="clear" w:color="auto" w:fill="auto"/>
            <w:vAlign w:val="center"/>
          </w:tcPr>
          <w:p w:rsidR="00A267AA" w:rsidRPr="00E2771E" w:rsidRDefault="00505AEE" w:rsidP="003D1DE4">
            <w:pPr>
              <w:pStyle w:val="Tabletext"/>
              <w:rPr>
                <w:lang w:val="en-US"/>
              </w:rPr>
            </w:pPr>
            <w:r>
              <w:rPr>
                <w:lang w:val="en-US"/>
              </w:rPr>
              <w:t>Inclusion of supervision costs of sublingual buprenorphine/naloxone</w:t>
            </w:r>
          </w:p>
        </w:tc>
        <w:tc>
          <w:tcPr>
            <w:tcW w:w="3302" w:type="pct"/>
            <w:shd w:val="clear" w:color="auto" w:fill="auto"/>
            <w:vAlign w:val="center"/>
          </w:tcPr>
          <w:p w:rsidR="00A267AA" w:rsidRPr="00313938" w:rsidRDefault="00505AEE" w:rsidP="00732194">
            <w:pPr>
              <w:pStyle w:val="Tabletext"/>
              <w:rPr>
                <w:i/>
                <w:lang w:val="en-US"/>
              </w:rPr>
            </w:pPr>
            <w:r w:rsidRPr="00EA4420">
              <w:rPr>
                <w:lang w:val="en-US"/>
              </w:rPr>
              <w:t xml:space="preserve">The model included private costs to patients for supervision of sublingual buprenorphine/naloxone, charged in community pharmacies and some public clinics. </w:t>
            </w:r>
            <w:r w:rsidR="009B0265" w:rsidRPr="00EA4420">
              <w:t>Whilst these costs are considered an important barrier to medication assisted treatment, their inclusion in the economic model may not be appropriate. Private costs to patients were not considered in the prolonged release buprenorphine treatment arm</w:t>
            </w:r>
            <w:r w:rsidR="004525F3" w:rsidRPr="00EA4420">
              <w:t>, despite dispensing sites still being able to charge private fees to patients being treated with prolonged release buprenorphine.</w:t>
            </w:r>
            <w:r w:rsidR="00313938">
              <w:t xml:space="preserve"> </w:t>
            </w:r>
          </w:p>
        </w:tc>
        <w:tc>
          <w:tcPr>
            <w:tcW w:w="693" w:type="pct"/>
            <w:shd w:val="clear" w:color="auto" w:fill="auto"/>
            <w:vAlign w:val="center"/>
          </w:tcPr>
          <w:p w:rsidR="00A267AA" w:rsidRPr="00E2771E" w:rsidRDefault="00505AEE" w:rsidP="003D1DE4">
            <w:pPr>
              <w:pStyle w:val="Tabletext"/>
              <w:rPr>
                <w:lang w:val="en-US"/>
              </w:rPr>
            </w:pPr>
            <w:r>
              <w:rPr>
                <w:lang w:val="en-US"/>
              </w:rPr>
              <w:t>High; favours prolonged release buprenorphine</w:t>
            </w:r>
          </w:p>
        </w:tc>
      </w:tr>
      <w:tr w:rsidR="00A267AA" w:rsidRPr="00E2771E" w:rsidTr="00726D10">
        <w:tc>
          <w:tcPr>
            <w:tcW w:w="1005" w:type="pct"/>
            <w:shd w:val="clear" w:color="auto" w:fill="auto"/>
            <w:vAlign w:val="center"/>
          </w:tcPr>
          <w:p w:rsidR="00A267AA" w:rsidRPr="00E2771E" w:rsidRDefault="009B0265" w:rsidP="003D1DE4">
            <w:pPr>
              <w:pStyle w:val="Tabletext"/>
              <w:rPr>
                <w:lang w:val="en-US"/>
              </w:rPr>
            </w:pPr>
            <w:r>
              <w:rPr>
                <w:lang w:val="en-US"/>
              </w:rPr>
              <w:t>Health state costs</w:t>
            </w:r>
          </w:p>
        </w:tc>
        <w:tc>
          <w:tcPr>
            <w:tcW w:w="3302" w:type="pct"/>
            <w:shd w:val="clear" w:color="auto" w:fill="auto"/>
            <w:vAlign w:val="center"/>
          </w:tcPr>
          <w:p w:rsidR="00A267AA" w:rsidRPr="00EA4420" w:rsidRDefault="009B0265" w:rsidP="009B0265">
            <w:pPr>
              <w:pStyle w:val="Tabletext"/>
              <w:rPr>
                <w:lang w:val="en-US"/>
              </w:rPr>
            </w:pPr>
            <w:r w:rsidRPr="00EA4420">
              <w:t>Health state costs used in the economic model were derived from a retrospective analysis of US health claims data which analysed healthcare resource utilisation according to adherence to medication assisted treatment (</w:t>
            </w:r>
            <w:proofErr w:type="spellStart"/>
            <w:r w:rsidRPr="00EA4420">
              <w:t>Tkacz</w:t>
            </w:r>
            <w:proofErr w:type="spellEnd"/>
            <w:r w:rsidRPr="00EA4420">
              <w:t xml:space="preserve"> et al., 2014). This is unlikely to be representative of health service use in Australia.</w:t>
            </w:r>
          </w:p>
        </w:tc>
        <w:tc>
          <w:tcPr>
            <w:tcW w:w="693" w:type="pct"/>
            <w:shd w:val="clear" w:color="auto" w:fill="auto"/>
            <w:vAlign w:val="center"/>
          </w:tcPr>
          <w:p w:rsidR="00A267AA" w:rsidRPr="00E2771E" w:rsidRDefault="009B0265" w:rsidP="003D1DE4">
            <w:pPr>
              <w:pStyle w:val="Tabletext"/>
              <w:rPr>
                <w:lang w:val="en-US"/>
              </w:rPr>
            </w:pPr>
            <w:r>
              <w:rPr>
                <w:lang w:val="en-US"/>
              </w:rPr>
              <w:t>High; favours prolonged release buprenorphine</w:t>
            </w:r>
          </w:p>
        </w:tc>
      </w:tr>
      <w:tr w:rsidR="00A267AA" w:rsidRPr="00E2771E" w:rsidTr="00726D10">
        <w:tc>
          <w:tcPr>
            <w:tcW w:w="1005" w:type="pct"/>
            <w:shd w:val="clear" w:color="auto" w:fill="auto"/>
            <w:vAlign w:val="center"/>
          </w:tcPr>
          <w:p w:rsidR="00A267AA" w:rsidRPr="00E2771E" w:rsidRDefault="009B0265" w:rsidP="003D1DE4">
            <w:pPr>
              <w:pStyle w:val="Tabletext"/>
              <w:rPr>
                <w:lang w:val="en-US"/>
              </w:rPr>
            </w:pPr>
            <w:r>
              <w:rPr>
                <w:lang w:val="en-US"/>
              </w:rPr>
              <w:t>Costs of illicit opioid use</w:t>
            </w:r>
          </w:p>
        </w:tc>
        <w:tc>
          <w:tcPr>
            <w:tcW w:w="3302" w:type="pct"/>
            <w:shd w:val="clear" w:color="auto" w:fill="auto"/>
            <w:vAlign w:val="center"/>
          </w:tcPr>
          <w:p w:rsidR="00A267AA" w:rsidRPr="00EA4420" w:rsidRDefault="002115A6" w:rsidP="00785C20">
            <w:pPr>
              <w:pStyle w:val="Tabletext"/>
              <w:rPr>
                <w:lang w:val="en-US"/>
              </w:rPr>
            </w:pPr>
            <w:r w:rsidRPr="00EA4420">
              <w:rPr>
                <w:lang w:val="en-US"/>
              </w:rPr>
              <w:t>As a sensitivity analysis incorporating the broader societal costs of opioid use disorder, t</w:t>
            </w:r>
            <w:r w:rsidR="009B0265" w:rsidRPr="00EA4420">
              <w:rPr>
                <w:lang w:val="en-US"/>
              </w:rPr>
              <w:t>he model included the average cost of heroin use at $186.40 per day for 25.2 days of a 28-day cycle ($4697.28 per cycle) applied to the proportion of patients ‘using’ in each health state. It is unclear whether using the cost of heroin as a proxy for costs of all illicit opioid use was reasonable, particularly given the changing demographics of opioid use in recent years (increasing illicit use of prescription opioids).</w:t>
            </w:r>
            <w:r w:rsidR="000D734E" w:rsidRPr="00EA4420">
              <w:rPr>
                <w:lang w:val="en-US"/>
              </w:rPr>
              <w:t xml:space="preserve"> </w:t>
            </w:r>
          </w:p>
        </w:tc>
        <w:tc>
          <w:tcPr>
            <w:tcW w:w="693" w:type="pct"/>
            <w:shd w:val="clear" w:color="auto" w:fill="auto"/>
            <w:vAlign w:val="center"/>
          </w:tcPr>
          <w:p w:rsidR="00A267AA" w:rsidRPr="00E2771E" w:rsidRDefault="009B0265" w:rsidP="003D1DE4">
            <w:pPr>
              <w:pStyle w:val="Tabletext"/>
              <w:rPr>
                <w:lang w:val="en-US"/>
              </w:rPr>
            </w:pPr>
            <w:r>
              <w:rPr>
                <w:lang w:val="en-US"/>
              </w:rPr>
              <w:t>High; favours prolonged release buprenorphine</w:t>
            </w:r>
          </w:p>
        </w:tc>
      </w:tr>
      <w:tr w:rsidR="006F02A4" w:rsidRPr="00E2771E" w:rsidTr="00726D10">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6F02A4" w:rsidRPr="00E2771E" w:rsidRDefault="006F02A4" w:rsidP="00E140C7">
            <w:pPr>
              <w:pStyle w:val="Tabletext"/>
              <w:rPr>
                <w:lang w:val="en-US"/>
              </w:rPr>
            </w:pPr>
            <w:r>
              <w:rPr>
                <w:lang w:val="en-US"/>
              </w:rPr>
              <w:t>Utilities</w:t>
            </w:r>
          </w:p>
        </w:tc>
        <w:tc>
          <w:tcPr>
            <w:tcW w:w="3302" w:type="pct"/>
            <w:tcBorders>
              <w:top w:val="single" w:sz="4" w:space="0" w:color="auto"/>
              <w:left w:val="single" w:sz="4" w:space="0" w:color="auto"/>
              <w:bottom w:val="single" w:sz="4" w:space="0" w:color="auto"/>
              <w:right w:val="single" w:sz="4" w:space="0" w:color="auto"/>
            </w:tcBorders>
            <w:shd w:val="clear" w:color="auto" w:fill="auto"/>
            <w:vAlign w:val="center"/>
          </w:tcPr>
          <w:p w:rsidR="006F02A4" w:rsidRPr="00EA4420" w:rsidRDefault="006F02A4" w:rsidP="00726D10">
            <w:pPr>
              <w:pStyle w:val="Tabletext"/>
              <w:rPr>
                <w:lang w:val="en-US"/>
              </w:rPr>
            </w:pPr>
            <w:r w:rsidRPr="00EA4420">
              <w:rPr>
                <w:lang w:val="en-US"/>
              </w:rPr>
              <w:t xml:space="preserve">The model was moderately sensitive to the utility values used in the model (published utilities versus trial-based derived from study HS-14-499), and the </w:t>
            </w:r>
            <w:r w:rsidRPr="00EA4420">
              <w:rPr>
                <w:lang w:val="en-US"/>
              </w:rPr>
              <w:lastRenderedPageBreak/>
              <w:t>proportion of utilities assigned to injecting versus non-injecting drug users.</w:t>
            </w:r>
            <w:r w:rsidRPr="006F02A4">
              <w:rPr>
                <w:lang w:val="en-US"/>
              </w:rPr>
              <w:t xml:space="preserve"> Given the higher proportion of injecting drug users in the Australian population, this could have been used to derive utilities, rather than an average (base case).</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F02A4" w:rsidRPr="00E2771E" w:rsidRDefault="006F02A4" w:rsidP="00E140C7">
            <w:pPr>
              <w:pStyle w:val="Tabletext"/>
              <w:rPr>
                <w:lang w:val="en-US"/>
              </w:rPr>
            </w:pPr>
            <w:r>
              <w:rPr>
                <w:lang w:val="en-US"/>
              </w:rPr>
              <w:lastRenderedPageBreak/>
              <w:t>Moderate</w:t>
            </w:r>
          </w:p>
        </w:tc>
      </w:tr>
      <w:tr w:rsidR="006F02A4" w:rsidRPr="00E2771E" w:rsidTr="00726D10">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6F02A4" w:rsidRPr="00E2771E" w:rsidRDefault="006F02A4" w:rsidP="00E140C7">
            <w:pPr>
              <w:pStyle w:val="Tabletext"/>
              <w:rPr>
                <w:lang w:val="en-US"/>
              </w:rPr>
            </w:pPr>
            <w:r>
              <w:rPr>
                <w:lang w:val="en-US"/>
              </w:rPr>
              <w:t>Proportion of patients stabilized on the monthly formulation of prolonged release buprenorphine</w:t>
            </w:r>
          </w:p>
        </w:tc>
        <w:tc>
          <w:tcPr>
            <w:tcW w:w="3302" w:type="pct"/>
            <w:tcBorders>
              <w:top w:val="single" w:sz="4" w:space="0" w:color="auto"/>
              <w:left w:val="single" w:sz="4" w:space="0" w:color="auto"/>
              <w:bottom w:val="single" w:sz="4" w:space="0" w:color="auto"/>
              <w:right w:val="single" w:sz="4" w:space="0" w:color="auto"/>
            </w:tcBorders>
            <w:shd w:val="clear" w:color="auto" w:fill="auto"/>
            <w:vAlign w:val="center"/>
          </w:tcPr>
          <w:p w:rsidR="006F02A4" w:rsidRPr="00EA4420" w:rsidRDefault="006F02A4" w:rsidP="00E140C7">
            <w:pPr>
              <w:pStyle w:val="Tabletext"/>
              <w:rPr>
                <w:lang w:val="en-US"/>
              </w:rPr>
            </w:pPr>
            <w:r w:rsidRPr="00EA4420">
              <w:rPr>
                <w:lang w:val="en-US"/>
              </w:rPr>
              <w:t>The model assumed that after the initial treatment cycle where all patients in the prolonged release buprenorphine treatment arm were treated with the weekly formulation (4 weeks), 74.7% of patients would be stabilized on the monthly formulation. This reduced costs of administration of prolonged release buprenorphine.</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6F02A4" w:rsidRPr="00E2771E" w:rsidRDefault="006F02A4" w:rsidP="00E140C7">
            <w:pPr>
              <w:pStyle w:val="Tabletext"/>
              <w:rPr>
                <w:lang w:val="en-US"/>
              </w:rPr>
            </w:pPr>
            <w:r>
              <w:rPr>
                <w:lang w:val="en-US"/>
              </w:rPr>
              <w:t>Moderate; favours prolonged release buprenorphine</w:t>
            </w:r>
          </w:p>
        </w:tc>
      </w:tr>
    </w:tbl>
    <w:p w:rsidR="00D110BD" w:rsidRDefault="002115A6" w:rsidP="009D792E">
      <w:pPr>
        <w:pStyle w:val="TableFooter"/>
      </w:pPr>
      <w:r>
        <w:t>Source: Compiled during the evaluation</w:t>
      </w:r>
    </w:p>
    <w:p w:rsidR="003A1D96" w:rsidRDefault="003A1D96" w:rsidP="009D792E">
      <w:pPr>
        <w:pStyle w:val="TableFooter"/>
      </w:pPr>
    </w:p>
    <w:p w:rsidR="00275C5A" w:rsidRPr="009B0265" w:rsidRDefault="009B0265" w:rsidP="00DB2F6E">
      <w:pPr>
        <w:pStyle w:val="ListParagraph"/>
        <w:widowControl/>
        <w:numPr>
          <w:ilvl w:val="1"/>
          <w:numId w:val="2"/>
        </w:numPr>
      </w:pPr>
      <w:r w:rsidRPr="009B0265">
        <w:t>The results of the modelled economic evaluation are summarised in the table below.</w:t>
      </w:r>
    </w:p>
    <w:p w:rsidR="009B0265" w:rsidRDefault="009B0265" w:rsidP="009B0265">
      <w:pPr>
        <w:pStyle w:val="TableHeading0"/>
        <w:spacing w:after="0"/>
      </w:pPr>
      <w:r>
        <w:t>Table 1</w:t>
      </w:r>
      <w:r w:rsidR="00C40FF8">
        <w:t>3</w:t>
      </w:r>
      <w:r>
        <w:t>: Results of the stepped economic analysis</w:t>
      </w:r>
    </w:p>
    <w:tbl>
      <w:tblPr>
        <w:tblStyle w:val="TableGrid"/>
        <w:tblW w:w="0" w:type="auto"/>
        <w:tblLook w:val="04A0" w:firstRow="1" w:lastRow="0" w:firstColumn="1" w:lastColumn="0" w:noHBand="0" w:noVBand="1"/>
        <w:tblCaption w:val="Results of the stepped economic analysis"/>
      </w:tblPr>
      <w:tblGrid>
        <w:gridCol w:w="1786"/>
        <w:gridCol w:w="1815"/>
        <w:gridCol w:w="1818"/>
        <w:gridCol w:w="1790"/>
        <w:gridCol w:w="1808"/>
      </w:tblGrid>
      <w:tr w:rsidR="009B0265" w:rsidTr="000F6C8D">
        <w:trPr>
          <w:cantSplit/>
          <w:tblHeader/>
        </w:trPr>
        <w:tc>
          <w:tcPr>
            <w:tcW w:w="1848" w:type="dxa"/>
            <w:vAlign w:val="center"/>
          </w:tcPr>
          <w:p w:rsidR="009B0265" w:rsidRPr="007B49FD" w:rsidRDefault="009B0265" w:rsidP="00942098">
            <w:pPr>
              <w:pStyle w:val="TableText0"/>
              <w:keepNext w:val="0"/>
              <w:spacing w:before="0" w:after="0"/>
              <w:rPr>
                <w:b/>
              </w:rPr>
            </w:pPr>
            <w:r w:rsidRPr="007B49FD">
              <w:rPr>
                <w:b/>
              </w:rPr>
              <w:t>Resource item</w:t>
            </w:r>
          </w:p>
        </w:tc>
        <w:tc>
          <w:tcPr>
            <w:tcW w:w="1848" w:type="dxa"/>
            <w:vAlign w:val="center"/>
          </w:tcPr>
          <w:p w:rsidR="009B0265" w:rsidRPr="007B49FD" w:rsidRDefault="009B0265" w:rsidP="00942098">
            <w:pPr>
              <w:pStyle w:val="TableText0"/>
              <w:keepNext w:val="0"/>
              <w:spacing w:before="0" w:after="0"/>
              <w:jc w:val="center"/>
              <w:rPr>
                <w:b/>
              </w:rPr>
            </w:pPr>
            <w:r w:rsidRPr="007B49FD">
              <w:rPr>
                <w:b/>
              </w:rPr>
              <w:t>Prolonged release buprenorphine</w:t>
            </w:r>
          </w:p>
        </w:tc>
        <w:tc>
          <w:tcPr>
            <w:tcW w:w="1848" w:type="dxa"/>
            <w:vAlign w:val="center"/>
          </w:tcPr>
          <w:p w:rsidR="009B0265" w:rsidRPr="007B49FD" w:rsidRDefault="009B0265" w:rsidP="00942098">
            <w:pPr>
              <w:pStyle w:val="TableText0"/>
              <w:keepNext w:val="0"/>
              <w:spacing w:before="0" w:after="0"/>
              <w:jc w:val="center"/>
              <w:rPr>
                <w:b/>
              </w:rPr>
            </w:pPr>
            <w:r w:rsidRPr="007B49FD">
              <w:rPr>
                <w:b/>
              </w:rPr>
              <w:t>Sublingual buprenorphine/ naloxone</w:t>
            </w:r>
          </w:p>
        </w:tc>
        <w:tc>
          <w:tcPr>
            <w:tcW w:w="1849" w:type="dxa"/>
            <w:vAlign w:val="center"/>
          </w:tcPr>
          <w:p w:rsidR="009B0265" w:rsidRPr="007B49FD" w:rsidRDefault="009B0265" w:rsidP="00942098">
            <w:pPr>
              <w:pStyle w:val="TableText0"/>
              <w:keepNext w:val="0"/>
              <w:spacing w:before="0" w:after="0"/>
              <w:jc w:val="center"/>
              <w:rPr>
                <w:b/>
              </w:rPr>
            </w:pPr>
            <w:r w:rsidRPr="007B49FD">
              <w:rPr>
                <w:b/>
              </w:rPr>
              <w:t>Increment</w:t>
            </w:r>
          </w:p>
        </w:tc>
        <w:tc>
          <w:tcPr>
            <w:tcW w:w="1849" w:type="dxa"/>
            <w:vAlign w:val="center"/>
          </w:tcPr>
          <w:p w:rsidR="009B0265" w:rsidRPr="007B49FD" w:rsidRDefault="009B0265" w:rsidP="00942098">
            <w:pPr>
              <w:pStyle w:val="TableText0"/>
              <w:keepNext w:val="0"/>
              <w:spacing w:before="0" w:after="0"/>
              <w:jc w:val="center"/>
              <w:rPr>
                <w:b/>
              </w:rPr>
            </w:pPr>
            <w:r w:rsidRPr="007B49FD">
              <w:rPr>
                <w:b/>
              </w:rPr>
              <w:t>Incremental cost-effectiveness ratio</w:t>
            </w:r>
          </w:p>
        </w:tc>
      </w:tr>
      <w:tr w:rsidR="009B0265" w:rsidTr="00942098">
        <w:tc>
          <w:tcPr>
            <w:tcW w:w="9242" w:type="dxa"/>
            <w:gridSpan w:val="5"/>
          </w:tcPr>
          <w:p w:rsidR="009B0265" w:rsidRPr="007B49FD" w:rsidRDefault="009B0265" w:rsidP="00942098">
            <w:pPr>
              <w:pStyle w:val="TableText0"/>
              <w:keepNext w:val="0"/>
              <w:spacing w:before="0" w:after="0"/>
              <w:rPr>
                <w:b/>
              </w:rPr>
            </w:pPr>
            <w:r w:rsidRPr="007B49FD">
              <w:rPr>
                <w:b/>
              </w:rPr>
              <w:t>Step 1: Trial based evaluation including drug costs and supervision/administration costs. All patients compliant and adherent to treatment. Six month duration.</w:t>
            </w:r>
          </w:p>
        </w:tc>
      </w:tr>
      <w:tr w:rsidR="009B0265" w:rsidTr="00942098">
        <w:tc>
          <w:tcPr>
            <w:tcW w:w="1848" w:type="dxa"/>
          </w:tcPr>
          <w:p w:rsidR="009B0265" w:rsidRDefault="009B0265" w:rsidP="00942098">
            <w:pPr>
              <w:pStyle w:val="TableText0"/>
              <w:keepNext w:val="0"/>
              <w:spacing w:before="0" w:after="0"/>
            </w:pPr>
            <w:r>
              <w:t>Costs</w:t>
            </w:r>
          </w:p>
        </w:tc>
        <w:tc>
          <w:tcPr>
            <w:tcW w:w="1848"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8" w:type="dxa"/>
            <w:vAlign w:val="center"/>
          </w:tcPr>
          <w:p w:rsidR="009B0265" w:rsidRDefault="009B0265" w:rsidP="00942098">
            <w:pPr>
              <w:pStyle w:val="TableText0"/>
              <w:keepNext w:val="0"/>
              <w:spacing w:before="0" w:after="0"/>
              <w:jc w:val="center"/>
            </w:pPr>
            <w:r>
              <w:t>$2,567</w:t>
            </w:r>
          </w:p>
        </w:tc>
        <w:tc>
          <w:tcPr>
            <w:tcW w:w="1849"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9" w:type="dxa"/>
            <w:vMerge w:val="restart"/>
            <w:vAlign w:val="center"/>
          </w:tcPr>
          <w:p w:rsidR="009B0265" w:rsidRDefault="009B0265" w:rsidP="00942098">
            <w:pPr>
              <w:pStyle w:val="TableText0"/>
              <w:keepNext w:val="0"/>
              <w:spacing w:before="0" w:after="0"/>
              <w:jc w:val="center"/>
            </w:pPr>
            <w:r>
              <w:t>$</w:t>
            </w:r>
            <w:r w:rsidR="00464910">
              <w:rPr>
                <w:noProof/>
                <w:color w:val="000000"/>
                <w:highlight w:val="black"/>
              </w:rPr>
              <w:t>''''''''''''''''</w:t>
            </w:r>
          </w:p>
        </w:tc>
      </w:tr>
      <w:tr w:rsidR="009B0265" w:rsidTr="00942098">
        <w:tc>
          <w:tcPr>
            <w:tcW w:w="1848" w:type="dxa"/>
          </w:tcPr>
          <w:p w:rsidR="009B0265" w:rsidRDefault="009B0265" w:rsidP="00942098">
            <w:pPr>
              <w:pStyle w:val="TableText0"/>
              <w:keepNext w:val="0"/>
              <w:spacing w:before="0" w:after="0"/>
            </w:pPr>
            <w:r>
              <w:t>Time spent ‘clean’</w:t>
            </w:r>
          </w:p>
        </w:tc>
        <w:tc>
          <w:tcPr>
            <w:tcW w:w="1848" w:type="dxa"/>
            <w:vAlign w:val="center"/>
          </w:tcPr>
          <w:p w:rsidR="009B0265" w:rsidRDefault="009B0265" w:rsidP="00942098">
            <w:pPr>
              <w:pStyle w:val="TableText0"/>
              <w:keepNext w:val="0"/>
              <w:spacing w:before="0" w:after="0"/>
              <w:jc w:val="center"/>
            </w:pPr>
            <w:r>
              <w:t>0.1600</w:t>
            </w:r>
          </w:p>
        </w:tc>
        <w:tc>
          <w:tcPr>
            <w:tcW w:w="1848" w:type="dxa"/>
            <w:vAlign w:val="center"/>
          </w:tcPr>
          <w:p w:rsidR="009B0265" w:rsidRDefault="009B0265" w:rsidP="00942098">
            <w:pPr>
              <w:pStyle w:val="TableText0"/>
              <w:keepNext w:val="0"/>
              <w:spacing w:before="0" w:after="0"/>
              <w:jc w:val="center"/>
            </w:pPr>
            <w:r>
              <w:t>0.1295</w:t>
            </w:r>
          </w:p>
        </w:tc>
        <w:tc>
          <w:tcPr>
            <w:tcW w:w="1849" w:type="dxa"/>
            <w:vAlign w:val="center"/>
          </w:tcPr>
          <w:p w:rsidR="009B0265" w:rsidRDefault="009B0265" w:rsidP="00942098">
            <w:pPr>
              <w:pStyle w:val="TableText0"/>
              <w:keepNext w:val="0"/>
              <w:spacing w:before="0" w:after="0"/>
              <w:jc w:val="center"/>
            </w:pPr>
            <w:r>
              <w:t>0.0305</w:t>
            </w:r>
          </w:p>
        </w:tc>
        <w:tc>
          <w:tcPr>
            <w:tcW w:w="1849" w:type="dxa"/>
            <w:vMerge/>
          </w:tcPr>
          <w:p w:rsidR="009B0265" w:rsidRDefault="009B0265" w:rsidP="00942098">
            <w:pPr>
              <w:pStyle w:val="TableText0"/>
              <w:keepNext w:val="0"/>
              <w:spacing w:before="0" w:after="0"/>
            </w:pPr>
          </w:p>
        </w:tc>
      </w:tr>
      <w:tr w:rsidR="009B0265" w:rsidTr="00942098">
        <w:tc>
          <w:tcPr>
            <w:tcW w:w="9242" w:type="dxa"/>
            <w:gridSpan w:val="5"/>
          </w:tcPr>
          <w:p w:rsidR="009B0265" w:rsidRPr="007B49FD" w:rsidRDefault="009B0265" w:rsidP="00942098">
            <w:pPr>
              <w:pStyle w:val="TableText0"/>
              <w:keepNext w:val="0"/>
              <w:spacing w:before="0" w:after="0"/>
              <w:rPr>
                <w:b/>
                <w:vertAlign w:val="superscript"/>
              </w:rPr>
            </w:pPr>
            <w:r w:rsidRPr="007B49FD">
              <w:rPr>
                <w:b/>
              </w:rPr>
              <w:t xml:space="preserve">Step 2: Trial based evaluation with time spent clean transformed to quality adjusted life years and health state costs </w:t>
            </w:r>
            <w:proofErr w:type="spellStart"/>
            <w:r w:rsidRPr="007B49FD">
              <w:rPr>
                <w:b/>
              </w:rPr>
              <w:t>included</w:t>
            </w:r>
            <w:r w:rsidRPr="007B49FD">
              <w:rPr>
                <w:b/>
                <w:vertAlign w:val="superscript"/>
              </w:rPr>
              <w:t>a</w:t>
            </w:r>
            <w:proofErr w:type="spellEnd"/>
          </w:p>
        </w:tc>
      </w:tr>
      <w:tr w:rsidR="009B0265" w:rsidTr="00942098">
        <w:tc>
          <w:tcPr>
            <w:tcW w:w="1848" w:type="dxa"/>
          </w:tcPr>
          <w:p w:rsidR="009B0265" w:rsidRDefault="009B0265" w:rsidP="00942098">
            <w:pPr>
              <w:pStyle w:val="TableText0"/>
              <w:keepNext w:val="0"/>
              <w:spacing w:before="0" w:after="0"/>
            </w:pPr>
            <w:r>
              <w:t>Costs</w:t>
            </w:r>
          </w:p>
        </w:tc>
        <w:tc>
          <w:tcPr>
            <w:tcW w:w="1848"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8" w:type="dxa"/>
            <w:vAlign w:val="center"/>
          </w:tcPr>
          <w:p w:rsidR="009B0265" w:rsidRDefault="009B0265" w:rsidP="00942098">
            <w:pPr>
              <w:pStyle w:val="TableText0"/>
              <w:keepNext w:val="0"/>
              <w:spacing w:before="0" w:after="0"/>
              <w:jc w:val="center"/>
            </w:pPr>
            <w:r>
              <w:t>$4,822</w:t>
            </w:r>
          </w:p>
        </w:tc>
        <w:tc>
          <w:tcPr>
            <w:tcW w:w="1849"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9" w:type="dxa"/>
            <w:vMerge w:val="restart"/>
            <w:vAlign w:val="center"/>
          </w:tcPr>
          <w:p w:rsidR="009B0265" w:rsidRDefault="009B0265" w:rsidP="00942098">
            <w:pPr>
              <w:pStyle w:val="TableText0"/>
              <w:keepNext w:val="0"/>
              <w:spacing w:before="0" w:after="0"/>
              <w:jc w:val="center"/>
            </w:pPr>
            <w:r>
              <w:t>$</w:t>
            </w:r>
            <w:r w:rsidR="00464910">
              <w:rPr>
                <w:noProof/>
                <w:color w:val="000000"/>
                <w:highlight w:val="black"/>
              </w:rPr>
              <w:t>''''''''''''''''</w:t>
            </w:r>
          </w:p>
        </w:tc>
      </w:tr>
      <w:tr w:rsidR="009B0265" w:rsidTr="00942098">
        <w:tc>
          <w:tcPr>
            <w:tcW w:w="1848" w:type="dxa"/>
          </w:tcPr>
          <w:p w:rsidR="009B0265" w:rsidRDefault="009B0265" w:rsidP="00942098">
            <w:pPr>
              <w:pStyle w:val="TableText0"/>
              <w:keepNext w:val="0"/>
              <w:spacing w:before="0" w:after="0"/>
            </w:pPr>
            <w:r>
              <w:t>QALYs</w:t>
            </w:r>
          </w:p>
        </w:tc>
        <w:tc>
          <w:tcPr>
            <w:tcW w:w="1848" w:type="dxa"/>
            <w:vAlign w:val="center"/>
          </w:tcPr>
          <w:p w:rsidR="009B0265" w:rsidRDefault="009B0265" w:rsidP="00942098">
            <w:pPr>
              <w:pStyle w:val="TableText0"/>
              <w:keepNext w:val="0"/>
              <w:spacing w:before="0" w:after="0"/>
              <w:jc w:val="center"/>
            </w:pPr>
            <w:r>
              <w:t>0.3335</w:t>
            </w:r>
          </w:p>
        </w:tc>
        <w:tc>
          <w:tcPr>
            <w:tcW w:w="1848" w:type="dxa"/>
            <w:vAlign w:val="center"/>
          </w:tcPr>
          <w:p w:rsidR="009B0265" w:rsidRDefault="009B0265" w:rsidP="00942098">
            <w:pPr>
              <w:pStyle w:val="TableText0"/>
              <w:keepNext w:val="0"/>
              <w:spacing w:before="0" w:after="0"/>
              <w:jc w:val="center"/>
            </w:pPr>
            <w:r>
              <w:t>0.3271</w:t>
            </w:r>
          </w:p>
        </w:tc>
        <w:tc>
          <w:tcPr>
            <w:tcW w:w="1849" w:type="dxa"/>
            <w:vAlign w:val="center"/>
          </w:tcPr>
          <w:p w:rsidR="009B0265" w:rsidRDefault="009B0265" w:rsidP="00942098">
            <w:pPr>
              <w:pStyle w:val="TableText0"/>
              <w:keepNext w:val="0"/>
              <w:spacing w:before="0" w:after="0"/>
              <w:jc w:val="center"/>
            </w:pPr>
            <w:r>
              <w:t>0.0064</w:t>
            </w:r>
          </w:p>
        </w:tc>
        <w:tc>
          <w:tcPr>
            <w:tcW w:w="1849" w:type="dxa"/>
            <w:vMerge/>
          </w:tcPr>
          <w:p w:rsidR="009B0265" w:rsidRDefault="009B0265" w:rsidP="00942098">
            <w:pPr>
              <w:pStyle w:val="TableText0"/>
              <w:keepNext w:val="0"/>
              <w:spacing w:before="0" w:after="0"/>
            </w:pPr>
          </w:p>
        </w:tc>
      </w:tr>
      <w:tr w:rsidR="009B0265" w:rsidTr="00942098">
        <w:tc>
          <w:tcPr>
            <w:tcW w:w="9242" w:type="dxa"/>
            <w:gridSpan w:val="5"/>
          </w:tcPr>
          <w:p w:rsidR="009B0265" w:rsidRPr="007B49FD" w:rsidRDefault="009B0265" w:rsidP="00942098">
            <w:pPr>
              <w:pStyle w:val="TableText0"/>
              <w:keepNext w:val="0"/>
              <w:spacing w:before="0" w:after="0"/>
              <w:rPr>
                <w:b/>
              </w:rPr>
            </w:pPr>
            <w:r w:rsidRPr="007B49FD">
              <w:rPr>
                <w:b/>
              </w:rPr>
              <w:t>Step 3: Modelled time horizon extrapolated to 1 year</w:t>
            </w:r>
          </w:p>
        </w:tc>
      </w:tr>
      <w:tr w:rsidR="009B0265" w:rsidTr="00942098">
        <w:tc>
          <w:tcPr>
            <w:tcW w:w="1848" w:type="dxa"/>
          </w:tcPr>
          <w:p w:rsidR="009B0265" w:rsidRDefault="009B0265" w:rsidP="00942098">
            <w:pPr>
              <w:pStyle w:val="TableText0"/>
              <w:keepNext w:val="0"/>
              <w:spacing w:before="0" w:after="0"/>
            </w:pPr>
            <w:r>
              <w:t>Costs</w:t>
            </w:r>
          </w:p>
        </w:tc>
        <w:tc>
          <w:tcPr>
            <w:tcW w:w="1848"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8" w:type="dxa"/>
            <w:vAlign w:val="center"/>
          </w:tcPr>
          <w:p w:rsidR="009B0265" w:rsidRDefault="009B0265" w:rsidP="00942098">
            <w:pPr>
              <w:pStyle w:val="TableText0"/>
              <w:keepNext w:val="0"/>
              <w:spacing w:before="0" w:after="0"/>
              <w:jc w:val="center"/>
            </w:pPr>
            <w:r>
              <w:t>$10,298</w:t>
            </w:r>
          </w:p>
        </w:tc>
        <w:tc>
          <w:tcPr>
            <w:tcW w:w="1849"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9" w:type="dxa"/>
            <w:vMerge w:val="restart"/>
            <w:vAlign w:val="center"/>
          </w:tcPr>
          <w:p w:rsidR="009B0265" w:rsidRDefault="009B0265" w:rsidP="00942098">
            <w:pPr>
              <w:pStyle w:val="TableText0"/>
              <w:keepNext w:val="0"/>
              <w:spacing w:before="0" w:after="0"/>
              <w:jc w:val="center"/>
            </w:pPr>
            <w:r>
              <w:t>$</w:t>
            </w:r>
            <w:r w:rsidR="00464910">
              <w:rPr>
                <w:noProof/>
                <w:color w:val="000000"/>
                <w:highlight w:val="black"/>
              </w:rPr>
              <w:t>''''''''''''''''</w:t>
            </w:r>
          </w:p>
        </w:tc>
      </w:tr>
      <w:tr w:rsidR="009B0265" w:rsidTr="00942098">
        <w:tc>
          <w:tcPr>
            <w:tcW w:w="1848" w:type="dxa"/>
          </w:tcPr>
          <w:p w:rsidR="009B0265" w:rsidRDefault="009B0265" w:rsidP="00942098">
            <w:pPr>
              <w:pStyle w:val="TableText0"/>
              <w:keepNext w:val="0"/>
              <w:spacing w:before="0" w:after="0"/>
            </w:pPr>
            <w:r>
              <w:t>QALYs</w:t>
            </w:r>
          </w:p>
        </w:tc>
        <w:tc>
          <w:tcPr>
            <w:tcW w:w="1848" w:type="dxa"/>
            <w:vAlign w:val="center"/>
          </w:tcPr>
          <w:p w:rsidR="009B0265" w:rsidRDefault="009B0265" w:rsidP="00942098">
            <w:pPr>
              <w:pStyle w:val="TableText0"/>
              <w:keepNext w:val="0"/>
              <w:spacing w:before="0" w:after="0"/>
              <w:jc w:val="center"/>
            </w:pPr>
            <w:r>
              <w:t>0.7123</w:t>
            </w:r>
          </w:p>
        </w:tc>
        <w:tc>
          <w:tcPr>
            <w:tcW w:w="1848" w:type="dxa"/>
            <w:vAlign w:val="center"/>
          </w:tcPr>
          <w:p w:rsidR="009B0265" w:rsidRDefault="009B0265" w:rsidP="00942098">
            <w:pPr>
              <w:pStyle w:val="TableText0"/>
              <w:keepNext w:val="0"/>
              <w:spacing w:before="0" w:after="0"/>
              <w:jc w:val="center"/>
            </w:pPr>
            <w:r>
              <w:t>0.6986</w:t>
            </w:r>
          </w:p>
        </w:tc>
        <w:tc>
          <w:tcPr>
            <w:tcW w:w="1849" w:type="dxa"/>
            <w:vAlign w:val="center"/>
          </w:tcPr>
          <w:p w:rsidR="009B0265" w:rsidRDefault="009B0265" w:rsidP="00942098">
            <w:pPr>
              <w:pStyle w:val="TableText0"/>
              <w:keepNext w:val="0"/>
              <w:spacing w:before="0" w:after="0"/>
              <w:jc w:val="center"/>
            </w:pPr>
            <w:r>
              <w:t>0.0136</w:t>
            </w:r>
          </w:p>
        </w:tc>
        <w:tc>
          <w:tcPr>
            <w:tcW w:w="1849" w:type="dxa"/>
            <w:vMerge/>
          </w:tcPr>
          <w:p w:rsidR="009B0265" w:rsidRDefault="009B0265" w:rsidP="00942098">
            <w:pPr>
              <w:pStyle w:val="TableText0"/>
              <w:keepNext w:val="0"/>
              <w:spacing w:before="0" w:after="0"/>
            </w:pPr>
          </w:p>
        </w:tc>
      </w:tr>
      <w:tr w:rsidR="009B0265" w:rsidTr="00942098">
        <w:tc>
          <w:tcPr>
            <w:tcW w:w="9242" w:type="dxa"/>
            <w:gridSpan w:val="5"/>
          </w:tcPr>
          <w:p w:rsidR="009B0265" w:rsidRPr="007B49FD" w:rsidRDefault="009B0265" w:rsidP="00942098">
            <w:pPr>
              <w:pStyle w:val="TableText0"/>
              <w:keepNext w:val="0"/>
              <w:spacing w:before="0" w:after="0"/>
              <w:rPr>
                <w:b/>
              </w:rPr>
            </w:pPr>
            <w:r w:rsidRPr="007B49FD">
              <w:rPr>
                <w:b/>
              </w:rPr>
              <w:t>Step 4: Modelled time horizon extrapolated to 3 years</w:t>
            </w:r>
          </w:p>
        </w:tc>
      </w:tr>
      <w:tr w:rsidR="009B0265" w:rsidTr="00942098">
        <w:tc>
          <w:tcPr>
            <w:tcW w:w="1848" w:type="dxa"/>
          </w:tcPr>
          <w:p w:rsidR="009B0265" w:rsidRDefault="009B0265" w:rsidP="00942098">
            <w:pPr>
              <w:pStyle w:val="TableText0"/>
              <w:keepNext w:val="0"/>
              <w:spacing w:before="0" w:after="0"/>
            </w:pPr>
            <w:r>
              <w:t>Costs</w:t>
            </w:r>
          </w:p>
        </w:tc>
        <w:tc>
          <w:tcPr>
            <w:tcW w:w="1848"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8" w:type="dxa"/>
            <w:vAlign w:val="center"/>
          </w:tcPr>
          <w:p w:rsidR="009B0265" w:rsidRDefault="009B0265" w:rsidP="00942098">
            <w:pPr>
              <w:pStyle w:val="TableText0"/>
              <w:keepNext w:val="0"/>
              <w:spacing w:before="0" w:after="0"/>
              <w:jc w:val="center"/>
            </w:pPr>
            <w:r>
              <w:t>$29,298</w:t>
            </w:r>
          </w:p>
        </w:tc>
        <w:tc>
          <w:tcPr>
            <w:tcW w:w="1849"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9" w:type="dxa"/>
            <w:vMerge w:val="restart"/>
            <w:vAlign w:val="center"/>
          </w:tcPr>
          <w:p w:rsidR="009B0265" w:rsidRDefault="009B0265" w:rsidP="00942098">
            <w:pPr>
              <w:pStyle w:val="TableText0"/>
              <w:keepNext w:val="0"/>
              <w:spacing w:before="0" w:after="0"/>
              <w:jc w:val="center"/>
            </w:pPr>
            <w:r>
              <w:t>$</w:t>
            </w:r>
            <w:r w:rsidR="00464910">
              <w:rPr>
                <w:noProof/>
                <w:color w:val="000000"/>
                <w:highlight w:val="black"/>
              </w:rPr>
              <w:t>''''''''''''''''</w:t>
            </w:r>
          </w:p>
        </w:tc>
      </w:tr>
      <w:tr w:rsidR="009B0265" w:rsidTr="00942098">
        <w:tc>
          <w:tcPr>
            <w:tcW w:w="1848" w:type="dxa"/>
          </w:tcPr>
          <w:p w:rsidR="009B0265" w:rsidRDefault="009B0265" w:rsidP="00942098">
            <w:pPr>
              <w:pStyle w:val="TableText0"/>
              <w:keepNext w:val="0"/>
              <w:spacing w:before="0" w:after="0"/>
            </w:pPr>
            <w:r>
              <w:t>QALYs</w:t>
            </w:r>
          </w:p>
        </w:tc>
        <w:tc>
          <w:tcPr>
            <w:tcW w:w="1848" w:type="dxa"/>
            <w:vAlign w:val="center"/>
          </w:tcPr>
          <w:p w:rsidR="009B0265" w:rsidRDefault="009B0265" w:rsidP="00942098">
            <w:pPr>
              <w:pStyle w:val="TableText0"/>
              <w:keepNext w:val="0"/>
              <w:spacing w:before="0" w:after="0"/>
              <w:jc w:val="center"/>
            </w:pPr>
            <w:r>
              <w:t>2.0264</w:t>
            </w:r>
          </w:p>
        </w:tc>
        <w:tc>
          <w:tcPr>
            <w:tcW w:w="1848" w:type="dxa"/>
            <w:vAlign w:val="center"/>
          </w:tcPr>
          <w:p w:rsidR="009B0265" w:rsidRDefault="009B0265" w:rsidP="00942098">
            <w:pPr>
              <w:pStyle w:val="TableText0"/>
              <w:keepNext w:val="0"/>
              <w:spacing w:before="0" w:after="0"/>
              <w:jc w:val="center"/>
            </w:pPr>
            <w:r>
              <w:t>1.9876</w:t>
            </w:r>
          </w:p>
        </w:tc>
        <w:tc>
          <w:tcPr>
            <w:tcW w:w="1849" w:type="dxa"/>
            <w:vAlign w:val="center"/>
          </w:tcPr>
          <w:p w:rsidR="009B0265" w:rsidRDefault="009B0265" w:rsidP="00942098">
            <w:pPr>
              <w:pStyle w:val="TableText0"/>
              <w:keepNext w:val="0"/>
              <w:spacing w:before="0" w:after="0"/>
              <w:jc w:val="center"/>
            </w:pPr>
            <w:r>
              <w:t>0.0388</w:t>
            </w:r>
          </w:p>
        </w:tc>
        <w:tc>
          <w:tcPr>
            <w:tcW w:w="1849" w:type="dxa"/>
            <w:vMerge/>
          </w:tcPr>
          <w:p w:rsidR="009B0265" w:rsidRDefault="009B0265" w:rsidP="00942098">
            <w:pPr>
              <w:pStyle w:val="TableText0"/>
              <w:keepNext w:val="0"/>
              <w:spacing w:before="0" w:after="0"/>
            </w:pPr>
          </w:p>
        </w:tc>
      </w:tr>
      <w:tr w:rsidR="009B0265" w:rsidTr="00942098">
        <w:tc>
          <w:tcPr>
            <w:tcW w:w="9242" w:type="dxa"/>
            <w:gridSpan w:val="5"/>
          </w:tcPr>
          <w:p w:rsidR="009B0265" w:rsidRPr="007B49FD" w:rsidRDefault="009B0265" w:rsidP="00942098">
            <w:pPr>
              <w:pStyle w:val="TableText0"/>
              <w:keepNext w:val="0"/>
              <w:spacing w:before="0" w:after="0"/>
              <w:rPr>
                <w:b/>
              </w:rPr>
            </w:pPr>
            <w:r w:rsidRPr="007B49FD">
              <w:rPr>
                <w:b/>
              </w:rPr>
              <w:t>Step 5: Modelled time horizon extrapolated to 5 years</w:t>
            </w:r>
          </w:p>
        </w:tc>
      </w:tr>
      <w:tr w:rsidR="009B0265" w:rsidTr="00942098">
        <w:tc>
          <w:tcPr>
            <w:tcW w:w="1848" w:type="dxa"/>
          </w:tcPr>
          <w:p w:rsidR="009B0265" w:rsidRDefault="009B0265" w:rsidP="00942098">
            <w:pPr>
              <w:pStyle w:val="TableText0"/>
              <w:keepNext w:val="0"/>
              <w:spacing w:before="0" w:after="0"/>
            </w:pPr>
            <w:r>
              <w:t>Costs</w:t>
            </w:r>
          </w:p>
        </w:tc>
        <w:tc>
          <w:tcPr>
            <w:tcW w:w="1848"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8" w:type="dxa"/>
            <w:vAlign w:val="center"/>
          </w:tcPr>
          <w:p w:rsidR="009B0265" w:rsidRDefault="009B0265" w:rsidP="00942098">
            <w:pPr>
              <w:pStyle w:val="TableText0"/>
              <w:keepNext w:val="0"/>
              <w:spacing w:before="0" w:after="0"/>
              <w:jc w:val="center"/>
            </w:pPr>
            <w:r>
              <w:t>$46,353</w:t>
            </w:r>
          </w:p>
        </w:tc>
        <w:tc>
          <w:tcPr>
            <w:tcW w:w="1849"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9" w:type="dxa"/>
            <w:vMerge w:val="restart"/>
            <w:vAlign w:val="center"/>
          </w:tcPr>
          <w:p w:rsidR="009B0265" w:rsidRDefault="009B0265" w:rsidP="00942098">
            <w:pPr>
              <w:pStyle w:val="TableText0"/>
              <w:keepNext w:val="0"/>
              <w:spacing w:before="0" w:after="0"/>
              <w:jc w:val="center"/>
            </w:pPr>
            <w:r>
              <w:t>$</w:t>
            </w:r>
            <w:r w:rsidR="00464910">
              <w:rPr>
                <w:noProof/>
                <w:color w:val="000000"/>
                <w:highlight w:val="black"/>
              </w:rPr>
              <w:t>''''''''''''''''</w:t>
            </w:r>
          </w:p>
        </w:tc>
      </w:tr>
      <w:tr w:rsidR="009B0265" w:rsidTr="00942098">
        <w:tc>
          <w:tcPr>
            <w:tcW w:w="1848" w:type="dxa"/>
          </w:tcPr>
          <w:p w:rsidR="009B0265" w:rsidRDefault="009B0265" w:rsidP="00942098">
            <w:pPr>
              <w:pStyle w:val="TableText0"/>
              <w:keepNext w:val="0"/>
              <w:spacing w:before="0" w:after="0"/>
            </w:pPr>
            <w:r>
              <w:t>QALYs</w:t>
            </w:r>
          </w:p>
        </w:tc>
        <w:tc>
          <w:tcPr>
            <w:tcW w:w="1848" w:type="dxa"/>
            <w:vAlign w:val="center"/>
          </w:tcPr>
          <w:p w:rsidR="009B0265" w:rsidRDefault="009B0265" w:rsidP="00942098">
            <w:pPr>
              <w:pStyle w:val="TableText0"/>
              <w:keepNext w:val="0"/>
              <w:spacing w:before="0" w:after="0"/>
              <w:jc w:val="center"/>
            </w:pPr>
            <w:r>
              <w:t>3.2061</w:t>
            </w:r>
          </w:p>
        </w:tc>
        <w:tc>
          <w:tcPr>
            <w:tcW w:w="1848" w:type="dxa"/>
            <w:vAlign w:val="center"/>
          </w:tcPr>
          <w:p w:rsidR="009B0265" w:rsidRDefault="009B0265" w:rsidP="00942098">
            <w:pPr>
              <w:pStyle w:val="TableText0"/>
              <w:keepNext w:val="0"/>
              <w:spacing w:before="0" w:after="0"/>
              <w:jc w:val="center"/>
            </w:pPr>
            <w:r>
              <w:t>3.1447</w:t>
            </w:r>
          </w:p>
        </w:tc>
        <w:tc>
          <w:tcPr>
            <w:tcW w:w="1849" w:type="dxa"/>
            <w:vAlign w:val="center"/>
          </w:tcPr>
          <w:p w:rsidR="009B0265" w:rsidRDefault="009B0265" w:rsidP="00942098">
            <w:pPr>
              <w:pStyle w:val="TableText0"/>
              <w:keepNext w:val="0"/>
              <w:spacing w:before="0" w:after="0"/>
              <w:jc w:val="center"/>
            </w:pPr>
            <w:r>
              <w:t>0.0614</w:t>
            </w:r>
          </w:p>
        </w:tc>
        <w:tc>
          <w:tcPr>
            <w:tcW w:w="1849" w:type="dxa"/>
            <w:vMerge/>
          </w:tcPr>
          <w:p w:rsidR="009B0265" w:rsidRDefault="009B0265" w:rsidP="00942098">
            <w:pPr>
              <w:pStyle w:val="TableText0"/>
              <w:keepNext w:val="0"/>
              <w:spacing w:before="0" w:after="0"/>
            </w:pPr>
          </w:p>
        </w:tc>
      </w:tr>
      <w:tr w:rsidR="009B0265" w:rsidTr="00942098">
        <w:tc>
          <w:tcPr>
            <w:tcW w:w="9242" w:type="dxa"/>
            <w:gridSpan w:val="5"/>
          </w:tcPr>
          <w:p w:rsidR="009B0265" w:rsidRPr="007B49FD" w:rsidRDefault="009B0265" w:rsidP="00942098">
            <w:pPr>
              <w:pStyle w:val="TableText0"/>
              <w:keepNext w:val="0"/>
              <w:spacing w:before="0" w:after="0"/>
              <w:rPr>
                <w:b/>
              </w:rPr>
            </w:pPr>
            <w:r w:rsidRPr="007B49FD">
              <w:rPr>
                <w:b/>
              </w:rPr>
              <w:t>Step 6: Model treatment discontinuation from medication-assisted treatment (using retention curve from Burns et al., 2014)</w:t>
            </w:r>
          </w:p>
        </w:tc>
      </w:tr>
      <w:tr w:rsidR="009B0265" w:rsidTr="00942098">
        <w:tc>
          <w:tcPr>
            <w:tcW w:w="1848" w:type="dxa"/>
          </w:tcPr>
          <w:p w:rsidR="009B0265" w:rsidRDefault="009B0265" w:rsidP="00942098">
            <w:pPr>
              <w:pStyle w:val="TableText0"/>
              <w:keepNext w:val="0"/>
              <w:spacing w:before="0" w:after="0"/>
            </w:pPr>
            <w:r>
              <w:t>Costs</w:t>
            </w:r>
          </w:p>
        </w:tc>
        <w:tc>
          <w:tcPr>
            <w:tcW w:w="1848"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8" w:type="dxa"/>
            <w:vAlign w:val="center"/>
          </w:tcPr>
          <w:p w:rsidR="009B0265" w:rsidRDefault="009B0265" w:rsidP="00942098">
            <w:pPr>
              <w:pStyle w:val="TableText0"/>
              <w:keepNext w:val="0"/>
              <w:spacing w:before="0" w:after="0"/>
              <w:jc w:val="center"/>
            </w:pPr>
            <w:r>
              <w:t>$48,432</w:t>
            </w:r>
          </w:p>
        </w:tc>
        <w:tc>
          <w:tcPr>
            <w:tcW w:w="1849"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9" w:type="dxa"/>
            <w:vMerge w:val="restart"/>
            <w:vAlign w:val="center"/>
          </w:tcPr>
          <w:p w:rsidR="009B0265" w:rsidRDefault="009B0265" w:rsidP="00942098">
            <w:pPr>
              <w:pStyle w:val="TableText0"/>
              <w:keepNext w:val="0"/>
              <w:spacing w:before="0" w:after="0"/>
              <w:jc w:val="center"/>
            </w:pPr>
            <w:r>
              <w:t>$</w:t>
            </w:r>
            <w:r w:rsidR="00464910">
              <w:rPr>
                <w:noProof/>
                <w:color w:val="000000"/>
                <w:highlight w:val="black"/>
              </w:rPr>
              <w:t>''''''''''''''''</w:t>
            </w:r>
          </w:p>
        </w:tc>
      </w:tr>
      <w:tr w:rsidR="009B0265" w:rsidTr="00942098">
        <w:tc>
          <w:tcPr>
            <w:tcW w:w="1848" w:type="dxa"/>
          </w:tcPr>
          <w:p w:rsidR="009B0265" w:rsidRDefault="009B0265" w:rsidP="00942098">
            <w:pPr>
              <w:pStyle w:val="TableText0"/>
              <w:keepNext w:val="0"/>
              <w:spacing w:before="0" w:after="0"/>
            </w:pPr>
            <w:r>
              <w:t>QALYs</w:t>
            </w:r>
          </w:p>
        </w:tc>
        <w:tc>
          <w:tcPr>
            <w:tcW w:w="1848" w:type="dxa"/>
            <w:vAlign w:val="center"/>
          </w:tcPr>
          <w:p w:rsidR="009B0265" w:rsidRDefault="009B0265" w:rsidP="00942098">
            <w:pPr>
              <w:pStyle w:val="TableText0"/>
              <w:keepNext w:val="0"/>
              <w:spacing w:before="0" w:after="0"/>
              <w:jc w:val="center"/>
            </w:pPr>
            <w:r>
              <w:t>2.8900</w:t>
            </w:r>
          </w:p>
        </w:tc>
        <w:tc>
          <w:tcPr>
            <w:tcW w:w="1848" w:type="dxa"/>
            <w:vAlign w:val="center"/>
          </w:tcPr>
          <w:p w:rsidR="009B0265" w:rsidRDefault="009B0265" w:rsidP="00942098">
            <w:pPr>
              <w:pStyle w:val="TableText0"/>
              <w:keepNext w:val="0"/>
              <w:spacing w:before="0" w:after="0"/>
              <w:jc w:val="center"/>
            </w:pPr>
            <w:r>
              <w:t>2.8696</w:t>
            </w:r>
          </w:p>
        </w:tc>
        <w:tc>
          <w:tcPr>
            <w:tcW w:w="1849" w:type="dxa"/>
            <w:vAlign w:val="center"/>
          </w:tcPr>
          <w:p w:rsidR="009B0265" w:rsidRDefault="009B0265" w:rsidP="00942098">
            <w:pPr>
              <w:pStyle w:val="TableText0"/>
              <w:keepNext w:val="0"/>
              <w:spacing w:before="0" w:after="0"/>
              <w:jc w:val="center"/>
            </w:pPr>
            <w:r>
              <w:t>0.0203</w:t>
            </w:r>
          </w:p>
        </w:tc>
        <w:tc>
          <w:tcPr>
            <w:tcW w:w="1849" w:type="dxa"/>
            <w:vMerge/>
          </w:tcPr>
          <w:p w:rsidR="009B0265" w:rsidRDefault="009B0265" w:rsidP="00942098">
            <w:pPr>
              <w:pStyle w:val="TableText0"/>
              <w:keepNext w:val="0"/>
              <w:spacing w:before="0" w:after="0"/>
            </w:pPr>
          </w:p>
        </w:tc>
      </w:tr>
      <w:tr w:rsidR="009B0265" w:rsidTr="00942098">
        <w:tc>
          <w:tcPr>
            <w:tcW w:w="9242" w:type="dxa"/>
            <w:gridSpan w:val="5"/>
          </w:tcPr>
          <w:p w:rsidR="009B0265" w:rsidRPr="007B49FD" w:rsidRDefault="009B0265" w:rsidP="00942098">
            <w:pPr>
              <w:pStyle w:val="TableText0"/>
              <w:keepNext w:val="0"/>
              <w:spacing w:before="0" w:after="0"/>
              <w:rPr>
                <w:b/>
              </w:rPr>
            </w:pPr>
            <w:r w:rsidRPr="007B49FD">
              <w:rPr>
                <w:b/>
              </w:rPr>
              <w:t>Step 7: Model retention benefit associated with prolonged release buprenorphine (apply hazard ratio of 3.85 to retention curve from Burns et al. (2014) for 9 cycles)</w:t>
            </w:r>
          </w:p>
        </w:tc>
      </w:tr>
      <w:tr w:rsidR="009B0265" w:rsidTr="00942098">
        <w:tc>
          <w:tcPr>
            <w:tcW w:w="1848" w:type="dxa"/>
          </w:tcPr>
          <w:p w:rsidR="009B0265" w:rsidRDefault="009B0265" w:rsidP="00942098">
            <w:pPr>
              <w:pStyle w:val="TableText0"/>
              <w:keepNext w:val="0"/>
              <w:spacing w:before="0" w:after="0"/>
            </w:pPr>
            <w:r>
              <w:t>Costs</w:t>
            </w:r>
          </w:p>
        </w:tc>
        <w:tc>
          <w:tcPr>
            <w:tcW w:w="1848"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8" w:type="dxa"/>
            <w:vAlign w:val="center"/>
          </w:tcPr>
          <w:p w:rsidR="009B0265" w:rsidRDefault="009B0265" w:rsidP="00942098">
            <w:pPr>
              <w:pStyle w:val="TableText0"/>
              <w:keepNext w:val="0"/>
              <w:spacing w:before="0" w:after="0"/>
              <w:jc w:val="center"/>
            </w:pPr>
            <w:r>
              <w:t>$48,432</w:t>
            </w:r>
          </w:p>
        </w:tc>
        <w:tc>
          <w:tcPr>
            <w:tcW w:w="1849" w:type="dxa"/>
            <w:vAlign w:val="center"/>
          </w:tcPr>
          <w:p w:rsidR="009B0265" w:rsidRDefault="009B0265" w:rsidP="00942098">
            <w:pPr>
              <w:pStyle w:val="TableText0"/>
              <w:keepNext w:val="0"/>
              <w:spacing w:before="0" w:after="0"/>
              <w:jc w:val="center"/>
            </w:pPr>
            <w:r>
              <w:t>$</w:t>
            </w:r>
            <w:r w:rsidR="00464910">
              <w:rPr>
                <w:noProof/>
                <w:color w:val="000000"/>
                <w:highlight w:val="black"/>
              </w:rPr>
              <w:t>'''''''''''''</w:t>
            </w:r>
          </w:p>
        </w:tc>
        <w:tc>
          <w:tcPr>
            <w:tcW w:w="1849" w:type="dxa"/>
            <w:vMerge w:val="restart"/>
            <w:vAlign w:val="center"/>
          </w:tcPr>
          <w:p w:rsidR="009B0265" w:rsidRDefault="009B0265" w:rsidP="00942098">
            <w:pPr>
              <w:pStyle w:val="TableText0"/>
              <w:keepNext w:val="0"/>
              <w:spacing w:before="0" w:after="0"/>
              <w:jc w:val="center"/>
            </w:pPr>
            <w:r>
              <w:t>$</w:t>
            </w:r>
            <w:r w:rsidR="00464910">
              <w:rPr>
                <w:noProof/>
                <w:color w:val="000000"/>
                <w:highlight w:val="black"/>
              </w:rPr>
              <w:t>''''''''''''''''''</w:t>
            </w:r>
          </w:p>
        </w:tc>
      </w:tr>
      <w:tr w:rsidR="009B0265" w:rsidTr="00942098">
        <w:tc>
          <w:tcPr>
            <w:tcW w:w="1848" w:type="dxa"/>
          </w:tcPr>
          <w:p w:rsidR="009B0265" w:rsidRDefault="009B0265" w:rsidP="00942098">
            <w:pPr>
              <w:pStyle w:val="TableText0"/>
              <w:spacing w:before="0" w:after="0"/>
            </w:pPr>
            <w:r>
              <w:t>QALYs</w:t>
            </w:r>
          </w:p>
        </w:tc>
        <w:tc>
          <w:tcPr>
            <w:tcW w:w="1848" w:type="dxa"/>
            <w:vAlign w:val="center"/>
          </w:tcPr>
          <w:p w:rsidR="009B0265" w:rsidRDefault="009B0265" w:rsidP="00942098">
            <w:pPr>
              <w:pStyle w:val="TableText0"/>
              <w:spacing w:before="0" w:after="0"/>
              <w:jc w:val="center"/>
            </w:pPr>
            <w:r>
              <w:t>3.0001</w:t>
            </w:r>
          </w:p>
        </w:tc>
        <w:tc>
          <w:tcPr>
            <w:tcW w:w="1848" w:type="dxa"/>
            <w:vAlign w:val="center"/>
          </w:tcPr>
          <w:p w:rsidR="009B0265" w:rsidRDefault="009B0265" w:rsidP="00942098">
            <w:pPr>
              <w:pStyle w:val="TableText0"/>
              <w:spacing w:before="0" w:after="0"/>
              <w:jc w:val="center"/>
            </w:pPr>
            <w:r>
              <w:t>2.8696</w:t>
            </w:r>
          </w:p>
        </w:tc>
        <w:tc>
          <w:tcPr>
            <w:tcW w:w="1849" w:type="dxa"/>
            <w:vAlign w:val="center"/>
          </w:tcPr>
          <w:p w:rsidR="009B0265" w:rsidRDefault="009B0265" w:rsidP="00942098">
            <w:pPr>
              <w:pStyle w:val="TableText0"/>
              <w:spacing w:before="0" w:after="0"/>
              <w:jc w:val="center"/>
            </w:pPr>
            <w:r>
              <w:t>0.1305</w:t>
            </w:r>
          </w:p>
        </w:tc>
        <w:tc>
          <w:tcPr>
            <w:tcW w:w="1849" w:type="dxa"/>
            <w:vMerge/>
          </w:tcPr>
          <w:p w:rsidR="009B0265" w:rsidRDefault="009B0265" w:rsidP="00942098">
            <w:pPr>
              <w:rPr>
                <w:color w:val="3366FF"/>
              </w:rPr>
            </w:pPr>
          </w:p>
        </w:tc>
      </w:tr>
    </w:tbl>
    <w:p w:rsidR="009B0265" w:rsidRDefault="009B0265" w:rsidP="009B0265">
      <w:pPr>
        <w:pStyle w:val="TableFooter"/>
      </w:pPr>
      <w:r>
        <w:t xml:space="preserve">Source: Table 80, p.175 of the submission; CAM2038 Section 3 </w:t>
      </w:r>
      <w:proofErr w:type="spellStart"/>
      <w:r>
        <w:t>TreeAge</w:t>
      </w:r>
      <w:proofErr w:type="spellEnd"/>
      <w:r>
        <w:t xml:space="preserve"> </w:t>
      </w:r>
      <w:proofErr w:type="spellStart"/>
      <w:r>
        <w:t>model.trex</w:t>
      </w:r>
      <w:proofErr w:type="spellEnd"/>
    </w:p>
    <w:p w:rsidR="00D110BD" w:rsidRDefault="009B0265" w:rsidP="00B737AB">
      <w:pPr>
        <w:pStyle w:val="TableFooter"/>
      </w:pPr>
      <w:proofErr w:type="spellStart"/>
      <w:proofErr w:type="gramStart"/>
      <w:r>
        <w:rPr>
          <w:vertAlign w:val="superscript"/>
        </w:rPr>
        <w:t>a</w:t>
      </w:r>
      <w:proofErr w:type="spellEnd"/>
      <w:proofErr w:type="gramEnd"/>
      <w:r w:rsidR="00726D10">
        <w:rPr>
          <w:vertAlign w:val="superscript"/>
        </w:rPr>
        <w:t xml:space="preserve"> </w:t>
      </w:r>
      <w:r>
        <w:t>Inclusion of health state costs in this step had no impact on the incremental cost of prolonged release buprenorphine because health state cost offsets are only realised in the model structure with retention benefits (Step 7)</w:t>
      </w:r>
    </w:p>
    <w:p w:rsidR="00B737AB" w:rsidRPr="00AF2189" w:rsidRDefault="00EA390B" w:rsidP="004C6643">
      <w:pPr>
        <w:pStyle w:val="TableFooter"/>
        <w:spacing w:before="120" w:after="120"/>
        <w:rPr>
          <w:rFonts w:asciiTheme="minorHAnsi" w:hAnsiTheme="minorHAnsi" w:cstheme="minorHAnsi"/>
          <w:i/>
          <w:sz w:val="24"/>
          <w:szCs w:val="24"/>
        </w:rPr>
      </w:pPr>
      <w:r w:rsidRPr="00AF2189">
        <w:rPr>
          <w:rFonts w:asciiTheme="minorHAnsi" w:hAnsiTheme="minorHAnsi" w:cstheme="minorHAnsi"/>
          <w:i/>
          <w:sz w:val="24"/>
          <w:szCs w:val="24"/>
        </w:rPr>
        <w:t>The redacted table shows ICERs in the range of less than $15,000</w:t>
      </w:r>
      <w:r w:rsidR="004C6643" w:rsidRPr="00AF2189">
        <w:rPr>
          <w:rFonts w:asciiTheme="minorHAnsi" w:hAnsiTheme="minorHAnsi" w:cstheme="minorHAnsi"/>
          <w:i/>
          <w:sz w:val="24"/>
          <w:szCs w:val="24"/>
        </w:rPr>
        <w:t>/</w:t>
      </w:r>
      <w:r w:rsidRPr="00AF2189">
        <w:rPr>
          <w:rFonts w:asciiTheme="minorHAnsi" w:hAnsiTheme="minorHAnsi" w:cstheme="minorHAnsi"/>
          <w:i/>
          <w:sz w:val="24"/>
          <w:szCs w:val="24"/>
        </w:rPr>
        <w:t>QALY to $75,000/QALY - $105,000/QALY.</w:t>
      </w:r>
    </w:p>
    <w:p w:rsidR="009B0265" w:rsidRPr="009B0265" w:rsidRDefault="009B0265" w:rsidP="00DB2F6E">
      <w:pPr>
        <w:pStyle w:val="ListParagraph"/>
        <w:widowControl/>
        <w:numPr>
          <w:ilvl w:val="1"/>
          <w:numId w:val="2"/>
        </w:numPr>
      </w:pPr>
      <w:r w:rsidRPr="009B0265">
        <w:t>Based on the economic model</w:t>
      </w:r>
      <w:r w:rsidR="00C14F5F">
        <w:t xml:space="preserve"> presented in the submission</w:t>
      </w:r>
      <w:r w:rsidRPr="009B0265">
        <w:t xml:space="preserve">, treatment with prolonged release buprenorphine was associated with a cost per QALY of </w:t>
      </w:r>
      <w:r w:rsidR="00EA390B">
        <w:t>less than $15,000</w:t>
      </w:r>
      <w:r w:rsidRPr="009B0265">
        <w:t xml:space="preserve"> compared with sublingual buprenorphine/naloxone.</w:t>
      </w:r>
    </w:p>
    <w:p w:rsidR="005A373D" w:rsidRPr="00B8589F" w:rsidRDefault="009B0265" w:rsidP="00DB2F6E">
      <w:pPr>
        <w:pStyle w:val="ListParagraph"/>
        <w:widowControl/>
        <w:numPr>
          <w:ilvl w:val="1"/>
          <w:numId w:val="2"/>
        </w:numPr>
      </w:pPr>
      <w:r w:rsidRPr="00B8589F">
        <w:lastRenderedPageBreak/>
        <w:t xml:space="preserve">The steps incorporating the transformation to quality adjusted life years, the inclusion of health state costs, and the inclusion of the retention benefit had the largest impact on the stepped economic evaluation. </w:t>
      </w:r>
      <w:r w:rsidR="0012067A" w:rsidRPr="00B8589F">
        <w:t>The ESC considered</w:t>
      </w:r>
      <w:r w:rsidR="005F2A0E" w:rsidRPr="00B8589F">
        <w:t xml:space="preserve"> that whilst </w:t>
      </w:r>
      <w:r w:rsidR="0012067A" w:rsidRPr="00B8589F">
        <w:t>a retention improvement was possible with prolonged release buprenorphine</w:t>
      </w:r>
      <w:r w:rsidR="005F2A0E" w:rsidRPr="00B8589F">
        <w:t xml:space="preserve"> due to the </w:t>
      </w:r>
      <w:r w:rsidR="00475B8B" w:rsidRPr="00B8589F">
        <w:t xml:space="preserve">nature of the </w:t>
      </w:r>
      <w:r w:rsidR="005F2A0E" w:rsidRPr="00B8589F">
        <w:t>formulation</w:t>
      </w:r>
      <w:r w:rsidR="0012067A" w:rsidRPr="00B8589F">
        <w:t>,</w:t>
      </w:r>
      <w:r w:rsidR="005F2A0E" w:rsidRPr="00B8589F">
        <w:t xml:space="preserve"> this was not supported by the clinical trial evidence provided as this outcome measure demonstrated non-inferiority. As such, ESC considered that</w:t>
      </w:r>
      <w:r w:rsidR="0012067A" w:rsidRPr="00B8589F">
        <w:t xml:space="preserve"> </w:t>
      </w:r>
      <w:r w:rsidR="005F2A0E" w:rsidRPr="00B8589F">
        <w:t>applying a hazard ratio</w:t>
      </w:r>
      <w:r w:rsidR="0012067A" w:rsidRPr="00B8589F">
        <w:t xml:space="preserve"> of 3.85 for improved retention </w:t>
      </w:r>
      <w:r w:rsidR="005F2A0E" w:rsidRPr="00B8589F">
        <w:t>was unreasonable</w:t>
      </w:r>
      <w:r w:rsidR="009A2046" w:rsidRPr="00B8589F">
        <w:t xml:space="preserve">. The ESC </w:t>
      </w:r>
      <w:r w:rsidR="005F2A0E" w:rsidRPr="00B8589F">
        <w:t xml:space="preserve">further </w:t>
      </w:r>
      <w:r w:rsidR="009A2046" w:rsidRPr="00B8589F">
        <w:t xml:space="preserve">noted </w:t>
      </w:r>
      <w:r w:rsidR="0012067A" w:rsidRPr="00B8589F">
        <w:t>that</w:t>
      </w:r>
      <w:r w:rsidR="005F2A0E" w:rsidRPr="00B8589F">
        <w:t xml:space="preserve"> for some patients, regular contact with a healthcare provider through receiving OST could improve retention, and therefore considered that the</w:t>
      </w:r>
      <w:r w:rsidR="009A2046" w:rsidRPr="00B8589F">
        <w:t xml:space="preserve"> lack of regular contact with </w:t>
      </w:r>
      <w:r w:rsidR="0012067A" w:rsidRPr="00B8589F">
        <w:t>service</w:t>
      </w:r>
      <w:r w:rsidR="005F2A0E" w:rsidRPr="00B8589F">
        <w:t xml:space="preserve"> providers resulting from the monthly administration of prolonged release buprenorphine</w:t>
      </w:r>
      <w:r w:rsidR="0012067A" w:rsidRPr="00B8589F">
        <w:t xml:space="preserve"> may decrease long term retention</w:t>
      </w:r>
      <w:r w:rsidR="009A2046" w:rsidRPr="00B8589F">
        <w:t>.</w:t>
      </w:r>
      <w:r w:rsidR="00475B8B" w:rsidRPr="00B8589F">
        <w:t xml:space="preserve"> </w:t>
      </w:r>
      <w:r w:rsidR="009A2046" w:rsidRPr="00B8589F">
        <w:t xml:space="preserve"> </w:t>
      </w:r>
    </w:p>
    <w:p w:rsidR="008C5078" w:rsidRPr="00B8589F" w:rsidRDefault="008C5078" w:rsidP="008C5078">
      <w:pPr>
        <w:pStyle w:val="ListParagraph"/>
        <w:widowControl/>
        <w:numPr>
          <w:ilvl w:val="1"/>
          <w:numId w:val="2"/>
        </w:numPr>
      </w:pPr>
      <w:r w:rsidRPr="00B8589F">
        <w:t>Economic evaluations of treatments for substance use disorders frequently include a consideration of the broader societal impact of treating these disorders. This broader impact generally includes factors such as reduced crime, legal system costs, costs of incarceration and other unproductive distortions in the economy.  In a sensitivity analysis, the economic model included the acquisition cost of heroin as a proxy measure of this broader societal impact. When these costs (</w:t>
      </w:r>
      <w:r w:rsidRPr="00B8589F">
        <w:rPr>
          <w:lang w:val="en-US"/>
        </w:rPr>
        <w:t>$186.40 per day applied t</w:t>
      </w:r>
      <w:r w:rsidR="00C548EC" w:rsidRPr="00B8589F">
        <w:rPr>
          <w:lang w:val="en-US"/>
        </w:rPr>
        <w:t>he</w:t>
      </w:r>
      <w:r w:rsidRPr="00B8589F">
        <w:rPr>
          <w:lang w:val="en-US"/>
        </w:rPr>
        <w:t xml:space="preserve"> proportion “using”) </w:t>
      </w:r>
      <w:r w:rsidRPr="00B8589F">
        <w:t>were included in the economic evaluation, prolonged release buprenorphine became dominant (lower costs and higher benefits) compared with sublingual buprenorphine/naloxone. This analysis is dependent upon the assumption that the cost of heroin is a relevant proxy for the societal costs of illicit opioid use.</w:t>
      </w:r>
      <w:r w:rsidR="005F2A0E" w:rsidRPr="00B8589F">
        <w:t xml:space="preserve"> The ESC considered that these costs were not reasonable particularly </w:t>
      </w:r>
      <w:r w:rsidR="005F2A0E" w:rsidRPr="00B8589F">
        <w:rPr>
          <w:rFonts w:cs="Calibri"/>
        </w:rPr>
        <w:t xml:space="preserve">as the demographics of opioid misuse are changing, with increasing misuse of prescription opioids in place of illicit opioids. </w:t>
      </w:r>
    </w:p>
    <w:p w:rsidR="00E075DB" w:rsidRPr="00B8589F" w:rsidRDefault="00E075DB" w:rsidP="005811E3">
      <w:pPr>
        <w:pStyle w:val="ListParagraph"/>
        <w:widowControl/>
        <w:numPr>
          <w:ilvl w:val="1"/>
          <w:numId w:val="2"/>
        </w:numPr>
      </w:pPr>
      <w:r w:rsidRPr="00E075DB">
        <w:t xml:space="preserve">The results of </w:t>
      </w:r>
      <w:r w:rsidR="00425FF1">
        <w:t xml:space="preserve">univariate and multivariate </w:t>
      </w:r>
      <w:r w:rsidRPr="00E075DB">
        <w:t>sensitivity analyses</w:t>
      </w:r>
      <w:r w:rsidR="00425FF1">
        <w:t xml:space="preserve"> presented in the submission and conducted throughout the </w:t>
      </w:r>
      <w:r w:rsidR="00C14F5F">
        <w:t>evaluation</w:t>
      </w:r>
      <w:r w:rsidRPr="00E075DB">
        <w:t xml:space="preserve"> indicated that the model was most sensitive to the application of the retention benefit (both size of benefit and duration of application), utility values, the inclusion of the sublingual buprenorphine/naloxone supervision costs, and the healthcare resource use costs in the adherent and non-adherent health states.</w:t>
      </w:r>
      <w:r w:rsidR="007D4552">
        <w:t xml:space="preserve"> </w:t>
      </w:r>
      <w:r w:rsidR="005811E3" w:rsidRPr="00B8589F">
        <w:t xml:space="preserve">The PSCR stated that </w:t>
      </w:r>
      <w:r w:rsidR="002326AC" w:rsidRPr="00B8589F">
        <w:t>applying</w:t>
      </w:r>
      <w:r w:rsidR="005811E3" w:rsidRPr="00B8589F">
        <w:t xml:space="preserve"> private costs in one arm of the model but not in the other arm of the model is a consequence of the bias which exists in clinical practice and not a bias of the economic model. The ESC advised</w:t>
      </w:r>
      <w:r w:rsidR="002326AC" w:rsidRPr="00B8589F">
        <w:t xml:space="preserve"> that regardless of the practice model adopted, there will be private costs associated with accessing prolonged release buprenorphine. The magnitude of these costs will vary depending on the model of care, and as such cannot be quantified. </w:t>
      </w:r>
      <w:r w:rsidR="00B71180" w:rsidRPr="00B8589F">
        <w:t>Thus</w:t>
      </w:r>
      <w:r w:rsidR="00475B8B" w:rsidRPr="00B8589F">
        <w:t xml:space="preserve"> t</w:t>
      </w:r>
      <w:r w:rsidR="002326AC" w:rsidRPr="00B8589F">
        <w:t>he ESC considered that differentially applying supervision costs was inappropriate</w:t>
      </w:r>
      <w:r w:rsidR="00475B8B" w:rsidRPr="00B8589F">
        <w:t xml:space="preserve"> and considered it more appropriate to remove supervision costs</w:t>
      </w:r>
      <w:r w:rsidR="003F5006" w:rsidRPr="00B8589F">
        <w:t xml:space="preserve"> from both arms of the model</w:t>
      </w:r>
      <w:r w:rsidR="002326AC" w:rsidRPr="00B8589F">
        <w:t xml:space="preserve">.  </w:t>
      </w:r>
    </w:p>
    <w:p w:rsidR="00E87002" w:rsidRPr="00E87002" w:rsidRDefault="00E075DB" w:rsidP="007D4552">
      <w:pPr>
        <w:pStyle w:val="ListParagraph"/>
        <w:numPr>
          <w:ilvl w:val="1"/>
          <w:numId w:val="2"/>
        </w:numPr>
        <w:rPr>
          <w:i/>
        </w:rPr>
      </w:pPr>
      <w:r w:rsidRPr="00E075DB">
        <w:t xml:space="preserve">The absence of retention benefits (HR=1) and removing the cost for supervision of sublingual buprenorphine/naloxone (as a private cost to patients) increased the ICER to </w:t>
      </w:r>
      <w:r w:rsidR="004C6643">
        <w:t>$</w:t>
      </w:r>
      <w:r w:rsidR="007F5E90">
        <w:t>105</w:t>
      </w:r>
      <w:r w:rsidR="004C6643">
        <w:t>,000/QALY - $</w:t>
      </w:r>
      <w:r w:rsidR="007F5E90">
        <w:t>200</w:t>
      </w:r>
      <w:r w:rsidR="004C6643">
        <w:t>,000/QALY</w:t>
      </w:r>
      <w:r w:rsidRPr="00E075DB">
        <w:t xml:space="preserve">. When the retention benefit was included, health state resource use costs also had a large impact on the ICER. </w:t>
      </w:r>
    </w:p>
    <w:p w:rsidR="005A373D" w:rsidRPr="00B8589F" w:rsidRDefault="007D4552" w:rsidP="007D4552">
      <w:pPr>
        <w:pStyle w:val="ListParagraph"/>
        <w:widowControl/>
        <w:numPr>
          <w:ilvl w:val="1"/>
          <w:numId w:val="2"/>
        </w:numPr>
      </w:pPr>
      <w:r w:rsidRPr="00B8589F">
        <w:lastRenderedPageBreak/>
        <w:t>The PSCR agreed</w:t>
      </w:r>
      <w:r w:rsidR="00E87002" w:rsidRPr="00B8589F">
        <w:t xml:space="preserve"> the</w:t>
      </w:r>
      <w:r w:rsidRPr="00B8589F">
        <w:t xml:space="preserve"> retention benefit has a high impact on the results of the model however, </w:t>
      </w:r>
      <w:r w:rsidR="002326AC" w:rsidRPr="00B8589F">
        <w:t xml:space="preserve">maintained that </w:t>
      </w:r>
      <w:r w:rsidRPr="00B8589F">
        <w:t>the application of persistence benefits in the model are appropriate given the available data</w:t>
      </w:r>
      <w:r w:rsidR="00E87002" w:rsidRPr="00B8589F">
        <w:t xml:space="preserve"> </w:t>
      </w:r>
      <w:r w:rsidRPr="00B8589F">
        <w:t>analysis of Australian patients using sublingual buprenorphine</w:t>
      </w:r>
      <w:r w:rsidR="00E87002" w:rsidRPr="00B8589F">
        <w:t xml:space="preserve"> reported in Burns et al., 2014</w:t>
      </w:r>
      <w:r w:rsidRPr="00B8589F">
        <w:t xml:space="preserve"> and prolonged release buprenorphine from</w:t>
      </w:r>
      <w:r w:rsidR="00E87002" w:rsidRPr="00B8589F">
        <w:t xml:space="preserve"> the HS-14-499 open label trial</w:t>
      </w:r>
      <w:r w:rsidRPr="00B8589F">
        <w:t>.</w:t>
      </w:r>
      <w:r w:rsidR="00E50435" w:rsidRPr="00B8589F">
        <w:t xml:space="preserve"> </w:t>
      </w:r>
      <w:r w:rsidRPr="00B8589F">
        <w:t xml:space="preserve">The ESC </w:t>
      </w:r>
      <w:r w:rsidR="00E87002" w:rsidRPr="00B8589F">
        <w:t>considered t</w:t>
      </w:r>
      <w:r w:rsidRPr="00B8589F">
        <w:t xml:space="preserve">he use of these disparate data sources maximised </w:t>
      </w:r>
      <w:r w:rsidR="00B71180" w:rsidRPr="00B8589F">
        <w:t>any possible</w:t>
      </w:r>
      <w:r w:rsidRPr="00B8589F">
        <w:t xml:space="preserve"> difference in retention between treatment types, one being a real world observational study over a ten-year period and the other a shorter duration open label clinical study</w:t>
      </w:r>
      <w:r w:rsidR="00F35836" w:rsidRPr="00B8589F">
        <w:t xml:space="preserve"> which did not reflect the likely treatment model in the Australian setting</w:t>
      </w:r>
      <w:r w:rsidR="00B71180" w:rsidRPr="00B8589F">
        <w:t xml:space="preserve"> (particularly noting</w:t>
      </w:r>
      <w:r w:rsidR="00F35836" w:rsidRPr="00B8589F">
        <w:rPr>
          <w:rFonts w:asciiTheme="minorHAnsi" w:hAnsiTheme="minorHAnsi" w:cstheme="minorHAnsi"/>
        </w:rPr>
        <w:t xml:space="preserve"> that patients were unsupervised be</w:t>
      </w:r>
      <w:r w:rsidR="00B71180" w:rsidRPr="00B8589F">
        <w:rPr>
          <w:rFonts w:asciiTheme="minorHAnsi" w:hAnsiTheme="minorHAnsi" w:cstheme="minorHAnsi"/>
        </w:rPr>
        <w:t>tween doses, and that patients w</w:t>
      </w:r>
      <w:r w:rsidR="00F35836" w:rsidRPr="00B8589F">
        <w:rPr>
          <w:rFonts w:asciiTheme="minorHAnsi" w:hAnsiTheme="minorHAnsi" w:cstheme="minorHAnsi"/>
        </w:rPr>
        <w:t>ere compensated for time and expenses</w:t>
      </w:r>
      <w:r w:rsidR="00B71180" w:rsidRPr="00B8589F">
        <w:rPr>
          <w:rFonts w:asciiTheme="minorHAnsi" w:hAnsiTheme="minorHAnsi" w:cstheme="minorHAnsi"/>
        </w:rPr>
        <w:t>)</w:t>
      </w:r>
      <w:r w:rsidR="00F35836" w:rsidRPr="00B8589F">
        <w:rPr>
          <w:rFonts w:asciiTheme="minorHAnsi" w:hAnsiTheme="minorHAnsi" w:cstheme="minorHAnsi"/>
        </w:rPr>
        <w:t xml:space="preserve">. </w:t>
      </w:r>
      <w:r w:rsidRPr="00B8589F">
        <w:t xml:space="preserve">Although an improved retention rate in treatment may occur in clinical practice, it was most </w:t>
      </w:r>
      <w:r w:rsidR="002326AC" w:rsidRPr="00B8589F">
        <w:t xml:space="preserve">likely </w:t>
      </w:r>
      <w:r w:rsidRPr="00B8589F">
        <w:t>overestimated in the economic model</w:t>
      </w:r>
      <w:r w:rsidR="002326AC" w:rsidRPr="00B8589F">
        <w:t xml:space="preserve">. </w:t>
      </w:r>
    </w:p>
    <w:p w:rsidR="002326AC" w:rsidRPr="00B8589F" w:rsidRDefault="002326AC" w:rsidP="001432C8">
      <w:pPr>
        <w:pStyle w:val="ListParagraph"/>
        <w:widowControl/>
        <w:numPr>
          <w:ilvl w:val="1"/>
          <w:numId w:val="2"/>
        </w:numPr>
      </w:pPr>
      <w:r w:rsidRPr="00B8589F">
        <w:t>As the ESC w</w:t>
      </w:r>
      <w:r w:rsidR="0061038D" w:rsidRPr="00B8589F">
        <w:t>as</w:t>
      </w:r>
      <w:r w:rsidRPr="00B8589F">
        <w:t xml:space="preserve"> not satisfied that the clinical claim of superiority of prolonged release buprenorphine over sublingual buprenorphine/naloxone was supported, ESC instead considered that a cost-minimisation analysis would be more appropriate. As prolonged release buprenorphine dose regimens are not fully interchangeable with sublingual dose forms,</w:t>
      </w:r>
      <w:r w:rsidR="008C68BA" w:rsidRPr="00B8589F">
        <w:t xml:space="preserve"> and becau</w:t>
      </w:r>
      <w:r w:rsidR="00F35836" w:rsidRPr="00B8589F">
        <w:t>se the dosing of both products is</w:t>
      </w:r>
      <w:r w:rsidR="008C68BA" w:rsidRPr="00B8589F">
        <w:t xml:space="preserve"> individualised to each patient’s needs,</w:t>
      </w:r>
      <w:r w:rsidRPr="00B8589F">
        <w:t xml:space="preserve"> the calculation of equi-effective doses between the formulations is challenging. </w:t>
      </w:r>
      <w:r w:rsidR="008C68BA" w:rsidRPr="00B8589F">
        <w:t xml:space="preserve">The most practical method for a cost-minimisation analysis would be using annual drug costs on a cost per day basis.  </w:t>
      </w:r>
    </w:p>
    <w:p w:rsidR="007F62EB" w:rsidRPr="00683EC3" w:rsidRDefault="002326AC" w:rsidP="007F62EB">
      <w:pPr>
        <w:pStyle w:val="ListParagraph"/>
        <w:widowControl/>
        <w:numPr>
          <w:ilvl w:val="1"/>
          <w:numId w:val="2"/>
        </w:numPr>
      </w:pPr>
      <w:r w:rsidRPr="00B8589F">
        <w:t xml:space="preserve">Alternatively, </w:t>
      </w:r>
      <w:r w:rsidR="00425FF1">
        <w:t>if a claim of</w:t>
      </w:r>
      <w:r w:rsidR="00F35836" w:rsidRPr="00B8589F">
        <w:t xml:space="preserve"> superior efficacy compared to sublingual buprenorphine/naloxone</w:t>
      </w:r>
      <w:r w:rsidR="008E7AE1">
        <w:t xml:space="preserve"> was accepted,</w:t>
      </w:r>
      <w:r w:rsidR="00F35836" w:rsidRPr="00B8589F">
        <w:t xml:space="preserve"> </w:t>
      </w:r>
      <w:r w:rsidRPr="00B8589F">
        <w:t>the ES</w:t>
      </w:r>
      <w:r w:rsidR="0061038D" w:rsidRPr="00B8589F">
        <w:t>C considered that a more realistic base case would be to reduce the retention benefit hazard ratio</w:t>
      </w:r>
      <w:r w:rsidR="00F35836" w:rsidRPr="00B8589F">
        <w:t xml:space="preserve"> (from 3.85</w:t>
      </w:r>
      <w:r w:rsidR="0061038D" w:rsidRPr="00B8589F">
        <w:t xml:space="preserve"> to 1.25</w:t>
      </w:r>
      <w:r w:rsidR="00F35836" w:rsidRPr="00B8589F">
        <w:t>)</w:t>
      </w:r>
      <w:r w:rsidR="0061038D" w:rsidRPr="00B8589F">
        <w:t>, reduce the duration of the retention benefit</w:t>
      </w:r>
      <w:r w:rsidR="00F35836" w:rsidRPr="00B8589F">
        <w:t xml:space="preserve"> (from 9 cycles to 3-6 cycles)</w:t>
      </w:r>
      <w:r w:rsidR="0061038D" w:rsidRPr="00B8589F">
        <w:t>, decrease health state costs</w:t>
      </w:r>
      <w:r w:rsidR="00F35836" w:rsidRPr="00B8589F">
        <w:t xml:space="preserve"> by 50%</w:t>
      </w:r>
      <w:r w:rsidR="0061038D" w:rsidRPr="00B8589F">
        <w:t>, and remove supervision costs. The results of the ESC revised base case are presented in the table below</w:t>
      </w:r>
      <w:r w:rsidR="0061038D">
        <w:rPr>
          <w:i/>
        </w:rPr>
        <w:t xml:space="preserve">. </w:t>
      </w:r>
      <w:r w:rsidR="007F62EB" w:rsidRPr="00683EC3">
        <w:t>The p</w:t>
      </w:r>
      <w:r w:rsidR="007F62EB">
        <w:t xml:space="preserve">re-PBAC response maintained that supervision costs should be included. </w:t>
      </w:r>
    </w:p>
    <w:p w:rsidR="0061038D" w:rsidRPr="007F62EB" w:rsidRDefault="002A0B1F" w:rsidP="0061038D">
      <w:pPr>
        <w:pStyle w:val="TableHeading0"/>
        <w:spacing w:after="0"/>
      </w:pPr>
      <w:r w:rsidRPr="007F62EB">
        <w:t xml:space="preserve">Table 16: ESC respecified base case </w:t>
      </w:r>
    </w:p>
    <w:tbl>
      <w:tblPr>
        <w:tblStyle w:val="TableGrid"/>
        <w:tblW w:w="0" w:type="auto"/>
        <w:tblLook w:val="04A0" w:firstRow="1" w:lastRow="0" w:firstColumn="1" w:lastColumn="0" w:noHBand="0" w:noVBand="1"/>
        <w:tblCaption w:val="ESC respecified base case "/>
      </w:tblPr>
      <w:tblGrid>
        <w:gridCol w:w="1106"/>
        <w:gridCol w:w="1615"/>
        <w:gridCol w:w="1134"/>
        <w:gridCol w:w="1740"/>
        <w:gridCol w:w="1245"/>
        <w:gridCol w:w="1272"/>
        <w:gridCol w:w="905"/>
      </w:tblGrid>
      <w:tr w:rsidR="0061038D" w:rsidRPr="0061038D" w:rsidTr="000F6C8D">
        <w:trPr>
          <w:cantSplit/>
          <w:tblHeader/>
        </w:trPr>
        <w:tc>
          <w:tcPr>
            <w:tcW w:w="0" w:type="auto"/>
          </w:tcPr>
          <w:p w:rsidR="0061038D" w:rsidRPr="00B8589F" w:rsidRDefault="0061038D" w:rsidP="009F07EA">
            <w:pPr>
              <w:pStyle w:val="TableText0"/>
              <w:keepNext w:val="0"/>
              <w:spacing w:before="0" w:after="0"/>
              <w:rPr>
                <w:b/>
                <w:color w:val="0000FF"/>
              </w:rPr>
            </w:pPr>
            <w:r w:rsidRPr="00B8589F">
              <w:rPr>
                <w:b/>
              </w:rPr>
              <w:t>Retention benefit</w:t>
            </w:r>
          </w:p>
        </w:tc>
        <w:tc>
          <w:tcPr>
            <w:tcW w:w="1615" w:type="dxa"/>
          </w:tcPr>
          <w:p w:rsidR="0061038D" w:rsidRPr="00B8589F" w:rsidRDefault="0061038D" w:rsidP="009F07EA">
            <w:pPr>
              <w:pStyle w:val="TableText0"/>
              <w:keepNext w:val="0"/>
              <w:spacing w:before="0" w:after="0"/>
              <w:jc w:val="center"/>
              <w:rPr>
                <w:b/>
                <w:color w:val="0000FF"/>
              </w:rPr>
            </w:pPr>
            <w:r w:rsidRPr="00B8589F">
              <w:rPr>
                <w:b/>
              </w:rPr>
              <w:t>Duration of retention benefit</w:t>
            </w:r>
          </w:p>
        </w:tc>
        <w:tc>
          <w:tcPr>
            <w:tcW w:w="1134" w:type="dxa"/>
          </w:tcPr>
          <w:p w:rsidR="0061038D" w:rsidRPr="00B8589F" w:rsidRDefault="0061038D" w:rsidP="009F07EA">
            <w:pPr>
              <w:pStyle w:val="TableText0"/>
              <w:keepNext w:val="0"/>
              <w:spacing w:before="0" w:after="0"/>
              <w:jc w:val="center"/>
              <w:rPr>
                <w:b/>
                <w:color w:val="0000FF"/>
              </w:rPr>
            </w:pPr>
            <w:r w:rsidRPr="00B8589F">
              <w:rPr>
                <w:b/>
              </w:rPr>
              <w:t>Health state costs</w:t>
            </w:r>
          </w:p>
        </w:tc>
        <w:tc>
          <w:tcPr>
            <w:tcW w:w="1740" w:type="dxa"/>
            <w:vAlign w:val="center"/>
          </w:tcPr>
          <w:p w:rsidR="0061038D" w:rsidRPr="00B8589F" w:rsidRDefault="0061038D" w:rsidP="009F07EA">
            <w:pPr>
              <w:pStyle w:val="TableText0"/>
              <w:keepNext w:val="0"/>
              <w:spacing w:before="0" w:after="0"/>
              <w:jc w:val="center"/>
              <w:rPr>
                <w:b/>
                <w:color w:val="0000FF"/>
              </w:rPr>
            </w:pPr>
            <w:r w:rsidRPr="00B8589F">
              <w:rPr>
                <w:b/>
              </w:rPr>
              <w:t>Sublingual BPN/NX supervision cost</w:t>
            </w:r>
          </w:p>
        </w:tc>
        <w:tc>
          <w:tcPr>
            <w:tcW w:w="0" w:type="auto"/>
            <w:shd w:val="clear" w:color="auto" w:fill="auto"/>
            <w:vAlign w:val="center"/>
          </w:tcPr>
          <w:p w:rsidR="0061038D" w:rsidRPr="00B8589F" w:rsidRDefault="0061038D" w:rsidP="009F07EA">
            <w:pPr>
              <w:pStyle w:val="TableText0"/>
              <w:keepNext w:val="0"/>
              <w:spacing w:before="0" w:after="0"/>
              <w:jc w:val="center"/>
              <w:rPr>
                <w:b/>
                <w:color w:val="0000FF"/>
              </w:rPr>
            </w:pPr>
            <w:r w:rsidRPr="00B8589F">
              <w:rPr>
                <w:b/>
              </w:rPr>
              <w:t>Incremental costs</w:t>
            </w:r>
          </w:p>
        </w:tc>
        <w:tc>
          <w:tcPr>
            <w:tcW w:w="0" w:type="auto"/>
            <w:shd w:val="clear" w:color="auto" w:fill="auto"/>
            <w:vAlign w:val="center"/>
          </w:tcPr>
          <w:p w:rsidR="0061038D" w:rsidRPr="00B8589F" w:rsidRDefault="0061038D" w:rsidP="009F07EA">
            <w:pPr>
              <w:pStyle w:val="TableText0"/>
              <w:keepNext w:val="0"/>
              <w:spacing w:before="0" w:after="0"/>
              <w:jc w:val="center"/>
              <w:rPr>
                <w:b/>
                <w:color w:val="0000FF"/>
              </w:rPr>
            </w:pPr>
            <w:r w:rsidRPr="00B8589F">
              <w:rPr>
                <w:b/>
              </w:rPr>
              <w:t>Incremental QALYs</w:t>
            </w:r>
          </w:p>
        </w:tc>
        <w:tc>
          <w:tcPr>
            <w:tcW w:w="0" w:type="auto"/>
            <w:shd w:val="clear" w:color="auto" w:fill="auto"/>
            <w:vAlign w:val="center"/>
          </w:tcPr>
          <w:p w:rsidR="0061038D" w:rsidRPr="00B8589F" w:rsidRDefault="0061038D" w:rsidP="009F07EA">
            <w:pPr>
              <w:pStyle w:val="TableText0"/>
              <w:keepNext w:val="0"/>
              <w:spacing w:before="0" w:after="0"/>
              <w:jc w:val="center"/>
              <w:rPr>
                <w:b/>
                <w:color w:val="0000FF"/>
              </w:rPr>
            </w:pPr>
            <w:r w:rsidRPr="00B8589F">
              <w:rPr>
                <w:b/>
              </w:rPr>
              <w:t>ICER</w:t>
            </w:r>
          </w:p>
        </w:tc>
      </w:tr>
      <w:tr w:rsidR="0061038D" w:rsidRPr="0061038D" w:rsidTr="009F07EA">
        <w:trPr>
          <w:trHeight w:val="43"/>
        </w:trPr>
        <w:tc>
          <w:tcPr>
            <w:tcW w:w="0" w:type="auto"/>
            <w:vMerge w:val="restart"/>
            <w:vAlign w:val="center"/>
          </w:tcPr>
          <w:p w:rsidR="0061038D" w:rsidRPr="00B8589F" w:rsidRDefault="0061038D" w:rsidP="009F07EA">
            <w:pPr>
              <w:pStyle w:val="TableText0"/>
              <w:keepNext w:val="0"/>
              <w:spacing w:before="0" w:after="0"/>
            </w:pPr>
            <w:r w:rsidRPr="00B8589F">
              <w:t>Hazard ratio 1.25</w:t>
            </w:r>
          </w:p>
        </w:tc>
        <w:tc>
          <w:tcPr>
            <w:tcW w:w="1615" w:type="dxa"/>
          </w:tcPr>
          <w:p w:rsidR="0061038D" w:rsidRPr="00B8589F" w:rsidRDefault="0061038D" w:rsidP="009F07EA">
            <w:pPr>
              <w:pStyle w:val="TableText0"/>
              <w:keepNext w:val="0"/>
              <w:spacing w:before="0" w:after="0"/>
              <w:jc w:val="center"/>
            </w:pPr>
            <w:r w:rsidRPr="00B8589F">
              <w:t xml:space="preserve">3 cycles </w:t>
            </w:r>
            <w:r w:rsidRPr="00B8589F">
              <w:br/>
              <w:t>(12 weeks)</w:t>
            </w:r>
          </w:p>
        </w:tc>
        <w:tc>
          <w:tcPr>
            <w:tcW w:w="1134" w:type="dxa"/>
            <w:vAlign w:val="center"/>
          </w:tcPr>
          <w:p w:rsidR="0061038D" w:rsidRPr="00B8589F" w:rsidRDefault="0061038D" w:rsidP="009F07EA">
            <w:pPr>
              <w:pStyle w:val="TableText0"/>
              <w:spacing w:before="0" w:after="0"/>
              <w:jc w:val="center"/>
            </w:pPr>
            <w:r w:rsidRPr="00B8589F">
              <w:t>Decreased 50%</w:t>
            </w:r>
          </w:p>
        </w:tc>
        <w:tc>
          <w:tcPr>
            <w:tcW w:w="1740" w:type="dxa"/>
            <w:vAlign w:val="center"/>
          </w:tcPr>
          <w:p w:rsidR="0061038D" w:rsidRPr="00B8589F" w:rsidRDefault="0061038D" w:rsidP="009F07EA">
            <w:pPr>
              <w:pStyle w:val="TableText0"/>
              <w:spacing w:before="0" w:after="0"/>
              <w:jc w:val="center"/>
            </w:pPr>
            <w:r w:rsidRPr="00B8589F">
              <w:t>Removed</w:t>
            </w:r>
          </w:p>
        </w:tc>
        <w:tc>
          <w:tcPr>
            <w:tcW w:w="0" w:type="auto"/>
            <w:shd w:val="clear" w:color="auto" w:fill="auto"/>
            <w:vAlign w:val="center"/>
          </w:tcPr>
          <w:p w:rsidR="0061038D" w:rsidRPr="00B8589F" w:rsidRDefault="0061038D" w:rsidP="009F07EA">
            <w:pPr>
              <w:pStyle w:val="TableText0"/>
              <w:spacing w:before="0" w:after="0"/>
              <w:jc w:val="center"/>
            </w:pPr>
            <w:r w:rsidRPr="00B8589F">
              <w:t>$</w:t>
            </w:r>
            <w:r w:rsidR="00464910">
              <w:rPr>
                <w:noProof/>
                <w:color w:val="000000"/>
                <w:highlight w:val="black"/>
              </w:rPr>
              <w:t>'''''''''''''</w:t>
            </w:r>
          </w:p>
        </w:tc>
        <w:tc>
          <w:tcPr>
            <w:tcW w:w="0" w:type="auto"/>
            <w:shd w:val="clear" w:color="auto" w:fill="auto"/>
            <w:vAlign w:val="center"/>
          </w:tcPr>
          <w:p w:rsidR="0061038D" w:rsidRPr="00B8589F" w:rsidRDefault="0061038D" w:rsidP="009F07EA">
            <w:pPr>
              <w:pStyle w:val="TableText0"/>
              <w:spacing w:before="0" w:after="0"/>
              <w:jc w:val="center"/>
            </w:pPr>
            <w:r w:rsidRPr="00B8589F">
              <w:t>0.0339</w:t>
            </w:r>
          </w:p>
        </w:tc>
        <w:tc>
          <w:tcPr>
            <w:tcW w:w="0" w:type="auto"/>
            <w:shd w:val="clear" w:color="auto" w:fill="auto"/>
            <w:vAlign w:val="center"/>
          </w:tcPr>
          <w:p w:rsidR="0061038D" w:rsidRPr="00B8589F" w:rsidRDefault="0061038D" w:rsidP="009F07EA">
            <w:pPr>
              <w:pStyle w:val="TableText0"/>
              <w:spacing w:before="0" w:after="0"/>
              <w:jc w:val="center"/>
            </w:pPr>
            <w:r w:rsidRPr="00B8589F">
              <w:t>$</w:t>
            </w:r>
            <w:r w:rsidR="00464910">
              <w:rPr>
                <w:noProof/>
                <w:color w:val="000000"/>
                <w:highlight w:val="black"/>
              </w:rPr>
              <w:t>'''''''''''''''''''</w:t>
            </w:r>
          </w:p>
        </w:tc>
      </w:tr>
      <w:tr w:rsidR="0061038D" w:rsidRPr="0061038D" w:rsidTr="009F07EA">
        <w:trPr>
          <w:trHeight w:val="43"/>
        </w:trPr>
        <w:tc>
          <w:tcPr>
            <w:tcW w:w="0" w:type="auto"/>
            <w:vMerge/>
          </w:tcPr>
          <w:p w:rsidR="0061038D" w:rsidRPr="00B8589F" w:rsidRDefault="0061038D" w:rsidP="009F07EA">
            <w:pPr>
              <w:pStyle w:val="TableText0"/>
              <w:keepNext w:val="0"/>
              <w:spacing w:before="0" w:after="0"/>
              <w:rPr>
                <w:color w:val="0000FF"/>
              </w:rPr>
            </w:pPr>
          </w:p>
        </w:tc>
        <w:tc>
          <w:tcPr>
            <w:tcW w:w="1615" w:type="dxa"/>
          </w:tcPr>
          <w:p w:rsidR="0061038D" w:rsidRPr="00B8589F" w:rsidRDefault="0061038D" w:rsidP="009F07EA">
            <w:pPr>
              <w:pStyle w:val="TableText0"/>
              <w:keepNext w:val="0"/>
              <w:spacing w:before="0" w:after="0"/>
              <w:jc w:val="center"/>
            </w:pPr>
            <w:r w:rsidRPr="00B8589F">
              <w:t xml:space="preserve">6 cycles </w:t>
            </w:r>
            <w:r w:rsidRPr="00B8589F">
              <w:br/>
              <w:t>(24 weeks)</w:t>
            </w:r>
          </w:p>
        </w:tc>
        <w:tc>
          <w:tcPr>
            <w:tcW w:w="1134" w:type="dxa"/>
            <w:vAlign w:val="center"/>
          </w:tcPr>
          <w:p w:rsidR="0061038D" w:rsidRPr="00B8589F" w:rsidRDefault="0061038D" w:rsidP="009F07EA">
            <w:pPr>
              <w:pStyle w:val="TableText0"/>
              <w:spacing w:before="0" w:after="0"/>
              <w:jc w:val="center"/>
            </w:pPr>
            <w:r w:rsidRPr="00B8589F">
              <w:t>Decreased 50%</w:t>
            </w:r>
          </w:p>
        </w:tc>
        <w:tc>
          <w:tcPr>
            <w:tcW w:w="1740" w:type="dxa"/>
            <w:vAlign w:val="center"/>
          </w:tcPr>
          <w:p w:rsidR="0061038D" w:rsidRPr="00B8589F" w:rsidRDefault="0061038D" w:rsidP="009F07EA">
            <w:pPr>
              <w:pStyle w:val="TableText0"/>
              <w:spacing w:before="0" w:after="0"/>
              <w:jc w:val="center"/>
            </w:pPr>
            <w:r w:rsidRPr="00B8589F">
              <w:t>Removed</w:t>
            </w:r>
          </w:p>
        </w:tc>
        <w:tc>
          <w:tcPr>
            <w:tcW w:w="0" w:type="auto"/>
            <w:shd w:val="clear" w:color="auto" w:fill="auto"/>
            <w:vAlign w:val="center"/>
          </w:tcPr>
          <w:p w:rsidR="0061038D" w:rsidRPr="00B8589F" w:rsidRDefault="0061038D" w:rsidP="009F07EA">
            <w:pPr>
              <w:pStyle w:val="TableText0"/>
              <w:spacing w:before="0" w:after="0"/>
              <w:jc w:val="center"/>
            </w:pPr>
            <w:r w:rsidRPr="00B8589F">
              <w:t>$</w:t>
            </w:r>
            <w:r w:rsidR="00464910">
              <w:rPr>
                <w:noProof/>
                <w:color w:val="000000"/>
                <w:highlight w:val="black"/>
              </w:rPr>
              <w:t>'''''''''''''</w:t>
            </w:r>
          </w:p>
        </w:tc>
        <w:tc>
          <w:tcPr>
            <w:tcW w:w="0" w:type="auto"/>
            <w:shd w:val="clear" w:color="auto" w:fill="auto"/>
            <w:vAlign w:val="center"/>
          </w:tcPr>
          <w:p w:rsidR="0061038D" w:rsidRPr="00B8589F" w:rsidRDefault="0061038D" w:rsidP="009F07EA">
            <w:pPr>
              <w:pStyle w:val="TableText0"/>
              <w:spacing w:before="0" w:after="0"/>
              <w:jc w:val="center"/>
            </w:pPr>
            <w:r w:rsidRPr="00B8589F">
              <w:t>0.0399</w:t>
            </w:r>
          </w:p>
        </w:tc>
        <w:tc>
          <w:tcPr>
            <w:tcW w:w="0" w:type="auto"/>
            <w:shd w:val="clear" w:color="auto" w:fill="auto"/>
            <w:vAlign w:val="center"/>
          </w:tcPr>
          <w:p w:rsidR="0061038D" w:rsidRPr="00B8589F" w:rsidRDefault="0061038D" w:rsidP="009F07EA">
            <w:pPr>
              <w:pStyle w:val="TableText0"/>
              <w:spacing w:before="0" w:after="0"/>
              <w:jc w:val="center"/>
            </w:pPr>
            <w:r w:rsidRPr="00B8589F">
              <w:t>$</w:t>
            </w:r>
            <w:r w:rsidR="00464910">
              <w:rPr>
                <w:noProof/>
                <w:color w:val="000000"/>
                <w:highlight w:val="black"/>
              </w:rPr>
              <w:t>'''''''''''''''''''</w:t>
            </w:r>
          </w:p>
        </w:tc>
      </w:tr>
    </w:tbl>
    <w:p w:rsidR="0061038D" w:rsidRPr="00425FF1" w:rsidRDefault="0061038D" w:rsidP="0061038D">
      <w:pPr>
        <w:pStyle w:val="PBACHeading1"/>
        <w:rPr>
          <w:rFonts w:ascii="Arial Narrow" w:hAnsi="Arial Narrow"/>
          <w:b w:val="0"/>
          <w:sz w:val="18"/>
          <w:szCs w:val="20"/>
        </w:rPr>
      </w:pPr>
      <w:r w:rsidRPr="00425FF1">
        <w:rPr>
          <w:rFonts w:ascii="Arial Narrow" w:hAnsi="Arial Narrow"/>
          <w:b w:val="0"/>
          <w:sz w:val="18"/>
          <w:szCs w:val="20"/>
        </w:rPr>
        <w:t xml:space="preserve">Source: Calculated during the evaluation using ‘CAM2038 Section 3 </w:t>
      </w:r>
      <w:proofErr w:type="spellStart"/>
      <w:r w:rsidRPr="00425FF1">
        <w:rPr>
          <w:rFonts w:ascii="Arial Narrow" w:hAnsi="Arial Narrow"/>
          <w:b w:val="0"/>
          <w:sz w:val="18"/>
          <w:szCs w:val="20"/>
        </w:rPr>
        <w:t>TreeAge</w:t>
      </w:r>
      <w:proofErr w:type="spellEnd"/>
      <w:r w:rsidRPr="00425FF1">
        <w:rPr>
          <w:rFonts w:ascii="Arial Narrow" w:hAnsi="Arial Narrow"/>
          <w:b w:val="0"/>
          <w:sz w:val="18"/>
          <w:szCs w:val="20"/>
        </w:rPr>
        <w:t xml:space="preserve"> </w:t>
      </w:r>
      <w:proofErr w:type="spellStart"/>
      <w:r w:rsidRPr="00425FF1">
        <w:rPr>
          <w:rFonts w:ascii="Arial Narrow" w:hAnsi="Arial Narrow"/>
          <w:b w:val="0"/>
          <w:sz w:val="18"/>
          <w:szCs w:val="20"/>
        </w:rPr>
        <w:t>model.trex</w:t>
      </w:r>
      <w:proofErr w:type="spellEnd"/>
      <w:r w:rsidRPr="00425FF1">
        <w:rPr>
          <w:rFonts w:ascii="Arial Narrow" w:hAnsi="Arial Narrow"/>
          <w:b w:val="0"/>
          <w:sz w:val="18"/>
          <w:szCs w:val="20"/>
        </w:rPr>
        <w:t>’</w:t>
      </w:r>
    </w:p>
    <w:p w:rsidR="0061038D" w:rsidRDefault="0061038D" w:rsidP="0061038D">
      <w:pPr>
        <w:pStyle w:val="PBACHeading1"/>
        <w:ind w:left="0" w:firstLine="0"/>
        <w:jc w:val="both"/>
        <w:rPr>
          <w:rFonts w:ascii="Arial Narrow" w:hAnsi="Arial Narrow"/>
          <w:b w:val="0"/>
          <w:sz w:val="18"/>
          <w:szCs w:val="20"/>
        </w:rPr>
      </w:pPr>
      <w:r w:rsidRPr="00425FF1">
        <w:rPr>
          <w:rFonts w:ascii="Arial Narrow" w:hAnsi="Arial Narrow"/>
          <w:b w:val="0"/>
          <w:sz w:val="18"/>
          <w:szCs w:val="20"/>
        </w:rPr>
        <w:t>Abbreviations: BPN, buprenorphine; HR, hazard ratio; ICER, incremental cost effectiveness ratio; NX, naloxone; QALYs, quality adjusted life years;</w:t>
      </w:r>
    </w:p>
    <w:p w:rsidR="00FE67B4" w:rsidRPr="00AF2189" w:rsidRDefault="004C6643" w:rsidP="004C6643">
      <w:pPr>
        <w:widowControl/>
        <w:spacing w:before="120" w:after="120"/>
        <w:jc w:val="left"/>
        <w:rPr>
          <w:rFonts w:asciiTheme="minorHAnsi" w:hAnsiTheme="minorHAnsi" w:cstheme="minorHAnsi"/>
          <w:i/>
          <w:szCs w:val="24"/>
        </w:rPr>
      </w:pPr>
      <w:r w:rsidRPr="00AF2189">
        <w:rPr>
          <w:rFonts w:asciiTheme="minorHAnsi" w:hAnsiTheme="minorHAnsi" w:cstheme="minorHAnsi"/>
          <w:i/>
          <w:szCs w:val="24"/>
        </w:rPr>
        <w:t>The redacted table shows ICERs in the range of $105,000/QALY - $200,000/QALY.</w:t>
      </w:r>
      <w:r w:rsidR="00FE67B4" w:rsidRPr="00AF2189">
        <w:rPr>
          <w:rFonts w:asciiTheme="minorHAnsi" w:hAnsiTheme="minorHAnsi" w:cstheme="minorHAnsi"/>
          <w:i/>
          <w:szCs w:val="24"/>
        </w:rPr>
        <w:br w:type="page"/>
      </w:r>
    </w:p>
    <w:p w:rsidR="00C25D9C" w:rsidRPr="002C2775" w:rsidRDefault="00C25D9C" w:rsidP="00B737AB">
      <w:pPr>
        <w:pStyle w:val="Heading2"/>
      </w:pPr>
      <w:bookmarkStart w:id="13" w:name="_Toc524525743"/>
      <w:r w:rsidRPr="002C2775">
        <w:lastRenderedPageBreak/>
        <w:t>Drug cost/patient/year</w:t>
      </w:r>
      <w:bookmarkEnd w:id="13"/>
    </w:p>
    <w:p w:rsidR="00E075DB" w:rsidRPr="00EA4420" w:rsidRDefault="00E075DB" w:rsidP="00DB2F6E">
      <w:pPr>
        <w:pStyle w:val="ListParagraph"/>
        <w:keepNext/>
        <w:widowControl/>
        <w:numPr>
          <w:ilvl w:val="1"/>
          <w:numId w:val="2"/>
        </w:numPr>
      </w:pPr>
      <w:r w:rsidRPr="00EA4420">
        <w:t>The estimated drug cost for prolonged release buprenorphine per patient per year was $</w:t>
      </w:r>
      <w:r w:rsidR="00464910">
        <w:rPr>
          <w:noProof/>
          <w:color w:val="000000"/>
          <w:highlight w:val="black"/>
        </w:rPr>
        <w:t>'''''''''''''''</w:t>
      </w:r>
      <w:r w:rsidRPr="00EA4420">
        <w:t xml:space="preserve"> (based on 365 days of use at a daily cost of $</w:t>
      </w:r>
      <w:r w:rsidR="00464910">
        <w:rPr>
          <w:noProof/>
          <w:color w:val="000000"/>
          <w:highlight w:val="black"/>
        </w:rPr>
        <w:t>''''''''''</w:t>
      </w:r>
      <w:r w:rsidRPr="00EA4420">
        <w:t>).</w:t>
      </w:r>
      <w:r w:rsidR="0097190F" w:rsidRPr="00EA4420">
        <w:t xml:space="preserve"> </w:t>
      </w:r>
      <w:r w:rsidR="008C5078" w:rsidRPr="00EA4420">
        <w:t>Th</w:t>
      </w:r>
      <w:r w:rsidR="00635FDC" w:rsidRPr="00EA4420">
        <w:t>e</w:t>
      </w:r>
      <w:r w:rsidR="008C5078" w:rsidRPr="00EA4420">
        <w:t xml:space="preserve"> drug cost was not impacted by the proportion of patients treated weekly compared to monthly</w:t>
      </w:r>
      <w:r w:rsidR="00A415B9">
        <w:t xml:space="preserve"> doses</w:t>
      </w:r>
      <w:r w:rsidR="008C5078" w:rsidRPr="00EA4420">
        <w:t xml:space="preserve">. </w:t>
      </w:r>
    </w:p>
    <w:p w:rsidR="00E075DB" w:rsidRPr="00E075DB" w:rsidRDefault="00E075DB" w:rsidP="00DB2F6E">
      <w:pPr>
        <w:pStyle w:val="ListParagraph"/>
        <w:keepNext/>
        <w:widowControl/>
        <w:numPr>
          <w:ilvl w:val="1"/>
          <w:numId w:val="2"/>
        </w:numPr>
      </w:pPr>
      <w:r w:rsidRPr="00E075DB">
        <w:t>The estimated drug cost for sublingual buprenorphine/naloxone per patient per year was $</w:t>
      </w:r>
      <w:r w:rsidRPr="003A1D96">
        <w:t>3,956.6</w:t>
      </w:r>
      <w:r w:rsidRPr="00E075DB">
        <w:t xml:space="preserve"> (based on 365 days of use at a daily cost derived from the current ex-manufacturer price of $</w:t>
      </w:r>
      <w:r w:rsidRPr="003A1D96">
        <w:t>10.84</w:t>
      </w:r>
      <w:r w:rsidRPr="00E075DB">
        <w:t xml:space="preserve">). </w:t>
      </w:r>
    </w:p>
    <w:p w:rsidR="00614E28" w:rsidRDefault="00E075DB" w:rsidP="00C9624D">
      <w:pPr>
        <w:pStyle w:val="ListParagraph"/>
        <w:keepNext/>
        <w:widowControl/>
        <w:numPr>
          <w:ilvl w:val="1"/>
          <w:numId w:val="2"/>
        </w:numPr>
      </w:pPr>
      <w:r w:rsidRPr="00E075DB">
        <w:t xml:space="preserve">The proposed price per day for prolonged release buprenorphine represents a premium of </w:t>
      </w:r>
      <w:r w:rsidR="00464910">
        <w:rPr>
          <w:noProof/>
          <w:color w:val="000000"/>
          <w:highlight w:val="black"/>
        </w:rPr>
        <w:t>''''''</w:t>
      </w:r>
      <w:r w:rsidRPr="00E075DB">
        <w:t xml:space="preserve">% over the current daily price of sublingual buprenorphine/naloxone. </w:t>
      </w:r>
      <w:r w:rsidR="00115143" w:rsidRPr="00425FF1">
        <w:t xml:space="preserve">The ESC </w:t>
      </w:r>
      <w:r w:rsidR="00614E28" w:rsidRPr="00425FF1">
        <w:t xml:space="preserve">considered that a </w:t>
      </w:r>
      <w:r w:rsidR="00115143" w:rsidRPr="00425FF1">
        <w:t xml:space="preserve">price premium </w:t>
      </w:r>
      <w:r w:rsidR="00F35836" w:rsidRPr="00425FF1">
        <w:t xml:space="preserve">of this magnitude </w:t>
      </w:r>
      <w:r w:rsidR="001432C8" w:rsidRPr="00425FF1">
        <w:t xml:space="preserve">over sublingual buprenorphine/naloxone </w:t>
      </w:r>
      <w:r w:rsidR="00115143" w:rsidRPr="00425FF1">
        <w:t>was not justified</w:t>
      </w:r>
      <w:bookmarkStart w:id="14" w:name="_Toc524525744"/>
      <w:r w:rsidR="00614E28" w:rsidRPr="00614E28">
        <w:rPr>
          <w:i/>
        </w:rPr>
        <w:t>.</w:t>
      </w:r>
      <w:r w:rsidR="00614E28">
        <w:t xml:space="preserve"> </w:t>
      </w:r>
    </w:p>
    <w:p w:rsidR="0026205F" w:rsidRDefault="005C535B" w:rsidP="00C9624D">
      <w:pPr>
        <w:pStyle w:val="ListParagraph"/>
        <w:keepNext/>
        <w:widowControl/>
        <w:numPr>
          <w:ilvl w:val="1"/>
          <w:numId w:val="2"/>
        </w:numPr>
      </w:pPr>
      <w:r>
        <w:t>The PBAC noted in its p</w:t>
      </w:r>
      <w:r w:rsidR="0026205F">
        <w:t xml:space="preserve">re-PBAC response </w:t>
      </w:r>
      <w:r w:rsidR="00C8272B">
        <w:t xml:space="preserve">the sponsor </w:t>
      </w:r>
      <w:r w:rsidR="00B80701">
        <w:t>proposed a price reduction from $</w:t>
      </w:r>
      <w:r w:rsidR="00464910">
        <w:rPr>
          <w:noProof/>
          <w:color w:val="000000"/>
          <w:highlight w:val="black"/>
        </w:rPr>
        <w:t>'''''''''''</w:t>
      </w:r>
      <w:r w:rsidR="008E7AE1">
        <w:t xml:space="preserve"> per day</w:t>
      </w:r>
      <w:r w:rsidR="00B80701">
        <w:t xml:space="preserve"> to $</w:t>
      </w:r>
      <w:r w:rsidR="00464910">
        <w:rPr>
          <w:noProof/>
          <w:color w:val="000000"/>
          <w:highlight w:val="black"/>
        </w:rPr>
        <w:t>'''''''''''</w:t>
      </w:r>
      <w:r w:rsidR="00B80701">
        <w:t xml:space="preserve"> </w:t>
      </w:r>
      <w:r w:rsidR="008E7AE1">
        <w:t xml:space="preserve">per day, representing </w:t>
      </w:r>
      <w:r w:rsidR="00B80701">
        <w:t>a lower premium over</w:t>
      </w:r>
      <w:r w:rsidR="00B80701" w:rsidRPr="00B80701">
        <w:t xml:space="preserve"> </w:t>
      </w:r>
      <w:r w:rsidR="00B80701" w:rsidRPr="00E075DB">
        <w:t>sublingual buprenorphine/naloxone</w:t>
      </w:r>
      <w:r w:rsidR="008E7AE1">
        <w:t xml:space="preserve"> of </w:t>
      </w:r>
      <w:r w:rsidR="00464910">
        <w:rPr>
          <w:noProof/>
          <w:color w:val="000000"/>
          <w:highlight w:val="black"/>
        </w:rPr>
        <w:t>''''''</w:t>
      </w:r>
      <w:r w:rsidR="008E7AE1">
        <w:t>%</w:t>
      </w:r>
      <w:r w:rsidR="00B80701">
        <w:t>. The PBAC considered that t</w:t>
      </w:r>
      <w:r>
        <w:t xml:space="preserve">he </w:t>
      </w:r>
      <w:r w:rsidR="008E7AE1">
        <w:t>incremental</w:t>
      </w:r>
      <w:r w:rsidR="00B80701">
        <w:t xml:space="preserve"> </w:t>
      </w:r>
      <w:r>
        <w:t xml:space="preserve">benefits of </w:t>
      </w:r>
      <w:r w:rsidRPr="005C535B">
        <w:t xml:space="preserve">prolonged release buprenorphine </w:t>
      </w:r>
      <w:r w:rsidR="00B80701">
        <w:t xml:space="preserve">were not quantified in the submission and therefore the revised </w:t>
      </w:r>
      <w:r w:rsidR="00CF0EC0">
        <w:t xml:space="preserve">price </w:t>
      </w:r>
      <w:r w:rsidR="00B80701">
        <w:t xml:space="preserve">premium of </w:t>
      </w:r>
      <w:r w:rsidR="00464910">
        <w:rPr>
          <w:noProof/>
          <w:color w:val="000000"/>
          <w:highlight w:val="black"/>
        </w:rPr>
        <w:t>'''''</w:t>
      </w:r>
      <w:r w:rsidR="00B80701">
        <w:t xml:space="preserve">% </w:t>
      </w:r>
      <w:r w:rsidR="00CF0EC0">
        <w:t>over</w:t>
      </w:r>
      <w:r w:rsidR="00CF0EC0" w:rsidRPr="00B80701">
        <w:t xml:space="preserve"> </w:t>
      </w:r>
      <w:r w:rsidR="00CF0EC0" w:rsidRPr="00E075DB">
        <w:t>sublingual buprenorphine/naloxone</w:t>
      </w:r>
      <w:r w:rsidR="00CF0EC0">
        <w:t xml:space="preserve"> </w:t>
      </w:r>
      <w:r w:rsidR="00B80701">
        <w:t>was not justified</w:t>
      </w:r>
      <w:r w:rsidRPr="005C535B">
        <w:t>.</w:t>
      </w:r>
    </w:p>
    <w:p w:rsidR="00B60939" w:rsidRDefault="00B60939" w:rsidP="00B737AB">
      <w:pPr>
        <w:pStyle w:val="Heading2"/>
      </w:pPr>
      <w:r w:rsidRPr="00C9624D">
        <w:t>Estimated PBS usage &amp; financial implications</w:t>
      </w:r>
      <w:bookmarkEnd w:id="14"/>
    </w:p>
    <w:p w:rsidR="00E27757" w:rsidRPr="00B36E80" w:rsidRDefault="00E27757" w:rsidP="00B60939">
      <w:pPr>
        <w:widowControl/>
        <w:numPr>
          <w:ilvl w:val="1"/>
          <w:numId w:val="2"/>
        </w:numPr>
        <w:spacing w:after="160"/>
        <w:rPr>
          <w:b/>
          <w:i/>
        </w:rPr>
      </w:pPr>
      <w:r w:rsidRPr="00B36E80">
        <w:t>This submission was considered by DUSC.</w:t>
      </w:r>
    </w:p>
    <w:p w:rsidR="00E27757" w:rsidRPr="00E075DB" w:rsidRDefault="00E27757" w:rsidP="00E27757">
      <w:pPr>
        <w:pStyle w:val="ListParagraph"/>
        <w:widowControl/>
        <w:numPr>
          <w:ilvl w:val="1"/>
          <w:numId w:val="2"/>
        </w:numPr>
      </w:pPr>
      <w:bookmarkStart w:id="15" w:name="_Toc524525745"/>
      <w:r w:rsidRPr="00E27757">
        <w:t>The submission used a market share approach to estimate the use and financial implications of listing prolonged release buprenorphine on the PBS for the treatment of opioid use disorder</w:t>
      </w:r>
      <w:r w:rsidR="00B36E80">
        <w:t xml:space="preserve">, as </w:t>
      </w:r>
      <w:r w:rsidRPr="00E075DB">
        <w:t>summarised in the table below.</w:t>
      </w:r>
    </w:p>
    <w:p w:rsidR="00B36E80" w:rsidRPr="00B36E80" w:rsidRDefault="00B36E80" w:rsidP="00B36E80">
      <w:pPr>
        <w:pStyle w:val="PBACHeading1"/>
        <w:ind w:left="0" w:firstLine="0"/>
        <w:rPr>
          <w:rFonts w:ascii="Arial Narrow" w:eastAsia="Calibri" w:hAnsi="Arial Narrow"/>
          <w:snapToGrid/>
          <w:sz w:val="20"/>
          <w:szCs w:val="20"/>
        </w:rPr>
      </w:pPr>
      <w:r w:rsidRPr="00B36E80">
        <w:rPr>
          <w:rFonts w:ascii="Arial Narrow" w:eastAsia="Calibri" w:hAnsi="Arial Narrow"/>
          <w:snapToGrid/>
          <w:sz w:val="20"/>
          <w:szCs w:val="20"/>
        </w:rPr>
        <w:t>Table 15: Estimated use and financial implications</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9"/>
        <w:gridCol w:w="1159"/>
        <w:gridCol w:w="1159"/>
        <w:gridCol w:w="1159"/>
        <w:gridCol w:w="1159"/>
        <w:gridCol w:w="1159"/>
        <w:gridCol w:w="1162"/>
      </w:tblGrid>
      <w:tr w:rsidR="00B36E80" w:rsidRPr="00B36E80" w:rsidTr="00B235CF">
        <w:trPr>
          <w:tblHeader/>
        </w:trPr>
        <w:tc>
          <w:tcPr>
            <w:tcW w:w="1116" w:type="pct"/>
            <w:tcBorders>
              <w:bottom w:val="single" w:sz="4" w:space="0" w:color="auto"/>
            </w:tcBorders>
            <w:shd w:val="clear" w:color="auto" w:fill="auto"/>
            <w:vAlign w:val="center"/>
          </w:tcPr>
          <w:p w:rsidR="00B36E80" w:rsidRPr="00B36E80" w:rsidRDefault="00B36E80" w:rsidP="007D1FD6">
            <w:pPr>
              <w:keepNext/>
              <w:widowControl/>
              <w:spacing w:before="40" w:after="40"/>
              <w:jc w:val="left"/>
              <w:rPr>
                <w:rFonts w:ascii="Arial Narrow" w:eastAsia="Calibri" w:hAnsi="Arial Narrow"/>
                <w:snapToGrid/>
                <w:sz w:val="20"/>
                <w:szCs w:val="20"/>
              </w:rPr>
            </w:pPr>
          </w:p>
        </w:tc>
        <w:tc>
          <w:tcPr>
            <w:tcW w:w="647" w:type="pct"/>
            <w:tcBorders>
              <w:bottom w:val="single" w:sz="4" w:space="0" w:color="auto"/>
            </w:tcBorders>
            <w:shd w:val="clear" w:color="auto" w:fill="auto"/>
            <w:vAlign w:val="center"/>
          </w:tcPr>
          <w:p w:rsidR="00B36E80" w:rsidRPr="00B36E80" w:rsidRDefault="00B36E80" w:rsidP="007D1FD6">
            <w:pPr>
              <w:keepNext/>
              <w:widowControl/>
              <w:spacing w:before="40" w:after="40"/>
              <w:jc w:val="center"/>
              <w:rPr>
                <w:rFonts w:ascii="Arial Narrow" w:eastAsia="Calibri" w:hAnsi="Arial Narrow"/>
                <w:b/>
                <w:snapToGrid/>
                <w:sz w:val="20"/>
                <w:szCs w:val="20"/>
              </w:rPr>
            </w:pPr>
            <w:r w:rsidRPr="00B36E80">
              <w:rPr>
                <w:rFonts w:ascii="Arial Narrow" w:eastAsia="Calibri" w:hAnsi="Arial Narrow"/>
                <w:b/>
                <w:snapToGrid/>
                <w:sz w:val="20"/>
                <w:szCs w:val="20"/>
              </w:rPr>
              <w:t>Year 1</w:t>
            </w:r>
          </w:p>
        </w:tc>
        <w:tc>
          <w:tcPr>
            <w:tcW w:w="647" w:type="pct"/>
            <w:tcBorders>
              <w:bottom w:val="single" w:sz="4" w:space="0" w:color="auto"/>
            </w:tcBorders>
            <w:shd w:val="clear" w:color="auto" w:fill="auto"/>
            <w:vAlign w:val="center"/>
          </w:tcPr>
          <w:p w:rsidR="00B36E80" w:rsidRPr="00B36E80" w:rsidRDefault="00B36E80" w:rsidP="007D1FD6">
            <w:pPr>
              <w:keepNext/>
              <w:widowControl/>
              <w:spacing w:before="40" w:after="40"/>
              <w:jc w:val="center"/>
              <w:rPr>
                <w:rFonts w:ascii="Arial Narrow" w:eastAsia="Calibri" w:hAnsi="Arial Narrow"/>
                <w:b/>
                <w:snapToGrid/>
                <w:sz w:val="20"/>
                <w:szCs w:val="20"/>
              </w:rPr>
            </w:pPr>
            <w:r w:rsidRPr="00B36E80">
              <w:rPr>
                <w:rFonts w:ascii="Arial Narrow" w:eastAsia="Calibri" w:hAnsi="Arial Narrow"/>
                <w:b/>
                <w:snapToGrid/>
                <w:sz w:val="20"/>
                <w:szCs w:val="20"/>
              </w:rPr>
              <w:t>Year 2</w:t>
            </w:r>
          </w:p>
        </w:tc>
        <w:tc>
          <w:tcPr>
            <w:tcW w:w="647" w:type="pct"/>
            <w:tcBorders>
              <w:bottom w:val="single" w:sz="4" w:space="0" w:color="auto"/>
            </w:tcBorders>
            <w:shd w:val="clear" w:color="auto" w:fill="auto"/>
            <w:vAlign w:val="center"/>
          </w:tcPr>
          <w:p w:rsidR="00B36E80" w:rsidRPr="00B36E80" w:rsidRDefault="00B36E80" w:rsidP="007D1FD6">
            <w:pPr>
              <w:keepNext/>
              <w:widowControl/>
              <w:spacing w:before="40" w:after="40"/>
              <w:jc w:val="center"/>
              <w:rPr>
                <w:rFonts w:ascii="Arial Narrow" w:eastAsia="Calibri" w:hAnsi="Arial Narrow"/>
                <w:b/>
                <w:snapToGrid/>
                <w:sz w:val="20"/>
                <w:szCs w:val="20"/>
              </w:rPr>
            </w:pPr>
            <w:r w:rsidRPr="00B36E80">
              <w:rPr>
                <w:rFonts w:ascii="Arial Narrow" w:eastAsia="Calibri" w:hAnsi="Arial Narrow"/>
                <w:b/>
                <w:snapToGrid/>
                <w:sz w:val="20"/>
                <w:szCs w:val="20"/>
              </w:rPr>
              <w:t>Year 3</w:t>
            </w:r>
          </w:p>
        </w:tc>
        <w:tc>
          <w:tcPr>
            <w:tcW w:w="647" w:type="pct"/>
            <w:tcBorders>
              <w:bottom w:val="single" w:sz="4" w:space="0" w:color="auto"/>
            </w:tcBorders>
            <w:shd w:val="clear" w:color="auto" w:fill="auto"/>
            <w:vAlign w:val="center"/>
          </w:tcPr>
          <w:p w:rsidR="00B36E80" w:rsidRPr="00B36E80" w:rsidRDefault="00B36E80" w:rsidP="007D1FD6">
            <w:pPr>
              <w:keepNext/>
              <w:widowControl/>
              <w:spacing w:before="40" w:after="40"/>
              <w:jc w:val="center"/>
              <w:rPr>
                <w:rFonts w:ascii="Arial Narrow" w:eastAsia="Calibri" w:hAnsi="Arial Narrow"/>
                <w:b/>
                <w:snapToGrid/>
                <w:sz w:val="20"/>
                <w:szCs w:val="20"/>
              </w:rPr>
            </w:pPr>
            <w:r w:rsidRPr="00B36E80">
              <w:rPr>
                <w:rFonts w:ascii="Arial Narrow" w:eastAsia="Calibri" w:hAnsi="Arial Narrow"/>
                <w:b/>
                <w:snapToGrid/>
                <w:sz w:val="20"/>
                <w:szCs w:val="20"/>
              </w:rPr>
              <w:t>Year 4</w:t>
            </w:r>
          </w:p>
        </w:tc>
        <w:tc>
          <w:tcPr>
            <w:tcW w:w="647" w:type="pct"/>
            <w:tcBorders>
              <w:bottom w:val="single" w:sz="4" w:space="0" w:color="auto"/>
            </w:tcBorders>
            <w:shd w:val="clear" w:color="auto" w:fill="auto"/>
            <w:vAlign w:val="center"/>
          </w:tcPr>
          <w:p w:rsidR="00B36E80" w:rsidRPr="00B36E80" w:rsidRDefault="00B36E80" w:rsidP="007D1FD6">
            <w:pPr>
              <w:keepNext/>
              <w:widowControl/>
              <w:spacing w:before="40" w:after="40"/>
              <w:jc w:val="center"/>
              <w:rPr>
                <w:rFonts w:ascii="Arial Narrow" w:eastAsia="Calibri" w:hAnsi="Arial Narrow"/>
                <w:b/>
                <w:snapToGrid/>
                <w:sz w:val="20"/>
                <w:szCs w:val="20"/>
              </w:rPr>
            </w:pPr>
            <w:r w:rsidRPr="00B36E80">
              <w:rPr>
                <w:rFonts w:ascii="Arial Narrow" w:eastAsia="Calibri" w:hAnsi="Arial Narrow"/>
                <w:b/>
                <w:snapToGrid/>
                <w:sz w:val="20"/>
                <w:szCs w:val="20"/>
              </w:rPr>
              <w:t>Year 5</w:t>
            </w:r>
          </w:p>
        </w:tc>
        <w:tc>
          <w:tcPr>
            <w:tcW w:w="649" w:type="pct"/>
            <w:tcBorders>
              <w:bottom w:val="single" w:sz="4" w:space="0" w:color="auto"/>
            </w:tcBorders>
            <w:vAlign w:val="center"/>
          </w:tcPr>
          <w:p w:rsidR="00B36E80" w:rsidRPr="00B36E80" w:rsidRDefault="00B36E80" w:rsidP="007D1FD6">
            <w:pPr>
              <w:keepNext/>
              <w:widowControl/>
              <w:spacing w:before="40" w:after="40"/>
              <w:jc w:val="center"/>
              <w:rPr>
                <w:rFonts w:ascii="Arial Narrow" w:eastAsia="Calibri" w:hAnsi="Arial Narrow"/>
                <w:b/>
                <w:snapToGrid/>
                <w:sz w:val="20"/>
                <w:szCs w:val="20"/>
              </w:rPr>
            </w:pPr>
            <w:r w:rsidRPr="00B36E80">
              <w:rPr>
                <w:rFonts w:ascii="Arial Narrow" w:eastAsia="Calibri" w:hAnsi="Arial Narrow"/>
                <w:b/>
                <w:snapToGrid/>
                <w:sz w:val="20"/>
                <w:szCs w:val="20"/>
              </w:rPr>
              <w:t>Year 6</w:t>
            </w:r>
          </w:p>
        </w:tc>
      </w:tr>
      <w:tr w:rsidR="00B36E80" w:rsidRPr="00B36E80" w:rsidTr="007D1FD6">
        <w:tc>
          <w:tcPr>
            <w:tcW w:w="5000" w:type="pct"/>
            <w:gridSpan w:val="7"/>
            <w:shd w:val="clear" w:color="auto" w:fill="auto"/>
            <w:vAlign w:val="center"/>
          </w:tcPr>
          <w:p w:rsidR="00B36E80" w:rsidRPr="00B36E80" w:rsidRDefault="00B36E80" w:rsidP="007D1FD6">
            <w:pPr>
              <w:keepNext/>
              <w:widowControl/>
              <w:spacing w:before="40" w:after="40"/>
              <w:jc w:val="left"/>
              <w:rPr>
                <w:rFonts w:ascii="Arial Narrow" w:eastAsia="Calibri" w:hAnsi="Arial Narrow"/>
                <w:b/>
                <w:bCs/>
                <w:snapToGrid/>
                <w:sz w:val="20"/>
                <w:szCs w:val="20"/>
              </w:rPr>
            </w:pPr>
            <w:r w:rsidRPr="00B36E80">
              <w:rPr>
                <w:rFonts w:ascii="Arial Narrow" w:eastAsia="Calibri" w:hAnsi="Arial Narrow"/>
                <w:b/>
                <w:bCs/>
                <w:snapToGrid/>
                <w:sz w:val="20"/>
                <w:szCs w:val="20"/>
              </w:rPr>
              <w:t>Estimated extent of use</w:t>
            </w:r>
          </w:p>
        </w:tc>
      </w:tr>
      <w:tr w:rsidR="00B36E80" w:rsidRPr="00B36E80" w:rsidTr="007D1FD6">
        <w:tc>
          <w:tcPr>
            <w:tcW w:w="1116" w:type="pct"/>
            <w:shd w:val="clear" w:color="auto" w:fill="auto"/>
            <w:vAlign w:val="center"/>
          </w:tcPr>
          <w:p w:rsidR="00B36E80" w:rsidRPr="00B36E80" w:rsidRDefault="00B36E80" w:rsidP="007D1FD6">
            <w:pPr>
              <w:keepNext/>
              <w:widowControl/>
              <w:spacing w:before="40" w:after="40"/>
              <w:jc w:val="left"/>
              <w:rPr>
                <w:rFonts w:ascii="Arial Narrow" w:hAnsi="Arial Narrow"/>
                <w:snapToGrid/>
                <w:sz w:val="20"/>
                <w:szCs w:val="20"/>
              </w:rPr>
            </w:pPr>
            <w:r w:rsidRPr="00B36E80">
              <w:rPr>
                <w:rFonts w:ascii="Arial Narrow" w:eastAsia="Calibri" w:hAnsi="Arial Narrow"/>
                <w:snapToGrid/>
                <w:sz w:val="20"/>
                <w:szCs w:val="20"/>
              </w:rPr>
              <w:t>Number of patients treated</w:t>
            </w:r>
          </w:p>
        </w:tc>
        <w:tc>
          <w:tcPr>
            <w:tcW w:w="647" w:type="pct"/>
            <w:shd w:val="clear" w:color="auto" w:fill="auto"/>
            <w:vAlign w:val="center"/>
          </w:tcPr>
          <w:p w:rsidR="00B36E80" w:rsidRPr="00464910" w:rsidRDefault="00464910" w:rsidP="007D1FD6">
            <w:pPr>
              <w:ind w:left="-50" w:right="-56"/>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7" w:type="pct"/>
            <w:shd w:val="clear" w:color="auto" w:fill="auto"/>
            <w:vAlign w:val="center"/>
          </w:tcPr>
          <w:p w:rsidR="00B36E80" w:rsidRPr="00464910" w:rsidRDefault="00464910" w:rsidP="007D1FD6">
            <w:pPr>
              <w:ind w:left="-50" w:right="-56"/>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7" w:type="pct"/>
            <w:shd w:val="clear" w:color="auto" w:fill="auto"/>
            <w:vAlign w:val="center"/>
          </w:tcPr>
          <w:p w:rsidR="00B36E80" w:rsidRPr="00464910" w:rsidRDefault="00464910" w:rsidP="007D1FD6">
            <w:pPr>
              <w:ind w:left="-50" w:right="-56"/>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7" w:type="pct"/>
            <w:shd w:val="clear" w:color="auto" w:fill="auto"/>
            <w:vAlign w:val="center"/>
          </w:tcPr>
          <w:p w:rsidR="00B36E80" w:rsidRPr="00464910" w:rsidRDefault="00464910" w:rsidP="007D1FD6">
            <w:pPr>
              <w:ind w:left="-50" w:right="-56"/>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7" w:type="pct"/>
            <w:shd w:val="clear" w:color="auto" w:fill="auto"/>
            <w:vAlign w:val="center"/>
          </w:tcPr>
          <w:p w:rsidR="00B36E80" w:rsidRPr="00464910" w:rsidRDefault="00464910" w:rsidP="007D1FD6">
            <w:pPr>
              <w:ind w:left="-50" w:right="-56"/>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9" w:type="pct"/>
            <w:vAlign w:val="center"/>
          </w:tcPr>
          <w:p w:rsidR="00B36E80" w:rsidRPr="00464910" w:rsidRDefault="00464910" w:rsidP="007D1FD6">
            <w:pPr>
              <w:ind w:left="-50" w:right="-56"/>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36E80" w:rsidRPr="00B36E80" w:rsidTr="007D1FD6">
        <w:tc>
          <w:tcPr>
            <w:tcW w:w="5000" w:type="pct"/>
            <w:gridSpan w:val="7"/>
            <w:shd w:val="clear" w:color="auto" w:fill="auto"/>
            <w:vAlign w:val="center"/>
          </w:tcPr>
          <w:p w:rsidR="00B36E80" w:rsidRPr="00B36E80" w:rsidRDefault="00B36E80" w:rsidP="007D1FD6">
            <w:pPr>
              <w:keepNext/>
              <w:widowControl/>
              <w:spacing w:before="40" w:after="40"/>
              <w:jc w:val="left"/>
              <w:rPr>
                <w:rFonts w:ascii="Arial Narrow" w:eastAsia="Calibri" w:hAnsi="Arial Narrow"/>
                <w:b/>
                <w:bCs/>
                <w:snapToGrid/>
                <w:sz w:val="20"/>
                <w:szCs w:val="20"/>
              </w:rPr>
            </w:pPr>
            <w:r w:rsidRPr="00B36E80">
              <w:rPr>
                <w:rFonts w:ascii="Arial Narrow" w:eastAsia="Calibri" w:hAnsi="Arial Narrow"/>
                <w:b/>
                <w:bCs/>
                <w:snapToGrid/>
                <w:sz w:val="20"/>
                <w:szCs w:val="20"/>
              </w:rPr>
              <w:t>Estimated financial implications of  prolonged release buprenorphine</w:t>
            </w:r>
          </w:p>
        </w:tc>
      </w:tr>
      <w:tr w:rsidR="00B36E80" w:rsidRPr="00B36E80" w:rsidTr="007D1FD6">
        <w:tc>
          <w:tcPr>
            <w:tcW w:w="1116" w:type="pct"/>
            <w:shd w:val="clear" w:color="auto" w:fill="auto"/>
            <w:vAlign w:val="center"/>
          </w:tcPr>
          <w:p w:rsidR="00B36E80" w:rsidRPr="00B36E80" w:rsidRDefault="00B36E80" w:rsidP="007D1FD6">
            <w:pPr>
              <w:keepNext/>
              <w:widowControl/>
              <w:spacing w:before="40" w:after="40"/>
              <w:jc w:val="left"/>
              <w:rPr>
                <w:rFonts w:ascii="Arial Narrow" w:hAnsi="Arial Narrow"/>
                <w:snapToGrid/>
                <w:sz w:val="20"/>
                <w:szCs w:val="20"/>
              </w:rPr>
            </w:pPr>
            <w:r w:rsidRPr="00B36E80">
              <w:rPr>
                <w:rFonts w:ascii="Arial Narrow" w:eastAsia="Calibri" w:hAnsi="Arial Narrow"/>
                <w:snapToGrid/>
                <w:sz w:val="20"/>
                <w:szCs w:val="20"/>
              </w:rPr>
              <w:t>Cost to PBS/RPBS</w:t>
            </w:r>
          </w:p>
        </w:tc>
        <w:tc>
          <w:tcPr>
            <w:tcW w:w="647" w:type="pct"/>
            <w:shd w:val="clear" w:color="auto" w:fill="auto"/>
            <w:vAlign w:val="bottom"/>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w:t>
            </w:r>
            <w:r w:rsidR="00464910">
              <w:rPr>
                <w:rFonts w:ascii="Arial Narrow" w:hAnsi="Arial Narrow"/>
                <w:noProof/>
                <w:color w:val="000000"/>
                <w:sz w:val="20"/>
                <w:szCs w:val="20"/>
                <w:highlight w:val="black"/>
              </w:rPr>
              <w:t>''''''''''''''''''''''''''</w:t>
            </w:r>
          </w:p>
        </w:tc>
        <w:tc>
          <w:tcPr>
            <w:tcW w:w="647" w:type="pct"/>
            <w:shd w:val="clear" w:color="auto" w:fill="auto"/>
            <w:vAlign w:val="bottom"/>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w:t>
            </w:r>
            <w:r w:rsidR="00464910">
              <w:rPr>
                <w:rFonts w:ascii="Arial Narrow" w:hAnsi="Arial Narrow"/>
                <w:noProof/>
                <w:color w:val="000000"/>
                <w:sz w:val="20"/>
                <w:szCs w:val="20"/>
                <w:highlight w:val="black"/>
              </w:rPr>
              <w:t>'''''''''''''''''''''''''</w:t>
            </w:r>
          </w:p>
        </w:tc>
        <w:tc>
          <w:tcPr>
            <w:tcW w:w="647" w:type="pct"/>
            <w:shd w:val="clear" w:color="auto" w:fill="auto"/>
            <w:vAlign w:val="bottom"/>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w:t>
            </w:r>
            <w:r w:rsidR="00464910">
              <w:rPr>
                <w:rFonts w:ascii="Arial Narrow" w:hAnsi="Arial Narrow"/>
                <w:noProof/>
                <w:color w:val="000000"/>
                <w:sz w:val="20"/>
                <w:szCs w:val="20"/>
                <w:highlight w:val="black"/>
              </w:rPr>
              <w:t>''''''''''''''''''''''''</w:t>
            </w:r>
          </w:p>
        </w:tc>
        <w:tc>
          <w:tcPr>
            <w:tcW w:w="647" w:type="pct"/>
            <w:shd w:val="clear" w:color="auto" w:fill="auto"/>
            <w:vAlign w:val="bottom"/>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w:t>
            </w:r>
            <w:r w:rsidR="00464910">
              <w:rPr>
                <w:rFonts w:ascii="Arial Narrow" w:hAnsi="Arial Narrow"/>
                <w:noProof/>
                <w:color w:val="000000"/>
                <w:sz w:val="20"/>
                <w:szCs w:val="20"/>
                <w:highlight w:val="black"/>
              </w:rPr>
              <w:t>''''''''''''''''''''''''''''</w:t>
            </w:r>
          </w:p>
        </w:tc>
        <w:tc>
          <w:tcPr>
            <w:tcW w:w="647" w:type="pct"/>
            <w:shd w:val="clear" w:color="auto" w:fill="auto"/>
            <w:vAlign w:val="bottom"/>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w:t>
            </w:r>
            <w:r w:rsidR="00464910">
              <w:rPr>
                <w:rFonts w:ascii="Arial Narrow" w:hAnsi="Arial Narrow"/>
                <w:noProof/>
                <w:color w:val="000000"/>
                <w:sz w:val="20"/>
                <w:szCs w:val="20"/>
                <w:highlight w:val="black"/>
              </w:rPr>
              <w:t>''''''''''''''''''''''''''</w:t>
            </w:r>
          </w:p>
        </w:tc>
        <w:tc>
          <w:tcPr>
            <w:tcW w:w="649" w:type="pct"/>
            <w:vAlign w:val="bottom"/>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w:t>
            </w:r>
            <w:r w:rsidR="00464910">
              <w:rPr>
                <w:rFonts w:ascii="Arial Narrow" w:hAnsi="Arial Narrow"/>
                <w:noProof/>
                <w:color w:val="000000"/>
                <w:sz w:val="20"/>
                <w:szCs w:val="20"/>
                <w:highlight w:val="black"/>
              </w:rPr>
              <w:t>''''''''''''''''''''''''</w:t>
            </w:r>
          </w:p>
        </w:tc>
      </w:tr>
      <w:tr w:rsidR="00B36E80" w:rsidRPr="00B36E80" w:rsidTr="007D1FD6">
        <w:tc>
          <w:tcPr>
            <w:tcW w:w="1116" w:type="pct"/>
            <w:shd w:val="clear" w:color="auto" w:fill="auto"/>
            <w:vAlign w:val="center"/>
          </w:tcPr>
          <w:p w:rsidR="00B36E80" w:rsidRPr="00B36E80" w:rsidRDefault="00B36E80" w:rsidP="007D1FD6">
            <w:pPr>
              <w:keepNext/>
              <w:widowControl/>
              <w:spacing w:before="40" w:after="40"/>
              <w:jc w:val="left"/>
              <w:rPr>
                <w:rFonts w:ascii="Arial Narrow" w:eastAsia="Calibri" w:hAnsi="Arial Narrow"/>
                <w:snapToGrid/>
                <w:sz w:val="20"/>
                <w:szCs w:val="20"/>
              </w:rPr>
            </w:pPr>
            <w:r w:rsidRPr="00B36E80">
              <w:rPr>
                <w:rFonts w:ascii="Arial Narrow" w:eastAsia="Calibri" w:hAnsi="Arial Narrow"/>
                <w:snapToGrid/>
                <w:sz w:val="20"/>
                <w:szCs w:val="20"/>
              </w:rPr>
              <w:t>Co-payments</w:t>
            </w:r>
          </w:p>
        </w:tc>
        <w:tc>
          <w:tcPr>
            <w:tcW w:w="647" w:type="pct"/>
            <w:shd w:val="clear" w:color="auto" w:fill="auto"/>
            <w:vAlign w:val="center"/>
          </w:tcPr>
          <w:p w:rsidR="00B36E80" w:rsidRPr="00B36E80" w:rsidRDefault="00B36E80" w:rsidP="007D1FD6">
            <w:pPr>
              <w:keepNext/>
              <w:widowControl/>
              <w:spacing w:before="40" w:after="40"/>
              <w:jc w:val="center"/>
              <w:rPr>
                <w:rFonts w:ascii="Arial Narrow" w:eastAsia="Calibri" w:hAnsi="Arial Narrow"/>
                <w:bCs/>
                <w:snapToGrid/>
                <w:sz w:val="20"/>
                <w:szCs w:val="20"/>
              </w:rPr>
            </w:pPr>
            <w:r w:rsidRPr="00B36E80">
              <w:rPr>
                <w:rFonts w:ascii="Arial Narrow" w:eastAsia="Calibri" w:hAnsi="Arial Narrow"/>
                <w:bCs/>
                <w:snapToGrid/>
                <w:sz w:val="20"/>
                <w:szCs w:val="20"/>
              </w:rPr>
              <w:t>N/A</w:t>
            </w:r>
          </w:p>
        </w:tc>
        <w:tc>
          <w:tcPr>
            <w:tcW w:w="647" w:type="pct"/>
            <w:shd w:val="clear" w:color="auto" w:fill="auto"/>
            <w:vAlign w:val="center"/>
          </w:tcPr>
          <w:p w:rsidR="00B36E80" w:rsidRPr="00B36E80" w:rsidRDefault="00B36E80" w:rsidP="007D1FD6">
            <w:pPr>
              <w:keepNext/>
              <w:widowControl/>
              <w:spacing w:before="40" w:after="40"/>
              <w:jc w:val="center"/>
              <w:rPr>
                <w:rFonts w:ascii="Arial Narrow" w:eastAsia="Calibri" w:hAnsi="Arial Narrow"/>
                <w:bCs/>
                <w:snapToGrid/>
                <w:sz w:val="20"/>
                <w:szCs w:val="20"/>
              </w:rPr>
            </w:pPr>
            <w:r w:rsidRPr="00B36E80">
              <w:rPr>
                <w:rFonts w:ascii="Arial Narrow" w:eastAsia="Calibri" w:hAnsi="Arial Narrow"/>
                <w:bCs/>
                <w:snapToGrid/>
                <w:sz w:val="20"/>
                <w:szCs w:val="20"/>
              </w:rPr>
              <w:t>N/A</w:t>
            </w:r>
          </w:p>
        </w:tc>
        <w:tc>
          <w:tcPr>
            <w:tcW w:w="647" w:type="pct"/>
            <w:shd w:val="clear" w:color="auto" w:fill="auto"/>
            <w:vAlign w:val="center"/>
          </w:tcPr>
          <w:p w:rsidR="00B36E80" w:rsidRPr="00B36E80" w:rsidRDefault="00B36E80" w:rsidP="007D1FD6">
            <w:pPr>
              <w:keepNext/>
              <w:widowControl/>
              <w:spacing w:before="40" w:after="40"/>
              <w:jc w:val="center"/>
              <w:rPr>
                <w:rFonts w:ascii="Arial Narrow" w:eastAsia="Calibri" w:hAnsi="Arial Narrow"/>
                <w:bCs/>
                <w:snapToGrid/>
                <w:sz w:val="20"/>
                <w:szCs w:val="20"/>
              </w:rPr>
            </w:pPr>
            <w:r w:rsidRPr="00B36E80">
              <w:rPr>
                <w:rFonts w:ascii="Arial Narrow" w:eastAsia="Calibri" w:hAnsi="Arial Narrow"/>
                <w:bCs/>
                <w:snapToGrid/>
                <w:sz w:val="20"/>
                <w:szCs w:val="20"/>
              </w:rPr>
              <w:t>N/A</w:t>
            </w:r>
          </w:p>
        </w:tc>
        <w:tc>
          <w:tcPr>
            <w:tcW w:w="647" w:type="pct"/>
            <w:shd w:val="clear" w:color="auto" w:fill="auto"/>
            <w:vAlign w:val="center"/>
          </w:tcPr>
          <w:p w:rsidR="00B36E80" w:rsidRPr="00B36E80" w:rsidRDefault="00B36E80" w:rsidP="007D1FD6">
            <w:pPr>
              <w:keepNext/>
              <w:widowControl/>
              <w:spacing w:before="40" w:after="40"/>
              <w:jc w:val="center"/>
              <w:rPr>
                <w:rFonts w:ascii="Arial Narrow" w:eastAsia="Calibri" w:hAnsi="Arial Narrow"/>
                <w:bCs/>
                <w:snapToGrid/>
                <w:sz w:val="20"/>
                <w:szCs w:val="20"/>
              </w:rPr>
            </w:pPr>
            <w:r w:rsidRPr="00B36E80">
              <w:rPr>
                <w:rFonts w:ascii="Arial Narrow" w:eastAsia="Calibri" w:hAnsi="Arial Narrow"/>
                <w:bCs/>
                <w:snapToGrid/>
                <w:sz w:val="20"/>
                <w:szCs w:val="20"/>
              </w:rPr>
              <w:t>N/A</w:t>
            </w:r>
          </w:p>
        </w:tc>
        <w:tc>
          <w:tcPr>
            <w:tcW w:w="647" w:type="pct"/>
            <w:shd w:val="clear" w:color="auto" w:fill="auto"/>
            <w:vAlign w:val="center"/>
          </w:tcPr>
          <w:p w:rsidR="00B36E80" w:rsidRPr="00B36E80" w:rsidRDefault="00B36E80" w:rsidP="007D1FD6">
            <w:pPr>
              <w:keepNext/>
              <w:widowControl/>
              <w:spacing w:before="40" w:after="40"/>
              <w:jc w:val="center"/>
              <w:rPr>
                <w:rFonts w:ascii="Arial Narrow" w:eastAsia="Calibri" w:hAnsi="Arial Narrow"/>
                <w:bCs/>
                <w:snapToGrid/>
                <w:sz w:val="20"/>
                <w:szCs w:val="20"/>
              </w:rPr>
            </w:pPr>
            <w:r w:rsidRPr="00B36E80">
              <w:rPr>
                <w:rFonts w:ascii="Arial Narrow" w:eastAsia="Calibri" w:hAnsi="Arial Narrow"/>
                <w:bCs/>
                <w:snapToGrid/>
                <w:sz w:val="20"/>
                <w:szCs w:val="20"/>
              </w:rPr>
              <w:t>N/A</w:t>
            </w:r>
          </w:p>
        </w:tc>
        <w:tc>
          <w:tcPr>
            <w:tcW w:w="649" w:type="pct"/>
            <w:vAlign w:val="center"/>
          </w:tcPr>
          <w:p w:rsidR="00B36E80" w:rsidRPr="00B36E80" w:rsidRDefault="00B36E80" w:rsidP="007D1FD6">
            <w:pPr>
              <w:keepNext/>
              <w:widowControl/>
              <w:spacing w:before="40" w:after="40"/>
              <w:jc w:val="center"/>
              <w:rPr>
                <w:rFonts w:ascii="Arial Narrow" w:eastAsia="Calibri" w:hAnsi="Arial Narrow"/>
                <w:bCs/>
                <w:snapToGrid/>
                <w:sz w:val="20"/>
                <w:szCs w:val="20"/>
              </w:rPr>
            </w:pPr>
            <w:r w:rsidRPr="00B36E80">
              <w:rPr>
                <w:rFonts w:ascii="Arial Narrow" w:eastAsia="Calibri" w:hAnsi="Arial Narrow"/>
                <w:bCs/>
                <w:snapToGrid/>
                <w:sz w:val="20"/>
                <w:szCs w:val="20"/>
              </w:rPr>
              <w:t>N/A</w:t>
            </w:r>
          </w:p>
        </w:tc>
      </w:tr>
      <w:tr w:rsidR="00B36E80" w:rsidRPr="00B36E80" w:rsidTr="007D1FD6">
        <w:tc>
          <w:tcPr>
            <w:tcW w:w="1116" w:type="pct"/>
            <w:shd w:val="clear" w:color="auto" w:fill="auto"/>
            <w:vAlign w:val="center"/>
          </w:tcPr>
          <w:p w:rsidR="00B36E80" w:rsidRPr="00B36E80" w:rsidRDefault="00B36E80" w:rsidP="007D1FD6">
            <w:pPr>
              <w:keepNext/>
              <w:widowControl/>
              <w:spacing w:before="40" w:after="40"/>
              <w:jc w:val="left"/>
              <w:rPr>
                <w:rFonts w:ascii="Arial Narrow" w:eastAsia="Calibri" w:hAnsi="Arial Narrow"/>
                <w:snapToGrid/>
                <w:sz w:val="20"/>
                <w:szCs w:val="20"/>
              </w:rPr>
            </w:pPr>
            <w:r w:rsidRPr="00B36E80">
              <w:rPr>
                <w:rFonts w:ascii="Arial Narrow" w:eastAsia="Calibri" w:hAnsi="Arial Narrow"/>
                <w:snapToGrid/>
                <w:sz w:val="20"/>
                <w:szCs w:val="20"/>
              </w:rPr>
              <w:t>Cost offsets for substituted therapies</w:t>
            </w:r>
          </w:p>
        </w:tc>
        <w:tc>
          <w:tcPr>
            <w:tcW w:w="647" w:type="pct"/>
            <w:shd w:val="clear" w:color="auto" w:fill="auto"/>
            <w:vAlign w:val="center"/>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-$976,282</w:t>
            </w:r>
          </w:p>
        </w:tc>
        <w:tc>
          <w:tcPr>
            <w:tcW w:w="647" w:type="pct"/>
            <w:shd w:val="clear" w:color="auto" w:fill="auto"/>
            <w:vAlign w:val="center"/>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-$4,937,146</w:t>
            </w:r>
          </w:p>
        </w:tc>
        <w:tc>
          <w:tcPr>
            <w:tcW w:w="647" w:type="pct"/>
            <w:shd w:val="clear" w:color="auto" w:fill="auto"/>
            <w:vAlign w:val="center"/>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-$8,810,946</w:t>
            </w:r>
          </w:p>
        </w:tc>
        <w:tc>
          <w:tcPr>
            <w:tcW w:w="647" w:type="pct"/>
            <w:shd w:val="clear" w:color="auto" w:fill="auto"/>
            <w:vAlign w:val="center"/>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-$11,879,018</w:t>
            </w:r>
          </w:p>
        </w:tc>
        <w:tc>
          <w:tcPr>
            <w:tcW w:w="647" w:type="pct"/>
            <w:shd w:val="clear" w:color="auto" w:fill="auto"/>
            <w:vAlign w:val="center"/>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-$12,010,082</w:t>
            </w:r>
          </w:p>
        </w:tc>
        <w:tc>
          <w:tcPr>
            <w:tcW w:w="649" w:type="pct"/>
            <w:vAlign w:val="center"/>
          </w:tcPr>
          <w:p w:rsidR="00B36E80" w:rsidRPr="00B36E80" w:rsidRDefault="00B36E80" w:rsidP="007D1FD6">
            <w:pPr>
              <w:ind w:left="-50" w:right="-56"/>
              <w:jc w:val="center"/>
              <w:rPr>
                <w:rFonts w:ascii="Arial Narrow" w:hAnsi="Arial Narrow"/>
                <w:sz w:val="20"/>
                <w:szCs w:val="20"/>
              </w:rPr>
            </w:pPr>
            <w:r w:rsidRPr="00B36E80">
              <w:rPr>
                <w:rFonts w:ascii="Arial Narrow" w:hAnsi="Arial Narrow"/>
                <w:sz w:val="20"/>
                <w:szCs w:val="20"/>
              </w:rPr>
              <w:t>-$12,141,123</w:t>
            </w:r>
          </w:p>
        </w:tc>
      </w:tr>
      <w:tr w:rsidR="00B36E80" w:rsidRPr="00B36E80" w:rsidTr="007D1FD6">
        <w:tc>
          <w:tcPr>
            <w:tcW w:w="5000" w:type="pct"/>
            <w:gridSpan w:val="7"/>
            <w:shd w:val="clear" w:color="auto" w:fill="auto"/>
            <w:vAlign w:val="center"/>
          </w:tcPr>
          <w:p w:rsidR="00B36E80" w:rsidRPr="00B36E80" w:rsidRDefault="00B36E80" w:rsidP="007D1FD6">
            <w:pPr>
              <w:keepNext/>
              <w:widowControl/>
              <w:spacing w:before="40" w:after="40"/>
              <w:jc w:val="left"/>
              <w:rPr>
                <w:rFonts w:ascii="Arial Narrow" w:eastAsia="Calibri" w:hAnsi="Arial Narrow"/>
                <w:b/>
                <w:bCs/>
                <w:snapToGrid/>
                <w:sz w:val="20"/>
                <w:szCs w:val="20"/>
              </w:rPr>
            </w:pPr>
            <w:r w:rsidRPr="00B36E80">
              <w:rPr>
                <w:rFonts w:ascii="Arial Narrow" w:eastAsia="Calibri" w:hAnsi="Arial Narrow"/>
                <w:b/>
                <w:bCs/>
                <w:snapToGrid/>
                <w:sz w:val="20"/>
                <w:szCs w:val="20"/>
              </w:rPr>
              <w:t>Net financial implications</w:t>
            </w:r>
          </w:p>
        </w:tc>
      </w:tr>
      <w:tr w:rsidR="00B36E80" w:rsidRPr="00B36E80" w:rsidTr="007D1FD6">
        <w:tc>
          <w:tcPr>
            <w:tcW w:w="1116" w:type="pct"/>
            <w:shd w:val="clear" w:color="auto" w:fill="auto"/>
            <w:vAlign w:val="center"/>
          </w:tcPr>
          <w:p w:rsidR="00B36E80" w:rsidRPr="00B36E80" w:rsidRDefault="00B36E80" w:rsidP="007D1FD6">
            <w:pPr>
              <w:keepNext/>
              <w:widowControl/>
              <w:spacing w:before="40" w:after="40"/>
              <w:jc w:val="left"/>
              <w:rPr>
                <w:rFonts w:ascii="Arial Narrow" w:eastAsia="Calibri" w:hAnsi="Arial Narrow"/>
                <w:snapToGrid/>
                <w:sz w:val="20"/>
                <w:szCs w:val="20"/>
              </w:rPr>
            </w:pPr>
            <w:r w:rsidRPr="00B36E80">
              <w:rPr>
                <w:rFonts w:ascii="Arial Narrow" w:eastAsia="Calibri" w:hAnsi="Arial Narrow"/>
                <w:snapToGrid/>
                <w:sz w:val="20"/>
                <w:szCs w:val="20"/>
              </w:rPr>
              <w:t>Net cost to PBS/RPBS</w:t>
            </w:r>
          </w:p>
        </w:tc>
        <w:tc>
          <w:tcPr>
            <w:tcW w:w="647" w:type="pct"/>
            <w:shd w:val="clear" w:color="auto" w:fill="auto"/>
            <w:vAlign w:val="bottom"/>
          </w:tcPr>
          <w:p w:rsidR="00B36E80" w:rsidRPr="00B36E80" w:rsidRDefault="00B36E80" w:rsidP="007D1FD6">
            <w:pPr>
              <w:ind w:left="-50" w:right="-56"/>
              <w:jc w:val="center"/>
              <w:rPr>
                <w:rFonts w:ascii="Arial Narrow" w:hAnsi="Arial Narrow"/>
                <w:b/>
                <w:sz w:val="20"/>
                <w:szCs w:val="20"/>
              </w:rPr>
            </w:pPr>
            <w:r w:rsidRPr="00B36E80">
              <w:rPr>
                <w:rFonts w:ascii="Arial Narrow" w:hAnsi="Arial Narrow"/>
                <w:b/>
                <w:sz w:val="20"/>
                <w:szCs w:val="20"/>
              </w:rPr>
              <w:t>$</w:t>
            </w:r>
            <w:r w:rsidR="00464910">
              <w:rPr>
                <w:rFonts w:ascii="Arial Narrow" w:hAnsi="Arial Narrow"/>
                <w:b/>
                <w:noProof/>
                <w:color w:val="000000"/>
                <w:sz w:val="20"/>
                <w:szCs w:val="20"/>
                <w:highlight w:val="black"/>
              </w:rPr>
              <w:t>''''''''''''''''''''</w:t>
            </w:r>
          </w:p>
        </w:tc>
        <w:tc>
          <w:tcPr>
            <w:tcW w:w="647" w:type="pct"/>
            <w:shd w:val="clear" w:color="auto" w:fill="auto"/>
            <w:vAlign w:val="bottom"/>
          </w:tcPr>
          <w:p w:rsidR="00B36E80" w:rsidRPr="00B36E80" w:rsidRDefault="00B36E80" w:rsidP="007D1FD6">
            <w:pPr>
              <w:ind w:left="-50" w:right="-56"/>
              <w:jc w:val="center"/>
              <w:rPr>
                <w:rFonts w:ascii="Arial Narrow" w:hAnsi="Arial Narrow"/>
                <w:b/>
                <w:sz w:val="20"/>
                <w:szCs w:val="20"/>
              </w:rPr>
            </w:pPr>
            <w:r w:rsidRPr="00B36E80">
              <w:rPr>
                <w:rFonts w:ascii="Arial Narrow" w:hAnsi="Arial Narrow"/>
                <w:b/>
                <w:sz w:val="20"/>
                <w:szCs w:val="20"/>
              </w:rPr>
              <w:t>$</w:t>
            </w:r>
            <w:r w:rsidR="00464910">
              <w:rPr>
                <w:rFonts w:ascii="Arial Narrow" w:hAnsi="Arial Narrow"/>
                <w:b/>
                <w:noProof/>
                <w:color w:val="000000"/>
                <w:sz w:val="20"/>
                <w:szCs w:val="20"/>
                <w:highlight w:val="black"/>
              </w:rPr>
              <w:t>'''''''''''''''''''</w:t>
            </w:r>
          </w:p>
        </w:tc>
        <w:tc>
          <w:tcPr>
            <w:tcW w:w="647" w:type="pct"/>
            <w:shd w:val="clear" w:color="auto" w:fill="auto"/>
            <w:vAlign w:val="bottom"/>
          </w:tcPr>
          <w:p w:rsidR="00B36E80" w:rsidRPr="00B36E80" w:rsidRDefault="00B36E80" w:rsidP="007D1FD6">
            <w:pPr>
              <w:ind w:left="-50" w:right="-56"/>
              <w:jc w:val="center"/>
              <w:rPr>
                <w:rFonts w:ascii="Arial Narrow" w:hAnsi="Arial Narrow"/>
                <w:b/>
                <w:sz w:val="20"/>
                <w:szCs w:val="20"/>
              </w:rPr>
            </w:pPr>
            <w:r w:rsidRPr="00B36E80">
              <w:rPr>
                <w:rFonts w:ascii="Arial Narrow" w:hAnsi="Arial Narrow"/>
                <w:b/>
                <w:sz w:val="20"/>
                <w:szCs w:val="20"/>
              </w:rPr>
              <w:t>$</w:t>
            </w:r>
            <w:r w:rsidR="00464910">
              <w:rPr>
                <w:rFonts w:ascii="Arial Narrow" w:hAnsi="Arial Narrow"/>
                <w:b/>
                <w:noProof/>
                <w:color w:val="000000"/>
                <w:sz w:val="20"/>
                <w:szCs w:val="20"/>
                <w:highlight w:val="black"/>
              </w:rPr>
              <w:t>'''''''''''''''''''''</w:t>
            </w:r>
          </w:p>
        </w:tc>
        <w:tc>
          <w:tcPr>
            <w:tcW w:w="647" w:type="pct"/>
            <w:shd w:val="clear" w:color="auto" w:fill="auto"/>
            <w:vAlign w:val="bottom"/>
          </w:tcPr>
          <w:p w:rsidR="00B36E80" w:rsidRPr="00B36E80" w:rsidRDefault="00B36E80" w:rsidP="007D1FD6">
            <w:pPr>
              <w:ind w:left="-50" w:right="-56"/>
              <w:jc w:val="center"/>
              <w:rPr>
                <w:rFonts w:ascii="Arial Narrow" w:hAnsi="Arial Narrow"/>
                <w:b/>
                <w:sz w:val="20"/>
                <w:szCs w:val="20"/>
              </w:rPr>
            </w:pPr>
            <w:r w:rsidRPr="00B36E80">
              <w:rPr>
                <w:rFonts w:ascii="Arial Narrow" w:hAnsi="Arial Narrow"/>
                <w:b/>
                <w:sz w:val="20"/>
                <w:szCs w:val="20"/>
              </w:rPr>
              <w:t>$</w:t>
            </w:r>
            <w:r w:rsidR="00464910">
              <w:rPr>
                <w:rFonts w:ascii="Arial Narrow" w:hAnsi="Arial Narrow"/>
                <w:b/>
                <w:noProof/>
                <w:color w:val="000000"/>
                <w:sz w:val="20"/>
                <w:szCs w:val="20"/>
                <w:highlight w:val="black"/>
              </w:rPr>
              <w:t>''''''''''''''''''''''</w:t>
            </w:r>
          </w:p>
        </w:tc>
        <w:tc>
          <w:tcPr>
            <w:tcW w:w="647" w:type="pct"/>
            <w:shd w:val="clear" w:color="auto" w:fill="auto"/>
            <w:vAlign w:val="bottom"/>
          </w:tcPr>
          <w:p w:rsidR="00B36E80" w:rsidRPr="00B36E80" w:rsidRDefault="00B36E80" w:rsidP="007D1FD6">
            <w:pPr>
              <w:ind w:left="-50" w:right="-56"/>
              <w:jc w:val="center"/>
              <w:rPr>
                <w:rFonts w:ascii="Arial Narrow" w:hAnsi="Arial Narrow"/>
                <w:b/>
                <w:sz w:val="20"/>
                <w:szCs w:val="20"/>
              </w:rPr>
            </w:pPr>
            <w:r w:rsidRPr="00B36E80">
              <w:rPr>
                <w:rFonts w:ascii="Arial Narrow" w:hAnsi="Arial Narrow"/>
                <w:b/>
                <w:sz w:val="20"/>
                <w:szCs w:val="20"/>
              </w:rPr>
              <w:t>$</w:t>
            </w:r>
            <w:r w:rsidR="00464910">
              <w:rPr>
                <w:rFonts w:ascii="Arial Narrow" w:hAnsi="Arial Narrow"/>
                <w:b/>
                <w:noProof/>
                <w:color w:val="000000"/>
                <w:sz w:val="20"/>
                <w:szCs w:val="20"/>
                <w:highlight w:val="black"/>
              </w:rPr>
              <w:t>''''''''''''''''''''</w:t>
            </w:r>
          </w:p>
        </w:tc>
        <w:tc>
          <w:tcPr>
            <w:tcW w:w="649" w:type="pct"/>
            <w:vAlign w:val="bottom"/>
          </w:tcPr>
          <w:p w:rsidR="00B36E80" w:rsidRPr="00B36E80" w:rsidRDefault="00B36E80" w:rsidP="007D1FD6">
            <w:pPr>
              <w:ind w:left="-50" w:right="-56"/>
              <w:jc w:val="center"/>
              <w:rPr>
                <w:rFonts w:ascii="Arial Narrow" w:hAnsi="Arial Narrow"/>
                <w:b/>
                <w:sz w:val="20"/>
                <w:szCs w:val="20"/>
              </w:rPr>
            </w:pPr>
            <w:r w:rsidRPr="00B36E80">
              <w:rPr>
                <w:rFonts w:ascii="Arial Narrow" w:hAnsi="Arial Narrow"/>
                <w:b/>
                <w:sz w:val="20"/>
                <w:szCs w:val="20"/>
              </w:rPr>
              <w:t>$</w:t>
            </w:r>
            <w:r w:rsidR="00464910">
              <w:rPr>
                <w:rFonts w:ascii="Arial Narrow" w:hAnsi="Arial Narrow"/>
                <w:b/>
                <w:noProof/>
                <w:color w:val="000000"/>
                <w:sz w:val="20"/>
                <w:szCs w:val="20"/>
                <w:highlight w:val="black"/>
              </w:rPr>
              <w:t>''''''''''''''''''''</w:t>
            </w:r>
          </w:p>
        </w:tc>
      </w:tr>
    </w:tbl>
    <w:p w:rsidR="00B36E80" w:rsidRPr="00B36E80" w:rsidRDefault="00B36E80" w:rsidP="00B36E80">
      <w:pPr>
        <w:pStyle w:val="PBACHeading1"/>
        <w:rPr>
          <w:rFonts w:ascii="Arial Narrow" w:hAnsi="Arial Narrow"/>
          <w:b w:val="0"/>
          <w:sz w:val="18"/>
          <w:szCs w:val="20"/>
        </w:rPr>
      </w:pPr>
      <w:r w:rsidRPr="00B36E80">
        <w:rPr>
          <w:rFonts w:ascii="Arial Narrow" w:hAnsi="Arial Narrow"/>
          <w:b w:val="0"/>
          <w:sz w:val="18"/>
          <w:szCs w:val="20"/>
        </w:rPr>
        <w:t>Source: Table 96, p192, and Table 98, p194-5 of the submission</w:t>
      </w:r>
    </w:p>
    <w:p w:rsidR="00B36E80" w:rsidRPr="003460D3" w:rsidRDefault="003460D3" w:rsidP="003460D3">
      <w:pPr>
        <w:pStyle w:val="PBACHeading1"/>
        <w:spacing w:before="120" w:after="120"/>
        <w:ind w:left="0"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The redacted table shows that at Year 6, the estimated number of patients was less than 10,000 per year, and the net cost to the PBS/RPBS was $20 - $30 million per year. </w:t>
      </w:r>
    </w:p>
    <w:p w:rsidR="00B36E80" w:rsidRPr="0006141B" w:rsidRDefault="00B36E80" w:rsidP="00B36E80">
      <w:pPr>
        <w:pStyle w:val="ListParagraph"/>
        <w:widowControl/>
        <w:numPr>
          <w:ilvl w:val="1"/>
          <w:numId w:val="2"/>
        </w:numPr>
      </w:pPr>
      <w:r w:rsidRPr="00F164E4">
        <w:lastRenderedPageBreak/>
        <w:t xml:space="preserve">PBS utilisation data are not available for the individual medication assisted therapies. The data used to inform the market share approach were drawn from the National Opioid Pharmacotherapy Statistics Annual Data (NOPSAD) snapshot day 2017 (to estimate patient numbers) which were compared with actual PBS expenditure (Medicare Australia). The estimates of utilisation and financial implications associated with listing prolonged release buprenorphine on the PBS were highly uncertain. </w:t>
      </w:r>
      <w:r w:rsidRPr="00B36E80">
        <w:t xml:space="preserve">DUSC highlighted the implicit assumptions of NOPSAD, including that the snapshot day is reflective of all days of the year, that differences between NOPSAD and PBS data are equally distributed between all therapies, and that there is no wastage. Despite these limitations, DUSC agreed with the </w:t>
      </w:r>
      <w:r w:rsidR="008E7AE1">
        <w:t>evaluation</w:t>
      </w:r>
      <w:r w:rsidRPr="00B36E80">
        <w:t xml:space="preserve"> that NOPSAD data is generally considered to be the best national estimate of the number of patients in treatment on an average day; and was not aware of a more reliable data source that could be used as a basis for estimating use. </w:t>
      </w:r>
    </w:p>
    <w:p w:rsidR="00B36E80" w:rsidRDefault="00B36E80" w:rsidP="00B36E80">
      <w:pPr>
        <w:pStyle w:val="ListParagraph"/>
        <w:widowControl/>
        <w:numPr>
          <w:ilvl w:val="1"/>
          <w:numId w:val="2"/>
        </w:numPr>
      </w:pPr>
      <w:r w:rsidRPr="00877F21">
        <w:t xml:space="preserve">The overall market for medication assisted treatment for opioid use disorder for the first six years of listing was estimated by linear extrapolation of the NOPSAD data (2012-2017), assuming no additional increase in market size due to the listing of prolonged release buprenorphine. </w:t>
      </w:r>
      <w:r w:rsidRPr="00B36E80">
        <w:t xml:space="preserve">Based on the trend, DUSC considered a linear extrapolation might not have been the most appropriate projection. DUSC also considered that additional market growth beyond the projections would be possible as a result of listing prolonged release buprenorphine; as a significant proportion of patients with opioid use disorder are currently untreated. Some of these patients may be unwilling to seek treatment due to social stigma associated with the current pharmacy-based model, particularly as the demographics of opioid misuse are changing, with increasing misuse of prescription opioids in place of illicit opioids. DUSC was of the view that if a practice model were adopted that was primarily GP based, there may be patients with untreated opioid use disorder who may seek treatment due to increased acceptability of the practice model and convenience of monthly dosing. </w:t>
      </w:r>
    </w:p>
    <w:p w:rsidR="00B36E80" w:rsidRDefault="00B36E80" w:rsidP="00B36E80">
      <w:pPr>
        <w:pStyle w:val="ListParagraph"/>
        <w:widowControl/>
        <w:numPr>
          <w:ilvl w:val="1"/>
          <w:numId w:val="2"/>
        </w:numPr>
      </w:pPr>
      <w:r w:rsidRPr="0006141B">
        <w:t>The actual PBS expenditure was found to be significantly lower than the predicted expenditure based on the patient numbers in the NOPSAD data (by a factor of 0.64). It was unclear why the PBS expenditure was lower than the predicted expenditure based on patient numbers. The financial estimates rely heavily on the relationship between these two data sources, with the lower expenditure entirely attributed to reduced compliance.</w:t>
      </w:r>
    </w:p>
    <w:p w:rsidR="00B36E80" w:rsidRPr="00B36E80" w:rsidRDefault="00B36E80" w:rsidP="008E7AE1">
      <w:pPr>
        <w:pStyle w:val="ListParagraph"/>
        <w:widowControl/>
        <w:numPr>
          <w:ilvl w:val="1"/>
          <w:numId w:val="2"/>
        </w:numPr>
      </w:pPr>
      <w:r w:rsidRPr="00E26760">
        <w:t>The PSCR justified the application of this compliance factor as an adjustment for the discrepancy in actual PBS expenditure versus expenditure derived from the number of patients per NOPSAD data. While the factor was labelled “compliance”, the sponsor acknowledged that this discrepancy could be due to com</w:t>
      </w:r>
      <w:r>
        <w:t>pliance, dose or other factors.</w:t>
      </w:r>
      <w:r w:rsidRPr="00B36E80">
        <w:t xml:space="preserve"> DUSC</w:t>
      </w:r>
      <w:r w:rsidR="008E7AE1">
        <w:t xml:space="preserve"> considered</w:t>
      </w:r>
      <w:r w:rsidRPr="00B36E80">
        <w:t xml:space="preserve"> that the compliance factor of 0.64 was unreliable, given the differences in mode of action and route of administration between treatments. </w:t>
      </w:r>
    </w:p>
    <w:p w:rsidR="00B36E80" w:rsidRPr="00877F21" w:rsidRDefault="00B36E80" w:rsidP="00B36E80">
      <w:pPr>
        <w:pStyle w:val="ListParagraph"/>
        <w:widowControl/>
        <w:numPr>
          <w:ilvl w:val="1"/>
          <w:numId w:val="2"/>
        </w:numPr>
      </w:pPr>
      <w:r w:rsidRPr="0034048B">
        <w:lastRenderedPageBreak/>
        <w:t xml:space="preserve">The submission further adjusted the estimated cost of prolonged release buprenorphine for a claimed improvement in treatment retention modelled in the cost effectiveness analysis. Based on the ratio of time spent in adherent health </w:t>
      </w:r>
      <w:r w:rsidRPr="0082476C">
        <w:t>states</w:t>
      </w:r>
      <w:r w:rsidRPr="0034048B">
        <w:t xml:space="preserve"> between prolonged release buprenorphine and sublingual buprenorphine/naloxone treatment regimens in the economic model, an additional factor of 1.7 was applied to the cost per patient per year (0.64 × 1.7 = 1.088); i.e. 1.7 weeks of prolonged release buprenorphine treatment for every week of sublingual buprenorphine, sublingual buprenorphine/naloxone or methadone treatment. The derivation and application of the retention benefit in the economic model was associated with significant uncertainty, and likely overestimated any retention benefit associated with prolonged release buprenorphine. As a result</w:t>
      </w:r>
      <w:r>
        <w:t>,</w:t>
      </w:r>
      <w:r w:rsidRPr="0034048B">
        <w:t xml:space="preserve"> this is likely to have substantially overestimated</w:t>
      </w:r>
      <w:r>
        <w:t xml:space="preserve"> the</w:t>
      </w:r>
      <w:r w:rsidRPr="0034048B">
        <w:t xml:space="preserve"> cost of listing prolonged release buprenorphine on the PBS. </w:t>
      </w:r>
      <w:r w:rsidRPr="00B36E80">
        <w:t xml:space="preserve">DUSC further noted that the population in the key clinical trials differed from Australian practice, including that patients were unsupervised between doses, and that patients were compensated for time and expenses. These factors made the retention benefit unreliable. </w:t>
      </w:r>
    </w:p>
    <w:p w:rsidR="00B36E80" w:rsidRPr="00491FD2" w:rsidRDefault="00B36E80" w:rsidP="00B36E80">
      <w:pPr>
        <w:pStyle w:val="ListParagraph"/>
        <w:widowControl/>
        <w:numPr>
          <w:ilvl w:val="1"/>
          <w:numId w:val="2"/>
        </w:numPr>
      </w:pPr>
      <w:r>
        <w:t xml:space="preserve">The </w:t>
      </w:r>
      <w:r w:rsidRPr="00491FD2">
        <w:t>estimated financial implications of listing prolonged release buprenorphine on the PBS were most sensitive to the assumed uptake rate.</w:t>
      </w:r>
      <w:r w:rsidRPr="00BC2242">
        <w:t xml:space="preserve"> The </w:t>
      </w:r>
      <w:r w:rsidR="009E3AAF">
        <w:t>PSCR</w:t>
      </w:r>
      <w:r>
        <w:t xml:space="preserve"> </w:t>
      </w:r>
      <w:r w:rsidRPr="00BC2242">
        <w:t>commented that modest uptake of 10% was applied given the potential challenges with infrastructure, distribution, limited switching from methadone and treatment adoption.</w:t>
      </w:r>
      <w:r>
        <w:t xml:space="preserve"> </w:t>
      </w:r>
      <w:r w:rsidRPr="00B36E80">
        <w:t xml:space="preserve">DUSC considered there was no justification for why the uptake would cease to increase after Year 3. In the context of a product claiming superior effectiveness, it is unusual that the estimated uptake would be as low as 0.85% to 10% per annum. </w:t>
      </w:r>
    </w:p>
    <w:p w:rsidR="00B36E80" w:rsidRPr="005A3402" w:rsidRDefault="00B36E80" w:rsidP="00B36E80">
      <w:pPr>
        <w:pStyle w:val="ListParagraph"/>
        <w:widowControl/>
        <w:numPr>
          <w:ilvl w:val="1"/>
          <w:numId w:val="2"/>
        </w:numPr>
      </w:pPr>
      <w:r w:rsidRPr="005A3402">
        <w:t>The submission assumed that costs associated with administration and management of opioid use disorder would be similar between treatments and assumed negligible changes to the MBS. Given the requirement for prolonged release bu</w:t>
      </w:r>
      <w:r>
        <w:t>prenorphine to be administered</w:t>
      </w:r>
      <w:r w:rsidRPr="005A3402">
        <w:t xml:space="preserve"> by a health professional at least monthly (and weekly in some patients), there is likely to be an MBS cost associated. </w:t>
      </w:r>
      <w:r w:rsidRPr="00B36E80">
        <w:t xml:space="preserve">DUSC considered that this would particularly be evident in the stabilisation phase, where patients would have more regular GP consultations. </w:t>
      </w:r>
    </w:p>
    <w:p w:rsidR="00B36E80" w:rsidRPr="005A3402" w:rsidRDefault="00B36E80" w:rsidP="00B36E80">
      <w:pPr>
        <w:pStyle w:val="ListParagraph"/>
        <w:widowControl/>
        <w:numPr>
          <w:ilvl w:val="1"/>
          <w:numId w:val="2"/>
        </w:numPr>
      </w:pPr>
      <w:r w:rsidRPr="006D65CD">
        <w:t xml:space="preserve">The rates of substitution from other MAT to prolonged released buprenorphine are likely to be impacted significantly by the practice model adopted for this product, such as whether the product can be supplied through a patient’s usual dispensing site or whether access will be limited to use in alcohol and drug treatment clinics or other public or private health clinics. As the submission did not propose a mechanism by which this listing could be implemented within existing frameworks, the impact of the implementation approach </w:t>
      </w:r>
      <w:r>
        <w:t>is</w:t>
      </w:r>
      <w:r w:rsidRPr="006D65CD">
        <w:t xml:space="preserve"> not able to be determined in the context of utilisation and financial implications.</w:t>
      </w:r>
      <w:r w:rsidRPr="00B36E80">
        <w:t xml:space="preserve"> DUSC considered that displacement of existing medication assisted treatments for opioid use disorder is uncertain and is likely to depend upon the adequate resolution of the quality use of medicines issues outlined below, the TGA’s advice on how to initiate treatment, and the private fees charged to patients for accessing prolonged release buprenorphine. </w:t>
      </w:r>
    </w:p>
    <w:p w:rsidR="008314EE" w:rsidRDefault="00B36E80" w:rsidP="00FE67B4">
      <w:pPr>
        <w:pStyle w:val="ListParagraph"/>
        <w:widowControl/>
        <w:numPr>
          <w:ilvl w:val="1"/>
          <w:numId w:val="2"/>
        </w:numPr>
      </w:pPr>
      <w:r w:rsidRPr="005A3402">
        <w:lastRenderedPageBreak/>
        <w:t>Overall, the estimated cost of listing prolonged release buprenorphine on the PBS was uncertain and most likely underestimated, and the costs of listing may be higher than estimated in the submission if uptake of prolonged release buprenorphine is higher than assumed.</w:t>
      </w:r>
    </w:p>
    <w:p w:rsidR="00576972" w:rsidRPr="008E7AE1" w:rsidRDefault="00576972" w:rsidP="00B737AB">
      <w:pPr>
        <w:pStyle w:val="Heading2"/>
      </w:pPr>
      <w:r w:rsidRPr="008E7AE1">
        <w:t>Quality Use of Medicines</w:t>
      </w:r>
      <w:bookmarkEnd w:id="15"/>
    </w:p>
    <w:p w:rsidR="009E3AAF" w:rsidRDefault="009E3AAF" w:rsidP="009E3AAF">
      <w:pPr>
        <w:pStyle w:val="ListParagraph"/>
        <w:widowControl/>
        <w:numPr>
          <w:ilvl w:val="1"/>
          <w:numId w:val="2"/>
        </w:numPr>
      </w:pPr>
      <w:r w:rsidRPr="00241E38">
        <w:t>No quality use of medicines issues we</w:t>
      </w:r>
      <w:r>
        <w:t>re identified in the submission.</w:t>
      </w:r>
      <w:r w:rsidRPr="00241E38">
        <w:t xml:space="preserve"> </w:t>
      </w:r>
      <w:r w:rsidRPr="002A40FB">
        <w:t>A range of</w:t>
      </w:r>
      <w:r>
        <w:t xml:space="preserve"> QUM </w:t>
      </w:r>
      <w:r w:rsidRPr="002A40FB">
        <w:t>issues were identified through the evaluation and by DUSC</w:t>
      </w:r>
      <w:r>
        <w:t xml:space="preserve">, with no accompanying QUM plan provided by the sponsor. The resolution of these QUM issues is critical for estimating utilisation of prolonged release buprenorphine in practice and is likely to influence whether this product would be prescribed in place of currently available opioid substitution therapies. </w:t>
      </w:r>
    </w:p>
    <w:p w:rsidR="009E3AAF" w:rsidRDefault="009E3AAF" w:rsidP="009E3AAF">
      <w:pPr>
        <w:pStyle w:val="ListParagraph"/>
        <w:widowControl/>
        <w:numPr>
          <w:ilvl w:val="1"/>
          <w:numId w:val="2"/>
        </w:numPr>
      </w:pPr>
      <w:r w:rsidRPr="00241E38">
        <w:t>Given the long acting formulation of prolonged release buprenorphine, it may be difficult to reverse the opioid effects in emergency situations, including accidental overdose.</w:t>
      </w:r>
      <w:r w:rsidRPr="009E3AAF">
        <w:t xml:space="preserve"> DUSC also highlighted that under the current opioid substitution model, if a patient presents at a dispensing site for a daily dose whilst intoxicated with alcohol or other drugs, the daily dose of methadone/buprenorphine is withheld. However, due to the long acting formulation of prolonged release buprenorphine, there is a decreased ability for health practitioners to manage the risk of CNS depression in patients engaging in </w:t>
      </w:r>
      <w:proofErr w:type="spellStart"/>
      <w:r w:rsidRPr="009E3AAF">
        <w:t>polydrug</w:t>
      </w:r>
      <w:proofErr w:type="spellEnd"/>
      <w:r w:rsidRPr="009E3AAF">
        <w:t xml:space="preserve"> use. </w:t>
      </w:r>
    </w:p>
    <w:p w:rsidR="009E3AAF" w:rsidRDefault="009E3AAF" w:rsidP="009E3AAF">
      <w:pPr>
        <w:pStyle w:val="ListParagraph"/>
        <w:widowControl/>
        <w:numPr>
          <w:ilvl w:val="1"/>
          <w:numId w:val="2"/>
        </w:numPr>
      </w:pPr>
      <w:r>
        <w:t xml:space="preserve">Evidence was provided suggesting that unsupervised dosing was as effective as supervised dosing. However, the Australian study in question excluded patients with more complex care needs. Hence, while the submission suggested that eliminating the requirement for daily dosing is a potential benefit of treatment with prolonged release buprenorphine, DUSC considered that there are some patients who may have an improved therapeutic response to opioid substitution therapies as a result of regular interaction with a healthcare </w:t>
      </w:r>
      <w:proofErr w:type="gramStart"/>
      <w:r>
        <w:t>provider.</w:t>
      </w:r>
      <w:proofErr w:type="gramEnd"/>
      <w:r>
        <w:t xml:space="preserve"> </w:t>
      </w:r>
    </w:p>
    <w:p w:rsidR="009E3AAF" w:rsidRDefault="009E3AAF" w:rsidP="009E3AAF">
      <w:pPr>
        <w:pStyle w:val="ListParagraph"/>
        <w:widowControl/>
        <w:numPr>
          <w:ilvl w:val="1"/>
          <w:numId w:val="2"/>
        </w:numPr>
      </w:pPr>
      <w:r w:rsidRPr="00241E38">
        <w:t>Patients on buprenorphine who require pain management may have specific requirements and it is unclear how this will be managed in the context of prolonged release buprenorphine. Pain management should be carefully monitored</w:t>
      </w:r>
      <w:r>
        <w:t>,</w:t>
      </w:r>
      <w:r w:rsidRPr="00241E38">
        <w:t xml:space="preserve"> since patients with opioid use disorder often have decreased pain tolerance and cross-tolerance to opioid analgesics</w:t>
      </w:r>
      <w:r>
        <w:t>,</w:t>
      </w:r>
      <w:r w:rsidRPr="00241E38">
        <w:t xml:space="preserve"> resulting in a need for higher opioid doses and shorter dosing intervals. </w:t>
      </w:r>
      <w:r w:rsidRPr="009E3AAF">
        <w:t xml:space="preserve">DUSC considered that this issue should be addressed by the sponsor in a QUM plan. </w:t>
      </w:r>
    </w:p>
    <w:p w:rsidR="009E3AAF" w:rsidRPr="000824D7" w:rsidRDefault="009E3AAF" w:rsidP="009E3AAF">
      <w:pPr>
        <w:pStyle w:val="ListParagraph"/>
        <w:widowControl/>
        <w:numPr>
          <w:ilvl w:val="1"/>
          <w:numId w:val="2"/>
        </w:numPr>
      </w:pPr>
      <w:r>
        <w:t>DUSC further considered that the safety of stopping treatment with, or weaning from, prolonged</w:t>
      </w:r>
      <w:r w:rsidR="00162ACE">
        <w:t xml:space="preserve"> release</w:t>
      </w:r>
      <w:r>
        <w:t xml:space="preserve"> buprenorphine was unclear and should be addressed.</w:t>
      </w:r>
    </w:p>
    <w:p w:rsidR="009E3AAF" w:rsidRDefault="009E3AAF" w:rsidP="009E3AAF">
      <w:pPr>
        <w:pStyle w:val="ListParagraph"/>
        <w:widowControl/>
        <w:numPr>
          <w:ilvl w:val="1"/>
          <w:numId w:val="2"/>
        </w:numPr>
      </w:pPr>
      <w:r w:rsidRPr="00241E38">
        <w:t xml:space="preserve">Five </w:t>
      </w:r>
      <w:r>
        <w:t xml:space="preserve">clinical trial </w:t>
      </w:r>
      <w:r w:rsidRPr="00241E38">
        <w:t xml:space="preserve">patients reported an injection site ulcer. These patients were enrolled at the same site; the ulcerative injection site reactions were all attributed to inappropriate injection technique by the same individual. The nature of this risk and the relevance for clinical practice is unclear. Further, the submission does not detail </w:t>
      </w:r>
      <w:r w:rsidRPr="00241E38">
        <w:lastRenderedPageBreak/>
        <w:t>any physician education programs regarding the correct injection technique required for safe administration of prolonged release buprenorphine.</w:t>
      </w:r>
      <w:r>
        <w:t xml:space="preserve"> </w:t>
      </w:r>
    </w:p>
    <w:p w:rsidR="009E3AAF" w:rsidRDefault="009E3AAF" w:rsidP="009E3AAF">
      <w:pPr>
        <w:pStyle w:val="ListParagraph"/>
        <w:widowControl/>
        <w:numPr>
          <w:ilvl w:val="1"/>
          <w:numId w:val="2"/>
        </w:numPr>
      </w:pPr>
      <w:r w:rsidRPr="00241E38">
        <w:t>It is unclear what risk would be posed to patients by intravascular injection. No human studies of the risks and effects of intravascular injection of prolonged releas</w:t>
      </w:r>
      <w:r w:rsidR="00964ACD">
        <w:t xml:space="preserve">e buprenorphine were available, however the ACM agreed that a boxed warning regarding venous occlusion on intravenous administration was appropriate.  </w:t>
      </w:r>
    </w:p>
    <w:p w:rsidR="00614E28" w:rsidRPr="00FE67B4" w:rsidRDefault="009E3AAF" w:rsidP="00FE67B4">
      <w:pPr>
        <w:pStyle w:val="ListParagraph"/>
        <w:widowControl/>
        <w:numPr>
          <w:ilvl w:val="1"/>
          <w:numId w:val="2"/>
        </w:numPr>
        <w:contextualSpacing/>
        <w:rPr>
          <w:rFonts w:eastAsia="Calibri"/>
          <w:i/>
        </w:rPr>
      </w:pPr>
      <w:r>
        <w:t xml:space="preserve">DUSC considered that the most practical model of implementation for prolonged release buprenorphine is for the product to be delivered directly to approved prescribers (predominantly GPs), who will administer doses to patients within the practice. This is a significant shift away from the current model which is predominantly delivered through community pharmacy. The capacity of GPs to deliver this service is unclear. </w:t>
      </w:r>
    </w:p>
    <w:p w:rsidR="00534286" w:rsidRPr="00727782" w:rsidRDefault="00727782" w:rsidP="00727782">
      <w:pPr>
        <w:widowControl/>
        <w:spacing w:after="160"/>
        <w:ind w:left="720"/>
        <w:rPr>
          <w:rFonts w:eastAsia="Calibri"/>
          <w:i/>
        </w:rPr>
      </w:pPr>
      <w:r w:rsidRPr="00964ACD">
        <w:rPr>
          <w:i/>
        </w:rPr>
        <w:t>For more detail on PBAC’s view, see section 7 PBAC outcome.</w:t>
      </w:r>
    </w:p>
    <w:p w:rsidR="00727782" w:rsidRPr="00727782" w:rsidRDefault="00727782" w:rsidP="00B737AB">
      <w:pPr>
        <w:pStyle w:val="Heading1"/>
      </w:pPr>
      <w:r w:rsidRPr="00727782">
        <w:t>PBAC Outcome</w:t>
      </w:r>
    </w:p>
    <w:p w:rsidR="00B779AB" w:rsidRDefault="00B44AF8" w:rsidP="009E155C">
      <w:pPr>
        <w:widowControl/>
        <w:numPr>
          <w:ilvl w:val="1"/>
          <w:numId w:val="2"/>
        </w:numPr>
        <w:spacing w:after="120"/>
        <w:rPr>
          <w:rFonts w:asciiTheme="minorHAnsi" w:hAnsiTheme="minorHAnsi"/>
          <w:bCs/>
          <w:szCs w:val="24"/>
          <w:lang w:val="en-GB"/>
        </w:rPr>
      </w:pPr>
      <w:r>
        <w:rPr>
          <w:rFonts w:asciiTheme="minorHAnsi" w:hAnsiTheme="minorHAnsi"/>
          <w:bCs/>
          <w:szCs w:val="24"/>
          <w:lang w:val="en-GB"/>
        </w:rPr>
        <w:t xml:space="preserve">The </w:t>
      </w:r>
      <w:r w:rsidR="0037043D" w:rsidRPr="0037043D">
        <w:rPr>
          <w:rFonts w:asciiTheme="minorHAnsi" w:hAnsiTheme="minorHAnsi"/>
          <w:bCs/>
          <w:szCs w:val="24"/>
          <w:lang w:val="en-GB"/>
        </w:rPr>
        <w:t xml:space="preserve">PBAC did not recommend the listing of </w:t>
      </w:r>
      <w:r w:rsidR="0037043D">
        <w:rPr>
          <w:rFonts w:asciiTheme="minorHAnsi" w:hAnsiTheme="minorHAnsi"/>
          <w:bCs/>
          <w:szCs w:val="24"/>
          <w:lang w:val="en-GB"/>
        </w:rPr>
        <w:t>buprenorphine</w:t>
      </w:r>
      <w:r w:rsidR="00BF5669">
        <w:rPr>
          <w:rFonts w:asciiTheme="minorHAnsi" w:hAnsiTheme="minorHAnsi"/>
          <w:bCs/>
          <w:szCs w:val="24"/>
          <w:lang w:val="en-GB"/>
        </w:rPr>
        <w:t xml:space="preserve">, in the form </w:t>
      </w:r>
      <w:r w:rsidR="00C8051A">
        <w:rPr>
          <w:rFonts w:asciiTheme="minorHAnsi" w:hAnsiTheme="minorHAnsi"/>
          <w:bCs/>
          <w:szCs w:val="24"/>
          <w:lang w:val="en-GB"/>
        </w:rPr>
        <w:t>prolonged release</w:t>
      </w:r>
      <w:r w:rsidR="00094AFE">
        <w:rPr>
          <w:rFonts w:asciiTheme="minorHAnsi" w:hAnsiTheme="minorHAnsi"/>
          <w:bCs/>
          <w:szCs w:val="24"/>
          <w:lang w:val="en-GB"/>
        </w:rPr>
        <w:t xml:space="preserve"> injection</w:t>
      </w:r>
      <w:r w:rsidR="00BF5669">
        <w:rPr>
          <w:rFonts w:asciiTheme="minorHAnsi" w:hAnsiTheme="minorHAnsi"/>
          <w:bCs/>
          <w:szCs w:val="24"/>
          <w:lang w:val="en-GB"/>
        </w:rPr>
        <w:t>,</w:t>
      </w:r>
      <w:r w:rsidR="0037043D" w:rsidRPr="0037043D">
        <w:rPr>
          <w:rFonts w:asciiTheme="minorHAnsi" w:hAnsiTheme="minorHAnsi"/>
          <w:bCs/>
          <w:szCs w:val="24"/>
          <w:lang w:val="en-GB"/>
        </w:rPr>
        <w:t xml:space="preserve"> for treatment of patients with </w:t>
      </w:r>
      <w:r w:rsidR="0037043D">
        <w:rPr>
          <w:rFonts w:asciiTheme="minorHAnsi" w:hAnsiTheme="minorHAnsi"/>
          <w:bCs/>
          <w:szCs w:val="24"/>
          <w:lang w:val="en-GB"/>
        </w:rPr>
        <w:t>opiate dependence</w:t>
      </w:r>
      <w:r w:rsidR="00B779AB">
        <w:rPr>
          <w:rFonts w:asciiTheme="minorHAnsi" w:hAnsiTheme="minorHAnsi"/>
          <w:bCs/>
          <w:szCs w:val="24"/>
          <w:lang w:val="en-GB"/>
        </w:rPr>
        <w:t>, on the basis that t</w:t>
      </w:r>
      <w:r w:rsidR="00B779AB" w:rsidRPr="00AE3FBC">
        <w:rPr>
          <w:rFonts w:asciiTheme="minorHAnsi" w:hAnsiTheme="minorHAnsi" w:cs="Times New Roman"/>
          <w:bCs/>
          <w:snapToGrid/>
          <w:szCs w:val="24"/>
          <w:lang w:val="en-GB"/>
        </w:rPr>
        <w:t xml:space="preserve">he claim of superior comparative effectiveness </w:t>
      </w:r>
      <w:r w:rsidR="00B779AB" w:rsidRPr="00AE3FBC">
        <w:rPr>
          <w:rFonts w:asciiTheme="minorHAnsi" w:hAnsiTheme="minorHAnsi" w:cs="Times New Roman"/>
          <w:bCs/>
          <w:snapToGrid/>
          <w:szCs w:val="24"/>
        </w:rPr>
        <w:t xml:space="preserve">was not adequately supported by the evidence provided, and therefore that </w:t>
      </w:r>
      <w:r w:rsidR="008D45C2">
        <w:rPr>
          <w:rFonts w:asciiTheme="minorHAnsi" w:hAnsiTheme="minorHAnsi" w:cs="Times New Roman"/>
          <w:bCs/>
          <w:snapToGrid/>
          <w:szCs w:val="24"/>
        </w:rPr>
        <w:t xml:space="preserve">the request for a higher price for this </w:t>
      </w:r>
      <w:r w:rsidR="00162ACE">
        <w:rPr>
          <w:rFonts w:asciiTheme="minorHAnsi" w:hAnsiTheme="minorHAnsi" w:cs="Times New Roman"/>
          <w:bCs/>
          <w:snapToGrid/>
          <w:szCs w:val="24"/>
        </w:rPr>
        <w:t>treatment</w:t>
      </w:r>
      <w:r w:rsidR="008D45C2">
        <w:rPr>
          <w:rFonts w:asciiTheme="minorHAnsi" w:hAnsiTheme="minorHAnsi" w:cs="Times New Roman"/>
          <w:bCs/>
          <w:snapToGrid/>
          <w:szCs w:val="24"/>
        </w:rPr>
        <w:t xml:space="preserve"> compared to </w:t>
      </w:r>
      <w:r w:rsidR="00B779AB" w:rsidRPr="00AE3FBC">
        <w:rPr>
          <w:rFonts w:asciiTheme="minorHAnsi" w:hAnsiTheme="minorHAnsi" w:cs="Times New Roman"/>
          <w:bCs/>
          <w:snapToGrid/>
          <w:szCs w:val="24"/>
        </w:rPr>
        <w:t xml:space="preserve">existing treatments </w:t>
      </w:r>
      <w:r w:rsidR="008D45C2">
        <w:rPr>
          <w:rFonts w:asciiTheme="minorHAnsi" w:hAnsiTheme="minorHAnsi" w:cs="Times New Roman"/>
          <w:bCs/>
          <w:snapToGrid/>
          <w:szCs w:val="24"/>
        </w:rPr>
        <w:t xml:space="preserve">for opiate dependence </w:t>
      </w:r>
      <w:r w:rsidR="00B779AB" w:rsidRPr="00AE3FBC">
        <w:rPr>
          <w:rFonts w:asciiTheme="minorHAnsi" w:hAnsiTheme="minorHAnsi" w:cs="Times New Roman"/>
          <w:bCs/>
          <w:snapToGrid/>
          <w:szCs w:val="24"/>
        </w:rPr>
        <w:t>was not justified</w:t>
      </w:r>
      <w:r w:rsidR="00B779AB" w:rsidRPr="00AE3FBC">
        <w:rPr>
          <w:rFonts w:asciiTheme="minorHAnsi" w:hAnsiTheme="minorHAnsi" w:cs="Times New Roman"/>
          <w:bCs/>
          <w:snapToGrid/>
          <w:szCs w:val="24"/>
          <w:lang w:val="en-GB"/>
        </w:rPr>
        <w:t>.</w:t>
      </w:r>
    </w:p>
    <w:p w:rsidR="0037043D" w:rsidRPr="0037043D" w:rsidRDefault="00094AFE" w:rsidP="009E155C">
      <w:pPr>
        <w:widowControl/>
        <w:numPr>
          <w:ilvl w:val="1"/>
          <w:numId w:val="2"/>
        </w:numPr>
        <w:spacing w:after="120"/>
        <w:rPr>
          <w:rFonts w:asciiTheme="minorHAnsi" w:hAnsiTheme="minorHAnsi"/>
          <w:bCs/>
          <w:szCs w:val="24"/>
          <w:lang w:val="en-GB"/>
        </w:rPr>
      </w:pPr>
      <w:r w:rsidRPr="00094AFE">
        <w:rPr>
          <w:rFonts w:asciiTheme="minorHAnsi" w:hAnsiTheme="minorHAnsi"/>
          <w:bCs/>
          <w:szCs w:val="24"/>
        </w:rPr>
        <w:t xml:space="preserve">The PBAC acknowledged that there may be additional benefits of treatment with </w:t>
      </w:r>
      <w:r w:rsidRPr="00094AFE">
        <w:rPr>
          <w:rFonts w:asciiTheme="minorHAnsi" w:hAnsiTheme="minorHAnsi"/>
          <w:bCs/>
          <w:szCs w:val="24"/>
          <w:lang w:val="en-GB"/>
        </w:rPr>
        <w:t>prolonged buprenorphine</w:t>
      </w:r>
      <w:r w:rsidRPr="00094AFE">
        <w:rPr>
          <w:rFonts w:asciiTheme="minorHAnsi" w:hAnsiTheme="minorHAnsi"/>
          <w:bCs/>
          <w:szCs w:val="24"/>
        </w:rPr>
        <w:t xml:space="preserve"> compared to existing treatments for some patients,</w:t>
      </w:r>
      <w:r w:rsidR="00B779AB">
        <w:rPr>
          <w:rFonts w:asciiTheme="minorHAnsi" w:hAnsiTheme="minorHAnsi"/>
          <w:bCs/>
          <w:szCs w:val="24"/>
        </w:rPr>
        <w:t xml:space="preserve"> </w:t>
      </w:r>
      <w:r w:rsidR="0075006F">
        <w:rPr>
          <w:rFonts w:asciiTheme="minorHAnsi" w:hAnsiTheme="minorHAnsi"/>
          <w:bCs/>
          <w:szCs w:val="24"/>
        </w:rPr>
        <w:t xml:space="preserve">including that private fees </w:t>
      </w:r>
      <w:r w:rsidR="00B33064">
        <w:rPr>
          <w:rFonts w:asciiTheme="minorHAnsi" w:hAnsiTheme="minorHAnsi"/>
          <w:bCs/>
          <w:szCs w:val="24"/>
        </w:rPr>
        <w:t xml:space="preserve">charged to </w:t>
      </w:r>
      <w:r w:rsidR="0075006F">
        <w:rPr>
          <w:rFonts w:asciiTheme="minorHAnsi" w:hAnsiTheme="minorHAnsi"/>
          <w:bCs/>
          <w:szCs w:val="24"/>
        </w:rPr>
        <w:t>patients may be lower due to reduced frequency of administration</w:t>
      </w:r>
      <w:r w:rsidR="00162ACE">
        <w:rPr>
          <w:rFonts w:asciiTheme="minorHAnsi" w:hAnsiTheme="minorHAnsi"/>
          <w:bCs/>
          <w:szCs w:val="24"/>
        </w:rPr>
        <w:t>, and noted that some of these benefits cannot be accurately quantified</w:t>
      </w:r>
      <w:r w:rsidR="00B33064">
        <w:rPr>
          <w:rFonts w:asciiTheme="minorHAnsi" w:hAnsiTheme="minorHAnsi"/>
          <w:bCs/>
          <w:szCs w:val="24"/>
        </w:rPr>
        <w:t xml:space="preserve">. </w:t>
      </w:r>
      <w:r w:rsidR="0069239B">
        <w:rPr>
          <w:rFonts w:asciiTheme="minorHAnsi" w:hAnsiTheme="minorHAnsi"/>
          <w:bCs/>
          <w:szCs w:val="24"/>
        </w:rPr>
        <w:t>Acknowledging</w:t>
      </w:r>
      <w:r w:rsidR="00425FF1">
        <w:rPr>
          <w:rFonts w:asciiTheme="minorHAnsi" w:hAnsiTheme="minorHAnsi"/>
          <w:bCs/>
          <w:szCs w:val="24"/>
        </w:rPr>
        <w:t xml:space="preserve"> the </w:t>
      </w:r>
      <w:r w:rsidR="00E56D61">
        <w:rPr>
          <w:rFonts w:asciiTheme="minorHAnsi" w:hAnsiTheme="minorHAnsi"/>
          <w:bCs/>
          <w:szCs w:val="24"/>
        </w:rPr>
        <w:t>chang</w:t>
      </w:r>
      <w:r w:rsidR="00425FF1">
        <w:rPr>
          <w:rFonts w:asciiTheme="minorHAnsi" w:hAnsiTheme="minorHAnsi"/>
          <w:bCs/>
          <w:szCs w:val="24"/>
        </w:rPr>
        <w:t>in</w:t>
      </w:r>
      <w:r w:rsidR="00E56D61">
        <w:rPr>
          <w:rFonts w:asciiTheme="minorHAnsi" w:hAnsiTheme="minorHAnsi"/>
          <w:bCs/>
          <w:szCs w:val="24"/>
        </w:rPr>
        <w:t>g</w:t>
      </w:r>
      <w:r w:rsidR="00425FF1">
        <w:rPr>
          <w:rFonts w:asciiTheme="minorHAnsi" w:hAnsiTheme="minorHAnsi"/>
          <w:bCs/>
          <w:szCs w:val="24"/>
        </w:rPr>
        <w:t xml:space="preserve"> demographics of opioid misuse</w:t>
      </w:r>
      <w:r w:rsidR="00E56D61">
        <w:rPr>
          <w:rFonts w:asciiTheme="minorHAnsi" w:hAnsiTheme="minorHAnsi"/>
          <w:bCs/>
          <w:szCs w:val="24"/>
        </w:rPr>
        <w:t>,</w:t>
      </w:r>
      <w:r w:rsidR="00425FF1">
        <w:rPr>
          <w:rFonts w:asciiTheme="minorHAnsi" w:hAnsiTheme="minorHAnsi"/>
          <w:bCs/>
          <w:szCs w:val="24"/>
        </w:rPr>
        <w:t xml:space="preserve"> with increasing misuse of prescription opioids in place of illicit opioids, t</w:t>
      </w:r>
      <w:r w:rsidR="00B33064">
        <w:rPr>
          <w:rFonts w:asciiTheme="minorHAnsi" w:hAnsiTheme="minorHAnsi"/>
          <w:bCs/>
          <w:szCs w:val="24"/>
        </w:rPr>
        <w:t xml:space="preserve">he PBAC agreed </w:t>
      </w:r>
      <w:r w:rsidR="00B779AB">
        <w:rPr>
          <w:rFonts w:asciiTheme="minorHAnsi" w:hAnsiTheme="minorHAnsi"/>
          <w:bCs/>
          <w:szCs w:val="24"/>
        </w:rPr>
        <w:t xml:space="preserve">that there is a clinical place for a </w:t>
      </w:r>
      <w:r w:rsidR="00B33064">
        <w:rPr>
          <w:rFonts w:asciiTheme="minorHAnsi" w:hAnsiTheme="minorHAnsi"/>
          <w:bCs/>
          <w:szCs w:val="24"/>
        </w:rPr>
        <w:t>treatment that is administered through a</w:t>
      </w:r>
      <w:r w:rsidR="00E56D61">
        <w:rPr>
          <w:rFonts w:asciiTheme="minorHAnsi" w:hAnsiTheme="minorHAnsi"/>
          <w:bCs/>
          <w:szCs w:val="24"/>
        </w:rPr>
        <w:t xml:space="preserve"> model that</w:t>
      </w:r>
      <w:r w:rsidR="00964ACD">
        <w:rPr>
          <w:rFonts w:asciiTheme="minorHAnsi" w:hAnsiTheme="minorHAnsi"/>
          <w:bCs/>
          <w:szCs w:val="24"/>
        </w:rPr>
        <w:t xml:space="preserve"> is</w:t>
      </w:r>
      <w:r w:rsidR="00E56D61">
        <w:rPr>
          <w:rFonts w:asciiTheme="minorHAnsi" w:hAnsiTheme="minorHAnsi"/>
          <w:bCs/>
          <w:szCs w:val="24"/>
        </w:rPr>
        <w:t xml:space="preserve"> predominantly</w:t>
      </w:r>
      <w:r w:rsidR="00B33064">
        <w:rPr>
          <w:rFonts w:asciiTheme="minorHAnsi" w:hAnsiTheme="minorHAnsi"/>
          <w:bCs/>
          <w:szCs w:val="24"/>
        </w:rPr>
        <w:t xml:space="preserve"> general practice </w:t>
      </w:r>
      <w:r w:rsidR="00E56D61">
        <w:rPr>
          <w:rFonts w:asciiTheme="minorHAnsi" w:hAnsiTheme="minorHAnsi"/>
          <w:bCs/>
          <w:szCs w:val="24"/>
        </w:rPr>
        <w:t>based</w:t>
      </w:r>
      <w:r w:rsidR="00B33064">
        <w:rPr>
          <w:rFonts w:asciiTheme="minorHAnsi" w:hAnsiTheme="minorHAnsi"/>
          <w:bCs/>
          <w:szCs w:val="24"/>
        </w:rPr>
        <w:t xml:space="preserve">, particularly for patients who currently choose not to be treated under the existing pharmacy-based model.  </w:t>
      </w:r>
    </w:p>
    <w:p w:rsidR="00C97126" w:rsidRPr="0069239B" w:rsidRDefault="00C97126" w:rsidP="009E155C">
      <w:pPr>
        <w:widowControl/>
        <w:numPr>
          <w:ilvl w:val="1"/>
          <w:numId w:val="2"/>
        </w:numPr>
        <w:spacing w:after="120"/>
        <w:rPr>
          <w:rFonts w:asciiTheme="minorHAnsi" w:hAnsiTheme="minorHAnsi"/>
          <w:bCs/>
          <w:szCs w:val="24"/>
          <w:lang w:val="en-GB"/>
        </w:rPr>
      </w:pPr>
      <w:r w:rsidRPr="00F70749">
        <w:rPr>
          <w:rFonts w:asciiTheme="minorHAnsi" w:hAnsiTheme="minorHAnsi"/>
          <w:bCs/>
          <w:szCs w:val="24"/>
          <w:lang w:val="en-GB"/>
        </w:rPr>
        <w:t xml:space="preserve">The PBAC accepted </w:t>
      </w:r>
      <w:r w:rsidRPr="00F70749">
        <w:rPr>
          <w:rFonts w:asciiTheme="minorHAnsi" w:hAnsiTheme="minorHAnsi"/>
          <w:bCs/>
          <w:szCs w:val="24"/>
        </w:rPr>
        <w:t>sublingual buprenorphine/naloxone</w:t>
      </w:r>
      <w:r w:rsidRPr="00F70749">
        <w:rPr>
          <w:rFonts w:asciiTheme="minorHAnsi" w:hAnsiTheme="minorHAnsi"/>
          <w:bCs/>
          <w:szCs w:val="24"/>
          <w:lang w:val="en-GB"/>
        </w:rPr>
        <w:t xml:space="preserve"> </w:t>
      </w:r>
      <w:r w:rsidRPr="00F70749">
        <w:rPr>
          <w:rFonts w:asciiTheme="minorHAnsi" w:hAnsiTheme="minorHAnsi"/>
          <w:bCs/>
          <w:szCs w:val="24"/>
          <w:lang w:val="en-US"/>
        </w:rPr>
        <w:t>was</w:t>
      </w:r>
      <w:r w:rsidRPr="00F70749">
        <w:rPr>
          <w:rFonts w:asciiTheme="minorHAnsi" w:hAnsiTheme="minorHAnsi"/>
          <w:bCs/>
          <w:szCs w:val="24"/>
          <w:lang w:val="en-GB"/>
        </w:rPr>
        <w:t xml:space="preserve"> an appropriate comparator</w:t>
      </w:r>
      <w:r>
        <w:rPr>
          <w:rFonts w:asciiTheme="minorHAnsi" w:hAnsiTheme="minorHAnsi"/>
          <w:bCs/>
          <w:szCs w:val="24"/>
          <w:lang w:val="en-GB"/>
        </w:rPr>
        <w:t>, and agreed that any opioid subst</w:t>
      </w:r>
      <w:r w:rsidR="00C74361">
        <w:rPr>
          <w:rFonts w:asciiTheme="minorHAnsi" w:hAnsiTheme="minorHAnsi"/>
          <w:bCs/>
          <w:szCs w:val="24"/>
          <w:lang w:val="en-GB"/>
        </w:rPr>
        <w:t>itu</w:t>
      </w:r>
      <w:r>
        <w:rPr>
          <w:rFonts w:asciiTheme="minorHAnsi" w:hAnsiTheme="minorHAnsi"/>
          <w:bCs/>
          <w:szCs w:val="24"/>
          <w:lang w:val="en-GB"/>
        </w:rPr>
        <w:t>tion therapy including methadone or sublingual buprenorphine may be replaced by prolonged release buprenorphine</w:t>
      </w:r>
      <w:r w:rsidR="00162ACE">
        <w:rPr>
          <w:rFonts w:asciiTheme="minorHAnsi" w:hAnsiTheme="minorHAnsi"/>
          <w:bCs/>
          <w:szCs w:val="24"/>
          <w:lang w:val="en-GB"/>
        </w:rPr>
        <w:t xml:space="preserve"> as there are</w:t>
      </w:r>
      <w:r>
        <w:rPr>
          <w:rFonts w:asciiTheme="minorHAnsi" w:hAnsiTheme="minorHAnsi"/>
          <w:bCs/>
          <w:szCs w:val="24"/>
          <w:lang w:val="en-GB"/>
        </w:rPr>
        <w:t xml:space="preserve"> no significant differences in the populations currently accessing the range of treatment options. </w:t>
      </w:r>
    </w:p>
    <w:p w:rsidR="00162ACE" w:rsidRPr="00162ACE" w:rsidRDefault="00B44AF8" w:rsidP="009E155C">
      <w:pPr>
        <w:widowControl/>
        <w:numPr>
          <w:ilvl w:val="1"/>
          <w:numId w:val="2"/>
        </w:numPr>
        <w:spacing w:after="120"/>
        <w:rPr>
          <w:rFonts w:asciiTheme="minorHAnsi" w:hAnsiTheme="minorHAnsi"/>
          <w:bCs/>
          <w:szCs w:val="24"/>
          <w:lang w:val="en-GB"/>
        </w:rPr>
      </w:pPr>
      <w:r w:rsidRPr="00B44AF8">
        <w:rPr>
          <w:rFonts w:asciiTheme="minorHAnsi" w:hAnsiTheme="minorHAnsi"/>
          <w:bCs/>
          <w:szCs w:val="24"/>
          <w:lang w:val="en-GB"/>
        </w:rPr>
        <w:t xml:space="preserve">The PBAC </w:t>
      </w:r>
      <w:r w:rsidR="008D36D6">
        <w:rPr>
          <w:rFonts w:asciiTheme="minorHAnsi" w:hAnsiTheme="minorHAnsi"/>
          <w:bCs/>
          <w:szCs w:val="24"/>
          <w:lang w:val="en-GB"/>
        </w:rPr>
        <w:t>considered that the results of trial HS-11-421 showed no significant difference in efficacy compared to sublingual buprenorphine/naloxone in terms of percentage urine samples negative for illicit opioids</w:t>
      </w:r>
      <w:r w:rsidR="00762B05">
        <w:rPr>
          <w:rFonts w:asciiTheme="minorHAnsi" w:hAnsiTheme="minorHAnsi"/>
          <w:bCs/>
          <w:szCs w:val="24"/>
          <w:lang w:val="en-GB"/>
        </w:rPr>
        <w:t xml:space="preserve"> (with and without self-reported illicit opioid use), proportion of patients abstaining from opioid use, or percentage of patients remaining on treatment</w:t>
      </w:r>
      <w:r w:rsidRPr="00B44AF8">
        <w:rPr>
          <w:rFonts w:asciiTheme="minorHAnsi" w:hAnsiTheme="minorHAnsi"/>
          <w:bCs/>
          <w:szCs w:val="24"/>
          <w:lang w:val="en-GB"/>
        </w:rPr>
        <w:t xml:space="preserve">. </w:t>
      </w:r>
    </w:p>
    <w:p w:rsidR="00727782" w:rsidRDefault="00762B05" w:rsidP="009E155C">
      <w:pPr>
        <w:widowControl/>
        <w:numPr>
          <w:ilvl w:val="1"/>
          <w:numId w:val="2"/>
        </w:numPr>
        <w:spacing w:after="120"/>
        <w:rPr>
          <w:rFonts w:asciiTheme="minorHAnsi" w:hAnsiTheme="minorHAnsi"/>
          <w:bCs/>
          <w:szCs w:val="24"/>
          <w:lang w:val="en-GB"/>
        </w:rPr>
      </w:pPr>
      <w:r>
        <w:rPr>
          <w:rFonts w:asciiTheme="minorHAnsi" w:hAnsiTheme="minorHAnsi"/>
          <w:bCs/>
          <w:szCs w:val="24"/>
          <w:lang w:val="en-GB"/>
        </w:rPr>
        <w:lastRenderedPageBreak/>
        <w:t>The PBAC agreed with ESC that despite a statistically significant benefit of prolonged release buprenorphine over subli</w:t>
      </w:r>
      <w:r w:rsidR="008D45C2">
        <w:rPr>
          <w:rFonts w:asciiTheme="minorHAnsi" w:hAnsiTheme="minorHAnsi"/>
          <w:bCs/>
          <w:szCs w:val="24"/>
          <w:lang w:val="en-GB"/>
        </w:rPr>
        <w:t>ngual buprenorphine/naloxone</w:t>
      </w:r>
      <w:r>
        <w:rPr>
          <w:rFonts w:asciiTheme="minorHAnsi" w:hAnsiTheme="minorHAnsi"/>
          <w:bCs/>
          <w:szCs w:val="24"/>
          <w:lang w:val="en-GB"/>
        </w:rPr>
        <w:t xml:space="preserve"> demonstrated for the cumulative distribution function of proportion of negative urine samples, the measure wa</w:t>
      </w:r>
      <w:r w:rsidR="008D45C2">
        <w:rPr>
          <w:rFonts w:asciiTheme="minorHAnsi" w:hAnsiTheme="minorHAnsi"/>
          <w:bCs/>
          <w:szCs w:val="24"/>
          <w:lang w:val="en-GB"/>
        </w:rPr>
        <w:t>s difficult to interpret</w:t>
      </w:r>
      <w:r w:rsidR="00162ACE">
        <w:rPr>
          <w:rFonts w:asciiTheme="minorHAnsi" w:hAnsiTheme="minorHAnsi"/>
          <w:bCs/>
          <w:szCs w:val="24"/>
          <w:lang w:val="en-GB"/>
        </w:rPr>
        <w:t xml:space="preserve"> and was of unclear clinical significance,</w:t>
      </w:r>
      <w:r w:rsidR="008D45C2">
        <w:rPr>
          <w:rFonts w:asciiTheme="minorHAnsi" w:hAnsiTheme="minorHAnsi"/>
          <w:bCs/>
          <w:szCs w:val="24"/>
          <w:lang w:val="en-GB"/>
        </w:rPr>
        <w:t xml:space="preserve"> and</w:t>
      </w:r>
      <w:r>
        <w:rPr>
          <w:rFonts w:asciiTheme="minorHAnsi" w:hAnsiTheme="minorHAnsi"/>
          <w:bCs/>
          <w:szCs w:val="24"/>
          <w:lang w:val="en-GB"/>
        </w:rPr>
        <w:t xml:space="preserve"> was </w:t>
      </w:r>
      <w:r w:rsidR="00162ACE">
        <w:rPr>
          <w:rFonts w:asciiTheme="minorHAnsi" w:hAnsiTheme="minorHAnsi"/>
          <w:bCs/>
          <w:szCs w:val="24"/>
          <w:lang w:val="en-GB"/>
        </w:rPr>
        <w:t xml:space="preserve">therefore </w:t>
      </w:r>
      <w:r>
        <w:rPr>
          <w:rFonts w:asciiTheme="minorHAnsi" w:hAnsiTheme="minorHAnsi"/>
          <w:bCs/>
          <w:szCs w:val="24"/>
          <w:lang w:val="en-GB"/>
        </w:rPr>
        <w:t>not sufficient to support the claim of superior efficacy</w:t>
      </w:r>
      <w:r w:rsidR="008D45C2">
        <w:rPr>
          <w:rFonts w:asciiTheme="minorHAnsi" w:hAnsiTheme="minorHAnsi"/>
          <w:bCs/>
          <w:szCs w:val="24"/>
          <w:lang w:val="en-GB"/>
        </w:rPr>
        <w:t xml:space="preserve"> given all other clinical measures demonstrated non-inferiority</w:t>
      </w:r>
      <w:r>
        <w:rPr>
          <w:rFonts w:asciiTheme="minorHAnsi" w:hAnsiTheme="minorHAnsi"/>
          <w:bCs/>
          <w:szCs w:val="24"/>
          <w:lang w:val="en-GB"/>
        </w:rPr>
        <w:t>. As such,</w:t>
      </w:r>
      <w:r w:rsidR="00B44AF8" w:rsidRPr="00B44AF8">
        <w:rPr>
          <w:rFonts w:asciiTheme="minorHAnsi" w:hAnsiTheme="minorHAnsi"/>
          <w:bCs/>
          <w:szCs w:val="24"/>
          <w:lang w:val="en-GB"/>
        </w:rPr>
        <w:t xml:space="preserve"> the PBAC was not satisfied that </w:t>
      </w:r>
      <w:r w:rsidR="0098433B">
        <w:rPr>
          <w:rFonts w:asciiTheme="minorHAnsi" w:hAnsiTheme="minorHAnsi"/>
          <w:bCs/>
          <w:szCs w:val="24"/>
          <w:lang w:val="en-GB"/>
        </w:rPr>
        <w:t>prolonged release buprenorphine</w:t>
      </w:r>
      <w:r w:rsidR="00B44AF8" w:rsidRPr="00B44AF8">
        <w:rPr>
          <w:rFonts w:asciiTheme="minorHAnsi" w:hAnsiTheme="minorHAnsi"/>
          <w:bCs/>
          <w:szCs w:val="24"/>
          <w:lang w:val="en-GB"/>
        </w:rPr>
        <w:t xml:space="preserve"> </w:t>
      </w:r>
      <w:r>
        <w:rPr>
          <w:rFonts w:asciiTheme="minorHAnsi" w:hAnsiTheme="minorHAnsi"/>
          <w:bCs/>
          <w:szCs w:val="24"/>
          <w:lang w:val="en-GB"/>
        </w:rPr>
        <w:t>demonstrated</w:t>
      </w:r>
      <w:r w:rsidRPr="00B44AF8">
        <w:rPr>
          <w:rFonts w:asciiTheme="minorHAnsi" w:hAnsiTheme="minorHAnsi"/>
          <w:bCs/>
          <w:szCs w:val="24"/>
          <w:lang w:val="en-GB"/>
        </w:rPr>
        <w:t xml:space="preserve"> </w:t>
      </w:r>
      <w:r w:rsidR="00B44AF8" w:rsidRPr="00B44AF8">
        <w:rPr>
          <w:rFonts w:asciiTheme="minorHAnsi" w:hAnsiTheme="minorHAnsi"/>
          <w:bCs/>
          <w:szCs w:val="24"/>
          <w:lang w:val="en-GB"/>
        </w:rPr>
        <w:t xml:space="preserve">superior comparative effectiveness over </w:t>
      </w:r>
      <w:r w:rsidR="0098433B" w:rsidRPr="0098433B">
        <w:rPr>
          <w:rFonts w:asciiTheme="minorHAnsi" w:hAnsiTheme="minorHAnsi"/>
          <w:bCs/>
          <w:szCs w:val="24"/>
        </w:rPr>
        <w:t>sublingual buprenorphine/naloxone</w:t>
      </w:r>
      <w:r w:rsidR="008D45C2">
        <w:rPr>
          <w:rFonts w:asciiTheme="minorHAnsi" w:hAnsiTheme="minorHAnsi"/>
          <w:bCs/>
          <w:szCs w:val="24"/>
        </w:rPr>
        <w:t>, and agreed with the ESC that a claim non-inferior comparative efficacy was more reasonable</w:t>
      </w:r>
      <w:r>
        <w:rPr>
          <w:rFonts w:asciiTheme="minorHAnsi" w:hAnsiTheme="minorHAnsi"/>
          <w:bCs/>
          <w:szCs w:val="24"/>
          <w:lang w:val="en-GB"/>
        </w:rPr>
        <w:t xml:space="preserve">. </w:t>
      </w:r>
    </w:p>
    <w:p w:rsidR="008D45C2" w:rsidRDefault="008D45C2" w:rsidP="009E155C">
      <w:pPr>
        <w:pStyle w:val="ListParagraph"/>
        <w:numPr>
          <w:ilvl w:val="1"/>
          <w:numId w:val="2"/>
        </w:numPr>
        <w:rPr>
          <w:rFonts w:asciiTheme="minorHAnsi" w:hAnsiTheme="minorHAnsi"/>
          <w:bCs/>
          <w:szCs w:val="24"/>
          <w:lang w:val="en-GB"/>
        </w:rPr>
      </w:pPr>
      <w:r>
        <w:rPr>
          <w:rFonts w:asciiTheme="minorHAnsi" w:hAnsiTheme="minorHAnsi"/>
          <w:bCs/>
          <w:szCs w:val="24"/>
          <w:lang w:val="en-GB"/>
        </w:rPr>
        <w:t>The PBAC accepted the claim of non-inferior comparative safety to sublingual buprenorphine/naloxone</w:t>
      </w:r>
      <w:r w:rsidR="00162ACE">
        <w:rPr>
          <w:rFonts w:asciiTheme="minorHAnsi" w:hAnsiTheme="minorHAnsi"/>
          <w:bCs/>
          <w:szCs w:val="24"/>
          <w:lang w:val="en-GB"/>
        </w:rPr>
        <w:t>.</w:t>
      </w:r>
    </w:p>
    <w:p w:rsidR="00964ACD" w:rsidRPr="00162ACE" w:rsidRDefault="00831B41" w:rsidP="009E155C">
      <w:pPr>
        <w:pStyle w:val="ListParagraph"/>
        <w:numPr>
          <w:ilvl w:val="1"/>
          <w:numId w:val="2"/>
        </w:numPr>
        <w:rPr>
          <w:rFonts w:asciiTheme="minorHAnsi" w:hAnsiTheme="minorHAnsi"/>
          <w:bCs/>
          <w:szCs w:val="24"/>
          <w:lang w:val="en-GB"/>
        </w:rPr>
      </w:pPr>
      <w:r w:rsidRPr="00964ACD">
        <w:rPr>
          <w:rFonts w:asciiTheme="minorHAnsi" w:hAnsiTheme="minorHAnsi"/>
          <w:bCs/>
          <w:szCs w:val="24"/>
          <w:lang w:val="en-GB"/>
        </w:rPr>
        <w:t>As the claim of superior comparative effectiveness was not supported, the PBAC did not accept the economic analys</w:t>
      </w:r>
      <w:r w:rsidR="00964ACD" w:rsidRPr="00964ACD">
        <w:rPr>
          <w:rFonts w:asciiTheme="minorHAnsi" w:hAnsiTheme="minorHAnsi"/>
          <w:bCs/>
          <w:szCs w:val="24"/>
          <w:lang w:val="en-GB"/>
        </w:rPr>
        <w:t xml:space="preserve">is presented in the submission nor the revised base case economic model presented in the pre-PBAC response. </w:t>
      </w:r>
    </w:p>
    <w:p w:rsidR="009E3AAF" w:rsidRDefault="00162ACE" w:rsidP="009E155C">
      <w:pPr>
        <w:pStyle w:val="ListParagraph"/>
        <w:numPr>
          <w:ilvl w:val="1"/>
          <w:numId w:val="2"/>
        </w:numPr>
        <w:rPr>
          <w:rFonts w:asciiTheme="minorHAnsi" w:hAnsiTheme="minorHAnsi"/>
          <w:bCs/>
          <w:szCs w:val="24"/>
          <w:lang w:val="en-GB"/>
        </w:rPr>
      </w:pPr>
      <w:r>
        <w:rPr>
          <w:rFonts w:asciiTheme="minorHAnsi" w:hAnsiTheme="minorHAnsi"/>
          <w:bCs/>
          <w:szCs w:val="24"/>
          <w:lang w:val="en-GB"/>
        </w:rPr>
        <w:t>Based on the accepted clinical claim of non-inferior efficacy and safety, t</w:t>
      </w:r>
      <w:r w:rsidR="00831B41" w:rsidRPr="00425FF1">
        <w:rPr>
          <w:rFonts w:asciiTheme="minorHAnsi" w:hAnsiTheme="minorHAnsi"/>
          <w:bCs/>
          <w:szCs w:val="24"/>
          <w:lang w:val="en-GB"/>
        </w:rPr>
        <w:t xml:space="preserve">he PBAC considered a cost-minimisation analysis compared to sublingual buprenorphine/naloxone would be more appropriate. The PBAC considered that a modest price premium may be acceptable in acknowledgement of the unquantifiable benefits of a new treatment option that is </w:t>
      </w:r>
      <w:r w:rsidR="00831B41" w:rsidRPr="00964ACD">
        <w:rPr>
          <w:rFonts w:asciiTheme="minorHAnsi" w:hAnsiTheme="minorHAnsi"/>
          <w:bCs/>
          <w:szCs w:val="24"/>
          <w:lang w:val="en-GB"/>
        </w:rPr>
        <w:t>administered in a different treatment setting</w:t>
      </w:r>
      <w:r w:rsidR="00964ACD" w:rsidRPr="00964ACD">
        <w:rPr>
          <w:rFonts w:asciiTheme="minorHAnsi" w:hAnsiTheme="minorHAnsi"/>
          <w:bCs/>
          <w:szCs w:val="24"/>
          <w:lang w:val="en-GB"/>
        </w:rPr>
        <w:t xml:space="preserve"> and</w:t>
      </w:r>
      <w:r>
        <w:rPr>
          <w:rFonts w:asciiTheme="minorHAnsi" w:hAnsiTheme="minorHAnsi"/>
          <w:bCs/>
          <w:szCs w:val="24"/>
          <w:lang w:val="en-GB"/>
        </w:rPr>
        <w:t xml:space="preserve"> is</w:t>
      </w:r>
      <w:r w:rsidR="00964ACD" w:rsidRPr="00964ACD">
        <w:rPr>
          <w:rFonts w:asciiTheme="minorHAnsi" w:hAnsiTheme="minorHAnsi"/>
          <w:bCs/>
          <w:szCs w:val="24"/>
          <w:lang w:val="en-GB"/>
        </w:rPr>
        <w:t xml:space="preserve"> likely utilised by a population who currently choose not to be treated</w:t>
      </w:r>
      <w:r w:rsidR="00831B41" w:rsidRPr="00964ACD">
        <w:rPr>
          <w:rFonts w:asciiTheme="minorHAnsi" w:hAnsiTheme="minorHAnsi"/>
          <w:bCs/>
          <w:szCs w:val="24"/>
          <w:lang w:val="en-GB"/>
        </w:rPr>
        <w:t>.</w:t>
      </w:r>
      <w:r w:rsidR="00831B41" w:rsidRPr="00425FF1">
        <w:rPr>
          <w:rFonts w:asciiTheme="minorHAnsi" w:hAnsiTheme="minorHAnsi"/>
          <w:bCs/>
          <w:szCs w:val="24"/>
          <w:lang w:val="en-GB"/>
        </w:rPr>
        <w:t xml:space="preserve"> </w:t>
      </w:r>
    </w:p>
    <w:p w:rsidR="00FE67B4" w:rsidRDefault="009E3AAF" w:rsidP="009E155C">
      <w:pPr>
        <w:pStyle w:val="ListParagraph"/>
        <w:numPr>
          <w:ilvl w:val="1"/>
          <w:numId w:val="2"/>
        </w:numPr>
        <w:rPr>
          <w:rFonts w:asciiTheme="minorHAnsi" w:eastAsia="SimSun" w:hAnsiTheme="minorHAnsi"/>
          <w:szCs w:val="24"/>
        </w:rPr>
      </w:pPr>
      <w:r w:rsidRPr="009E3AAF">
        <w:rPr>
          <w:rFonts w:asciiTheme="minorHAnsi" w:hAnsiTheme="minorHAnsi"/>
          <w:bCs/>
          <w:szCs w:val="24"/>
          <w:lang w:val="en-GB"/>
        </w:rPr>
        <w:t xml:space="preserve">The PBAC agreed with DUSC that utilisation of </w:t>
      </w:r>
      <w:r w:rsidRPr="009E3AAF">
        <w:rPr>
          <w:rFonts w:cs="Calibri"/>
          <w:szCs w:val="24"/>
        </w:rPr>
        <w:t xml:space="preserve">prolonged release buprenorphine, and the likely substitution from other opioid substitution therapies, cannot be reliably determined until the practice model is known, such as whether the product will be supplied through a patient’s usual dispensing site (including community pharmacy) or whether access will be limited to use in alcohol and drug treatment clinics, public or private health clinics, or through general practice. Similarly, health system costs including the costs of administration and GP visits </w:t>
      </w:r>
      <w:r w:rsidRPr="009E3AAF">
        <w:rPr>
          <w:rFonts w:asciiTheme="minorHAnsi" w:eastAsia="SimSun" w:hAnsiTheme="minorHAnsi"/>
          <w:szCs w:val="24"/>
        </w:rPr>
        <w:t>are reliant on the practice model adopted and therefore cannot be reliably estimated.</w:t>
      </w:r>
    </w:p>
    <w:p w:rsidR="009E3AAF" w:rsidRPr="00162ACE" w:rsidRDefault="009E3AAF" w:rsidP="00162ACE">
      <w:pPr>
        <w:pStyle w:val="ListParagraph"/>
        <w:numPr>
          <w:ilvl w:val="1"/>
          <w:numId w:val="2"/>
        </w:numPr>
        <w:rPr>
          <w:rFonts w:asciiTheme="minorHAnsi" w:hAnsiTheme="minorHAnsi"/>
          <w:bCs/>
          <w:szCs w:val="24"/>
          <w:lang w:val="en-GB"/>
        </w:rPr>
      </w:pPr>
      <w:r>
        <w:rPr>
          <w:rFonts w:asciiTheme="minorHAnsi" w:hAnsiTheme="minorHAnsi"/>
          <w:bCs/>
          <w:szCs w:val="24"/>
          <w:lang w:val="en-GB"/>
        </w:rPr>
        <w:t>The PBAC agreed that t</w:t>
      </w:r>
      <w:r w:rsidRPr="00F31767">
        <w:t>here is potential for market growth to occur as a result of listing prolonged release buprenorphine, as there are currently patients who choose not to be treated for opioid use disorder under the current pharmacy-based model. Due to the convenience of monthly injections and potential for increased social acceptability of a practice model delivered through general practice, it is likely that patients not</w:t>
      </w:r>
      <w:r w:rsidRPr="009E3AAF">
        <w:rPr>
          <w:rFonts w:eastAsia="SimSun"/>
        </w:rPr>
        <w:t xml:space="preserve"> </w:t>
      </w:r>
      <w:r w:rsidRPr="00F31767">
        <w:t>currently receiving any opioid substitution therapy will initiate treatment with prolonged release buprenorphine.</w:t>
      </w:r>
      <w:r w:rsidR="00964ACD">
        <w:t xml:space="preserve"> </w:t>
      </w:r>
      <w:r w:rsidR="00964ACD" w:rsidRPr="005C77FF">
        <w:rPr>
          <w:rFonts w:asciiTheme="minorHAnsi" w:hAnsiTheme="minorHAnsi"/>
          <w:bCs/>
          <w:iCs/>
          <w:szCs w:val="24"/>
        </w:rPr>
        <w:t xml:space="preserve">This population </w:t>
      </w:r>
      <w:r w:rsidR="00162ACE">
        <w:rPr>
          <w:rFonts w:asciiTheme="minorHAnsi" w:hAnsiTheme="minorHAnsi"/>
          <w:bCs/>
          <w:iCs/>
          <w:szCs w:val="24"/>
        </w:rPr>
        <w:t>was</w:t>
      </w:r>
      <w:r w:rsidR="00964ACD" w:rsidRPr="005C77FF">
        <w:rPr>
          <w:rFonts w:asciiTheme="minorHAnsi" w:hAnsiTheme="minorHAnsi"/>
          <w:bCs/>
          <w:iCs/>
          <w:szCs w:val="24"/>
        </w:rPr>
        <w:t xml:space="preserve"> not captured in the market share approach</w:t>
      </w:r>
      <w:r w:rsidR="00964ACD" w:rsidRPr="005C77FF">
        <w:rPr>
          <w:rFonts w:asciiTheme="minorHAnsi" w:hAnsiTheme="minorHAnsi"/>
          <w:bCs/>
          <w:szCs w:val="24"/>
          <w:lang w:val="en-GB"/>
        </w:rPr>
        <w:t xml:space="preserve">.   </w:t>
      </w:r>
    </w:p>
    <w:p w:rsidR="00436EDA" w:rsidRPr="004E65E1" w:rsidRDefault="00AE3FBC" w:rsidP="00727782">
      <w:pPr>
        <w:widowControl/>
        <w:numPr>
          <w:ilvl w:val="1"/>
          <w:numId w:val="2"/>
        </w:numPr>
        <w:spacing w:after="120"/>
        <w:jc w:val="left"/>
        <w:rPr>
          <w:rFonts w:asciiTheme="minorHAnsi" w:hAnsiTheme="minorHAnsi"/>
          <w:bCs/>
          <w:szCs w:val="24"/>
          <w:lang w:val="en-GB"/>
        </w:rPr>
      </w:pPr>
      <w:r w:rsidRPr="004E65E1">
        <w:rPr>
          <w:rFonts w:asciiTheme="minorHAnsi" w:hAnsiTheme="minorHAnsi"/>
          <w:bCs/>
          <w:szCs w:val="24"/>
          <w:lang w:val="en-GB"/>
        </w:rPr>
        <w:t xml:space="preserve">The PBAC </w:t>
      </w:r>
      <w:r w:rsidR="004E65E1">
        <w:rPr>
          <w:rFonts w:asciiTheme="minorHAnsi" w:hAnsiTheme="minorHAnsi"/>
          <w:bCs/>
          <w:szCs w:val="24"/>
          <w:lang w:val="en-GB"/>
        </w:rPr>
        <w:t>considered</w:t>
      </w:r>
      <w:r w:rsidR="00013E01" w:rsidRPr="004E65E1">
        <w:rPr>
          <w:rFonts w:asciiTheme="minorHAnsi" w:hAnsiTheme="minorHAnsi"/>
          <w:bCs/>
          <w:szCs w:val="24"/>
          <w:lang w:val="en-GB"/>
        </w:rPr>
        <w:t xml:space="preserve"> that</w:t>
      </w:r>
      <w:r w:rsidRPr="004E65E1">
        <w:rPr>
          <w:rFonts w:asciiTheme="minorHAnsi" w:hAnsiTheme="minorHAnsi"/>
          <w:bCs/>
          <w:szCs w:val="24"/>
          <w:lang w:val="en-GB"/>
        </w:rPr>
        <w:t xml:space="preserve"> </w:t>
      </w:r>
      <w:r w:rsidR="0075006F">
        <w:rPr>
          <w:rFonts w:asciiTheme="minorHAnsi" w:hAnsiTheme="minorHAnsi"/>
          <w:bCs/>
          <w:szCs w:val="24"/>
          <w:lang w:val="en-GB"/>
        </w:rPr>
        <w:t xml:space="preserve">any future listing of </w:t>
      </w:r>
      <w:r w:rsidR="00013E01" w:rsidRPr="004E65E1">
        <w:rPr>
          <w:rFonts w:asciiTheme="minorHAnsi" w:hAnsiTheme="minorHAnsi"/>
          <w:bCs/>
          <w:szCs w:val="24"/>
          <w:lang w:val="en-GB"/>
        </w:rPr>
        <w:t xml:space="preserve">prolonged release buprenorphine </w:t>
      </w:r>
      <w:r w:rsidR="0075006F">
        <w:rPr>
          <w:rFonts w:asciiTheme="minorHAnsi" w:hAnsiTheme="minorHAnsi"/>
          <w:bCs/>
          <w:szCs w:val="24"/>
          <w:lang w:val="en-GB"/>
        </w:rPr>
        <w:t xml:space="preserve">should be </w:t>
      </w:r>
      <w:r w:rsidR="00571177" w:rsidRPr="004E65E1">
        <w:rPr>
          <w:rFonts w:asciiTheme="minorHAnsi" w:hAnsiTheme="minorHAnsi"/>
          <w:bCs/>
          <w:szCs w:val="24"/>
          <w:lang w:val="en-GB"/>
        </w:rPr>
        <w:t>implemented under</w:t>
      </w:r>
      <w:r w:rsidR="00013E01" w:rsidRPr="004E65E1">
        <w:rPr>
          <w:rFonts w:asciiTheme="minorHAnsi" w:hAnsiTheme="minorHAnsi"/>
          <w:bCs/>
          <w:szCs w:val="24"/>
          <w:lang w:val="en-GB"/>
        </w:rPr>
        <w:t xml:space="preserve"> the existing Section 100 Opioid Dependence Treatment Program</w:t>
      </w:r>
      <w:r w:rsidR="0075006F">
        <w:rPr>
          <w:rFonts w:asciiTheme="minorHAnsi" w:hAnsiTheme="minorHAnsi"/>
          <w:bCs/>
          <w:szCs w:val="24"/>
          <w:lang w:val="en-GB"/>
        </w:rPr>
        <w:t xml:space="preserve"> </w:t>
      </w:r>
      <w:r w:rsidR="00013E01" w:rsidRPr="004E65E1">
        <w:rPr>
          <w:rFonts w:asciiTheme="minorHAnsi" w:hAnsiTheme="minorHAnsi"/>
          <w:bCs/>
          <w:szCs w:val="24"/>
          <w:lang w:val="en-GB"/>
        </w:rPr>
        <w:t>(ODTP)</w:t>
      </w:r>
      <w:r w:rsidR="004E65E1">
        <w:rPr>
          <w:rFonts w:asciiTheme="minorHAnsi" w:hAnsiTheme="minorHAnsi"/>
          <w:bCs/>
          <w:szCs w:val="24"/>
        </w:rPr>
        <w:t xml:space="preserve">, noting the </w:t>
      </w:r>
      <w:r w:rsidR="004E65E1" w:rsidRPr="004E65E1">
        <w:rPr>
          <w:rFonts w:asciiTheme="minorHAnsi" w:hAnsiTheme="minorHAnsi"/>
          <w:bCs/>
          <w:szCs w:val="24"/>
        </w:rPr>
        <w:t>supply of the drug</w:t>
      </w:r>
      <w:r w:rsidR="004E65E1">
        <w:rPr>
          <w:rFonts w:asciiTheme="minorHAnsi" w:hAnsiTheme="minorHAnsi"/>
          <w:bCs/>
          <w:szCs w:val="24"/>
        </w:rPr>
        <w:t xml:space="preserve"> would be restricted</w:t>
      </w:r>
      <w:r w:rsidR="004E65E1" w:rsidRPr="004E65E1">
        <w:rPr>
          <w:rFonts w:asciiTheme="minorHAnsi" w:hAnsiTheme="minorHAnsi"/>
          <w:bCs/>
          <w:szCs w:val="24"/>
        </w:rPr>
        <w:t xml:space="preserve"> to approved prescribers who w</w:t>
      </w:r>
      <w:r w:rsidR="0075006F">
        <w:rPr>
          <w:rFonts w:asciiTheme="minorHAnsi" w:hAnsiTheme="minorHAnsi"/>
          <w:bCs/>
          <w:szCs w:val="24"/>
        </w:rPr>
        <w:t>ould</w:t>
      </w:r>
      <w:r w:rsidR="004E65E1" w:rsidRPr="004E65E1">
        <w:rPr>
          <w:rFonts w:asciiTheme="minorHAnsi" w:hAnsiTheme="minorHAnsi"/>
          <w:bCs/>
          <w:szCs w:val="24"/>
        </w:rPr>
        <w:t xml:space="preserve"> also administer</w:t>
      </w:r>
      <w:r w:rsidR="004C151B">
        <w:rPr>
          <w:rFonts w:asciiTheme="minorHAnsi" w:hAnsiTheme="minorHAnsi"/>
          <w:bCs/>
          <w:szCs w:val="24"/>
        </w:rPr>
        <w:t xml:space="preserve"> the </w:t>
      </w:r>
      <w:r w:rsidR="004E65E1" w:rsidRPr="004E65E1">
        <w:rPr>
          <w:rFonts w:asciiTheme="minorHAnsi" w:hAnsiTheme="minorHAnsi"/>
          <w:bCs/>
          <w:szCs w:val="24"/>
        </w:rPr>
        <w:t>dose</w:t>
      </w:r>
      <w:r w:rsidR="00013E01" w:rsidRPr="004E65E1">
        <w:rPr>
          <w:rFonts w:asciiTheme="minorHAnsi" w:hAnsiTheme="minorHAnsi"/>
          <w:bCs/>
          <w:szCs w:val="24"/>
          <w:lang w:val="en-GB"/>
        </w:rPr>
        <w:t>. However</w:t>
      </w:r>
      <w:r w:rsidR="00571177" w:rsidRPr="004E65E1">
        <w:rPr>
          <w:rFonts w:asciiTheme="minorHAnsi" w:hAnsiTheme="minorHAnsi"/>
          <w:bCs/>
          <w:szCs w:val="24"/>
          <w:lang w:val="en-GB"/>
        </w:rPr>
        <w:t xml:space="preserve">, </w:t>
      </w:r>
      <w:r w:rsidR="004E65E1">
        <w:rPr>
          <w:rFonts w:asciiTheme="minorHAnsi" w:hAnsiTheme="minorHAnsi"/>
          <w:bCs/>
          <w:szCs w:val="24"/>
          <w:lang w:val="en-GB"/>
        </w:rPr>
        <w:t xml:space="preserve">it agreed </w:t>
      </w:r>
      <w:r w:rsidR="00964ACD">
        <w:rPr>
          <w:rFonts w:asciiTheme="minorHAnsi" w:hAnsiTheme="minorHAnsi"/>
          <w:bCs/>
          <w:szCs w:val="24"/>
          <w:lang w:val="en-GB"/>
        </w:rPr>
        <w:t xml:space="preserve">with </w:t>
      </w:r>
      <w:r w:rsidR="00964ACD">
        <w:rPr>
          <w:rFonts w:asciiTheme="minorHAnsi" w:hAnsiTheme="minorHAnsi"/>
          <w:bCs/>
          <w:szCs w:val="24"/>
          <w:lang w:val="en-GB"/>
        </w:rPr>
        <w:lastRenderedPageBreak/>
        <w:t xml:space="preserve">DUSC that </w:t>
      </w:r>
      <w:r w:rsidR="004E65E1">
        <w:rPr>
          <w:rFonts w:asciiTheme="minorHAnsi" w:hAnsiTheme="minorHAnsi"/>
          <w:bCs/>
          <w:szCs w:val="24"/>
        </w:rPr>
        <w:t>t</w:t>
      </w:r>
      <w:r w:rsidR="004E65E1" w:rsidRPr="004E65E1">
        <w:rPr>
          <w:rFonts w:asciiTheme="minorHAnsi" w:hAnsiTheme="minorHAnsi"/>
          <w:bCs/>
          <w:szCs w:val="24"/>
        </w:rPr>
        <w:t>his is a significant shift away from the current community pharmacy based model, and the capacity of medical practitioners to manage this</w:t>
      </w:r>
      <w:r w:rsidR="0075006F">
        <w:rPr>
          <w:rFonts w:asciiTheme="minorHAnsi" w:hAnsiTheme="minorHAnsi"/>
          <w:bCs/>
          <w:szCs w:val="24"/>
        </w:rPr>
        <w:t>, and associated costs,</w:t>
      </w:r>
      <w:r w:rsidR="004E65E1" w:rsidRPr="004E65E1">
        <w:rPr>
          <w:rFonts w:asciiTheme="minorHAnsi" w:hAnsiTheme="minorHAnsi"/>
          <w:bCs/>
          <w:szCs w:val="24"/>
        </w:rPr>
        <w:t xml:space="preserve"> is unclear.</w:t>
      </w:r>
      <w:r w:rsidR="004C151B">
        <w:rPr>
          <w:rFonts w:asciiTheme="minorHAnsi" w:hAnsiTheme="minorHAnsi"/>
          <w:bCs/>
          <w:szCs w:val="24"/>
        </w:rPr>
        <w:t xml:space="preserve"> The PBAC further noted that implementation of any future positive recommendation would require significant liaison with states and territories. </w:t>
      </w:r>
    </w:p>
    <w:p w:rsidR="00727782" w:rsidRPr="00727782" w:rsidRDefault="00D67531" w:rsidP="00727782">
      <w:pPr>
        <w:widowControl/>
        <w:numPr>
          <w:ilvl w:val="1"/>
          <w:numId w:val="2"/>
        </w:numPr>
        <w:spacing w:after="120"/>
        <w:jc w:val="left"/>
        <w:rPr>
          <w:rFonts w:asciiTheme="minorHAnsi" w:hAnsiTheme="minorHAnsi"/>
          <w:bCs/>
          <w:szCs w:val="24"/>
          <w:lang w:val="en-GB"/>
        </w:rPr>
      </w:pPr>
      <w:r w:rsidRPr="00D67531">
        <w:rPr>
          <w:rFonts w:asciiTheme="minorHAnsi" w:hAnsiTheme="minorHAnsi"/>
          <w:bCs/>
          <w:szCs w:val="24"/>
          <w:lang w:val="en-US"/>
        </w:rPr>
        <w:t>The PBAC considered</w:t>
      </w:r>
      <w:r w:rsidR="005C77FF">
        <w:rPr>
          <w:rFonts w:asciiTheme="minorHAnsi" w:hAnsiTheme="minorHAnsi"/>
          <w:bCs/>
          <w:szCs w:val="24"/>
          <w:lang w:val="en-US"/>
        </w:rPr>
        <w:t xml:space="preserve"> </w:t>
      </w:r>
      <w:r w:rsidR="005C77FF" w:rsidRPr="00162ACE">
        <w:rPr>
          <w:rFonts w:asciiTheme="minorHAnsi" w:hAnsiTheme="minorHAnsi"/>
          <w:bCs/>
          <w:szCs w:val="24"/>
          <w:lang w:val="en-US"/>
        </w:rPr>
        <w:t>that</w:t>
      </w:r>
      <w:r w:rsidRPr="00162ACE">
        <w:rPr>
          <w:rFonts w:asciiTheme="minorHAnsi" w:hAnsiTheme="minorHAnsi"/>
          <w:bCs/>
          <w:szCs w:val="24"/>
          <w:lang w:val="en-US"/>
        </w:rPr>
        <w:t xml:space="preserve"> a </w:t>
      </w:r>
      <w:r w:rsidR="005C77FF" w:rsidRPr="00162ACE">
        <w:rPr>
          <w:rFonts w:asciiTheme="minorHAnsi" w:hAnsiTheme="minorHAnsi"/>
          <w:bCs/>
          <w:szCs w:val="24"/>
          <w:lang w:val="en-US"/>
        </w:rPr>
        <w:t>minor</w:t>
      </w:r>
      <w:r w:rsidRPr="00162ACE">
        <w:rPr>
          <w:rFonts w:asciiTheme="minorHAnsi" w:hAnsiTheme="minorHAnsi"/>
          <w:bCs/>
          <w:szCs w:val="24"/>
          <w:lang w:val="en-US"/>
        </w:rPr>
        <w:t xml:space="preserve"> resubmission</w:t>
      </w:r>
      <w:r w:rsidRPr="00D67531">
        <w:rPr>
          <w:rFonts w:asciiTheme="minorHAnsi" w:hAnsiTheme="minorHAnsi"/>
          <w:bCs/>
          <w:szCs w:val="24"/>
          <w:lang w:val="en-US"/>
        </w:rPr>
        <w:t xml:space="preserve"> </w:t>
      </w:r>
      <w:r w:rsidR="00162ACE">
        <w:rPr>
          <w:rFonts w:asciiTheme="minorHAnsi" w:hAnsiTheme="minorHAnsi"/>
          <w:bCs/>
          <w:szCs w:val="24"/>
          <w:lang w:val="en-US"/>
        </w:rPr>
        <w:t xml:space="preserve">would be suitable </w:t>
      </w:r>
      <w:r w:rsidR="005C77FF">
        <w:rPr>
          <w:rFonts w:asciiTheme="minorHAnsi" w:hAnsiTheme="minorHAnsi"/>
          <w:bCs/>
          <w:szCs w:val="24"/>
          <w:lang w:val="en-US"/>
        </w:rPr>
        <w:t xml:space="preserve">based on a </w:t>
      </w:r>
      <w:r w:rsidR="00162ACE">
        <w:rPr>
          <w:rFonts w:asciiTheme="minorHAnsi" w:hAnsiTheme="minorHAnsi"/>
          <w:bCs/>
          <w:szCs w:val="24"/>
          <w:lang w:val="en-US"/>
        </w:rPr>
        <w:t xml:space="preserve">clinical claim of non-inferiority, a </w:t>
      </w:r>
      <w:r w:rsidR="005C77FF">
        <w:rPr>
          <w:rFonts w:asciiTheme="minorHAnsi" w:hAnsiTheme="minorHAnsi"/>
          <w:bCs/>
          <w:szCs w:val="24"/>
          <w:lang w:val="en-US"/>
        </w:rPr>
        <w:t xml:space="preserve">cost </w:t>
      </w:r>
      <w:proofErr w:type="spellStart"/>
      <w:r w:rsidR="005C77FF">
        <w:rPr>
          <w:rFonts w:asciiTheme="minorHAnsi" w:hAnsiTheme="minorHAnsi"/>
          <w:bCs/>
          <w:szCs w:val="24"/>
          <w:lang w:val="en-US"/>
        </w:rPr>
        <w:t>minimisation</w:t>
      </w:r>
      <w:proofErr w:type="spellEnd"/>
      <w:r w:rsidR="005C77FF">
        <w:rPr>
          <w:rFonts w:asciiTheme="minorHAnsi" w:hAnsiTheme="minorHAnsi"/>
          <w:bCs/>
          <w:szCs w:val="24"/>
          <w:lang w:val="en-US"/>
        </w:rPr>
        <w:t xml:space="preserve"> </w:t>
      </w:r>
      <w:r w:rsidR="00162ACE">
        <w:rPr>
          <w:rFonts w:asciiTheme="minorHAnsi" w:hAnsiTheme="minorHAnsi"/>
          <w:bCs/>
          <w:szCs w:val="24"/>
          <w:lang w:val="en-US"/>
        </w:rPr>
        <w:t xml:space="preserve">analysis to </w:t>
      </w:r>
      <w:r w:rsidR="005C77FF" w:rsidRPr="00B108B3">
        <w:rPr>
          <w:rFonts w:asciiTheme="minorHAnsi" w:hAnsiTheme="minorHAnsi"/>
          <w:bCs/>
        </w:rPr>
        <w:t>sublingual buprenorphine/naloxone</w:t>
      </w:r>
      <w:r w:rsidR="005C77FF">
        <w:rPr>
          <w:rFonts w:asciiTheme="minorHAnsi" w:hAnsiTheme="minorHAnsi"/>
          <w:bCs/>
          <w:szCs w:val="24"/>
          <w:lang w:val="en-US"/>
        </w:rPr>
        <w:t xml:space="preserve"> </w:t>
      </w:r>
      <w:r w:rsidR="00162ACE">
        <w:rPr>
          <w:rFonts w:asciiTheme="minorHAnsi" w:hAnsiTheme="minorHAnsi"/>
          <w:bCs/>
          <w:szCs w:val="24"/>
          <w:lang w:val="en-US"/>
        </w:rPr>
        <w:t>based on a</w:t>
      </w:r>
      <w:r w:rsidR="0069239B">
        <w:rPr>
          <w:rFonts w:asciiTheme="minorHAnsi" w:hAnsiTheme="minorHAnsi"/>
          <w:bCs/>
          <w:szCs w:val="24"/>
          <w:lang w:val="en-US"/>
        </w:rPr>
        <w:t>n equivalent</w:t>
      </w:r>
      <w:r w:rsidR="00162ACE">
        <w:rPr>
          <w:rFonts w:asciiTheme="minorHAnsi" w:hAnsiTheme="minorHAnsi"/>
          <w:bCs/>
          <w:szCs w:val="24"/>
          <w:lang w:val="en-US"/>
        </w:rPr>
        <w:t xml:space="preserve"> cost per day, and</w:t>
      </w:r>
      <w:r w:rsidR="00964ACD">
        <w:rPr>
          <w:rFonts w:asciiTheme="minorHAnsi" w:hAnsiTheme="minorHAnsi"/>
          <w:bCs/>
          <w:szCs w:val="24"/>
          <w:lang w:val="en-US"/>
        </w:rPr>
        <w:t xml:space="preserve"> </w:t>
      </w:r>
      <w:r w:rsidR="005C77FF">
        <w:rPr>
          <w:rFonts w:asciiTheme="minorHAnsi" w:hAnsiTheme="minorHAnsi"/>
          <w:bCs/>
          <w:szCs w:val="24"/>
          <w:lang w:val="en-US"/>
        </w:rPr>
        <w:t>updated costs associated with</w:t>
      </w:r>
      <w:r w:rsidR="005C77FF">
        <w:rPr>
          <w:rFonts w:asciiTheme="minorHAnsi" w:hAnsiTheme="minorHAnsi"/>
          <w:bCs/>
          <w:szCs w:val="24"/>
          <w:lang w:val="en-GB"/>
        </w:rPr>
        <w:t xml:space="preserve"> </w:t>
      </w:r>
      <w:r w:rsidR="00162ACE">
        <w:rPr>
          <w:rFonts w:asciiTheme="minorHAnsi" w:hAnsiTheme="minorHAnsi"/>
          <w:bCs/>
          <w:szCs w:val="24"/>
          <w:lang w:val="en-GB"/>
        </w:rPr>
        <w:t xml:space="preserve">a GP-based Section 100 </w:t>
      </w:r>
      <w:r w:rsidR="005C77FF">
        <w:rPr>
          <w:rFonts w:asciiTheme="minorHAnsi" w:hAnsiTheme="minorHAnsi"/>
          <w:bCs/>
          <w:szCs w:val="24"/>
          <w:lang w:val="en-GB"/>
        </w:rPr>
        <w:t xml:space="preserve">implementation model. </w:t>
      </w:r>
      <w:r w:rsidR="00964ACD">
        <w:rPr>
          <w:rFonts w:asciiTheme="minorHAnsi" w:hAnsiTheme="minorHAnsi"/>
          <w:bCs/>
          <w:szCs w:val="24"/>
          <w:lang w:val="en-GB"/>
        </w:rPr>
        <w:t xml:space="preserve">However, if a superiority claim and associated cost-effectiveness analysis is </w:t>
      </w:r>
      <w:r w:rsidR="00162ACE">
        <w:rPr>
          <w:rFonts w:asciiTheme="minorHAnsi" w:hAnsiTheme="minorHAnsi"/>
          <w:bCs/>
          <w:szCs w:val="24"/>
          <w:lang w:val="en-GB"/>
        </w:rPr>
        <w:t>maintained</w:t>
      </w:r>
      <w:r w:rsidR="00964ACD">
        <w:rPr>
          <w:rFonts w:asciiTheme="minorHAnsi" w:hAnsiTheme="minorHAnsi"/>
          <w:bCs/>
          <w:szCs w:val="24"/>
          <w:lang w:val="en-GB"/>
        </w:rPr>
        <w:t xml:space="preserve">, a major resubmission would be required to justify the approach, with changes to the economic model aligned with the ESC revised base case. </w:t>
      </w:r>
    </w:p>
    <w:p w:rsidR="00727782" w:rsidRPr="00A83DA6" w:rsidRDefault="00727782" w:rsidP="00A83DA6">
      <w:pPr>
        <w:widowControl/>
        <w:numPr>
          <w:ilvl w:val="1"/>
          <w:numId w:val="2"/>
        </w:numPr>
        <w:spacing w:after="120"/>
        <w:jc w:val="left"/>
        <w:rPr>
          <w:rFonts w:asciiTheme="minorHAnsi" w:hAnsiTheme="minorHAnsi"/>
          <w:bCs/>
          <w:szCs w:val="24"/>
          <w:lang w:val="en-GB"/>
        </w:rPr>
      </w:pPr>
      <w:r w:rsidRPr="00727782">
        <w:rPr>
          <w:rFonts w:asciiTheme="minorHAnsi" w:hAnsiTheme="minorHAnsi"/>
          <w:bCs/>
          <w:szCs w:val="24"/>
          <w:lang w:val="en-GB"/>
        </w:rPr>
        <w:t>The PBAC n</w:t>
      </w:r>
      <w:r w:rsidR="00A83DA6">
        <w:rPr>
          <w:rFonts w:asciiTheme="minorHAnsi" w:hAnsiTheme="minorHAnsi"/>
          <w:bCs/>
          <w:szCs w:val="24"/>
          <w:lang w:val="en-GB"/>
        </w:rPr>
        <w:t xml:space="preserve">oted that this submission is </w:t>
      </w:r>
      <w:r w:rsidRPr="00727782">
        <w:rPr>
          <w:rFonts w:asciiTheme="minorHAnsi" w:hAnsiTheme="minorHAnsi"/>
          <w:bCs/>
          <w:szCs w:val="24"/>
          <w:lang w:val="en-GB"/>
        </w:rPr>
        <w:t xml:space="preserve">eligible for an Independent Review. </w:t>
      </w:r>
    </w:p>
    <w:p w:rsidR="002E497D" w:rsidRDefault="00727782" w:rsidP="002E497D">
      <w:pPr>
        <w:widowControl/>
        <w:rPr>
          <w:rFonts w:asciiTheme="minorHAnsi" w:hAnsiTheme="minorHAnsi"/>
          <w:b/>
          <w:bCs/>
          <w:szCs w:val="24"/>
          <w:lang w:val="en-GB"/>
        </w:rPr>
      </w:pPr>
      <w:r w:rsidRPr="00727782">
        <w:rPr>
          <w:rFonts w:asciiTheme="minorHAnsi" w:hAnsiTheme="minorHAnsi"/>
          <w:b/>
          <w:bCs/>
          <w:szCs w:val="24"/>
          <w:lang w:val="en-GB"/>
        </w:rPr>
        <w:t>Outcome:</w:t>
      </w:r>
    </w:p>
    <w:p w:rsidR="00727782" w:rsidRPr="00727782" w:rsidRDefault="00727782" w:rsidP="003C190F">
      <w:pPr>
        <w:widowControl/>
        <w:rPr>
          <w:rFonts w:ascii="Arial" w:hAnsi="Arial"/>
          <w:bCs/>
          <w:snapToGrid/>
          <w:sz w:val="22"/>
        </w:rPr>
      </w:pPr>
      <w:r w:rsidRPr="00727782">
        <w:rPr>
          <w:rFonts w:asciiTheme="minorHAnsi" w:hAnsiTheme="minorHAnsi"/>
          <w:bCs/>
          <w:szCs w:val="24"/>
          <w:lang w:val="en-GB"/>
        </w:rPr>
        <w:t>Rejected</w:t>
      </w:r>
    </w:p>
    <w:p w:rsidR="00D7042D" w:rsidRPr="00C07617" w:rsidRDefault="00D7042D" w:rsidP="00665EB3">
      <w:pPr>
        <w:pStyle w:val="Heading1"/>
      </w:pPr>
      <w:r w:rsidRPr="00C07617">
        <w:tab/>
        <w:t>Context for Decision</w:t>
      </w:r>
    </w:p>
    <w:p w:rsidR="00D7042D" w:rsidRPr="00C07617" w:rsidRDefault="00D7042D" w:rsidP="00AF2189">
      <w:pPr>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7042D" w:rsidRPr="00C07617" w:rsidRDefault="00D7042D" w:rsidP="00665EB3">
      <w:pPr>
        <w:pStyle w:val="Heading1"/>
      </w:pPr>
      <w:r>
        <w:t>Sponsor’s Comment</w:t>
      </w:r>
    </w:p>
    <w:p w:rsidR="006559E3" w:rsidRPr="00C070A9" w:rsidRDefault="003C190F" w:rsidP="00AF2189">
      <w:pPr>
        <w:ind w:left="709"/>
        <w:rPr>
          <w:rFonts w:asciiTheme="minorHAnsi" w:hAnsiTheme="minorHAnsi" w:cs="Calibri"/>
          <w:snapToGrid/>
          <w:sz w:val="22"/>
        </w:rPr>
      </w:pPr>
      <w:proofErr w:type="spellStart"/>
      <w:r w:rsidRPr="003C190F">
        <w:rPr>
          <w:rFonts w:asciiTheme="minorHAnsi" w:hAnsiTheme="minorHAnsi" w:cs="Calibri"/>
          <w:snapToGrid/>
          <w:szCs w:val="24"/>
        </w:rPr>
        <w:t>Camurus</w:t>
      </w:r>
      <w:proofErr w:type="spellEnd"/>
      <w:r w:rsidRPr="003C190F">
        <w:rPr>
          <w:rFonts w:asciiTheme="minorHAnsi" w:hAnsiTheme="minorHAnsi" w:cs="Calibri"/>
          <w:snapToGrid/>
          <w:szCs w:val="24"/>
        </w:rPr>
        <w:t xml:space="preserve"> refers to the published scientific data regarding the comparative effectiveness of the prolonged buprenorphine injection and daily sublingual buprenorphine/naloxone. </w:t>
      </w:r>
      <w:proofErr w:type="spellStart"/>
      <w:r w:rsidRPr="003C190F">
        <w:rPr>
          <w:rFonts w:asciiTheme="minorHAnsi" w:hAnsiTheme="minorHAnsi" w:cs="Calibri"/>
          <w:snapToGrid/>
          <w:szCs w:val="24"/>
        </w:rPr>
        <w:t>Camurus</w:t>
      </w:r>
      <w:proofErr w:type="spellEnd"/>
      <w:r w:rsidRPr="003C190F">
        <w:rPr>
          <w:rFonts w:asciiTheme="minorHAnsi" w:hAnsiTheme="minorHAnsi" w:cs="Calibri"/>
          <w:snapToGrid/>
          <w:szCs w:val="24"/>
        </w:rPr>
        <w:t xml:space="preserve"> is convinced of the benefit of prolonged release buprenorphine in this patient group with a demonstrated clinically meaningful change in illicit drug use behaviour shown by superiority on the cumulative distribution function and non-inferiority on the responder rate and will continue to seek PBS reimbursement based on the advice from PBAC.</w:t>
      </w:r>
      <w:r w:rsidRPr="003C190F" w:rsidDel="003C190F">
        <w:rPr>
          <w:rFonts w:asciiTheme="minorHAnsi" w:hAnsiTheme="minorHAnsi" w:cs="Calibri"/>
          <w:snapToGrid/>
          <w:szCs w:val="24"/>
        </w:rPr>
        <w:t xml:space="preserve"> </w:t>
      </w:r>
    </w:p>
    <w:sectPr w:rsidR="006559E3" w:rsidRPr="00C070A9" w:rsidSect="00100094">
      <w:headerReference w:type="even" r:id="rId10"/>
      <w:headerReference w:type="default" r:id="rId11"/>
      <w:footerReference w:type="even" r:id="rId12"/>
      <w:footerReference w:type="default" r:id="rId13"/>
      <w:headerReference w:type="first" r:id="rId14"/>
      <w:footerReference w:type="first" r:id="rId15"/>
      <w:pgSz w:w="11907" w:h="16840" w:code="9"/>
      <w:pgMar w:top="1132"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910" w:rsidRDefault="00464910" w:rsidP="00124A51">
      <w:r>
        <w:separator/>
      </w:r>
    </w:p>
    <w:p w:rsidR="00464910" w:rsidRDefault="00464910"/>
  </w:endnote>
  <w:endnote w:type="continuationSeparator" w:id="0">
    <w:p w:rsidR="00464910" w:rsidRDefault="00464910" w:rsidP="00124A51">
      <w:r>
        <w:continuationSeparator/>
      </w:r>
    </w:p>
    <w:p w:rsidR="00464910" w:rsidRDefault="00464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w:charset w:val="00"/>
    <w:family w:val="auto"/>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5D" w:rsidRDefault="00AE3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622099"/>
      <w:docPartObj>
        <w:docPartGallery w:val="Page Numbers (Bottom of Page)"/>
        <w:docPartUnique/>
      </w:docPartObj>
    </w:sdtPr>
    <w:sdtEndPr>
      <w:rPr>
        <w:noProof/>
      </w:rPr>
    </w:sdtEndPr>
    <w:sdtContent>
      <w:p w:rsidR="00AE3E5D" w:rsidRDefault="00AE3E5D">
        <w:pPr>
          <w:pStyle w:val="Footer"/>
          <w:jc w:val="center"/>
        </w:pPr>
        <w:r>
          <w:fldChar w:fldCharType="begin"/>
        </w:r>
        <w:r>
          <w:instrText xml:space="preserve"> PAGE   \* MERGEFORMAT </w:instrText>
        </w:r>
        <w:r>
          <w:fldChar w:fldCharType="separate"/>
        </w:r>
        <w:r w:rsidR="000F6C8D">
          <w:rPr>
            <w:noProof/>
          </w:rPr>
          <w:t>1</w:t>
        </w:r>
        <w:r>
          <w:rPr>
            <w:noProof/>
          </w:rPr>
          <w:fldChar w:fldCharType="end"/>
        </w:r>
      </w:p>
    </w:sdtContent>
  </w:sdt>
  <w:p w:rsidR="00AE3E5D" w:rsidRPr="000814D0" w:rsidRDefault="00AE3E5D" w:rsidP="00081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5D" w:rsidRDefault="00AE3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910" w:rsidRDefault="00464910" w:rsidP="00124A51">
      <w:r>
        <w:separator/>
      </w:r>
    </w:p>
    <w:p w:rsidR="00464910" w:rsidRDefault="00464910"/>
  </w:footnote>
  <w:footnote w:type="continuationSeparator" w:id="0">
    <w:p w:rsidR="00464910" w:rsidRDefault="00464910" w:rsidP="00124A51">
      <w:r>
        <w:continuationSeparator/>
      </w:r>
    </w:p>
    <w:p w:rsidR="00464910" w:rsidRDefault="004649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5D" w:rsidRDefault="00AE3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5D" w:rsidRPr="0054307A" w:rsidRDefault="00AE3E5D" w:rsidP="000814D0">
    <w:pPr>
      <w:pStyle w:val="Header"/>
      <w:ind w:left="360"/>
      <w:jc w:val="center"/>
      <w:rPr>
        <w:rFonts w:asciiTheme="minorHAnsi" w:hAnsiTheme="minorHAnsi"/>
        <w:i/>
        <w:snapToGrid/>
        <w:color w:val="808080"/>
        <w:szCs w:val="24"/>
      </w:rPr>
    </w:pPr>
    <w:r>
      <w:rPr>
        <w:rFonts w:asciiTheme="minorHAnsi" w:hAnsiTheme="minorHAnsi"/>
        <w:i/>
        <w:snapToGrid/>
        <w:color w:val="808080"/>
        <w:szCs w:val="24"/>
      </w:rPr>
      <w:t>Public Summary Document</w:t>
    </w:r>
    <w:r w:rsidRPr="0054307A">
      <w:rPr>
        <w:rFonts w:asciiTheme="minorHAnsi" w:hAnsiTheme="minorHAnsi"/>
        <w:i/>
        <w:snapToGrid/>
        <w:color w:val="808080"/>
        <w:szCs w:val="24"/>
      </w:rPr>
      <w:t xml:space="preserve"> – November 2018 PBAC Meeting</w:t>
    </w:r>
  </w:p>
  <w:p w:rsidR="00AE3E5D" w:rsidRDefault="00AE3E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5D" w:rsidRDefault="00AE3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1A5F79"/>
    <w:multiLevelType w:val="multilevel"/>
    <w:tmpl w:val="F312A63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102F9"/>
    <w:multiLevelType w:val="hybridMultilevel"/>
    <w:tmpl w:val="6B8EA7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259C6"/>
    <w:multiLevelType w:val="hybridMultilevel"/>
    <w:tmpl w:val="641E3B3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4B226F7"/>
    <w:multiLevelType w:val="hybridMultilevel"/>
    <w:tmpl w:val="F2288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3F3B"/>
    <w:multiLevelType w:val="hybridMultilevel"/>
    <w:tmpl w:val="0634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3524B"/>
    <w:multiLevelType w:val="hybridMultilevel"/>
    <w:tmpl w:val="B17C80C4"/>
    <w:lvl w:ilvl="0" w:tplc="7BD89A18">
      <w:start w:val="1"/>
      <w:numFmt w:val="bullet"/>
      <w:lvlText w:val="◦"/>
      <w:lvlJc w:val="left"/>
      <w:pPr>
        <w:tabs>
          <w:tab w:val="num" w:pos="720"/>
        </w:tabs>
        <w:ind w:left="720" w:hanging="360"/>
      </w:pPr>
      <w:rPr>
        <w:rFonts w:ascii="Calibri" w:hAnsi="Calibri" w:hint="default"/>
      </w:rPr>
    </w:lvl>
    <w:lvl w:ilvl="1" w:tplc="F8A8E170">
      <w:start w:val="1"/>
      <w:numFmt w:val="bullet"/>
      <w:lvlText w:val="◦"/>
      <w:lvlJc w:val="left"/>
      <w:pPr>
        <w:tabs>
          <w:tab w:val="num" w:pos="1440"/>
        </w:tabs>
        <w:ind w:left="1440" w:hanging="360"/>
      </w:pPr>
      <w:rPr>
        <w:rFonts w:ascii="Calibri" w:hAnsi="Calibri" w:hint="default"/>
      </w:rPr>
    </w:lvl>
    <w:lvl w:ilvl="2" w:tplc="11EE51F2" w:tentative="1">
      <w:start w:val="1"/>
      <w:numFmt w:val="bullet"/>
      <w:lvlText w:val="◦"/>
      <w:lvlJc w:val="left"/>
      <w:pPr>
        <w:tabs>
          <w:tab w:val="num" w:pos="2160"/>
        </w:tabs>
        <w:ind w:left="2160" w:hanging="360"/>
      </w:pPr>
      <w:rPr>
        <w:rFonts w:ascii="Calibri" w:hAnsi="Calibri" w:hint="default"/>
      </w:rPr>
    </w:lvl>
    <w:lvl w:ilvl="3" w:tplc="0D68C706" w:tentative="1">
      <w:start w:val="1"/>
      <w:numFmt w:val="bullet"/>
      <w:lvlText w:val="◦"/>
      <w:lvlJc w:val="left"/>
      <w:pPr>
        <w:tabs>
          <w:tab w:val="num" w:pos="2880"/>
        </w:tabs>
        <w:ind w:left="2880" w:hanging="360"/>
      </w:pPr>
      <w:rPr>
        <w:rFonts w:ascii="Calibri" w:hAnsi="Calibri" w:hint="default"/>
      </w:rPr>
    </w:lvl>
    <w:lvl w:ilvl="4" w:tplc="B0D8DF36" w:tentative="1">
      <w:start w:val="1"/>
      <w:numFmt w:val="bullet"/>
      <w:lvlText w:val="◦"/>
      <w:lvlJc w:val="left"/>
      <w:pPr>
        <w:tabs>
          <w:tab w:val="num" w:pos="3600"/>
        </w:tabs>
        <w:ind w:left="3600" w:hanging="360"/>
      </w:pPr>
      <w:rPr>
        <w:rFonts w:ascii="Calibri" w:hAnsi="Calibri" w:hint="default"/>
      </w:rPr>
    </w:lvl>
    <w:lvl w:ilvl="5" w:tplc="D5325928" w:tentative="1">
      <w:start w:val="1"/>
      <w:numFmt w:val="bullet"/>
      <w:lvlText w:val="◦"/>
      <w:lvlJc w:val="left"/>
      <w:pPr>
        <w:tabs>
          <w:tab w:val="num" w:pos="4320"/>
        </w:tabs>
        <w:ind w:left="4320" w:hanging="360"/>
      </w:pPr>
      <w:rPr>
        <w:rFonts w:ascii="Calibri" w:hAnsi="Calibri" w:hint="default"/>
      </w:rPr>
    </w:lvl>
    <w:lvl w:ilvl="6" w:tplc="EA22C6CC" w:tentative="1">
      <w:start w:val="1"/>
      <w:numFmt w:val="bullet"/>
      <w:lvlText w:val="◦"/>
      <w:lvlJc w:val="left"/>
      <w:pPr>
        <w:tabs>
          <w:tab w:val="num" w:pos="5040"/>
        </w:tabs>
        <w:ind w:left="5040" w:hanging="360"/>
      </w:pPr>
      <w:rPr>
        <w:rFonts w:ascii="Calibri" w:hAnsi="Calibri" w:hint="default"/>
      </w:rPr>
    </w:lvl>
    <w:lvl w:ilvl="7" w:tplc="092E68FE" w:tentative="1">
      <w:start w:val="1"/>
      <w:numFmt w:val="bullet"/>
      <w:lvlText w:val="◦"/>
      <w:lvlJc w:val="left"/>
      <w:pPr>
        <w:tabs>
          <w:tab w:val="num" w:pos="5760"/>
        </w:tabs>
        <w:ind w:left="5760" w:hanging="360"/>
      </w:pPr>
      <w:rPr>
        <w:rFonts w:ascii="Calibri" w:hAnsi="Calibri" w:hint="default"/>
      </w:rPr>
    </w:lvl>
    <w:lvl w:ilvl="8" w:tplc="3B56A97A"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23A7791C"/>
    <w:multiLevelType w:val="hybridMultilevel"/>
    <w:tmpl w:val="E0189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4707F"/>
    <w:multiLevelType w:val="hybridMultilevel"/>
    <w:tmpl w:val="279AC4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6959F7"/>
    <w:multiLevelType w:val="hybridMultilevel"/>
    <w:tmpl w:val="43A8F19C"/>
    <w:lvl w:ilvl="0" w:tplc="D68EAF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EE3781"/>
    <w:multiLevelType w:val="hybridMultilevel"/>
    <w:tmpl w:val="1EA28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C0E1E"/>
    <w:multiLevelType w:val="hybridMultilevel"/>
    <w:tmpl w:val="7212A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334D81"/>
    <w:multiLevelType w:val="hybridMultilevel"/>
    <w:tmpl w:val="DF205FA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381581"/>
    <w:multiLevelType w:val="hybridMultilevel"/>
    <w:tmpl w:val="57DAC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6B30C4"/>
    <w:multiLevelType w:val="hybridMultilevel"/>
    <w:tmpl w:val="F856B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7C34E2"/>
    <w:multiLevelType w:val="hybridMultilevel"/>
    <w:tmpl w:val="45343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0638E5F6"/>
    <w:lvl w:ilvl="0" w:tplc="0C090001">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77B10"/>
    <w:multiLevelType w:val="hybridMultilevel"/>
    <w:tmpl w:val="C3B80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8C7CA3"/>
    <w:multiLevelType w:val="multilevel"/>
    <w:tmpl w:val="8C3072C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6F7554"/>
    <w:multiLevelType w:val="hybridMultilevel"/>
    <w:tmpl w:val="B40E270A"/>
    <w:lvl w:ilvl="0" w:tplc="D68EAF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631170"/>
    <w:multiLevelType w:val="hybridMultilevel"/>
    <w:tmpl w:val="7146F92C"/>
    <w:lvl w:ilvl="0" w:tplc="95B8442C">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817215"/>
    <w:multiLevelType w:val="hybridMultilevel"/>
    <w:tmpl w:val="A2BED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E30CB5"/>
    <w:multiLevelType w:val="hybridMultilevel"/>
    <w:tmpl w:val="9698AB24"/>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08B4FA5"/>
    <w:multiLevelType w:val="multilevel"/>
    <w:tmpl w:val="45EE4F18"/>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4D033C"/>
    <w:multiLevelType w:val="multilevel"/>
    <w:tmpl w:val="AC2A6894"/>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812E9F"/>
    <w:multiLevelType w:val="hybridMultilevel"/>
    <w:tmpl w:val="321E31F6"/>
    <w:lvl w:ilvl="0" w:tplc="5DA4F02A">
      <w:start w:val="1"/>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0" w15:restartNumberingAfterBreak="0">
    <w:nsid w:val="7E30556E"/>
    <w:multiLevelType w:val="hybridMultilevel"/>
    <w:tmpl w:val="63AE9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18"/>
  </w:num>
  <w:num w:numId="4">
    <w:abstractNumId w:val="30"/>
  </w:num>
  <w:num w:numId="5">
    <w:abstractNumId w:val="23"/>
  </w:num>
  <w:num w:numId="6">
    <w:abstractNumId w:val="11"/>
  </w:num>
  <w:num w:numId="7">
    <w:abstractNumId w:val="25"/>
  </w:num>
  <w:num w:numId="8">
    <w:abstractNumId w:val="19"/>
  </w:num>
  <w:num w:numId="9">
    <w:abstractNumId w:val="9"/>
  </w:num>
  <w:num w:numId="10">
    <w:abstractNumId w:val="12"/>
  </w:num>
  <w:num w:numId="11">
    <w:abstractNumId w:val="13"/>
  </w:num>
  <w:num w:numId="12">
    <w:abstractNumId w:val="16"/>
  </w:num>
  <w:num w:numId="13">
    <w:abstractNumId w:val="26"/>
  </w:num>
  <w:num w:numId="14">
    <w:abstractNumId w:val="1"/>
  </w:num>
  <w:num w:numId="15">
    <w:abstractNumId w:val="3"/>
  </w:num>
  <w:num w:numId="16">
    <w:abstractNumId w:val="24"/>
  </w:num>
  <w:num w:numId="17">
    <w:abstractNumId w:val="18"/>
  </w:num>
  <w:num w:numId="18">
    <w:abstractNumId w:val="20"/>
  </w:num>
  <w:num w:numId="19">
    <w:abstractNumId w:val="18"/>
  </w:num>
  <w:num w:numId="20">
    <w:abstractNumId w:val="18"/>
  </w:num>
  <w:num w:numId="21">
    <w:abstractNumId w:val="18"/>
  </w:num>
  <w:num w:numId="22">
    <w:abstractNumId w:val="18"/>
  </w:num>
  <w:num w:numId="23">
    <w:abstractNumId w:val="5"/>
  </w:num>
  <w:num w:numId="24">
    <w:abstractNumId w:val="18"/>
  </w:num>
  <w:num w:numId="25">
    <w:abstractNumId w:val="18"/>
  </w:num>
  <w:num w:numId="26">
    <w:abstractNumId w:val="4"/>
  </w:num>
  <w:num w:numId="27">
    <w:abstractNumId w:val="18"/>
  </w:num>
  <w:num w:numId="28">
    <w:abstractNumId w:val="15"/>
  </w:num>
  <w:num w:numId="29">
    <w:abstractNumId w:val="27"/>
  </w:num>
  <w:num w:numId="30">
    <w:abstractNumId w:val="18"/>
  </w:num>
  <w:num w:numId="31">
    <w:abstractNumId w:val="14"/>
  </w:num>
  <w:num w:numId="32">
    <w:abstractNumId w:val="29"/>
  </w:num>
  <w:num w:numId="33">
    <w:abstractNumId w:val="18"/>
  </w:num>
  <w:num w:numId="34">
    <w:abstractNumId w:val="21"/>
  </w:num>
  <w:num w:numId="35">
    <w:abstractNumId w:val="22"/>
  </w:num>
  <w:num w:numId="36">
    <w:abstractNumId w:val="2"/>
  </w:num>
  <w:num w:numId="37">
    <w:abstractNumId w:val="0"/>
  </w:num>
  <w:num w:numId="38">
    <w:abstractNumId w:val="10"/>
  </w:num>
  <w:num w:numId="39">
    <w:abstractNumId w:val="6"/>
  </w:num>
  <w:num w:numId="40">
    <w:abstractNumId w:val="8"/>
  </w:num>
  <w:num w:numId="4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854"/>
    <w:rsid w:val="0000110B"/>
    <w:rsid w:val="00003499"/>
    <w:rsid w:val="000039B7"/>
    <w:rsid w:val="00003AE4"/>
    <w:rsid w:val="000046C8"/>
    <w:rsid w:val="00004994"/>
    <w:rsid w:val="000129D4"/>
    <w:rsid w:val="00013247"/>
    <w:rsid w:val="00013E01"/>
    <w:rsid w:val="00015592"/>
    <w:rsid w:val="00015886"/>
    <w:rsid w:val="000162EF"/>
    <w:rsid w:val="0001763E"/>
    <w:rsid w:val="0001779D"/>
    <w:rsid w:val="00020253"/>
    <w:rsid w:val="0002225F"/>
    <w:rsid w:val="00023763"/>
    <w:rsid w:val="000243C2"/>
    <w:rsid w:val="00030CE2"/>
    <w:rsid w:val="00033863"/>
    <w:rsid w:val="00035D8E"/>
    <w:rsid w:val="00035DC0"/>
    <w:rsid w:val="00036829"/>
    <w:rsid w:val="00040895"/>
    <w:rsid w:val="00043C37"/>
    <w:rsid w:val="00045017"/>
    <w:rsid w:val="00045A2B"/>
    <w:rsid w:val="0004698F"/>
    <w:rsid w:val="000518B7"/>
    <w:rsid w:val="000539D0"/>
    <w:rsid w:val="00054621"/>
    <w:rsid w:val="000546D7"/>
    <w:rsid w:val="0005536E"/>
    <w:rsid w:val="00066360"/>
    <w:rsid w:val="000677F5"/>
    <w:rsid w:val="00071248"/>
    <w:rsid w:val="00071396"/>
    <w:rsid w:val="0007144F"/>
    <w:rsid w:val="00071CE4"/>
    <w:rsid w:val="000720B9"/>
    <w:rsid w:val="000737F7"/>
    <w:rsid w:val="000741E7"/>
    <w:rsid w:val="000743B7"/>
    <w:rsid w:val="0007672F"/>
    <w:rsid w:val="0007723B"/>
    <w:rsid w:val="000774F0"/>
    <w:rsid w:val="00080909"/>
    <w:rsid w:val="00080A74"/>
    <w:rsid w:val="000812CA"/>
    <w:rsid w:val="000813DF"/>
    <w:rsid w:val="000814D0"/>
    <w:rsid w:val="0008258D"/>
    <w:rsid w:val="00083814"/>
    <w:rsid w:val="00083E99"/>
    <w:rsid w:val="000856C5"/>
    <w:rsid w:val="0008688D"/>
    <w:rsid w:val="00087B73"/>
    <w:rsid w:val="00090C7E"/>
    <w:rsid w:val="00092600"/>
    <w:rsid w:val="0009262B"/>
    <w:rsid w:val="00093310"/>
    <w:rsid w:val="0009445C"/>
    <w:rsid w:val="00094AFE"/>
    <w:rsid w:val="00095FE5"/>
    <w:rsid w:val="00096284"/>
    <w:rsid w:val="00096ADC"/>
    <w:rsid w:val="000A0B0F"/>
    <w:rsid w:val="000A3D8A"/>
    <w:rsid w:val="000A441D"/>
    <w:rsid w:val="000A7D08"/>
    <w:rsid w:val="000B0670"/>
    <w:rsid w:val="000B0D17"/>
    <w:rsid w:val="000B0E75"/>
    <w:rsid w:val="000B2D87"/>
    <w:rsid w:val="000B60A6"/>
    <w:rsid w:val="000B6CAC"/>
    <w:rsid w:val="000B7612"/>
    <w:rsid w:val="000B7FF6"/>
    <w:rsid w:val="000C3563"/>
    <w:rsid w:val="000C3DF9"/>
    <w:rsid w:val="000C6713"/>
    <w:rsid w:val="000C677D"/>
    <w:rsid w:val="000D1BFC"/>
    <w:rsid w:val="000D281A"/>
    <w:rsid w:val="000D326A"/>
    <w:rsid w:val="000D51FB"/>
    <w:rsid w:val="000D6F55"/>
    <w:rsid w:val="000D734E"/>
    <w:rsid w:val="000E092C"/>
    <w:rsid w:val="000E135D"/>
    <w:rsid w:val="000E7294"/>
    <w:rsid w:val="000F00BA"/>
    <w:rsid w:val="000F316A"/>
    <w:rsid w:val="000F3C74"/>
    <w:rsid w:val="000F4BB8"/>
    <w:rsid w:val="000F6C8D"/>
    <w:rsid w:val="000F7127"/>
    <w:rsid w:val="00100094"/>
    <w:rsid w:val="0010015F"/>
    <w:rsid w:val="00100F8A"/>
    <w:rsid w:val="001044B3"/>
    <w:rsid w:val="00105AE2"/>
    <w:rsid w:val="00106B80"/>
    <w:rsid w:val="0011032E"/>
    <w:rsid w:val="00111898"/>
    <w:rsid w:val="0011348B"/>
    <w:rsid w:val="00115143"/>
    <w:rsid w:val="00115982"/>
    <w:rsid w:val="00116A01"/>
    <w:rsid w:val="00116C53"/>
    <w:rsid w:val="001173E1"/>
    <w:rsid w:val="0012067A"/>
    <w:rsid w:val="00121799"/>
    <w:rsid w:val="001222FC"/>
    <w:rsid w:val="00124A51"/>
    <w:rsid w:val="00126621"/>
    <w:rsid w:val="001301E9"/>
    <w:rsid w:val="0013057B"/>
    <w:rsid w:val="00130E4C"/>
    <w:rsid w:val="00131D82"/>
    <w:rsid w:val="00132E01"/>
    <w:rsid w:val="00133D36"/>
    <w:rsid w:val="001366AB"/>
    <w:rsid w:val="00137645"/>
    <w:rsid w:val="0014015A"/>
    <w:rsid w:val="00140E99"/>
    <w:rsid w:val="00141BAC"/>
    <w:rsid w:val="00142F0E"/>
    <w:rsid w:val="001432C8"/>
    <w:rsid w:val="00145540"/>
    <w:rsid w:val="001456B0"/>
    <w:rsid w:val="0014592A"/>
    <w:rsid w:val="00147101"/>
    <w:rsid w:val="00150802"/>
    <w:rsid w:val="00155B8E"/>
    <w:rsid w:val="00157130"/>
    <w:rsid w:val="001576B1"/>
    <w:rsid w:val="00160A4C"/>
    <w:rsid w:val="0016226E"/>
    <w:rsid w:val="00162913"/>
    <w:rsid w:val="00162ACE"/>
    <w:rsid w:val="00163971"/>
    <w:rsid w:val="00163EFF"/>
    <w:rsid w:val="001661FB"/>
    <w:rsid w:val="00166632"/>
    <w:rsid w:val="00167EEF"/>
    <w:rsid w:val="00170CFB"/>
    <w:rsid w:val="00171D12"/>
    <w:rsid w:val="00173565"/>
    <w:rsid w:val="00173B07"/>
    <w:rsid w:val="00181D9C"/>
    <w:rsid w:val="00185CE5"/>
    <w:rsid w:val="0018752F"/>
    <w:rsid w:val="00192373"/>
    <w:rsid w:val="00193183"/>
    <w:rsid w:val="00195222"/>
    <w:rsid w:val="00196AE4"/>
    <w:rsid w:val="001975D8"/>
    <w:rsid w:val="001A0E4D"/>
    <w:rsid w:val="001A1088"/>
    <w:rsid w:val="001A187A"/>
    <w:rsid w:val="001A43FA"/>
    <w:rsid w:val="001A4BFA"/>
    <w:rsid w:val="001A53E0"/>
    <w:rsid w:val="001A59FB"/>
    <w:rsid w:val="001A6354"/>
    <w:rsid w:val="001A6905"/>
    <w:rsid w:val="001A70BA"/>
    <w:rsid w:val="001A7AE8"/>
    <w:rsid w:val="001A7EFD"/>
    <w:rsid w:val="001B0FD6"/>
    <w:rsid w:val="001B204E"/>
    <w:rsid w:val="001B3443"/>
    <w:rsid w:val="001B4D20"/>
    <w:rsid w:val="001B55CE"/>
    <w:rsid w:val="001C0867"/>
    <w:rsid w:val="001C2A9B"/>
    <w:rsid w:val="001C4299"/>
    <w:rsid w:val="001C5F14"/>
    <w:rsid w:val="001C5F94"/>
    <w:rsid w:val="001C6E66"/>
    <w:rsid w:val="001D3281"/>
    <w:rsid w:val="001D4A63"/>
    <w:rsid w:val="001D4F09"/>
    <w:rsid w:val="001E238E"/>
    <w:rsid w:val="001E2483"/>
    <w:rsid w:val="001E29EA"/>
    <w:rsid w:val="001E2B1E"/>
    <w:rsid w:val="001E2DB7"/>
    <w:rsid w:val="001E2DD4"/>
    <w:rsid w:val="001E30AF"/>
    <w:rsid w:val="001E30D4"/>
    <w:rsid w:val="001E3316"/>
    <w:rsid w:val="001E3819"/>
    <w:rsid w:val="001E3ED0"/>
    <w:rsid w:val="001E4428"/>
    <w:rsid w:val="001E52EB"/>
    <w:rsid w:val="001E61D2"/>
    <w:rsid w:val="001E6288"/>
    <w:rsid w:val="001E740C"/>
    <w:rsid w:val="001E78E0"/>
    <w:rsid w:val="001E7D97"/>
    <w:rsid w:val="001F1235"/>
    <w:rsid w:val="001F1CB3"/>
    <w:rsid w:val="001F1D24"/>
    <w:rsid w:val="001F38B5"/>
    <w:rsid w:val="001F4D1E"/>
    <w:rsid w:val="001F6228"/>
    <w:rsid w:val="001F7361"/>
    <w:rsid w:val="00200089"/>
    <w:rsid w:val="002003E7"/>
    <w:rsid w:val="002011B0"/>
    <w:rsid w:val="00203181"/>
    <w:rsid w:val="00203783"/>
    <w:rsid w:val="0020385F"/>
    <w:rsid w:val="00207021"/>
    <w:rsid w:val="0020732F"/>
    <w:rsid w:val="002074A5"/>
    <w:rsid w:val="002075DD"/>
    <w:rsid w:val="00207D00"/>
    <w:rsid w:val="002103F8"/>
    <w:rsid w:val="002105C1"/>
    <w:rsid w:val="002115A6"/>
    <w:rsid w:val="0021355D"/>
    <w:rsid w:val="00221B75"/>
    <w:rsid w:val="00221EB5"/>
    <w:rsid w:val="00223B49"/>
    <w:rsid w:val="00224C1F"/>
    <w:rsid w:val="00224DD4"/>
    <w:rsid w:val="00226C34"/>
    <w:rsid w:val="00227315"/>
    <w:rsid w:val="002309CC"/>
    <w:rsid w:val="0023209F"/>
    <w:rsid w:val="0023238A"/>
    <w:rsid w:val="002326AC"/>
    <w:rsid w:val="002339C1"/>
    <w:rsid w:val="00234253"/>
    <w:rsid w:val="002345E7"/>
    <w:rsid w:val="0023629D"/>
    <w:rsid w:val="00237255"/>
    <w:rsid w:val="00241976"/>
    <w:rsid w:val="00242161"/>
    <w:rsid w:val="002424AF"/>
    <w:rsid w:val="002439DC"/>
    <w:rsid w:val="00244DC8"/>
    <w:rsid w:val="002458BA"/>
    <w:rsid w:val="0024636C"/>
    <w:rsid w:val="00246BA7"/>
    <w:rsid w:val="00247635"/>
    <w:rsid w:val="00247925"/>
    <w:rsid w:val="00247EFB"/>
    <w:rsid w:val="002514BB"/>
    <w:rsid w:val="00253D30"/>
    <w:rsid w:val="00254DCF"/>
    <w:rsid w:val="0025534B"/>
    <w:rsid w:val="00255BB7"/>
    <w:rsid w:val="00257541"/>
    <w:rsid w:val="0026205F"/>
    <w:rsid w:val="00262A1A"/>
    <w:rsid w:val="00262A87"/>
    <w:rsid w:val="00264D26"/>
    <w:rsid w:val="00266229"/>
    <w:rsid w:val="00267642"/>
    <w:rsid w:val="00267AEA"/>
    <w:rsid w:val="002700E6"/>
    <w:rsid w:val="002704D4"/>
    <w:rsid w:val="00272937"/>
    <w:rsid w:val="0027294B"/>
    <w:rsid w:val="0027344B"/>
    <w:rsid w:val="00273FE5"/>
    <w:rsid w:val="002742C8"/>
    <w:rsid w:val="0027449F"/>
    <w:rsid w:val="00275C5A"/>
    <w:rsid w:val="00277664"/>
    <w:rsid w:val="00281014"/>
    <w:rsid w:val="002819C3"/>
    <w:rsid w:val="0028414B"/>
    <w:rsid w:val="0028514C"/>
    <w:rsid w:val="00285786"/>
    <w:rsid w:val="00290DE2"/>
    <w:rsid w:val="00291CD5"/>
    <w:rsid w:val="00294B16"/>
    <w:rsid w:val="00294F09"/>
    <w:rsid w:val="002A0B1F"/>
    <w:rsid w:val="002A14AB"/>
    <w:rsid w:val="002A2F50"/>
    <w:rsid w:val="002A405F"/>
    <w:rsid w:val="002A7DC2"/>
    <w:rsid w:val="002B059A"/>
    <w:rsid w:val="002B08D4"/>
    <w:rsid w:val="002B09A4"/>
    <w:rsid w:val="002B1C1F"/>
    <w:rsid w:val="002B432F"/>
    <w:rsid w:val="002B5AC2"/>
    <w:rsid w:val="002B62B3"/>
    <w:rsid w:val="002B6754"/>
    <w:rsid w:val="002B6ACF"/>
    <w:rsid w:val="002B6AF4"/>
    <w:rsid w:val="002B6CCE"/>
    <w:rsid w:val="002C2510"/>
    <w:rsid w:val="002C2775"/>
    <w:rsid w:val="002C27C1"/>
    <w:rsid w:val="002C41BC"/>
    <w:rsid w:val="002C5099"/>
    <w:rsid w:val="002C5889"/>
    <w:rsid w:val="002C71CE"/>
    <w:rsid w:val="002C7329"/>
    <w:rsid w:val="002D066D"/>
    <w:rsid w:val="002D210C"/>
    <w:rsid w:val="002D2810"/>
    <w:rsid w:val="002D3298"/>
    <w:rsid w:val="002D577C"/>
    <w:rsid w:val="002D59E9"/>
    <w:rsid w:val="002D60CE"/>
    <w:rsid w:val="002D74AE"/>
    <w:rsid w:val="002D78DE"/>
    <w:rsid w:val="002E15B9"/>
    <w:rsid w:val="002E2158"/>
    <w:rsid w:val="002E2760"/>
    <w:rsid w:val="002E46C8"/>
    <w:rsid w:val="002E497D"/>
    <w:rsid w:val="002E5D2B"/>
    <w:rsid w:val="002E5DEC"/>
    <w:rsid w:val="002E7722"/>
    <w:rsid w:val="002E7B37"/>
    <w:rsid w:val="002F07BA"/>
    <w:rsid w:val="002F0DA9"/>
    <w:rsid w:val="002F638A"/>
    <w:rsid w:val="002F643C"/>
    <w:rsid w:val="002F71C0"/>
    <w:rsid w:val="00300645"/>
    <w:rsid w:val="00301017"/>
    <w:rsid w:val="0030155F"/>
    <w:rsid w:val="0030255E"/>
    <w:rsid w:val="0030587B"/>
    <w:rsid w:val="00305BC2"/>
    <w:rsid w:val="00305EEC"/>
    <w:rsid w:val="00306D98"/>
    <w:rsid w:val="0030786C"/>
    <w:rsid w:val="0031031A"/>
    <w:rsid w:val="00310981"/>
    <w:rsid w:val="00312483"/>
    <w:rsid w:val="00313938"/>
    <w:rsid w:val="00315498"/>
    <w:rsid w:val="003173E0"/>
    <w:rsid w:val="0032138D"/>
    <w:rsid w:val="00321A05"/>
    <w:rsid w:val="00322107"/>
    <w:rsid w:val="0032283B"/>
    <w:rsid w:val="00322846"/>
    <w:rsid w:val="00326DA7"/>
    <w:rsid w:val="003270E4"/>
    <w:rsid w:val="00330F5C"/>
    <w:rsid w:val="00333D60"/>
    <w:rsid w:val="003366C9"/>
    <w:rsid w:val="003371B0"/>
    <w:rsid w:val="003371FD"/>
    <w:rsid w:val="00340DF1"/>
    <w:rsid w:val="00340E28"/>
    <w:rsid w:val="003438A8"/>
    <w:rsid w:val="00344372"/>
    <w:rsid w:val="003460D3"/>
    <w:rsid w:val="003517F9"/>
    <w:rsid w:val="0035620E"/>
    <w:rsid w:val="003574DC"/>
    <w:rsid w:val="003624C4"/>
    <w:rsid w:val="003654AC"/>
    <w:rsid w:val="00366282"/>
    <w:rsid w:val="00366EEF"/>
    <w:rsid w:val="0037043D"/>
    <w:rsid w:val="003710CF"/>
    <w:rsid w:val="0037358A"/>
    <w:rsid w:val="00374F2C"/>
    <w:rsid w:val="003750F6"/>
    <w:rsid w:val="00375DCB"/>
    <w:rsid w:val="003760FC"/>
    <w:rsid w:val="00380738"/>
    <w:rsid w:val="0038365C"/>
    <w:rsid w:val="0038369B"/>
    <w:rsid w:val="00383B78"/>
    <w:rsid w:val="00384242"/>
    <w:rsid w:val="00384D65"/>
    <w:rsid w:val="00385A9D"/>
    <w:rsid w:val="00386A95"/>
    <w:rsid w:val="00386F69"/>
    <w:rsid w:val="003902B1"/>
    <w:rsid w:val="003905A1"/>
    <w:rsid w:val="00396671"/>
    <w:rsid w:val="00396896"/>
    <w:rsid w:val="00396FD0"/>
    <w:rsid w:val="003A14DB"/>
    <w:rsid w:val="003A1A7A"/>
    <w:rsid w:val="003A1D96"/>
    <w:rsid w:val="003A2392"/>
    <w:rsid w:val="003A2831"/>
    <w:rsid w:val="003A3ED1"/>
    <w:rsid w:val="003A4ABD"/>
    <w:rsid w:val="003B3D4B"/>
    <w:rsid w:val="003B4D85"/>
    <w:rsid w:val="003B5B61"/>
    <w:rsid w:val="003C1654"/>
    <w:rsid w:val="003C190F"/>
    <w:rsid w:val="003C2FAD"/>
    <w:rsid w:val="003C3FE9"/>
    <w:rsid w:val="003C534E"/>
    <w:rsid w:val="003C7D19"/>
    <w:rsid w:val="003D0809"/>
    <w:rsid w:val="003D0C7A"/>
    <w:rsid w:val="003D1828"/>
    <w:rsid w:val="003D1DE4"/>
    <w:rsid w:val="003D2422"/>
    <w:rsid w:val="003D3016"/>
    <w:rsid w:val="003D39A1"/>
    <w:rsid w:val="003D3FBF"/>
    <w:rsid w:val="003D4A30"/>
    <w:rsid w:val="003D515D"/>
    <w:rsid w:val="003D6B2E"/>
    <w:rsid w:val="003D79BB"/>
    <w:rsid w:val="003D7A9A"/>
    <w:rsid w:val="003D7C98"/>
    <w:rsid w:val="003E0543"/>
    <w:rsid w:val="003E1224"/>
    <w:rsid w:val="003E345E"/>
    <w:rsid w:val="003E4B2A"/>
    <w:rsid w:val="003E54FF"/>
    <w:rsid w:val="003E62C9"/>
    <w:rsid w:val="003E6704"/>
    <w:rsid w:val="003E7A28"/>
    <w:rsid w:val="003F4156"/>
    <w:rsid w:val="003F5006"/>
    <w:rsid w:val="003F776E"/>
    <w:rsid w:val="00400B29"/>
    <w:rsid w:val="00401EC2"/>
    <w:rsid w:val="0040504B"/>
    <w:rsid w:val="00405F81"/>
    <w:rsid w:val="00410708"/>
    <w:rsid w:val="00410840"/>
    <w:rsid w:val="00410EC7"/>
    <w:rsid w:val="00410EEA"/>
    <w:rsid w:val="004118C4"/>
    <w:rsid w:val="00411B39"/>
    <w:rsid w:val="00413A1E"/>
    <w:rsid w:val="00414476"/>
    <w:rsid w:val="00414C2E"/>
    <w:rsid w:val="004151CF"/>
    <w:rsid w:val="00416364"/>
    <w:rsid w:val="0041679B"/>
    <w:rsid w:val="00416D40"/>
    <w:rsid w:val="00420881"/>
    <w:rsid w:val="00420AA6"/>
    <w:rsid w:val="00420B9F"/>
    <w:rsid w:val="00420FF3"/>
    <w:rsid w:val="00422260"/>
    <w:rsid w:val="00422B5B"/>
    <w:rsid w:val="0042413F"/>
    <w:rsid w:val="00425FF1"/>
    <w:rsid w:val="004300DA"/>
    <w:rsid w:val="004319F8"/>
    <w:rsid w:val="00431E55"/>
    <w:rsid w:val="004321F6"/>
    <w:rsid w:val="00433044"/>
    <w:rsid w:val="004338EB"/>
    <w:rsid w:val="00435972"/>
    <w:rsid w:val="00436EDA"/>
    <w:rsid w:val="004375B9"/>
    <w:rsid w:val="004428D0"/>
    <w:rsid w:val="00443A1F"/>
    <w:rsid w:val="004443A7"/>
    <w:rsid w:val="0044442C"/>
    <w:rsid w:val="00445941"/>
    <w:rsid w:val="004464EB"/>
    <w:rsid w:val="004471E2"/>
    <w:rsid w:val="00447879"/>
    <w:rsid w:val="00447D26"/>
    <w:rsid w:val="00450725"/>
    <w:rsid w:val="00450D75"/>
    <w:rsid w:val="0045191B"/>
    <w:rsid w:val="00451DC9"/>
    <w:rsid w:val="004525F3"/>
    <w:rsid w:val="00455CA5"/>
    <w:rsid w:val="00455D45"/>
    <w:rsid w:val="00457FF5"/>
    <w:rsid w:val="00463BA6"/>
    <w:rsid w:val="00464595"/>
    <w:rsid w:val="00464910"/>
    <w:rsid w:val="004665B6"/>
    <w:rsid w:val="00470C21"/>
    <w:rsid w:val="00472A79"/>
    <w:rsid w:val="00473517"/>
    <w:rsid w:val="00473F19"/>
    <w:rsid w:val="00473FA3"/>
    <w:rsid w:val="00475724"/>
    <w:rsid w:val="00475B8B"/>
    <w:rsid w:val="00475E22"/>
    <w:rsid w:val="0047755A"/>
    <w:rsid w:val="0048088E"/>
    <w:rsid w:val="00482720"/>
    <w:rsid w:val="004835E7"/>
    <w:rsid w:val="00484E03"/>
    <w:rsid w:val="00485771"/>
    <w:rsid w:val="004860C2"/>
    <w:rsid w:val="004867E2"/>
    <w:rsid w:val="004915BD"/>
    <w:rsid w:val="00491B3A"/>
    <w:rsid w:val="00492CFD"/>
    <w:rsid w:val="00494DD5"/>
    <w:rsid w:val="004962D2"/>
    <w:rsid w:val="00497B46"/>
    <w:rsid w:val="004A0DA1"/>
    <w:rsid w:val="004A3F01"/>
    <w:rsid w:val="004A52E9"/>
    <w:rsid w:val="004A6597"/>
    <w:rsid w:val="004A736B"/>
    <w:rsid w:val="004A7848"/>
    <w:rsid w:val="004A7F1B"/>
    <w:rsid w:val="004B17C0"/>
    <w:rsid w:val="004B1CB4"/>
    <w:rsid w:val="004B2F18"/>
    <w:rsid w:val="004B3DDB"/>
    <w:rsid w:val="004B44FD"/>
    <w:rsid w:val="004B5CFC"/>
    <w:rsid w:val="004B61C7"/>
    <w:rsid w:val="004B6269"/>
    <w:rsid w:val="004B7330"/>
    <w:rsid w:val="004B774D"/>
    <w:rsid w:val="004C151B"/>
    <w:rsid w:val="004C450C"/>
    <w:rsid w:val="004C4AED"/>
    <w:rsid w:val="004C4DE2"/>
    <w:rsid w:val="004C6643"/>
    <w:rsid w:val="004D006C"/>
    <w:rsid w:val="004D2C2D"/>
    <w:rsid w:val="004D39EF"/>
    <w:rsid w:val="004D4FEC"/>
    <w:rsid w:val="004D57F5"/>
    <w:rsid w:val="004D7227"/>
    <w:rsid w:val="004E07F6"/>
    <w:rsid w:val="004E0E7F"/>
    <w:rsid w:val="004E0EB8"/>
    <w:rsid w:val="004E2ADC"/>
    <w:rsid w:val="004E3013"/>
    <w:rsid w:val="004E43B2"/>
    <w:rsid w:val="004E65E1"/>
    <w:rsid w:val="004F0B99"/>
    <w:rsid w:val="004F1D02"/>
    <w:rsid w:val="004F2679"/>
    <w:rsid w:val="004F2F21"/>
    <w:rsid w:val="004F430B"/>
    <w:rsid w:val="004F5D98"/>
    <w:rsid w:val="004F6184"/>
    <w:rsid w:val="004F6913"/>
    <w:rsid w:val="004F7865"/>
    <w:rsid w:val="004F7EEA"/>
    <w:rsid w:val="00501A48"/>
    <w:rsid w:val="00501C51"/>
    <w:rsid w:val="00501EC7"/>
    <w:rsid w:val="0050219B"/>
    <w:rsid w:val="00503F17"/>
    <w:rsid w:val="00504C03"/>
    <w:rsid w:val="00505AEE"/>
    <w:rsid w:val="0050679B"/>
    <w:rsid w:val="00506928"/>
    <w:rsid w:val="005152B5"/>
    <w:rsid w:val="005164BD"/>
    <w:rsid w:val="00521319"/>
    <w:rsid w:val="00522BC8"/>
    <w:rsid w:val="00523C28"/>
    <w:rsid w:val="0052508A"/>
    <w:rsid w:val="005254C1"/>
    <w:rsid w:val="00526307"/>
    <w:rsid w:val="00526CB2"/>
    <w:rsid w:val="00533E86"/>
    <w:rsid w:val="00534286"/>
    <w:rsid w:val="005361A7"/>
    <w:rsid w:val="005365E5"/>
    <w:rsid w:val="00536F42"/>
    <w:rsid w:val="00537182"/>
    <w:rsid w:val="00540561"/>
    <w:rsid w:val="0054223B"/>
    <w:rsid w:val="00542743"/>
    <w:rsid w:val="00542C2D"/>
    <w:rsid w:val="0054305E"/>
    <w:rsid w:val="0054307A"/>
    <w:rsid w:val="00544CB2"/>
    <w:rsid w:val="005451E6"/>
    <w:rsid w:val="00551985"/>
    <w:rsid w:val="00552BD3"/>
    <w:rsid w:val="00553DAC"/>
    <w:rsid w:val="00554D1E"/>
    <w:rsid w:val="00555109"/>
    <w:rsid w:val="00560BD0"/>
    <w:rsid w:val="00560F48"/>
    <w:rsid w:val="0056100C"/>
    <w:rsid w:val="00561B01"/>
    <w:rsid w:val="0056696F"/>
    <w:rsid w:val="00570E79"/>
    <w:rsid w:val="00570EB7"/>
    <w:rsid w:val="00571177"/>
    <w:rsid w:val="00571B7C"/>
    <w:rsid w:val="00572072"/>
    <w:rsid w:val="005720E9"/>
    <w:rsid w:val="00572269"/>
    <w:rsid w:val="0057244A"/>
    <w:rsid w:val="00572D7B"/>
    <w:rsid w:val="00575D8D"/>
    <w:rsid w:val="00576972"/>
    <w:rsid w:val="00580ED8"/>
    <w:rsid w:val="005811E3"/>
    <w:rsid w:val="00582D9E"/>
    <w:rsid w:val="00583699"/>
    <w:rsid w:val="00585215"/>
    <w:rsid w:val="0058586F"/>
    <w:rsid w:val="00585CDD"/>
    <w:rsid w:val="005863F0"/>
    <w:rsid w:val="00586A47"/>
    <w:rsid w:val="00586C82"/>
    <w:rsid w:val="00587058"/>
    <w:rsid w:val="005907AF"/>
    <w:rsid w:val="00591957"/>
    <w:rsid w:val="005921B8"/>
    <w:rsid w:val="00592DF6"/>
    <w:rsid w:val="00596C80"/>
    <w:rsid w:val="00596EAA"/>
    <w:rsid w:val="0059752E"/>
    <w:rsid w:val="00597B78"/>
    <w:rsid w:val="00597BF9"/>
    <w:rsid w:val="005A0CA2"/>
    <w:rsid w:val="005A373D"/>
    <w:rsid w:val="005A4CBA"/>
    <w:rsid w:val="005A7B34"/>
    <w:rsid w:val="005B0211"/>
    <w:rsid w:val="005B1B27"/>
    <w:rsid w:val="005B3977"/>
    <w:rsid w:val="005B5857"/>
    <w:rsid w:val="005B63D8"/>
    <w:rsid w:val="005B6AB9"/>
    <w:rsid w:val="005C1B83"/>
    <w:rsid w:val="005C2279"/>
    <w:rsid w:val="005C2D55"/>
    <w:rsid w:val="005C346B"/>
    <w:rsid w:val="005C535B"/>
    <w:rsid w:val="005C59B4"/>
    <w:rsid w:val="005C77FF"/>
    <w:rsid w:val="005D044D"/>
    <w:rsid w:val="005D0ABD"/>
    <w:rsid w:val="005D18AD"/>
    <w:rsid w:val="005D1FD1"/>
    <w:rsid w:val="005D26B4"/>
    <w:rsid w:val="005D3577"/>
    <w:rsid w:val="005D3D07"/>
    <w:rsid w:val="005D64D7"/>
    <w:rsid w:val="005E186D"/>
    <w:rsid w:val="005E2524"/>
    <w:rsid w:val="005E6CBC"/>
    <w:rsid w:val="005E730A"/>
    <w:rsid w:val="005E73C0"/>
    <w:rsid w:val="005F2706"/>
    <w:rsid w:val="005F274B"/>
    <w:rsid w:val="005F2A0E"/>
    <w:rsid w:val="005F5798"/>
    <w:rsid w:val="005F6A8F"/>
    <w:rsid w:val="0060109D"/>
    <w:rsid w:val="00603DB9"/>
    <w:rsid w:val="0060688A"/>
    <w:rsid w:val="00607669"/>
    <w:rsid w:val="00607AFD"/>
    <w:rsid w:val="0061038D"/>
    <w:rsid w:val="006118E0"/>
    <w:rsid w:val="0061223A"/>
    <w:rsid w:val="00612F97"/>
    <w:rsid w:val="0061345D"/>
    <w:rsid w:val="00613C8C"/>
    <w:rsid w:val="00614E28"/>
    <w:rsid w:val="00616802"/>
    <w:rsid w:val="006175FC"/>
    <w:rsid w:val="0061770D"/>
    <w:rsid w:val="00617832"/>
    <w:rsid w:val="00617E12"/>
    <w:rsid w:val="00621477"/>
    <w:rsid w:val="00622926"/>
    <w:rsid w:val="00624142"/>
    <w:rsid w:val="00625178"/>
    <w:rsid w:val="00626E24"/>
    <w:rsid w:val="00630CF8"/>
    <w:rsid w:val="006310B0"/>
    <w:rsid w:val="0063158F"/>
    <w:rsid w:val="006317C7"/>
    <w:rsid w:val="00631853"/>
    <w:rsid w:val="00631D6B"/>
    <w:rsid w:val="00632D96"/>
    <w:rsid w:val="006330A1"/>
    <w:rsid w:val="00633DD6"/>
    <w:rsid w:val="0063479F"/>
    <w:rsid w:val="006353F0"/>
    <w:rsid w:val="00635DD7"/>
    <w:rsid w:val="00635FDC"/>
    <w:rsid w:val="006364A1"/>
    <w:rsid w:val="00637BFD"/>
    <w:rsid w:val="00641575"/>
    <w:rsid w:val="00641A47"/>
    <w:rsid w:val="00641C4E"/>
    <w:rsid w:val="006471CC"/>
    <w:rsid w:val="00650247"/>
    <w:rsid w:val="006503E0"/>
    <w:rsid w:val="0065079F"/>
    <w:rsid w:val="0065174D"/>
    <w:rsid w:val="0065379F"/>
    <w:rsid w:val="006559E3"/>
    <w:rsid w:val="00655B1A"/>
    <w:rsid w:val="00660746"/>
    <w:rsid w:val="00661C6B"/>
    <w:rsid w:val="00662D7E"/>
    <w:rsid w:val="00662E0F"/>
    <w:rsid w:val="006654FF"/>
    <w:rsid w:val="00665704"/>
    <w:rsid w:val="00665EB3"/>
    <w:rsid w:val="0066793B"/>
    <w:rsid w:val="00672CE5"/>
    <w:rsid w:val="00674E42"/>
    <w:rsid w:val="006813BE"/>
    <w:rsid w:val="00682112"/>
    <w:rsid w:val="006837EF"/>
    <w:rsid w:val="00683EC3"/>
    <w:rsid w:val="00686922"/>
    <w:rsid w:val="00686957"/>
    <w:rsid w:val="006872BA"/>
    <w:rsid w:val="00687FF8"/>
    <w:rsid w:val="0069050F"/>
    <w:rsid w:val="00691648"/>
    <w:rsid w:val="006917D7"/>
    <w:rsid w:val="0069239B"/>
    <w:rsid w:val="00693EF8"/>
    <w:rsid w:val="00694F44"/>
    <w:rsid w:val="00695C70"/>
    <w:rsid w:val="00696C6A"/>
    <w:rsid w:val="006A2929"/>
    <w:rsid w:val="006A6C54"/>
    <w:rsid w:val="006A7E5F"/>
    <w:rsid w:val="006B114F"/>
    <w:rsid w:val="006B261B"/>
    <w:rsid w:val="006B2704"/>
    <w:rsid w:val="006B2C90"/>
    <w:rsid w:val="006B3800"/>
    <w:rsid w:val="006B5037"/>
    <w:rsid w:val="006B5249"/>
    <w:rsid w:val="006B6DD0"/>
    <w:rsid w:val="006B75EC"/>
    <w:rsid w:val="006B7E84"/>
    <w:rsid w:val="006C0923"/>
    <w:rsid w:val="006C0F1F"/>
    <w:rsid w:val="006C2A8E"/>
    <w:rsid w:val="006C3C39"/>
    <w:rsid w:val="006C5E54"/>
    <w:rsid w:val="006C6DD2"/>
    <w:rsid w:val="006D3C7D"/>
    <w:rsid w:val="006D5D5F"/>
    <w:rsid w:val="006E05E3"/>
    <w:rsid w:val="006E654B"/>
    <w:rsid w:val="006E73AB"/>
    <w:rsid w:val="006E7A44"/>
    <w:rsid w:val="006F02A4"/>
    <w:rsid w:val="006F3004"/>
    <w:rsid w:val="006F306C"/>
    <w:rsid w:val="006F63A5"/>
    <w:rsid w:val="00700810"/>
    <w:rsid w:val="0070142B"/>
    <w:rsid w:val="0070276E"/>
    <w:rsid w:val="00702F8F"/>
    <w:rsid w:val="00705A59"/>
    <w:rsid w:val="00705D5D"/>
    <w:rsid w:val="00710828"/>
    <w:rsid w:val="00711083"/>
    <w:rsid w:val="00711A36"/>
    <w:rsid w:val="00711C44"/>
    <w:rsid w:val="00714B22"/>
    <w:rsid w:val="0071529C"/>
    <w:rsid w:val="007172AD"/>
    <w:rsid w:val="00722B1B"/>
    <w:rsid w:val="0072416F"/>
    <w:rsid w:val="0072441D"/>
    <w:rsid w:val="00724759"/>
    <w:rsid w:val="007268FA"/>
    <w:rsid w:val="00726D10"/>
    <w:rsid w:val="00727782"/>
    <w:rsid w:val="00727C94"/>
    <w:rsid w:val="00731EAE"/>
    <w:rsid w:val="00732194"/>
    <w:rsid w:val="00735033"/>
    <w:rsid w:val="00735328"/>
    <w:rsid w:val="007356E8"/>
    <w:rsid w:val="0073685B"/>
    <w:rsid w:val="00736C2D"/>
    <w:rsid w:val="00742B97"/>
    <w:rsid w:val="007444B3"/>
    <w:rsid w:val="007470E9"/>
    <w:rsid w:val="00747F4E"/>
    <w:rsid w:val="0075006F"/>
    <w:rsid w:val="00751F98"/>
    <w:rsid w:val="00752142"/>
    <w:rsid w:val="007523F9"/>
    <w:rsid w:val="00752A46"/>
    <w:rsid w:val="00754315"/>
    <w:rsid w:val="00755A0E"/>
    <w:rsid w:val="007573E8"/>
    <w:rsid w:val="00760C4E"/>
    <w:rsid w:val="00762845"/>
    <w:rsid w:val="007628F8"/>
    <w:rsid w:val="00762B05"/>
    <w:rsid w:val="00765B1A"/>
    <w:rsid w:val="007668CA"/>
    <w:rsid w:val="00770050"/>
    <w:rsid w:val="00783CB6"/>
    <w:rsid w:val="0078400A"/>
    <w:rsid w:val="007843F2"/>
    <w:rsid w:val="00785C20"/>
    <w:rsid w:val="00786EF3"/>
    <w:rsid w:val="00792005"/>
    <w:rsid w:val="007920BB"/>
    <w:rsid w:val="007931DB"/>
    <w:rsid w:val="007A0A12"/>
    <w:rsid w:val="007A132D"/>
    <w:rsid w:val="007A379A"/>
    <w:rsid w:val="007A4EB6"/>
    <w:rsid w:val="007A5026"/>
    <w:rsid w:val="007B0D68"/>
    <w:rsid w:val="007B140E"/>
    <w:rsid w:val="007B251D"/>
    <w:rsid w:val="007B2E81"/>
    <w:rsid w:val="007B3F1F"/>
    <w:rsid w:val="007B49FD"/>
    <w:rsid w:val="007B4F58"/>
    <w:rsid w:val="007B517A"/>
    <w:rsid w:val="007B528D"/>
    <w:rsid w:val="007B77D1"/>
    <w:rsid w:val="007C1A1B"/>
    <w:rsid w:val="007C1CD9"/>
    <w:rsid w:val="007C26A7"/>
    <w:rsid w:val="007C361D"/>
    <w:rsid w:val="007C4B84"/>
    <w:rsid w:val="007C66B4"/>
    <w:rsid w:val="007C70E9"/>
    <w:rsid w:val="007D004F"/>
    <w:rsid w:val="007D0B38"/>
    <w:rsid w:val="007D1B60"/>
    <w:rsid w:val="007D1FD6"/>
    <w:rsid w:val="007D2188"/>
    <w:rsid w:val="007D4552"/>
    <w:rsid w:val="007D5440"/>
    <w:rsid w:val="007E06D1"/>
    <w:rsid w:val="007F1017"/>
    <w:rsid w:val="007F125E"/>
    <w:rsid w:val="007F1AA6"/>
    <w:rsid w:val="007F4A3F"/>
    <w:rsid w:val="007F4A61"/>
    <w:rsid w:val="007F5D06"/>
    <w:rsid w:val="007F5E90"/>
    <w:rsid w:val="007F61C2"/>
    <w:rsid w:val="007F62EB"/>
    <w:rsid w:val="007F63EC"/>
    <w:rsid w:val="00805142"/>
    <w:rsid w:val="00807A8B"/>
    <w:rsid w:val="00811383"/>
    <w:rsid w:val="0081159E"/>
    <w:rsid w:val="00812149"/>
    <w:rsid w:val="00812CAC"/>
    <w:rsid w:val="008166EF"/>
    <w:rsid w:val="00823AF7"/>
    <w:rsid w:val="00824887"/>
    <w:rsid w:val="00825751"/>
    <w:rsid w:val="008264EB"/>
    <w:rsid w:val="00830736"/>
    <w:rsid w:val="008314EE"/>
    <w:rsid w:val="00831B41"/>
    <w:rsid w:val="00832CED"/>
    <w:rsid w:val="00833B05"/>
    <w:rsid w:val="008362B4"/>
    <w:rsid w:val="00840CA2"/>
    <w:rsid w:val="0084374F"/>
    <w:rsid w:val="00843BE2"/>
    <w:rsid w:val="00847DF5"/>
    <w:rsid w:val="0085309D"/>
    <w:rsid w:val="0085404E"/>
    <w:rsid w:val="00856897"/>
    <w:rsid w:val="00856E9A"/>
    <w:rsid w:val="0086075D"/>
    <w:rsid w:val="0086166A"/>
    <w:rsid w:val="0086195C"/>
    <w:rsid w:val="00862502"/>
    <w:rsid w:val="008660D4"/>
    <w:rsid w:val="00871FA9"/>
    <w:rsid w:val="008728E9"/>
    <w:rsid w:val="00874E30"/>
    <w:rsid w:val="00882874"/>
    <w:rsid w:val="00883787"/>
    <w:rsid w:val="00885745"/>
    <w:rsid w:val="0088696B"/>
    <w:rsid w:val="00886CD2"/>
    <w:rsid w:val="00890C9B"/>
    <w:rsid w:val="00891CE1"/>
    <w:rsid w:val="008920D9"/>
    <w:rsid w:val="00892A36"/>
    <w:rsid w:val="00893239"/>
    <w:rsid w:val="00894489"/>
    <w:rsid w:val="008963A5"/>
    <w:rsid w:val="00897DB2"/>
    <w:rsid w:val="008A1B6E"/>
    <w:rsid w:val="008A25E8"/>
    <w:rsid w:val="008A3363"/>
    <w:rsid w:val="008A3371"/>
    <w:rsid w:val="008A3C3E"/>
    <w:rsid w:val="008A79DE"/>
    <w:rsid w:val="008B00B3"/>
    <w:rsid w:val="008B059A"/>
    <w:rsid w:val="008B09E2"/>
    <w:rsid w:val="008B0E2F"/>
    <w:rsid w:val="008B1757"/>
    <w:rsid w:val="008B1B39"/>
    <w:rsid w:val="008B4126"/>
    <w:rsid w:val="008B7D7E"/>
    <w:rsid w:val="008C0669"/>
    <w:rsid w:val="008C0872"/>
    <w:rsid w:val="008C5078"/>
    <w:rsid w:val="008C68BA"/>
    <w:rsid w:val="008C7ECB"/>
    <w:rsid w:val="008D2001"/>
    <w:rsid w:val="008D36D6"/>
    <w:rsid w:val="008D3A38"/>
    <w:rsid w:val="008D3B71"/>
    <w:rsid w:val="008D45C2"/>
    <w:rsid w:val="008D4755"/>
    <w:rsid w:val="008D4C3D"/>
    <w:rsid w:val="008D5A26"/>
    <w:rsid w:val="008D7641"/>
    <w:rsid w:val="008E0D3C"/>
    <w:rsid w:val="008E1B9E"/>
    <w:rsid w:val="008E55AB"/>
    <w:rsid w:val="008E5936"/>
    <w:rsid w:val="008E5D6D"/>
    <w:rsid w:val="008E6A18"/>
    <w:rsid w:val="008E7AE1"/>
    <w:rsid w:val="008F120A"/>
    <w:rsid w:val="008F1266"/>
    <w:rsid w:val="008F27E0"/>
    <w:rsid w:val="008F2980"/>
    <w:rsid w:val="008F3ED5"/>
    <w:rsid w:val="008F455C"/>
    <w:rsid w:val="008F48EB"/>
    <w:rsid w:val="008F4F0B"/>
    <w:rsid w:val="008F5FF4"/>
    <w:rsid w:val="008F7970"/>
    <w:rsid w:val="00901CD2"/>
    <w:rsid w:val="00901FA5"/>
    <w:rsid w:val="009027A3"/>
    <w:rsid w:val="009046C4"/>
    <w:rsid w:val="009062A5"/>
    <w:rsid w:val="00911272"/>
    <w:rsid w:val="00912E5E"/>
    <w:rsid w:val="00913406"/>
    <w:rsid w:val="009135D6"/>
    <w:rsid w:val="00914C77"/>
    <w:rsid w:val="0091560F"/>
    <w:rsid w:val="00921D3D"/>
    <w:rsid w:val="0092369B"/>
    <w:rsid w:val="009272DF"/>
    <w:rsid w:val="00931EA3"/>
    <w:rsid w:val="009376CC"/>
    <w:rsid w:val="00942098"/>
    <w:rsid w:val="00942642"/>
    <w:rsid w:val="009510A2"/>
    <w:rsid w:val="00952224"/>
    <w:rsid w:val="009527BF"/>
    <w:rsid w:val="00953257"/>
    <w:rsid w:val="00953AD1"/>
    <w:rsid w:val="00954BC4"/>
    <w:rsid w:val="00955950"/>
    <w:rsid w:val="00956655"/>
    <w:rsid w:val="00960682"/>
    <w:rsid w:val="00962CB9"/>
    <w:rsid w:val="00963751"/>
    <w:rsid w:val="00964312"/>
    <w:rsid w:val="00964ACD"/>
    <w:rsid w:val="00965B8A"/>
    <w:rsid w:val="009717AC"/>
    <w:rsid w:val="0097190F"/>
    <w:rsid w:val="00975EEC"/>
    <w:rsid w:val="00976B9A"/>
    <w:rsid w:val="0098201F"/>
    <w:rsid w:val="00983E57"/>
    <w:rsid w:val="0098433B"/>
    <w:rsid w:val="009861C9"/>
    <w:rsid w:val="0098675D"/>
    <w:rsid w:val="00990198"/>
    <w:rsid w:val="0099225B"/>
    <w:rsid w:val="00994B39"/>
    <w:rsid w:val="009956D9"/>
    <w:rsid w:val="0099593A"/>
    <w:rsid w:val="00996B1A"/>
    <w:rsid w:val="00997814"/>
    <w:rsid w:val="009A15D6"/>
    <w:rsid w:val="009A2046"/>
    <w:rsid w:val="009A65BE"/>
    <w:rsid w:val="009A7E13"/>
    <w:rsid w:val="009A7E73"/>
    <w:rsid w:val="009A7F10"/>
    <w:rsid w:val="009B0265"/>
    <w:rsid w:val="009B36BE"/>
    <w:rsid w:val="009B3E26"/>
    <w:rsid w:val="009B731B"/>
    <w:rsid w:val="009C2BB4"/>
    <w:rsid w:val="009C5771"/>
    <w:rsid w:val="009C6523"/>
    <w:rsid w:val="009C6CEA"/>
    <w:rsid w:val="009C7701"/>
    <w:rsid w:val="009C7B85"/>
    <w:rsid w:val="009C7DEC"/>
    <w:rsid w:val="009D1406"/>
    <w:rsid w:val="009D1A23"/>
    <w:rsid w:val="009D5B91"/>
    <w:rsid w:val="009D792E"/>
    <w:rsid w:val="009E0DFE"/>
    <w:rsid w:val="009E155C"/>
    <w:rsid w:val="009E3A70"/>
    <w:rsid w:val="009E3AAF"/>
    <w:rsid w:val="009E4C07"/>
    <w:rsid w:val="009E7AAF"/>
    <w:rsid w:val="009F07EA"/>
    <w:rsid w:val="009F391A"/>
    <w:rsid w:val="009F4AA2"/>
    <w:rsid w:val="009F5228"/>
    <w:rsid w:val="00A01184"/>
    <w:rsid w:val="00A015C0"/>
    <w:rsid w:val="00A02300"/>
    <w:rsid w:val="00A03265"/>
    <w:rsid w:val="00A03574"/>
    <w:rsid w:val="00A03D43"/>
    <w:rsid w:val="00A04380"/>
    <w:rsid w:val="00A11CD0"/>
    <w:rsid w:val="00A1211A"/>
    <w:rsid w:val="00A13948"/>
    <w:rsid w:val="00A1555B"/>
    <w:rsid w:val="00A155C5"/>
    <w:rsid w:val="00A16AD8"/>
    <w:rsid w:val="00A170E4"/>
    <w:rsid w:val="00A179C2"/>
    <w:rsid w:val="00A21CF3"/>
    <w:rsid w:val="00A2483E"/>
    <w:rsid w:val="00A267AA"/>
    <w:rsid w:val="00A27AAB"/>
    <w:rsid w:val="00A27AEC"/>
    <w:rsid w:val="00A320DB"/>
    <w:rsid w:val="00A3305B"/>
    <w:rsid w:val="00A335C8"/>
    <w:rsid w:val="00A34535"/>
    <w:rsid w:val="00A359BD"/>
    <w:rsid w:val="00A35D16"/>
    <w:rsid w:val="00A3752E"/>
    <w:rsid w:val="00A37BCD"/>
    <w:rsid w:val="00A415B9"/>
    <w:rsid w:val="00A41C04"/>
    <w:rsid w:val="00A42B96"/>
    <w:rsid w:val="00A43C59"/>
    <w:rsid w:val="00A50ECD"/>
    <w:rsid w:val="00A518F3"/>
    <w:rsid w:val="00A52729"/>
    <w:rsid w:val="00A53130"/>
    <w:rsid w:val="00A53407"/>
    <w:rsid w:val="00A53675"/>
    <w:rsid w:val="00A53C68"/>
    <w:rsid w:val="00A555CE"/>
    <w:rsid w:val="00A564D7"/>
    <w:rsid w:val="00A56B6A"/>
    <w:rsid w:val="00A578DC"/>
    <w:rsid w:val="00A656BD"/>
    <w:rsid w:val="00A66B5E"/>
    <w:rsid w:val="00A6725B"/>
    <w:rsid w:val="00A70605"/>
    <w:rsid w:val="00A71F73"/>
    <w:rsid w:val="00A73134"/>
    <w:rsid w:val="00A73BB8"/>
    <w:rsid w:val="00A74E0F"/>
    <w:rsid w:val="00A75A5C"/>
    <w:rsid w:val="00A777B2"/>
    <w:rsid w:val="00A806A5"/>
    <w:rsid w:val="00A83DA6"/>
    <w:rsid w:val="00A83EEB"/>
    <w:rsid w:val="00A8460C"/>
    <w:rsid w:val="00A86E8B"/>
    <w:rsid w:val="00A87164"/>
    <w:rsid w:val="00A9160F"/>
    <w:rsid w:val="00A93072"/>
    <w:rsid w:val="00A934DD"/>
    <w:rsid w:val="00A93953"/>
    <w:rsid w:val="00A959D8"/>
    <w:rsid w:val="00AA113D"/>
    <w:rsid w:val="00AA1976"/>
    <w:rsid w:val="00AA64D7"/>
    <w:rsid w:val="00AA69B8"/>
    <w:rsid w:val="00AA6C7D"/>
    <w:rsid w:val="00AA7FD6"/>
    <w:rsid w:val="00AB042A"/>
    <w:rsid w:val="00AB1B40"/>
    <w:rsid w:val="00AB2D34"/>
    <w:rsid w:val="00AB3430"/>
    <w:rsid w:val="00AB4AD1"/>
    <w:rsid w:val="00AB7CFA"/>
    <w:rsid w:val="00AC02DD"/>
    <w:rsid w:val="00AC143A"/>
    <w:rsid w:val="00AC5479"/>
    <w:rsid w:val="00AC5B48"/>
    <w:rsid w:val="00AD2044"/>
    <w:rsid w:val="00AD5C9F"/>
    <w:rsid w:val="00AD6502"/>
    <w:rsid w:val="00AE3E5D"/>
    <w:rsid w:val="00AE3FBC"/>
    <w:rsid w:val="00AE6A8A"/>
    <w:rsid w:val="00AF1315"/>
    <w:rsid w:val="00AF19BF"/>
    <w:rsid w:val="00AF2189"/>
    <w:rsid w:val="00AF2DC3"/>
    <w:rsid w:val="00AF3112"/>
    <w:rsid w:val="00AF4D84"/>
    <w:rsid w:val="00AF5394"/>
    <w:rsid w:val="00AF695D"/>
    <w:rsid w:val="00B01E02"/>
    <w:rsid w:val="00B033E5"/>
    <w:rsid w:val="00B03A63"/>
    <w:rsid w:val="00B049C7"/>
    <w:rsid w:val="00B051F1"/>
    <w:rsid w:val="00B108B3"/>
    <w:rsid w:val="00B15778"/>
    <w:rsid w:val="00B16638"/>
    <w:rsid w:val="00B201A4"/>
    <w:rsid w:val="00B213A6"/>
    <w:rsid w:val="00B235CF"/>
    <w:rsid w:val="00B23DB0"/>
    <w:rsid w:val="00B24DF6"/>
    <w:rsid w:val="00B26863"/>
    <w:rsid w:val="00B314A2"/>
    <w:rsid w:val="00B32EA2"/>
    <w:rsid w:val="00B33064"/>
    <w:rsid w:val="00B34FE2"/>
    <w:rsid w:val="00B357D8"/>
    <w:rsid w:val="00B36E80"/>
    <w:rsid w:val="00B37BFC"/>
    <w:rsid w:val="00B40358"/>
    <w:rsid w:val="00B41614"/>
    <w:rsid w:val="00B42851"/>
    <w:rsid w:val="00B42F80"/>
    <w:rsid w:val="00B435CB"/>
    <w:rsid w:val="00B436BB"/>
    <w:rsid w:val="00B43BC9"/>
    <w:rsid w:val="00B44AF8"/>
    <w:rsid w:val="00B47782"/>
    <w:rsid w:val="00B47F34"/>
    <w:rsid w:val="00B50DB8"/>
    <w:rsid w:val="00B53654"/>
    <w:rsid w:val="00B53905"/>
    <w:rsid w:val="00B54B5B"/>
    <w:rsid w:val="00B55103"/>
    <w:rsid w:val="00B551FD"/>
    <w:rsid w:val="00B5562E"/>
    <w:rsid w:val="00B57000"/>
    <w:rsid w:val="00B57E80"/>
    <w:rsid w:val="00B60939"/>
    <w:rsid w:val="00B60AFD"/>
    <w:rsid w:val="00B62715"/>
    <w:rsid w:val="00B6500A"/>
    <w:rsid w:val="00B656D2"/>
    <w:rsid w:val="00B669EB"/>
    <w:rsid w:val="00B71180"/>
    <w:rsid w:val="00B725FA"/>
    <w:rsid w:val="00B737AB"/>
    <w:rsid w:val="00B779AB"/>
    <w:rsid w:val="00B77A5C"/>
    <w:rsid w:val="00B80701"/>
    <w:rsid w:val="00B818A4"/>
    <w:rsid w:val="00B82F7A"/>
    <w:rsid w:val="00B84117"/>
    <w:rsid w:val="00B8589F"/>
    <w:rsid w:val="00B85AA2"/>
    <w:rsid w:val="00B8649C"/>
    <w:rsid w:val="00B86C90"/>
    <w:rsid w:val="00B87F0A"/>
    <w:rsid w:val="00B9165B"/>
    <w:rsid w:val="00B92D0B"/>
    <w:rsid w:val="00B9439C"/>
    <w:rsid w:val="00B94945"/>
    <w:rsid w:val="00B95CB2"/>
    <w:rsid w:val="00BA322D"/>
    <w:rsid w:val="00BA6514"/>
    <w:rsid w:val="00BA6746"/>
    <w:rsid w:val="00BB0BDD"/>
    <w:rsid w:val="00BB2A73"/>
    <w:rsid w:val="00BB37C0"/>
    <w:rsid w:val="00BB4ACC"/>
    <w:rsid w:val="00BB5429"/>
    <w:rsid w:val="00BB5C25"/>
    <w:rsid w:val="00BB6984"/>
    <w:rsid w:val="00BB703E"/>
    <w:rsid w:val="00BB7359"/>
    <w:rsid w:val="00BB7405"/>
    <w:rsid w:val="00BC02FB"/>
    <w:rsid w:val="00BC0833"/>
    <w:rsid w:val="00BC3631"/>
    <w:rsid w:val="00BC4DAF"/>
    <w:rsid w:val="00BD45C1"/>
    <w:rsid w:val="00BD4DB0"/>
    <w:rsid w:val="00BD4EC4"/>
    <w:rsid w:val="00BD68A3"/>
    <w:rsid w:val="00BD6938"/>
    <w:rsid w:val="00BD6CF3"/>
    <w:rsid w:val="00BD7A59"/>
    <w:rsid w:val="00BE11AB"/>
    <w:rsid w:val="00BE2180"/>
    <w:rsid w:val="00BE21F2"/>
    <w:rsid w:val="00BE2C22"/>
    <w:rsid w:val="00BE4275"/>
    <w:rsid w:val="00BF0F95"/>
    <w:rsid w:val="00BF2433"/>
    <w:rsid w:val="00BF3797"/>
    <w:rsid w:val="00BF3CDE"/>
    <w:rsid w:val="00BF5669"/>
    <w:rsid w:val="00BF61C9"/>
    <w:rsid w:val="00BF6C94"/>
    <w:rsid w:val="00C00424"/>
    <w:rsid w:val="00C00493"/>
    <w:rsid w:val="00C00BF2"/>
    <w:rsid w:val="00C0114E"/>
    <w:rsid w:val="00C01F04"/>
    <w:rsid w:val="00C06CF8"/>
    <w:rsid w:val="00C06DE9"/>
    <w:rsid w:val="00C070A9"/>
    <w:rsid w:val="00C12C14"/>
    <w:rsid w:val="00C14F5F"/>
    <w:rsid w:val="00C200AA"/>
    <w:rsid w:val="00C237ED"/>
    <w:rsid w:val="00C24632"/>
    <w:rsid w:val="00C252C6"/>
    <w:rsid w:val="00C25418"/>
    <w:rsid w:val="00C25991"/>
    <w:rsid w:val="00C25D9C"/>
    <w:rsid w:val="00C276CF"/>
    <w:rsid w:val="00C2778B"/>
    <w:rsid w:val="00C27966"/>
    <w:rsid w:val="00C313A8"/>
    <w:rsid w:val="00C31649"/>
    <w:rsid w:val="00C338AC"/>
    <w:rsid w:val="00C34E70"/>
    <w:rsid w:val="00C35DFE"/>
    <w:rsid w:val="00C40385"/>
    <w:rsid w:val="00C40FF8"/>
    <w:rsid w:val="00C4132A"/>
    <w:rsid w:val="00C475AA"/>
    <w:rsid w:val="00C50221"/>
    <w:rsid w:val="00C531B8"/>
    <w:rsid w:val="00C5409D"/>
    <w:rsid w:val="00C548EC"/>
    <w:rsid w:val="00C60F11"/>
    <w:rsid w:val="00C61B06"/>
    <w:rsid w:val="00C65576"/>
    <w:rsid w:val="00C66165"/>
    <w:rsid w:val="00C66C5D"/>
    <w:rsid w:val="00C7151A"/>
    <w:rsid w:val="00C718FD"/>
    <w:rsid w:val="00C71F60"/>
    <w:rsid w:val="00C72241"/>
    <w:rsid w:val="00C72C56"/>
    <w:rsid w:val="00C74361"/>
    <w:rsid w:val="00C74966"/>
    <w:rsid w:val="00C750C8"/>
    <w:rsid w:val="00C7560F"/>
    <w:rsid w:val="00C8051A"/>
    <w:rsid w:val="00C80A0E"/>
    <w:rsid w:val="00C81B7F"/>
    <w:rsid w:val="00C8213F"/>
    <w:rsid w:val="00C8272B"/>
    <w:rsid w:val="00C8797A"/>
    <w:rsid w:val="00C900B8"/>
    <w:rsid w:val="00C90587"/>
    <w:rsid w:val="00C90C71"/>
    <w:rsid w:val="00C9204B"/>
    <w:rsid w:val="00C931CF"/>
    <w:rsid w:val="00C938CF"/>
    <w:rsid w:val="00C93D90"/>
    <w:rsid w:val="00C94874"/>
    <w:rsid w:val="00C9624D"/>
    <w:rsid w:val="00C969DA"/>
    <w:rsid w:val="00C97126"/>
    <w:rsid w:val="00CA2C77"/>
    <w:rsid w:val="00CA444F"/>
    <w:rsid w:val="00CA5245"/>
    <w:rsid w:val="00CA5C05"/>
    <w:rsid w:val="00CA71F4"/>
    <w:rsid w:val="00CA7B09"/>
    <w:rsid w:val="00CB0E1B"/>
    <w:rsid w:val="00CB2F2A"/>
    <w:rsid w:val="00CB385C"/>
    <w:rsid w:val="00CB4948"/>
    <w:rsid w:val="00CB5B1A"/>
    <w:rsid w:val="00CB5BD6"/>
    <w:rsid w:val="00CB6B22"/>
    <w:rsid w:val="00CB7F5F"/>
    <w:rsid w:val="00CC1AFF"/>
    <w:rsid w:val="00CC1B39"/>
    <w:rsid w:val="00CD47E6"/>
    <w:rsid w:val="00CD61B3"/>
    <w:rsid w:val="00CD6ADC"/>
    <w:rsid w:val="00CE1EE7"/>
    <w:rsid w:val="00CE243A"/>
    <w:rsid w:val="00CE4123"/>
    <w:rsid w:val="00CE53EC"/>
    <w:rsid w:val="00CE5E9B"/>
    <w:rsid w:val="00CE6274"/>
    <w:rsid w:val="00CE7A85"/>
    <w:rsid w:val="00CF0EC0"/>
    <w:rsid w:val="00CF2B8D"/>
    <w:rsid w:val="00CF456B"/>
    <w:rsid w:val="00CF5A22"/>
    <w:rsid w:val="00D0262E"/>
    <w:rsid w:val="00D05BD5"/>
    <w:rsid w:val="00D07F98"/>
    <w:rsid w:val="00D110BD"/>
    <w:rsid w:val="00D13675"/>
    <w:rsid w:val="00D141E1"/>
    <w:rsid w:val="00D16F7F"/>
    <w:rsid w:val="00D17D6C"/>
    <w:rsid w:val="00D20311"/>
    <w:rsid w:val="00D26A46"/>
    <w:rsid w:val="00D2754D"/>
    <w:rsid w:val="00D27B27"/>
    <w:rsid w:val="00D33BE9"/>
    <w:rsid w:val="00D3466F"/>
    <w:rsid w:val="00D35583"/>
    <w:rsid w:val="00D357FF"/>
    <w:rsid w:val="00D36FB3"/>
    <w:rsid w:val="00D424C7"/>
    <w:rsid w:val="00D43B2A"/>
    <w:rsid w:val="00D45C48"/>
    <w:rsid w:val="00D45DEB"/>
    <w:rsid w:val="00D47575"/>
    <w:rsid w:val="00D47A87"/>
    <w:rsid w:val="00D56442"/>
    <w:rsid w:val="00D65A85"/>
    <w:rsid w:val="00D669B7"/>
    <w:rsid w:val="00D66B1E"/>
    <w:rsid w:val="00D67531"/>
    <w:rsid w:val="00D678B3"/>
    <w:rsid w:val="00D67BA8"/>
    <w:rsid w:val="00D7042D"/>
    <w:rsid w:val="00D70F16"/>
    <w:rsid w:val="00D76A44"/>
    <w:rsid w:val="00D815EF"/>
    <w:rsid w:val="00D87E0C"/>
    <w:rsid w:val="00D91923"/>
    <w:rsid w:val="00D93753"/>
    <w:rsid w:val="00D958BE"/>
    <w:rsid w:val="00D974ED"/>
    <w:rsid w:val="00DA0E76"/>
    <w:rsid w:val="00DA3167"/>
    <w:rsid w:val="00DA4DC3"/>
    <w:rsid w:val="00DA77A5"/>
    <w:rsid w:val="00DB2711"/>
    <w:rsid w:val="00DB2F6E"/>
    <w:rsid w:val="00DB484F"/>
    <w:rsid w:val="00DB4C11"/>
    <w:rsid w:val="00DB5C81"/>
    <w:rsid w:val="00DC04F6"/>
    <w:rsid w:val="00DC096C"/>
    <w:rsid w:val="00DC0A34"/>
    <w:rsid w:val="00DC3C57"/>
    <w:rsid w:val="00DC5083"/>
    <w:rsid w:val="00DC5501"/>
    <w:rsid w:val="00DC576C"/>
    <w:rsid w:val="00DD04BC"/>
    <w:rsid w:val="00DD065F"/>
    <w:rsid w:val="00DD203B"/>
    <w:rsid w:val="00DD273C"/>
    <w:rsid w:val="00DD2A52"/>
    <w:rsid w:val="00DD3F28"/>
    <w:rsid w:val="00DD4537"/>
    <w:rsid w:val="00DD4E15"/>
    <w:rsid w:val="00DE3138"/>
    <w:rsid w:val="00DE356F"/>
    <w:rsid w:val="00DE37F8"/>
    <w:rsid w:val="00DE44AA"/>
    <w:rsid w:val="00DE47B3"/>
    <w:rsid w:val="00DE4FCB"/>
    <w:rsid w:val="00DE6C9F"/>
    <w:rsid w:val="00DE7832"/>
    <w:rsid w:val="00DE795B"/>
    <w:rsid w:val="00DF1466"/>
    <w:rsid w:val="00DF18FC"/>
    <w:rsid w:val="00DF5D2B"/>
    <w:rsid w:val="00E00E8E"/>
    <w:rsid w:val="00E04CF0"/>
    <w:rsid w:val="00E05630"/>
    <w:rsid w:val="00E06DBB"/>
    <w:rsid w:val="00E075DB"/>
    <w:rsid w:val="00E07789"/>
    <w:rsid w:val="00E07FBB"/>
    <w:rsid w:val="00E10149"/>
    <w:rsid w:val="00E1378C"/>
    <w:rsid w:val="00E140C7"/>
    <w:rsid w:val="00E16372"/>
    <w:rsid w:val="00E20E4D"/>
    <w:rsid w:val="00E20ED6"/>
    <w:rsid w:val="00E21358"/>
    <w:rsid w:val="00E2249B"/>
    <w:rsid w:val="00E22A0D"/>
    <w:rsid w:val="00E232C4"/>
    <w:rsid w:val="00E2522E"/>
    <w:rsid w:val="00E264CD"/>
    <w:rsid w:val="00E2771E"/>
    <w:rsid w:val="00E27757"/>
    <w:rsid w:val="00E32F42"/>
    <w:rsid w:val="00E34948"/>
    <w:rsid w:val="00E36064"/>
    <w:rsid w:val="00E36C0C"/>
    <w:rsid w:val="00E37569"/>
    <w:rsid w:val="00E41E30"/>
    <w:rsid w:val="00E43D70"/>
    <w:rsid w:val="00E44959"/>
    <w:rsid w:val="00E4511F"/>
    <w:rsid w:val="00E46686"/>
    <w:rsid w:val="00E466F3"/>
    <w:rsid w:val="00E46C6B"/>
    <w:rsid w:val="00E47B2C"/>
    <w:rsid w:val="00E50435"/>
    <w:rsid w:val="00E51560"/>
    <w:rsid w:val="00E52F59"/>
    <w:rsid w:val="00E54347"/>
    <w:rsid w:val="00E54F2D"/>
    <w:rsid w:val="00E55424"/>
    <w:rsid w:val="00E55863"/>
    <w:rsid w:val="00E55BB5"/>
    <w:rsid w:val="00E55FB1"/>
    <w:rsid w:val="00E56D61"/>
    <w:rsid w:val="00E606D4"/>
    <w:rsid w:val="00E6108D"/>
    <w:rsid w:val="00E65E79"/>
    <w:rsid w:val="00E66BA2"/>
    <w:rsid w:val="00E67416"/>
    <w:rsid w:val="00E67A1D"/>
    <w:rsid w:val="00E718B6"/>
    <w:rsid w:val="00E723BA"/>
    <w:rsid w:val="00E73581"/>
    <w:rsid w:val="00E756F7"/>
    <w:rsid w:val="00E75DBF"/>
    <w:rsid w:val="00E77849"/>
    <w:rsid w:val="00E833F7"/>
    <w:rsid w:val="00E83BDF"/>
    <w:rsid w:val="00E847F6"/>
    <w:rsid w:val="00E87002"/>
    <w:rsid w:val="00E87989"/>
    <w:rsid w:val="00E87A1D"/>
    <w:rsid w:val="00E91A8F"/>
    <w:rsid w:val="00E91DBC"/>
    <w:rsid w:val="00E926A5"/>
    <w:rsid w:val="00E92A6B"/>
    <w:rsid w:val="00E92FE0"/>
    <w:rsid w:val="00E93213"/>
    <w:rsid w:val="00E946D6"/>
    <w:rsid w:val="00E97CDA"/>
    <w:rsid w:val="00EA17C3"/>
    <w:rsid w:val="00EA2CAA"/>
    <w:rsid w:val="00EA3864"/>
    <w:rsid w:val="00EA38A7"/>
    <w:rsid w:val="00EA390B"/>
    <w:rsid w:val="00EA4420"/>
    <w:rsid w:val="00EB0D30"/>
    <w:rsid w:val="00EB15B6"/>
    <w:rsid w:val="00EB20A4"/>
    <w:rsid w:val="00EB34D9"/>
    <w:rsid w:val="00EB4916"/>
    <w:rsid w:val="00EB4E47"/>
    <w:rsid w:val="00EB6803"/>
    <w:rsid w:val="00EC00C9"/>
    <w:rsid w:val="00EC0683"/>
    <w:rsid w:val="00EC2649"/>
    <w:rsid w:val="00EC5419"/>
    <w:rsid w:val="00EC5E6C"/>
    <w:rsid w:val="00EC62A4"/>
    <w:rsid w:val="00ED1CA0"/>
    <w:rsid w:val="00ED4C67"/>
    <w:rsid w:val="00ED57EA"/>
    <w:rsid w:val="00ED7435"/>
    <w:rsid w:val="00EE07D3"/>
    <w:rsid w:val="00EE0B6D"/>
    <w:rsid w:val="00EE22AF"/>
    <w:rsid w:val="00EE3DAA"/>
    <w:rsid w:val="00EE6C00"/>
    <w:rsid w:val="00EF0171"/>
    <w:rsid w:val="00EF06E5"/>
    <w:rsid w:val="00EF1B25"/>
    <w:rsid w:val="00EF4747"/>
    <w:rsid w:val="00EF4BF8"/>
    <w:rsid w:val="00F00B46"/>
    <w:rsid w:val="00F02253"/>
    <w:rsid w:val="00F02797"/>
    <w:rsid w:val="00F027C6"/>
    <w:rsid w:val="00F02F1F"/>
    <w:rsid w:val="00F03C2E"/>
    <w:rsid w:val="00F04A66"/>
    <w:rsid w:val="00F0516C"/>
    <w:rsid w:val="00F067A2"/>
    <w:rsid w:val="00F07DEB"/>
    <w:rsid w:val="00F11275"/>
    <w:rsid w:val="00F1263A"/>
    <w:rsid w:val="00F13439"/>
    <w:rsid w:val="00F2013D"/>
    <w:rsid w:val="00F21C2C"/>
    <w:rsid w:val="00F24753"/>
    <w:rsid w:val="00F24837"/>
    <w:rsid w:val="00F2575F"/>
    <w:rsid w:val="00F27565"/>
    <w:rsid w:val="00F310D4"/>
    <w:rsid w:val="00F31767"/>
    <w:rsid w:val="00F31D5A"/>
    <w:rsid w:val="00F324BA"/>
    <w:rsid w:val="00F32FD6"/>
    <w:rsid w:val="00F33DE9"/>
    <w:rsid w:val="00F349A5"/>
    <w:rsid w:val="00F35836"/>
    <w:rsid w:val="00F3619A"/>
    <w:rsid w:val="00F36A86"/>
    <w:rsid w:val="00F402FA"/>
    <w:rsid w:val="00F40AAA"/>
    <w:rsid w:val="00F40BA7"/>
    <w:rsid w:val="00F46CB6"/>
    <w:rsid w:val="00F47DE8"/>
    <w:rsid w:val="00F50C37"/>
    <w:rsid w:val="00F52F40"/>
    <w:rsid w:val="00F53D52"/>
    <w:rsid w:val="00F542C1"/>
    <w:rsid w:val="00F54FBE"/>
    <w:rsid w:val="00F55990"/>
    <w:rsid w:val="00F55E73"/>
    <w:rsid w:val="00F55EDA"/>
    <w:rsid w:val="00F57803"/>
    <w:rsid w:val="00F60092"/>
    <w:rsid w:val="00F60851"/>
    <w:rsid w:val="00F62280"/>
    <w:rsid w:val="00F62CC3"/>
    <w:rsid w:val="00F64F1F"/>
    <w:rsid w:val="00F656E6"/>
    <w:rsid w:val="00F65F4B"/>
    <w:rsid w:val="00F70749"/>
    <w:rsid w:val="00F70C9D"/>
    <w:rsid w:val="00F71037"/>
    <w:rsid w:val="00F72F0C"/>
    <w:rsid w:val="00F73216"/>
    <w:rsid w:val="00F73E76"/>
    <w:rsid w:val="00F74CD9"/>
    <w:rsid w:val="00F804B3"/>
    <w:rsid w:val="00F80A7B"/>
    <w:rsid w:val="00F80E5D"/>
    <w:rsid w:val="00F851CE"/>
    <w:rsid w:val="00F85D7E"/>
    <w:rsid w:val="00F90C35"/>
    <w:rsid w:val="00F91219"/>
    <w:rsid w:val="00F925C3"/>
    <w:rsid w:val="00F9337A"/>
    <w:rsid w:val="00F93488"/>
    <w:rsid w:val="00F93E37"/>
    <w:rsid w:val="00F93FA2"/>
    <w:rsid w:val="00F94D80"/>
    <w:rsid w:val="00F954B6"/>
    <w:rsid w:val="00F97A78"/>
    <w:rsid w:val="00FA0B20"/>
    <w:rsid w:val="00FA24E7"/>
    <w:rsid w:val="00FA38D7"/>
    <w:rsid w:val="00FB1B15"/>
    <w:rsid w:val="00FB2FCB"/>
    <w:rsid w:val="00FB37C2"/>
    <w:rsid w:val="00FB543D"/>
    <w:rsid w:val="00FB6E2E"/>
    <w:rsid w:val="00FC0F7F"/>
    <w:rsid w:val="00FC1074"/>
    <w:rsid w:val="00FC1884"/>
    <w:rsid w:val="00FC1B41"/>
    <w:rsid w:val="00FC371D"/>
    <w:rsid w:val="00FC44E7"/>
    <w:rsid w:val="00FC5F0B"/>
    <w:rsid w:val="00FC61CA"/>
    <w:rsid w:val="00FC67DC"/>
    <w:rsid w:val="00FC6944"/>
    <w:rsid w:val="00FC6D06"/>
    <w:rsid w:val="00FD13BA"/>
    <w:rsid w:val="00FD1CA9"/>
    <w:rsid w:val="00FD2100"/>
    <w:rsid w:val="00FD3368"/>
    <w:rsid w:val="00FD3B50"/>
    <w:rsid w:val="00FD436C"/>
    <w:rsid w:val="00FD446D"/>
    <w:rsid w:val="00FD5076"/>
    <w:rsid w:val="00FD6394"/>
    <w:rsid w:val="00FE0245"/>
    <w:rsid w:val="00FE0E6C"/>
    <w:rsid w:val="00FE1299"/>
    <w:rsid w:val="00FE4874"/>
    <w:rsid w:val="00FE4A7C"/>
    <w:rsid w:val="00FE525A"/>
    <w:rsid w:val="00FE67B4"/>
    <w:rsid w:val="00FE70C3"/>
    <w:rsid w:val="00FF0A8F"/>
    <w:rsid w:val="00FF0F98"/>
    <w:rsid w:val="00FF1D70"/>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F8"/>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B737AB"/>
    <w:pPr>
      <w:keepNext/>
      <w:keepLines/>
      <w:widowControl/>
      <w:numPr>
        <w:numId w:val="2"/>
      </w:numPr>
      <w:spacing w:before="240" w:after="120"/>
      <w:ind w:left="709" w:hanging="709"/>
      <w:jc w:val="left"/>
      <w:outlineLvl w:val="0"/>
    </w:pPr>
    <w:rPr>
      <w:rFonts w:asciiTheme="minorHAnsi" w:eastAsiaTheme="majorEastAsia" w:hAnsiTheme="minorHAnsi" w:cstheme="majorBidi"/>
      <w:b/>
      <w:snapToGrid/>
      <w:sz w:val="32"/>
      <w:szCs w:val="28"/>
    </w:rPr>
  </w:style>
  <w:style w:type="paragraph" w:styleId="Heading2">
    <w:name w:val="heading 2"/>
    <w:basedOn w:val="Normal"/>
    <w:next w:val="Normal"/>
    <w:link w:val="Heading2Char"/>
    <w:qFormat/>
    <w:rsid w:val="00B737AB"/>
    <w:pPr>
      <w:keepNext/>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37AB"/>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PBAC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qFormat/>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outlineLvl w:val="9"/>
    </w:pPr>
    <w:rPr>
      <w:rFonts w:asciiTheme="majorHAnsi" w:hAnsiTheme="majorHAnsi"/>
      <w:bCs/>
      <w:snapToGrid w:val="0"/>
      <w:color w:val="365F91" w:themeColor="accent1" w:themeShade="BF"/>
      <w:sz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ind w:left="720" w:hanging="72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unhideWhenUsed/>
    <w:rsid w:val="00695C70"/>
    <w:rPr>
      <w:sz w:val="20"/>
      <w:szCs w:val="20"/>
    </w:rPr>
  </w:style>
  <w:style w:type="character" w:customStyle="1" w:styleId="FootnoteTextChar">
    <w:name w:val="Footnote Text Char"/>
    <w:basedOn w:val="DefaultParagraphFont"/>
    <w:link w:val="FootnoteText"/>
    <w:semiHidden/>
    <w:rsid w:val="00695C70"/>
    <w:rPr>
      <w:rFonts w:ascii="Calibri" w:hAnsi="Calibri" w:cs="Arial"/>
      <w:snapToGrid w:val="0"/>
      <w:lang w:eastAsia="en-US"/>
    </w:rPr>
  </w:style>
  <w:style w:type="character" w:styleId="FootnoteReference">
    <w:name w:val="footnote reference"/>
    <w:basedOn w:val="DefaultParagraphFont"/>
    <w:rsid w:val="00695C70"/>
    <w:rPr>
      <w:rFonts w:cs="Times New Roman"/>
      <w:vertAlign w:val="superscript"/>
    </w:rPr>
  </w:style>
  <w:style w:type="paragraph" w:customStyle="1" w:styleId="Default">
    <w:name w:val="Default"/>
    <w:rsid w:val="00504C03"/>
    <w:pPr>
      <w:autoSpaceDE w:val="0"/>
      <w:autoSpaceDN w:val="0"/>
      <w:adjustRightInd w:val="0"/>
    </w:pPr>
    <w:rPr>
      <w:rFonts w:ascii="Arial" w:hAnsi="Arial" w:cs="Arial"/>
      <w:color w:val="000000"/>
      <w:sz w:val="24"/>
      <w:szCs w:val="24"/>
    </w:rPr>
  </w:style>
  <w:style w:type="paragraph" w:customStyle="1" w:styleId="TableText0">
    <w:name w:val="Table Text"/>
    <w:basedOn w:val="Normal"/>
    <w:link w:val="TableTextChar0"/>
    <w:qFormat/>
    <w:rsid w:val="002345E7"/>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2345E7"/>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2345E7"/>
    <w:rPr>
      <w:rFonts w:ascii="Arial Narrow" w:eastAsiaTheme="minorHAnsi" w:hAnsi="Arial Narrow" w:cstheme="minorBidi"/>
      <w:szCs w:val="22"/>
      <w:lang w:eastAsia="en-US"/>
    </w:rPr>
  </w:style>
  <w:style w:type="paragraph" w:customStyle="1" w:styleId="Tablefootnote">
    <w:name w:val="Table footnote"/>
    <w:basedOn w:val="Normal"/>
    <w:link w:val="TablefootnoteChar"/>
    <w:qFormat/>
    <w:rsid w:val="00CB385C"/>
    <w:pPr>
      <w:keepNext/>
      <w:keepLines/>
      <w:widowControl/>
      <w:spacing w:after="360"/>
      <w:contextualSpacing/>
      <w:jc w:val="left"/>
    </w:pPr>
    <w:rPr>
      <w:rFonts w:ascii="Arial Narrow" w:hAnsi="Arial Narrow" w:cs="Times New Roman"/>
      <w:snapToGrid/>
      <w:sz w:val="18"/>
    </w:rPr>
  </w:style>
  <w:style w:type="character" w:customStyle="1" w:styleId="TablefootnoteChar">
    <w:name w:val="Table footnote Char"/>
    <w:basedOn w:val="DefaultParagraphFont"/>
    <w:link w:val="Tablefootnote"/>
    <w:rsid w:val="00CB385C"/>
    <w:rPr>
      <w:rFonts w:ascii="Arial Narrow" w:hAnsi="Arial Narrow"/>
      <w:sz w:val="18"/>
      <w:szCs w:val="22"/>
      <w:lang w:eastAsia="en-US"/>
    </w:rPr>
  </w:style>
  <w:style w:type="table" w:customStyle="1" w:styleId="ASDTable1">
    <w:name w:val="ASD Table1"/>
    <w:basedOn w:val="TableNormal"/>
    <w:next w:val="TableGrid"/>
    <w:uiPriority w:val="59"/>
    <w:rsid w:val="009F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737AB"/>
    <w:rPr>
      <w:rFonts w:asciiTheme="minorHAnsi" w:eastAsiaTheme="majorEastAsia" w:hAnsiTheme="minorHAnsi" w:cstheme="majorBidi"/>
      <w:b/>
      <w:sz w:val="32"/>
      <w:szCs w:val="28"/>
      <w:lang w:eastAsia="en-US"/>
    </w:rPr>
  </w:style>
  <w:style w:type="paragraph" w:styleId="PlainText">
    <w:name w:val="Plain Text"/>
    <w:basedOn w:val="Normal"/>
    <w:link w:val="PlainTextChar"/>
    <w:semiHidden/>
    <w:unhideWhenUsed/>
    <w:rsid w:val="004A3F01"/>
    <w:rPr>
      <w:rFonts w:ascii="Consolas" w:hAnsi="Consolas" w:cs="Consolas"/>
      <w:sz w:val="21"/>
      <w:szCs w:val="21"/>
    </w:rPr>
  </w:style>
  <w:style w:type="character" w:customStyle="1" w:styleId="PlainTextChar">
    <w:name w:val="Plain Text Char"/>
    <w:basedOn w:val="DefaultParagraphFont"/>
    <w:link w:val="PlainText"/>
    <w:semiHidden/>
    <w:rsid w:val="004A3F01"/>
    <w:rPr>
      <w:rFonts w:ascii="Consolas" w:hAnsi="Consolas" w:cs="Consolas"/>
      <w:snapToGrid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4603">
      <w:bodyDiv w:val="1"/>
      <w:marLeft w:val="0"/>
      <w:marRight w:val="0"/>
      <w:marTop w:val="0"/>
      <w:marBottom w:val="0"/>
      <w:divBdr>
        <w:top w:val="none" w:sz="0" w:space="0" w:color="auto"/>
        <w:left w:val="none" w:sz="0" w:space="0" w:color="auto"/>
        <w:bottom w:val="none" w:sz="0" w:space="0" w:color="auto"/>
        <w:right w:val="none" w:sz="0" w:space="0" w:color="auto"/>
      </w:divBdr>
    </w:div>
    <w:div w:id="422922287">
      <w:bodyDiv w:val="1"/>
      <w:marLeft w:val="0"/>
      <w:marRight w:val="0"/>
      <w:marTop w:val="0"/>
      <w:marBottom w:val="0"/>
      <w:divBdr>
        <w:top w:val="none" w:sz="0" w:space="0" w:color="auto"/>
        <w:left w:val="none" w:sz="0" w:space="0" w:color="auto"/>
        <w:bottom w:val="none" w:sz="0" w:space="0" w:color="auto"/>
        <w:right w:val="none" w:sz="0" w:space="0" w:color="auto"/>
      </w:divBdr>
    </w:div>
    <w:div w:id="1232424101">
      <w:bodyDiv w:val="1"/>
      <w:marLeft w:val="0"/>
      <w:marRight w:val="0"/>
      <w:marTop w:val="0"/>
      <w:marBottom w:val="0"/>
      <w:divBdr>
        <w:top w:val="none" w:sz="0" w:space="0" w:color="auto"/>
        <w:left w:val="none" w:sz="0" w:space="0" w:color="auto"/>
        <w:bottom w:val="none" w:sz="0" w:space="0" w:color="auto"/>
        <w:right w:val="none" w:sz="0" w:space="0" w:color="auto"/>
      </w:divBdr>
    </w:div>
    <w:div w:id="1254893499">
      <w:bodyDiv w:val="1"/>
      <w:marLeft w:val="0"/>
      <w:marRight w:val="0"/>
      <w:marTop w:val="0"/>
      <w:marBottom w:val="0"/>
      <w:divBdr>
        <w:top w:val="none" w:sz="0" w:space="0" w:color="auto"/>
        <w:left w:val="none" w:sz="0" w:space="0" w:color="auto"/>
        <w:bottom w:val="none" w:sz="0" w:space="0" w:color="auto"/>
        <w:right w:val="none" w:sz="0" w:space="0" w:color="auto"/>
      </w:divBdr>
    </w:div>
    <w:div w:id="1323465783">
      <w:bodyDiv w:val="1"/>
      <w:marLeft w:val="0"/>
      <w:marRight w:val="0"/>
      <w:marTop w:val="0"/>
      <w:marBottom w:val="0"/>
      <w:divBdr>
        <w:top w:val="none" w:sz="0" w:space="0" w:color="auto"/>
        <w:left w:val="none" w:sz="0" w:space="0" w:color="auto"/>
        <w:bottom w:val="none" w:sz="0" w:space="0" w:color="auto"/>
        <w:right w:val="none" w:sz="0" w:space="0" w:color="auto"/>
      </w:divBdr>
    </w:div>
    <w:div w:id="1510412361">
      <w:bodyDiv w:val="1"/>
      <w:marLeft w:val="0"/>
      <w:marRight w:val="0"/>
      <w:marTop w:val="0"/>
      <w:marBottom w:val="0"/>
      <w:divBdr>
        <w:top w:val="none" w:sz="0" w:space="0" w:color="auto"/>
        <w:left w:val="none" w:sz="0" w:space="0" w:color="auto"/>
        <w:bottom w:val="none" w:sz="0" w:space="0" w:color="auto"/>
        <w:right w:val="none" w:sz="0" w:space="0" w:color="auto"/>
      </w:divBdr>
    </w:div>
    <w:div w:id="1884055795">
      <w:bodyDiv w:val="1"/>
      <w:marLeft w:val="0"/>
      <w:marRight w:val="0"/>
      <w:marTop w:val="0"/>
      <w:marBottom w:val="0"/>
      <w:divBdr>
        <w:top w:val="none" w:sz="0" w:space="0" w:color="auto"/>
        <w:left w:val="none" w:sz="0" w:space="0" w:color="auto"/>
        <w:bottom w:val="none" w:sz="0" w:space="0" w:color="auto"/>
        <w:right w:val="none" w:sz="0" w:space="0" w:color="auto"/>
      </w:divBdr>
      <w:divsChild>
        <w:div w:id="1169061135">
          <w:marLeft w:val="605"/>
          <w:marRight w:val="0"/>
          <w:marTop w:val="40"/>
          <w:marBottom w:val="80"/>
          <w:divBdr>
            <w:top w:val="none" w:sz="0" w:space="0" w:color="auto"/>
            <w:left w:val="none" w:sz="0" w:space="0" w:color="auto"/>
            <w:bottom w:val="none" w:sz="0" w:space="0" w:color="auto"/>
            <w:right w:val="none" w:sz="0" w:space="0" w:color="auto"/>
          </w:divBdr>
        </w:div>
      </w:divsChild>
    </w:div>
    <w:div w:id="20474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59F8-D30F-4D16-85A0-2FA6F30D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10332</Words>
  <Characters>61168</Characters>
  <Application>Microsoft Office Word</Application>
  <DocSecurity>0</DocSecurity>
  <Lines>509</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2019-02-21T08:52:00Z</dcterms:created>
  <dcterms:modified xsi:type="dcterms:W3CDTF">2019-02-26T00:23:00Z</dcterms:modified>
</cp:coreProperties>
</file>