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4D1CB0" w:rsidRDefault="002D0FFE" w:rsidP="006D6493">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6.15</w:t>
      </w:r>
      <w:r w:rsidR="006D6493" w:rsidRPr="002B5596">
        <w:rPr>
          <w:rFonts w:asciiTheme="minorHAnsi" w:hAnsiTheme="minorHAnsi"/>
          <w:sz w:val="36"/>
          <w:szCs w:val="36"/>
        </w:rPr>
        <w:tab/>
      </w:r>
      <w:r>
        <w:rPr>
          <w:rFonts w:asciiTheme="minorHAnsi" w:hAnsiTheme="minorHAnsi"/>
          <w:sz w:val="36"/>
          <w:szCs w:val="36"/>
        </w:rPr>
        <w:t>CARFILZOMIB</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r w:rsidR="004D1CB0" w:rsidRPr="004D1CB0">
        <w:rPr>
          <w:rFonts w:asciiTheme="minorHAnsi" w:hAnsiTheme="minorHAnsi"/>
          <w:sz w:val="36"/>
          <w:szCs w:val="36"/>
        </w:rPr>
        <w:t xml:space="preserve">Powder for I.V. infusion 10 mg, </w:t>
      </w:r>
      <w:r w:rsidR="004D1CB0" w:rsidRPr="004D1CB0">
        <w:rPr>
          <w:rFonts w:asciiTheme="minorHAnsi" w:hAnsiTheme="minorHAnsi"/>
          <w:sz w:val="36"/>
          <w:szCs w:val="36"/>
        </w:rPr>
        <w:br/>
        <w:t>Kyprolis®, Amgen Australia Pty Ltd</w:t>
      </w:r>
    </w:p>
    <w:p w:rsidR="008A50F1" w:rsidRPr="004D1CB0" w:rsidRDefault="00CE10C4" w:rsidP="00EB0B63">
      <w:pPr>
        <w:pStyle w:val="PBACHeading1"/>
        <w:spacing w:before="240" w:after="120"/>
        <w:ind w:left="709" w:hanging="709"/>
        <w:rPr>
          <w:rFonts w:asciiTheme="minorHAnsi" w:hAnsiTheme="minorHAnsi"/>
          <w:sz w:val="32"/>
          <w:szCs w:val="32"/>
        </w:rPr>
      </w:pPr>
      <w:r w:rsidRPr="004D1CB0">
        <w:rPr>
          <w:rFonts w:asciiTheme="minorHAnsi" w:hAnsiTheme="minorHAnsi"/>
          <w:sz w:val="32"/>
          <w:szCs w:val="32"/>
        </w:rPr>
        <w:t xml:space="preserve">Purpose of </w:t>
      </w:r>
      <w:r w:rsidR="0004240E" w:rsidRPr="004D1CB0">
        <w:rPr>
          <w:rFonts w:asciiTheme="minorHAnsi" w:hAnsiTheme="minorHAnsi"/>
          <w:sz w:val="32"/>
          <w:szCs w:val="32"/>
        </w:rPr>
        <w:t>Application</w:t>
      </w:r>
    </w:p>
    <w:p w:rsidR="00FE2FA7" w:rsidRPr="004D1CB0" w:rsidRDefault="004D1CB0" w:rsidP="004D1CB0">
      <w:pPr>
        <w:pStyle w:val="ListParagraph"/>
        <w:widowControl/>
        <w:numPr>
          <w:ilvl w:val="1"/>
          <w:numId w:val="5"/>
        </w:numPr>
        <w:spacing w:after="120"/>
        <w:contextualSpacing w:val="0"/>
        <w:rPr>
          <w:rFonts w:asciiTheme="minorHAnsi" w:hAnsiTheme="minorHAnsi"/>
          <w:sz w:val="24"/>
          <w:szCs w:val="24"/>
        </w:rPr>
      </w:pPr>
      <w:r w:rsidRPr="004D1CB0">
        <w:rPr>
          <w:rFonts w:asciiTheme="minorHAnsi" w:eastAsiaTheme="minorHAnsi" w:hAnsiTheme="minorHAnsi" w:cstheme="minorBidi"/>
          <w:snapToGrid/>
          <w:sz w:val="24"/>
          <w:szCs w:val="22"/>
        </w:rPr>
        <w:t>To request an amendment to the restriction for pomalidomide (sponsored by Celgene Pty Limited) to allow the use of any proteasome inhibitor (bortezomib or carfilzomib) prior to treatment with pomalidomide</w:t>
      </w:r>
      <w:r w:rsidR="00A21E7C" w:rsidRPr="004D1CB0">
        <w:rPr>
          <w:rFonts w:asciiTheme="minorHAnsi" w:eastAsiaTheme="minorHAnsi" w:hAnsiTheme="minorHAnsi" w:cstheme="minorBidi"/>
          <w:snapToGrid/>
          <w:sz w:val="24"/>
          <w:szCs w:val="22"/>
        </w:rPr>
        <w:t>.</w:t>
      </w:r>
    </w:p>
    <w:p w:rsidR="006A12A5" w:rsidRPr="004D1CB0" w:rsidRDefault="006A12A5" w:rsidP="00EB0B63">
      <w:pPr>
        <w:pStyle w:val="PBACHeading1"/>
        <w:spacing w:before="240" w:after="120"/>
        <w:ind w:left="709" w:hanging="709"/>
        <w:rPr>
          <w:rFonts w:asciiTheme="minorHAnsi" w:hAnsiTheme="minorHAnsi"/>
          <w:sz w:val="32"/>
          <w:szCs w:val="32"/>
        </w:rPr>
      </w:pPr>
      <w:r w:rsidRPr="004D1CB0">
        <w:rPr>
          <w:rFonts w:asciiTheme="minorHAnsi" w:hAnsiTheme="minorHAnsi"/>
          <w:sz w:val="32"/>
          <w:szCs w:val="32"/>
        </w:rPr>
        <w:t>Requested listing</w:t>
      </w:r>
    </w:p>
    <w:p w:rsidR="00826F6D" w:rsidRPr="004D1CB0" w:rsidRDefault="00F309C9" w:rsidP="004D1CB0">
      <w:pPr>
        <w:pStyle w:val="ListParagraph"/>
        <w:widowControl/>
        <w:numPr>
          <w:ilvl w:val="1"/>
          <w:numId w:val="5"/>
        </w:numPr>
        <w:spacing w:after="120"/>
        <w:contextualSpacing w:val="0"/>
        <w:rPr>
          <w:rFonts w:asciiTheme="minorHAnsi" w:hAnsiTheme="minorHAnsi" w:cs="Times New Roman"/>
          <w:snapToGrid/>
          <w:sz w:val="24"/>
          <w:szCs w:val="24"/>
        </w:rPr>
      </w:pPr>
      <w:r>
        <w:rPr>
          <w:rFonts w:asciiTheme="minorHAnsi" w:hAnsiTheme="minorHAnsi"/>
          <w:sz w:val="24"/>
          <w:szCs w:val="24"/>
        </w:rPr>
        <w:t>The</w:t>
      </w:r>
      <w:r w:rsidR="0014113E" w:rsidRPr="004D1CB0">
        <w:rPr>
          <w:rFonts w:asciiTheme="minorHAnsi" w:hAnsiTheme="minorHAnsi"/>
          <w:sz w:val="24"/>
          <w:szCs w:val="24"/>
        </w:rPr>
        <w:t xml:space="preserve"> proposed </w:t>
      </w:r>
      <w:r w:rsidR="004D1CB0" w:rsidRPr="004D1CB0">
        <w:rPr>
          <w:rFonts w:asciiTheme="minorHAnsi" w:hAnsiTheme="minorHAnsi"/>
          <w:sz w:val="24"/>
          <w:szCs w:val="24"/>
        </w:rPr>
        <w:t>changes to the pom</w:t>
      </w:r>
      <w:r w:rsidR="00F80541">
        <w:rPr>
          <w:rFonts w:asciiTheme="minorHAnsi" w:hAnsiTheme="minorHAnsi"/>
          <w:sz w:val="24"/>
          <w:szCs w:val="24"/>
        </w:rPr>
        <w:t>a</w:t>
      </w:r>
      <w:r w:rsidR="004D1CB0" w:rsidRPr="004D1CB0">
        <w:rPr>
          <w:rFonts w:asciiTheme="minorHAnsi" w:hAnsiTheme="minorHAnsi"/>
          <w:sz w:val="24"/>
          <w:szCs w:val="24"/>
        </w:rPr>
        <w:t>lidomide listing are presented below with additions in</w:t>
      </w:r>
      <w:r w:rsidR="004D1CB0" w:rsidRPr="004D1CB0">
        <w:rPr>
          <w:rFonts w:asciiTheme="minorHAnsi" w:hAnsiTheme="minorHAnsi"/>
          <w:i/>
          <w:sz w:val="24"/>
          <w:szCs w:val="24"/>
        </w:rPr>
        <w:t xml:space="preserve"> </w:t>
      </w:r>
      <w:r w:rsidR="004D1CB0" w:rsidRPr="001510C2">
        <w:rPr>
          <w:rFonts w:asciiTheme="minorHAnsi" w:hAnsiTheme="minorHAnsi"/>
          <w:sz w:val="24"/>
          <w:szCs w:val="24"/>
        </w:rPr>
        <w:t>italics a</w:t>
      </w:r>
      <w:r w:rsidR="004D1CB0" w:rsidRPr="004D1CB0">
        <w:rPr>
          <w:rFonts w:asciiTheme="minorHAnsi" w:hAnsiTheme="minorHAnsi"/>
          <w:sz w:val="24"/>
          <w:szCs w:val="24"/>
        </w:rPr>
        <w:t xml:space="preserve">nd </w:t>
      </w:r>
      <w:r w:rsidR="004D1CB0" w:rsidRPr="001510C2">
        <w:rPr>
          <w:rFonts w:asciiTheme="minorHAnsi" w:hAnsiTheme="minorHAnsi"/>
          <w:sz w:val="24"/>
          <w:szCs w:val="24"/>
        </w:rPr>
        <w:t xml:space="preserve">strikethrough </w:t>
      </w:r>
      <w:r w:rsidR="004D1CB0" w:rsidRPr="004D1CB0">
        <w:rPr>
          <w:rFonts w:asciiTheme="minorHAnsi" w:hAnsiTheme="minorHAnsi"/>
          <w:sz w:val="24"/>
          <w:szCs w:val="24"/>
        </w:rPr>
        <w:t>for deletions.</w:t>
      </w:r>
      <w:r w:rsidR="0014113E" w:rsidRPr="004D1CB0">
        <w:rPr>
          <w:rFonts w:asciiTheme="minorHAnsi" w:hAnsiTheme="minorHAnsi"/>
          <w:sz w:val="24"/>
          <w:szCs w:val="24"/>
        </w:rPr>
        <w:t xml:space="preserv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621"/>
        <w:gridCol w:w="726"/>
        <w:gridCol w:w="727"/>
        <w:gridCol w:w="897"/>
        <w:gridCol w:w="2087"/>
        <w:gridCol w:w="1968"/>
      </w:tblGrid>
      <w:tr w:rsidR="00802B03" w:rsidRPr="00F309C9" w:rsidTr="00B13BA3">
        <w:tc>
          <w:tcPr>
            <w:tcW w:w="1452" w:type="pct"/>
          </w:tcPr>
          <w:p w:rsidR="00802B03" w:rsidRPr="00F309C9" w:rsidRDefault="00802B03" w:rsidP="00122635">
            <w:pPr>
              <w:pStyle w:val="Tabletext"/>
              <w:rPr>
                <w:rFonts w:ascii="Arial Narrow" w:hAnsi="Arial Narrow"/>
                <w:b/>
                <w:bCs/>
              </w:rPr>
            </w:pPr>
            <w:r w:rsidRPr="00F309C9">
              <w:rPr>
                <w:rFonts w:ascii="Arial Narrow" w:hAnsi="Arial Narrow"/>
                <w:b/>
              </w:rPr>
              <w:t>Name, restriction, manner of administration, form</w:t>
            </w:r>
          </w:p>
        </w:tc>
        <w:tc>
          <w:tcPr>
            <w:tcW w:w="805" w:type="pct"/>
            <w:gridSpan w:val="2"/>
          </w:tcPr>
          <w:p w:rsidR="00802B03" w:rsidRPr="00F309C9" w:rsidRDefault="00802B03" w:rsidP="00122635">
            <w:pPr>
              <w:pStyle w:val="Tabletext"/>
              <w:jc w:val="center"/>
              <w:rPr>
                <w:rFonts w:ascii="Arial Narrow" w:hAnsi="Arial Narrow"/>
                <w:b/>
                <w:bCs/>
              </w:rPr>
            </w:pPr>
            <w:r w:rsidRPr="00F309C9">
              <w:rPr>
                <w:rFonts w:ascii="Arial Narrow" w:hAnsi="Arial Narrow"/>
                <w:b/>
              </w:rPr>
              <w:t>Maximum quantity (packs)</w:t>
            </w:r>
          </w:p>
        </w:tc>
        <w:tc>
          <w:tcPr>
            <w:tcW w:w="497" w:type="pct"/>
          </w:tcPr>
          <w:p w:rsidR="00802B03" w:rsidRPr="00F309C9" w:rsidRDefault="00802B03" w:rsidP="00122635">
            <w:pPr>
              <w:pStyle w:val="Tabletext"/>
              <w:rPr>
                <w:rFonts w:ascii="Arial Narrow" w:hAnsi="Arial Narrow"/>
                <w:b/>
                <w:bCs/>
              </w:rPr>
            </w:pPr>
            <w:r w:rsidRPr="00F309C9">
              <w:rPr>
                <w:rFonts w:ascii="Arial Narrow" w:hAnsi="Arial Narrow"/>
                <w:b/>
              </w:rPr>
              <w:t>No. of repeats</w:t>
            </w:r>
          </w:p>
        </w:tc>
        <w:tc>
          <w:tcPr>
            <w:tcW w:w="1156" w:type="pct"/>
          </w:tcPr>
          <w:p w:rsidR="00802B03" w:rsidRPr="00F309C9" w:rsidRDefault="00802B03" w:rsidP="00122635">
            <w:pPr>
              <w:pStyle w:val="Tabletext"/>
              <w:rPr>
                <w:rFonts w:ascii="Arial Narrow" w:hAnsi="Arial Narrow"/>
                <w:b/>
                <w:bCs/>
              </w:rPr>
            </w:pPr>
            <w:r w:rsidRPr="00F309C9">
              <w:rPr>
                <w:rFonts w:ascii="Arial Narrow" w:hAnsi="Arial Narrow"/>
                <w:b/>
              </w:rPr>
              <w:t>Dispensed price for maximum quantity</w:t>
            </w:r>
          </w:p>
        </w:tc>
        <w:tc>
          <w:tcPr>
            <w:tcW w:w="1069" w:type="pct"/>
          </w:tcPr>
          <w:p w:rsidR="00802B03" w:rsidRPr="00F309C9" w:rsidRDefault="00802B03" w:rsidP="00122635">
            <w:pPr>
              <w:pStyle w:val="Tabletext"/>
              <w:rPr>
                <w:rFonts w:ascii="Arial Narrow" w:hAnsi="Arial Narrow"/>
                <w:b/>
                <w:bCs/>
              </w:rPr>
            </w:pPr>
            <w:r w:rsidRPr="00F309C9">
              <w:rPr>
                <w:rFonts w:ascii="Arial Narrow" w:hAnsi="Arial Narrow"/>
                <w:b/>
              </w:rPr>
              <w:t>Proprietary name and manufacturer</w:t>
            </w:r>
          </w:p>
        </w:tc>
      </w:tr>
      <w:tr w:rsidR="00802B03" w:rsidRPr="00F309C9" w:rsidTr="00B13BA3">
        <w:tc>
          <w:tcPr>
            <w:tcW w:w="1452" w:type="pct"/>
          </w:tcPr>
          <w:p w:rsidR="00802B03" w:rsidRPr="00F309C9" w:rsidRDefault="00802B03" w:rsidP="001510C2">
            <w:pPr>
              <w:spacing w:before="40" w:after="40"/>
              <w:jc w:val="both"/>
              <w:rPr>
                <w:rFonts w:ascii="Arial Narrow" w:hAnsi="Arial Narrow" w:cs="Arial"/>
                <w:sz w:val="20"/>
                <w:szCs w:val="20"/>
              </w:rPr>
            </w:pPr>
            <w:r w:rsidRPr="00F309C9">
              <w:rPr>
                <w:rFonts w:ascii="Arial Narrow" w:hAnsi="Arial Narrow" w:cs="Arial"/>
                <w:smallCaps/>
                <w:sz w:val="20"/>
                <w:szCs w:val="20"/>
              </w:rPr>
              <w:t>POMALIDOMIDE</w:t>
            </w:r>
          </w:p>
          <w:p w:rsidR="00802B03" w:rsidRPr="00F309C9" w:rsidRDefault="00802B03" w:rsidP="001510C2">
            <w:pPr>
              <w:spacing w:before="40" w:after="40"/>
              <w:jc w:val="both"/>
              <w:rPr>
                <w:rFonts w:ascii="Arial Narrow" w:hAnsi="Arial Narrow" w:cs="Arial"/>
                <w:sz w:val="20"/>
                <w:szCs w:val="20"/>
              </w:rPr>
            </w:pPr>
            <w:r w:rsidRPr="00F309C9">
              <w:rPr>
                <w:rFonts w:ascii="Arial Narrow" w:hAnsi="Arial Narrow" w:cs="Arial"/>
                <w:sz w:val="20"/>
                <w:szCs w:val="20"/>
              </w:rPr>
              <w:t>pomalidomide 3 mg capsule, 21</w:t>
            </w:r>
          </w:p>
          <w:p w:rsidR="00802B03" w:rsidRPr="00F309C9" w:rsidRDefault="00802B03" w:rsidP="001510C2">
            <w:pPr>
              <w:spacing w:before="40" w:after="40"/>
              <w:jc w:val="both"/>
              <w:rPr>
                <w:rFonts w:ascii="Arial Narrow" w:hAnsi="Arial Narrow" w:cs="Arial"/>
                <w:sz w:val="20"/>
                <w:szCs w:val="20"/>
              </w:rPr>
            </w:pPr>
            <w:r w:rsidRPr="00F309C9">
              <w:rPr>
                <w:rFonts w:ascii="Arial Narrow" w:hAnsi="Arial Narrow" w:cs="Arial"/>
                <w:sz w:val="20"/>
                <w:szCs w:val="20"/>
              </w:rPr>
              <w:t>pomalidomide 4 mg capsule, 21</w:t>
            </w:r>
          </w:p>
          <w:p w:rsidR="00802B03" w:rsidRPr="00F309C9" w:rsidRDefault="00802B03" w:rsidP="001510C2">
            <w:pPr>
              <w:spacing w:before="40" w:after="40"/>
              <w:jc w:val="both"/>
              <w:rPr>
                <w:rFonts w:ascii="Arial Narrow" w:hAnsi="Arial Narrow" w:cs="Arial"/>
                <w:sz w:val="20"/>
                <w:szCs w:val="20"/>
              </w:rPr>
            </w:pPr>
          </w:p>
        </w:tc>
        <w:tc>
          <w:tcPr>
            <w:tcW w:w="805" w:type="pct"/>
            <w:gridSpan w:val="2"/>
          </w:tcPr>
          <w:p w:rsidR="00802B03" w:rsidRPr="00F309C9" w:rsidRDefault="00802B03" w:rsidP="001510C2">
            <w:pPr>
              <w:spacing w:before="40" w:after="40"/>
              <w:jc w:val="right"/>
              <w:rPr>
                <w:rFonts w:ascii="Arial Narrow" w:hAnsi="Arial Narrow" w:cs="Arial"/>
                <w:sz w:val="20"/>
                <w:szCs w:val="20"/>
              </w:rPr>
            </w:pPr>
          </w:p>
          <w:p w:rsidR="00802B03" w:rsidRPr="00F309C9" w:rsidRDefault="00802B03" w:rsidP="001510C2">
            <w:pPr>
              <w:spacing w:before="40" w:after="40"/>
              <w:jc w:val="center"/>
              <w:rPr>
                <w:rFonts w:ascii="Arial Narrow" w:hAnsi="Arial Narrow" w:cs="Arial"/>
                <w:sz w:val="20"/>
                <w:szCs w:val="20"/>
              </w:rPr>
            </w:pPr>
            <w:r w:rsidRPr="00F309C9">
              <w:rPr>
                <w:rFonts w:ascii="Arial Narrow" w:hAnsi="Arial Narrow" w:cs="Arial"/>
                <w:sz w:val="20"/>
                <w:szCs w:val="20"/>
              </w:rPr>
              <w:t>1</w:t>
            </w:r>
          </w:p>
          <w:p w:rsidR="00802B03" w:rsidRPr="00F309C9" w:rsidRDefault="00802B03" w:rsidP="001510C2">
            <w:pPr>
              <w:spacing w:before="40" w:after="40"/>
              <w:jc w:val="center"/>
              <w:rPr>
                <w:rFonts w:ascii="Arial Narrow" w:hAnsi="Arial Narrow" w:cs="Arial"/>
                <w:sz w:val="20"/>
                <w:szCs w:val="20"/>
              </w:rPr>
            </w:pPr>
            <w:r w:rsidRPr="00F309C9">
              <w:rPr>
                <w:rFonts w:ascii="Arial Narrow" w:hAnsi="Arial Narrow" w:cs="Arial"/>
                <w:sz w:val="20"/>
                <w:szCs w:val="20"/>
              </w:rPr>
              <w:t>1</w:t>
            </w:r>
          </w:p>
        </w:tc>
        <w:tc>
          <w:tcPr>
            <w:tcW w:w="497" w:type="pct"/>
          </w:tcPr>
          <w:p w:rsidR="00802B03" w:rsidRPr="00F309C9" w:rsidRDefault="00802B03" w:rsidP="001510C2">
            <w:pPr>
              <w:spacing w:before="40" w:after="40"/>
              <w:jc w:val="both"/>
              <w:rPr>
                <w:rFonts w:ascii="Arial Narrow" w:hAnsi="Arial Narrow" w:cs="Arial"/>
                <w:sz w:val="20"/>
                <w:szCs w:val="20"/>
              </w:rPr>
            </w:pPr>
          </w:p>
          <w:p w:rsidR="00802B03" w:rsidRPr="00F309C9" w:rsidRDefault="00802B03" w:rsidP="001510C2">
            <w:pPr>
              <w:spacing w:before="40" w:after="40"/>
              <w:jc w:val="center"/>
              <w:rPr>
                <w:rFonts w:ascii="Arial Narrow" w:hAnsi="Arial Narrow" w:cs="Arial"/>
                <w:sz w:val="20"/>
                <w:szCs w:val="20"/>
              </w:rPr>
            </w:pPr>
            <w:r w:rsidRPr="00F309C9">
              <w:rPr>
                <w:rFonts w:ascii="Arial Narrow" w:hAnsi="Arial Narrow" w:cs="Arial"/>
                <w:sz w:val="20"/>
                <w:szCs w:val="20"/>
              </w:rPr>
              <w:t>0</w:t>
            </w:r>
          </w:p>
          <w:p w:rsidR="00802B03" w:rsidRPr="00F309C9" w:rsidRDefault="00802B03" w:rsidP="001510C2">
            <w:pPr>
              <w:spacing w:before="40" w:after="40"/>
              <w:jc w:val="center"/>
              <w:rPr>
                <w:rFonts w:ascii="Arial Narrow" w:hAnsi="Arial Narrow" w:cs="Arial"/>
                <w:sz w:val="20"/>
                <w:szCs w:val="20"/>
              </w:rPr>
            </w:pPr>
            <w:r w:rsidRPr="00F309C9">
              <w:rPr>
                <w:rFonts w:ascii="Arial Narrow" w:hAnsi="Arial Narrow" w:cs="Arial"/>
                <w:sz w:val="20"/>
                <w:szCs w:val="20"/>
              </w:rPr>
              <w:t>0</w:t>
            </w:r>
          </w:p>
        </w:tc>
        <w:tc>
          <w:tcPr>
            <w:tcW w:w="1156" w:type="pct"/>
          </w:tcPr>
          <w:p w:rsidR="00802B03" w:rsidRPr="00F309C9" w:rsidRDefault="00802B03" w:rsidP="001510C2">
            <w:pPr>
              <w:spacing w:before="40" w:after="40"/>
              <w:jc w:val="both"/>
              <w:rPr>
                <w:rFonts w:ascii="Arial Narrow" w:hAnsi="Arial Narrow" w:cs="Arial"/>
                <w:sz w:val="20"/>
                <w:szCs w:val="20"/>
              </w:rPr>
            </w:pPr>
          </w:p>
          <w:p w:rsidR="00802B03" w:rsidRPr="00F309C9" w:rsidRDefault="00802B03" w:rsidP="001510C2">
            <w:pPr>
              <w:spacing w:before="40" w:after="40"/>
              <w:jc w:val="both"/>
              <w:rPr>
                <w:rFonts w:ascii="Arial Narrow" w:hAnsi="Arial Narrow" w:cs="Arial"/>
                <w:sz w:val="20"/>
                <w:szCs w:val="20"/>
              </w:rPr>
            </w:pPr>
            <w:r w:rsidRPr="00F309C9">
              <w:rPr>
                <w:rFonts w:ascii="Arial Narrow" w:hAnsi="Arial Narrow" w:cs="Arial"/>
                <w:sz w:val="20"/>
                <w:szCs w:val="20"/>
              </w:rPr>
              <w:t>$10,500.00 (published)</w:t>
            </w:r>
          </w:p>
          <w:p w:rsidR="00802B03" w:rsidRPr="00F309C9" w:rsidRDefault="00802B03" w:rsidP="001510C2">
            <w:pPr>
              <w:spacing w:before="40" w:after="40"/>
              <w:jc w:val="both"/>
              <w:rPr>
                <w:rFonts w:ascii="Arial Narrow" w:hAnsi="Arial Narrow" w:cs="Arial"/>
                <w:sz w:val="20"/>
                <w:szCs w:val="20"/>
              </w:rPr>
            </w:pPr>
            <w:r w:rsidRPr="00F309C9">
              <w:rPr>
                <w:rFonts w:ascii="Arial Narrow" w:hAnsi="Arial Narrow" w:cs="Arial"/>
                <w:sz w:val="20"/>
                <w:szCs w:val="20"/>
              </w:rPr>
              <w:t>$10,547.29</w:t>
            </w:r>
            <w:r w:rsidR="00B13BA3">
              <w:rPr>
                <w:rFonts w:ascii="Arial Narrow" w:hAnsi="Arial Narrow" w:cs="Arial"/>
                <w:sz w:val="20"/>
                <w:szCs w:val="20"/>
              </w:rPr>
              <w:t xml:space="preserve"> </w:t>
            </w:r>
            <w:r w:rsidRPr="00F309C9">
              <w:rPr>
                <w:rFonts w:ascii="Arial Narrow" w:hAnsi="Arial Narrow" w:cs="Arial"/>
                <w:sz w:val="20"/>
                <w:szCs w:val="20"/>
              </w:rPr>
              <w:t>(published)</w:t>
            </w:r>
          </w:p>
        </w:tc>
        <w:tc>
          <w:tcPr>
            <w:tcW w:w="1069" w:type="pct"/>
          </w:tcPr>
          <w:p w:rsidR="00802B03" w:rsidRPr="00F309C9" w:rsidRDefault="00802B03" w:rsidP="001510C2">
            <w:pPr>
              <w:spacing w:before="40" w:after="40"/>
              <w:jc w:val="both"/>
              <w:rPr>
                <w:rFonts w:ascii="Arial Narrow" w:hAnsi="Arial Narrow" w:cs="Arial"/>
                <w:sz w:val="20"/>
                <w:szCs w:val="20"/>
              </w:rPr>
            </w:pPr>
          </w:p>
          <w:p w:rsidR="00802B03" w:rsidRPr="00F309C9" w:rsidRDefault="00802B03" w:rsidP="001510C2">
            <w:pPr>
              <w:spacing w:before="40" w:after="40"/>
              <w:jc w:val="both"/>
              <w:rPr>
                <w:rFonts w:ascii="Arial Narrow" w:hAnsi="Arial Narrow" w:cs="Arial"/>
                <w:sz w:val="20"/>
                <w:szCs w:val="20"/>
              </w:rPr>
            </w:pPr>
            <w:r w:rsidRPr="00F309C9">
              <w:rPr>
                <w:rFonts w:ascii="Arial Narrow" w:hAnsi="Arial Narrow" w:cs="Arial"/>
                <w:sz w:val="20"/>
                <w:szCs w:val="20"/>
              </w:rPr>
              <w:t>Pomalyst®</w:t>
            </w:r>
          </w:p>
          <w:p w:rsidR="00802B03" w:rsidRPr="00F309C9" w:rsidRDefault="00802B03" w:rsidP="001510C2">
            <w:pPr>
              <w:spacing w:before="40" w:after="40"/>
              <w:jc w:val="both"/>
              <w:rPr>
                <w:rFonts w:ascii="Arial Narrow" w:hAnsi="Arial Narrow" w:cs="Arial"/>
                <w:sz w:val="20"/>
                <w:szCs w:val="20"/>
              </w:rPr>
            </w:pPr>
            <w:r w:rsidRPr="00F309C9">
              <w:rPr>
                <w:rFonts w:ascii="Arial Narrow" w:hAnsi="Arial Narrow" w:cs="Arial"/>
                <w:sz w:val="20"/>
                <w:szCs w:val="20"/>
              </w:rPr>
              <w:t xml:space="preserve">Celgene Pty Ltd </w:t>
            </w:r>
          </w:p>
        </w:tc>
      </w:tr>
      <w:tr w:rsidR="00802B03" w:rsidRPr="00F309C9" w:rsidTr="00B13BA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143"/>
        </w:trPr>
        <w:tc>
          <w:tcPr>
            <w:tcW w:w="1854" w:type="pct"/>
            <w:gridSpan w:val="2"/>
            <w:tcBorders>
              <w:top w:val="single" w:sz="4" w:space="0" w:color="auto"/>
              <w:left w:val="single" w:sz="4" w:space="0" w:color="auto"/>
              <w:bottom w:val="single" w:sz="4" w:space="0" w:color="auto"/>
              <w:right w:val="single" w:sz="4" w:space="0" w:color="auto"/>
            </w:tcBorders>
          </w:tcPr>
          <w:p w:rsidR="00802B03" w:rsidRPr="00F309C9" w:rsidRDefault="00802B03" w:rsidP="001510C2">
            <w:pPr>
              <w:keepNext/>
              <w:rPr>
                <w:rFonts w:ascii="Arial Narrow" w:hAnsi="Arial Narrow" w:cs="Arial"/>
                <w:b/>
                <w:sz w:val="20"/>
                <w:szCs w:val="20"/>
              </w:rPr>
            </w:pPr>
            <w:r w:rsidRPr="00F309C9">
              <w:rPr>
                <w:rFonts w:ascii="Arial Narrow" w:hAnsi="Arial Narrow" w:cs="Arial"/>
                <w:b/>
                <w:sz w:val="20"/>
                <w:szCs w:val="20"/>
              </w:rPr>
              <w:t>PBS Indication:</w:t>
            </w:r>
          </w:p>
        </w:tc>
        <w:tc>
          <w:tcPr>
            <w:tcW w:w="3146" w:type="pct"/>
            <w:gridSpan w:val="4"/>
            <w:tcBorders>
              <w:top w:val="single" w:sz="4" w:space="0" w:color="auto"/>
              <w:left w:val="single" w:sz="4" w:space="0" w:color="auto"/>
              <w:bottom w:val="single" w:sz="4" w:space="0" w:color="auto"/>
              <w:right w:val="single" w:sz="4" w:space="0" w:color="auto"/>
            </w:tcBorders>
          </w:tcPr>
          <w:p w:rsidR="00802B03" w:rsidRPr="00F309C9" w:rsidRDefault="00802B03" w:rsidP="001510C2">
            <w:pPr>
              <w:keepNext/>
              <w:rPr>
                <w:rFonts w:ascii="Arial Narrow" w:hAnsi="Arial Narrow" w:cs="Arial"/>
                <w:sz w:val="20"/>
                <w:szCs w:val="20"/>
              </w:rPr>
            </w:pPr>
            <w:r w:rsidRPr="00F309C9">
              <w:rPr>
                <w:rFonts w:ascii="Arial Narrow" w:hAnsi="Arial Narrow" w:cs="Arial"/>
                <w:sz w:val="20"/>
                <w:szCs w:val="20"/>
              </w:rPr>
              <w:t>Multiple myeloma</w:t>
            </w:r>
          </w:p>
        </w:tc>
      </w:tr>
      <w:tr w:rsidR="00802B03" w:rsidRPr="00F309C9" w:rsidTr="00B13BA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1854" w:type="pct"/>
            <w:gridSpan w:val="2"/>
            <w:tcBorders>
              <w:top w:val="single" w:sz="4" w:space="0" w:color="auto"/>
              <w:left w:val="single" w:sz="4" w:space="0" w:color="auto"/>
              <w:bottom w:val="single" w:sz="4" w:space="0" w:color="auto"/>
              <w:right w:val="single" w:sz="4" w:space="0" w:color="auto"/>
            </w:tcBorders>
          </w:tcPr>
          <w:p w:rsidR="00802B03" w:rsidRPr="00F309C9" w:rsidRDefault="00802B03" w:rsidP="001510C2">
            <w:pPr>
              <w:keepNext/>
              <w:rPr>
                <w:rFonts w:ascii="Arial Narrow" w:hAnsi="Arial Narrow" w:cs="Arial"/>
                <w:b/>
                <w:sz w:val="20"/>
                <w:szCs w:val="20"/>
              </w:rPr>
            </w:pPr>
            <w:r w:rsidRPr="00F309C9">
              <w:rPr>
                <w:rFonts w:ascii="Arial Narrow" w:hAnsi="Arial Narrow" w:cs="Arial"/>
                <w:b/>
                <w:sz w:val="20"/>
                <w:szCs w:val="20"/>
              </w:rPr>
              <w:t>Treatment phase:</w:t>
            </w:r>
          </w:p>
        </w:tc>
        <w:tc>
          <w:tcPr>
            <w:tcW w:w="3146" w:type="pct"/>
            <w:gridSpan w:val="4"/>
            <w:tcBorders>
              <w:top w:val="single" w:sz="4" w:space="0" w:color="auto"/>
              <w:left w:val="single" w:sz="4" w:space="0" w:color="auto"/>
              <w:bottom w:val="single" w:sz="4" w:space="0" w:color="auto"/>
              <w:right w:val="single" w:sz="4" w:space="0" w:color="auto"/>
            </w:tcBorders>
          </w:tcPr>
          <w:p w:rsidR="00802B03" w:rsidRPr="00F309C9" w:rsidRDefault="00802B03" w:rsidP="001510C2">
            <w:pPr>
              <w:keepNext/>
              <w:rPr>
                <w:rFonts w:ascii="Arial Narrow" w:hAnsi="Arial Narrow" w:cs="Arial"/>
                <w:sz w:val="20"/>
                <w:szCs w:val="20"/>
              </w:rPr>
            </w:pPr>
            <w:r w:rsidRPr="00F309C9">
              <w:rPr>
                <w:rFonts w:ascii="Arial Narrow" w:hAnsi="Arial Narrow" w:cs="Arial"/>
                <w:sz w:val="20"/>
                <w:szCs w:val="20"/>
              </w:rPr>
              <w:t>Initial</w:t>
            </w:r>
          </w:p>
        </w:tc>
      </w:tr>
      <w:tr w:rsidR="00802B03" w:rsidRPr="00F309C9" w:rsidTr="00B13BA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1854" w:type="pct"/>
            <w:gridSpan w:val="2"/>
            <w:tcBorders>
              <w:top w:val="single" w:sz="4" w:space="0" w:color="auto"/>
              <w:left w:val="single" w:sz="4" w:space="0" w:color="auto"/>
              <w:bottom w:val="single" w:sz="4" w:space="0" w:color="auto"/>
              <w:right w:val="single" w:sz="4" w:space="0" w:color="auto"/>
            </w:tcBorders>
          </w:tcPr>
          <w:p w:rsidR="00802B03" w:rsidRPr="00F309C9" w:rsidRDefault="00802B03" w:rsidP="0034721A">
            <w:pPr>
              <w:rPr>
                <w:rFonts w:ascii="Arial Narrow" w:hAnsi="Arial Narrow" w:cs="Arial"/>
                <w:b/>
                <w:sz w:val="20"/>
                <w:szCs w:val="20"/>
              </w:rPr>
            </w:pPr>
            <w:r w:rsidRPr="00F309C9">
              <w:rPr>
                <w:rFonts w:ascii="Arial Narrow" w:hAnsi="Arial Narrow" w:cs="Arial"/>
                <w:b/>
                <w:sz w:val="20"/>
                <w:szCs w:val="20"/>
              </w:rPr>
              <w:t>Clinical criteria:</w:t>
            </w:r>
          </w:p>
        </w:tc>
        <w:tc>
          <w:tcPr>
            <w:tcW w:w="3146" w:type="pct"/>
            <w:gridSpan w:val="4"/>
            <w:tcBorders>
              <w:top w:val="single" w:sz="4" w:space="0" w:color="auto"/>
              <w:left w:val="single" w:sz="4" w:space="0" w:color="auto"/>
              <w:bottom w:val="single" w:sz="4" w:space="0" w:color="auto"/>
              <w:right w:val="single" w:sz="4" w:space="0" w:color="auto"/>
            </w:tcBorders>
          </w:tcPr>
          <w:p w:rsidR="00802B03" w:rsidRPr="00F309C9" w:rsidRDefault="00802B03" w:rsidP="00802B03">
            <w:pPr>
              <w:rPr>
                <w:rFonts w:ascii="Arial Narrow" w:hAnsi="Arial Narrow" w:cs="Arial"/>
                <w:sz w:val="20"/>
                <w:szCs w:val="20"/>
              </w:rPr>
            </w:pPr>
            <w:r w:rsidRPr="00F309C9">
              <w:rPr>
                <w:rFonts w:ascii="Arial Narrow" w:hAnsi="Arial Narrow" w:cs="Arial"/>
                <w:sz w:val="20"/>
                <w:szCs w:val="20"/>
              </w:rPr>
              <w:t>Clinical criteria:</w:t>
            </w:r>
          </w:p>
          <w:p w:rsidR="00802B03" w:rsidRPr="00F309C9" w:rsidRDefault="00F309C9" w:rsidP="00802B03">
            <w:pPr>
              <w:rPr>
                <w:rFonts w:ascii="Arial Narrow" w:hAnsi="Arial Narrow" w:cs="Arial"/>
                <w:sz w:val="20"/>
                <w:szCs w:val="20"/>
              </w:rPr>
            </w:pPr>
            <w:r w:rsidRPr="00F309C9">
              <w:rPr>
                <w:rFonts w:ascii="Arial Narrow" w:hAnsi="Arial Narrow" w:cs="Arial"/>
                <w:sz w:val="20"/>
                <w:szCs w:val="20"/>
              </w:rPr>
              <w:t xml:space="preserve">• </w:t>
            </w:r>
            <w:r w:rsidR="00802B03" w:rsidRPr="00F309C9">
              <w:rPr>
                <w:rFonts w:ascii="Arial Narrow" w:hAnsi="Arial Narrow" w:cs="Arial"/>
                <w:sz w:val="20"/>
                <w:szCs w:val="20"/>
              </w:rPr>
              <w:t>The treatment must be in combination with dexamethasone,</w:t>
            </w:r>
          </w:p>
          <w:p w:rsidR="00802B03" w:rsidRPr="00F309C9" w:rsidRDefault="00802B03" w:rsidP="00802B03">
            <w:pPr>
              <w:rPr>
                <w:rFonts w:ascii="Arial Narrow" w:hAnsi="Arial Narrow" w:cs="Arial"/>
                <w:sz w:val="20"/>
                <w:szCs w:val="20"/>
              </w:rPr>
            </w:pPr>
            <w:r w:rsidRPr="00F309C9">
              <w:rPr>
                <w:rFonts w:ascii="Arial Narrow" w:hAnsi="Arial Narrow" w:cs="Arial"/>
                <w:sz w:val="20"/>
                <w:szCs w:val="20"/>
              </w:rPr>
              <w:t>AND</w:t>
            </w:r>
          </w:p>
          <w:p w:rsidR="00802B03" w:rsidRPr="00F309C9" w:rsidRDefault="00F309C9" w:rsidP="00802B03">
            <w:pPr>
              <w:rPr>
                <w:rFonts w:ascii="Arial Narrow" w:hAnsi="Arial Narrow" w:cs="Arial"/>
                <w:sz w:val="20"/>
                <w:szCs w:val="20"/>
              </w:rPr>
            </w:pPr>
            <w:r w:rsidRPr="00F309C9">
              <w:rPr>
                <w:rFonts w:ascii="Arial Narrow" w:hAnsi="Arial Narrow" w:cs="Arial"/>
                <w:sz w:val="20"/>
                <w:szCs w:val="20"/>
              </w:rPr>
              <w:t xml:space="preserve">• </w:t>
            </w:r>
            <w:r w:rsidR="00802B03" w:rsidRPr="00F309C9">
              <w:rPr>
                <w:rFonts w:ascii="Arial Narrow" w:hAnsi="Arial Narrow" w:cs="Arial"/>
                <w:sz w:val="20"/>
                <w:szCs w:val="20"/>
              </w:rPr>
              <w:t>Patient must have undergone or be ineligible for a primary stem cell transplant,</w:t>
            </w:r>
          </w:p>
          <w:p w:rsidR="00802B03" w:rsidRPr="00F309C9" w:rsidRDefault="00802B03" w:rsidP="00802B03">
            <w:pPr>
              <w:rPr>
                <w:rFonts w:ascii="Arial Narrow" w:hAnsi="Arial Narrow" w:cs="Arial"/>
                <w:sz w:val="20"/>
                <w:szCs w:val="20"/>
              </w:rPr>
            </w:pPr>
            <w:r w:rsidRPr="00F309C9">
              <w:rPr>
                <w:rFonts w:ascii="Arial Narrow" w:hAnsi="Arial Narrow" w:cs="Arial"/>
                <w:sz w:val="20"/>
                <w:szCs w:val="20"/>
              </w:rPr>
              <w:t>AND</w:t>
            </w:r>
          </w:p>
          <w:p w:rsidR="00802B03" w:rsidRPr="00F309C9" w:rsidRDefault="00F309C9" w:rsidP="00802B03">
            <w:pPr>
              <w:rPr>
                <w:rFonts w:ascii="Arial Narrow" w:hAnsi="Arial Narrow" w:cs="Arial"/>
                <w:sz w:val="20"/>
                <w:szCs w:val="20"/>
              </w:rPr>
            </w:pPr>
            <w:r w:rsidRPr="00F309C9">
              <w:rPr>
                <w:rFonts w:ascii="Arial Narrow" w:hAnsi="Arial Narrow" w:cs="Arial"/>
                <w:sz w:val="20"/>
                <w:szCs w:val="20"/>
              </w:rPr>
              <w:t xml:space="preserve">• </w:t>
            </w:r>
            <w:r w:rsidR="00802B03" w:rsidRPr="00F309C9">
              <w:rPr>
                <w:rFonts w:ascii="Arial Narrow" w:hAnsi="Arial Narrow" w:cs="Arial"/>
                <w:sz w:val="20"/>
                <w:szCs w:val="20"/>
              </w:rPr>
              <w:t>Patient must have experienced treatment failure with lenalidomide</w:t>
            </w:r>
            <w:r w:rsidR="0092146C">
              <w:rPr>
                <w:rFonts w:ascii="Arial Narrow" w:hAnsi="Arial Narrow" w:cs="Arial"/>
                <w:sz w:val="20"/>
                <w:szCs w:val="20"/>
              </w:rPr>
              <w:t xml:space="preserve">, </w:t>
            </w:r>
            <w:r w:rsidR="0092146C" w:rsidRPr="0092146C">
              <w:rPr>
                <w:rFonts w:ascii="Arial Narrow" w:hAnsi="Arial Narrow" w:cs="Arial"/>
                <w:sz w:val="20"/>
                <w:szCs w:val="20"/>
              </w:rPr>
              <w:t>unless contraindicated or not tolerated according to the Therapeutic Goods Administration (TGA) approved Product Information</w:t>
            </w:r>
            <w:r w:rsidR="00802B03" w:rsidRPr="00F309C9">
              <w:rPr>
                <w:rFonts w:ascii="Arial Narrow" w:hAnsi="Arial Narrow" w:cs="Arial"/>
                <w:sz w:val="20"/>
                <w:szCs w:val="20"/>
              </w:rPr>
              <w:t>,</w:t>
            </w:r>
          </w:p>
          <w:p w:rsidR="00802B03" w:rsidRPr="00F309C9" w:rsidRDefault="00802B03" w:rsidP="00802B03">
            <w:pPr>
              <w:rPr>
                <w:rFonts w:ascii="Arial Narrow" w:hAnsi="Arial Narrow" w:cs="Arial"/>
                <w:sz w:val="20"/>
                <w:szCs w:val="20"/>
              </w:rPr>
            </w:pPr>
            <w:r w:rsidRPr="00F309C9">
              <w:rPr>
                <w:rFonts w:ascii="Arial Narrow" w:hAnsi="Arial Narrow" w:cs="Arial"/>
                <w:sz w:val="20"/>
                <w:szCs w:val="20"/>
              </w:rPr>
              <w:t>AND</w:t>
            </w:r>
          </w:p>
          <w:p w:rsidR="00802B03" w:rsidRPr="00F309C9" w:rsidRDefault="00802B03" w:rsidP="00802B03">
            <w:pPr>
              <w:rPr>
                <w:rFonts w:ascii="Arial Narrow" w:hAnsi="Arial Narrow" w:cs="Arial"/>
                <w:sz w:val="20"/>
                <w:szCs w:val="20"/>
              </w:rPr>
            </w:pPr>
            <w:r w:rsidRPr="00F309C9">
              <w:rPr>
                <w:rFonts w:ascii="Arial Narrow" w:hAnsi="Arial Narrow" w:cs="Arial"/>
                <w:sz w:val="20"/>
                <w:szCs w:val="20"/>
              </w:rPr>
              <w:t>•</w:t>
            </w:r>
            <w:r w:rsidR="00F309C9" w:rsidRPr="00F309C9">
              <w:rPr>
                <w:rFonts w:ascii="Arial Narrow" w:hAnsi="Arial Narrow" w:cs="Arial"/>
                <w:sz w:val="20"/>
                <w:szCs w:val="20"/>
              </w:rPr>
              <w:t xml:space="preserve"> </w:t>
            </w:r>
            <w:r w:rsidRPr="00F309C9">
              <w:rPr>
                <w:rFonts w:ascii="Arial Narrow" w:hAnsi="Arial Narrow" w:cs="Arial"/>
                <w:sz w:val="20"/>
                <w:szCs w:val="20"/>
              </w:rPr>
              <w:t xml:space="preserve">Patient must have experienced treatment failure with </w:t>
            </w:r>
            <w:r w:rsidRPr="00F309C9">
              <w:rPr>
                <w:rFonts w:ascii="Arial Narrow" w:hAnsi="Arial Narrow" w:cs="Arial"/>
                <w:strike/>
                <w:sz w:val="20"/>
                <w:szCs w:val="20"/>
              </w:rPr>
              <w:t>bortezomib</w:t>
            </w:r>
            <w:r w:rsidRPr="00F309C9">
              <w:rPr>
                <w:rFonts w:ascii="Arial Narrow" w:hAnsi="Arial Narrow" w:cs="Arial"/>
                <w:sz w:val="20"/>
                <w:szCs w:val="20"/>
              </w:rPr>
              <w:t xml:space="preserve">  </w:t>
            </w:r>
            <w:r w:rsidR="00F309C9" w:rsidRPr="00F309C9">
              <w:rPr>
                <w:rFonts w:ascii="Arial Narrow" w:hAnsi="Arial Narrow" w:cs="Arial"/>
                <w:i/>
                <w:sz w:val="20"/>
                <w:szCs w:val="20"/>
              </w:rPr>
              <w:t>a proteasome inhibitor (bortezomib or c</w:t>
            </w:r>
            <w:r w:rsidRPr="00F309C9">
              <w:rPr>
                <w:rFonts w:ascii="Arial Narrow" w:hAnsi="Arial Narrow" w:cs="Arial"/>
                <w:i/>
                <w:sz w:val="20"/>
                <w:szCs w:val="20"/>
              </w:rPr>
              <w:t>arfilzomib)</w:t>
            </w:r>
            <w:r w:rsidRPr="00F309C9">
              <w:rPr>
                <w:rFonts w:ascii="Arial Narrow" w:hAnsi="Arial Narrow" w:cs="Arial"/>
                <w:sz w:val="20"/>
                <w:szCs w:val="20"/>
              </w:rPr>
              <w:t>,</w:t>
            </w:r>
            <w:r w:rsidR="0092146C">
              <w:rPr>
                <w:rFonts w:ascii="Arial Narrow" w:hAnsi="Arial Narrow" w:cs="Arial"/>
                <w:sz w:val="20"/>
                <w:szCs w:val="20"/>
              </w:rPr>
              <w:t xml:space="preserve"> </w:t>
            </w:r>
            <w:r w:rsidR="0092146C" w:rsidRPr="0092146C">
              <w:rPr>
                <w:rFonts w:ascii="Arial Narrow" w:hAnsi="Arial Narrow" w:cs="Arial"/>
                <w:sz w:val="20"/>
                <w:szCs w:val="20"/>
              </w:rPr>
              <w:t>unless contraindicated or not tolerated according to the Therapeutic Goods Administration (TGA) approved Product Information,</w:t>
            </w:r>
          </w:p>
          <w:p w:rsidR="00802B03" w:rsidRPr="00F309C9" w:rsidRDefault="00802B03" w:rsidP="00802B03">
            <w:pPr>
              <w:rPr>
                <w:rFonts w:ascii="Arial Narrow" w:hAnsi="Arial Narrow" w:cs="Arial"/>
                <w:sz w:val="20"/>
                <w:szCs w:val="20"/>
              </w:rPr>
            </w:pPr>
            <w:r w:rsidRPr="00F309C9">
              <w:rPr>
                <w:rFonts w:ascii="Arial Narrow" w:hAnsi="Arial Narrow" w:cs="Arial"/>
                <w:sz w:val="20"/>
                <w:szCs w:val="20"/>
              </w:rPr>
              <w:t>AND</w:t>
            </w:r>
          </w:p>
          <w:p w:rsidR="00802B03" w:rsidRPr="00F309C9" w:rsidRDefault="00F309C9" w:rsidP="00802B03">
            <w:pPr>
              <w:rPr>
                <w:rFonts w:ascii="Arial Narrow" w:hAnsi="Arial Narrow" w:cs="Arial"/>
                <w:sz w:val="20"/>
                <w:szCs w:val="20"/>
              </w:rPr>
            </w:pPr>
            <w:r w:rsidRPr="00F309C9">
              <w:rPr>
                <w:rFonts w:ascii="Arial Narrow" w:hAnsi="Arial Narrow" w:cs="Arial"/>
                <w:sz w:val="20"/>
                <w:szCs w:val="20"/>
              </w:rPr>
              <w:t>• Patient must not be receiving concomitant PBS-subsidised bortezomib, carfilzomib or thalidomide or its analogues.</w:t>
            </w:r>
          </w:p>
        </w:tc>
      </w:tr>
      <w:tr w:rsidR="00F309C9" w:rsidRPr="002D0FFE" w:rsidTr="00B13BA3">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360"/>
        </w:trPr>
        <w:tc>
          <w:tcPr>
            <w:tcW w:w="1854" w:type="pct"/>
            <w:gridSpan w:val="2"/>
            <w:tcBorders>
              <w:top w:val="single" w:sz="4" w:space="0" w:color="auto"/>
              <w:left w:val="single" w:sz="4" w:space="0" w:color="auto"/>
              <w:bottom w:val="single" w:sz="4" w:space="0" w:color="auto"/>
              <w:right w:val="single" w:sz="4" w:space="0" w:color="auto"/>
            </w:tcBorders>
          </w:tcPr>
          <w:p w:rsidR="00F309C9" w:rsidRPr="00F309C9" w:rsidRDefault="00F309C9" w:rsidP="0034721A">
            <w:pPr>
              <w:rPr>
                <w:rFonts w:ascii="Arial Narrow" w:hAnsi="Arial Narrow" w:cs="Arial"/>
                <w:b/>
                <w:sz w:val="20"/>
                <w:szCs w:val="20"/>
              </w:rPr>
            </w:pPr>
            <w:r w:rsidRPr="00F309C9">
              <w:rPr>
                <w:rFonts w:ascii="Arial Narrow" w:hAnsi="Arial Narrow" w:cs="Arial"/>
                <w:b/>
                <w:sz w:val="20"/>
                <w:szCs w:val="20"/>
              </w:rPr>
              <w:t>Prescriber instruction</w:t>
            </w:r>
          </w:p>
        </w:tc>
        <w:tc>
          <w:tcPr>
            <w:tcW w:w="3146" w:type="pct"/>
            <w:gridSpan w:val="4"/>
            <w:tcBorders>
              <w:top w:val="single" w:sz="4" w:space="0" w:color="auto"/>
              <w:left w:val="single" w:sz="4" w:space="0" w:color="auto"/>
              <w:bottom w:val="single" w:sz="4" w:space="0" w:color="auto"/>
              <w:right w:val="single" w:sz="4" w:space="0" w:color="auto"/>
            </w:tcBorders>
          </w:tcPr>
          <w:p w:rsidR="00F309C9" w:rsidRPr="00802B03" w:rsidRDefault="00F309C9" w:rsidP="00802B03">
            <w:pPr>
              <w:rPr>
                <w:rFonts w:ascii="Arial Narrow" w:hAnsi="Arial Narrow" w:cs="Arial"/>
                <w:sz w:val="20"/>
                <w:szCs w:val="20"/>
              </w:rPr>
            </w:pPr>
            <w:r w:rsidRPr="00F309C9">
              <w:rPr>
                <w:rFonts w:ascii="Arial Narrow" w:hAnsi="Arial Narrow" w:cs="Arial"/>
                <w:sz w:val="20"/>
                <w:szCs w:val="20"/>
              </w:rPr>
              <w:t>Bortezomib treatment failure is the absence of achieving at least a partial response or as progressive disease during treatment or within 6 months of discontinuing treatment with bortezomib. Lenalidomide treatment failure is progressive disease during treatment or within 6 months of discontinuing treatment with lenalidomide.</w:t>
            </w:r>
            <w:r w:rsidR="0092146C">
              <w:rPr>
                <w:rFonts w:ascii="Arial Narrow" w:hAnsi="Arial Narrow" w:cs="Arial"/>
                <w:sz w:val="20"/>
                <w:szCs w:val="20"/>
              </w:rPr>
              <w:t xml:space="preserve"> </w:t>
            </w:r>
            <w:r w:rsidR="0092146C" w:rsidRPr="00A526E5">
              <w:rPr>
                <w:rFonts w:ascii="Arial Narrow" w:hAnsi="Arial Narrow" w:cs="Arial"/>
                <w:i/>
                <w:sz w:val="20"/>
                <w:szCs w:val="20"/>
              </w:rPr>
              <w:t>Carfilzomib treatment failure is progressive disease during treatment or within 6 months of discontinuing treatment with lenalidomide.</w:t>
            </w:r>
          </w:p>
        </w:tc>
      </w:tr>
    </w:tbl>
    <w:p w:rsidR="001E5E06" w:rsidRDefault="001E5E06" w:rsidP="001E5E06">
      <w:pPr>
        <w:pStyle w:val="ListParagraph"/>
        <w:ind w:left="709"/>
        <w:rPr>
          <w:rFonts w:asciiTheme="minorHAnsi" w:hAnsiTheme="minorHAnsi"/>
          <w:i/>
        </w:rPr>
      </w:pPr>
    </w:p>
    <w:p w:rsidR="001E5E06" w:rsidRPr="00CE75E2" w:rsidRDefault="001E5E06" w:rsidP="00CE75E2">
      <w:pPr>
        <w:rPr>
          <w:rFonts w:asciiTheme="minorHAnsi" w:hAnsiTheme="minorHAnsi"/>
          <w:i/>
        </w:rPr>
      </w:pPr>
      <w:r w:rsidRPr="00CE75E2">
        <w:rPr>
          <w:rFonts w:asciiTheme="minorHAnsi" w:hAnsiTheme="minorHAnsi"/>
          <w:i/>
        </w:rPr>
        <w:lastRenderedPageBreak/>
        <w:t xml:space="preserve">For more detail on PBAC’s view, see section </w:t>
      </w:r>
      <w:r w:rsidR="009B0883" w:rsidRPr="00CE75E2">
        <w:rPr>
          <w:rFonts w:asciiTheme="minorHAnsi" w:hAnsiTheme="minorHAnsi"/>
          <w:i/>
        </w:rPr>
        <w:t>5</w:t>
      </w:r>
      <w:r w:rsidRPr="00CE75E2">
        <w:rPr>
          <w:rFonts w:asciiTheme="minorHAnsi" w:hAnsiTheme="minorHAnsi"/>
          <w:i/>
        </w:rPr>
        <w:t xml:space="preserve"> PBAC outcome.</w:t>
      </w:r>
    </w:p>
    <w:p w:rsidR="00C603D4" w:rsidRPr="00825CF7" w:rsidRDefault="00CE10C4" w:rsidP="00696129">
      <w:pPr>
        <w:pStyle w:val="PBACHeading1"/>
        <w:spacing w:before="240" w:after="120"/>
        <w:ind w:left="709" w:hanging="709"/>
        <w:rPr>
          <w:rFonts w:asciiTheme="minorHAnsi" w:hAnsiTheme="minorHAnsi"/>
          <w:sz w:val="32"/>
          <w:szCs w:val="32"/>
        </w:rPr>
      </w:pPr>
      <w:r w:rsidRPr="00825CF7">
        <w:rPr>
          <w:rFonts w:asciiTheme="minorHAnsi" w:hAnsiTheme="minorHAnsi"/>
          <w:sz w:val="32"/>
          <w:szCs w:val="32"/>
        </w:rPr>
        <w:t>Background</w:t>
      </w:r>
    </w:p>
    <w:p w:rsidR="00D5239E" w:rsidRPr="00456DAC" w:rsidRDefault="00D5239E" w:rsidP="00645EB1">
      <w:pPr>
        <w:pStyle w:val="ListParagraph"/>
        <w:numPr>
          <w:ilvl w:val="1"/>
          <w:numId w:val="14"/>
        </w:numPr>
        <w:spacing w:before="120" w:after="160"/>
        <w:rPr>
          <w:rFonts w:asciiTheme="minorHAnsi" w:hAnsiTheme="minorHAnsi"/>
          <w:sz w:val="24"/>
          <w:szCs w:val="24"/>
        </w:rPr>
      </w:pPr>
      <w:r w:rsidRPr="00456DAC">
        <w:rPr>
          <w:rFonts w:asciiTheme="minorHAnsi" w:hAnsiTheme="minorHAnsi"/>
          <w:sz w:val="24"/>
          <w:szCs w:val="24"/>
        </w:rPr>
        <w:t xml:space="preserve">At the multiple myeloma stakeholder meeting in May 2018, clinicians raised concerns about the lack of flexibility in prescribing, particularly for being able to switch </w:t>
      </w:r>
      <w:r w:rsidR="00645EB1" w:rsidRPr="00456DAC">
        <w:rPr>
          <w:rFonts w:asciiTheme="minorHAnsi" w:hAnsiTheme="minorHAnsi"/>
          <w:sz w:val="24"/>
          <w:szCs w:val="24"/>
        </w:rPr>
        <w:t xml:space="preserve">therapy </w:t>
      </w:r>
      <w:r w:rsidRPr="00456DAC">
        <w:rPr>
          <w:rFonts w:asciiTheme="minorHAnsi" w:hAnsiTheme="minorHAnsi"/>
          <w:sz w:val="24"/>
          <w:szCs w:val="24"/>
        </w:rPr>
        <w:t>fr</w:t>
      </w:r>
      <w:r w:rsidR="00645EB1" w:rsidRPr="00456DAC">
        <w:rPr>
          <w:rFonts w:asciiTheme="minorHAnsi" w:hAnsiTheme="minorHAnsi"/>
          <w:sz w:val="24"/>
          <w:szCs w:val="24"/>
        </w:rPr>
        <w:t>o</w:t>
      </w:r>
      <w:r w:rsidRPr="00456DAC">
        <w:rPr>
          <w:rFonts w:asciiTheme="minorHAnsi" w:hAnsiTheme="minorHAnsi"/>
          <w:sz w:val="24"/>
          <w:szCs w:val="24"/>
        </w:rPr>
        <w:t xml:space="preserve">m bortezomib </w:t>
      </w:r>
      <w:r w:rsidR="00645EB1" w:rsidRPr="00456DAC">
        <w:rPr>
          <w:rFonts w:asciiTheme="minorHAnsi" w:hAnsiTheme="minorHAnsi"/>
          <w:sz w:val="24"/>
          <w:szCs w:val="24"/>
        </w:rPr>
        <w:t>to</w:t>
      </w:r>
      <w:r w:rsidRPr="00456DAC">
        <w:rPr>
          <w:rFonts w:asciiTheme="minorHAnsi" w:hAnsiTheme="minorHAnsi"/>
          <w:sz w:val="24"/>
          <w:szCs w:val="24"/>
        </w:rPr>
        <w:t xml:space="preserve"> lenalidomide.</w:t>
      </w:r>
      <w:r w:rsidR="00645EB1" w:rsidRPr="00456DAC">
        <w:rPr>
          <w:rFonts w:asciiTheme="minorHAnsi" w:hAnsiTheme="minorHAnsi"/>
          <w:sz w:val="24"/>
          <w:szCs w:val="24"/>
        </w:rPr>
        <w:t xml:space="preserve"> In the relapsed and refractory setting it was raised that there were inconsistencies in prescribing requirements </w:t>
      </w:r>
      <w:r w:rsidR="00A076C9" w:rsidRPr="00456DAC">
        <w:rPr>
          <w:rFonts w:asciiTheme="minorHAnsi" w:hAnsiTheme="minorHAnsi"/>
          <w:sz w:val="24"/>
          <w:szCs w:val="24"/>
        </w:rPr>
        <w:t>e.g.</w:t>
      </w:r>
      <w:r w:rsidR="00645EB1" w:rsidRPr="00456DAC">
        <w:rPr>
          <w:rFonts w:asciiTheme="minorHAnsi" w:hAnsiTheme="minorHAnsi"/>
          <w:sz w:val="24"/>
          <w:szCs w:val="24"/>
        </w:rPr>
        <w:t xml:space="preserve"> </w:t>
      </w:r>
      <w:r w:rsidR="00A526E5">
        <w:rPr>
          <w:rFonts w:asciiTheme="minorHAnsi" w:hAnsiTheme="minorHAnsi"/>
          <w:sz w:val="24"/>
          <w:szCs w:val="24"/>
        </w:rPr>
        <w:t xml:space="preserve">there are </w:t>
      </w:r>
      <w:r w:rsidR="00645EB1" w:rsidRPr="00456DAC">
        <w:rPr>
          <w:rFonts w:asciiTheme="minorHAnsi" w:hAnsiTheme="minorHAnsi"/>
          <w:sz w:val="24"/>
          <w:szCs w:val="24"/>
        </w:rPr>
        <w:t>barriers to use of pomalidomide other than in patients who had failed lenalidomide and bortezomib, whereas carfilzomib can be used after 1 – 3 lines of prior therapy (Outcome statement – Multiple myeloma meeting 23</w:t>
      </w:r>
      <w:r w:rsidR="00711DC0">
        <w:rPr>
          <w:rFonts w:asciiTheme="minorHAnsi" w:hAnsiTheme="minorHAnsi"/>
          <w:sz w:val="24"/>
          <w:szCs w:val="24"/>
        </w:rPr>
        <w:t xml:space="preserve"> </w:t>
      </w:r>
      <w:r w:rsidR="00645EB1" w:rsidRPr="00456DAC">
        <w:rPr>
          <w:rFonts w:asciiTheme="minorHAnsi" w:hAnsiTheme="minorHAnsi"/>
          <w:sz w:val="24"/>
          <w:szCs w:val="24"/>
        </w:rPr>
        <w:t>May 2018, p4).</w:t>
      </w:r>
    </w:p>
    <w:p w:rsidR="00645EB1" w:rsidRPr="00456DAC" w:rsidRDefault="00645EB1" w:rsidP="00645EB1">
      <w:pPr>
        <w:pStyle w:val="ListParagraph"/>
        <w:spacing w:before="120" w:after="160"/>
        <w:rPr>
          <w:rFonts w:asciiTheme="minorHAnsi" w:hAnsiTheme="minorHAnsi"/>
          <w:sz w:val="24"/>
          <w:szCs w:val="24"/>
        </w:rPr>
      </w:pPr>
    </w:p>
    <w:p w:rsidR="00C83259" w:rsidRPr="00456DAC" w:rsidRDefault="00645EB1" w:rsidP="00C83259">
      <w:pPr>
        <w:pStyle w:val="ListParagraph"/>
        <w:numPr>
          <w:ilvl w:val="1"/>
          <w:numId w:val="14"/>
        </w:numPr>
        <w:spacing w:before="120" w:after="160"/>
        <w:rPr>
          <w:rFonts w:asciiTheme="minorHAnsi" w:hAnsiTheme="minorHAnsi"/>
          <w:sz w:val="24"/>
          <w:szCs w:val="24"/>
        </w:rPr>
      </w:pPr>
      <w:r w:rsidRPr="00456DAC">
        <w:rPr>
          <w:rFonts w:asciiTheme="minorHAnsi" w:hAnsiTheme="minorHAnsi"/>
          <w:sz w:val="24"/>
          <w:szCs w:val="24"/>
        </w:rPr>
        <w:t xml:space="preserve">When carfilzomib received a positive PBAC recommendation in July 2017, there was no flow-on change to the pomalidomide restriction to allow access after failure of </w:t>
      </w:r>
      <w:r w:rsidR="00C83259" w:rsidRPr="00456DAC">
        <w:rPr>
          <w:rFonts w:asciiTheme="minorHAnsi" w:hAnsiTheme="minorHAnsi"/>
          <w:sz w:val="24"/>
          <w:szCs w:val="24"/>
        </w:rPr>
        <w:t>carfilzomib. To access PBS funded pomalidomide patients are required to have failed both lenalidomide and bortezomib.</w:t>
      </w:r>
    </w:p>
    <w:p w:rsidR="000B558D" w:rsidRPr="00921696" w:rsidRDefault="00921696"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921696">
        <w:rPr>
          <w:rFonts w:asciiTheme="minorHAnsi" w:hAnsiTheme="minorHAnsi"/>
          <w:sz w:val="32"/>
          <w:szCs w:val="32"/>
        </w:rPr>
        <w:t>Requested change</w:t>
      </w:r>
    </w:p>
    <w:p w:rsidR="001E5E06" w:rsidRPr="001510C2" w:rsidRDefault="001E5E06" w:rsidP="001510C2">
      <w:pPr>
        <w:pStyle w:val="Heading2"/>
      </w:pPr>
      <w:r w:rsidRPr="001510C2">
        <w:t>Sponsor hearing</w:t>
      </w:r>
    </w:p>
    <w:p w:rsidR="001E5E06" w:rsidRPr="00CB4AA6" w:rsidRDefault="001E5E06" w:rsidP="001E5E06">
      <w:pPr>
        <w:widowControl w:val="0"/>
        <w:numPr>
          <w:ilvl w:val="1"/>
          <w:numId w:val="5"/>
        </w:numPr>
        <w:spacing w:after="120"/>
        <w:jc w:val="both"/>
        <w:rPr>
          <w:rFonts w:asciiTheme="minorHAnsi" w:hAnsiTheme="minorHAnsi" w:cs="Arial"/>
          <w:bCs/>
          <w:snapToGrid w:val="0"/>
        </w:rPr>
      </w:pPr>
      <w:r w:rsidRPr="00CB4AA6">
        <w:rPr>
          <w:rFonts w:asciiTheme="minorHAnsi" w:hAnsiTheme="minorHAnsi" w:cs="Arial"/>
          <w:bCs/>
          <w:snapToGrid w:val="0"/>
        </w:rPr>
        <w:t>There was no hearing for this item as it was a minor submission.</w:t>
      </w:r>
    </w:p>
    <w:p w:rsidR="001E5E06" w:rsidRPr="00CB4AA6" w:rsidRDefault="001E5E06" w:rsidP="001510C2">
      <w:pPr>
        <w:pStyle w:val="Heading2"/>
      </w:pPr>
      <w:r w:rsidRPr="00CB4AA6">
        <w:t>Consumer comments</w:t>
      </w:r>
    </w:p>
    <w:p w:rsidR="001E5E06" w:rsidRPr="00CB4AA6" w:rsidRDefault="001E5E06" w:rsidP="001E5E06">
      <w:pPr>
        <w:widowControl w:val="0"/>
        <w:numPr>
          <w:ilvl w:val="1"/>
          <w:numId w:val="5"/>
        </w:numPr>
        <w:spacing w:after="120"/>
        <w:jc w:val="both"/>
        <w:rPr>
          <w:rFonts w:asciiTheme="minorHAnsi" w:hAnsiTheme="minorHAnsi" w:cs="Arial"/>
          <w:bCs/>
          <w:snapToGrid w:val="0"/>
        </w:rPr>
      </w:pPr>
      <w:r w:rsidRPr="00CB4AA6">
        <w:rPr>
          <w:rFonts w:asciiTheme="minorHAnsi" w:hAnsiTheme="minorHAnsi" w:cs="Arial"/>
          <w:bCs/>
          <w:snapToGrid w:val="0"/>
        </w:rPr>
        <w:t>The PBAC noted that no consumer comments were received for this item.</w:t>
      </w:r>
    </w:p>
    <w:p w:rsidR="00D84934" w:rsidRPr="00921696" w:rsidRDefault="002C5746" w:rsidP="001510C2">
      <w:pPr>
        <w:pStyle w:val="Heading2"/>
      </w:pPr>
      <w:r w:rsidRPr="00CB4AA6">
        <w:t>Treatment a</w:t>
      </w:r>
      <w:r w:rsidR="00921696" w:rsidRPr="00CB4AA6">
        <w:t>lgorithm</w:t>
      </w:r>
    </w:p>
    <w:p w:rsidR="00921696" w:rsidRPr="002C5746" w:rsidRDefault="00921696" w:rsidP="00921696">
      <w:pPr>
        <w:pStyle w:val="ListParagraph"/>
        <w:numPr>
          <w:ilvl w:val="1"/>
          <w:numId w:val="14"/>
        </w:numPr>
        <w:spacing w:before="120" w:after="160"/>
        <w:rPr>
          <w:rFonts w:asciiTheme="minorHAnsi" w:hAnsiTheme="minorHAnsi"/>
          <w:sz w:val="24"/>
          <w:szCs w:val="24"/>
        </w:rPr>
      </w:pPr>
      <w:r w:rsidRPr="00921696">
        <w:rPr>
          <w:rFonts w:asciiTheme="minorHAnsi" w:hAnsiTheme="minorHAnsi"/>
          <w:sz w:val="24"/>
          <w:szCs w:val="24"/>
        </w:rPr>
        <w:t>This submission noted that patients who progress on carfilzomib and require subsequent pomalidomide may require an additional line of therapy with bortezomib if they have not received prior bortezomib, in order to access pomalidomide (see Figure 1). Alternatively, in some circumstances, patients may be given bortezomib rather than carfilzomib in order to allow subsequent access to pomalidomide.</w:t>
      </w:r>
    </w:p>
    <w:p w:rsidR="002C5746" w:rsidRDefault="002C5746" w:rsidP="00921696"/>
    <w:p w:rsidR="00921696" w:rsidRPr="00A7516C" w:rsidRDefault="00A7516C" w:rsidP="00A7516C">
      <w:pPr>
        <w:pStyle w:val="Caption"/>
      </w:pPr>
      <w:r>
        <w:rPr>
          <w:noProof/>
        </w:rPr>
        <w:drawing>
          <wp:anchor distT="0" distB="0" distL="114300" distR="114300" simplePos="0" relativeHeight="251667968" behindDoc="1" locked="0" layoutInCell="1" allowOverlap="1" wp14:anchorId="2C47EAA1" wp14:editId="2D0F2AA4">
            <wp:simplePos x="0" y="0"/>
            <wp:positionH relativeFrom="column">
              <wp:posOffset>19050</wp:posOffset>
            </wp:positionH>
            <wp:positionV relativeFrom="paragraph">
              <wp:posOffset>338455</wp:posOffset>
            </wp:positionV>
            <wp:extent cx="5731510" cy="1304925"/>
            <wp:effectExtent l="0" t="0" r="2540" b="9525"/>
            <wp:wrapTight wrapText="bothSides">
              <wp:wrapPolygon edited="0">
                <wp:start x="0" y="0"/>
                <wp:lineTo x="0" y="21442"/>
                <wp:lineTo x="21538" y="21442"/>
                <wp:lineTo x="21538" y="0"/>
                <wp:lineTo x="0" y="0"/>
              </wp:wrapPolygon>
            </wp:wrapTight>
            <wp:docPr id="1" name="Picture 1" title="Current treatment pathway in progressed multiple myeloma in patients receiving carfilzomib to allow access to pomalido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1304925"/>
                    </a:xfrm>
                    <a:prstGeom prst="rect">
                      <a:avLst/>
                    </a:prstGeom>
                  </pic:spPr>
                </pic:pic>
              </a:graphicData>
            </a:graphic>
            <wp14:sizeRelH relativeFrom="page">
              <wp14:pctWidth>0</wp14:pctWidth>
            </wp14:sizeRelH>
            <wp14:sizeRelV relativeFrom="page">
              <wp14:pctHeight>0</wp14:pctHeight>
            </wp14:sizeRelV>
          </wp:anchor>
        </w:drawing>
      </w:r>
      <w:r w:rsidR="002C5746">
        <w:t>Figure</w:t>
      </w:r>
      <w:r>
        <w:t xml:space="preserve"> 1</w:t>
      </w:r>
      <w:r w:rsidR="002C5746">
        <w:t xml:space="preserve">: </w:t>
      </w:r>
      <w:r w:rsidR="002C5746" w:rsidRPr="00D838D7">
        <w:t>Current treatment pathway in progressed multiple myeloma in patients receiving carfilzomib to allow access to pomalidomide</w:t>
      </w:r>
    </w:p>
    <w:p w:rsidR="00921696" w:rsidRPr="00305FE1" w:rsidRDefault="00921696" w:rsidP="00921696">
      <w:pPr>
        <w:rPr>
          <w:rFonts w:ascii="Arial Narrow" w:hAnsi="Arial Narrow"/>
          <w:sz w:val="18"/>
          <w:szCs w:val="18"/>
        </w:rPr>
      </w:pPr>
      <w:r w:rsidRPr="00305FE1">
        <w:rPr>
          <w:rFonts w:ascii="Arial Narrow" w:hAnsi="Arial Narrow"/>
          <w:sz w:val="18"/>
          <w:szCs w:val="18"/>
        </w:rPr>
        <w:t>Note: Lenalidomide and carfilzomib can be use as 2</w:t>
      </w:r>
      <w:r w:rsidRPr="00305FE1">
        <w:rPr>
          <w:rFonts w:ascii="Arial Narrow" w:hAnsi="Arial Narrow"/>
          <w:sz w:val="18"/>
          <w:szCs w:val="18"/>
          <w:vertAlign w:val="superscript"/>
        </w:rPr>
        <w:t>nd</w:t>
      </w:r>
      <w:r w:rsidRPr="00305FE1">
        <w:rPr>
          <w:rFonts w:ascii="Arial Narrow" w:hAnsi="Arial Narrow"/>
          <w:sz w:val="18"/>
          <w:szCs w:val="18"/>
        </w:rPr>
        <w:t xml:space="preserve"> (first relapse) or 3</w:t>
      </w:r>
      <w:r w:rsidRPr="00305FE1">
        <w:rPr>
          <w:rFonts w:ascii="Arial Narrow" w:hAnsi="Arial Narrow"/>
          <w:sz w:val="18"/>
          <w:szCs w:val="18"/>
          <w:vertAlign w:val="superscript"/>
        </w:rPr>
        <w:t>rd</w:t>
      </w:r>
      <w:r w:rsidRPr="00305FE1">
        <w:rPr>
          <w:rFonts w:ascii="Arial Narrow" w:hAnsi="Arial Narrow"/>
          <w:sz w:val="18"/>
          <w:szCs w:val="18"/>
        </w:rPr>
        <w:t xml:space="preserve"> (second relapse) line and vice versa. </w:t>
      </w:r>
    </w:p>
    <w:p w:rsidR="00921696" w:rsidRPr="00305FE1" w:rsidRDefault="00921696" w:rsidP="00921696">
      <w:pPr>
        <w:rPr>
          <w:rFonts w:ascii="Arial Narrow" w:hAnsi="Arial Narrow"/>
          <w:sz w:val="18"/>
          <w:szCs w:val="18"/>
        </w:rPr>
      </w:pPr>
      <w:r w:rsidRPr="00305FE1">
        <w:rPr>
          <w:rFonts w:ascii="Arial Narrow" w:hAnsi="Arial Narrow"/>
          <w:sz w:val="18"/>
          <w:szCs w:val="18"/>
        </w:rPr>
        <w:t>Source:</w:t>
      </w:r>
      <w:r w:rsidR="00010DDF">
        <w:rPr>
          <w:rFonts w:ascii="Arial Narrow" w:hAnsi="Arial Narrow"/>
          <w:sz w:val="18"/>
          <w:szCs w:val="18"/>
        </w:rPr>
        <w:t xml:space="preserve"> Figure 2, </w:t>
      </w:r>
      <w:r w:rsidRPr="00305FE1">
        <w:rPr>
          <w:rFonts w:ascii="Arial Narrow" w:hAnsi="Arial Narrow"/>
          <w:sz w:val="18"/>
          <w:szCs w:val="18"/>
        </w:rPr>
        <w:t>minor submission, p2.</w:t>
      </w:r>
      <w:r w:rsidR="00A7516C" w:rsidRPr="00A7516C">
        <w:rPr>
          <w:noProof/>
        </w:rPr>
        <w:t xml:space="preserve"> </w:t>
      </w:r>
    </w:p>
    <w:p w:rsidR="002C5746" w:rsidRPr="00456DAC" w:rsidRDefault="00921696" w:rsidP="002C5746">
      <w:pPr>
        <w:pStyle w:val="ListParagraph"/>
        <w:numPr>
          <w:ilvl w:val="1"/>
          <w:numId w:val="14"/>
        </w:numPr>
        <w:spacing w:before="120" w:after="160"/>
        <w:rPr>
          <w:rFonts w:asciiTheme="minorHAnsi" w:eastAsia="MS Mincho" w:hAnsiTheme="minorHAnsi" w:cstheme="minorHAnsi"/>
          <w:sz w:val="24"/>
          <w:szCs w:val="24"/>
          <w:lang w:eastAsia="ja-JP"/>
        </w:rPr>
      </w:pPr>
      <w:r>
        <w:rPr>
          <w:rFonts w:asciiTheme="minorHAnsi" w:hAnsiTheme="minorHAnsi"/>
          <w:sz w:val="24"/>
          <w:szCs w:val="24"/>
        </w:rPr>
        <w:t>Th</w:t>
      </w:r>
      <w:r w:rsidR="00F80541">
        <w:rPr>
          <w:rFonts w:asciiTheme="minorHAnsi" w:hAnsiTheme="minorHAnsi"/>
          <w:sz w:val="24"/>
          <w:szCs w:val="24"/>
        </w:rPr>
        <w:t>e</w:t>
      </w:r>
      <w:r>
        <w:rPr>
          <w:rFonts w:asciiTheme="minorHAnsi" w:hAnsiTheme="minorHAnsi"/>
          <w:sz w:val="24"/>
          <w:szCs w:val="24"/>
        </w:rPr>
        <w:t xml:space="preserve"> submission </w:t>
      </w:r>
      <w:r w:rsidRPr="00921696">
        <w:rPr>
          <w:rFonts w:asciiTheme="minorHAnsi" w:eastAsia="MS Mincho" w:hAnsiTheme="minorHAnsi" w:cstheme="minorHAnsi"/>
          <w:sz w:val="24"/>
          <w:szCs w:val="24"/>
          <w:lang w:eastAsia="ja-JP"/>
        </w:rPr>
        <w:t>propos</w:t>
      </w:r>
      <w:r>
        <w:rPr>
          <w:rFonts w:asciiTheme="minorHAnsi" w:eastAsia="MS Mincho" w:hAnsiTheme="minorHAnsi" w:cstheme="minorHAnsi"/>
          <w:sz w:val="24"/>
          <w:szCs w:val="24"/>
          <w:lang w:eastAsia="ja-JP"/>
        </w:rPr>
        <w:t>ed</w:t>
      </w:r>
      <w:r w:rsidRPr="00921696">
        <w:rPr>
          <w:rFonts w:asciiTheme="minorHAnsi" w:eastAsia="MS Mincho" w:hAnsiTheme="minorHAnsi" w:cstheme="minorHAnsi"/>
          <w:sz w:val="24"/>
          <w:szCs w:val="24"/>
          <w:lang w:eastAsia="ja-JP"/>
        </w:rPr>
        <w:t xml:space="preserve"> a change to the wording of the listing </w:t>
      </w:r>
      <w:r w:rsidR="00F80541">
        <w:rPr>
          <w:rFonts w:asciiTheme="minorHAnsi" w:eastAsia="MS Mincho" w:hAnsiTheme="minorHAnsi" w:cstheme="minorHAnsi"/>
          <w:sz w:val="24"/>
          <w:szCs w:val="24"/>
          <w:lang w:eastAsia="ja-JP"/>
        </w:rPr>
        <w:t>of</w:t>
      </w:r>
      <w:r w:rsidR="00F80541" w:rsidRPr="00921696">
        <w:rPr>
          <w:rFonts w:asciiTheme="minorHAnsi" w:eastAsia="MS Mincho" w:hAnsiTheme="minorHAnsi" w:cstheme="minorHAnsi"/>
          <w:sz w:val="24"/>
          <w:szCs w:val="24"/>
          <w:lang w:eastAsia="ja-JP"/>
        </w:rPr>
        <w:t xml:space="preserve"> </w:t>
      </w:r>
      <w:r w:rsidRPr="00921696">
        <w:rPr>
          <w:rFonts w:asciiTheme="minorHAnsi" w:eastAsia="MS Mincho" w:hAnsiTheme="minorHAnsi" w:cstheme="minorHAnsi"/>
          <w:sz w:val="24"/>
          <w:szCs w:val="24"/>
          <w:lang w:eastAsia="ja-JP"/>
        </w:rPr>
        <w:t xml:space="preserve">pomalidomide to </w:t>
      </w:r>
      <w:r w:rsidRPr="00921696">
        <w:rPr>
          <w:rFonts w:asciiTheme="minorHAnsi" w:eastAsia="MS Mincho" w:hAnsiTheme="minorHAnsi" w:cstheme="minorHAnsi"/>
          <w:sz w:val="24"/>
          <w:szCs w:val="24"/>
          <w:lang w:eastAsia="ja-JP"/>
        </w:rPr>
        <w:lastRenderedPageBreak/>
        <w:t xml:space="preserve">allow use after lenalidomide and any </w:t>
      </w:r>
      <w:r>
        <w:rPr>
          <w:rFonts w:asciiTheme="minorHAnsi" w:eastAsia="MS Mincho" w:hAnsiTheme="minorHAnsi" w:cstheme="minorHAnsi"/>
          <w:sz w:val="24"/>
          <w:szCs w:val="24"/>
          <w:lang w:eastAsia="ja-JP"/>
        </w:rPr>
        <w:t>protease inhibitor (</w:t>
      </w:r>
      <w:r w:rsidRPr="00921696">
        <w:rPr>
          <w:rFonts w:asciiTheme="minorHAnsi" w:eastAsia="MS Mincho" w:hAnsiTheme="minorHAnsi" w:cstheme="minorHAnsi"/>
          <w:sz w:val="24"/>
          <w:szCs w:val="24"/>
          <w:lang w:eastAsia="ja-JP"/>
        </w:rPr>
        <w:t>PI</w:t>
      </w:r>
      <w:r>
        <w:rPr>
          <w:rFonts w:asciiTheme="minorHAnsi" w:eastAsia="MS Mincho" w:hAnsiTheme="minorHAnsi" w:cstheme="minorHAnsi"/>
          <w:sz w:val="24"/>
          <w:szCs w:val="24"/>
          <w:lang w:eastAsia="ja-JP"/>
        </w:rPr>
        <w:t>)</w:t>
      </w:r>
      <w:r w:rsidRPr="00921696">
        <w:rPr>
          <w:rFonts w:asciiTheme="minorHAnsi" w:eastAsia="MS Mincho" w:hAnsiTheme="minorHAnsi" w:cstheme="minorHAnsi"/>
          <w:sz w:val="24"/>
          <w:szCs w:val="24"/>
          <w:lang w:eastAsia="ja-JP"/>
        </w:rPr>
        <w:t xml:space="preserve"> i.e. either bortezomib </w:t>
      </w:r>
      <w:r>
        <w:rPr>
          <w:rFonts w:asciiTheme="minorHAnsi" w:eastAsia="MS Mincho" w:hAnsiTheme="minorHAnsi" w:cstheme="minorHAnsi"/>
          <w:sz w:val="24"/>
          <w:szCs w:val="24"/>
          <w:lang w:eastAsia="ja-JP"/>
        </w:rPr>
        <w:t>or</w:t>
      </w:r>
      <w:r w:rsidRPr="00921696">
        <w:rPr>
          <w:rFonts w:asciiTheme="minorHAnsi" w:eastAsia="MS Mincho" w:hAnsiTheme="minorHAnsi" w:cstheme="minorHAnsi"/>
          <w:sz w:val="24"/>
          <w:szCs w:val="24"/>
          <w:lang w:eastAsia="ja-JP"/>
        </w:rPr>
        <w:t xml:space="preserve"> carfilzomib</w:t>
      </w:r>
      <w:r>
        <w:rPr>
          <w:rFonts w:asciiTheme="minorHAnsi" w:eastAsia="MS Mincho" w:hAnsiTheme="minorHAnsi" w:cstheme="minorHAnsi"/>
          <w:sz w:val="24"/>
          <w:szCs w:val="24"/>
          <w:lang w:eastAsia="ja-JP"/>
        </w:rPr>
        <w:t>.</w:t>
      </w:r>
      <w:r w:rsidRPr="00921696">
        <w:rPr>
          <w:rFonts w:asciiTheme="minorHAnsi" w:eastAsia="MS Mincho" w:hAnsiTheme="minorHAnsi" w:cstheme="minorHAnsi"/>
          <w:sz w:val="24"/>
          <w:szCs w:val="24"/>
          <w:lang w:eastAsia="ja-JP"/>
        </w:rPr>
        <w:t xml:space="preserve"> The revised treatment algorithm is shown below</w:t>
      </w:r>
      <w:r>
        <w:rPr>
          <w:rFonts w:asciiTheme="minorHAnsi" w:eastAsia="MS Mincho" w:hAnsiTheme="minorHAnsi" w:cstheme="minorHAnsi"/>
          <w:sz w:val="24"/>
          <w:szCs w:val="24"/>
          <w:lang w:eastAsia="ja-JP"/>
        </w:rPr>
        <w:t xml:space="preserve"> in Figure 2</w:t>
      </w:r>
      <w:r w:rsidRPr="00921696">
        <w:rPr>
          <w:rFonts w:asciiTheme="minorHAnsi" w:eastAsia="MS Mincho" w:hAnsiTheme="minorHAnsi" w:cstheme="minorHAnsi"/>
          <w:sz w:val="24"/>
          <w:szCs w:val="24"/>
          <w:lang w:eastAsia="ja-JP"/>
        </w:rPr>
        <w:t xml:space="preserve">. </w:t>
      </w:r>
      <w:r>
        <w:rPr>
          <w:rFonts w:asciiTheme="minorHAnsi" w:eastAsia="MS Mincho" w:hAnsiTheme="minorHAnsi" w:cstheme="minorHAnsi"/>
          <w:sz w:val="24"/>
          <w:szCs w:val="24"/>
          <w:lang w:eastAsia="ja-JP"/>
        </w:rPr>
        <w:t xml:space="preserve">It </w:t>
      </w:r>
      <w:r w:rsidR="009A1F04">
        <w:rPr>
          <w:rFonts w:asciiTheme="minorHAnsi" w:eastAsia="MS Mincho" w:hAnsiTheme="minorHAnsi" w:cstheme="minorHAnsi"/>
          <w:sz w:val="24"/>
          <w:szCs w:val="24"/>
          <w:lang w:eastAsia="ja-JP"/>
        </w:rPr>
        <w:t>wa</w:t>
      </w:r>
      <w:r>
        <w:rPr>
          <w:rFonts w:asciiTheme="minorHAnsi" w:eastAsia="MS Mincho" w:hAnsiTheme="minorHAnsi" w:cstheme="minorHAnsi"/>
          <w:sz w:val="24"/>
          <w:szCs w:val="24"/>
          <w:lang w:eastAsia="ja-JP"/>
        </w:rPr>
        <w:t>s suggested t</w:t>
      </w:r>
      <w:r w:rsidRPr="00921696">
        <w:rPr>
          <w:rFonts w:asciiTheme="minorHAnsi" w:eastAsia="MS Mincho" w:hAnsiTheme="minorHAnsi" w:cstheme="minorHAnsi"/>
          <w:sz w:val="24"/>
          <w:szCs w:val="24"/>
          <w:lang w:eastAsia="ja-JP"/>
        </w:rPr>
        <w:t>his change to the PBS restriction would allow for optimal patient treatment</w:t>
      </w:r>
      <w:r w:rsidR="002C5746">
        <w:rPr>
          <w:rFonts w:asciiTheme="minorHAnsi" w:eastAsia="MS Mincho" w:hAnsiTheme="minorHAnsi" w:cstheme="minorHAnsi"/>
          <w:sz w:val="24"/>
          <w:szCs w:val="24"/>
          <w:lang w:eastAsia="ja-JP"/>
        </w:rPr>
        <w:t>, reducing the treatment burden</w:t>
      </w:r>
      <w:r w:rsidRPr="00921696">
        <w:rPr>
          <w:rFonts w:asciiTheme="minorHAnsi" w:eastAsia="MS Mincho" w:hAnsiTheme="minorHAnsi" w:cstheme="minorHAnsi"/>
          <w:sz w:val="24"/>
          <w:szCs w:val="24"/>
          <w:lang w:eastAsia="ja-JP"/>
        </w:rPr>
        <w:t xml:space="preserve"> patient</w:t>
      </w:r>
      <w:r w:rsidR="002C5746">
        <w:rPr>
          <w:rFonts w:asciiTheme="minorHAnsi" w:eastAsia="MS Mincho" w:hAnsiTheme="minorHAnsi" w:cstheme="minorHAnsi"/>
          <w:sz w:val="24"/>
          <w:szCs w:val="24"/>
          <w:lang w:eastAsia="ja-JP"/>
        </w:rPr>
        <w:t>s</w:t>
      </w:r>
      <w:r w:rsidRPr="00921696">
        <w:rPr>
          <w:rFonts w:asciiTheme="minorHAnsi" w:eastAsia="MS Mincho" w:hAnsiTheme="minorHAnsi" w:cstheme="minorHAnsi"/>
          <w:sz w:val="24"/>
          <w:szCs w:val="24"/>
          <w:lang w:eastAsia="ja-JP"/>
        </w:rPr>
        <w:t xml:space="preserve"> and reducing the unnecessary cost incurred by the sub-optimal interim use </w:t>
      </w:r>
      <w:r>
        <w:rPr>
          <w:rFonts w:asciiTheme="minorHAnsi" w:eastAsia="MS Mincho" w:hAnsiTheme="minorHAnsi" w:cstheme="minorHAnsi"/>
          <w:sz w:val="24"/>
          <w:szCs w:val="24"/>
          <w:lang w:eastAsia="ja-JP"/>
        </w:rPr>
        <w:t>of bortezomib in some patients</w:t>
      </w:r>
      <w:r w:rsidRPr="00456DAC">
        <w:rPr>
          <w:rFonts w:asciiTheme="minorHAnsi" w:eastAsia="MS Mincho" w:hAnsiTheme="minorHAnsi" w:cstheme="minorHAnsi"/>
          <w:sz w:val="24"/>
          <w:szCs w:val="24"/>
          <w:lang w:eastAsia="ja-JP"/>
        </w:rPr>
        <w:t xml:space="preserve">. </w:t>
      </w:r>
      <w:r w:rsidR="00887A7B" w:rsidRPr="00456DAC">
        <w:rPr>
          <w:rFonts w:asciiTheme="minorHAnsi" w:eastAsia="MS Mincho" w:hAnsiTheme="minorHAnsi" w:cstheme="minorHAnsi"/>
          <w:sz w:val="24"/>
          <w:szCs w:val="24"/>
          <w:lang w:eastAsia="ja-JP"/>
        </w:rPr>
        <w:t xml:space="preserve">No estimates of the financial impact of the change were provided with the submission. </w:t>
      </w:r>
    </w:p>
    <w:p w:rsidR="002C5746" w:rsidRDefault="002C5746" w:rsidP="002C5746">
      <w:pPr>
        <w:pStyle w:val="Caption"/>
        <w:jc w:val="both"/>
      </w:pPr>
      <w:r>
        <w:t>Figure</w:t>
      </w:r>
      <w:r w:rsidR="00A7516C">
        <w:t xml:space="preserve"> 2</w:t>
      </w:r>
      <w:r>
        <w:t xml:space="preserve">: </w:t>
      </w:r>
      <w:r w:rsidRPr="006B67E9">
        <w:t>Proposed treatment pathway in progressed multiple myeloma to allow access to pomalidomide (changed listing criteria for pomalidomide)</w:t>
      </w:r>
    </w:p>
    <w:p w:rsidR="00921696" w:rsidRPr="00921696" w:rsidRDefault="002C5746" w:rsidP="00921696">
      <w:pPr>
        <w:spacing w:line="276" w:lineRule="auto"/>
        <w:jc w:val="both"/>
        <w:rPr>
          <w:rFonts w:ascii="Calibri Light" w:eastAsia="MS Mincho" w:hAnsi="Calibri Light"/>
          <w:sz w:val="22"/>
          <w:szCs w:val="22"/>
          <w:lang w:eastAsia="ja-JP"/>
        </w:rPr>
      </w:pPr>
      <w:r w:rsidRPr="00921696">
        <w:rPr>
          <w:rFonts w:ascii="Calibri Light" w:eastAsia="MS Mincho" w:hAnsi="Calibri Light"/>
          <w:noProof/>
          <w:szCs w:val="22"/>
        </w:rPr>
        <mc:AlternateContent>
          <mc:Choice Requires="wps">
            <w:drawing>
              <wp:anchor distT="0" distB="0" distL="114300" distR="114300" simplePos="0" relativeHeight="251657728" behindDoc="0" locked="0" layoutInCell="1" allowOverlap="1" wp14:anchorId="6B6812D4" wp14:editId="06BD4125">
                <wp:simplePos x="0" y="0"/>
                <wp:positionH relativeFrom="column">
                  <wp:posOffset>1879600</wp:posOffset>
                </wp:positionH>
                <wp:positionV relativeFrom="paragraph">
                  <wp:posOffset>323215</wp:posOffset>
                </wp:positionV>
                <wp:extent cx="1225550" cy="177800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1225550" cy="17780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9891A" id="Rectangle 31" o:spid="_x0000_s1026" style="position:absolute;margin-left:148pt;margin-top:25.45pt;width:96.5pt;height:140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i7dQIAAOwEAAAOAAAAZHJzL2Uyb0RvYy54bWysVNtOGzEQfa/Uf7D8XjZJSQMRGxSIqCqh&#10;ggoVzxOv9yL5Vtu50K/vsXcTKO1T1RdnxjN7Zub4TC4u91qxrfShs6bk45MRZ9IIW3WmKfn3x5sP&#10;Z5yFSKYiZY0s+bMM/HLx/t3Fzs3lxLZWVdIzgJgw37mStzG6eVEE0UpN4cQ6aRCsrdcU4fqmqDzt&#10;gK5VMRmNPhU76yvnrZAh4HbVB/ki49e1FPGuroOMTJUcvcV8+nyu01ksLmjeeHJtJ4Y26B+60NQZ&#10;FD1CrSgS2/juDyjdCW+DreOJsLqwdd0JmWfANOPRm2keWnIyzwJygjvSFP4frPi6vfesq0r+ccyZ&#10;IY03+gbWyDRKMtyBoJ0Lc+Q9uHs/eAFmmnZfe51+MQfbZ1Kfj6TKfWQCl+PJZDqdgnuB2Hg2OxuN&#10;Mu3Fy+fOh/hZWs2SUXKP+plM2t6GiJJIPaSkasbedErll1OG7VKJGTCZIAioVhRhaoeRgmk4I9VA&#10;mSL6DBms6qr0eQIKvllfK8+2BHVMr86vVtM+qaVKDrfo9tDukJ77+Q0nNbei0Paf5FAvLN1FqFt1&#10;uuRp7COSMqm8zPocRkwk97Qma22rZ7yLt71ggxM3HYrcUoj35KFQjIuti3c4amXBgR0szlrrf/7t&#10;PuVDOIhytoPiwc+PDXnJmfpiIKnz8elpWpHsnE5nEzj+dWT9OmI2+tqCNqgG3WUz5Ud1MGtv9ROW&#10;c5mqIkRGoHb/EoNzHftNxHoLuVzmNKyFo3hrHpxI4ImnRO/j/om8GwQSoa2v9rAdNH+jkz63V8py&#10;E23dZRG98IoXTA5WKr/lsP5pZ1/7OevlT2rxCwAA//8DAFBLAwQUAAYACAAAACEAXJN1nOIAAAAK&#10;AQAADwAAAGRycy9kb3ducmV2LnhtbEyPwU7DMBBE70j8g7VIXBB12kJpQpwKobaH9oAo/QDXXpKo&#10;8TqKnTTw9SwnOO7saOZNvhpdIwbsQu1JwXSSgEAy3tZUKjh+bO6XIELUZHXjCRV8YYBVcX2V68z6&#10;C73jcIil4BAKmVZQxdhmUgZTodNh4lsk/n36zunIZ1dK2+kLh7tGzpJkIZ2uiRsq3eJrheZ86J2C&#10;9e7t+64+Hze79X4/3T4ZZ/phq9TtzfjyDCLiGP/M8IvP6FAw08n3ZINoFMzSBW+JCh6TFAQbHpYp&#10;CycF8zkrssjl/wnFDwAAAP//AwBQSwECLQAUAAYACAAAACEAtoM4kv4AAADhAQAAEwAAAAAAAAAA&#10;AAAAAAAAAAAAW0NvbnRlbnRfVHlwZXNdLnhtbFBLAQItABQABgAIAAAAIQA4/SH/1gAAAJQBAAAL&#10;AAAAAAAAAAAAAAAAAC8BAABfcmVscy8ucmVsc1BLAQItABQABgAIAAAAIQChyci7dQIAAOwEAAAO&#10;AAAAAAAAAAAAAAAAAC4CAABkcnMvZTJvRG9jLnhtbFBLAQItABQABgAIAAAAIQBck3Wc4gAAAAoB&#10;AAAPAAAAAAAAAAAAAAAAAM8EAABkcnMvZG93bnJldi54bWxQSwUGAAAAAAQABADzAAAA3gUAAAAA&#10;" filled="f" strokecolor="#41719c" strokeweight="1pt"/>
            </w:pict>
          </mc:Fallback>
        </mc:AlternateContent>
      </w:r>
      <w:r w:rsidRPr="00921696">
        <w:rPr>
          <w:rFonts w:ascii="Calibri Light" w:eastAsia="MS Mincho" w:hAnsi="Calibri Light"/>
          <w:noProof/>
          <w:szCs w:val="22"/>
        </w:rPr>
        <mc:AlternateContent>
          <mc:Choice Requires="wps">
            <w:drawing>
              <wp:anchor distT="0" distB="0" distL="114300" distR="114300" simplePos="0" relativeHeight="251660800" behindDoc="0" locked="0" layoutInCell="1" allowOverlap="1" wp14:anchorId="401A98FE" wp14:editId="232B16A8">
                <wp:simplePos x="0" y="0"/>
                <wp:positionH relativeFrom="column">
                  <wp:posOffset>3194050</wp:posOffset>
                </wp:positionH>
                <wp:positionV relativeFrom="paragraph">
                  <wp:posOffset>770890</wp:posOffset>
                </wp:positionV>
                <wp:extent cx="571500" cy="266700"/>
                <wp:effectExtent l="0" t="19050" r="38100" b="38100"/>
                <wp:wrapNone/>
                <wp:docPr id="192" name="Right Arrow 192"/>
                <wp:cNvGraphicFramePr/>
                <a:graphic xmlns:a="http://schemas.openxmlformats.org/drawingml/2006/main">
                  <a:graphicData uri="http://schemas.microsoft.com/office/word/2010/wordprocessingShape">
                    <wps:wsp>
                      <wps:cNvSpPr/>
                      <wps:spPr>
                        <a:xfrm>
                          <a:off x="0" y="0"/>
                          <a:ext cx="57150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84D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2" o:spid="_x0000_s1026" type="#_x0000_t13" style="position:absolute;margin-left:251.5pt;margin-top:60.7pt;width:4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uqfwIAAB0FAAAOAAAAZHJzL2Uyb0RvYy54bWysVEtv2zAMvg/YfxB0X50ETR9GnSJt0GFA&#10;0RZth54ZWbYF6DVKidP9+lGy09d6GuaDTIoUP/EjqbPzndFsKzEoZys+PZhwJq1wtbJtxX8+Xn07&#10;4SxEsDVoZ2XFn2Xg54uvX856X8qZ65yuJTIKYkPZ+4p3MfqyKILopIFw4Ly0ZGwcGoikYlvUCD1F&#10;N7qYTSZHRe+w9uiEDIF2V4ORL3L8ppEi3jZNkJHpitPdYl4xr+u0FoszKFsE3ykxXgP+4RYGlCXQ&#10;l1AriMA2qP4KZZRAF1wTD4QzhWsaJWTOgbKZTj5k89CBlzkXIif4F5rC/wsrbrZ3yFRNtTudcWbB&#10;UJHuVdtFtkR0PUvbRFLvQ0m+D/4ORy2QmDLeNWjSn3Jhu0zs8wuxcheZoM358XQ+IfoFmWZHR8ck&#10;U5Ti9bDHEL9LZ1gSKo7pAhk/kwrb6xCHA3vHhBicVvWV0jor2K4vNbItUKXnF6cXq/mI8c5NW9ZT&#10;rrN0BSaAOq7REEk0njgItuUMdEutLCJm7HenwycgGbyDWo7QE/r2yIN7zvRdnJTFCkI3HMmmdARK&#10;oyKNg1am4icp0D6Stskqc0OPXKSKDDVI0trVz1RIdEOHBy+uFIFcQ4h3gNTSlC6NabylpdGOOHCj&#10;xFnn8Pdn+8mfOo2snPU0IsTPrw2g5Ez/sNSDp9PDwzRTWTmcH89IwbeW9VuL3ZhLR7WZ0oPgRRaT&#10;f9R7sUFnnmialwmVTGAFYQ+VGJXLOIwuvQdCLpfZjebIQ7y2D16k4ImnRO/j7gnQj/0UqRFv3H6c&#10;oPzQUINvOmndchNdo3K3vfJKFUwKzWCu5fhepCF/q2ev11dt8QcAAP//AwBQSwMEFAAGAAgAAAAh&#10;AP6FBMndAAAACwEAAA8AAABkcnMvZG93bnJldi54bWxMj8FOwzAQRO9I/IO1SNyo06StIMSpEFIP&#10;XJBo+QA33sYR9jrEbhL69WxPcNyZ0eybajt7J0YcYhdIwXKRgUBqgumoVfB52D08gohJk9EuECr4&#10;wQjb+vam0qUJE33guE+t4BKKpVZgU+pLKWNj0eu4CD0Se6cweJ34HFppBj1xuXcyz7KN9Loj/mB1&#10;j68Wm6/92Ss4XYx7N7brd6Ob6C2nwl2+San7u/nlGUTCOf2F4YrP6FAz0zGcyUThFKyzgrckNvLl&#10;CgQn1k9X5cjKpliBrCv5f0P9CwAA//8DAFBLAQItABQABgAIAAAAIQC2gziS/gAAAOEBAAATAAAA&#10;AAAAAAAAAAAAAAAAAABbQ29udGVudF9UeXBlc10ueG1sUEsBAi0AFAAGAAgAAAAhADj9If/WAAAA&#10;lAEAAAsAAAAAAAAAAAAAAAAALwEAAF9yZWxzLy5yZWxzUEsBAi0AFAAGAAgAAAAhADCp+6p/AgAA&#10;HQUAAA4AAAAAAAAAAAAAAAAALgIAAGRycy9lMm9Eb2MueG1sUEsBAi0AFAAGAAgAAAAhAP6FBMnd&#10;AAAACwEAAA8AAAAAAAAAAAAAAAAA2QQAAGRycy9kb3ducmV2LnhtbFBLBQYAAAAABAAEAPMAAADj&#10;BQAAAAA=&#10;" adj="16560" fillcolor="#5b9bd5" strokecolor="#41719c" strokeweight="1pt"/>
            </w:pict>
          </mc:Fallback>
        </mc:AlternateContent>
      </w:r>
      <w:r w:rsidRPr="00921696">
        <w:rPr>
          <w:rFonts w:ascii="Calibri Light" w:eastAsia="MS Mincho" w:hAnsi="Calibri Light"/>
          <w:noProof/>
          <w:szCs w:val="22"/>
        </w:rPr>
        <mc:AlternateContent>
          <mc:Choice Requires="wps">
            <w:drawing>
              <wp:anchor distT="0" distB="0" distL="114300" distR="114300" simplePos="0" relativeHeight="251662848" behindDoc="0" locked="0" layoutInCell="1" allowOverlap="1" wp14:anchorId="0DA906E4" wp14:editId="1F907BDA">
                <wp:simplePos x="0" y="0"/>
                <wp:positionH relativeFrom="column">
                  <wp:posOffset>1209675</wp:posOffset>
                </wp:positionH>
                <wp:positionV relativeFrom="paragraph">
                  <wp:posOffset>656590</wp:posOffset>
                </wp:positionV>
                <wp:extent cx="571500" cy="450850"/>
                <wp:effectExtent l="0" t="19050" r="38100" b="44450"/>
                <wp:wrapNone/>
                <wp:docPr id="194" name="Right Arrow 194"/>
                <wp:cNvGraphicFramePr/>
                <a:graphic xmlns:a="http://schemas.openxmlformats.org/drawingml/2006/main">
                  <a:graphicData uri="http://schemas.microsoft.com/office/word/2010/wordprocessingShape">
                    <wps:wsp>
                      <wps:cNvSpPr/>
                      <wps:spPr>
                        <a:xfrm>
                          <a:off x="0" y="0"/>
                          <a:ext cx="571500" cy="450850"/>
                        </a:xfrm>
                        <a:prstGeom prst="rightArrow">
                          <a:avLst/>
                        </a:prstGeom>
                        <a:noFill/>
                        <a:ln w="12700" cap="flat" cmpd="sng" algn="ctr">
                          <a:solidFill>
                            <a:srgbClr val="5B9BD5">
                              <a:shade val="50000"/>
                            </a:srgbClr>
                          </a:solidFill>
                          <a:prstDash val="solid"/>
                          <a:miter lim="800000"/>
                        </a:ln>
                        <a:effectLst/>
                      </wps:spPr>
                      <wps:txbx>
                        <w:txbxContent>
                          <w:p w:rsidR="00921696" w:rsidRPr="00DD5DD7" w:rsidRDefault="00921696" w:rsidP="00921696">
                            <w:pPr>
                              <w:jc w:val="center"/>
                              <w:rPr>
                                <w:b/>
                                <w:color w:val="FF0000"/>
                              </w:rPr>
                            </w:pPr>
                            <w:r w:rsidRPr="00DD5DD7">
                              <w:rPr>
                                <w:b/>
                                <w:color w:val="FF0000"/>
                                <w:sz w:val="16"/>
                                <w:szCs w:val="16"/>
                              </w:rPr>
                              <w:t>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906E4" id="Right Arrow 194" o:spid="_x0000_s1026" type="#_x0000_t13" style="position:absolute;left:0;text-align:left;margin-left:95.25pt;margin-top:51.7pt;width:45pt;height: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bAgwIAAP8EAAAOAAAAZHJzL2Uyb0RvYy54bWysVN1P2zAQf5+0/8Hy+0haNQMqUlSomCYh&#10;QMDEs+vYiSV/7ew2YX/9zk4KFdvTtD64d77zffzud7m4HIwmewFBOVvT2UlJibDcNcq2Nf3xfPPl&#10;jJIQmW2YdlbU9FUEern6/Omi90sxd53TjQCCQWxY9r6mXYx+WRSBd8KwcOK8sGiUDgyLqEJbNMB6&#10;jG50MS/Lr0XvoPHguAgBbzejka5yfCkFj/dSBhGJrinWFvMJ+dyms1hdsGULzHeKT2Wwf6jCMGUx&#10;6VuoDYuM7ED9EcooDi44GU+4M4WTUnGRe8BuZuWHbp465kXuBcEJ/g2m8P/C8rv9AxDV4OzOF5RY&#10;ZnBIj6rtIlkDuJ6kawSp92GJvk/+ASYtoJg6HiSY9I+9kCED+/oGrBgi4XhZnc6qEuHnaFpU5VmV&#10;gS/eH3sI8ZtwhiShppAKyPkzqGx/GyKmxQcHx5TRuhuldZ6gtqTHFuanOQtDIknNIiY0HlsLtqWE&#10;6RYZyiPkkMFp1aTnKVCAdnutgewZsqS6Or/aVKNTxxox3Zb4S0BgDZP7KB/HScVtWOjGJznFSDCj&#10;IrJcK1PTsxToEEnblF5knk4tJqBHaJMUh+0w4b11zSuOCtzI4eD5jcJ8tyzEBwZIWsQXFzHe4yG1&#10;QzjcJFHSOfj1t/vkj1xCKyU9LgFC9XPHQFCiv1tk2flssUhbk5VFdTpHBY4t22OL3ZlrhwjOcOU9&#10;z2Lyj/ogSnDmBfd1nbKiiVmOucehTMp1HJcTN56L9Tq74aZ4Fm/tk+cpeIIsIf08vDDwE2MiUu3O&#10;HRaGLT9QZvQdSbPeRSdV5lOCeMQVh5kU3LI81umLkNb4WM9e79+t1W8AAAD//wMAUEsDBBQABgAI&#10;AAAAIQB43r4a3wAAAAsBAAAPAAAAZHJzL2Rvd25yZXYueG1sTI9BT8MwDIXvSPyHyEhcEEsohY3S&#10;dEJIk+CCtLEduHlNaCsapyTpVv493glufs9Pz5/L5eR6cbAhdp403MwUCEu1Nx01Grbvq+sFiJiQ&#10;DPaerIYfG2FZnZ+VWBh/pLU9bFIjuIRigRralIZCyli31mGc+cES7z59cJhYhkaagEcud73MlLqX&#10;DjviCy0O9rm19ddmdBqy1TBehfVu137INNGrxPrt5Vvry4vp6RFEslP6C8MJn9GhYqa9H8lE0bN+&#10;UHcc5UHd5iA4kS1Ozp6deZ6DrEr5/4fqFwAA//8DAFBLAQItABQABgAIAAAAIQC2gziS/gAAAOEB&#10;AAATAAAAAAAAAAAAAAAAAAAAAABbQ29udGVudF9UeXBlc10ueG1sUEsBAi0AFAAGAAgAAAAhADj9&#10;If/WAAAAlAEAAAsAAAAAAAAAAAAAAAAALwEAAF9yZWxzLy5yZWxzUEsBAi0AFAAGAAgAAAAhAG10&#10;lsCDAgAA/wQAAA4AAAAAAAAAAAAAAAAALgIAAGRycy9lMm9Eb2MueG1sUEsBAi0AFAAGAAgAAAAh&#10;AHjevhrfAAAACwEAAA8AAAAAAAAAAAAAAAAA3QQAAGRycy9kb3ducmV2LnhtbFBLBQYAAAAABAAE&#10;APMAAADpBQAAAAA=&#10;" adj="13080" filled="f" strokecolor="#41719c" strokeweight="1pt">
                <v:textbox>
                  <w:txbxContent>
                    <w:p w:rsidR="00921696" w:rsidRPr="00DD5DD7" w:rsidRDefault="00921696" w:rsidP="00921696">
                      <w:pPr>
                        <w:jc w:val="center"/>
                        <w:rPr>
                          <w:b/>
                          <w:color w:val="FF0000"/>
                        </w:rPr>
                      </w:pPr>
                      <w:r w:rsidRPr="00DD5DD7">
                        <w:rPr>
                          <w:b/>
                          <w:color w:val="FF0000"/>
                          <w:sz w:val="16"/>
                          <w:szCs w:val="16"/>
                        </w:rPr>
                        <w:t>AND</w:t>
                      </w:r>
                    </w:p>
                  </w:txbxContent>
                </v:textbox>
              </v:shape>
            </w:pict>
          </mc:Fallback>
        </mc:AlternateContent>
      </w:r>
      <w:r w:rsidRPr="00921696">
        <w:rPr>
          <w:rFonts w:ascii="Calibri Light" w:eastAsia="MS Mincho" w:hAnsi="Calibri Light"/>
          <w:noProof/>
          <w:szCs w:val="22"/>
        </w:rPr>
        <mc:AlternateContent>
          <mc:Choice Requires="wps">
            <w:drawing>
              <wp:anchor distT="0" distB="0" distL="114300" distR="114300" simplePos="0" relativeHeight="251666944" behindDoc="0" locked="0" layoutInCell="1" allowOverlap="1" wp14:anchorId="6AE11EA5" wp14:editId="06E127B7">
                <wp:simplePos x="0" y="0"/>
                <wp:positionH relativeFrom="column">
                  <wp:posOffset>2273935</wp:posOffset>
                </wp:positionH>
                <wp:positionV relativeFrom="paragraph">
                  <wp:posOffset>1097915</wp:posOffset>
                </wp:positionV>
                <wp:extent cx="488950" cy="269875"/>
                <wp:effectExtent l="0" t="0" r="25400" b="15875"/>
                <wp:wrapNone/>
                <wp:docPr id="10" name="Rectangle 10"/>
                <wp:cNvGraphicFramePr/>
                <a:graphic xmlns:a="http://schemas.openxmlformats.org/drawingml/2006/main">
                  <a:graphicData uri="http://schemas.microsoft.com/office/word/2010/wordprocessingShape">
                    <wps:wsp>
                      <wps:cNvSpPr/>
                      <wps:spPr>
                        <a:xfrm>
                          <a:off x="0" y="0"/>
                          <a:ext cx="488950" cy="269875"/>
                        </a:xfrm>
                        <a:prstGeom prst="rect">
                          <a:avLst/>
                        </a:prstGeom>
                        <a:noFill/>
                        <a:ln w="12700" cap="flat" cmpd="sng" algn="ctr">
                          <a:solidFill>
                            <a:srgbClr val="5B9BD5">
                              <a:shade val="50000"/>
                            </a:srgbClr>
                          </a:solidFill>
                          <a:prstDash val="solid"/>
                          <a:miter lim="800000"/>
                        </a:ln>
                        <a:effectLst/>
                      </wps:spPr>
                      <wps:txbx>
                        <w:txbxContent>
                          <w:p w:rsidR="00921696" w:rsidRPr="00F00EC9" w:rsidRDefault="00921696" w:rsidP="00921696">
                            <w:pPr>
                              <w:jc w:val="center"/>
                              <w:rPr>
                                <w:color w:val="FF0000"/>
                              </w:rPr>
                            </w:pPr>
                            <w:r w:rsidRPr="00F00EC9">
                              <w:rPr>
                                <w:color w:val="FF0000"/>
                              </w:rP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11EA5" id="Rectangle 10" o:spid="_x0000_s1027" style="position:absolute;left:0;text-align:left;margin-left:179.05pt;margin-top:86.45pt;width:38.5pt;height:21.2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CnegAIAAPwEAAAOAAAAZHJzL2Uyb0RvYy54bWysVEtPGzEQvlfqf7B8L5tECSQrNigQUVVC&#10;gICK88Rr71ryq7aTXfrrO/ZugNKequbgzMufZ76Z2fOLXity4D5Iayo6PZlQwg2ztTRNRb8/XX9Z&#10;UhIimBqUNbyiLzzQi/XnT+edK/nMtlbV3BMEMaHsXEXbGF1ZFIG1XEM4sY4bdArrNURUfVPUHjpE&#10;16qYTSanRWd97bxlPAS0bgcnXWd8ITiLd0IEHomqKOYW8+nzuUtnsT6HsvHgWsnGNOAfstAgDT76&#10;CrWFCGTv5R9QWjJvgxXxhFldWCEk47kGrGY6+VDNYwuO51qQnOBeaQr/D5bdHu49kTX2DukxoLFH&#10;D8gamEZxgjYkqHOhxLhHd+9HLaCYqu2F1+kf6yB9JvXllVTeR8LQOF8uVwvEZuiana6WZ4uEWbxd&#10;dj7Er9xqkoSKenw9UwmHmxCH0GNIesvYa6kU2qFUhnSY+OxskvABx0coiChqhwUF01ACqsG5ZNFn&#10;yGCVrNP1dDv4ZnelPDkAzsbicnW5XQxBLdR8tE7wN6Y7hufUf8NJyW0htMOV7EpXoNQy4mwrqSu6&#10;TEBHJGWSl+fpHEtMFA+kJin2u37oSQJKlp2tX7BP3g4DHBy7lvjsDYR4Dx4nFgnALYx3eAhlkRU7&#10;SpS01v/8mz3F4yChl5IONwAZ+7EHzylR3wyO2Go6nyNszMp8cTZDxb/37N57zF5fWSRyivvuWBZT&#10;fFRHUXirn3FZN+lVdIFh+PbQm1G5isNm4rozvtnkMFwTB/HGPDqWwBNzifCn/hm8G0cm4qzd2uO2&#10;QPlhcobYdNPYzT5aIfNYvfGKPU0Krlju7vg5SDv8Xs9Rbx+t9S8AAAD//wMAUEsDBBQABgAIAAAA&#10;IQAcAG2W4wAAAAsBAAAPAAAAZHJzL2Rvd25yZXYueG1sTI9BbsIwEEX3lXoHayp1U4GTQICmcVBV&#10;AQtYVKUcwNhuEhGPo9gJaU/fYdUuZ/7Tnzf5erQNG0zna4cC4mkEzKByusZSwOlzO1kB80Gilo1D&#10;I+DbeFgX93e5zLS74ocZjqFkVII+kwKqENqMc68qY6WfutYgZV+uszLQ2JVcd/JK5bbhSRQtuJU1&#10;0oVKtuatMupy7K2Azf7956m+nLb7zeEQ75bKqn7YCfH4ML6+AAtmDH8w3PRJHQpyOrsetWeNgFm6&#10;igmlYJk8AyNiPktpcxaQxOkceJHz/z8UvwAAAP//AwBQSwECLQAUAAYACAAAACEAtoM4kv4AAADh&#10;AQAAEwAAAAAAAAAAAAAAAAAAAAAAW0NvbnRlbnRfVHlwZXNdLnhtbFBLAQItABQABgAIAAAAIQA4&#10;/SH/1gAAAJQBAAALAAAAAAAAAAAAAAAAAC8BAABfcmVscy8ucmVsc1BLAQItABQABgAIAAAAIQA0&#10;6CnegAIAAPwEAAAOAAAAAAAAAAAAAAAAAC4CAABkcnMvZTJvRG9jLnhtbFBLAQItABQABgAIAAAA&#10;IQAcAG2W4wAAAAsBAAAPAAAAAAAAAAAAAAAAANoEAABkcnMvZG93bnJldi54bWxQSwUGAAAAAAQA&#10;BADzAAAA6gUAAAAA&#10;" filled="f" strokecolor="#41719c" strokeweight="1pt">
                <v:textbox>
                  <w:txbxContent>
                    <w:p w:rsidR="00921696" w:rsidRPr="00F00EC9" w:rsidRDefault="00921696" w:rsidP="00921696">
                      <w:pPr>
                        <w:jc w:val="center"/>
                        <w:rPr>
                          <w:color w:val="FF0000"/>
                        </w:rPr>
                      </w:pPr>
                      <w:r w:rsidRPr="00F00EC9">
                        <w:rPr>
                          <w:color w:val="FF0000"/>
                        </w:rPr>
                        <w:t>OR</w:t>
                      </w:r>
                    </w:p>
                  </w:txbxContent>
                </v:textbox>
              </v:rect>
            </w:pict>
          </mc:Fallback>
        </mc:AlternateContent>
      </w:r>
      <w:r w:rsidR="00921696">
        <w:rPr>
          <w:rFonts w:ascii="Calibri Light" w:hAnsi="Calibri Light"/>
          <w:noProof/>
        </w:rPr>
        <w:drawing>
          <wp:inline distT="0" distB="0" distL="0" distR="0" wp14:anchorId="4498A840" wp14:editId="639EA12C">
            <wp:extent cx="5556250" cy="2343150"/>
            <wp:effectExtent l="0" t="0" r="0" b="0"/>
            <wp:docPr id="26" name="Diagram 26" title="Proposed treatment pathway in progressed multiple myeloma to allow access to pomalidomide (changed listing criteria for pomalidomid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21696" w:rsidRPr="00305FE1" w:rsidRDefault="00921696" w:rsidP="00921696">
      <w:pPr>
        <w:spacing w:line="276" w:lineRule="auto"/>
        <w:jc w:val="both"/>
        <w:rPr>
          <w:rFonts w:ascii="Arial Narrow" w:eastAsia="MS Mincho" w:hAnsi="Arial Narrow"/>
          <w:sz w:val="18"/>
          <w:szCs w:val="18"/>
          <w:lang w:eastAsia="ja-JP"/>
        </w:rPr>
      </w:pPr>
      <w:r w:rsidRPr="00921696">
        <w:rPr>
          <w:rFonts w:ascii="Arial Narrow" w:eastAsia="MS Mincho" w:hAnsi="Arial Narrow"/>
          <w:sz w:val="18"/>
          <w:szCs w:val="18"/>
          <w:lang w:eastAsia="ja-JP"/>
        </w:rPr>
        <w:t>Note: Lenalidomide, bortezomib and carfilzomib can be use as 2</w:t>
      </w:r>
      <w:r w:rsidRPr="00921696">
        <w:rPr>
          <w:rFonts w:ascii="Arial Narrow" w:eastAsia="MS Mincho" w:hAnsi="Arial Narrow"/>
          <w:sz w:val="18"/>
          <w:szCs w:val="18"/>
          <w:vertAlign w:val="superscript"/>
          <w:lang w:eastAsia="ja-JP"/>
        </w:rPr>
        <w:t>nd</w:t>
      </w:r>
      <w:r w:rsidRPr="00921696">
        <w:rPr>
          <w:rFonts w:ascii="Arial Narrow" w:eastAsia="MS Mincho" w:hAnsi="Arial Narrow"/>
          <w:sz w:val="18"/>
          <w:szCs w:val="18"/>
          <w:lang w:eastAsia="ja-JP"/>
        </w:rPr>
        <w:t xml:space="preserve"> (first relapse) or 3</w:t>
      </w:r>
      <w:r w:rsidRPr="00921696">
        <w:rPr>
          <w:rFonts w:ascii="Arial Narrow" w:eastAsia="MS Mincho" w:hAnsi="Arial Narrow"/>
          <w:sz w:val="18"/>
          <w:szCs w:val="18"/>
          <w:vertAlign w:val="superscript"/>
          <w:lang w:eastAsia="ja-JP"/>
        </w:rPr>
        <w:t>rd</w:t>
      </w:r>
      <w:r w:rsidRPr="00921696">
        <w:rPr>
          <w:rFonts w:ascii="Arial Narrow" w:eastAsia="MS Mincho" w:hAnsi="Arial Narrow"/>
          <w:sz w:val="18"/>
          <w:szCs w:val="18"/>
          <w:lang w:eastAsia="ja-JP"/>
        </w:rPr>
        <w:t xml:space="preserve"> (second relapse) line and vice versa. </w:t>
      </w:r>
    </w:p>
    <w:p w:rsidR="00887A7B" w:rsidRDefault="00921696" w:rsidP="001E5E06">
      <w:pPr>
        <w:rPr>
          <w:rFonts w:asciiTheme="minorHAnsi" w:hAnsiTheme="minorHAnsi"/>
          <w:color w:val="222222"/>
        </w:rPr>
      </w:pPr>
      <w:r w:rsidRPr="00305FE1">
        <w:rPr>
          <w:rFonts w:ascii="Arial Narrow" w:hAnsi="Arial Narrow"/>
          <w:sz w:val="18"/>
          <w:szCs w:val="18"/>
        </w:rPr>
        <w:t>Source: Figure 3</w:t>
      </w:r>
      <w:r w:rsidR="00010DDF">
        <w:rPr>
          <w:rFonts w:ascii="Arial Narrow" w:hAnsi="Arial Narrow"/>
          <w:sz w:val="18"/>
          <w:szCs w:val="18"/>
        </w:rPr>
        <w:t>,</w:t>
      </w:r>
      <w:r w:rsidRPr="00305FE1">
        <w:rPr>
          <w:rFonts w:ascii="Arial Narrow" w:hAnsi="Arial Narrow"/>
          <w:sz w:val="18"/>
          <w:szCs w:val="18"/>
        </w:rPr>
        <w:t xml:space="preserve"> minor submission, p2.</w:t>
      </w:r>
      <w:r w:rsidR="00887A7B" w:rsidRPr="001E5E06">
        <w:rPr>
          <w:rFonts w:asciiTheme="minorHAnsi" w:hAnsiTheme="minorHAnsi"/>
          <w:color w:val="222222"/>
          <w:highlight w:val="yellow"/>
        </w:rPr>
        <w:t xml:space="preserve"> </w:t>
      </w:r>
    </w:p>
    <w:p w:rsidR="009B0883" w:rsidRDefault="009B0883" w:rsidP="001E5E06">
      <w:pPr>
        <w:rPr>
          <w:rFonts w:asciiTheme="minorHAnsi" w:hAnsiTheme="minorHAnsi"/>
          <w:color w:val="222222"/>
        </w:rPr>
      </w:pPr>
    </w:p>
    <w:p w:rsidR="009B0883" w:rsidRPr="009B0883" w:rsidRDefault="009B0883" w:rsidP="009B0883">
      <w:pPr>
        <w:rPr>
          <w:rFonts w:asciiTheme="minorHAnsi" w:hAnsiTheme="minorHAnsi"/>
          <w:i/>
        </w:rPr>
      </w:pPr>
      <w:r w:rsidRPr="009B0883">
        <w:rPr>
          <w:rFonts w:asciiTheme="minorHAnsi" w:hAnsiTheme="minorHAnsi"/>
          <w:i/>
        </w:rPr>
        <w:t>For more detail on PBAC’s view, see section 5 PBAC outcome.</w:t>
      </w:r>
    </w:p>
    <w:p w:rsidR="001E5E06" w:rsidRPr="001E5E06" w:rsidRDefault="001E5E06" w:rsidP="001510C2">
      <w:pPr>
        <w:pStyle w:val="Heading2"/>
      </w:pPr>
      <w:r w:rsidRPr="00887A7B">
        <w:t>Clinical evidence</w:t>
      </w:r>
    </w:p>
    <w:p w:rsidR="002C5746" w:rsidRDefault="002C5746" w:rsidP="002C5746">
      <w:pPr>
        <w:pStyle w:val="Caption"/>
      </w:pPr>
      <w:r>
        <w:t xml:space="preserve">Table </w:t>
      </w:r>
      <w:r>
        <w:rPr>
          <w:noProof/>
        </w:rPr>
        <w:t>1</w:t>
      </w:r>
      <w:r w:rsidRPr="004702F5">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resubmission"/>
      </w:tblPr>
      <w:tblGrid>
        <w:gridCol w:w="1436"/>
        <w:gridCol w:w="5458"/>
        <w:gridCol w:w="2122"/>
      </w:tblGrid>
      <w:tr w:rsidR="00887A7B" w:rsidRPr="00BC16CA" w:rsidTr="006409C0">
        <w:trPr>
          <w:tblHeader/>
        </w:trPr>
        <w:tc>
          <w:tcPr>
            <w:tcW w:w="796" w:type="pct"/>
          </w:tcPr>
          <w:p w:rsidR="00887A7B" w:rsidRPr="005D105D" w:rsidRDefault="00887A7B" w:rsidP="006409C0">
            <w:pPr>
              <w:keepNext/>
              <w:spacing w:before="40" w:after="40"/>
              <w:rPr>
                <w:rFonts w:ascii="Arial Narrow" w:eastAsia="Calibri" w:hAnsi="Arial Narrow" w:cs="Arial"/>
                <w:b/>
                <w:sz w:val="20"/>
              </w:rPr>
            </w:pPr>
            <w:r w:rsidRPr="005D105D">
              <w:rPr>
                <w:rFonts w:ascii="Arial Narrow" w:eastAsia="Calibri" w:hAnsi="Arial Narrow" w:cs="Arial"/>
                <w:b/>
                <w:sz w:val="20"/>
              </w:rPr>
              <w:t>Trial ID/First Author</w:t>
            </w:r>
          </w:p>
        </w:tc>
        <w:tc>
          <w:tcPr>
            <w:tcW w:w="3027" w:type="pct"/>
          </w:tcPr>
          <w:p w:rsidR="00887A7B" w:rsidRPr="005D105D" w:rsidRDefault="00887A7B" w:rsidP="006409C0">
            <w:pPr>
              <w:keepNext/>
              <w:spacing w:before="40" w:after="40"/>
              <w:rPr>
                <w:rFonts w:ascii="Arial Narrow" w:eastAsia="Calibri" w:hAnsi="Arial Narrow" w:cs="Arial"/>
                <w:b/>
                <w:sz w:val="20"/>
              </w:rPr>
            </w:pPr>
            <w:r w:rsidRPr="005D105D">
              <w:rPr>
                <w:rFonts w:ascii="Arial Narrow" w:eastAsia="Calibri" w:hAnsi="Arial Narrow" w:cs="Arial"/>
                <w:b/>
                <w:sz w:val="20"/>
              </w:rPr>
              <w:t>Protocol title/ Publication title</w:t>
            </w:r>
          </w:p>
        </w:tc>
        <w:tc>
          <w:tcPr>
            <w:tcW w:w="1177" w:type="pct"/>
          </w:tcPr>
          <w:p w:rsidR="00887A7B" w:rsidRPr="005D105D" w:rsidRDefault="00887A7B" w:rsidP="006409C0">
            <w:pPr>
              <w:keepNext/>
              <w:spacing w:before="40" w:after="40"/>
              <w:rPr>
                <w:rFonts w:ascii="Arial Narrow" w:eastAsia="Calibri" w:hAnsi="Arial Narrow" w:cs="Arial"/>
                <w:b/>
                <w:sz w:val="20"/>
              </w:rPr>
            </w:pPr>
            <w:r w:rsidRPr="005D105D">
              <w:rPr>
                <w:rFonts w:ascii="Arial Narrow" w:eastAsia="Calibri" w:hAnsi="Arial Narrow" w:cs="Arial"/>
                <w:b/>
                <w:sz w:val="20"/>
              </w:rPr>
              <w:t>Publication citation</w:t>
            </w:r>
          </w:p>
        </w:tc>
      </w:tr>
      <w:tr w:rsidR="00887A7B" w:rsidRPr="00BC16CA" w:rsidTr="006409C0">
        <w:trPr>
          <w:trHeight w:val="673"/>
        </w:trPr>
        <w:tc>
          <w:tcPr>
            <w:tcW w:w="796" w:type="pct"/>
            <w:vMerge w:val="restart"/>
            <w:vAlign w:val="center"/>
          </w:tcPr>
          <w:p w:rsidR="00887A7B" w:rsidRPr="005D105D" w:rsidRDefault="00887A7B" w:rsidP="006409C0">
            <w:pPr>
              <w:keepNext/>
              <w:spacing w:before="40" w:after="40"/>
              <w:rPr>
                <w:rFonts w:ascii="Arial Narrow" w:eastAsia="Calibri" w:hAnsi="Arial Narrow" w:cs="Arial"/>
                <w:sz w:val="20"/>
              </w:rPr>
            </w:pPr>
            <w:r w:rsidRPr="005D105D">
              <w:rPr>
                <w:rFonts w:ascii="Arial Narrow" w:eastAsia="Calibri" w:hAnsi="Arial Narrow" w:cs="Arial"/>
                <w:sz w:val="20"/>
              </w:rPr>
              <w:t>ENDEAVOR</w:t>
            </w:r>
          </w:p>
          <w:p w:rsidR="00887A7B" w:rsidRPr="005D105D" w:rsidRDefault="00887A7B" w:rsidP="00305FE1">
            <w:pPr>
              <w:keepNext/>
              <w:spacing w:before="40" w:after="40"/>
              <w:rPr>
                <w:rFonts w:ascii="Times" w:hAnsi="Times"/>
                <w:sz w:val="20"/>
              </w:rPr>
            </w:pPr>
          </w:p>
        </w:tc>
        <w:tc>
          <w:tcPr>
            <w:tcW w:w="3027" w:type="pct"/>
          </w:tcPr>
          <w:p w:rsidR="00887A7B" w:rsidRPr="005D105D" w:rsidRDefault="00887A7B" w:rsidP="006409C0">
            <w:pPr>
              <w:keepNext/>
              <w:spacing w:before="40" w:after="40"/>
              <w:rPr>
                <w:rFonts w:ascii="Times" w:hAnsi="Times"/>
                <w:sz w:val="20"/>
              </w:rPr>
            </w:pPr>
            <w:r w:rsidRPr="005D105D">
              <w:rPr>
                <w:rFonts w:ascii="Arial Narrow" w:eastAsia="Calibri" w:hAnsi="Arial Narrow" w:cs="Arial"/>
                <w:sz w:val="20"/>
              </w:rPr>
              <w:t xml:space="preserve">Dimopoulos MA, Moreau P, Palumbo A, et al. </w:t>
            </w:r>
            <w:r w:rsidRPr="00887A7B">
              <w:rPr>
                <w:rFonts w:ascii="Arial Narrow" w:eastAsia="Calibri" w:hAnsi="Arial Narrow" w:cs="Arial"/>
                <w:sz w:val="20"/>
              </w:rPr>
              <w:t xml:space="preserve">Goldschmidt H, Niesvizky R, et al. Carfilzomib or bortezomib in relapsed or refractory multiple myeloma (ENDEAVOR): an interim overall survival analysis of an open-label, randomised, phase 3 trial. </w:t>
            </w:r>
          </w:p>
        </w:tc>
        <w:tc>
          <w:tcPr>
            <w:tcW w:w="1177" w:type="pct"/>
          </w:tcPr>
          <w:p w:rsidR="00887A7B" w:rsidRPr="00711DC0" w:rsidRDefault="00887A7B" w:rsidP="00305FE1">
            <w:pPr>
              <w:keepNext/>
              <w:spacing w:before="40" w:after="40"/>
              <w:rPr>
                <w:rFonts w:ascii="Arial Narrow" w:hAnsi="Arial Narrow"/>
                <w:sz w:val="20"/>
              </w:rPr>
            </w:pPr>
            <w:r w:rsidRPr="00711DC0">
              <w:rPr>
                <w:rFonts w:ascii="Arial Narrow" w:hAnsi="Arial Narrow"/>
                <w:i/>
                <w:sz w:val="20"/>
              </w:rPr>
              <w:t>Lancet Oncol</w:t>
            </w:r>
            <w:r w:rsidRPr="00711DC0">
              <w:rPr>
                <w:rFonts w:ascii="Arial Narrow" w:hAnsi="Arial Narrow"/>
                <w:sz w:val="20"/>
              </w:rPr>
              <w:t xml:space="preserve"> 2017; 18:</w:t>
            </w:r>
            <w:r w:rsidR="00305FE1" w:rsidRPr="00711DC0">
              <w:rPr>
                <w:rFonts w:ascii="Arial Narrow" w:hAnsi="Arial Narrow"/>
                <w:sz w:val="20"/>
              </w:rPr>
              <w:t>13</w:t>
            </w:r>
            <w:r w:rsidRPr="00711DC0">
              <w:rPr>
                <w:rFonts w:ascii="Arial Narrow" w:hAnsi="Arial Narrow"/>
                <w:sz w:val="20"/>
              </w:rPr>
              <w:t>27–3</w:t>
            </w:r>
            <w:r w:rsidR="00305FE1" w:rsidRPr="00711DC0">
              <w:rPr>
                <w:rFonts w:ascii="Arial Narrow" w:hAnsi="Arial Narrow"/>
                <w:sz w:val="20"/>
              </w:rPr>
              <w:t>7</w:t>
            </w:r>
            <w:r w:rsidRPr="00711DC0">
              <w:rPr>
                <w:rFonts w:ascii="Arial Narrow" w:hAnsi="Arial Narrow"/>
                <w:sz w:val="20"/>
              </w:rPr>
              <w:t>.</w:t>
            </w:r>
          </w:p>
        </w:tc>
      </w:tr>
      <w:tr w:rsidR="00887A7B" w:rsidRPr="00BC16CA" w:rsidTr="006409C0">
        <w:tc>
          <w:tcPr>
            <w:tcW w:w="796" w:type="pct"/>
            <w:vMerge/>
          </w:tcPr>
          <w:p w:rsidR="00887A7B" w:rsidRPr="005D105D" w:rsidRDefault="00887A7B" w:rsidP="006409C0">
            <w:pPr>
              <w:keepNext/>
              <w:spacing w:before="40" w:after="40"/>
              <w:rPr>
                <w:rFonts w:ascii="Times" w:hAnsi="Times"/>
                <w:sz w:val="20"/>
              </w:rPr>
            </w:pPr>
          </w:p>
        </w:tc>
        <w:tc>
          <w:tcPr>
            <w:tcW w:w="3027" w:type="pct"/>
          </w:tcPr>
          <w:p w:rsidR="00887A7B" w:rsidRPr="005D105D" w:rsidRDefault="00887A7B" w:rsidP="006409C0">
            <w:pPr>
              <w:keepNext/>
              <w:spacing w:before="40" w:after="40"/>
              <w:rPr>
                <w:rFonts w:ascii="Times" w:hAnsi="Times"/>
                <w:sz w:val="20"/>
              </w:rPr>
            </w:pPr>
            <w:r w:rsidRPr="005D105D">
              <w:rPr>
                <w:rFonts w:ascii="Arial Narrow" w:eastAsia="Calibri" w:hAnsi="Arial Narrow" w:cs="Arial"/>
                <w:sz w:val="20"/>
              </w:rPr>
              <w:t>Dimopoulos MA, Moreau P, Palumbo A, et al. Carfilzomib and dexamethasone versus bortezomib and dexamethasone for patients with relapsed or refractory multiple myeloma (ENDEAVOR): a randomised, phase 3, open-label, multicentre study.</w:t>
            </w:r>
          </w:p>
        </w:tc>
        <w:tc>
          <w:tcPr>
            <w:tcW w:w="1177" w:type="pct"/>
          </w:tcPr>
          <w:p w:rsidR="00887A7B" w:rsidRPr="005D105D" w:rsidRDefault="00887A7B" w:rsidP="006409C0">
            <w:pPr>
              <w:keepNext/>
              <w:spacing w:before="40" w:after="40"/>
              <w:rPr>
                <w:rFonts w:ascii="Times" w:hAnsi="Times"/>
                <w:sz w:val="20"/>
              </w:rPr>
            </w:pPr>
            <w:r w:rsidRPr="005D105D">
              <w:rPr>
                <w:rFonts w:ascii="Arial Narrow" w:eastAsia="Calibri" w:hAnsi="Arial Narrow" w:cs="Arial"/>
                <w:i/>
                <w:sz w:val="20"/>
              </w:rPr>
              <w:t>Lancet Oncol</w:t>
            </w:r>
            <w:r w:rsidRPr="005D105D">
              <w:rPr>
                <w:rFonts w:ascii="Arial Narrow" w:eastAsia="Calibri" w:hAnsi="Arial Narrow" w:cs="Arial"/>
                <w:sz w:val="20"/>
              </w:rPr>
              <w:t xml:space="preserve"> 2016; 17:27–38.</w:t>
            </w:r>
          </w:p>
        </w:tc>
      </w:tr>
      <w:tr w:rsidR="00305FE1" w:rsidRPr="00BC16CA" w:rsidTr="006409C0">
        <w:tc>
          <w:tcPr>
            <w:tcW w:w="796" w:type="pct"/>
          </w:tcPr>
          <w:p w:rsidR="00305FE1" w:rsidRPr="00F80541" w:rsidRDefault="00305FE1" w:rsidP="00305FE1">
            <w:pPr>
              <w:keepNext/>
              <w:spacing w:before="40" w:after="40"/>
              <w:rPr>
                <w:rFonts w:ascii="Arial Narrow" w:hAnsi="Arial Narrow"/>
                <w:sz w:val="20"/>
              </w:rPr>
            </w:pPr>
            <w:r w:rsidRPr="00F80541">
              <w:rPr>
                <w:rFonts w:ascii="Arial Narrow" w:hAnsi="Arial Narrow"/>
                <w:sz w:val="20"/>
              </w:rPr>
              <w:t>Tomer et al (2013)</w:t>
            </w:r>
          </w:p>
        </w:tc>
        <w:tc>
          <w:tcPr>
            <w:tcW w:w="3027" w:type="pct"/>
          </w:tcPr>
          <w:p w:rsidR="00305FE1" w:rsidRPr="005D105D" w:rsidRDefault="00305FE1" w:rsidP="00305FE1">
            <w:pPr>
              <w:keepNext/>
              <w:spacing w:before="40" w:after="40"/>
              <w:rPr>
                <w:rFonts w:ascii="Arial Narrow" w:eastAsia="Calibri" w:hAnsi="Arial Narrow" w:cs="Arial"/>
                <w:sz w:val="20"/>
              </w:rPr>
            </w:pPr>
            <w:r>
              <w:rPr>
                <w:rFonts w:ascii="Arial Narrow" w:eastAsia="Calibri" w:hAnsi="Arial Narrow" w:cs="Arial"/>
                <w:sz w:val="20"/>
              </w:rPr>
              <w:t xml:space="preserve">Tomer MM, </w:t>
            </w:r>
            <w:r w:rsidRPr="00305FE1">
              <w:rPr>
                <w:rFonts w:ascii="Arial Narrow" w:eastAsia="Calibri" w:hAnsi="Arial Narrow" w:cs="Arial"/>
                <w:sz w:val="20"/>
              </w:rPr>
              <w:t xml:space="preserve">Allan JN, Boyer A, Rossi AC, et al. Sequence Impact Of Pomalidomide and Carfilzomib On Treatment Response In Relapsed Multiple Myeloma. </w:t>
            </w:r>
          </w:p>
        </w:tc>
        <w:tc>
          <w:tcPr>
            <w:tcW w:w="1177" w:type="pct"/>
          </w:tcPr>
          <w:p w:rsidR="00305FE1" w:rsidRPr="005D105D" w:rsidRDefault="00305FE1" w:rsidP="006409C0">
            <w:pPr>
              <w:keepNext/>
              <w:spacing w:before="40" w:after="40"/>
              <w:rPr>
                <w:rFonts w:ascii="Arial Narrow" w:eastAsia="Calibri" w:hAnsi="Arial Narrow" w:cs="Arial"/>
                <w:i/>
                <w:sz w:val="20"/>
              </w:rPr>
            </w:pPr>
            <w:r w:rsidRPr="00305FE1">
              <w:rPr>
                <w:rFonts w:ascii="Arial Narrow" w:eastAsia="Calibri" w:hAnsi="Arial Narrow" w:cs="Arial"/>
                <w:i/>
                <w:sz w:val="20"/>
              </w:rPr>
              <w:t xml:space="preserve">Blood </w:t>
            </w:r>
            <w:r w:rsidRPr="00305FE1">
              <w:rPr>
                <w:rFonts w:ascii="Arial Narrow" w:eastAsia="Calibri" w:hAnsi="Arial Narrow" w:cs="Arial"/>
                <w:sz w:val="20"/>
              </w:rPr>
              <w:t>2013;122:1954-.</w:t>
            </w:r>
          </w:p>
        </w:tc>
      </w:tr>
    </w:tbl>
    <w:p w:rsidR="00887A7B" w:rsidRDefault="00887A7B" w:rsidP="00887A7B">
      <w:pPr>
        <w:pStyle w:val="TableNotes0"/>
        <w:rPr>
          <w:szCs w:val="18"/>
          <w:lang w:val="en-AU"/>
        </w:rPr>
      </w:pPr>
      <w:r w:rsidRPr="00305FE1">
        <w:rPr>
          <w:szCs w:val="18"/>
          <w:lang w:val="en-AU"/>
        </w:rPr>
        <w:t xml:space="preserve">Source: </w:t>
      </w:r>
      <w:r w:rsidR="00305FE1" w:rsidRPr="00305FE1">
        <w:rPr>
          <w:szCs w:val="18"/>
          <w:lang w:val="en-AU"/>
        </w:rPr>
        <w:t>references in minor submission, p4</w:t>
      </w:r>
      <w:r w:rsidRPr="00305FE1">
        <w:rPr>
          <w:szCs w:val="18"/>
          <w:lang w:val="en-AU"/>
        </w:rPr>
        <w:t xml:space="preserve">. </w:t>
      </w:r>
    </w:p>
    <w:p w:rsidR="00305FE1" w:rsidRDefault="00305FE1" w:rsidP="00887A7B">
      <w:pPr>
        <w:pStyle w:val="TableNotes0"/>
        <w:rPr>
          <w:szCs w:val="18"/>
          <w:lang w:val="en-AU"/>
        </w:rPr>
      </w:pPr>
    </w:p>
    <w:p w:rsidR="00305FE1" w:rsidRDefault="00305FE1" w:rsidP="00FE0B1F">
      <w:pPr>
        <w:pStyle w:val="ListParagraph"/>
        <w:widowControl/>
        <w:numPr>
          <w:ilvl w:val="1"/>
          <w:numId w:val="14"/>
        </w:numPr>
        <w:spacing w:after="120"/>
        <w:contextualSpacing w:val="0"/>
        <w:rPr>
          <w:rFonts w:asciiTheme="minorHAnsi" w:hAnsiTheme="minorHAnsi"/>
          <w:color w:val="222222"/>
          <w:sz w:val="24"/>
          <w:szCs w:val="24"/>
        </w:rPr>
      </w:pPr>
      <w:r>
        <w:rPr>
          <w:rFonts w:asciiTheme="minorHAnsi" w:hAnsiTheme="minorHAnsi"/>
          <w:color w:val="222222"/>
          <w:sz w:val="24"/>
          <w:szCs w:val="24"/>
        </w:rPr>
        <w:t xml:space="preserve">The </w:t>
      </w:r>
      <w:r w:rsidRPr="00305FE1">
        <w:rPr>
          <w:rFonts w:asciiTheme="minorHAnsi" w:eastAsiaTheme="minorHAnsi" w:hAnsiTheme="minorHAnsi" w:cstheme="minorBidi"/>
          <w:snapToGrid/>
          <w:sz w:val="24"/>
          <w:szCs w:val="22"/>
        </w:rPr>
        <w:t>ENDEAVOR</w:t>
      </w:r>
      <w:r>
        <w:rPr>
          <w:rFonts w:asciiTheme="minorHAnsi" w:hAnsiTheme="minorHAnsi"/>
          <w:color w:val="222222"/>
          <w:sz w:val="24"/>
          <w:szCs w:val="24"/>
        </w:rPr>
        <w:t xml:space="preserve"> trial was presented as the pivotal trial evidence in the July 2017 PBAC </w:t>
      </w:r>
      <w:r w:rsidR="009A1F04">
        <w:rPr>
          <w:rFonts w:asciiTheme="minorHAnsi" w:hAnsiTheme="minorHAnsi"/>
          <w:color w:val="222222"/>
          <w:sz w:val="24"/>
          <w:szCs w:val="24"/>
        </w:rPr>
        <w:t>submission</w:t>
      </w:r>
      <w:r>
        <w:rPr>
          <w:rFonts w:asciiTheme="minorHAnsi" w:hAnsiTheme="minorHAnsi"/>
          <w:color w:val="222222"/>
          <w:sz w:val="24"/>
          <w:szCs w:val="24"/>
        </w:rPr>
        <w:t>. In th</w:t>
      </w:r>
      <w:r w:rsidR="00F80541">
        <w:rPr>
          <w:rFonts w:asciiTheme="minorHAnsi" w:hAnsiTheme="minorHAnsi"/>
          <w:color w:val="222222"/>
          <w:sz w:val="24"/>
          <w:szCs w:val="24"/>
        </w:rPr>
        <w:t>e</w:t>
      </w:r>
      <w:r>
        <w:rPr>
          <w:rFonts w:asciiTheme="minorHAnsi" w:hAnsiTheme="minorHAnsi"/>
          <w:color w:val="222222"/>
          <w:sz w:val="24"/>
          <w:szCs w:val="24"/>
        </w:rPr>
        <w:t xml:space="preserve"> minor submission, the d</w:t>
      </w:r>
      <w:r w:rsidRPr="00305FE1">
        <w:rPr>
          <w:rFonts w:asciiTheme="minorHAnsi" w:hAnsiTheme="minorHAnsi"/>
          <w:color w:val="222222"/>
          <w:sz w:val="24"/>
          <w:szCs w:val="24"/>
        </w:rPr>
        <w:t xml:space="preserve">ata from the ENDEAVOR study </w:t>
      </w:r>
      <w:r w:rsidR="00F80541">
        <w:rPr>
          <w:rFonts w:asciiTheme="minorHAnsi" w:hAnsiTheme="minorHAnsi"/>
          <w:color w:val="222222"/>
          <w:sz w:val="24"/>
          <w:szCs w:val="24"/>
        </w:rPr>
        <w:t>wa</w:t>
      </w:r>
      <w:r>
        <w:rPr>
          <w:rFonts w:asciiTheme="minorHAnsi" w:hAnsiTheme="minorHAnsi"/>
          <w:color w:val="222222"/>
          <w:sz w:val="24"/>
          <w:szCs w:val="24"/>
        </w:rPr>
        <w:t>s used to show</w:t>
      </w:r>
      <w:r w:rsidRPr="00305FE1">
        <w:rPr>
          <w:rFonts w:asciiTheme="minorHAnsi" w:hAnsiTheme="minorHAnsi"/>
          <w:color w:val="222222"/>
          <w:sz w:val="24"/>
          <w:szCs w:val="24"/>
        </w:rPr>
        <w:t xml:space="preserve"> that approximately 16% of patients previously on carfilzomib were subsequently treated with pomalidomide (24% of bortezomib patients were subsequently treated </w:t>
      </w:r>
      <w:r w:rsidRPr="00305FE1">
        <w:rPr>
          <w:rFonts w:asciiTheme="minorHAnsi" w:hAnsiTheme="minorHAnsi"/>
          <w:color w:val="222222"/>
          <w:sz w:val="24"/>
          <w:szCs w:val="24"/>
        </w:rPr>
        <w:lastRenderedPageBreak/>
        <w:t xml:space="preserve">with pomalidomide) thereby supporting the </w:t>
      </w:r>
      <w:r w:rsidR="009A1F04">
        <w:rPr>
          <w:rFonts w:asciiTheme="minorHAnsi" w:hAnsiTheme="minorHAnsi"/>
          <w:color w:val="222222"/>
          <w:sz w:val="24"/>
          <w:szCs w:val="24"/>
        </w:rPr>
        <w:t>use of</w:t>
      </w:r>
      <w:r w:rsidRPr="00305FE1">
        <w:rPr>
          <w:rFonts w:asciiTheme="minorHAnsi" w:hAnsiTheme="minorHAnsi"/>
          <w:color w:val="222222"/>
          <w:sz w:val="24"/>
          <w:szCs w:val="24"/>
        </w:rPr>
        <w:t xml:space="preserve"> pomalidomide post carfilzomib.</w:t>
      </w:r>
      <w:r w:rsidR="00FE0B1F">
        <w:rPr>
          <w:rFonts w:asciiTheme="minorHAnsi" w:hAnsiTheme="minorHAnsi"/>
          <w:color w:val="222222"/>
          <w:sz w:val="24"/>
          <w:szCs w:val="24"/>
        </w:rPr>
        <w:t xml:space="preserve"> The PBAC did not consider </w:t>
      </w:r>
      <w:r w:rsidR="00623D71">
        <w:rPr>
          <w:rFonts w:asciiTheme="minorHAnsi" w:hAnsiTheme="minorHAnsi"/>
          <w:color w:val="222222"/>
          <w:sz w:val="24"/>
          <w:szCs w:val="24"/>
        </w:rPr>
        <w:t xml:space="preserve">that </w:t>
      </w:r>
      <w:r w:rsidR="00FE0B1F">
        <w:rPr>
          <w:rFonts w:asciiTheme="minorHAnsi" w:hAnsiTheme="minorHAnsi"/>
          <w:color w:val="222222"/>
          <w:sz w:val="24"/>
          <w:szCs w:val="24"/>
        </w:rPr>
        <w:t>the</w:t>
      </w:r>
      <w:r w:rsidR="00623D71">
        <w:rPr>
          <w:rFonts w:asciiTheme="minorHAnsi" w:hAnsiTheme="minorHAnsi"/>
          <w:color w:val="222222"/>
          <w:sz w:val="24"/>
          <w:szCs w:val="24"/>
        </w:rPr>
        <w:t xml:space="preserve">se data, which demonstrated </w:t>
      </w:r>
      <w:r w:rsidR="00FE0B1F">
        <w:rPr>
          <w:rFonts w:asciiTheme="minorHAnsi" w:hAnsiTheme="minorHAnsi"/>
          <w:color w:val="222222"/>
          <w:sz w:val="24"/>
          <w:szCs w:val="24"/>
        </w:rPr>
        <w:t xml:space="preserve">use in </w:t>
      </w:r>
      <w:r w:rsidR="00623D71">
        <w:rPr>
          <w:rFonts w:asciiTheme="minorHAnsi" w:hAnsiTheme="minorHAnsi"/>
          <w:color w:val="222222"/>
          <w:sz w:val="24"/>
          <w:szCs w:val="24"/>
        </w:rPr>
        <w:t xml:space="preserve">patients progressing on </w:t>
      </w:r>
      <w:r w:rsidR="00FE0B1F">
        <w:rPr>
          <w:rFonts w:asciiTheme="minorHAnsi" w:hAnsiTheme="minorHAnsi"/>
          <w:color w:val="222222"/>
          <w:sz w:val="24"/>
          <w:szCs w:val="24"/>
        </w:rPr>
        <w:t>the trial</w:t>
      </w:r>
      <w:r w:rsidR="00623D71">
        <w:rPr>
          <w:rFonts w:asciiTheme="minorHAnsi" w:hAnsiTheme="minorHAnsi"/>
          <w:color w:val="222222"/>
          <w:sz w:val="24"/>
          <w:szCs w:val="24"/>
        </w:rPr>
        <w:t>,</w:t>
      </w:r>
      <w:r w:rsidR="00FE0B1F">
        <w:rPr>
          <w:rFonts w:asciiTheme="minorHAnsi" w:hAnsiTheme="minorHAnsi"/>
          <w:color w:val="222222"/>
          <w:sz w:val="24"/>
          <w:szCs w:val="24"/>
        </w:rPr>
        <w:t xml:space="preserve"> established </w:t>
      </w:r>
      <w:r w:rsidR="00623D71">
        <w:rPr>
          <w:rFonts w:asciiTheme="minorHAnsi" w:hAnsiTheme="minorHAnsi"/>
          <w:color w:val="222222"/>
          <w:sz w:val="24"/>
          <w:szCs w:val="24"/>
        </w:rPr>
        <w:t xml:space="preserve">either </w:t>
      </w:r>
      <w:r w:rsidR="00FE0B1F">
        <w:rPr>
          <w:rFonts w:asciiTheme="minorHAnsi" w:hAnsiTheme="minorHAnsi"/>
          <w:color w:val="222222"/>
          <w:sz w:val="24"/>
          <w:szCs w:val="24"/>
        </w:rPr>
        <w:t xml:space="preserve">the need or </w:t>
      </w:r>
      <w:r w:rsidR="00623D71">
        <w:rPr>
          <w:rFonts w:asciiTheme="minorHAnsi" w:hAnsiTheme="minorHAnsi"/>
          <w:color w:val="222222"/>
          <w:sz w:val="24"/>
          <w:szCs w:val="24"/>
        </w:rPr>
        <w:t xml:space="preserve">the </w:t>
      </w:r>
      <w:r w:rsidR="00FE0B1F">
        <w:rPr>
          <w:rFonts w:asciiTheme="minorHAnsi" w:hAnsiTheme="minorHAnsi"/>
          <w:color w:val="222222"/>
          <w:sz w:val="24"/>
          <w:szCs w:val="24"/>
        </w:rPr>
        <w:t>efficacy of pom</w:t>
      </w:r>
      <w:r w:rsidR="00F80541">
        <w:rPr>
          <w:rFonts w:asciiTheme="minorHAnsi" w:hAnsiTheme="minorHAnsi"/>
          <w:color w:val="222222"/>
          <w:sz w:val="24"/>
          <w:szCs w:val="24"/>
        </w:rPr>
        <w:t>a</w:t>
      </w:r>
      <w:r w:rsidR="00FE0B1F">
        <w:rPr>
          <w:rFonts w:asciiTheme="minorHAnsi" w:hAnsiTheme="minorHAnsi"/>
          <w:color w:val="222222"/>
          <w:sz w:val="24"/>
          <w:szCs w:val="24"/>
        </w:rPr>
        <w:t xml:space="preserve">lidomide treatment </w:t>
      </w:r>
      <w:r w:rsidR="00F80541">
        <w:rPr>
          <w:rFonts w:asciiTheme="minorHAnsi" w:hAnsiTheme="minorHAnsi"/>
          <w:color w:val="222222"/>
          <w:sz w:val="24"/>
          <w:szCs w:val="24"/>
        </w:rPr>
        <w:t xml:space="preserve">immediately following </w:t>
      </w:r>
      <w:r w:rsidR="00FE0B1F">
        <w:rPr>
          <w:rFonts w:asciiTheme="minorHAnsi" w:hAnsiTheme="minorHAnsi"/>
          <w:color w:val="222222"/>
          <w:sz w:val="24"/>
          <w:szCs w:val="24"/>
        </w:rPr>
        <w:t>carfilzomib.</w:t>
      </w:r>
    </w:p>
    <w:p w:rsidR="00010DDF" w:rsidRDefault="00010DDF" w:rsidP="00D46E80">
      <w:pPr>
        <w:pStyle w:val="ListParagraph"/>
        <w:widowControl/>
        <w:numPr>
          <w:ilvl w:val="1"/>
          <w:numId w:val="14"/>
        </w:numPr>
        <w:spacing w:after="120"/>
        <w:contextualSpacing w:val="0"/>
      </w:pPr>
      <w:r w:rsidRPr="00D46E80">
        <w:rPr>
          <w:rFonts w:asciiTheme="minorHAnsi" w:hAnsiTheme="minorHAnsi"/>
          <w:color w:val="222222"/>
          <w:sz w:val="24"/>
          <w:szCs w:val="24"/>
        </w:rPr>
        <w:t xml:space="preserve">This minor submission also presented results from a study by Tomar et al, 2013 (note, this study has not previously been presented to PBAC and </w:t>
      </w:r>
      <w:r w:rsidR="00F80541" w:rsidRPr="00D46E80">
        <w:rPr>
          <w:rFonts w:asciiTheme="minorHAnsi" w:hAnsiTheme="minorHAnsi"/>
          <w:color w:val="222222"/>
          <w:sz w:val="24"/>
          <w:szCs w:val="24"/>
        </w:rPr>
        <w:t xml:space="preserve">was </w:t>
      </w:r>
      <w:r w:rsidRPr="00D46E80">
        <w:rPr>
          <w:rFonts w:asciiTheme="minorHAnsi" w:hAnsiTheme="minorHAnsi"/>
          <w:color w:val="222222"/>
          <w:sz w:val="24"/>
          <w:szCs w:val="24"/>
        </w:rPr>
        <w:t>not evaluated for this minor submission)</w:t>
      </w:r>
      <w:r w:rsidRPr="00D46E80">
        <w:rPr>
          <w:rFonts w:asciiTheme="minorHAnsi" w:hAnsiTheme="minorHAnsi"/>
          <w:i/>
          <w:color w:val="222222"/>
          <w:sz w:val="24"/>
          <w:szCs w:val="24"/>
        </w:rPr>
        <w:t>.</w:t>
      </w:r>
      <w:r w:rsidRPr="00D46E80">
        <w:rPr>
          <w:rFonts w:asciiTheme="minorHAnsi" w:hAnsiTheme="minorHAnsi"/>
          <w:color w:val="222222"/>
          <w:sz w:val="24"/>
          <w:szCs w:val="24"/>
        </w:rPr>
        <w:t xml:space="preserve"> Tomar examined the safety and efficacy in a subset of patients who had received carfilzomib prior to a pomalidomide based regimen (clarithromycin, pomalidomide and dexamethasone [ClaPD]) </w:t>
      </w:r>
      <w:r w:rsidR="00926499" w:rsidRPr="00D46E80">
        <w:rPr>
          <w:rFonts w:asciiTheme="minorHAnsi" w:hAnsiTheme="minorHAnsi"/>
          <w:color w:val="222222"/>
          <w:sz w:val="24"/>
          <w:szCs w:val="24"/>
        </w:rPr>
        <w:t xml:space="preserve">(CP) </w:t>
      </w:r>
      <w:r w:rsidRPr="00D46E80">
        <w:rPr>
          <w:rFonts w:asciiTheme="minorHAnsi" w:hAnsiTheme="minorHAnsi"/>
          <w:color w:val="222222"/>
          <w:sz w:val="24"/>
          <w:szCs w:val="24"/>
        </w:rPr>
        <w:t>compared to a subgroup of patients who received carfilzomib after pomalidomide (ClaPD)</w:t>
      </w:r>
      <w:r w:rsidR="00926499" w:rsidRPr="00D46E80">
        <w:rPr>
          <w:rFonts w:asciiTheme="minorHAnsi" w:hAnsiTheme="minorHAnsi"/>
          <w:color w:val="222222"/>
          <w:sz w:val="24"/>
          <w:szCs w:val="24"/>
        </w:rPr>
        <w:t xml:space="preserve"> (PC)</w:t>
      </w:r>
      <w:r w:rsidRPr="00D46E80">
        <w:rPr>
          <w:rFonts w:asciiTheme="minorHAnsi" w:hAnsiTheme="minorHAnsi"/>
          <w:color w:val="222222"/>
          <w:sz w:val="24"/>
          <w:szCs w:val="24"/>
        </w:rPr>
        <w:t>. Patients were heavily pre-treated. Both regimens appear to have equally effective response regardless of sequence in salvage chemotherapy</w:t>
      </w:r>
      <w:r w:rsidR="009A1F04" w:rsidRPr="00D46E80">
        <w:rPr>
          <w:rFonts w:asciiTheme="minorHAnsi" w:hAnsiTheme="minorHAnsi"/>
          <w:color w:val="222222"/>
          <w:sz w:val="24"/>
          <w:szCs w:val="24"/>
        </w:rPr>
        <w:t xml:space="preserve"> (see Table 2)</w:t>
      </w:r>
      <w:r w:rsidRPr="00D46E80">
        <w:rPr>
          <w:rFonts w:asciiTheme="minorHAnsi" w:hAnsiTheme="minorHAnsi"/>
          <w:color w:val="222222"/>
          <w:sz w:val="24"/>
          <w:szCs w:val="24"/>
        </w:rPr>
        <w:t>.</w:t>
      </w:r>
      <w:r w:rsidR="00D46E80" w:rsidRPr="00D46E80">
        <w:rPr>
          <w:rFonts w:asciiTheme="minorHAnsi" w:hAnsiTheme="minorHAnsi"/>
          <w:color w:val="222222"/>
          <w:sz w:val="24"/>
          <w:szCs w:val="24"/>
        </w:rPr>
        <w:t xml:space="preserve"> The use of carfilzomib after pomalidomide is not reflective of the usual treatment pathway of PBS patients.</w:t>
      </w:r>
      <w:bookmarkStart w:id="1" w:name="_Ref522198329"/>
    </w:p>
    <w:bookmarkEnd w:id="1"/>
    <w:p w:rsidR="002C5746" w:rsidRDefault="002C5746" w:rsidP="002C5746">
      <w:pPr>
        <w:pStyle w:val="Caption"/>
      </w:pPr>
      <w:r>
        <w:t xml:space="preserve">Table </w:t>
      </w:r>
      <w:r>
        <w:rPr>
          <w:noProof/>
        </w:rPr>
        <w:t>2</w:t>
      </w:r>
      <w:r>
        <w:t xml:space="preserve">: </w:t>
      </w:r>
      <w:r w:rsidRPr="0073210A">
        <w:t>Results showing that pomalidomide is effective after patients have progressed on carfilzomib</w:t>
      </w:r>
      <w:r w:rsidR="001A4144">
        <w:t xml:space="preserve"> (Tom</w:t>
      </w:r>
      <w:r w:rsidR="0049370B">
        <w:t>a</w:t>
      </w:r>
      <w:r w:rsidR="001A4144">
        <w:t>r et al, 2013)</w:t>
      </w:r>
    </w:p>
    <w:tbl>
      <w:tblPr>
        <w:tblStyle w:val="TableGrid"/>
        <w:tblW w:w="0" w:type="auto"/>
        <w:tblInd w:w="108" w:type="dxa"/>
        <w:tblLook w:val="04A0" w:firstRow="1" w:lastRow="0" w:firstColumn="1" w:lastColumn="0" w:noHBand="0" w:noVBand="1"/>
        <w:tblCaption w:val="Results showing that pomalidomide is effective after patients have progressed on carfilzomib (Tomar et al, 2013)"/>
      </w:tblPr>
      <w:tblGrid>
        <w:gridCol w:w="983"/>
        <w:gridCol w:w="1981"/>
        <w:gridCol w:w="1981"/>
        <w:gridCol w:w="1981"/>
        <w:gridCol w:w="1982"/>
      </w:tblGrid>
      <w:tr w:rsidR="006740DA" w:rsidRPr="00CE75E2" w:rsidTr="00CE75E2">
        <w:trPr>
          <w:tblHeader/>
        </w:trPr>
        <w:tc>
          <w:tcPr>
            <w:tcW w:w="983" w:type="dxa"/>
          </w:tcPr>
          <w:p w:rsidR="00984CAD" w:rsidRPr="00CE75E2" w:rsidRDefault="00984CAD" w:rsidP="009750BE">
            <w:pPr>
              <w:rPr>
                <w:rFonts w:ascii="Arial Narrow" w:hAnsi="Arial Narrow"/>
                <w:b/>
                <w:sz w:val="20"/>
                <w:szCs w:val="20"/>
              </w:rPr>
            </w:pPr>
          </w:p>
        </w:tc>
        <w:tc>
          <w:tcPr>
            <w:tcW w:w="3962" w:type="dxa"/>
            <w:gridSpan w:val="2"/>
          </w:tcPr>
          <w:p w:rsidR="00984CAD" w:rsidRPr="00CE75E2" w:rsidRDefault="00984CAD" w:rsidP="00984CAD">
            <w:pPr>
              <w:jc w:val="center"/>
              <w:rPr>
                <w:rFonts w:ascii="Arial Narrow" w:hAnsi="Arial Narrow"/>
                <w:b/>
                <w:sz w:val="20"/>
                <w:szCs w:val="20"/>
              </w:rPr>
            </w:pPr>
            <w:r w:rsidRPr="00CE75E2">
              <w:rPr>
                <w:rFonts w:ascii="Arial Narrow" w:hAnsi="Arial Narrow"/>
                <w:b/>
                <w:sz w:val="20"/>
                <w:szCs w:val="20"/>
              </w:rPr>
              <w:t>CP (n=14)</w:t>
            </w:r>
          </w:p>
        </w:tc>
        <w:tc>
          <w:tcPr>
            <w:tcW w:w="3963" w:type="dxa"/>
            <w:gridSpan w:val="2"/>
          </w:tcPr>
          <w:p w:rsidR="00984CAD" w:rsidRPr="00CE75E2" w:rsidRDefault="00984CAD" w:rsidP="00984CAD">
            <w:pPr>
              <w:jc w:val="center"/>
              <w:rPr>
                <w:rFonts w:ascii="Arial Narrow" w:hAnsi="Arial Narrow"/>
                <w:b/>
                <w:sz w:val="20"/>
                <w:szCs w:val="20"/>
              </w:rPr>
            </w:pPr>
            <w:r w:rsidRPr="00CE75E2">
              <w:rPr>
                <w:rFonts w:ascii="Arial Narrow" w:hAnsi="Arial Narrow"/>
                <w:b/>
                <w:sz w:val="20"/>
                <w:szCs w:val="20"/>
              </w:rPr>
              <w:t>PC (n=20)</w:t>
            </w:r>
          </w:p>
        </w:tc>
      </w:tr>
      <w:tr w:rsidR="006740DA" w:rsidRPr="00A7516C" w:rsidTr="00CC14C6">
        <w:tc>
          <w:tcPr>
            <w:tcW w:w="983" w:type="dxa"/>
          </w:tcPr>
          <w:p w:rsidR="006740DA" w:rsidRPr="00A7516C" w:rsidRDefault="006740DA" w:rsidP="006740DA">
            <w:pPr>
              <w:rPr>
                <w:rFonts w:ascii="Arial Narrow" w:hAnsi="Arial Narrow"/>
                <w:sz w:val="20"/>
                <w:szCs w:val="20"/>
              </w:rPr>
            </w:pP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 response to Cfz</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 response to Pom</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 response to Pom</w:t>
            </w:r>
          </w:p>
        </w:tc>
        <w:tc>
          <w:tcPr>
            <w:tcW w:w="1982"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 response to Cfz</w:t>
            </w:r>
          </w:p>
        </w:tc>
      </w:tr>
      <w:tr w:rsidR="006740DA" w:rsidRPr="00A7516C" w:rsidTr="00CC14C6">
        <w:tc>
          <w:tcPr>
            <w:tcW w:w="983"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CR</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0</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0</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5</w:t>
            </w:r>
          </w:p>
        </w:tc>
        <w:tc>
          <w:tcPr>
            <w:tcW w:w="1982"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0</w:t>
            </w:r>
          </w:p>
        </w:tc>
      </w:tr>
      <w:tr w:rsidR="006740DA" w:rsidRPr="00A7516C" w:rsidTr="00CC14C6">
        <w:tc>
          <w:tcPr>
            <w:tcW w:w="983"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VGPR</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7</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14</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10</w:t>
            </w:r>
          </w:p>
        </w:tc>
        <w:tc>
          <w:tcPr>
            <w:tcW w:w="1982"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0</w:t>
            </w:r>
          </w:p>
        </w:tc>
      </w:tr>
      <w:tr w:rsidR="006740DA" w:rsidRPr="00A7516C" w:rsidTr="00CC14C6">
        <w:tc>
          <w:tcPr>
            <w:tcW w:w="983"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PR</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64</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28</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45</w:t>
            </w:r>
          </w:p>
        </w:tc>
        <w:tc>
          <w:tcPr>
            <w:tcW w:w="1982"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40</w:t>
            </w:r>
          </w:p>
        </w:tc>
      </w:tr>
      <w:tr w:rsidR="006740DA" w:rsidRPr="00A7516C" w:rsidTr="00CC14C6">
        <w:tc>
          <w:tcPr>
            <w:tcW w:w="983"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SD</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14</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28</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25</w:t>
            </w:r>
          </w:p>
        </w:tc>
        <w:tc>
          <w:tcPr>
            <w:tcW w:w="1982"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40</w:t>
            </w:r>
          </w:p>
        </w:tc>
      </w:tr>
      <w:tr w:rsidR="006740DA" w:rsidRPr="00A7516C" w:rsidTr="00CC14C6">
        <w:tc>
          <w:tcPr>
            <w:tcW w:w="983"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PD</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14</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28</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15</w:t>
            </w:r>
          </w:p>
        </w:tc>
        <w:tc>
          <w:tcPr>
            <w:tcW w:w="1982"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20</w:t>
            </w:r>
          </w:p>
        </w:tc>
      </w:tr>
      <w:tr w:rsidR="006740DA" w:rsidRPr="00A7516C" w:rsidTr="00CC14C6">
        <w:tc>
          <w:tcPr>
            <w:tcW w:w="983"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ORR</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71</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42</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6</w:t>
            </w:r>
          </w:p>
        </w:tc>
        <w:tc>
          <w:tcPr>
            <w:tcW w:w="1982"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40</w:t>
            </w:r>
          </w:p>
        </w:tc>
      </w:tr>
      <w:tr w:rsidR="006740DA" w:rsidRPr="00A7516C" w:rsidTr="00CC14C6">
        <w:tc>
          <w:tcPr>
            <w:tcW w:w="983"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≥VGPR</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7</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14</w:t>
            </w:r>
          </w:p>
        </w:tc>
        <w:tc>
          <w:tcPr>
            <w:tcW w:w="1981"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15</w:t>
            </w:r>
          </w:p>
        </w:tc>
        <w:tc>
          <w:tcPr>
            <w:tcW w:w="1982" w:type="dxa"/>
          </w:tcPr>
          <w:p w:rsidR="006740DA" w:rsidRPr="00A7516C" w:rsidRDefault="006740DA" w:rsidP="006740DA">
            <w:pPr>
              <w:rPr>
                <w:rFonts w:ascii="Arial Narrow" w:hAnsi="Arial Narrow"/>
                <w:sz w:val="20"/>
                <w:szCs w:val="20"/>
              </w:rPr>
            </w:pPr>
            <w:r w:rsidRPr="00A7516C">
              <w:rPr>
                <w:rFonts w:ascii="Arial Narrow" w:hAnsi="Arial Narrow"/>
                <w:sz w:val="20"/>
                <w:szCs w:val="20"/>
              </w:rPr>
              <w:t>0</w:t>
            </w:r>
          </w:p>
        </w:tc>
      </w:tr>
    </w:tbl>
    <w:p w:rsidR="00CC14C6" w:rsidRPr="00CC14C6" w:rsidRDefault="00CC14C6" w:rsidP="00CC14C6">
      <w:pPr>
        <w:pStyle w:val="ListParagraph"/>
        <w:widowControl/>
        <w:ind w:left="0"/>
        <w:contextualSpacing w:val="0"/>
        <w:rPr>
          <w:rFonts w:ascii="Arial Narrow" w:hAnsi="Arial Narrow"/>
          <w:sz w:val="18"/>
          <w:szCs w:val="18"/>
        </w:rPr>
      </w:pPr>
      <w:r w:rsidRPr="00CC14C6">
        <w:rPr>
          <w:rFonts w:ascii="Arial Narrow" w:hAnsi="Arial Narrow"/>
          <w:sz w:val="18"/>
          <w:szCs w:val="18"/>
        </w:rPr>
        <w:t>Abbreviations: Cfz = carfilzomib; Pom = pomalidomide; CR – complete response; VGPR = very good partial response; PR = partial response; stable disease; PR = progressive disease; ORR = overall response rate; ≥VGPR.</w:t>
      </w:r>
    </w:p>
    <w:p w:rsidR="00305FE1" w:rsidRDefault="00010DDF" w:rsidP="002C5746">
      <w:pPr>
        <w:pStyle w:val="ListParagraph"/>
        <w:widowControl/>
        <w:spacing w:after="120"/>
        <w:ind w:left="0"/>
        <w:contextualSpacing w:val="0"/>
        <w:rPr>
          <w:rFonts w:ascii="Arial Narrow" w:hAnsi="Arial Narrow"/>
          <w:sz w:val="18"/>
          <w:szCs w:val="18"/>
        </w:rPr>
      </w:pPr>
      <w:r w:rsidRPr="00926499">
        <w:rPr>
          <w:rFonts w:ascii="Arial Narrow" w:hAnsi="Arial Narrow"/>
          <w:sz w:val="18"/>
          <w:szCs w:val="18"/>
        </w:rPr>
        <w:t>Source: Table 3, minor submission, p4</w:t>
      </w:r>
    </w:p>
    <w:p w:rsidR="009B0883" w:rsidRPr="009B0883" w:rsidRDefault="009B0883" w:rsidP="009B0883">
      <w:pPr>
        <w:rPr>
          <w:rFonts w:asciiTheme="minorHAnsi" w:hAnsiTheme="minorHAnsi"/>
          <w:i/>
        </w:rPr>
      </w:pPr>
      <w:r w:rsidRPr="009B0883">
        <w:rPr>
          <w:rFonts w:asciiTheme="minorHAnsi" w:hAnsiTheme="minorHAnsi"/>
          <w:i/>
        </w:rPr>
        <w:t>For more detail on PBAC’s view, see section 5 PBAC outcome.</w:t>
      </w:r>
    </w:p>
    <w:p w:rsidR="005A3173" w:rsidRPr="00926499" w:rsidRDefault="005A3173" w:rsidP="001510C2">
      <w:pPr>
        <w:pStyle w:val="Heading2"/>
      </w:pPr>
      <w:r w:rsidRPr="00926499">
        <w:t>Estimated PBS usage &amp; financial implications</w:t>
      </w:r>
    </w:p>
    <w:p w:rsidR="0075771C" w:rsidRPr="00D00D64" w:rsidRDefault="00926499" w:rsidP="00D00D64">
      <w:pPr>
        <w:pStyle w:val="ListParagraph"/>
        <w:widowControl/>
        <w:numPr>
          <w:ilvl w:val="1"/>
          <w:numId w:val="14"/>
        </w:numPr>
        <w:spacing w:after="120"/>
        <w:contextualSpacing w:val="0"/>
        <w:rPr>
          <w:rStyle w:val="CommentReference"/>
          <w:rFonts w:asciiTheme="minorHAnsi" w:eastAsia="Batang" w:hAnsiTheme="minorHAnsi"/>
          <w:sz w:val="24"/>
          <w:szCs w:val="24"/>
        </w:rPr>
      </w:pPr>
      <w:r w:rsidRPr="00456DAC">
        <w:rPr>
          <w:rFonts w:asciiTheme="minorHAnsi" w:eastAsia="Batang" w:hAnsiTheme="minorHAnsi"/>
          <w:sz w:val="24"/>
          <w:szCs w:val="24"/>
        </w:rPr>
        <w:t xml:space="preserve">No financial estimates of the proposed restriction </w:t>
      </w:r>
      <w:r w:rsidR="009A1F04" w:rsidRPr="00456DAC">
        <w:rPr>
          <w:rFonts w:asciiTheme="minorHAnsi" w:eastAsia="Batang" w:hAnsiTheme="minorHAnsi"/>
          <w:sz w:val="24"/>
          <w:szCs w:val="24"/>
        </w:rPr>
        <w:t xml:space="preserve">change </w:t>
      </w:r>
      <w:r w:rsidRPr="00456DAC">
        <w:rPr>
          <w:rFonts w:asciiTheme="minorHAnsi" w:eastAsia="Batang" w:hAnsiTheme="minorHAnsi"/>
          <w:sz w:val="24"/>
          <w:szCs w:val="24"/>
        </w:rPr>
        <w:t xml:space="preserve">were provided. However, the minor submission claimed </w:t>
      </w:r>
      <w:r>
        <w:rPr>
          <w:rFonts w:asciiTheme="minorHAnsi" w:eastAsia="Batang" w:hAnsiTheme="minorHAnsi"/>
          <w:sz w:val="24"/>
          <w:szCs w:val="24"/>
        </w:rPr>
        <w:t>t</w:t>
      </w:r>
      <w:r w:rsidRPr="00926499">
        <w:rPr>
          <w:rFonts w:asciiTheme="minorHAnsi" w:eastAsia="Batang" w:hAnsiTheme="minorHAnsi"/>
          <w:sz w:val="24"/>
          <w:szCs w:val="24"/>
        </w:rPr>
        <w:t xml:space="preserve">he current pathway requires a subgroup of patients who receive carfilzomib to have an additional treatment step i.e. receive bortezomib, in order to progress to pomalidomide. By reducing this unnecessary step, the proposed listing would reduce cost to the PBS. In addition, removing this step would also reduce the peripheral neuropathy burden associated with bortezomib.  </w:t>
      </w:r>
      <w:bookmarkStart w:id="2" w:name="_Ref448937679"/>
    </w:p>
    <w:bookmarkEnd w:id="2"/>
    <w:p w:rsidR="001E5E06" w:rsidRPr="009B0883" w:rsidRDefault="001E5E06" w:rsidP="009B0883">
      <w:pPr>
        <w:rPr>
          <w:rFonts w:asciiTheme="minorHAnsi" w:hAnsiTheme="minorHAnsi"/>
          <w:i/>
        </w:rPr>
      </w:pPr>
      <w:r w:rsidRPr="009B0883">
        <w:rPr>
          <w:rFonts w:asciiTheme="minorHAnsi" w:hAnsiTheme="minorHAnsi"/>
          <w:i/>
        </w:rPr>
        <w:t xml:space="preserve">For more detail on PBAC’s view, see section </w:t>
      </w:r>
      <w:r w:rsidR="009B0883" w:rsidRPr="009B0883">
        <w:rPr>
          <w:rFonts w:asciiTheme="minorHAnsi" w:hAnsiTheme="minorHAnsi"/>
          <w:i/>
        </w:rPr>
        <w:t>5</w:t>
      </w:r>
      <w:r w:rsidRPr="009B0883">
        <w:rPr>
          <w:rFonts w:asciiTheme="minorHAnsi" w:hAnsiTheme="minorHAnsi"/>
          <w:i/>
        </w:rPr>
        <w:t xml:space="preserve"> PBAC outcome.</w:t>
      </w:r>
    </w:p>
    <w:p w:rsidR="001E5E06" w:rsidRPr="009B0883" w:rsidRDefault="001E5E06" w:rsidP="009B0883">
      <w:pPr>
        <w:pStyle w:val="PBACHeading1"/>
        <w:spacing w:before="240" w:after="120"/>
        <w:ind w:left="709" w:hanging="709"/>
        <w:rPr>
          <w:rFonts w:asciiTheme="minorHAnsi" w:hAnsiTheme="minorHAnsi"/>
          <w:sz w:val="32"/>
          <w:szCs w:val="32"/>
        </w:rPr>
      </w:pPr>
      <w:r w:rsidRPr="009B0883">
        <w:rPr>
          <w:rFonts w:asciiTheme="minorHAnsi" w:hAnsiTheme="minorHAnsi"/>
          <w:sz w:val="32"/>
          <w:szCs w:val="32"/>
        </w:rPr>
        <w:t>PBAC Outcome</w:t>
      </w:r>
    </w:p>
    <w:p w:rsidR="00A32BD1" w:rsidRPr="00A526E5" w:rsidRDefault="00FE0B1F" w:rsidP="00A526E5">
      <w:pPr>
        <w:pStyle w:val="ListParagraph"/>
        <w:widowControl/>
        <w:numPr>
          <w:ilvl w:val="1"/>
          <w:numId w:val="5"/>
        </w:numPr>
        <w:spacing w:after="120"/>
        <w:contextualSpacing w:val="0"/>
        <w:rPr>
          <w:rFonts w:asciiTheme="minorHAnsi" w:hAnsiTheme="minorHAnsi"/>
          <w:sz w:val="24"/>
          <w:szCs w:val="24"/>
        </w:rPr>
      </w:pPr>
      <w:r w:rsidRPr="00A526E5">
        <w:rPr>
          <w:rFonts w:asciiTheme="minorHAnsi" w:hAnsiTheme="minorHAnsi"/>
          <w:bCs/>
          <w:sz w:val="24"/>
          <w:szCs w:val="24"/>
          <w:lang w:val="en-GB"/>
        </w:rPr>
        <w:t xml:space="preserve">The PBAC </w:t>
      </w:r>
      <w:r w:rsidR="00A32BD1" w:rsidRPr="00A526E5">
        <w:rPr>
          <w:rFonts w:asciiTheme="minorHAnsi" w:hAnsiTheme="minorHAnsi"/>
          <w:bCs/>
          <w:sz w:val="24"/>
          <w:szCs w:val="24"/>
          <w:lang w:val="en-GB"/>
        </w:rPr>
        <w:t xml:space="preserve">decided not to recommend a change to </w:t>
      </w:r>
      <w:r w:rsidR="00A32BD1" w:rsidRPr="00CC14C6">
        <w:rPr>
          <w:rFonts w:asciiTheme="minorHAnsi" w:hAnsiTheme="minorHAnsi"/>
          <w:bCs/>
          <w:sz w:val="24"/>
          <w:szCs w:val="24"/>
          <w:lang w:val="en-GB"/>
        </w:rPr>
        <w:t xml:space="preserve">the </w:t>
      </w:r>
      <w:r w:rsidR="00A32BD1" w:rsidRPr="00A526E5">
        <w:rPr>
          <w:rFonts w:asciiTheme="minorHAnsi" w:hAnsiTheme="minorHAnsi"/>
          <w:bCs/>
          <w:sz w:val="24"/>
          <w:szCs w:val="24"/>
          <w:lang w:val="en-GB"/>
        </w:rPr>
        <w:t>pom</w:t>
      </w:r>
      <w:r w:rsidR="00A526E5">
        <w:rPr>
          <w:rFonts w:asciiTheme="minorHAnsi" w:hAnsiTheme="minorHAnsi"/>
          <w:bCs/>
          <w:sz w:val="24"/>
          <w:szCs w:val="24"/>
          <w:lang w:val="en-GB"/>
        </w:rPr>
        <w:t>a</w:t>
      </w:r>
      <w:r w:rsidR="00A32BD1" w:rsidRPr="00A526E5">
        <w:rPr>
          <w:rFonts w:asciiTheme="minorHAnsi" w:hAnsiTheme="minorHAnsi"/>
          <w:bCs/>
          <w:sz w:val="24"/>
          <w:szCs w:val="24"/>
          <w:lang w:val="en-GB"/>
        </w:rPr>
        <w:t xml:space="preserve">lidomide restriction to </w:t>
      </w:r>
      <w:r w:rsidR="00A526E5">
        <w:rPr>
          <w:rFonts w:asciiTheme="minorHAnsi" w:eastAsiaTheme="minorHAnsi" w:hAnsiTheme="minorHAnsi" w:cstheme="minorBidi"/>
          <w:snapToGrid/>
          <w:sz w:val="24"/>
          <w:szCs w:val="22"/>
        </w:rPr>
        <w:t>enable access to pomalidomide</w:t>
      </w:r>
      <w:r w:rsidR="00CC14C6" w:rsidRPr="004D1CB0">
        <w:rPr>
          <w:rFonts w:asciiTheme="minorHAnsi" w:eastAsiaTheme="minorHAnsi" w:hAnsiTheme="minorHAnsi" w:cstheme="minorBidi"/>
          <w:snapToGrid/>
          <w:sz w:val="24"/>
          <w:szCs w:val="22"/>
        </w:rPr>
        <w:t xml:space="preserve"> </w:t>
      </w:r>
      <w:r w:rsidR="00A526E5">
        <w:rPr>
          <w:rFonts w:asciiTheme="minorHAnsi" w:eastAsiaTheme="minorHAnsi" w:hAnsiTheme="minorHAnsi" w:cstheme="minorBidi"/>
          <w:snapToGrid/>
          <w:sz w:val="24"/>
          <w:szCs w:val="22"/>
        </w:rPr>
        <w:t>after</w:t>
      </w:r>
      <w:r w:rsidR="00CC14C6" w:rsidRPr="004D1CB0">
        <w:rPr>
          <w:rFonts w:asciiTheme="minorHAnsi" w:eastAsiaTheme="minorHAnsi" w:hAnsiTheme="minorHAnsi" w:cstheme="minorBidi"/>
          <w:snapToGrid/>
          <w:sz w:val="24"/>
          <w:szCs w:val="22"/>
        </w:rPr>
        <w:t xml:space="preserve"> use of carfilzomib</w:t>
      </w:r>
      <w:r w:rsidR="00CC14C6">
        <w:rPr>
          <w:rFonts w:asciiTheme="minorHAnsi" w:eastAsiaTheme="minorHAnsi" w:hAnsiTheme="minorHAnsi" w:cstheme="minorBidi"/>
          <w:snapToGrid/>
          <w:sz w:val="24"/>
          <w:szCs w:val="22"/>
        </w:rPr>
        <w:t>, rather than bortezomib, specifically</w:t>
      </w:r>
      <w:r w:rsidR="00A32BD1" w:rsidRPr="00A526E5">
        <w:rPr>
          <w:rFonts w:asciiTheme="minorHAnsi" w:eastAsiaTheme="minorHAnsi" w:hAnsiTheme="minorHAnsi" w:cstheme="minorBidi"/>
          <w:snapToGrid/>
          <w:sz w:val="24"/>
          <w:szCs w:val="22"/>
        </w:rPr>
        <w:t>.</w:t>
      </w:r>
      <w:r w:rsidR="00A32BD1" w:rsidRPr="00A526E5">
        <w:rPr>
          <w:rFonts w:asciiTheme="minorHAnsi" w:hAnsiTheme="minorHAnsi"/>
          <w:bCs/>
          <w:sz w:val="24"/>
          <w:szCs w:val="24"/>
          <w:lang w:val="en-GB" w:eastAsia="en-AU"/>
        </w:rPr>
        <w:t xml:space="preserve"> </w:t>
      </w:r>
      <w:r w:rsidR="005068D8" w:rsidRPr="00A526E5">
        <w:rPr>
          <w:rFonts w:asciiTheme="minorHAnsi" w:hAnsiTheme="minorHAnsi"/>
          <w:bCs/>
          <w:sz w:val="24"/>
          <w:szCs w:val="24"/>
          <w:lang w:val="en-GB" w:eastAsia="en-AU"/>
        </w:rPr>
        <w:t xml:space="preserve">The PBAC considered that </w:t>
      </w:r>
      <w:r w:rsidR="00A32BD1" w:rsidRPr="00A526E5">
        <w:rPr>
          <w:rFonts w:asciiTheme="minorHAnsi" w:hAnsiTheme="minorHAnsi"/>
          <w:bCs/>
          <w:sz w:val="24"/>
          <w:szCs w:val="24"/>
          <w:lang w:val="en-GB" w:eastAsia="en-AU"/>
        </w:rPr>
        <w:t>while there is merit in the request, the deficiencies in stakeholder consultation, evidence evaluation and cost assessment preclude a positive recommendation.</w:t>
      </w:r>
    </w:p>
    <w:p w:rsidR="0049370B" w:rsidRDefault="005068D8" w:rsidP="00CC14C6">
      <w:pPr>
        <w:widowControl w:val="0"/>
        <w:numPr>
          <w:ilvl w:val="1"/>
          <w:numId w:val="5"/>
        </w:numPr>
        <w:spacing w:after="120"/>
        <w:jc w:val="both"/>
        <w:rPr>
          <w:rFonts w:asciiTheme="minorHAnsi" w:hAnsiTheme="minorHAnsi" w:cs="Arial"/>
          <w:bCs/>
          <w:snapToGrid w:val="0"/>
          <w:lang w:val="en-GB"/>
        </w:rPr>
      </w:pPr>
      <w:r w:rsidRPr="00CC14C6">
        <w:rPr>
          <w:rFonts w:asciiTheme="minorHAnsi" w:hAnsiTheme="minorHAnsi" w:cs="Arial"/>
          <w:bCs/>
          <w:snapToGrid w:val="0"/>
          <w:lang w:val="en-GB"/>
        </w:rPr>
        <w:t xml:space="preserve">The PBAC </w:t>
      </w:r>
      <w:r w:rsidR="006A7330" w:rsidRPr="00CC14C6">
        <w:rPr>
          <w:rFonts w:asciiTheme="minorHAnsi" w:hAnsiTheme="minorHAnsi" w:cs="Arial"/>
          <w:bCs/>
          <w:snapToGrid w:val="0"/>
          <w:lang w:val="en-GB"/>
        </w:rPr>
        <w:t xml:space="preserve">considered the data from the ENDEVOUR trial showing use of pomalidomide </w:t>
      </w:r>
      <w:r w:rsidR="006A7330" w:rsidRPr="00CC14C6">
        <w:rPr>
          <w:rFonts w:asciiTheme="minorHAnsi" w:hAnsiTheme="minorHAnsi" w:cs="Arial"/>
          <w:bCs/>
          <w:snapToGrid w:val="0"/>
          <w:lang w:val="en-GB"/>
        </w:rPr>
        <w:lastRenderedPageBreak/>
        <w:t>after carfilzomib</w:t>
      </w:r>
      <w:r w:rsidR="006A7330" w:rsidRPr="00A526E5">
        <w:rPr>
          <w:rFonts w:asciiTheme="minorHAnsi" w:hAnsiTheme="minorHAnsi" w:cs="Arial"/>
          <w:bCs/>
          <w:snapToGrid w:val="0"/>
          <w:lang w:val="en-GB"/>
        </w:rPr>
        <w:t xml:space="preserve"> </w:t>
      </w:r>
      <w:r w:rsidR="00536BE2" w:rsidRPr="00A526E5">
        <w:rPr>
          <w:rFonts w:asciiTheme="minorHAnsi" w:hAnsiTheme="minorHAnsi" w:cs="Arial"/>
          <w:bCs/>
          <w:snapToGrid w:val="0"/>
          <w:lang w:val="en-GB"/>
        </w:rPr>
        <w:t>in approximately 16% of patients did not establish the need o</w:t>
      </w:r>
      <w:r w:rsidR="00CC14C6" w:rsidRPr="00A526E5">
        <w:rPr>
          <w:rFonts w:asciiTheme="minorHAnsi" w:hAnsiTheme="minorHAnsi" w:cs="Arial"/>
          <w:bCs/>
          <w:snapToGrid w:val="0"/>
          <w:lang w:val="en-GB"/>
        </w:rPr>
        <w:t>r</w:t>
      </w:r>
      <w:r w:rsidR="00536BE2" w:rsidRPr="00A526E5">
        <w:rPr>
          <w:rFonts w:asciiTheme="minorHAnsi" w:hAnsiTheme="minorHAnsi" w:cs="Arial"/>
          <w:bCs/>
          <w:snapToGrid w:val="0"/>
          <w:lang w:val="en-GB"/>
        </w:rPr>
        <w:t xml:space="preserve"> efficacy of this sequence of treatments. </w:t>
      </w:r>
      <w:r w:rsidR="00CC14C6">
        <w:rPr>
          <w:rFonts w:asciiTheme="minorHAnsi" w:hAnsiTheme="minorHAnsi" w:cs="Arial"/>
          <w:bCs/>
          <w:snapToGrid w:val="0"/>
          <w:lang w:val="en-GB"/>
        </w:rPr>
        <w:t>Also, t</w:t>
      </w:r>
      <w:r w:rsidR="0049370B" w:rsidRPr="00CC14C6">
        <w:rPr>
          <w:rFonts w:asciiTheme="minorHAnsi" w:hAnsiTheme="minorHAnsi" w:cs="Arial"/>
          <w:bCs/>
          <w:snapToGrid w:val="0"/>
          <w:lang w:val="en-GB"/>
        </w:rPr>
        <w:t>he Tomar et al study was a small, unevaluated trial and the subgroup analysis</w:t>
      </w:r>
      <w:r w:rsidR="0049370B" w:rsidRPr="00A526E5">
        <w:rPr>
          <w:rFonts w:asciiTheme="minorHAnsi" w:hAnsiTheme="minorHAnsi" w:cs="Arial"/>
          <w:bCs/>
          <w:snapToGrid w:val="0"/>
          <w:lang w:val="en-GB"/>
        </w:rPr>
        <w:t xml:space="preserve"> did not provide data on durability of responses. The PBAC </w:t>
      </w:r>
      <w:r w:rsidR="000F594C" w:rsidRPr="00A526E5">
        <w:rPr>
          <w:rFonts w:asciiTheme="minorHAnsi" w:hAnsiTheme="minorHAnsi" w:cs="Arial"/>
          <w:bCs/>
          <w:snapToGrid w:val="0"/>
          <w:lang w:val="en-GB"/>
        </w:rPr>
        <w:t>considered</w:t>
      </w:r>
      <w:r w:rsidR="0049370B" w:rsidRPr="00A526E5">
        <w:rPr>
          <w:rFonts w:asciiTheme="minorHAnsi" w:hAnsiTheme="minorHAnsi" w:cs="Arial"/>
          <w:bCs/>
          <w:snapToGrid w:val="0"/>
          <w:lang w:val="en-GB"/>
        </w:rPr>
        <w:t xml:space="preserve"> it was unclear fr</w:t>
      </w:r>
      <w:r w:rsidR="00CC14C6">
        <w:rPr>
          <w:rFonts w:asciiTheme="minorHAnsi" w:hAnsiTheme="minorHAnsi" w:cs="Arial"/>
          <w:bCs/>
          <w:snapToGrid w:val="0"/>
          <w:lang w:val="en-GB"/>
        </w:rPr>
        <w:t>o</w:t>
      </w:r>
      <w:r w:rsidR="0049370B" w:rsidRPr="00CC14C6">
        <w:rPr>
          <w:rFonts w:asciiTheme="minorHAnsi" w:hAnsiTheme="minorHAnsi" w:cs="Arial"/>
          <w:bCs/>
          <w:snapToGrid w:val="0"/>
          <w:lang w:val="en-GB"/>
        </w:rPr>
        <w:t>m the evidence presented whether the response</w:t>
      </w:r>
      <w:r w:rsidR="00CC14C6">
        <w:rPr>
          <w:rFonts w:asciiTheme="minorHAnsi" w:hAnsiTheme="minorHAnsi" w:cs="Arial"/>
          <w:bCs/>
          <w:snapToGrid w:val="0"/>
          <w:lang w:val="en-GB"/>
        </w:rPr>
        <w:t>s</w:t>
      </w:r>
      <w:r w:rsidR="0049370B" w:rsidRPr="00CC14C6">
        <w:rPr>
          <w:rFonts w:asciiTheme="minorHAnsi" w:hAnsiTheme="minorHAnsi" w:cs="Arial"/>
          <w:bCs/>
          <w:snapToGrid w:val="0"/>
          <w:lang w:val="en-GB"/>
        </w:rPr>
        <w:t xml:space="preserve"> to </w:t>
      </w:r>
      <w:r w:rsidR="00A526E5" w:rsidRPr="00CC14C6">
        <w:rPr>
          <w:rFonts w:asciiTheme="minorHAnsi" w:hAnsiTheme="minorHAnsi" w:cs="Arial"/>
          <w:bCs/>
          <w:snapToGrid w:val="0"/>
          <w:lang w:val="en-GB"/>
        </w:rPr>
        <w:t>pomalidomide</w:t>
      </w:r>
      <w:r w:rsidR="0049370B" w:rsidRPr="00CC14C6">
        <w:rPr>
          <w:rFonts w:asciiTheme="minorHAnsi" w:hAnsiTheme="minorHAnsi" w:cs="Arial"/>
          <w:bCs/>
          <w:snapToGrid w:val="0"/>
          <w:lang w:val="en-GB"/>
        </w:rPr>
        <w:t xml:space="preserve"> </w:t>
      </w:r>
      <w:r w:rsidR="004C0CD0">
        <w:rPr>
          <w:rFonts w:asciiTheme="minorHAnsi" w:hAnsiTheme="minorHAnsi" w:cs="Arial"/>
          <w:bCs/>
          <w:snapToGrid w:val="0"/>
          <w:lang w:val="en-GB"/>
        </w:rPr>
        <w:t>immediately following</w:t>
      </w:r>
      <w:r w:rsidR="004C0CD0" w:rsidRPr="00CC14C6">
        <w:rPr>
          <w:rFonts w:asciiTheme="minorHAnsi" w:hAnsiTheme="minorHAnsi" w:cs="Arial"/>
          <w:bCs/>
          <w:snapToGrid w:val="0"/>
          <w:lang w:val="en-GB"/>
        </w:rPr>
        <w:t xml:space="preserve"> </w:t>
      </w:r>
      <w:r w:rsidR="0049370B" w:rsidRPr="00CC14C6">
        <w:rPr>
          <w:rFonts w:asciiTheme="minorHAnsi" w:hAnsiTheme="minorHAnsi" w:cs="Arial"/>
          <w:bCs/>
          <w:snapToGrid w:val="0"/>
          <w:lang w:val="en-GB"/>
        </w:rPr>
        <w:t>carfilzomib were statistically or clinically meaningful.</w:t>
      </w:r>
    </w:p>
    <w:p w:rsidR="00125FFC" w:rsidRDefault="00A23952" w:rsidP="00CC14C6">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the </w:t>
      </w:r>
      <w:r w:rsidR="00125FFC">
        <w:rPr>
          <w:rFonts w:asciiTheme="minorHAnsi" w:hAnsiTheme="minorHAnsi" w:cs="Arial"/>
          <w:bCs/>
          <w:snapToGrid w:val="0"/>
          <w:lang w:val="en-GB"/>
        </w:rPr>
        <w:t xml:space="preserve">submission’s </w:t>
      </w:r>
      <w:r>
        <w:rPr>
          <w:rFonts w:asciiTheme="minorHAnsi" w:hAnsiTheme="minorHAnsi" w:cs="Arial"/>
          <w:bCs/>
          <w:snapToGrid w:val="0"/>
          <w:lang w:val="en-GB"/>
        </w:rPr>
        <w:t xml:space="preserve">concern that the current treatment algorithm may require patients </w:t>
      </w:r>
      <w:r w:rsidRPr="00921696">
        <w:rPr>
          <w:rFonts w:asciiTheme="minorHAnsi" w:hAnsiTheme="minorHAnsi"/>
        </w:rPr>
        <w:t xml:space="preserve">who progress on carfilzomib and require subsequent pomalidomide </w:t>
      </w:r>
      <w:r>
        <w:rPr>
          <w:rFonts w:asciiTheme="minorHAnsi" w:hAnsiTheme="minorHAnsi"/>
        </w:rPr>
        <w:t>to be treated with an</w:t>
      </w:r>
      <w:r w:rsidRPr="00921696">
        <w:rPr>
          <w:rFonts w:asciiTheme="minorHAnsi" w:hAnsiTheme="minorHAnsi"/>
        </w:rPr>
        <w:t xml:space="preserve"> additional line of therapy with bortezomib</w:t>
      </w:r>
      <w:r w:rsidR="001276ED">
        <w:rPr>
          <w:rFonts w:asciiTheme="minorHAnsi" w:hAnsiTheme="minorHAnsi"/>
        </w:rPr>
        <w:t>,</w:t>
      </w:r>
      <w:r w:rsidRPr="00921696">
        <w:rPr>
          <w:rFonts w:asciiTheme="minorHAnsi" w:hAnsiTheme="minorHAnsi"/>
        </w:rPr>
        <w:t xml:space="preserve"> if they have not received prior bortezomib, in order to access pomalidomide</w:t>
      </w:r>
      <w:r>
        <w:rPr>
          <w:rFonts w:asciiTheme="minorHAnsi" w:hAnsiTheme="minorHAnsi" w:cs="Arial"/>
          <w:bCs/>
          <w:snapToGrid w:val="0"/>
          <w:lang w:val="en-GB"/>
        </w:rPr>
        <w:t xml:space="preserve">. </w:t>
      </w:r>
      <w:r w:rsidR="001276ED">
        <w:rPr>
          <w:rFonts w:asciiTheme="minorHAnsi" w:hAnsiTheme="minorHAnsi" w:cs="Arial"/>
          <w:bCs/>
          <w:snapToGrid w:val="0"/>
          <w:lang w:val="en-GB"/>
        </w:rPr>
        <w:t>The PBAC considered</w:t>
      </w:r>
      <w:r>
        <w:rPr>
          <w:rFonts w:asciiTheme="minorHAnsi" w:hAnsiTheme="minorHAnsi" w:cs="Arial"/>
          <w:bCs/>
          <w:snapToGrid w:val="0"/>
          <w:lang w:val="en-GB"/>
        </w:rPr>
        <w:t xml:space="preserve"> bortezomib was unlikely to be effective after failure of carfilzomib, </w:t>
      </w:r>
      <w:r w:rsidR="001276ED">
        <w:rPr>
          <w:rFonts w:asciiTheme="minorHAnsi" w:hAnsiTheme="minorHAnsi" w:cs="Arial"/>
          <w:bCs/>
          <w:snapToGrid w:val="0"/>
          <w:lang w:val="en-GB"/>
        </w:rPr>
        <w:t>although</w:t>
      </w:r>
      <w:r>
        <w:rPr>
          <w:rFonts w:asciiTheme="minorHAnsi" w:hAnsiTheme="minorHAnsi" w:cs="Arial"/>
          <w:bCs/>
          <w:snapToGrid w:val="0"/>
          <w:lang w:val="en-GB"/>
        </w:rPr>
        <w:t xml:space="preserve"> </w:t>
      </w:r>
      <w:r w:rsidR="001276ED">
        <w:rPr>
          <w:rFonts w:asciiTheme="minorHAnsi" w:hAnsiTheme="minorHAnsi" w:cs="Arial"/>
          <w:bCs/>
          <w:snapToGrid w:val="0"/>
          <w:lang w:val="en-GB"/>
        </w:rPr>
        <w:t xml:space="preserve">it may still be effective </w:t>
      </w:r>
      <w:r w:rsidR="00125FFC">
        <w:rPr>
          <w:rFonts w:asciiTheme="minorHAnsi" w:hAnsiTheme="minorHAnsi" w:cs="Arial"/>
          <w:bCs/>
          <w:snapToGrid w:val="0"/>
          <w:lang w:val="en-GB"/>
        </w:rPr>
        <w:t>in</w:t>
      </w:r>
      <w:r w:rsidR="001276ED">
        <w:rPr>
          <w:rFonts w:asciiTheme="minorHAnsi" w:hAnsiTheme="minorHAnsi" w:cs="Arial"/>
          <w:bCs/>
          <w:snapToGrid w:val="0"/>
          <w:lang w:val="en-GB"/>
        </w:rPr>
        <w:t xml:space="preserve"> patients who cease carfilzomib due to toxicity. </w:t>
      </w:r>
    </w:p>
    <w:p w:rsidR="002901EC" w:rsidRDefault="001276ED" w:rsidP="00CC14C6">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proposed restriction change may improve the chances that clinicians would choose carfilzomib over bortezomib in </w:t>
      </w:r>
      <w:r w:rsidR="004C0CD0">
        <w:rPr>
          <w:rFonts w:asciiTheme="minorHAnsi" w:hAnsiTheme="minorHAnsi" w:cs="Arial"/>
          <w:bCs/>
          <w:snapToGrid w:val="0"/>
          <w:lang w:val="en-GB"/>
        </w:rPr>
        <w:t xml:space="preserve">the </w:t>
      </w:r>
      <w:r>
        <w:rPr>
          <w:rFonts w:asciiTheme="minorHAnsi" w:hAnsiTheme="minorHAnsi" w:cs="Arial"/>
          <w:bCs/>
          <w:snapToGrid w:val="0"/>
          <w:lang w:val="en-GB"/>
        </w:rPr>
        <w:t>second-line</w:t>
      </w:r>
      <w:r w:rsidR="004C0CD0">
        <w:rPr>
          <w:rFonts w:asciiTheme="minorHAnsi" w:hAnsiTheme="minorHAnsi" w:cs="Arial"/>
          <w:bCs/>
          <w:snapToGrid w:val="0"/>
          <w:lang w:val="en-GB"/>
        </w:rPr>
        <w:t xml:space="preserve"> setting</w:t>
      </w:r>
      <w:r>
        <w:rPr>
          <w:rFonts w:asciiTheme="minorHAnsi" w:hAnsiTheme="minorHAnsi" w:cs="Arial"/>
          <w:bCs/>
          <w:snapToGrid w:val="0"/>
          <w:lang w:val="en-GB"/>
        </w:rPr>
        <w:t xml:space="preserve"> post lenalidomide. However, the </w:t>
      </w:r>
      <w:r w:rsidR="00125FFC">
        <w:rPr>
          <w:rFonts w:asciiTheme="minorHAnsi" w:hAnsiTheme="minorHAnsi" w:cs="Arial"/>
          <w:bCs/>
          <w:snapToGrid w:val="0"/>
          <w:lang w:val="en-GB"/>
        </w:rPr>
        <w:t>PBAC</w:t>
      </w:r>
      <w:r>
        <w:rPr>
          <w:rFonts w:asciiTheme="minorHAnsi" w:hAnsiTheme="minorHAnsi" w:cs="Arial"/>
          <w:bCs/>
          <w:snapToGrid w:val="0"/>
          <w:lang w:val="en-GB"/>
        </w:rPr>
        <w:t xml:space="preserve"> considered </w:t>
      </w:r>
      <w:r w:rsidR="00A23952">
        <w:rPr>
          <w:rFonts w:asciiTheme="minorHAnsi" w:hAnsiTheme="minorHAnsi" w:cs="Arial"/>
          <w:bCs/>
          <w:snapToGrid w:val="0"/>
          <w:lang w:val="en-GB"/>
        </w:rPr>
        <w:t>there</w:t>
      </w:r>
      <w:r>
        <w:rPr>
          <w:rFonts w:asciiTheme="minorHAnsi" w:hAnsiTheme="minorHAnsi" w:cs="Arial"/>
          <w:bCs/>
          <w:snapToGrid w:val="0"/>
          <w:lang w:val="en-GB"/>
        </w:rPr>
        <w:t xml:space="preserve"> may be unintended consequences, such as </w:t>
      </w:r>
      <w:r w:rsidR="00DD18A7">
        <w:rPr>
          <w:rFonts w:asciiTheme="minorHAnsi" w:hAnsiTheme="minorHAnsi" w:cs="Arial"/>
          <w:bCs/>
          <w:snapToGrid w:val="0"/>
          <w:lang w:val="en-GB"/>
        </w:rPr>
        <w:t>inappropriately requiring carfilzomib before pom</w:t>
      </w:r>
      <w:r w:rsidR="002901EC">
        <w:rPr>
          <w:rFonts w:asciiTheme="minorHAnsi" w:hAnsiTheme="minorHAnsi" w:cs="Arial"/>
          <w:bCs/>
          <w:snapToGrid w:val="0"/>
          <w:lang w:val="en-GB"/>
        </w:rPr>
        <w:t>a</w:t>
      </w:r>
      <w:r w:rsidR="00DD18A7">
        <w:rPr>
          <w:rFonts w:asciiTheme="minorHAnsi" w:hAnsiTheme="minorHAnsi" w:cs="Arial"/>
          <w:bCs/>
          <w:snapToGrid w:val="0"/>
          <w:lang w:val="en-GB"/>
        </w:rPr>
        <w:t>lidomide if patients are intolerant to bortezomib, or accepting</w:t>
      </w:r>
      <w:r w:rsidR="00125FFC">
        <w:rPr>
          <w:rFonts w:asciiTheme="minorHAnsi" w:hAnsiTheme="minorHAnsi" w:cs="Arial"/>
          <w:bCs/>
          <w:snapToGrid w:val="0"/>
          <w:lang w:val="en-GB"/>
        </w:rPr>
        <w:t>, as proposed in the restriction, that</w:t>
      </w:r>
      <w:r w:rsidR="00DD18A7">
        <w:rPr>
          <w:rFonts w:asciiTheme="minorHAnsi" w:hAnsiTheme="minorHAnsi" w:cs="Arial"/>
          <w:bCs/>
          <w:snapToGrid w:val="0"/>
          <w:lang w:val="en-GB"/>
        </w:rPr>
        <w:t xml:space="preserve"> patients naïve to bortezomib and intolerant to carfilzomib </w:t>
      </w:r>
      <w:r w:rsidR="00125FFC">
        <w:rPr>
          <w:rFonts w:asciiTheme="minorHAnsi" w:hAnsiTheme="minorHAnsi" w:cs="Arial"/>
          <w:bCs/>
          <w:snapToGrid w:val="0"/>
          <w:lang w:val="en-GB"/>
        </w:rPr>
        <w:t xml:space="preserve">could </w:t>
      </w:r>
      <w:r w:rsidR="00DD18A7">
        <w:rPr>
          <w:rFonts w:asciiTheme="minorHAnsi" w:hAnsiTheme="minorHAnsi" w:cs="Arial"/>
          <w:bCs/>
          <w:snapToGrid w:val="0"/>
          <w:lang w:val="en-GB"/>
        </w:rPr>
        <w:t xml:space="preserve">access pomalidomide. </w:t>
      </w:r>
      <w:r w:rsidR="00125FFC">
        <w:rPr>
          <w:rFonts w:asciiTheme="minorHAnsi" w:hAnsiTheme="minorHAnsi" w:cs="Arial"/>
          <w:bCs/>
          <w:snapToGrid w:val="0"/>
          <w:lang w:val="en-GB"/>
        </w:rPr>
        <w:t>The PBAC noted that the original pomalidomide recommendation w</w:t>
      </w:r>
      <w:r w:rsidR="00D83A4E">
        <w:rPr>
          <w:rFonts w:asciiTheme="minorHAnsi" w:hAnsiTheme="minorHAnsi" w:cs="Arial"/>
          <w:bCs/>
          <w:snapToGrid w:val="0"/>
          <w:lang w:val="en-GB"/>
        </w:rPr>
        <w:t>a</w:t>
      </w:r>
      <w:r w:rsidR="00125FFC">
        <w:rPr>
          <w:rFonts w:asciiTheme="minorHAnsi" w:hAnsiTheme="minorHAnsi" w:cs="Arial"/>
          <w:bCs/>
          <w:snapToGrid w:val="0"/>
          <w:lang w:val="en-GB"/>
        </w:rPr>
        <w:t xml:space="preserve">s based on modest activity in </w:t>
      </w:r>
      <w:r w:rsidR="00D83A4E">
        <w:rPr>
          <w:rFonts w:asciiTheme="minorHAnsi" w:hAnsiTheme="minorHAnsi" w:cs="Arial"/>
          <w:bCs/>
          <w:snapToGrid w:val="0"/>
          <w:lang w:val="en-GB"/>
        </w:rPr>
        <w:t>patients</w:t>
      </w:r>
      <w:r w:rsidR="00125FFC">
        <w:rPr>
          <w:rFonts w:asciiTheme="minorHAnsi" w:hAnsiTheme="minorHAnsi" w:cs="Arial"/>
          <w:bCs/>
          <w:snapToGrid w:val="0"/>
          <w:lang w:val="en-GB"/>
        </w:rPr>
        <w:t xml:space="preserve"> </w:t>
      </w:r>
      <w:r w:rsidR="00A73223">
        <w:rPr>
          <w:rFonts w:asciiTheme="minorHAnsi" w:hAnsiTheme="minorHAnsi" w:cs="Arial"/>
          <w:bCs/>
          <w:snapToGrid w:val="0"/>
          <w:lang w:val="en-GB"/>
        </w:rPr>
        <w:t xml:space="preserve">whose myeloma was </w:t>
      </w:r>
      <w:r w:rsidR="00125FFC">
        <w:rPr>
          <w:rFonts w:asciiTheme="minorHAnsi" w:hAnsiTheme="minorHAnsi" w:cs="Arial"/>
          <w:bCs/>
          <w:snapToGrid w:val="0"/>
          <w:lang w:val="en-GB"/>
        </w:rPr>
        <w:t xml:space="preserve">refractory to both lenalidomide and bortezomib, and the tight restriction </w:t>
      </w:r>
      <w:r w:rsidR="002901EC">
        <w:rPr>
          <w:rFonts w:asciiTheme="minorHAnsi" w:hAnsiTheme="minorHAnsi" w:cs="Arial"/>
          <w:bCs/>
          <w:snapToGrid w:val="0"/>
          <w:lang w:val="en-GB"/>
        </w:rPr>
        <w:t>reflected</w:t>
      </w:r>
      <w:r w:rsidR="00125FFC">
        <w:rPr>
          <w:rFonts w:asciiTheme="minorHAnsi" w:hAnsiTheme="minorHAnsi" w:cs="Arial"/>
          <w:bCs/>
          <w:snapToGrid w:val="0"/>
          <w:lang w:val="en-GB"/>
        </w:rPr>
        <w:t xml:space="preserve"> this evidence and the high incremental cost effectiveness</w:t>
      </w:r>
      <w:r w:rsidR="00231FC3">
        <w:rPr>
          <w:rFonts w:asciiTheme="minorHAnsi" w:hAnsiTheme="minorHAnsi" w:cs="Arial"/>
          <w:bCs/>
          <w:snapToGrid w:val="0"/>
          <w:lang w:val="en-GB"/>
        </w:rPr>
        <w:t xml:space="preserve"> of the pomalidomide listing</w:t>
      </w:r>
      <w:r w:rsidR="00125FFC">
        <w:rPr>
          <w:rFonts w:asciiTheme="minorHAnsi" w:hAnsiTheme="minorHAnsi" w:cs="Arial"/>
          <w:bCs/>
          <w:snapToGrid w:val="0"/>
          <w:lang w:val="en-GB"/>
        </w:rPr>
        <w:t>.</w:t>
      </w:r>
      <w:r w:rsidR="00DD18A7">
        <w:rPr>
          <w:rFonts w:asciiTheme="minorHAnsi" w:hAnsiTheme="minorHAnsi" w:cs="Arial"/>
          <w:bCs/>
          <w:snapToGrid w:val="0"/>
          <w:lang w:val="en-GB"/>
        </w:rPr>
        <w:t xml:space="preserve"> </w:t>
      </w:r>
    </w:p>
    <w:p w:rsidR="00CC14C6" w:rsidRDefault="00125FFC" w:rsidP="00CC14C6">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w:t>
      </w:r>
      <w:r w:rsidR="002901EC">
        <w:rPr>
          <w:rFonts w:asciiTheme="minorHAnsi" w:hAnsiTheme="minorHAnsi" w:cs="Arial"/>
          <w:bCs/>
          <w:snapToGrid w:val="0"/>
          <w:lang w:val="en-GB"/>
        </w:rPr>
        <w:t xml:space="preserve">PBAC noted the </w:t>
      </w:r>
      <w:r>
        <w:rPr>
          <w:rFonts w:asciiTheme="minorHAnsi" w:hAnsiTheme="minorHAnsi" w:cs="Arial"/>
          <w:bCs/>
          <w:snapToGrid w:val="0"/>
          <w:lang w:val="en-GB"/>
        </w:rPr>
        <w:t>proposed change to the pom</w:t>
      </w:r>
      <w:r w:rsidR="002901EC">
        <w:rPr>
          <w:rFonts w:asciiTheme="minorHAnsi" w:hAnsiTheme="minorHAnsi" w:cs="Arial"/>
          <w:bCs/>
          <w:snapToGrid w:val="0"/>
          <w:lang w:val="en-GB"/>
        </w:rPr>
        <w:t>a</w:t>
      </w:r>
      <w:r>
        <w:rPr>
          <w:rFonts w:asciiTheme="minorHAnsi" w:hAnsiTheme="minorHAnsi" w:cs="Arial"/>
          <w:bCs/>
          <w:snapToGrid w:val="0"/>
          <w:lang w:val="en-GB"/>
        </w:rPr>
        <w:t xml:space="preserve">lidomide restriction </w:t>
      </w:r>
      <w:r w:rsidR="0003141A">
        <w:rPr>
          <w:rFonts w:asciiTheme="minorHAnsi" w:hAnsiTheme="minorHAnsi" w:cs="Arial"/>
          <w:bCs/>
          <w:snapToGrid w:val="0"/>
          <w:lang w:val="en-GB"/>
        </w:rPr>
        <w:t>was not supported by</w:t>
      </w:r>
      <w:r>
        <w:rPr>
          <w:rFonts w:asciiTheme="minorHAnsi" w:hAnsiTheme="minorHAnsi" w:cs="Arial"/>
          <w:bCs/>
          <w:snapToGrid w:val="0"/>
          <w:lang w:val="en-GB"/>
        </w:rPr>
        <w:t xml:space="preserve"> trial evidence, and there is a risk of loss of cost-effectiveness for pomalidomide use.</w:t>
      </w:r>
      <w:r w:rsidR="002901EC" w:rsidRPr="002901EC">
        <w:rPr>
          <w:rFonts w:asciiTheme="minorHAnsi" w:hAnsiTheme="minorHAnsi" w:cs="Arial"/>
          <w:bCs/>
          <w:snapToGrid w:val="0"/>
          <w:lang w:val="en-GB"/>
        </w:rPr>
        <w:t xml:space="preserve"> </w:t>
      </w:r>
      <w:r w:rsidR="002901EC">
        <w:rPr>
          <w:rFonts w:asciiTheme="minorHAnsi" w:hAnsiTheme="minorHAnsi" w:cs="Arial"/>
          <w:bCs/>
          <w:snapToGrid w:val="0"/>
          <w:lang w:val="en-GB"/>
        </w:rPr>
        <w:t xml:space="preserve">The PBAC also noted that no costings were provided for the change to the pomalidomide restriction. </w:t>
      </w:r>
    </w:p>
    <w:p w:rsidR="00125FFC" w:rsidRDefault="00125FFC" w:rsidP="00CC14C6">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w:t>
      </w:r>
      <w:r w:rsidR="00D83A4E">
        <w:rPr>
          <w:rFonts w:asciiTheme="minorHAnsi" w:hAnsiTheme="minorHAnsi" w:cs="Arial"/>
          <w:bCs/>
          <w:snapToGrid w:val="0"/>
          <w:lang w:val="en-GB"/>
        </w:rPr>
        <w:t xml:space="preserve">PBAC considered another deficiency of the submission was the lack of evidence </w:t>
      </w:r>
      <w:r w:rsidR="00A73223">
        <w:rPr>
          <w:rFonts w:asciiTheme="minorHAnsi" w:hAnsiTheme="minorHAnsi" w:cs="Arial"/>
          <w:bCs/>
          <w:snapToGrid w:val="0"/>
          <w:lang w:val="en-GB"/>
        </w:rPr>
        <w:t xml:space="preserve">for there being </w:t>
      </w:r>
      <w:r w:rsidR="00D83A4E">
        <w:rPr>
          <w:rFonts w:asciiTheme="minorHAnsi" w:hAnsiTheme="minorHAnsi" w:cs="Arial"/>
          <w:bCs/>
          <w:snapToGrid w:val="0"/>
          <w:lang w:val="en-GB"/>
        </w:rPr>
        <w:t xml:space="preserve">a major need </w:t>
      </w:r>
      <w:r w:rsidR="00A73223">
        <w:rPr>
          <w:rFonts w:asciiTheme="minorHAnsi" w:hAnsiTheme="minorHAnsi" w:cs="Arial"/>
          <w:bCs/>
          <w:snapToGrid w:val="0"/>
          <w:lang w:val="en-GB"/>
        </w:rPr>
        <w:t xml:space="preserve">for this change </w:t>
      </w:r>
      <w:r w:rsidR="00D83A4E">
        <w:rPr>
          <w:rFonts w:asciiTheme="minorHAnsi" w:hAnsiTheme="minorHAnsi" w:cs="Arial"/>
          <w:bCs/>
          <w:snapToGrid w:val="0"/>
          <w:lang w:val="en-GB"/>
        </w:rPr>
        <w:t xml:space="preserve">from the patient or clinical community. </w:t>
      </w:r>
    </w:p>
    <w:p w:rsidR="00A526E5" w:rsidRDefault="00A526E5" w:rsidP="00A526E5">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the request for change was not from the sponsor of pom</w:t>
      </w:r>
      <w:r w:rsidR="007B43CE">
        <w:rPr>
          <w:rFonts w:asciiTheme="minorHAnsi" w:hAnsiTheme="minorHAnsi" w:cs="Arial"/>
          <w:bCs/>
          <w:snapToGrid w:val="0"/>
          <w:lang w:val="en-GB"/>
        </w:rPr>
        <w:t>a</w:t>
      </w:r>
      <w:r>
        <w:rPr>
          <w:rFonts w:asciiTheme="minorHAnsi" w:hAnsiTheme="minorHAnsi" w:cs="Arial"/>
          <w:bCs/>
          <w:snapToGrid w:val="0"/>
          <w:lang w:val="en-GB"/>
        </w:rPr>
        <w:t>lidomide, and that any such change would require consultation with the sponsor.</w:t>
      </w:r>
    </w:p>
    <w:p w:rsidR="00FE0B1F" w:rsidRPr="00525B39" w:rsidRDefault="001E5E06" w:rsidP="00FE0B1F">
      <w:pPr>
        <w:widowControl w:val="0"/>
        <w:numPr>
          <w:ilvl w:val="1"/>
          <w:numId w:val="5"/>
        </w:numPr>
        <w:spacing w:after="120"/>
        <w:jc w:val="both"/>
        <w:rPr>
          <w:rFonts w:asciiTheme="minorHAnsi" w:hAnsiTheme="minorHAnsi" w:cs="Arial"/>
          <w:bCs/>
          <w:snapToGrid w:val="0"/>
          <w:lang w:val="en-GB"/>
        </w:rPr>
      </w:pPr>
      <w:r w:rsidRPr="00525B39">
        <w:rPr>
          <w:rFonts w:asciiTheme="minorHAnsi" w:hAnsiTheme="minorHAnsi" w:cs="Arial"/>
          <w:bCs/>
          <w:snapToGrid w:val="0"/>
          <w:lang w:val="en-GB"/>
        </w:rPr>
        <w:t xml:space="preserve">The PBAC noted that this submission is not eligible for an Independent Review. </w:t>
      </w:r>
    </w:p>
    <w:p w:rsidR="001E5E06" w:rsidRPr="00525B39" w:rsidRDefault="001E5E06" w:rsidP="001E5E06">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1E5E06" w:rsidRPr="009A667B" w:rsidRDefault="001E5E06" w:rsidP="009A667B">
      <w:pPr>
        <w:jc w:val="both"/>
        <w:rPr>
          <w:rFonts w:asciiTheme="minorHAnsi" w:hAnsiTheme="minorHAnsi" w:cs="Arial"/>
          <w:bCs/>
          <w:snapToGrid w:val="0"/>
          <w:lang w:val="en-GB"/>
        </w:rPr>
      </w:pPr>
      <w:r w:rsidRPr="00525B39">
        <w:rPr>
          <w:rFonts w:asciiTheme="minorHAnsi" w:hAnsiTheme="minorHAnsi" w:cs="Arial"/>
          <w:bCs/>
          <w:snapToGrid w:val="0"/>
          <w:lang w:val="en-GB"/>
        </w:rPr>
        <w:t>Rejected</w:t>
      </w:r>
    </w:p>
    <w:p w:rsidR="00FD04AB" w:rsidRPr="00FD04AB" w:rsidRDefault="00C23B3F" w:rsidP="00C23B3F">
      <w:pPr>
        <w:pStyle w:val="PBACHeading1"/>
        <w:spacing w:before="240" w:after="120"/>
        <w:ind w:left="709" w:hanging="709"/>
        <w:rPr>
          <w:rFonts w:asciiTheme="minorHAnsi" w:hAnsiTheme="minorHAnsi"/>
          <w:sz w:val="32"/>
          <w:szCs w:val="32"/>
        </w:rPr>
      </w:pPr>
      <w:r w:rsidRPr="00FD04AB">
        <w:rPr>
          <w:rFonts w:asciiTheme="minorHAnsi" w:hAnsiTheme="minorHAnsi"/>
          <w:sz w:val="32"/>
          <w:szCs w:val="32"/>
        </w:rPr>
        <w:t>Context for Decision</w:t>
      </w:r>
    </w:p>
    <w:p w:rsidR="00C23B3F" w:rsidRPr="00FD04AB" w:rsidRDefault="00C23B3F" w:rsidP="00FB7439">
      <w:pPr>
        <w:spacing w:after="120"/>
        <w:ind w:left="720"/>
        <w:jc w:val="both"/>
        <w:rPr>
          <w:rFonts w:asciiTheme="minorHAnsi" w:eastAsiaTheme="minorHAnsi" w:hAnsiTheme="minorHAnsi"/>
        </w:rPr>
      </w:pPr>
      <w:r w:rsidRPr="00FD04AB">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23B3F" w:rsidRPr="00FD04AB" w:rsidRDefault="00C23B3F" w:rsidP="00FB7439">
      <w:pPr>
        <w:pStyle w:val="PBACHeading1"/>
        <w:spacing w:before="240" w:after="120"/>
        <w:ind w:left="709" w:hanging="709"/>
        <w:jc w:val="both"/>
        <w:rPr>
          <w:rFonts w:asciiTheme="minorHAnsi" w:hAnsiTheme="minorHAnsi"/>
          <w:sz w:val="32"/>
          <w:szCs w:val="32"/>
        </w:rPr>
      </w:pPr>
      <w:r w:rsidRPr="00FD04AB">
        <w:rPr>
          <w:rFonts w:asciiTheme="minorHAnsi" w:hAnsiTheme="minorHAnsi"/>
          <w:sz w:val="32"/>
          <w:szCs w:val="32"/>
        </w:rPr>
        <w:lastRenderedPageBreak/>
        <w:t>Sponsor’s Comment</w:t>
      </w:r>
    </w:p>
    <w:p w:rsidR="00C23B3F" w:rsidRPr="00FD04AB" w:rsidRDefault="00C23B3F" w:rsidP="00C23B3F">
      <w:pPr>
        <w:spacing w:after="120" w:line="276" w:lineRule="auto"/>
        <w:ind w:left="720"/>
        <w:rPr>
          <w:rFonts w:asciiTheme="minorHAnsi" w:eastAsiaTheme="minorHAnsi" w:hAnsiTheme="minorHAnsi"/>
          <w:bCs/>
        </w:rPr>
      </w:pPr>
      <w:r w:rsidRPr="00FD04AB">
        <w:rPr>
          <w:rFonts w:asciiTheme="minorHAnsi" w:eastAsiaTheme="minorHAnsi" w:hAnsiTheme="minorHAnsi"/>
          <w:bCs/>
        </w:rPr>
        <w:t>The sponsor had no comment.</w:t>
      </w:r>
    </w:p>
    <w:p w:rsidR="00C23B3F" w:rsidRPr="00525B39" w:rsidRDefault="00C23B3F" w:rsidP="001E5E06">
      <w:pPr>
        <w:widowControl w:val="0"/>
        <w:jc w:val="both"/>
        <w:rPr>
          <w:rFonts w:asciiTheme="minorHAnsi" w:hAnsiTheme="minorHAnsi" w:cs="Arial"/>
          <w:b/>
          <w:bCs/>
          <w:snapToGrid w:val="0"/>
        </w:rPr>
      </w:pPr>
    </w:p>
    <w:sectPr w:rsidR="00C23B3F" w:rsidRPr="00525B39" w:rsidSect="00B81A8D">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1C7F9F" w16cid:durableId="1FAC3A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9BA" w:rsidRDefault="002D39BA">
      <w:r>
        <w:separator/>
      </w:r>
    </w:p>
    <w:p w:rsidR="002D39BA" w:rsidRDefault="002D39BA"/>
  </w:endnote>
  <w:endnote w:type="continuationSeparator" w:id="0">
    <w:p w:rsidR="002D39BA" w:rsidRDefault="002D39BA">
      <w:r>
        <w:continuationSeparator/>
      </w:r>
    </w:p>
    <w:p w:rsidR="002D39BA" w:rsidRDefault="002D3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algun Gothic Semilight"/>
    <w:panose1 w:val="02020500000000000000"/>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47BD6" w:rsidTr="005A3173">
      <w:trPr>
        <w:trHeight w:val="151"/>
      </w:trPr>
      <w:tc>
        <w:tcPr>
          <w:tcW w:w="2250" w:type="pct"/>
          <w:tcBorders>
            <w:top w:val="nil"/>
            <w:left w:val="nil"/>
            <w:bottom w:val="single" w:sz="4" w:space="0" w:color="4F81BD"/>
            <w:right w:val="nil"/>
          </w:tcBorders>
        </w:tcPr>
        <w:p w:rsidR="00247BD6" w:rsidRPr="005A3173" w:rsidRDefault="00247BD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47BD6" w:rsidRPr="005A3173" w:rsidRDefault="00247BD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47BD6" w:rsidRPr="005A3173" w:rsidRDefault="00247BD6" w:rsidP="005A3173">
          <w:pPr>
            <w:pStyle w:val="Header"/>
            <w:spacing w:line="276" w:lineRule="auto"/>
            <w:rPr>
              <w:rFonts w:ascii="Calibri" w:eastAsia="MS Gothic" w:hAnsi="Calibri"/>
              <w:b/>
              <w:bCs/>
              <w:color w:val="4F81BD"/>
            </w:rPr>
          </w:pPr>
        </w:p>
      </w:tc>
    </w:tr>
    <w:tr w:rsidR="00247BD6" w:rsidTr="005A3173">
      <w:trPr>
        <w:trHeight w:val="150"/>
      </w:trPr>
      <w:tc>
        <w:tcPr>
          <w:tcW w:w="2250" w:type="pct"/>
          <w:tcBorders>
            <w:top w:val="single" w:sz="4" w:space="0" w:color="4F81BD"/>
            <w:left w:val="nil"/>
            <w:bottom w:val="nil"/>
            <w:right w:val="nil"/>
          </w:tcBorders>
        </w:tcPr>
        <w:p w:rsidR="00247BD6" w:rsidRPr="005A3173" w:rsidRDefault="00247BD6" w:rsidP="005A3173">
          <w:pPr>
            <w:pStyle w:val="Header"/>
            <w:spacing w:line="276" w:lineRule="auto"/>
            <w:rPr>
              <w:rFonts w:ascii="Calibri" w:eastAsia="MS Gothic" w:hAnsi="Calibri"/>
              <w:b/>
              <w:bCs/>
              <w:color w:val="4F81BD"/>
            </w:rPr>
          </w:pPr>
        </w:p>
      </w:tc>
      <w:tc>
        <w:tcPr>
          <w:tcW w:w="0" w:type="auto"/>
          <w:vMerge/>
          <w:vAlign w:val="center"/>
          <w:hideMark/>
        </w:tcPr>
        <w:p w:rsidR="00247BD6" w:rsidRPr="005A3173" w:rsidRDefault="00247BD6" w:rsidP="005A3173">
          <w:pPr>
            <w:rPr>
              <w:rFonts w:ascii="Calibri" w:hAnsi="Calibri"/>
              <w:color w:val="365F91"/>
              <w:sz w:val="22"/>
              <w:szCs w:val="22"/>
            </w:rPr>
          </w:pPr>
        </w:p>
      </w:tc>
      <w:tc>
        <w:tcPr>
          <w:tcW w:w="2250" w:type="pct"/>
          <w:tcBorders>
            <w:top w:val="single" w:sz="4" w:space="0" w:color="4F81BD"/>
            <w:left w:val="nil"/>
            <w:bottom w:val="nil"/>
            <w:right w:val="nil"/>
          </w:tcBorders>
        </w:tcPr>
        <w:p w:rsidR="00247BD6" w:rsidRPr="005A3173" w:rsidRDefault="00247BD6" w:rsidP="005A3173">
          <w:pPr>
            <w:pStyle w:val="Header"/>
            <w:spacing w:line="276" w:lineRule="auto"/>
            <w:rPr>
              <w:rFonts w:ascii="Calibri" w:eastAsia="MS Gothic" w:hAnsi="Calibri"/>
              <w:b/>
              <w:bCs/>
              <w:color w:val="4F81BD"/>
            </w:rPr>
          </w:pPr>
        </w:p>
      </w:tc>
    </w:tr>
  </w:tbl>
  <w:p w:rsidR="00247BD6" w:rsidRDefault="00247BD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7BD6" w:rsidRDefault="00247BD6">
    <w:pPr>
      <w:pStyle w:val="Footer"/>
    </w:pPr>
  </w:p>
  <w:p w:rsidR="00247BD6" w:rsidRDefault="00247BD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06" w:rsidRPr="001510C2" w:rsidRDefault="001E5E06" w:rsidP="001E5E06">
    <w:pPr>
      <w:ind w:left="709"/>
      <w:contextualSpacing/>
      <w:jc w:val="center"/>
      <w:rPr>
        <w:rFonts w:asciiTheme="minorHAnsi" w:hAnsiTheme="minorHAnsi" w:cstheme="minorHAnsi"/>
        <w:bCs/>
      </w:rPr>
    </w:pPr>
    <w:r w:rsidRPr="001510C2">
      <w:rPr>
        <w:rFonts w:asciiTheme="minorHAnsi" w:hAnsiTheme="minorHAnsi" w:cstheme="minorHAnsi"/>
        <w:bCs/>
      </w:rPr>
      <w:fldChar w:fldCharType="begin"/>
    </w:r>
    <w:r w:rsidRPr="001510C2">
      <w:rPr>
        <w:rFonts w:asciiTheme="minorHAnsi" w:hAnsiTheme="minorHAnsi" w:cstheme="minorHAnsi"/>
        <w:bCs/>
      </w:rPr>
      <w:instrText xml:space="preserve"> PAGE   \* MERGEFORMAT </w:instrText>
    </w:r>
    <w:r w:rsidRPr="001510C2">
      <w:rPr>
        <w:rFonts w:asciiTheme="minorHAnsi" w:hAnsiTheme="minorHAnsi" w:cstheme="minorHAnsi"/>
        <w:bCs/>
      </w:rPr>
      <w:fldChar w:fldCharType="separate"/>
    </w:r>
    <w:r w:rsidR="00D7476B">
      <w:rPr>
        <w:rFonts w:asciiTheme="minorHAnsi" w:hAnsiTheme="minorHAnsi" w:cstheme="minorHAnsi"/>
        <w:bCs/>
        <w:noProof/>
      </w:rPr>
      <w:t>1</w:t>
    </w:r>
    <w:r w:rsidRPr="001510C2">
      <w:rPr>
        <w:rFonts w:asciiTheme="minorHAnsi" w:hAnsiTheme="minorHAnsi" w:cstheme="minorHAnsi"/>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247BD6" w:rsidTr="005A3173">
      <w:trPr>
        <w:trHeight w:val="151"/>
      </w:trPr>
      <w:tc>
        <w:tcPr>
          <w:tcW w:w="2250" w:type="pct"/>
          <w:tcBorders>
            <w:top w:val="nil"/>
            <w:left w:val="nil"/>
            <w:bottom w:val="single" w:sz="4" w:space="0" w:color="4F81BD"/>
            <w:right w:val="nil"/>
          </w:tcBorders>
        </w:tcPr>
        <w:p w:rsidR="00247BD6" w:rsidRPr="005A3173" w:rsidRDefault="00247BD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47BD6" w:rsidRPr="005A3173" w:rsidRDefault="00247BD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47BD6" w:rsidRPr="005A3173" w:rsidRDefault="00247BD6" w:rsidP="005A3173">
          <w:pPr>
            <w:pStyle w:val="Header"/>
            <w:spacing w:line="276" w:lineRule="auto"/>
            <w:rPr>
              <w:rFonts w:ascii="Calibri" w:eastAsia="MS Gothic" w:hAnsi="Calibri"/>
              <w:b/>
              <w:bCs/>
              <w:color w:val="4F81BD"/>
            </w:rPr>
          </w:pPr>
        </w:p>
      </w:tc>
    </w:tr>
    <w:tr w:rsidR="00247BD6" w:rsidTr="005A3173">
      <w:trPr>
        <w:trHeight w:val="150"/>
      </w:trPr>
      <w:tc>
        <w:tcPr>
          <w:tcW w:w="2250" w:type="pct"/>
          <w:tcBorders>
            <w:top w:val="single" w:sz="4" w:space="0" w:color="4F81BD"/>
            <w:left w:val="nil"/>
            <w:bottom w:val="nil"/>
            <w:right w:val="nil"/>
          </w:tcBorders>
        </w:tcPr>
        <w:p w:rsidR="00247BD6" w:rsidRPr="005A3173" w:rsidRDefault="00247BD6" w:rsidP="005A3173">
          <w:pPr>
            <w:pStyle w:val="Header"/>
            <w:spacing w:line="276" w:lineRule="auto"/>
            <w:rPr>
              <w:rFonts w:ascii="Calibri" w:eastAsia="MS Gothic" w:hAnsi="Calibri"/>
              <w:b/>
              <w:bCs/>
              <w:color w:val="4F81BD"/>
            </w:rPr>
          </w:pPr>
        </w:p>
      </w:tc>
      <w:tc>
        <w:tcPr>
          <w:tcW w:w="0" w:type="auto"/>
          <w:vMerge/>
          <w:vAlign w:val="center"/>
          <w:hideMark/>
        </w:tcPr>
        <w:p w:rsidR="00247BD6" w:rsidRPr="005A3173" w:rsidRDefault="00247BD6" w:rsidP="005A3173">
          <w:pPr>
            <w:rPr>
              <w:rFonts w:ascii="Calibri" w:hAnsi="Calibri"/>
              <w:color w:val="365F91"/>
              <w:sz w:val="22"/>
              <w:szCs w:val="22"/>
            </w:rPr>
          </w:pPr>
        </w:p>
      </w:tc>
      <w:tc>
        <w:tcPr>
          <w:tcW w:w="2250" w:type="pct"/>
          <w:tcBorders>
            <w:top w:val="single" w:sz="4" w:space="0" w:color="4F81BD"/>
            <w:left w:val="nil"/>
            <w:bottom w:val="nil"/>
            <w:right w:val="nil"/>
          </w:tcBorders>
        </w:tcPr>
        <w:p w:rsidR="00247BD6" w:rsidRPr="005A3173" w:rsidRDefault="00247BD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47BD6" w:rsidTr="005A3173">
      <w:trPr>
        <w:trHeight w:val="151"/>
      </w:trPr>
      <w:tc>
        <w:tcPr>
          <w:tcW w:w="2250" w:type="pct"/>
          <w:tcBorders>
            <w:top w:val="nil"/>
            <w:left w:val="nil"/>
            <w:bottom w:val="single" w:sz="4" w:space="0" w:color="4F81BD"/>
            <w:right w:val="nil"/>
          </w:tcBorders>
        </w:tcPr>
        <w:p w:rsidR="00247BD6" w:rsidRPr="005A3173" w:rsidRDefault="00247BD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47BD6" w:rsidRPr="005A3173" w:rsidRDefault="00247BD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47BD6" w:rsidRPr="005A3173" w:rsidRDefault="00247BD6" w:rsidP="005A3173">
          <w:pPr>
            <w:pStyle w:val="Header"/>
            <w:spacing w:line="276" w:lineRule="auto"/>
            <w:rPr>
              <w:rFonts w:ascii="Calibri" w:eastAsia="MS Gothic" w:hAnsi="Calibri"/>
              <w:b/>
              <w:bCs/>
              <w:color w:val="4F81BD"/>
            </w:rPr>
          </w:pPr>
        </w:p>
      </w:tc>
    </w:tr>
    <w:tr w:rsidR="00247BD6" w:rsidTr="005A3173">
      <w:trPr>
        <w:trHeight w:val="150"/>
      </w:trPr>
      <w:tc>
        <w:tcPr>
          <w:tcW w:w="2250" w:type="pct"/>
          <w:tcBorders>
            <w:top w:val="single" w:sz="4" w:space="0" w:color="4F81BD"/>
            <w:left w:val="nil"/>
            <w:bottom w:val="nil"/>
            <w:right w:val="nil"/>
          </w:tcBorders>
        </w:tcPr>
        <w:p w:rsidR="00247BD6" w:rsidRPr="005A3173" w:rsidRDefault="00247BD6" w:rsidP="005A3173">
          <w:pPr>
            <w:pStyle w:val="Header"/>
            <w:spacing w:line="276" w:lineRule="auto"/>
            <w:rPr>
              <w:rFonts w:ascii="Calibri" w:eastAsia="MS Gothic" w:hAnsi="Calibri"/>
              <w:b/>
              <w:bCs/>
              <w:color w:val="4F81BD"/>
            </w:rPr>
          </w:pPr>
        </w:p>
      </w:tc>
      <w:tc>
        <w:tcPr>
          <w:tcW w:w="0" w:type="auto"/>
          <w:vMerge/>
          <w:vAlign w:val="center"/>
          <w:hideMark/>
        </w:tcPr>
        <w:p w:rsidR="00247BD6" w:rsidRPr="005A3173" w:rsidRDefault="00247BD6" w:rsidP="005A3173">
          <w:pPr>
            <w:rPr>
              <w:rFonts w:ascii="Calibri" w:hAnsi="Calibri"/>
              <w:color w:val="365F91"/>
              <w:sz w:val="22"/>
              <w:szCs w:val="22"/>
            </w:rPr>
          </w:pPr>
        </w:p>
      </w:tc>
      <w:tc>
        <w:tcPr>
          <w:tcW w:w="2250" w:type="pct"/>
          <w:tcBorders>
            <w:top w:val="single" w:sz="4" w:space="0" w:color="4F81BD"/>
            <w:left w:val="nil"/>
            <w:bottom w:val="nil"/>
            <w:right w:val="nil"/>
          </w:tcBorders>
        </w:tcPr>
        <w:p w:rsidR="00247BD6" w:rsidRPr="005A3173" w:rsidRDefault="00247BD6" w:rsidP="005A3173">
          <w:pPr>
            <w:pStyle w:val="Header"/>
            <w:spacing w:line="276" w:lineRule="auto"/>
            <w:rPr>
              <w:rFonts w:ascii="Calibri" w:eastAsia="MS Gothic" w:hAnsi="Calibri"/>
              <w:b/>
              <w:bCs/>
              <w:color w:val="4F81BD"/>
            </w:rPr>
          </w:pPr>
        </w:p>
      </w:tc>
    </w:tr>
  </w:tbl>
  <w:p w:rsidR="00247BD6" w:rsidRPr="007C0F57" w:rsidRDefault="00247BD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47BD6" w:rsidRPr="007C0F57" w:rsidRDefault="00247BD6" w:rsidP="007C0F57">
    <w:pPr>
      <w:pStyle w:val="Footer"/>
      <w:jc w:val="center"/>
      <w:rPr>
        <w:b/>
        <w:i/>
        <w:sz w:val="20"/>
        <w:szCs w:val="20"/>
      </w:rPr>
    </w:pPr>
    <w:r w:rsidRPr="007C0F57">
      <w:rPr>
        <w:b/>
        <w:i/>
        <w:sz w:val="20"/>
        <w:szCs w:val="20"/>
      </w:rPr>
      <w:t>Commercial-in-Confidence</w:t>
    </w:r>
  </w:p>
  <w:p w:rsidR="00247BD6" w:rsidRDefault="00247B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9BA" w:rsidRDefault="002D39BA">
      <w:r>
        <w:separator/>
      </w:r>
    </w:p>
    <w:p w:rsidR="002D39BA" w:rsidRDefault="002D39BA"/>
  </w:footnote>
  <w:footnote w:type="continuationSeparator" w:id="0">
    <w:p w:rsidR="002D39BA" w:rsidRDefault="002D39BA">
      <w:r>
        <w:continuationSeparator/>
      </w:r>
    </w:p>
    <w:p w:rsidR="002D39BA" w:rsidRDefault="002D39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47BD6" w:rsidRPr="008E0D90" w:rsidTr="00A06225">
      <w:trPr>
        <w:trHeight w:val="151"/>
      </w:trPr>
      <w:tc>
        <w:tcPr>
          <w:tcW w:w="2389" w:type="pct"/>
          <w:tcBorders>
            <w:top w:val="nil"/>
            <w:left w:val="nil"/>
            <w:bottom w:val="single" w:sz="4" w:space="0" w:color="4F81BD"/>
            <w:right w:val="nil"/>
          </w:tcBorders>
        </w:tcPr>
        <w:p w:rsidR="00247BD6" w:rsidRPr="00A06225" w:rsidRDefault="00247BD6">
          <w:pPr>
            <w:pStyle w:val="Header"/>
            <w:spacing w:line="276" w:lineRule="auto"/>
            <w:rPr>
              <w:rFonts w:ascii="Cambria" w:eastAsia="MS Gothic" w:hAnsi="Cambria"/>
              <w:b/>
              <w:bCs/>
              <w:color w:val="4F81BD"/>
            </w:rPr>
          </w:pPr>
        </w:p>
      </w:tc>
      <w:tc>
        <w:tcPr>
          <w:tcW w:w="333" w:type="pct"/>
          <w:vMerge w:val="restart"/>
          <w:noWrap/>
          <w:vAlign w:val="center"/>
          <w:hideMark/>
        </w:tcPr>
        <w:p w:rsidR="00247BD6" w:rsidRPr="00A06225" w:rsidRDefault="00247BD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47BD6" w:rsidRPr="00A06225" w:rsidRDefault="00247BD6">
          <w:pPr>
            <w:pStyle w:val="Header"/>
            <w:spacing w:line="276" w:lineRule="auto"/>
            <w:rPr>
              <w:rFonts w:ascii="Cambria" w:eastAsia="MS Gothic" w:hAnsi="Cambria"/>
              <w:b/>
              <w:bCs/>
              <w:color w:val="4F81BD"/>
            </w:rPr>
          </w:pPr>
        </w:p>
      </w:tc>
    </w:tr>
    <w:tr w:rsidR="00247BD6" w:rsidRPr="008E0D90" w:rsidTr="00A06225">
      <w:trPr>
        <w:trHeight w:val="150"/>
      </w:trPr>
      <w:tc>
        <w:tcPr>
          <w:tcW w:w="2389" w:type="pct"/>
          <w:tcBorders>
            <w:top w:val="single" w:sz="4" w:space="0" w:color="4F81BD"/>
            <w:left w:val="nil"/>
            <w:bottom w:val="nil"/>
            <w:right w:val="nil"/>
          </w:tcBorders>
        </w:tcPr>
        <w:p w:rsidR="00247BD6" w:rsidRPr="00A06225" w:rsidRDefault="00247BD6">
          <w:pPr>
            <w:pStyle w:val="Header"/>
            <w:spacing w:line="276" w:lineRule="auto"/>
            <w:rPr>
              <w:rFonts w:ascii="Cambria" w:eastAsia="MS Gothic" w:hAnsi="Cambria"/>
              <w:b/>
              <w:bCs/>
              <w:color w:val="4F81BD"/>
            </w:rPr>
          </w:pPr>
        </w:p>
      </w:tc>
      <w:tc>
        <w:tcPr>
          <w:tcW w:w="0" w:type="auto"/>
          <w:vMerge/>
          <w:vAlign w:val="center"/>
          <w:hideMark/>
        </w:tcPr>
        <w:p w:rsidR="00247BD6" w:rsidRPr="00A06225" w:rsidRDefault="00247BD6">
          <w:pPr>
            <w:rPr>
              <w:rFonts w:ascii="Cambria" w:hAnsi="Cambria"/>
              <w:color w:val="4F81BD"/>
              <w:sz w:val="22"/>
              <w:szCs w:val="22"/>
            </w:rPr>
          </w:pPr>
        </w:p>
      </w:tc>
      <w:tc>
        <w:tcPr>
          <w:tcW w:w="2278" w:type="pct"/>
          <w:tcBorders>
            <w:top w:val="single" w:sz="4" w:space="0" w:color="4F81BD"/>
            <w:left w:val="nil"/>
            <w:bottom w:val="nil"/>
            <w:right w:val="nil"/>
          </w:tcBorders>
        </w:tcPr>
        <w:p w:rsidR="00247BD6" w:rsidRPr="00A06225" w:rsidRDefault="00247BD6">
          <w:pPr>
            <w:pStyle w:val="Header"/>
            <w:spacing w:line="276" w:lineRule="auto"/>
            <w:rPr>
              <w:rFonts w:ascii="Cambria" w:eastAsia="MS Gothic" w:hAnsi="Cambria"/>
              <w:b/>
              <w:bCs/>
              <w:color w:val="4F81BD"/>
            </w:rPr>
          </w:pPr>
        </w:p>
      </w:tc>
    </w:tr>
  </w:tbl>
  <w:p w:rsidR="00247BD6" w:rsidRDefault="00247BD6">
    <w:pPr>
      <w:pStyle w:val="Header"/>
    </w:pPr>
  </w:p>
  <w:p w:rsidR="00247BD6" w:rsidRDefault="00247B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3F" w:rsidRPr="00C23B3F" w:rsidRDefault="00C23B3F" w:rsidP="00C23B3F">
    <w:pPr>
      <w:jc w:val="center"/>
      <w:rPr>
        <w:rFonts w:asciiTheme="minorHAnsi" w:hAnsiTheme="minorHAnsi" w:cstheme="minorHAnsi"/>
        <w:i/>
      </w:rPr>
    </w:pPr>
    <w:r w:rsidRPr="00C23B3F">
      <w:rPr>
        <w:rFonts w:asciiTheme="minorHAnsi" w:hAnsiTheme="minorHAnsi" w:cstheme="minorHAnsi"/>
        <w:i/>
      </w:rPr>
      <w:t>Public Summary Document – November 2018 PBAC Meeting</w:t>
    </w:r>
  </w:p>
  <w:p w:rsidR="00247BD6" w:rsidRDefault="00247BD6"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9BA" w:rsidRDefault="002D3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4E6825"/>
    <w:multiLevelType w:val="multilevel"/>
    <w:tmpl w:val="18BAFFD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BC242E"/>
    <w:multiLevelType w:val="hybridMultilevel"/>
    <w:tmpl w:val="458C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86579C"/>
    <w:multiLevelType w:val="hybridMultilevel"/>
    <w:tmpl w:val="816A572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8575F"/>
    <w:multiLevelType w:val="hybridMultilevel"/>
    <w:tmpl w:val="658A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D21587"/>
    <w:multiLevelType w:val="hybridMultilevel"/>
    <w:tmpl w:val="990AB1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BD7071"/>
    <w:multiLevelType w:val="hybridMultilevel"/>
    <w:tmpl w:val="F45891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BD87F42"/>
    <w:multiLevelType w:val="hybridMultilevel"/>
    <w:tmpl w:val="CD140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463DBB"/>
    <w:multiLevelType w:val="hybridMultilevel"/>
    <w:tmpl w:val="C78243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84D033C"/>
    <w:multiLevelType w:val="multilevel"/>
    <w:tmpl w:val="6CCC707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81492D"/>
    <w:multiLevelType w:val="hybridMultilevel"/>
    <w:tmpl w:val="05D0770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D1C6E02"/>
    <w:multiLevelType w:val="hybridMultilevel"/>
    <w:tmpl w:val="441C70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6"/>
  </w:num>
  <w:num w:numId="4">
    <w:abstractNumId w:val="19"/>
  </w:num>
  <w:num w:numId="5">
    <w:abstractNumId w:val="25"/>
  </w:num>
  <w:num w:numId="6">
    <w:abstractNumId w:val="7"/>
  </w:num>
  <w:num w:numId="7">
    <w:abstractNumId w:val="16"/>
  </w:num>
  <w:num w:numId="8">
    <w:abstractNumId w:val="4"/>
  </w:num>
  <w:num w:numId="9">
    <w:abstractNumId w:val="15"/>
  </w:num>
  <w:num w:numId="10">
    <w:abstractNumId w:val="12"/>
  </w:num>
  <w:num w:numId="11">
    <w:abstractNumId w:val="11"/>
  </w:num>
  <w:num w:numId="12">
    <w:abstractNumId w:val="1"/>
  </w:num>
  <w:num w:numId="13">
    <w:abstractNumId w:val="0"/>
  </w:num>
  <w:num w:numId="14">
    <w:abstractNumId w:val="25"/>
  </w:num>
  <w:num w:numId="15">
    <w:abstractNumId w:val="26"/>
  </w:num>
  <w:num w:numId="16">
    <w:abstractNumId w:val="13"/>
  </w:num>
  <w:num w:numId="17">
    <w:abstractNumId w:val="18"/>
  </w:num>
  <w:num w:numId="18">
    <w:abstractNumId w:val="17"/>
  </w:num>
  <w:num w:numId="19">
    <w:abstractNumId w:val="27"/>
  </w:num>
  <w:num w:numId="20">
    <w:abstractNumId w:val="22"/>
  </w:num>
  <w:num w:numId="21">
    <w:abstractNumId w:val="24"/>
  </w:num>
  <w:num w:numId="22">
    <w:abstractNumId w:val="23"/>
  </w:num>
  <w:num w:numId="23">
    <w:abstractNumId w:val="14"/>
  </w:num>
  <w:num w:numId="24">
    <w:abstractNumId w:val="10"/>
  </w:num>
  <w:num w:numId="25">
    <w:abstractNumId w:val="20"/>
  </w:num>
  <w:num w:numId="26">
    <w:abstractNumId w:val="21"/>
  </w:num>
  <w:num w:numId="27">
    <w:abstractNumId w:val="5"/>
  </w:num>
  <w:num w:numId="28">
    <w:abstractNumId w:val="2"/>
  </w:num>
  <w:num w:numId="29">
    <w:abstractNumId w:val="9"/>
  </w:num>
  <w:num w:numId="30">
    <w:abstractNumId w:val="25"/>
  </w:num>
  <w:num w:numId="31">
    <w:abstractNumId w:val="25"/>
  </w:num>
  <w:num w:numId="3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10DDF"/>
    <w:rsid w:val="00022E41"/>
    <w:rsid w:val="0002464A"/>
    <w:rsid w:val="0003106B"/>
    <w:rsid w:val="0003141A"/>
    <w:rsid w:val="000414D2"/>
    <w:rsid w:val="000421A1"/>
    <w:rsid w:val="0004240E"/>
    <w:rsid w:val="00043D04"/>
    <w:rsid w:val="00045E26"/>
    <w:rsid w:val="000514B5"/>
    <w:rsid w:val="0006056C"/>
    <w:rsid w:val="00060E64"/>
    <w:rsid w:val="00066755"/>
    <w:rsid w:val="00076117"/>
    <w:rsid w:val="00077143"/>
    <w:rsid w:val="00082169"/>
    <w:rsid w:val="000969AD"/>
    <w:rsid w:val="000B558D"/>
    <w:rsid w:val="000C1AE3"/>
    <w:rsid w:val="000C6996"/>
    <w:rsid w:val="000D23BA"/>
    <w:rsid w:val="000E0D7A"/>
    <w:rsid w:val="000E681E"/>
    <w:rsid w:val="000F0003"/>
    <w:rsid w:val="000F4E6A"/>
    <w:rsid w:val="000F594C"/>
    <w:rsid w:val="00104227"/>
    <w:rsid w:val="001107BF"/>
    <w:rsid w:val="00123FA3"/>
    <w:rsid w:val="0012417C"/>
    <w:rsid w:val="00125FFC"/>
    <w:rsid w:val="001276ED"/>
    <w:rsid w:val="00136266"/>
    <w:rsid w:val="0013767F"/>
    <w:rsid w:val="0014113E"/>
    <w:rsid w:val="00142395"/>
    <w:rsid w:val="00142714"/>
    <w:rsid w:val="00144973"/>
    <w:rsid w:val="001452ED"/>
    <w:rsid w:val="00145C5D"/>
    <w:rsid w:val="001510C2"/>
    <w:rsid w:val="00153EE1"/>
    <w:rsid w:val="00163329"/>
    <w:rsid w:val="00164623"/>
    <w:rsid w:val="00165B64"/>
    <w:rsid w:val="00180713"/>
    <w:rsid w:val="001830CE"/>
    <w:rsid w:val="0018643B"/>
    <w:rsid w:val="00196307"/>
    <w:rsid w:val="001A33EA"/>
    <w:rsid w:val="001A4144"/>
    <w:rsid w:val="001A4359"/>
    <w:rsid w:val="001B017F"/>
    <w:rsid w:val="001B2BBC"/>
    <w:rsid w:val="001B472E"/>
    <w:rsid w:val="001B5129"/>
    <w:rsid w:val="001C0EF1"/>
    <w:rsid w:val="001C1195"/>
    <w:rsid w:val="001D16E0"/>
    <w:rsid w:val="001E5E06"/>
    <w:rsid w:val="001F1850"/>
    <w:rsid w:val="002005CE"/>
    <w:rsid w:val="00203FAC"/>
    <w:rsid w:val="00206C02"/>
    <w:rsid w:val="00213CFB"/>
    <w:rsid w:val="002148CC"/>
    <w:rsid w:val="00217BE1"/>
    <w:rsid w:val="00225259"/>
    <w:rsid w:val="00231FC3"/>
    <w:rsid w:val="00247BD6"/>
    <w:rsid w:val="002528D5"/>
    <w:rsid w:val="00254819"/>
    <w:rsid w:val="0026522B"/>
    <w:rsid w:val="00266E14"/>
    <w:rsid w:val="00271BA1"/>
    <w:rsid w:val="002762FA"/>
    <w:rsid w:val="00277505"/>
    <w:rsid w:val="00281870"/>
    <w:rsid w:val="002901EC"/>
    <w:rsid w:val="00292E2C"/>
    <w:rsid w:val="002938ED"/>
    <w:rsid w:val="0029458F"/>
    <w:rsid w:val="002A104C"/>
    <w:rsid w:val="002A1162"/>
    <w:rsid w:val="002A4960"/>
    <w:rsid w:val="002B1AE6"/>
    <w:rsid w:val="002B1AFA"/>
    <w:rsid w:val="002B2DE8"/>
    <w:rsid w:val="002B30F8"/>
    <w:rsid w:val="002B5596"/>
    <w:rsid w:val="002C212F"/>
    <w:rsid w:val="002C5746"/>
    <w:rsid w:val="002D0FFE"/>
    <w:rsid w:val="002D39BA"/>
    <w:rsid w:val="002D4543"/>
    <w:rsid w:val="002D6026"/>
    <w:rsid w:val="002E3153"/>
    <w:rsid w:val="002E534B"/>
    <w:rsid w:val="002E72CA"/>
    <w:rsid w:val="002F600D"/>
    <w:rsid w:val="00300AD6"/>
    <w:rsid w:val="00303A82"/>
    <w:rsid w:val="00303C4A"/>
    <w:rsid w:val="00305983"/>
    <w:rsid w:val="00305FE1"/>
    <w:rsid w:val="00317C6C"/>
    <w:rsid w:val="00320AF7"/>
    <w:rsid w:val="00326E79"/>
    <w:rsid w:val="0033518A"/>
    <w:rsid w:val="003367EF"/>
    <w:rsid w:val="00341AE4"/>
    <w:rsid w:val="00367785"/>
    <w:rsid w:val="00381A0B"/>
    <w:rsid w:val="003872CF"/>
    <w:rsid w:val="003960E3"/>
    <w:rsid w:val="0039782C"/>
    <w:rsid w:val="003A5B4A"/>
    <w:rsid w:val="003B23C5"/>
    <w:rsid w:val="003B2A75"/>
    <w:rsid w:val="003B393D"/>
    <w:rsid w:val="003B6124"/>
    <w:rsid w:val="003B672E"/>
    <w:rsid w:val="003C2FB5"/>
    <w:rsid w:val="003D4AC4"/>
    <w:rsid w:val="003D63B7"/>
    <w:rsid w:val="003E468B"/>
    <w:rsid w:val="003E5F50"/>
    <w:rsid w:val="003F07FB"/>
    <w:rsid w:val="003F3228"/>
    <w:rsid w:val="003F3B63"/>
    <w:rsid w:val="003F5C8C"/>
    <w:rsid w:val="003F7262"/>
    <w:rsid w:val="0040563A"/>
    <w:rsid w:val="00411612"/>
    <w:rsid w:val="004252EC"/>
    <w:rsid w:val="00427071"/>
    <w:rsid w:val="00427B66"/>
    <w:rsid w:val="004324B3"/>
    <w:rsid w:val="00445466"/>
    <w:rsid w:val="004465BD"/>
    <w:rsid w:val="00456DAC"/>
    <w:rsid w:val="0045792C"/>
    <w:rsid w:val="00466ADA"/>
    <w:rsid w:val="00476245"/>
    <w:rsid w:val="00483035"/>
    <w:rsid w:val="00485940"/>
    <w:rsid w:val="0049370B"/>
    <w:rsid w:val="004A2484"/>
    <w:rsid w:val="004A5A85"/>
    <w:rsid w:val="004A71D1"/>
    <w:rsid w:val="004B5640"/>
    <w:rsid w:val="004C0CD0"/>
    <w:rsid w:val="004C1BD7"/>
    <w:rsid w:val="004C31FE"/>
    <w:rsid w:val="004C691D"/>
    <w:rsid w:val="004C6C07"/>
    <w:rsid w:val="004D1CB0"/>
    <w:rsid w:val="004E2134"/>
    <w:rsid w:val="004E692D"/>
    <w:rsid w:val="00501554"/>
    <w:rsid w:val="005068D8"/>
    <w:rsid w:val="00513CF2"/>
    <w:rsid w:val="005149A9"/>
    <w:rsid w:val="00514CD7"/>
    <w:rsid w:val="005319B2"/>
    <w:rsid w:val="00532402"/>
    <w:rsid w:val="00532C74"/>
    <w:rsid w:val="00534E2E"/>
    <w:rsid w:val="00535AFE"/>
    <w:rsid w:val="00536BE2"/>
    <w:rsid w:val="00544552"/>
    <w:rsid w:val="00566515"/>
    <w:rsid w:val="00577C4D"/>
    <w:rsid w:val="00581932"/>
    <w:rsid w:val="00591EFE"/>
    <w:rsid w:val="005963BB"/>
    <w:rsid w:val="005A3173"/>
    <w:rsid w:val="005A3223"/>
    <w:rsid w:val="005A3DA3"/>
    <w:rsid w:val="005A3E15"/>
    <w:rsid w:val="005A52C4"/>
    <w:rsid w:val="005D03AB"/>
    <w:rsid w:val="005D5017"/>
    <w:rsid w:val="005E1333"/>
    <w:rsid w:val="00601A91"/>
    <w:rsid w:val="00602BA3"/>
    <w:rsid w:val="00606EED"/>
    <w:rsid w:val="0061194C"/>
    <w:rsid w:val="006129B5"/>
    <w:rsid w:val="00612E34"/>
    <w:rsid w:val="00614159"/>
    <w:rsid w:val="00615AC7"/>
    <w:rsid w:val="00617C00"/>
    <w:rsid w:val="00623D71"/>
    <w:rsid w:val="006263BF"/>
    <w:rsid w:val="0062748A"/>
    <w:rsid w:val="00630A2C"/>
    <w:rsid w:val="00632035"/>
    <w:rsid w:val="00633B9F"/>
    <w:rsid w:val="0063682E"/>
    <w:rsid w:val="006436CD"/>
    <w:rsid w:val="006459E0"/>
    <w:rsid w:val="00645EB1"/>
    <w:rsid w:val="00651169"/>
    <w:rsid w:val="00653D69"/>
    <w:rsid w:val="00661EC9"/>
    <w:rsid w:val="006670BE"/>
    <w:rsid w:val="00670A76"/>
    <w:rsid w:val="006711AA"/>
    <w:rsid w:val="00672B57"/>
    <w:rsid w:val="006740DA"/>
    <w:rsid w:val="00675622"/>
    <w:rsid w:val="0067747D"/>
    <w:rsid w:val="00682678"/>
    <w:rsid w:val="006906DB"/>
    <w:rsid w:val="006915C6"/>
    <w:rsid w:val="00691E6C"/>
    <w:rsid w:val="00696129"/>
    <w:rsid w:val="00697CF2"/>
    <w:rsid w:val="006A12A5"/>
    <w:rsid w:val="006A7330"/>
    <w:rsid w:val="006B0D94"/>
    <w:rsid w:val="006B485D"/>
    <w:rsid w:val="006C708E"/>
    <w:rsid w:val="006D14E7"/>
    <w:rsid w:val="006D6493"/>
    <w:rsid w:val="006D6EC7"/>
    <w:rsid w:val="006F5125"/>
    <w:rsid w:val="00702B6F"/>
    <w:rsid w:val="00711DC0"/>
    <w:rsid w:val="0071340B"/>
    <w:rsid w:val="007174BB"/>
    <w:rsid w:val="0072025D"/>
    <w:rsid w:val="007211A9"/>
    <w:rsid w:val="007247CD"/>
    <w:rsid w:val="007353D3"/>
    <w:rsid w:val="0075068D"/>
    <w:rsid w:val="0075771C"/>
    <w:rsid w:val="00761AE0"/>
    <w:rsid w:val="0076420C"/>
    <w:rsid w:val="00773047"/>
    <w:rsid w:val="007753C2"/>
    <w:rsid w:val="007838B8"/>
    <w:rsid w:val="00786335"/>
    <w:rsid w:val="007A4BF0"/>
    <w:rsid w:val="007B43CE"/>
    <w:rsid w:val="007C0F57"/>
    <w:rsid w:val="007C40B6"/>
    <w:rsid w:val="007C729F"/>
    <w:rsid w:val="007E1D28"/>
    <w:rsid w:val="007F025F"/>
    <w:rsid w:val="007F2641"/>
    <w:rsid w:val="007F3092"/>
    <w:rsid w:val="007F7C36"/>
    <w:rsid w:val="00802B03"/>
    <w:rsid w:val="00806796"/>
    <w:rsid w:val="008151D6"/>
    <w:rsid w:val="00825CF7"/>
    <w:rsid w:val="00826F6D"/>
    <w:rsid w:val="008306F3"/>
    <w:rsid w:val="00841CBF"/>
    <w:rsid w:val="008430F1"/>
    <w:rsid w:val="008538B6"/>
    <w:rsid w:val="00856DDD"/>
    <w:rsid w:val="00863E68"/>
    <w:rsid w:val="008751A1"/>
    <w:rsid w:val="00882085"/>
    <w:rsid w:val="00883188"/>
    <w:rsid w:val="00887A7B"/>
    <w:rsid w:val="00895759"/>
    <w:rsid w:val="00897D58"/>
    <w:rsid w:val="00897F22"/>
    <w:rsid w:val="008A1956"/>
    <w:rsid w:val="008A4937"/>
    <w:rsid w:val="008A50F1"/>
    <w:rsid w:val="008D1B5C"/>
    <w:rsid w:val="008D3C82"/>
    <w:rsid w:val="008D447E"/>
    <w:rsid w:val="008D7A41"/>
    <w:rsid w:val="008E012B"/>
    <w:rsid w:val="008E3680"/>
    <w:rsid w:val="008E5870"/>
    <w:rsid w:val="008F1434"/>
    <w:rsid w:val="008F715F"/>
    <w:rsid w:val="008F7355"/>
    <w:rsid w:val="009067B7"/>
    <w:rsid w:val="0092146C"/>
    <w:rsid w:val="00921696"/>
    <w:rsid w:val="009249DD"/>
    <w:rsid w:val="00926499"/>
    <w:rsid w:val="00930937"/>
    <w:rsid w:val="00933E6C"/>
    <w:rsid w:val="00934150"/>
    <w:rsid w:val="00937958"/>
    <w:rsid w:val="00942160"/>
    <w:rsid w:val="00946255"/>
    <w:rsid w:val="0095146F"/>
    <w:rsid w:val="009602C5"/>
    <w:rsid w:val="00962223"/>
    <w:rsid w:val="00966D0D"/>
    <w:rsid w:val="00974C21"/>
    <w:rsid w:val="009750BE"/>
    <w:rsid w:val="00984CAD"/>
    <w:rsid w:val="009A1F04"/>
    <w:rsid w:val="009A667B"/>
    <w:rsid w:val="009B0883"/>
    <w:rsid w:val="009B0F67"/>
    <w:rsid w:val="009C703C"/>
    <w:rsid w:val="009D01DC"/>
    <w:rsid w:val="009D0CDF"/>
    <w:rsid w:val="009D3CAA"/>
    <w:rsid w:val="009E40E1"/>
    <w:rsid w:val="009E66F1"/>
    <w:rsid w:val="009F4E46"/>
    <w:rsid w:val="009F5B65"/>
    <w:rsid w:val="009F5F2E"/>
    <w:rsid w:val="009F612B"/>
    <w:rsid w:val="00A02044"/>
    <w:rsid w:val="00A06225"/>
    <w:rsid w:val="00A07488"/>
    <w:rsid w:val="00A076C9"/>
    <w:rsid w:val="00A10982"/>
    <w:rsid w:val="00A128E6"/>
    <w:rsid w:val="00A20615"/>
    <w:rsid w:val="00A21E7C"/>
    <w:rsid w:val="00A23952"/>
    <w:rsid w:val="00A32BD1"/>
    <w:rsid w:val="00A34E6C"/>
    <w:rsid w:val="00A37C8D"/>
    <w:rsid w:val="00A526E5"/>
    <w:rsid w:val="00A5273B"/>
    <w:rsid w:val="00A53A9D"/>
    <w:rsid w:val="00A55FEE"/>
    <w:rsid w:val="00A62C1A"/>
    <w:rsid w:val="00A6426D"/>
    <w:rsid w:val="00A665C1"/>
    <w:rsid w:val="00A70622"/>
    <w:rsid w:val="00A70977"/>
    <w:rsid w:val="00A728B5"/>
    <w:rsid w:val="00A73223"/>
    <w:rsid w:val="00A7516C"/>
    <w:rsid w:val="00A7668E"/>
    <w:rsid w:val="00A77613"/>
    <w:rsid w:val="00A8390C"/>
    <w:rsid w:val="00A928BD"/>
    <w:rsid w:val="00AA1E5B"/>
    <w:rsid w:val="00AA4D1C"/>
    <w:rsid w:val="00AC193C"/>
    <w:rsid w:val="00AC5206"/>
    <w:rsid w:val="00AD053A"/>
    <w:rsid w:val="00AE11A5"/>
    <w:rsid w:val="00AE13E2"/>
    <w:rsid w:val="00AE22D3"/>
    <w:rsid w:val="00AE5856"/>
    <w:rsid w:val="00AF62DF"/>
    <w:rsid w:val="00AF68CC"/>
    <w:rsid w:val="00B06C33"/>
    <w:rsid w:val="00B1059E"/>
    <w:rsid w:val="00B13BA3"/>
    <w:rsid w:val="00B176C8"/>
    <w:rsid w:val="00B205AA"/>
    <w:rsid w:val="00B22E84"/>
    <w:rsid w:val="00B25F75"/>
    <w:rsid w:val="00B26B3F"/>
    <w:rsid w:val="00B318E0"/>
    <w:rsid w:val="00B329C8"/>
    <w:rsid w:val="00B43E90"/>
    <w:rsid w:val="00B44C09"/>
    <w:rsid w:val="00B467DC"/>
    <w:rsid w:val="00B55A73"/>
    <w:rsid w:val="00B56118"/>
    <w:rsid w:val="00B6773F"/>
    <w:rsid w:val="00B801BA"/>
    <w:rsid w:val="00B81A8D"/>
    <w:rsid w:val="00B84412"/>
    <w:rsid w:val="00B84D5C"/>
    <w:rsid w:val="00B876CD"/>
    <w:rsid w:val="00BB69F5"/>
    <w:rsid w:val="00BB7EC3"/>
    <w:rsid w:val="00BC4B9A"/>
    <w:rsid w:val="00BD784C"/>
    <w:rsid w:val="00BE51EE"/>
    <w:rsid w:val="00BF4CB6"/>
    <w:rsid w:val="00BF5083"/>
    <w:rsid w:val="00C00DA7"/>
    <w:rsid w:val="00C11CCD"/>
    <w:rsid w:val="00C12768"/>
    <w:rsid w:val="00C239D0"/>
    <w:rsid w:val="00C23B3F"/>
    <w:rsid w:val="00C27B58"/>
    <w:rsid w:val="00C35996"/>
    <w:rsid w:val="00C4747E"/>
    <w:rsid w:val="00C5342C"/>
    <w:rsid w:val="00C56670"/>
    <w:rsid w:val="00C603D4"/>
    <w:rsid w:val="00C6256A"/>
    <w:rsid w:val="00C661AC"/>
    <w:rsid w:val="00C77891"/>
    <w:rsid w:val="00C812A5"/>
    <w:rsid w:val="00C83259"/>
    <w:rsid w:val="00C91449"/>
    <w:rsid w:val="00C92D10"/>
    <w:rsid w:val="00C944C0"/>
    <w:rsid w:val="00CB13BB"/>
    <w:rsid w:val="00CB1E7B"/>
    <w:rsid w:val="00CB4AA6"/>
    <w:rsid w:val="00CC14C6"/>
    <w:rsid w:val="00CD4DD3"/>
    <w:rsid w:val="00CE10C4"/>
    <w:rsid w:val="00CE27B5"/>
    <w:rsid w:val="00CE75E2"/>
    <w:rsid w:val="00CF1A6C"/>
    <w:rsid w:val="00CF68B6"/>
    <w:rsid w:val="00D00D64"/>
    <w:rsid w:val="00D0321E"/>
    <w:rsid w:val="00D1455A"/>
    <w:rsid w:val="00D31150"/>
    <w:rsid w:val="00D3138B"/>
    <w:rsid w:val="00D3280C"/>
    <w:rsid w:val="00D3406A"/>
    <w:rsid w:val="00D42B30"/>
    <w:rsid w:val="00D4572C"/>
    <w:rsid w:val="00D469B2"/>
    <w:rsid w:val="00D46E80"/>
    <w:rsid w:val="00D5239E"/>
    <w:rsid w:val="00D741EB"/>
    <w:rsid w:val="00D7476B"/>
    <w:rsid w:val="00D83605"/>
    <w:rsid w:val="00D83A4E"/>
    <w:rsid w:val="00D84934"/>
    <w:rsid w:val="00D91271"/>
    <w:rsid w:val="00D919F5"/>
    <w:rsid w:val="00D94F03"/>
    <w:rsid w:val="00DA2CB5"/>
    <w:rsid w:val="00DA4BAC"/>
    <w:rsid w:val="00DA60D1"/>
    <w:rsid w:val="00DC2F37"/>
    <w:rsid w:val="00DC7784"/>
    <w:rsid w:val="00DD18A7"/>
    <w:rsid w:val="00DE5E85"/>
    <w:rsid w:val="00DE6D27"/>
    <w:rsid w:val="00DF0FD4"/>
    <w:rsid w:val="00DF217D"/>
    <w:rsid w:val="00DF26A7"/>
    <w:rsid w:val="00E06BC8"/>
    <w:rsid w:val="00E12016"/>
    <w:rsid w:val="00E15627"/>
    <w:rsid w:val="00E164B3"/>
    <w:rsid w:val="00E16910"/>
    <w:rsid w:val="00E42BDB"/>
    <w:rsid w:val="00E42D43"/>
    <w:rsid w:val="00E52D25"/>
    <w:rsid w:val="00E56893"/>
    <w:rsid w:val="00E57EEB"/>
    <w:rsid w:val="00E62D94"/>
    <w:rsid w:val="00E65E54"/>
    <w:rsid w:val="00E80155"/>
    <w:rsid w:val="00E817EC"/>
    <w:rsid w:val="00E81F28"/>
    <w:rsid w:val="00E848C0"/>
    <w:rsid w:val="00E91B96"/>
    <w:rsid w:val="00E941A1"/>
    <w:rsid w:val="00E95CE3"/>
    <w:rsid w:val="00EA2825"/>
    <w:rsid w:val="00EB0B63"/>
    <w:rsid w:val="00EB1936"/>
    <w:rsid w:val="00EB5088"/>
    <w:rsid w:val="00ED1644"/>
    <w:rsid w:val="00ED2593"/>
    <w:rsid w:val="00ED7D9C"/>
    <w:rsid w:val="00EF44A0"/>
    <w:rsid w:val="00EF4FED"/>
    <w:rsid w:val="00F050BD"/>
    <w:rsid w:val="00F05657"/>
    <w:rsid w:val="00F20F07"/>
    <w:rsid w:val="00F25578"/>
    <w:rsid w:val="00F258E5"/>
    <w:rsid w:val="00F300BC"/>
    <w:rsid w:val="00F309C9"/>
    <w:rsid w:val="00F3334E"/>
    <w:rsid w:val="00F36CCB"/>
    <w:rsid w:val="00F374E5"/>
    <w:rsid w:val="00F43AF2"/>
    <w:rsid w:val="00F5007E"/>
    <w:rsid w:val="00F50EC4"/>
    <w:rsid w:val="00F550CF"/>
    <w:rsid w:val="00F57A6D"/>
    <w:rsid w:val="00F638CC"/>
    <w:rsid w:val="00F64CC1"/>
    <w:rsid w:val="00F65393"/>
    <w:rsid w:val="00F72317"/>
    <w:rsid w:val="00F80475"/>
    <w:rsid w:val="00F80541"/>
    <w:rsid w:val="00F8247A"/>
    <w:rsid w:val="00F96206"/>
    <w:rsid w:val="00F9629A"/>
    <w:rsid w:val="00F97EFC"/>
    <w:rsid w:val="00FA5883"/>
    <w:rsid w:val="00FA6055"/>
    <w:rsid w:val="00FB00D4"/>
    <w:rsid w:val="00FB322F"/>
    <w:rsid w:val="00FB442F"/>
    <w:rsid w:val="00FB67E2"/>
    <w:rsid w:val="00FB7439"/>
    <w:rsid w:val="00FC1929"/>
    <w:rsid w:val="00FC433B"/>
    <w:rsid w:val="00FC5B46"/>
    <w:rsid w:val="00FD36A7"/>
    <w:rsid w:val="00FD6D8E"/>
    <w:rsid w:val="00FE0B1F"/>
    <w:rsid w:val="00FE0E94"/>
    <w:rsid w:val="00FE2FA7"/>
    <w:rsid w:val="00FE4FBF"/>
    <w:rsid w:val="00FE5471"/>
    <w:rsid w:val="00FF00BD"/>
    <w:rsid w:val="00FF1ED4"/>
    <w:rsid w:val="00FF2801"/>
    <w:rsid w:val="00FF66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1510C2"/>
    <w:pPr>
      <w:keepNext/>
      <w:keepLines/>
      <w:spacing w:before="12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887A7B"/>
    <w:pPr>
      <w:keepNext/>
      <w:keepLines/>
      <w:spacing w:before="40"/>
      <w:ind w:left="1440" w:hanging="1440"/>
      <w:outlineLvl w:val="7"/>
    </w:pPr>
    <w:rPr>
      <w:rFonts w:asciiTheme="majorHAnsi" w:eastAsiaTheme="majorEastAsia" w:hAnsiTheme="majorHAnsi" w:cstheme="majorBidi"/>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1510C2"/>
    <w:rPr>
      <w:rFonts w:asciiTheme="minorHAnsi" w:eastAsiaTheme="majorEastAsia" w:hAnsiTheme="minorHAnsi" w:cstheme="majorBidi"/>
      <w:b/>
      <w:i/>
      <w:sz w:val="28"/>
      <w:szCs w:val="28"/>
      <w:lang w:eastAsia="en-US"/>
    </w:rPr>
  </w:style>
  <w:style w:type="paragraph" w:styleId="FootnoteText">
    <w:name w:val="footnote text"/>
    <w:basedOn w:val="Normal"/>
    <w:link w:val="FootnoteTextChar"/>
    <w:rsid w:val="00FD36A7"/>
    <w:rPr>
      <w:sz w:val="20"/>
      <w:szCs w:val="20"/>
    </w:rPr>
  </w:style>
  <w:style w:type="character" w:customStyle="1" w:styleId="FootnoteTextChar">
    <w:name w:val="Footnote Text Char"/>
    <w:basedOn w:val="DefaultParagraphFont"/>
    <w:link w:val="FootnoteText"/>
    <w:rsid w:val="00FD36A7"/>
  </w:style>
  <w:style w:type="character" w:styleId="FootnoteReference">
    <w:name w:val="footnote reference"/>
    <w:basedOn w:val="DefaultParagraphFont"/>
    <w:rsid w:val="00FD36A7"/>
    <w:rPr>
      <w:vertAlign w:val="superscript"/>
    </w:rPr>
  </w:style>
  <w:style w:type="paragraph" w:customStyle="1" w:styleId="TableTextleftalign">
    <w:name w:val="Table Text left align"/>
    <w:basedOn w:val="TableTitlecentred"/>
    <w:link w:val="TableTextleftalignChar"/>
    <w:qFormat/>
    <w:rsid w:val="00303C4A"/>
    <w:pPr>
      <w:jc w:val="left"/>
    </w:pPr>
    <w:rPr>
      <w:b w:val="0"/>
      <w:szCs w:val="18"/>
    </w:rPr>
  </w:style>
  <w:style w:type="paragraph" w:customStyle="1" w:styleId="TableTextcentred">
    <w:name w:val="Table Text centred"/>
    <w:basedOn w:val="Normal"/>
    <w:link w:val="TableTextcentredChar"/>
    <w:qFormat/>
    <w:rsid w:val="00303C4A"/>
    <w:pPr>
      <w:jc w:val="center"/>
    </w:pPr>
    <w:rPr>
      <w:rFonts w:ascii="Calibri" w:hAnsi="Calibri"/>
      <w:sz w:val="18"/>
      <w:szCs w:val="18"/>
      <w:lang w:eastAsia="en-US"/>
    </w:rPr>
  </w:style>
  <w:style w:type="character" w:customStyle="1" w:styleId="TableTextcentredChar">
    <w:name w:val="Table Text centred Char"/>
    <w:basedOn w:val="DefaultParagraphFont"/>
    <w:link w:val="TableTextcentred"/>
    <w:rsid w:val="00303C4A"/>
    <w:rPr>
      <w:rFonts w:ascii="Calibri" w:hAnsi="Calibri"/>
      <w:sz w:val="18"/>
      <w:szCs w:val="18"/>
      <w:lang w:eastAsia="en-US"/>
    </w:rPr>
  </w:style>
  <w:style w:type="character" w:customStyle="1" w:styleId="TableTextleftalignChar">
    <w:name w:val="Table Text left align Char"/>
    <w:basedOn w:val="DefaultParagraphFont"/>
    <w:link w:val="TableTextleftalign"/>
    <w:rsid w:val="00303C4A"/>
    <w:rPr>
      <w:rFonts w:ascii="Calibri" w:hAnsi="Calibri"/>
      <w:sz w:val="18"/>
      <w:szCs w:val="18"/>
      <w:lang w:eastAsia="en-US"/>
    </w:rPr>
  </w:style>
  <w:style w:type="paragraph" w:customStyle="1" w:styleId="TableTitlecentred">
    <w:name w:val="Table Title centred"/>
    <w:basedOn w:val="Normal"/>
    <w:rsid w:val="00303C4A"/>
    <w:pPr>
      <w:jc w:val="center"/>
    </w:pPr>
    <w:rPr>
      <w:rFonts w:ascii="Calibri" w:hAnsi="Calibri"/>
      <w:b/>
      <w:sz w:val="18"/>
      <w:szCs w:val="2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Caption Char,...,c"/>
    <w:basedOn w:val="Normal"/>
    <w:next w:val="Normal"/>
    <w:link w:val="CaptionChar1"/>
    <w:uiPriority w:val="35"/>
    <w:unhideWhenUsed/>
    <w:qFormat/>
    <w:rsid w:val="00303C4A"/>
    <w:pPr>
      <w:keepNext/>
    </w:pPr>
    <w:rPr>
      <w:rFonts w:ascii="Arial Narrow" w:hAnsi="Arial Narrow"/>
      <w:b/>
      <w:bCs/>
      <w:color w:val="000000" w:themeColor="text1"/>
      <w:sz w:val="20"/>
      <w:szCs w:val="20"/>
    </w:rPr>
  </w:style>
  <w:style w:type="table" w:customStyle="1" w:styleId="Submissionstandard2">
    <w:name w:val="Submission standard2"/>
    <w:basedOn w:val="TableNormal"/>
    <w:uiPriority w:val="99"/>
    <w:qFormat/>
    <w:rsid w:val="00AD053A"/>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table" w:customStyle="1" w:styleId="Submissionstandard8">
    <w:name w:val="Submission standard8"/>
    <w:basedOn w:val="TableNormal"/>
    <w:uiPriority w:val="99"/>
    <w:qFormat/>
    <w:rsid w:val="00123FA3"/>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character" w:customStyle="1" w:styleId="TabletextChar">
    <w:name w:val="Table text Char"/>
    <w:link w:val="Tabletext"/>
    <w:uiPriority w:val="2"/>
    <w:rsid w:val="0014113E"/>
    <w:rPr>
      <w:rFonts w:ascii="Arial" w:hAnsi="Arial"/>
      <w:lang w:eastAsia="en-US"/>
    </w:rPr>
  </w:style>
  <w:style w:type="paragraph" w:styleId="BodyTextIndent">
    <w:name w:val="Body Text Indent"/>
    <w:basedOn w:val="Normal"/>
    <w:link w:val="BodyTextIndentChar"/>
    <w:rsid w:val="000414D2"/>
    <w:pPr>
      <w:spacing w:after="120"/>
      <w:ind w:left="283"/>
    </w:pPr>
  </w:style>
  <w:style w:type="character" w:customStyle="1" w:styleId="BodyTextIndentChar">
    <w:name w:val="Body Text Indent Char"/>
    <w:basedOn w:val="DefaultParagraphFont"/>
    <w:link w:val="BodyTextIndent"/>
    <w:rsid w:val="000414D2"/>
    <w:rPr>
      <w:sz w:val="24"/>
      <w:szCs w:val="24"/>
    </w:rPr>
  </w:style>
  <w:style w:type="character" w:customStyle="1" w:styleId="label-">
    <w:name w:val="label-"/>
    <w:basedOn w:val="DefaultParagraphFont"/>
    <w:rsid w:val="002005CE"/>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link w:val="Caption"/>
    <w:rsid w:val="00427071"/>
    <w:rPr>
      <w:rFonts w:ascii="Arial Narrow" w:hAnsi="Arial Narrow"/>
      <w:b/>
      <w:bCs/>
      <w:color w:val="000000" w:themeColor="text1"/>
    </w:rPr>
  </w:style>
  <w:style w:type="paragraph" w:styleId="BodyText">
    <w:name w:val="Body Text"/>
    <w:basedOn w:val="Normal"/>
    <w:link w:val="BodyTextChar"/>
    <w:rsid w:val="004D1CB0"/>
    <w:pPr>
      <w:spacing w:after="120"/>
    </w:pPr>
  </w:style>
  <w:style w:type="character" w:customStyle="1" w:styleId="BodyTextChar">
    <w:name w:val="Body Text Char"/>
    <w:basedOn w:val="DefaultParagraphFont"/>
    <w:link w:val="BodyText"/>
    <w:rsid w:val="004D1CB0"/>
    <w:rPr>
      <w:sz w:val="24"/>
      <w:szCs w:val="24"/>
    </w:rPr>
  </w:style>
  <w:style w:type="character" w:customStyle="1" w:styleId="Heading8Char">
    <w:name w:val="Heading 8 Char"/>
    <w:basedOn w:val="DefaultParagraphFont"/>
    <w:link w:val="Heading8"/>
    <w:uiPriority w:val="7"/>
    <w:rsid w:val="00887A7B"/>
    <w:rPr>
      <w:rFonts w:asciiTheme="majorHAnsi" w:eastAsiaTheme="majorEastAsia" w:hAnsiTheme="majorHAnsi" w:cstheme="majorBidi"/>
      <w:color w:val="272727" w:themeColor="text1" w:themeTint="D8"/>
      <w:sz w:val="21"/>
      <w:szCs w:val="21"/>
      <w:lang w:val="en-GB" w:eastAsia="en-US"/>
    </w:rPr>
  </w:style>
  <w:style w:type="table" w:customStyle="1" w:styleId="PlainTable21">
    <w:name w:val="Plain Table 21"/>
    <w:basedOn w:val="TableNormal"/>
    <w:uiPriority w:val="42"/>
    <w:rsid w:val="00887A7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50CaptionChar">
    <w:name w:val="V5.0 Caption Char"/>
    <w:aliases w:val="Caption Char2 Char Char,Caption Char Char Char2 Char,Caption Char1 Char Char Char1 Char,Caption Char2 Char Char Char1 Char1 Char,Caption Char Char1 Char Char Char1 Char1 Char,Caption Char2 Char1,c Char"/>
    <w:rsid w:val="00887A7B"/>
    <w:rPr>
      <w:rFonts w:ascii="Arial Narrow" w:eastAsia="Calibri" w:hAnsi="Arial Narrow" w:cs="Arial"/>
      <w:b/>
      <w:sz w:val="20"/>
    </w:rPr>
  </w:style>
  <w:style w:type="paragraph" w:customStyle="1" w:styleId="TableNotes0">
    <w:name w:val="TableNotes"/>
    <w:basedOn w:val="Normal"/>
    <w:link w:val="TableNotesChar"/>
    <w:qFormat/>
    <w:rsid w:val="00887A7B"/>
    <w:pPr>
      <w:widowControl w:val="0"/>
      <w:spacing w:after="60"/>
      <w:contextualSpacing/>
      <w:jc w:val="both"/>
    </w:pPr>
    <w:rPr>
      <w:rFonts w:ascii="Arial Narrow" w:hAnsi="Arial Narrow" w:cs="Arial"/>
      <w:snapToGrid w:val="0"/>
      <w:sz w:val="18"/>
      <w:szCs w:val="20"/>
      <w:lang w:val="en-GB" w:eastAsia="en-US"/>
    </w:rPr>
  </w:style>
  <w:style w:type="character" w:customStyle="1" w:styleId="TableNotesChar">
    <w:name w:val="TableNotes Char"/>
    <w:basedOn w:val="DefaultParagraphFont"/>
    <w:link w:val="TableNotes0"/>
    <w:rsid w:val="00887A7B"/>
    <w:rPr>
      <w:rFonts w:ascii="Arial Narrow" w:hAnsi="Arial Narrow" w:cs="Arial"/>
      <w:snapToGrid w:val="0"/>
      <w:sz w:val="18"/>
      <w:lang w:val="en-GB" w:eastAsia="en-US"/>
    </w:rPr>
  </w:style>
  <w:style w:type="character" w:styleId="FollowedHyperlink">
    <w:name w:val="FollowedHyperlink"/>
    <w:basedOn w:val="DefaultParagraphFont"/>
    <w:semiHidden/>
    <w:unhideWhenUsed/>
    <w:rsid w:val="00FE0B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13390934">
      <w:bodyDiv w:val="1"/>
      <w:marLeft w:val="0"/>
      <w:marRight w:val="0"/>
      <w:marTop w:val="0"/>
      <w:marBottom w:val="0"/>
      <w:divBdr>
        <w:top w:val="none" w:sz="0" w:space="0" w:color="auto"/>
        <w:left w:val="none" w:sz="0" w:space="0" w:color="auto"/>
        <w:bottom w:val="none" w:sz="0" w:space="0" w:color="auto"/>
        <w:right w:val="none" w:sz="0" w:space="0" w:color="auto"/>
      </w:divBdr>
    </w:div>
    <w:div w:id="225607093">
      <w:bodyDiv w:val="1"/>
      <w:marLeft w:val="0"/>
      <w:marRight w:val="0"/>
      <w:marTop w:val="0"/>
      <w:marBottom w:val="0"/>
      <w:divBdr>
        <w:top w:val="none" w:sz="0" w:space="0" w:color="auto"/>
        <w:left w:val="none" w:sz="0" w:space="0" w:color="auto"/>
        <w:bottom w:val="none" w:sz="0" w:space="0" w:color="auto"/>
        <w:right w:val="none" w:sz="0" w:space="0" w:color="auto"/>
      </w:divBdr>
    </w:div>
    <w:div w:id="43112535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48065914">
      <w:bodyDiv w:val="1"/>
      <w:marLeft w:val="0"/>
      <w:marRight w:val="0"/>
      <w:marTop w:val="0"/>
      <w:marBottom w:val="0"/>
      <w:divBdr>
        <w:top w:val="none" w:sz="0" w:space="0" w:color="auto"/>
        <w:left w:val="none" w:sz="0" w:space="0" w:color="auto"/>
        <w:bottom w:val="none" w:sz="0" w:space="0" w:color="auto"/>
        <w:right w:val="none" w:sz="0" w:space="0" w:color="auto"/>
      </w:divBdr>
    </w:div>
    <w:div w:id="1244534012">
      <w:bodyDiv w:val="1"/>
      <w:marLeft w:val="0"/>
      <w:marRight w:val="0"/>
      <w:marTop w:val="0"/>
      <w:marBottom w:val="0"/>
      <w:divBdr>
        <w:top w:val="none" w:sz="0" w:space="0" w:color="auto"/>
        <w:left w:val="none" w:sz="0" w:space="0" w:color="auto"/>
        <w:bottom w:val="none" w:sz="0" w:space="0" w:color="auto"/>
        <w:right w:val="none" w:sz="0" w:space="0" w:color="auto"/>
      </w:divBdr>
    </w:div>
    <w:div w:id="1401711614">
      <w:bodyDiv w:val="1"/>
      <w:marLeft w:val="0"/>
      <w:marRight w:val="0"/>
      <w:marTop w:val="0"/>
      <w:marBottom w:val="0"/>
      <w:divBdr>
        <w:top w:val="none" w:sz="0" w:space="0" w:color="auto"/>
        <w:left w:val="none" w:sz="0" w:space="0" w:color="auto"/>
        <w:bottom w:val="none" w:sz="0" w:space="0" w:color="auto"/>
        <w:right w:val="none" w:sz="0" w:space="0" w:color="auto"/>
      </w:divBdr>
    </w:div>
    <w:div w:id="164273117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microsoft.com/office/2016/09/relationships/commentsIds" Target="commentsId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6AE299-306D-4EDF-932C-EEAB380DE230}" type="doc">
      <dgm:prSet loTypeId="urn:microsoft.com/office/officeart/2005/8/layout/process1" loCatId="process" qsTypeId="urn:microsoft.com/office/officeart/2005/8/quickstyle/simple1" qsCatId="simple" csTypeId="urn:microsoft.com/office/officeart/2005/8/colors/colorful1" csCatId="colorful" phldr="1"/>
      <dgm:spPr/>
      <dgm:t>
        <a:bodyPr/>
        <a:lstStyle/>
        <a:p>
          <a:endParaRPr lang="en-AU"/>
        </a:p>
      </dgm:t>
    </dgm:pt>
    <dgm:pt modelId="{296667E1-357F-44CE-826A-85AA42C08C2D}">
      <dgm:prSet phldrT="[Text]" custT="1"/>
      <dgm:spPr/>
      <dgm:t>
        <a:bodyPr/>
        <a:lstStyle/>
        <a:p>
          <a:r>
            <a:rPr lang="en-AU" sz="1200"/>
            <a:t>Lenalidomide</a:t>
          </a:r>
        </a:p>
      </dgm:t>
    </dgm:pt>
    <dgm:pt modelId="{E860FF2B-5660-4707-8B5D-EE594BC72DA9}" type="parTrans" cxnId="{0005DD12-34A5-40D4-8286-C40D30332B7E}">
      <dgm:prSet/>
      <dgm:spPr/>
      <dgm:t>
        <a:bodyPr/>
        <a:lstStyle/>
        <a:p>
          <a:endParaRPr lang="en-AU"/>
        </a:p>
      </dgm:t>
    </dgm:pt>
    <dgm:pt modelId="{B94870C7-8C6F-4761-9166-2A2E75EFF33D}" type="sibTrans" cxnId="{0005DD12-34A5-40D4-8286-C40D30332B7E}">
      <dgm:prSet/>
      <dgm:spPr>
        <a:noFill/>
      </dgm:spPr>
      <dgm:t>
        <a:bodyPr/>
        <a:lstStyle/>
        <a:p>
          <a:endParaRPr lang="en-AU"/>
        </a:p>
      </dgm:t>
    </dgm:pt>
    <dgm:pt modelId="{690C7B7F-251B-4E99-B465-C765ABEE84ED}">
      <dgm:prSet phldrT="[Text]" custT="1"/>
      <dgm:spPr/>
      <dgm:t>
        <a:bodyPr/>
        <a:lstStyle/>
        <a:p>
          <a:r>
            <a:rPr lang="en-AU" sz="1200"/>
            <a:t>Pomalidomide</a:t>
          </a:r>
        </a:p>
      </dgm:t>
    </dgm:pt>
    <dgm:pt modelId="{B3C23648-D9D9-40F4-A97C-B76D28A0D6F3}" type="parTrans" cxnId="{D6CABF1A-AC74-48E9-86D0-145309BDE344}">
      <dgm:prSet/>
      <dgm:spPr/>
      <dgm:t>
        <a:bodyPr/>
        <a:lstStyle/>
        <a:p>
          <a:endParaRPr lang="en-AU"/>
        </a:p>
      </dgm:t>
    </dgm:pt>
    <dgm:pt modelId="{4FC868B1-36B0-4BB2-BFEC-CD8DF824370D}" type="sibTrans" cxnId="{D6CABF1A-AC74-48E9-86D0-145309BDE344}">
      <dgm:prSet/>
      <dgm:spPr>
        <a:noFill/>
      </dgm:spPr>
      <dgm:t>
        <a:bodyPr/>
        <a:lstStyle/>
        <a:p>
          <a:endParaRPr lang="en-AU"/>
        </a:p>
      </dgm:t>
    </dgm:pt>
    <dgm:pt modelId="{D837F04C-929D-49BB-8FCE-154D8FEAEC21}">
      <dgm:prSet custT="1"/>
      <dgm:spPr/>
      <dgm:t>
        <a:bodyPr/>
        <a:lstStyle/>
        <a:p>
          <a:r>
            <a:rPr lang="en-AU" sz="1200"/>
            <a:t>Bortezomib</a:t>
          </a:r>
        </a:p>
      </dgm:t>
    </dgm:pt>
    <dgm:pt modelId="{D1A3F5CD-AA05-4BA5-AFC3-EA662586871E}" type="parTrans" cxnId="{0BBB5232-43A8-4EC5-B653-563523B77311}">
      <dgm:prSet/>
      <dgm:spPr/>
      <dgm:t>
        <a:bodyPr/>
        <a:lstStyle/>
        <a:p>
          <a:endParaRPr lang="en-AU"/>
        </a:p>
      </dgm:t>
    </dgm:pt>
    <dgm:pt modelId="{D288A0EF-0AB2-4E0C-BA40-0AD901CB4263}" type="sibTrans" cxnId="{0BBB5232-43A8-4EC5-B653-563523B77311}">
      <dgm:prSet/>
      <dgm:spPr>
        <a:noFill/>
      </dgm:spPr>
      <dgm:t>
        <a:bodyPr/>
        <a:lstStyle/>
        <a:p>
          <a:endParaRPr lang="en-AU"/>
        </a:p>
      </dgm:t>
    </dgm:pt>
    <dgm:pt modelId="{D7AB54B6-0FD8-49D5-8E10-9D2330396A17}">
      <dgm:prSet phldrT="[Text]" custT="1"/>
      <dgm:spPr>
        <a:solidFill>
          <a:schemeClr val="tx2"/>
        </a:solidFill>
      </dgm:spPr>
      <dgm:t>
        <a:bodyPr/>
        <a:lstStyle/>
        <a:p>
          <a:r>
            <a:rPr lang="en-AU" sz="1200"/>
            <a:t>Carfilzomib</a:t>
          </a:r>
        </a:p>
      </dgm:t>
    </dgm:pt>
    <dgm:pt modelId="{F73BCDA4-C0FC-4841-B250-B8E07B4D9E66}" type="parTrans" cxnId="{69911028-8246-400B-8142-E3335058ECAC}">
      <dgm:prSet/>
      <dgm:spPr/>
      <dgm:t>
        <a:bodyPr/>
        <a:lstStyle/>
        <a:p>
          <a:endParaRPr lang="en-AU"/>
        </a:p>
      </dgm:t>
    </dgm:pt>
    <dgm:pt modelId="{2B7C758D-96EC-45BA-8F14-C9488D26A953}" type="sibTrans" cxnId="{69911028-8246-400B-8142-E3335058ECAC}">
      <dgm:prSet/>
      <dgm:spPr/>
      <dgm:t>
        <a:bodyPr/>
        <a:lstStyle/>
        <a:p>
          <a:endParaRPr lang="en-AU"/>
        </a:p>
      </dgm:t>
    </dgm:pt>
    <dgm:pt modelId="{DEAD7C57-6F73-4CD4-A9EC-71486E73159D}" type="pres">
      <dgm:prSet presAssocID="{E46AE299-306D-4EDF-932C-EEAB380DE230}" presName="Name0" presStyleCnt="0">
        <dgm:presLayoutVars>
          <dgm:dir/>
          <dgm:resizeHandles val="exact"/>
        </dgm:presLayoutVars>
      </dgm:prSet>
      <dgm:spPr/>
      <dgm:t>
        <a:bodyPr/>
        <a:lstStyle/>
        <a:p>
          <a:endParaRPr lang="en-US"/>
        </a:p>
      </dgm:t>
    </dgm:pt>
    <dgm:pt modelId="{07EB2854-DEFD-4F12-A071-D880AFD1C4D7}" type="pres">
      <dgm:prSet presAssocID="{296667E1-357F-44CE-826A-85AA42C08C2D}" presName="node" presStyleLbl="node1" presStyleIdx="0" presStyleCnt="4" custScaleX="149163" custLinFactNeighborX="4116" custLinFactNeighborY="-64045">
        <dgm:presLayoutVars>
          <dgm:bulletEnabled val="1"/>
        </dgm:presLayoutVars>
      </dgm:prSet>
      <dgm:spPr/>
      <dgm:t>
        <a:bodyPr/>
        <a:lstStyle/>
        <a:p>
          <a:endParaRPr lang="en-US"/>
        </a:p>
      </dgm:t>
    </dgm:pt>
    <dgm:pt modelId="{6183B2CC-28F7-4D7A-878F-F20E3F8348DA}" type="pres">
      <dgm:prSet presAssocID="{B94870C7-8C6F-4761-9166-2A2E75EFF33D}" presName="sibTrans" presStyleLbl="sibTrans2D1" presStyleIdx="0" presStyleCnt="3" custScaleX="188341" custScaleY="148527" custLinFactNeighborX="-12437" custLinFactNeighborY="-95577"/>
      <dgm:spPr/>
      <dgm:t>
        <a:bodyPr/>
        <a:lstStyle/>
        <a:p>
          <a:endParaRPr lang="en-US"/>
        </a:p>
      </dgm:t>
    </dgm:pt>
    <dgm:pt modelId="{4A25F957-C83B-4007-8EAF-CD80C4CEEB79}" type="pres">
      <dgm:prSet presAssocID="{B94870C7-8C6F-4761-9166-2A2E75EFF33D}" presName="connectorText" presStyleLbl="sibTrans2D1" presStyleIdx="0" presStyleCnt="3"/>
      <dgm:spPr/>
      <dgm:t>
        <a:bodyPr/>
        <a:lstStyle/>
        <a:p>
          <a:endParaRPr lang="en-US"/>
        </a:p>
      </dgm:t>
    </dgm:pt>
    <dgm:pt modelId="{CA650034-5C99-4905-92A3-6439EDC197F1}" type="pres">
      <dgm:prSet presAssocID="{D837F04C-929D-49BB-8FCE-154D8FEAEC21}" presName="node" presStyleLbl="node1" presStyleIdx="1" presStyleCnt="4" custScaleX="159354" custLinFactX="48672" custLinFactNeighborX="100000" custLinFactNeighborY="-94542">
        <dgm:presLayoutVars>
          <dgm:bulletEnabled val="1"/>
        </dgm:presLayoutVars>
      </dgm:prSet>
      <dgm:spPr/>
      <dgm:t>
        <a:bodyPr/>
        <a:lstStyle/>
        <a:p>
          <a:endParaRPr lang="en-US"/>
        </a:p>
      </dgm:t>
    </dgm:pt>
    <dgm:pt modelId="{5945D42B-5439-49EC-92EB-BDF58654D0CF}" type="pres">
      <dgm:prSet presAssocID="{D288A0EF-0AB2-4E0C-BA40-0AD901CB4263}" presName="sibTrans" presStyleLbl="sibTrans2D1" presStyleIdx="1" presStyleCnt="3" custAng="534890" custScaleX="163650" custScaleY="165747" custLinFactNeighborX="4441" custLinFactNeighborY="-1"/>
      <dgm:spPr/>
      <dgm:t>
        <a:bodyPr/>
        <a:lstStyle/>
        <a:p>
          <a:endParaRPr lang="en-US"/>
        </a:p>
      </dgm:t>
    </dgm:pt>
    <dgm:pt modelId="{0F6C592D-C554-450C-B221-AE3F1412A9A4}" type="pres">
      <dgm:prSet presAssocID="{D288A0EF-0AB2-4E0C-BA40-0AD901CB4263}" presName="connectorText" presStyleLbl="sibTrans2D1" presStyleIdx="1" presStyleCnt="3"/>
      <dgm:spPr/>
      <dgm:t>
        <a:bodyPr/>
        <a:lstStyle/>
        <a:p>
          <a:endParaRPr lang="en-US"/>
        </a:p>
      </dgm:t>
    </dgm:pt>
    <dgm:pt modelId="{CCB2F44B-B3C6-4A9E-857C-1FC4DE91DCC4}" type="pres">
      <dgm:prSet presAssocID="{690C7B7F-251B-4E99-B465-C765ABEE84ED}" presName="node" presStyleLbl="node1" presStyleIdx="2" presStyleCnt="4" custScaleX="186240" custScaleY="67044" custLinFactX="100000" custLinFactNeighborX="107414" custLinFactNeighborY="-58907">
        <dgm:presLayoutVars>
          <dgm:bulletEnabled val="1"/>
        </dgm:presLayoutVars>
      </dgm:prSet>
      <dgm:spPr/>
      <dgm:t>
        <a:bodyPr/>
        <a:lstStyle/>
        <a:p>
          <a:endParaRPr lang="en-US"/>
        </a:p>
      </dgm:t>
    </dgm:pt>
    <dgm:pt modelId="{876858EA-13BD-4720-AD3E-22884E0CAC14}" type="pres">
      <dgm:prSet presAssocID="{4FC868B1-36B0-4BB2-BFEC-CD8DF824370D}" presName="sibTrans" presStyleLbl="sibTrans2D1" presStyleIdx="2" presStyleCnt="3"/>
      <dgm:spPr/>
      <dgm:t>
        <a:bodyPr/>
        <a:lstStyle/>
        <a:p>
          <a:endParaRPr lang="en-US"/>
        </a:p>
      </dgm:t>
    </dgm:pt>
    <dgm:pt modelId="{1DB37ACC-9F76-434B-BBD2-03C6F9DC4940}" type="pres">
      <dgm:prSet presAssocID="{4FC868B1-36B0-4BB2-BFEC-CD8DF824370D}" presName="connectorText" presStyleLbl="sibTrans2D1" presStyleIdx="2" presStyleCnt="3"/>
      <dgm:spPr/>
      <dgm:t>
        <a:bodyPr/>
        <a:lstStyle/>
        <a:p>
          <a:endParaRPr lang="en-US"/>
        </a:p>
      </dgm:t>
    </dgm:pt>
    <dgm:pt modelId="{11800D6F-92F5-4674-B88F-84D7270774D1}" type="pres">
      <dgm:prSet presAssocID="{D7AB54B6-0FD8-49D5-8E10-9D2330396A17}" presName="node" presStyleLbl="node1" presStyleIdx="3" presStyleCnt="4" custScaleX="149174" custLinFactX="-229297" custLinFactY="20001" custLinFactNeighborX="-300000" custLinFactNeighborY="100000">
        <dgm:presLayoutVars>
          <dgm:bulletEnabled val="1"/>
        </dgm:presLayoutVars>
      </dgm:prSet>
      <dgm:spPr/>
      <dgm:t>
        <a:bodyPr/>
        <a:lstStyle/>
        <a:p>
          <a:endParaRPr lang="en-US"/>
        </a:p>
      </dgm:t>
    </dgm:pt>
  </dgm:ptLst>
  <dgm:cxnLst>
    <dgm:cxn modelId="{69911028-8246-400B-8142-E3335058ECAC}" srcId="{E46AE299-306D-4EDF-932C-EEAB380DE230}" destId="{D7AB54B6-0FD8-49D5-8E10-9D2330396A17}" srcOrd="3" destOrd="0" parTransId="{F73BCDA4-C0FC-4841-B250-B8E07B4D9E66}" sibTransId="{2B7C758D-96EC-45BA-8F14-C9488D26A953}"/>
    <dgm:cxn modelId="{FC285F4C-9C5E-4E90-8F94-33648CD50730}" type="presOf" srcId="{690C7B7F-251B-4E99-B465-C765ABEE84ED}" destId="{CCB2F44B-B3C6-4A9E-857C-1FC4DE91DCC4}" srcOrd="0" destOrd="0" presId="urn:microsoft.com/office/officeart/2005/8/layout/process1"/>
    <dgm:cxn modelId="{3AD487C5-15A6-435B-BAE6-31A512CB831C}" type="presOf" srcId="{E46AE299-306D-4EDF-932C-EEAB380DE230}" destId="{DEAD7C57-6F73-4CD4-A9EC-71486E73159D}" srcOrd="0" destOrd="0" presId="urn:microsoft.com/office/officeart/2005/8/layout/process1"/>
    <dgm:cxn modelId="{6D5FE362-AC04-4666-9883-2EEBA4FAECF3}" type="presOf" srcId="{4FC868B1-36B0-4BB2-BFEC-CD8DF824370D}" destId="{876858EA-13BD-4720-AD3E-22884E0CAC14}" srcOrd="0" destOrd="0" presId="urn:microsoft.com/office/officeart/2005/8/layout/process1"/>
    <dgm:cxn modelId="{C6BCC903-FA07-418B-BDDF-BFD61CD51EF4}" type="presOf" srcId="{296667E1-357F-44CE-826A-85AA42C08C2D}" destId="{07EB2854-DEFD-4F12-A071-D880AFD1C4D7}" srcOrd="0" destOrd="0" presId="urn:microsoft.com/office/officeart/2005/8/layout/process1"/>
    <dgm:cxn modelId="{74F7114D-2EEF-42CC-89C8-DF6B02E411DF}" type="presOf" srcId="{D7AB54B6-0FD8-49D5-8E10-9D2330396A17}" destId="{11800D6F-92F5-4674-B88F-84D7270774D1}" srcOrd="0" destOrd="0" presId="urn:microsoft.com/office/officeart/2005/8/layout/process1"/>
    <dgm:cxn modelId="{70F31BFD-5EEB-4130-AB3F-B74D61161A8F}" type="presOf" srcId="{4FC868B1-36B0-4BB2-BFEC-CD8DF824370D}" destId="{1DB37ACC-9F76-434B-BBD2-03C6F9DC4940}" srcOrd="1" destOrd="0" presId="urn:microsoft.com/office/officeart/2005/8/layout/process1"/>
    <dgm:cxn modelId="{CD4C8C2C-861D-4E61-82BC-CF52C8562581}" type="presOf" srcId="{D288A0EF-0AB2-4E0C-BA40-0AD901CB4263}" destId="{0F6C592D-C554-450C-B221-AE3F1412A9A4}" srcOrd="1" destOrd="0" presId="urn:microsoft.com/office/officeart/2005/8/layout/process1"/>
    <dgm:cxn modelId="{E9663651-B3B1-45DC-AC64-E28C7833BDEB}" type="presOf" srcId="{D288A0EF-0AB2-4E0C-BA40-0AD901CB4263}" destId="{5945D42B-5439-49EC-92EB-BDF58654D0CF}" srcOrd="0" destOrd="0" presId="urn:microsoft.com/office/officeart/2005/8/layout/process1"/>
    <dgm:cxn modelId="{4284FDBB-FBA9-4F01-A265-93C01A970769}" type="presOf" srcId="{B94870C7-8C6F-4761-9166-2A2E75EFF33D}" destId="{6183B2CC-28F7-4D7A-878F-F20E3F8348DA}" srcOrd="0" destOrd="0" presId="urn:microsoft.com/office/officeart/2005/8/layout/process1"/>
    <dgm:cxn modelId="{0005DD12-34A5-40D4-8286-C40D30332B7E}" srcId="{E46AE299-306D-4EDF-932C-EEAB380DE230}" destId="{296667E1-357F-44CE-826A-85AA42C08C2D}" srcOrd="0" destOrd="0" parTransId="{E860FF2B-5660-4707-8B5D-EE594BC72DA9}" sibTransId="{B94870C7-8C6F-4761-9166-2A2E75EFF33D}"/>
    <dgm:cxn modelId="{0BBB5232-43A8-4EC5-B653-563523B77311}" srcId="{E46AE299-306D-4EDF-932C-EEAB380DE230}" destId="{D837F04C-929D-49BB-8FCE-154D8FEAEC21}" srcOrd="1" destOrd="0" parTransId="{D1A3F5CD-AA05-4BA5-AFC3-EA662586871E}" sibTransId="{D288A0EF-0AB2-4E0C-BA40-0AD901CB4263}"/>
    <dgm:cxn modelId="{D6CABF1A-AC74-48E9-86D0-145309BDE344}" srcId="{E46AE299-306D-4EDF-932C-EEAB380DE230}" destId="{690C7B7F-251B-4E99-B465-C765ABEE84ED}" srcOrd="2" destOrd="0" parTransId="{B3C23648-D9D9-40F4-A97C-B76D28A0D6F3}" sibTransId="{4FC868B1-36B0-4BB2-BFEC-CD8DF824370D}"/>
    <dgm:cxn modelId="{0FD1C68F-45EC-49A8-9B52-F731E253D441}" type="presOf" srcId="{D837F04C-929D-49BB-8FCE-154D8FEAEC21}" destId="{CA650034-5C99-4905-92A3-6439EDC197F1}" srcOrd="0" destOrd="0" presId="urn:microsoft.com/office/officeart/2005/8/layout/process1"/>
    <dgm:cxn modelId="{0653FAAC-C684-4F1C-9DFD-76507BE9D429}" type="presOf" srcId="{B94870C7-8C6F-4761-9166-2A2E75EFF33D}" destId="{4A25F957-C83B-4007-8EAF-CD80C4CEEB79}" srcOrd="1" destOrd="0" presId="urn:microsoft.com/office/officeart/2005/8/layout/process1"/>
    <dgm:cxn modelId="{C97688D2-AB79-4A40-BB24-1BFCAB3704DE}" type="presParOf" srcId="{DEAD7C57-6F73-4CD4-A9EC-71486E73159D}" destId="{07EB2854-DEFD-4F12-A071-D880AFD1C4D7}" srcOrd="0" destOrd="0" presId="urn:microsoft.com/office/officeart/2005/8/layout/process1"/>
    <dgm:cxn modelId="{7C2B0801-EA94-4D5A-B10D-3EF83F548B63}" type="presParOf" srcId="{DEAD7C57-6F73-4CD4-A9EC-71486E73159D}" destId="{6183B2CC-28F7-4D7A-878F-F20E3F8348DA}" srcOrd="1" destOrd="0" presId="urn:microsoft.com/office/officeart/2005/8/layout/process1"/>
    <dgm:cxn modelId="{528FDCDF-97AA-4E47-8F17-D5BAB4828BE4}" type="presParOf" srcId="{6183B2CC-28F7-4D7A-878F-F20E3F8348DA}" destId="{4A25F957-C83B-4007-8EAF-CD80C4CEEB79}" srcOrd="0" destOrd="0" presId="urn:microsoft.com/office/officeart/2005/8/layout/process1"/>
    <dgm:cxn modelId="{324B8A84-F82F-41E0-AADA-BBA854BA852C}" type="presParOf" srcId="{DEAD7C57-6F73-4CD4-A9EC-71486E73159D}" destId="{CA650034-5C99-4905-92A3-6439EDC197F1}" srcOrd="2" destOrd="0" presId="urn:microsoft.com/office/officeart/2005/8/layout/process1"/>
    <dgm:cxn modelId="{F6514C3F-AC27-4DB6-8675-DF8719C7B3B2}" type="presParOf" srcId="{DEAD7C57-6F73-4CD4-A9EC-71486E73159D}" destId="{5945D42B-5439-49EC-92EB-BDF58654D0CF}" srcOrd="3" destOrd="0" presId="urn:microsoft.com/office/officeart/2005/8/layout/process1"/>
    <dgm:cxn modelId="{3D4836D8-2A8F-4F4D-B135-ACA6A4678B8E}" type="presParOf" srcId="{5945D42B-5439-49EC-92EB-BDF58654D0CF}" destId="{0F6C592D-C554-450C-B221-AE3F1412A9A4}" srcOrd="0" destOrd="0" presId="urn:microsoft.com/office/officeart/2005/8/layout/process1"/>
    <dgm:cxn modelId="{655A7941-5C1E-4720-ABF3-803EF1932722}" type="presParOf" srcId="{DEAD7C57-6F73-4CD4-A9EC-71486E73159D}" destId="{CCB2F44B-B3C6-4A9E-857C-1FC4DE91DCC4}" srcOrd="4" destOrd="0" presId="urn:microsoft.com/office/officeart/2005/8/layout/process1"/>
    <dgm:cxn modelId="{10E5A179-6921-4521-9E37-DB5003A2E3F2}" type="presParOf" srcId="{DEAD7C57-6F73-4CD4-A9EC-71486E73159D}" destId="{876858EA-13BD-4720-AD3E-22884E0CAC14}" srcOrd="5" destOrd="0" presId="urn:microsoft.com/office/officeart/2005/8/layout/process1"/>
    <dgm:cxn modelId="{5082049A-7649-42EE-99A6-6E4ADE540092}" type="presParOf" srcId="{876858EA-13BD-4720-AD3E-22884E0CAC14}" destId="{1DB37ACC-9F76-434B-BBD2-03C6F9DC4940}" srcOrd="0" destOrd="0" presId="urn:microsoft.com/office/officeart/2005/8/layout/process1"/>
    <dgm:cxn modelId="{F6235819-0E71-455D-8253-601E61BE2AD6}" type="presParOf" srcId="{DEAD7C57-6F73-4CD4-A9EC-71486E73159D}" destId="{11800D6F-92F5-4674-B88F-84D7270774D1}"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EB2854-DEFD-4F12-A071-D880AFD1C4D7}">
      <dsp:nvSpPr>
        <dsp:cNvPr id="0" name=""/>
        <dsp:cNvSpPr/>
      </dsp:nvSpPr>
      <dsp:spPr>
        <a:xfrm>
          <a:off x="9963" y="674050"/>
          <a:ext cx="1083486" cy="43625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t>Lenalidomide</a:t>
          </a:r>
        </a:p>
      </dsp:txBody>
      <dsp:txXfrm>
        <a:off x="22740" y="686827"/>
        <a:ext cx="1057932" cy="410698"/>
      </dsp:txXfrm>
    </dsp:sp>
    <dsp:sp modelId="{6183B2CC-28F7-4D7A-878F-F20E3F8348DA}">
      <dsp:nvSpPr>
        <dsp:cNvPr id="0" name=""/>
        <dsp:cNvSpPr/>
      </dsp:nvSpPr>
      <dsp:spPr>
        <a:xfrm rot="21364099">
          <a:off x="1051582" y="520133"/>
          <a:ext cx="815746" cy="267558"/>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AU" sz="1100" kern="1200"/>
        </a:p>
      </dsp:txBody>
      <dsp:txXfrm>
        <a:off x="1051676" y="576397"/>
        <a:ext cx="735479" cy="160534"/>
      </dsp:txXfrm>
    </dsp:sp>
    <dsp:sp modelId="{CA650034-5C99-4905-92A3-6439EDC197F1}">
      <dsp:nvSpPr>
        <dsp:cNvPr id="0" name=""/>
        <dsp:cNvSpPr/>
      </dsp:nvSpPr>
      <dsp:spPr>
        <a:xfrm>
          <a:off x="1908737" y="541006"/>
          <a:ext cx="1157511" cy="43625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t>Bortezomib</a:t>
          </a:r>
        </a:p>
      </dsp:txBody>
      <dsp:txXfrm>
        <a:off x="1921514" y="553783"/>
        <a:ext cx="1131957" cy="410698"/>
      </dsp:txXfrm>
    </dsp:sp>
    <dsp:sp modelId="{5945D42B-5439-49EC-92EB-BDF58654D0CF}">
      <dsp:nvSpPr>
        <dsp:cNvPr id="0" name=""/>
        <dsp:cNvSpPr/>
      </dsp:nvSpPr>
      <dsp:spPr>
        <a:xfrm rot="794698">
          <a:off x="3148987" y="684780"/>
          <a:ext cx="694065" cy="298579"/>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AU" sz="1200" kern="1200"/>
        </a:p>
      </dsp:txBody>
      <dsp:txXfrm>
        <a:off x="3150178" y="734235"/>
        <a:ext cx="604491" cy="179147"/>
      </dsp:txXfrm>
    </dsp:sp>
    <dsp:sp modelId="{CCB2F44B-B3C6-4A9E-857C-1FC4DE91DCC4}">
      <dsp:nvSpPr>
        <dsp:cNvPr id="0" name=""/>
        <dsp:cNvSpPr/>
      </dsp:nvSpPr>
      <dsp:spPr>
        <a:xfrm>
          <a:off x="3864183" y="768351"/>
          <a:ext cx="1352805" cy="29248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t>Pomalidomide</a:t>
          </a:r>
        </a:p>
      </dsp:txBody>
      <dsp:txXfrm>
        <a:off x="3872749" y="776917"/>
        <a:ext cx="1335673" cy="275349"/>
      </dsp:txXfrm>
    </dsp:sp>
    <dsp:sp modelId="{876858EA-13BD-4720-AD3E-22884E0CAC14}">
      <dsp:nvSpPr>
        <dsp:cNvPr id="0" name=""/>
        <dsp:cNvSpPr/>
      </dsp:nvSpPr>
      <dsp:spPr>
        <a:xfrm rot="9558792">
          <a:off x="3244973" y="1192041"/>
          <a:ext cx="644639" cy="180141"/>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rot="10800000">
        <a:off x="3297273" y="1218524"/>
        <a:ext cx="590597" cy="108085"/>
      </dsp:txXfrm>
    </dsp:sp>
    <dsp:sp modelId="{11800D6F-92F5-4674-B88F-84D7270774D1}">
      <dsp:nvSpPr>
        <dsp:cNvPr id="0" name=""/>
        <dsp:cNvSpPr/>
      </dsp:nvSpPr>
      <dsp:spPr>
        <a:xfrm>
          <a:off x="1931855" y="1476956"/>
          <a:ext cx="1083566" cy="436252"/>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t>Carfilzomib</a:t>
          </a:r>
        </a:p>
      </dsp:txBody>
      <dsp:txXfrm>
        <a:off x="1944632" y="1489733"/>
        <a:ext cx="1058012" cy="4106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893BE-B59F-4582-A319-36E21279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1750</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2019-02-21T23:02:00Z</dcterms:created>
  <dcterms:modified xsi:type="dcterms:W3CDTF">2019-02-26T02:28:00Z</dcterms:modified>
</cp:coreProperties>
</file>