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A01" w:rsidRDefault="009027BE" w:rsidP="009F0049">
      <w:pPr>
        <w:widowControl/>
        <w:ind w:left="850" w:hanging="850"/>
        <w:jc w:val="left"/>
        <w:rPr>
          <w:b/>
          <w:sz w:val="36"/>
          <w:szCs w:val="36"/>
        </w:rPr>
      </w:pPr>
      <w:bookmarkStart w:id="0" w:name="_GoBack"/>
      <w:bookmarkEnd w:id="0"/>
      <w:r>
        <w:rPr>
          <w:b/>
          <w:sz w:val="36"/>
          <w:szCs w:val="36"/>
        </w:rPr>
        <w:t>6.03</w:t>
      </w:r>
      <w:r w:rsidR="004D1E38">
        <w:rPr>
          <w:b/>
          <w:sz w:val="36"/>
          <w:szCs w:val="36"/>
        </w:rPr>
        <w:tab/>
        <w:t>CLOSTRIDIUM BOTULINUM TYPE A TOXIN-HAEMAGGLUTININ COMPLEX</w:t>
      </w:r>
      <w:r w:rsidR="00B60939" w:rsidRPr="00C12C14">
        <w:rPr>
          <w:b/>
          <w:sz w:val="36"/>
          <w:szCs w:val="36"/>
        </w:rPr>
        <w:t xml:space="preserve">, </w:t>
      </w:r>
    </w:p>
    <w:p w:rsidR="00611D60" w:rsidRDefault="00A9509B" w:rsidP="009F0049">
      <w:pPr>
        <w:widowControl/>
        <w:ind w:left="850"/>
        <w:jc w:val="left"/>
        <w:rPr>
          <w:b/>
          <w:sz w:val="36"/>
          <w:szCs w:val="36"/>
        </w:rPr>
      </w:pPr>
      <w:r>
        <w:rPr>
          <w:b/>
          <w:sz w:val="36"/>
          <w:szCs w:val="36"/>
        </w:rPr>
        <w:t>Lyophilised powder for I.M. injection</w:t>
      </w:r>
      <w:r w:rsidR="009027BE">
        <w:rPr>
          <w:b/>
          <w:sz w:val="36"/>
          <w:szCs w:val="36"/>
        </w:rPr>
        <w:t>,</w:t>
      </w:r>
      <w:r w:rsidR="00B60939" w:rsidRPr="00C12C14">
        <w:rPr>
          <w:b/>
          <w:sz w:val="36"/>
          <w:szCs w:val="36"/>
        </w:rPr>
        <w:t xml:space="preserve"> </w:t>
      </w:r>
      <w:r w:rsidR="004D1E38">
        <w:rPr>
          <w:b/>
          <w:sz w:val="36"/>
          <w:szCs w:val="36"/>
        </w:rPr>
        <w:t>300 units, 500 units</w:t>
      </w:r>
      <w:r w:rsidR="00B60939" w:rsidRPr="00C12C14">
        <w:rPr>
          <w:b/>
          <w:sz w:val="36"/>
          <w:szCs w:val="36"/>
        </w:rPr>
        <w:t xml:space="preserve">, </w:t>
      </w:r>
    </w:p>
    <w:p w:rsidR="00B60939" w:rsidRPr="00C12C14" w:rsidRDefault="004D1E38" w:rsidP="009F0049">
      <w:pPr>
        <w:widowControl/>
        <w:ind w:left="850"/>
        <w:jc w:val="left"/>
        <w:rPr>
          <w:b/>
          <w:sz w:val="36"/>
          <w:szCs w:val="36"/>
        </w:rPr>
      </w:pPr>
      <w:proofErr w:type="spellStart"/>
      <w:r>
        <w:rPr>
          <w:b/>
          <w:sz w:val="36"/>
          <w:szCs w:val="36"/>
        </w:rPr>
        <w:t>Dysport</w:t>
      </w:r>
      <w:proofErr w:type="spellEnd"/>
      <w:r w:rsidR="00B60939" w:rsidRPr="0062184F">
        <w:rPr>
          <w:b/>
          <w:sz w:val="36"/>
          <w:szCs w:val="36"/>
        </w:rPr>
        <w:t>®</w:t>
      </w:r>
      <w:r w:rsidR="00B60939" w:rsidRPr="00C12C14">
        <w:rPr>
          <w:b/>
          <w:sz w:val="36"/>
          <w:szCs w:val="36"/>
        </w:rPr>
        <w:t xml:space="preserve">, </w:t>
      </w:r>
      <w:proofErr w:type="spellStart"/>
      <w:r>
        <w:rPr>
          <w:b/>
          <w:sz w:val="36"/>
          <w:szCs w:val="36"/>
        </w:rPr>
        <w:t>Ipsen</w:t>
      </w:r>
      <w:proofErr w:type="spellEnd"/>
      <w:r>
        <w:rPr>
          <w:b/>
          <w:sz w:val="36"/>
          <w:szCs w:val="36"/>
        </w:rPr>
        <w:t xml:space="preserve"> Pty Ltd</w:t>
      </w:r>
      <w:r w:rsidR="00B60939" w:rsidRPr="00C12C14">
        <w:rPr>
          <w:b/>
          <w:sz w:val="36"/>
          <w:szCs w:val="36"/>
        </w:rPr>
        <w:t>.</w:t>
      </w:r>
    </w:p>
    <w:p w:rsidR="00B50DB8" w:rsidRPr="002B60F7" w:rsidRDefault="00B50DB8" w:rsidP="00611D60">
      <w:pPr>
        <w:pStyle w:val="Heading1"/>
      </w:pPr>
      <w:bookmarkStart w:id="1" w:name="_Toc524461018"/>
      <w:r w:rsidRPr="002B60F7">
        <w:t>Purpose of Application</w:t>
      </w:r>
      <w:bookmarkEnd w:id="1"/>
    </w:p>
    <w:p w:rsidR="0081057C" w:rsidRDefault="009027BE" w:rsidP="009F0049">
      <w:pPr>
        <w:pStyle w:val="ListParagraph"/>
        <w:widowControl/>
        <w:numPr>
          <w:ilvl w:val="1"/>
          <w:numId w:val="1"/>
        </w:numPr>
      </w:pPr>
      <w:r>
        <w:t>The submission requested a</w:t>
      </w:r>
      <w:r w:rsidR="00650A02">
        <w:t>n extension of the current</w:t>
      </w:r>
      <w:r>
        <w:t xml:space="preserve"> </w:t>
      </w:r>
      <w:r w:rsidR="007F1C53">
        <w:t>Section 100 (Botulinum Toxin Program), Authority Required (</w:t>
      </w:r>
      <w:r w:rsidR="00F13325">
        <w:t>Streamlined</w:t>
      </w:r>
      <w:r w:rsidR="0081057C">
        <w:t>) listing for C</w:t>
      </w:r>
      <w:r w:rsidR="007F1C53">
        <w:t>lostridium botulinum ty</w:t>
      </w:r>
      <w:r w:rsidR="003B7CBA">
        <w:t>pe A toxin-haemagglutin</w:t>
      </w:r>
      <w:r w:rsidR="00D80080">
        <w:t>in</w:t>
      </w:r>
      <w:r w:rsidR="003B7CBA">
        <w:t xml:space="preserve"> complex</w:t>
      </w:r>
      <w:r w:rsidR="007F1C53">
        <w:t xml:space="preserve"> </w:t>
      </w:r>
      <w:r w:rsidR="003B7CBA">
        <w:t>(</w:t>
      </w:r>
      <w:r w:rsidR="007F1C53">
        <w:t>herein known as Dysport</w:t>
      </w:r>
      <w:r w:rsidR="003B7CBA">
        <w:rPr>
          <w:rFonts w:cs="Calibri"/>
        </w:rPr>
        <w:t>®)</w:t>
      </w:r>
      <w:r w:rsidR="007F1C53">
        <w:t xml:space="preserve"> for treatment of moderate to severe focal spasticity of the upper limb following a</w:t>
      </w:r>
      <w:r w:rsidR="00650A02">
        <w:t xml:space="preserve"> stroke</w:t>
      </w:r>
      <w:r w:rsidR="00F13325">
        <w:t>,</w:t>
      </w:r>
      <w:r w:rsidR="00650A02">
        <w:t xml:space="preserve"> to </w:t>
      </w:r>
      <w:r w:rsidR="00F13325">
        <w:t xml:space="preserve">include </w:t>
      </w:r>
      <w:r w:rsidR="0081057C">
        <w:t>spasticity</w:t>
      </w:r>
      <w:r w:rsidR="00F13325">
        <w:t xml:space="preserve"> </w:t>
      </w:r>
      <w:r w:rsidR="00650A02">
        <w:t>following a</w:t>
      </w:r>
      <w:r w:rsidR="007F1C53">
        <w:t>n acute event</w:t>
      </w:r>
      <w:r w:rsidR="007F1C53" w:rsidRPr="004B3DDB">
        <w:t>.</w:t>
      </w:r>
      <w:r w:rsidR="00642FE1">
        <w:t xml:space="preserve"> </w:t>
      </w:r>
      <w:r w:rsidR="00650A02" w:rsidRPr="00F0221A">
        <w:t>An acute event was defined by the submission as an event that leads to an upper motor neuron lesion resulting in spasticity such as stroke, traumatic brain injury (TBI),</w:t>
      </w:r>
      <w:r w:rsidR="0081057C">
        <w:t xml:space="preserve"> spinal cord injury,</w:t>
      </w:r>
      <w:r w:rsidR="00650A02" w:rsidRPr="00F0221A">
        <w:t xml:space="preserve"> infection or hypoxia.</w:t>
      </w:r>
      <w:r w:rsidR="00642FE1">
        <w:t xml:space="preserve"> </w:t>
      </w:r>
    </w:p>
    <w:p w:rsidR="006B2B95" w:rsidRPr="00142D5A" w:rsidRDefault="007F1C53" w:rsidP="00142D5A">
      <w:pPr>
        <w:pStyle w:val="ListParagraph"/>
        <w:widowControl/>
        <w:numPr>
          <w:ilvl w:val="1"/>
          <w:numId w:val="1"/>
        </w:numPr>
      </w:pPr>
      <w:r>
        <w:t xml:space="preserve">This submission also requested </w:t>
      </w:r>
      <w:r w:rsidR="00387C69">
        <w:t xml:space="preserve">the </w:t>
      </w:r>
      <w:r>
        <w:t>remov</w:t>
      </w:r>
      <w:r w:rsidR="00387C69">
        <w:t>al of</w:t>
      </w:r>
      <w:r>
        <w:t xml:space="preserve"> the current maximum </w:t>
      </w:r>
      <w:r w:rsidR="009027BE">
        <w:t xml:space="preserve">of </w:t>
      </w:r>
      <w:r>
        <w:t>four treatment period</w:t>
      </w:r>
      <w:r w:rsidR="009027BE">
        <w:t>s</w:t>
      </w:r>
      <w:r>
        <w:t xml:space="preserve"> per </w:t>
      </w:r>
      <w:r w:rsidR="009027BE">
        <w:t xml:space="preserve">upper limb per </w:t>
      </w:r>
      <w:r>
        <w:t xml:space="preserve">lifetime restriction for Dysport® in upper limb </w:t>
      </w:r>
      <w:r w:rsidRPr="00142D5A">
        <w:t>focal spasticity.</w:t>
      </w:r>
      <w:r w:rsidR="00642FE1" w:rsidRPr="00142D5A">
        <w:t xml:space="preserve"> </w:t>
      </w:r>
    </w:p>
    <w:p w:rsidR="00142D5A" w:rsidRPr="00142D5A" w:rsidRDefault="00142D5A" w:rsidP="00142D5A">
      <w:pPr>
        <w:pStyle w:val="ListParagraph"/>
        <w:widowControl/>
        <w:numPr>
          <w:ilvl w:val="1"/>
          <w:numId w:val="1"/>
        </w:numPr>
        <w:spacing w:after="120"/>
      </w:pPr>
      <w:r w:rsidRPr="00142D5A">
        <w:t>At the November 2018 meeting the PBAC also considered a submission for Dysport</w:t>
      </w:r>
      <w:r w:rsidRPr="00142D5A">
        <w:rPr>
          <w:rFonts w:cs="Calibri"/>
        </w:rPr>
        <w:t>®</w:t>
      </w:r>
      <w:r w:rsidRPr="00142D5A">
        <w:t xml:space="preserve"> in the treatment of lower limb spasticity following an acute event (Item 6.02) and botulinum toxin type-A  (BOTOX</w:t>
      </w:r>
      <w:r w:rsidRPr="00142D5A">
        <w:rPr>
          <w:rFonts w:cs="Calibri"/>
        </w:rPr>
        <w:t>®)</w:t>
      </w:r>
      <w:r w:rsidRPr="00142D5A">
        <w:t xml:space="preserve"> for the treatment of lower limb spasticity following a stroke (Item 7.02). </w:t>
      </w:r>
    </w:p>
    <w:p w:rsidR="006B2B95" w:rsidRDefault="007F1C53" w:rsidP="009F0049">
      <w:pPr>
        <w:pStyle w:val="ListParagraph"/>
        <w:widowControl/>
        <w:numPr>
          <w:ilvl w:val="1"/>
          <w:numId w:val="1"/>
        </w:numPr>
        <w:spacing w:after="120"/>
      </w:pPr>
      <w:r>
        <w:t>T</w:t>
      </w:r>
      <w:r w:rsidRPr="008B1757">
        <w:t xml:space="preserve">he </w:t>
      </w:r>
      <w:r w:rsidR="00142D5A">
        <w:t xml:space="preserve">basis for the </w:t>
      </w:r>
      <w:r w:rsidRPr="008B1757">
        <w:t xml:space="preserve">requested </w:t>
      </w:r>
      <w:r w:rsidR="00142D5A">
        <w:t>extension of</w:t>
      </w:r>
      <w:r w:rsidRPr="008B1757">
        <w:t xml:space="preserve"> listi</w:t>
      </w:r>
      <w:r>
        <w:t xml:space="preserve">ng was </w:t>
      </w:r>
      <w:r w:rsidRPr="005F0EEF">
        <w:t>cost-effectiveness</w:t>
      </w:r>
      <w:r w:rsidR="00142D5A">
        <w:t xml:space="preserve"> of Dysport</w:t>
      </w:r>
      <w:r w:rsidR="00142D5A">
        <w:rPr>
          <w:rFonts w:cs="Calibri"/>
        </w:rPr>
        <w:t>®</w:t>
      </w:r>
      <w:r w:rsidR="00387C69">
        <w:t xml:space="preserve"> (via a cost per responder analysis)</w:t>
      </w:r>
      <w:r w:rsidRPr="005F0EEF">
        <w:t xml:space="preserve"> compared with placebo. </w:t>
      </w:r>
    </w:p>
    <w:p w:rsidR="007F1C53" w:rsidRPr="00142D5A" w:rsidRDefault="00525315" w:rsidP="00142D5A">
      <w:pPr>
        <w:pStyle w:val="TableHeading0"/>
        <w:rPr>
          <w:rStyle w:val="CommentReference"/>
          <w:b/>
          <w:szCs w:val="22"/>
        </w:rPr>
      </w:pPr>
      <w:r w:rsidRPr="00525315">
        <w:t xml:space="preserve">Table </w:t>
      </w:r>
      <w:r w:rsidR="00877905">
        <w:rPr>
          <w:noProof/>
        </w:rPr>
        <w:t>1</w:t>
      </w:r>
      <w:r w:rsidR="00387C69">
        <w:t>:</w:t>
      </w:r>
      <w:r w:rsidR="00642FE1">
        <w:t xml:space="preserve"> </w:t>
      </w:r>
      <w:r w:rsidR="007F1C53" w:rsidRPr="00142D5A">
        <w:rPr>
          <w:rStyle w:val="CommentReference"/>
          <w:b/>
          <w:szCs w:val="22"/>
        </w:rPr>
        <w:t>Key components of the clinical issue addressed by the submission</w:t>
      </w:r>
    </w:p>
    <w:tbl>
      <w:tblPr>
        <w:tblW w:w="91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796"/>
      </w:tblGrid>
      <w:tr w:rsidR="007F1C53" w:rsidRPr="00691913" w:rsidTr="00B17F7D">
        <w:trPr>
          <w:cantSplit/>
          <w:tblHeader/>
        </w:trPr>
        <w:tc>
          <w:tcPr>
            <w:tcW w:w="1356" w:type="dxa"/>
            <w:shd w:val="clear" w:color="auto" w:fill="auto"/>
            <w:tcMar>
              <w:left w:w="28" w:type="dxa"/>
              <w:right w:w="28" w:type="dxa"/>
            </w:tcMar>
          </w:tcPr>
          <w:p w:rsidR="007F1C53" w:rsidRPr="008B1757" w:rsidRDefault="007F1C53" w:rsidP="009F0049">
            <w:pPr>
              <w:pStyle w:val="Tabletext"/>
              <w:keepNext/>
              <w:rPr>
                <w:b/>
                <w:szCs w:val="20"/>
              </w:rPr>
            </w:pPr>
            <w:r w:rsidRPr="008B1757">
              <w:rPr>
                <w:b/>
              </w:rPr>
              <w:t>Component</w:t>
            </w:r>
          </w:p>
        </w:tc>
        <w:tc>
          <w:tcPr>
            <w:tcW w:w="7796" w:type="dxa"/>
            <w:shd w:val="clear" w:color="auto" w:fill="auto"/>
            <w:tcMar>
              <w:left w:w="28" w:type="dxa"/>
              <w:right w:w="28" w:type="dxa"/>
            </w:tcMar>
          </w:tcPr>
          <w:p w:rsidR="007F1C53" w:rsidRPr="008B1757" w:rsidRDefault="007F1C53" w:rsidP="009F0049">
            <w:pPr>
              <w:pStyle w:val="Tabletext"/>
              <w:keepNext/>
              <w:jc w:val="center"/>
              <w:rPr>
                <w:b/>
              </w:rPr>
            </w:pPr>
            <w:r w:rsidRPr="008B1757">
              <w:rPr>
                <w:b/>
              </w:rPr>
              <w:t>Description</w:t>
            </w:r>
          </w:p>
        </w:tc>
      </w:tr>
      <w:tr w:rsidR="007F1C53" w:rsidRPr="00691913" w:rsidTr="00B17F7D">
        <w:trPr>
          <w:cantSplit/>
        </w:trPr>
        <w:tc>
          <w:tcPr>
            <w:tcW w:w="1356" w:type="dxa"/>
            <w:tcMar>
              <w:left w:w="28" w:type="dxa"/>
              <w:right w:w="28" w:type="dxa"/>
            </w:tcMar>
            <w:vAlign w:val="center"/>
          </w:tcPr>
          <w:p w:rsidR="007F1C53" w:rsidRPr="00691913" w:rsidRDefault="007F1C53" w:rsidP="009F0049">
            <w:pPr>
              <w:pStyle w:val="Tabletext"/>
              <w:keepNext/>
            </w:pPr>
            <w:r>
              <w:t>Population</w:t>
            </w:r>
          </w:p>
        </w:tc>
        <w:tc>
          <w:tcPr>
            <w:tcW w:w="7796" w:type="dxa"/>
            <w:tcMar>
              <w:left w:w="28" w:type="dxa"/>
              <w:right w:w="28" w:type="dxa"/>
            </w:tcMar>
            <w:vAlign w:val="center"/>
          </w:tcPr>
          <w:p w:rsidR="007F1C53" w:rsidRPr="00691913" w:rsidRDefault="007F1C53" w:rsidP="009F0049">
            <w:pPr>
              <w:pStyle w:val="Tabletext"/>
              <w:keepNext/>
            </w:pPr>
            <w:r>
              <w:t>Patients with moderate to severe focal spasticity of the upper limb following an acute event (that leads to an upper motor neuron lesion resulting in spasticity such as a stroke, TBI, infection or hypoxia)</w:t>
            </w:r>
          </w:p>
        </w:tc>
      </w:tr>
      <w:tr w:rsidR="007F1C53" w:rsidRPr="00691913" w:rsidTr="00B17F7D">
        <w:trPr>
          <w:cantSplit/>
        </w:trPr>
        <w:tc>
          <w:tcPr>
            <w:tcW w:w="1356" w:type="dxa"/>
            <w:tcMar>
              <w:left w:w="28" w:type="dxa"/>
              <w:right w:w="28" w:type="dxa"/>
            </w:tcMar>
            <w:vAlign w:val="center"/>
          </w:tcPr>
          <w:p w:rsidR="007F1C53" w:rsidRPr="00691913" w:rsidRDefault="007F1C53" w:rsidP="009F0049">
            <w:pPr>
              <w:pStyle w:val="Tabletext"/>
              <w:keepNext/>
            </w:pPr>
            <w:r>
              <w:t>I</w:t>
            </w:r>
            <w:r w:rsidRPr="0022525C">
              <w:t>ntervention</w:t>
            </w:r>
          </w:p>
        </w:tc>
        <w:tc>
          <w:tcPr>
            <w:tcW w:w="7796" w:type="dxa"/>
            <w:tcMar>
              <w:left w:w="28" w:type="dxa"/>
              <w:right w:w="28" w:type="dxa"/>
            </w:tcMar>
            <w:vAlign w:val="center"/>
          </w:tcPr>
          <w:p w:rsidR="007F1C53" w:rsidRPr="00691913" w:rsidRDefault="007F1C53" w:rsidP="009F0049">
            <w:pPr>
              <w:pStyle w:val="Tabletext"/>
              <w:keepNext/>
            </w:pPr>
            <w:r>
              <w:t>Clostridium botulinum type A toxin – haemagglutinin C complex (Dysport®)</w:t>
            </w:r>
          </w:p>
        </w:tc>
      </w:tr>
      <w:tr w:rsidR="007F1C53" w:rsidRPr="00691913" w:rsidTr="00B17F7D">
        <w:trPr>
          <w:cantSplit/>
        </w:trPr>
        <w:tc>
          <w:tcPr>
            <w:tcW w:w="1356" w:type="dxa"/>
            <w:tcMar>
              <w:left w:w="28" w:type="dxa"/>
              <w:right w:w="28" w:type="dxa"/>
            </w:tcMar>
            <w:vAlign w:val="center"/>
          </w:tcPr>
          <w:p w:rsidR="007F1C53" w:rsidRPr="00691913" w:rsidRDefault="007F1C53" w:rsidP="009F0049">
            <w:pPr>
              <w:pStyle w:val="Tabletext"/>
              <w:keepNext/>
            </w:pPr>
            <w:r>
              <w:t>Comparator</w:t>
            </w:r>
          </w:p>
        </w:tc>
        <w:tc>
          <w:tcPr>
            <w:tcW w:w="7796" w:type="dxa"/>
            <w:tcMar>
              <w:left w:w="28" w:type="dxa"/>
              <w:right w:w="28" w:type="dxa"/>
            </w:tcMar>
            <w:vAlign w:val="center"/>
          </w:tcPr>
          <w:p w:rsidR="007F1C53" w:rsidRPr="00691913" w:rsidRDefault="007F1C53" w:rsidP="009F0049">
            <w:pPr>
              <w:pStyle w:val="Tabletext"/>
              <w:keepNext/>
            </w:pPr>
            <w:r>
              <w:t>Placebo or best supportive care</w:t>
            </w:r>
          </w:p>
        </w:tc>
      </w:tr>
      <w:tr w:rsidR="007F1C53" w:rsidRPr="00691913" w:rsidTr="00B17F7D">
        <w:trPr>
          <w:cantSplit/>
        </w:trPr>
        <w:tc>
          <w:tcPr>
            <w:tcW w:w="1356" w:type="dxa"/>
            <w:tcMar>
              <w:left w:w="28" w:type="dxa"/>
              <w:right w:w="28" w:type="dxa"/>
            </w:tcMar>
            <w:vAlign w:val="center"/>
          </w:tcPr>
          <w:p w:rsidR="007F1C53" w:rsidRPr="00691913" w:rsidRDefault="007F1C53" w:rsidP="009F0049">
            <w:pPr>
              <w:pStyle w:val="Tabletext"/>
              <w:keepNext/>
            </w:pPr>
            <w:r>
              <w:t>Outcomes</w:t>
            </w:r>
          </w:p>
        </w:tc>
        <w:tc>
          <w:tcPr>
            <w:tcW w:w="7796" w:type="dxa"/>
            <w:tcMar>
              <w:left w:w="28" w:type="dxa"/>
              <w:right w:w="28" w:type="dxa"/>
            </w:tcMar>
            <w:vAlign w:val="center"/>
          </w:tcPr>
          <w:p w:rsidR="007F1C53" w:rsidRDefault="007F1C53" w:rsidP="009F0049">
            <w:pPr>
              <w:pStyle w:val="Tabletext"/>
              <w:keepNext/>
            </w:pPr>
            <w:r>
              <w:t>A range of measures of spasticity including:</w:t>
            </w:r>
          </w:p>
          <w:p w:rsidR="007F1C53" w:rsidRDefault="007F1C53" w:rsidP="009F0049">
            <w:pPr>
              <w:pStyle w:val="Tabletext"/>
              <w:keepNext/>
              <w:numPr>
                <w:ilvl w:val="0"/>
                <w:numId w:val="3"/>
              </w:numPr>
              <w:ind w:left="357" w:hanging="357"/>
            </w:pPr>
            <w:r>
              <w:t xml:space="preserve">Change in spasticity: measured as </w:t>
            </w:r>
            <w:r w:rsidR="00650A02">
              <w:t xml:space="preserve">change in </w:t>
            </w:r>
            <w:r>
              <w:t>MAS score in the PTMG between baseline and week 4.</w:t>
            </w:r>
          </w:p>
          <w:p w:rsidR="007F1C53" w:rsidRPr="00691913" w:rsidRDefault="007F1C53" w:rsidP="009F0049">
            <w:pPr>
              <w:pStyle w:val="Tabletext"/>
              <w:keepNext/>
              <w:numPr>
                <w:ilvl w:val="0"/>
                <w:numId w:val="3"/>
              </w:numPr>
              <w:ind w:left="357" w:hanging="357"/>
            </w:pPr>
            <w:r>
              <w:t>Functional gains: measured using PGA of overall treatment response at week 4; and change in DAS score for the PTT between baseline and week 4.</w:t>
            </w:r>
          </w:p>
        </w:tc>
      </w:tr>
      <w:tr w:rsidR="007F1C53" w:rsidRPr="00691913" w:rsidTr="00B17F7D">
        <w:trPr>
          <w:cantSplit/>
        </w:trPr>
        <w:tc>
          <w:tcPr>
            <w:tcW w:w="1356" w:type="dxa"/>
            <w:tcMar>
              <w:left w:w="28" w:type="dxa"/>
              <w:right w:w="28" w:type="dxa"/>
            </w:tcMar>
            <w:vAlign w:val="center"/>
          </w:tcPr>
          <w:p w:rsidR="007F1C53" w:rsidRPr="00691913" w:rsidRDefault="007F1C53" w:rsidP="009F0049">
            <w:pPr>
              <w:pStyle w:val="Tabletext"/>
              <w:keepNext/>
            </w:pPr>
            <w:r>
              <w:t>Clinical claim</w:t>
            </w:r>
          </w:p>
        </w:tc>
        <w:tc>
          <w:tcPr>
            <w:tcW w:w="7796" w:type="dxa"/>
            <w:tcMar>
              <w:left w:w="28" w:type="dxa"/>
              <w:right w:w="28" w:type="dxa"/>
            </w:tcMar>
            <w:vAlign w:val="center"/>
          </w:tcPr>
          <w:p w:rsidR="007F1C53" w:rsidRPr="00691913" w:rsidRDefault="007F1C53" w:rsidP="009F0049">
            <w:pPr>
              <w:pStyle w:val="Tabletext"/>
              <w:keepNext/>
            </w:pPr>
            <w:r>
              <w:t xml:space="preserve">In patients with moderate to severe focal spasticity of the upper limb following an acute event, Dysport® is more effective than placebo at improving MAS, </w:t>
            </w:r>
            <w:r w:rsidRPr="00676F98">
              <w:t>PGA</w:t>
            </w:r>
            <w:r>
              <w:t xml:space="preserve"> and DAS.</w:t>
            </w:r>
            <w:r w:rsidR="00642FE1">
              <w:t xml:space="preserve"> </w:t>
            </w:r>
          </w:p>
        </w:tc>
      </w:tr>
    </w:tbl>
    <w:p w:rsidR="007F1C53" w:rsidRDefault="007F1C53" w:rsidP="009F0049">
      <w:pPr>
        <w:pStyle w:val="TableFooter"/>
        <w:widowControl/>
      </w:pPr>
      <w:r>
        <w:t>Abbreviations: DAS=Disability Assessment Scale; MAS=modified Ashworth scale; PGA=Physician’s Global Assessment; PTMG=primary targeted muscle group; PTT=principal target of treatment; TBI=traumatic brain injury.</w:t>
      </w:r>
    </w:p>
    <w:p w:rsidR="007F1C53" w:rsidRDefault="007F1C53" w:rsidP="009F0049">
      <w:pPr>
        <w:pStyle w:val="TableFooter"/>
        <w:widowControl/>
      </w:pPr>
      <w:r>
        <w:t xml:space="preserve">Source: Table 1.1, p20 </w:t>
      </w:r>
      <w:r w:rsidRPr="00D13A3E">
        <w:t xml:space="preserve">of the </w:t>
      </w:r>
      <w:r>
        <w:t>submission.</w:t>
      </w:r>
    </w:p>
    <w:p w:rsidR="008B120D" w:rsidRDefault="008B120D" w:rsidP="00611D60">
      <w:pPr>
        <w:pStyle w:val="TableFooter"/>
      </w:pPr>
    </w:p>
    <w:p w:rsidR="00E75A07" w:rsidRPr="00E75A07" w:rsidRDefault="00E75A07" w:rsidP="00E75A07">
      <w:pPr>
        <w:rPr>
          <w:i/>
        </w:rPr>
      </w:pPr>
      <w:r w:rsidRPr="00E75A07">
        <w:rPr>
          <w:i/>
        </w:rPr>
        <w:t>For more detail on PBAC’s view, see Section 7 PBAC outcome.</w:t>
      </w:r>
    </w:p>
    <w:p w:rsidR="00B60939" w:rsidRPr="00611D60" w:rsidRDefault="00B50DB8" w:rsidP="00611D60">
      <w:pPr>
        <w:pStyle w:val="Heading1"/>
      </w:pPr>
      <w:bookmarkStart w:id="2" w:name="_Toc524461019"/>
      <w:r w:rsidRPr="00611D60">
        <w:lastRenderedPageBreak/>
        <w:t>Requested listing</w:t>
      </w:r>
      <w:bookmarkEnd w:id="2"/>
    </w:p>
    <w:p w:rsidR="00142D5A" w:rsidRDefault="00142D5A" w:rsidP="00142D5A">
      <w:pPr>
        <w:pStyle w:val="ListParagraph"/>
        <w:widowControl/>
        <w:numPr>
          <w:ilvl w:val="1"/>
          <w:numId w:val="1"/>
        </w:numPr>
        <w:spacing w:after="120"/>
      </w:pPr>
      <w:r>
        <w:t>Suggested additions proposed by the Secretariat to the requested listing are added in italics and suggested deletions are crossed out with strikethrough.</w:t>
      </w:r>
    </w:p>
    <w:tbl>
      <w:tblPr>
        <w:tblW w:w="4885" w:type="pct"/>
        <w:tblLook w:val="0000" w:firstRow="0" w:lastRow="0" w:firstColumn="0" w:lastColumn="0" w:noHBand="0" w:noVBand="0"/>
      </w:tblPr>
      <w:tblGrid>
        <w:gridCol w:w="2185"/>
        <w:gridCol w:w="967"/>
        <w:gridCol w:w="972"/>
        <w:gridCol w:w="691"/>
        <w:gridCol w:w="1797"/>
        <w:gridCol w:w="1011"/>
        <w:gridCol w:w="1196"/>
      </w:tblGrid>
      <w:tr w:rsidR="00C37C41" w:rsidTr="002B2506">
        <w:trPr>
          <w:trHeight w:val="58"/>
        </w:trPr>
        <w:tc>
          <w:tcPr>
            <w:tcW w:w="1787" w:type="pct"/>
            <w:gridSpan w:val="2"/>
            <w:tcBorders>
              <w:top w:val="single" w:sz="4" w:space="0" w:color="auto"/>
              <w:bottom w:val="single" w:sz="4" w:space="0" w:color="auto"/>
            </w:tcBorders>
            <w:shd w:val="clear" w:color="000000" w:fill="FFFFFF"/>
          </w:tcPr>
          <w:p w:rsidR="00E83F04" w:rsidRPr="00A9509B" w:rsidRDefault="00E83F04" w:rsidP="00611D60">
            <w:pPr>
              <w:widowControl/>
              <w:autoSpaceDE w:val="0"/>
              <w:autoSpaceDN w:val="0"/>
              <w:adjustRightInd w:val="0"/>
              <w:ind w:left="-108"/>
              <w:rPr>
                <w:rFonts w:ascii="Arial Narrow" w:hAnsi="Arial Narrow" w:cs="Arial Narrow"/>
                <w:b/>
                <w:sz w:val="20"/>
                <w:szCs w:val="20"/>
                <w:lang w:val="en"/>
              </w:rPr>
            </w:pPr>
            <w:r w:rsidRPr="00A9509B">
              <w:rPr>
                <w:rFonts w:ascii="Arial Narrow" w:hAnsi="Arial Narrow" w:cs="Arial Narrow"/>
                <w:b/>
                <w:sz w:val="20"/>
                <w:szCs w:val="20"/>
                <w:lang w:val="en"/>
              </w:rPr>
              <w:t>Name, Restriction,</w:t>
            </w:r>
          </w:p>
          <w:p w:rsidR="00E83F04" w:rsidRPr="00A9509B" w:rsidRDefault="00E83F04" w:rsidP="00611D60">
            <w:pPr>
              <w:widowControl/>
              <w:autoSpaceDE w:val="0"/>
              <w:autoSpaceDN w:val="0"/>
              <w:adjustRightInd w:val="0"/>
              <w:ind w:left="-108"/>
              <w:rPr>
                <w:rFonts w:cs="Calibri"/>
                <w:b/>
                <w:lang w:val="en"/>
              </w:rPr>
            </w:pPr>
            <w:r w:rsidRPr="00A9509B">
              <w:rPr>
                <w:rFonts w:ascii="Arial Narrow" w:hAnsi="Arial Narrow" w:cs="Arial Narrow"/>
                <w:b/>
                <w:sz w:val="20"/>
                <w:szCs w:val="20"/>
                <w:lang w:val="en"/>
              </w:rPr>
              <w:t>Manner of administration and form</w:t>
            </w:r>
          </w:p>
        </w:tc>
        <w:tc>
          <w:tcPr>
            <w:tcW w:w="551" w:type="pct"/>
            <w:tcBorders>
              <w:top w:val="single" w:sz="4" w:space="0" w:color="auto"/>
              <w:bottom w:val="single" w:sz="4" w:space="0" w:color="auto"/>
            </w:tcBorders>
            <w:shd w:val="clear" w:color="000000" w:fill="FFFFFF"/>
          </w:tcPr>
          <w:p w:rsidR="00E83F04" w:rsidRPr="00A9509B" w:rsidRDefault="00E83F04" w:rsidP="00611D60">
            <w:pPr>
              <w:widowControl/>
              <w:autoSpaceDE w:val="0"/>
              <w:autoSpaceDN w:val="0"/>
              <w:adjustRightInd w:val="0"/>
              <w:ind w:left="-108"/>
              <w:jc w:val="center"/>
              <w:rPr>
                <w:rFonts w:ascii="Arial Narrow" w:hAnsi="Arial Narrow" w:cs="Arial Narrow"/>
                <w:b/>
                <w:sz w:val="20"/>
                <w:szCs w:val="20"/>
                <w:lang w:val="en"/>
              </w:rPr>
            </w:pPr>
            <w:r w:rsidRPr="00A9509B">
              <w:rPr>
                <w:rFonts w:ascii="Arial Narrow" w:hAnsi="Arial Narrow" w:cs="Arial Narrow"/>
                <w:b/>
                <w:sz w:val="20"/>
                <w:szCs w:val="20"/>
                <w:lang w:val="en"/>
              </w:rPr>
              <w:t>Max.</w:t>
            </w:r>
          </w:p>
          <w:p w:rsidR="00E83F04" w:rsidRPr="00A9509B" w:rsidRDefault="00E83F04" w:rsidP="00611D60">
            <w:pPr>
              <w:widowControl/>
              <w:autoSpaceDE w:val="0"/>
              <w:autoSpaceDN w:val="0"/>
              <w:adjustRightInd w:val="0"/>
              <w:ind w:left="-108"/>
              <w:jc w:val="center"/>
              <w:rPr>
                <w:rFonts w:cs="Calibri"/>
                <w:b/>
                <w:lang w:val="en"/>
              </w:rPr>
            </w:pPr>
            <w:r w:rsidRPr="00A9509B">
              <w:rPr>
                <w:rFonts w:ascii="Arial Narrow" w:hAnsi="Arial Narrow" w:cs="Arial Narrow"/>
                <w:b/>
                <w:sz w:val="20"/>
                <w:szCs w:val="20"/>
                <w:lang w:val="en"/>
              </w:rPr>
              <w:t>Qty. (units)</w:t>
            </w:r>
          </w:p>
        </w:tc>
        <w:tc>
          <w:tcPr>
            <w:tcW w:w="392" w:type="pct"/>
            <w:tcBorders>
              <w:top w:val="single" w:sz="4" w:space="0" w:color="auto"/>
              <w:bottom w:val="single" w:sz="4" w:space="0" w:color="auto"/>
            </w:tcBorders>
            <w:shd w:val="clear" w:color="000000" w:fill="FFFFFF"/>
          </w:tcPr>
          <w:p w:rsidR="00E83F04" w:rsidRPr="00A9509B" w:rsidRDefault="00E83F04" w:rsidP="00611D60">
            <w:pPr>
              <w:widowControl/>
              <w:autoSpaceDE w:val="0"/>
              <w:autoSpaceDN w:val="0"/>
              <w:adjustRightInd w:val="0"/>
              <w:ind w:left="-108"/>
              <w:jc w:val="center"/>
              <w:rPr>
                <w:rFonts w:ascii="Arial Narrow" w:hAnsi="Arial Narrow" w:cs="Arial Narrow"/>
                <w:b/>
                <w:sz w:val="20"/>
                <w:szCs w:val="20"/>
                <w:lang w:val="en"/>
              </w:rPr>
            </w:pPr>
            <w:r w:rsidRPr="00A9509B">
              <w:rPr>
                <w:rFonts w:ascii="Arial Narrow" w:hAnsi="Arial Narrow"/>
                <w:b/>
                <w:sz w:val="20"/>
                <w:szCs w:val="20"/>
              </w:rPr>
              <w:t>№</w:t>
            </w:r>
            <w:r w:rsidRPr="00A9509B">
              <w:rPr>
                <w:rFonts w:ascii="Arial Narrow" w:hAnsi="Arial Narrow" w:cs="Arial Narrow"/>
                <w:b/>
                <w:sz w:val="20"/>
                <w:szCs w:val="20"/>
                <w:lang w:val="en"/>
              </w:rPr>
              <w:t>. of</w:t>
            </w:r>
          </w:p>
          <w:p w:rsidR="00E83F04" w:rsidRPr="00A9509B" w:rsidRDefault="00E83F04" w:rsidP="00611D60">
            <w:pPr>
              <w:widowControl/>
              <w:autoSpaceDE w:val="0"/>
              <w:autoSpaceDN w:val="0"/>
              <w:adjustRightInd w:val="0"/>
              <w:ind w:left="-108"/>
              <w:jc w:val="center"/>
              <w:rPr>
                <w:rFonts w:cs="Calibri"/>
                <w:b/>
                <w:lang w:val="en"/>
              </w:rPr>
            </w:pPr>
            <w:r w:rsidRPr="00A9509B">
              <w:rPr>
                <w:rFonts w:ascii="Arial Narrow" w:hAnsi="Arial Narrow" w:cs="Arial Narrow"/>
                <w:b/>
                <w:sz w:val="20"/>
                <w:szCs w:val="20"/>
                <w:lang w:val="en"/>
              </w:rPr>
              <w:t>Rpts</w:t>
            </w:r>
          </w:p>
        </w:tc>
        <w:tc>
          <w:tcPr>
            <w:tcW w:w="1019" w:type="pct"/>
            <w:tcBorders>
              <w:top w:val="single" w:sz="4" w:space="0" w:color="auto"/>
              <w:bottom w:val="single" w:sz="4" w:space="0" w:color="auto"/>
            </w:tcBorders>
            <w:shd w:val="clear" w:color="000000" w:fill="FFFFFF"/>
          </w:tcPr>
          <w:p w:rsidR="00E83F04" w:rsidRPr="00A9509B" w:rsidRDefault="00142D5A" w:rsidP="00611D60">
            <w:pPr>
              <w:widowControl/>
              <w:autoSpaceDE w:val="0"/>
              <w:autoSpaceDN w:val="0"/>
              <w:adjustRightInd w:val="0"/>
              <w:ind w:left="-108"/>
              <w:jc w:val="center"/>
              <w:rPr>
                <w:rFonts w:cs="Calibri"/>
                <w:b/>
                <w:lang w:val="en"/>
              </w:rPr>
            </w:pPr>
            <w:r>
              <w:rPr>
                <w:rFonts w:ascii="Arial Narrow" w:hAnsi="Arial Narrow" w:cs="Arial Narrow"/>
                <w:b/>
                <w:sz w:val="20"/>
                <w:szCs w:val="20"/>
                <w:lang w:val="en"/>
              </w:rPr>
              <w:t>DPMQ</w:t>
            </w:r>
          </w:p>
        </w:tc>
        <w:tc>
          <w:tcPr>
            <w:tcW w:w="1251" w:type="pct"/>
            <w:gridSpan w:val="2"/>
            <w:tcBorders>
              <w:top w:val="single" w:sz="4" w:space="0" w:color="auto"/>
              <w:bottom w:val="single" w:sz="4" w:space="0" w:color="auto"/>
            </w:tcBorders>
            <w:shd w:val="clear" w:color="000000" w:fill="FFFFFF"/>
          </w:tcPr>
          <w:p w:rsidR="00E83F04" w:rsidRPr="00A9509B" w:rsidRDefault="00E83F04" w:rsidP="00611D60">
            <w:pPr>
              <w:widowControl/>
              <w:autoSpaceDE w:val="0"/>
              <w:autoSpaceDN w:val="0"/>
              <w:adjustRightInd w:val="0"/>
              <w:ind w:left="-108"/>
              <w:jc w:val="left"/>
              <w:rPr>
                <w:rFonts w:cs="Calibri"/>
                <w:b/>
                <w:lang w:val="en"/>
              </w:rPr>
            </w:pPr>
            <w:r w:rsidRPr="00A9509B">
              <w:rPr>
                <w:rFonts w:ascii="Arial Narrow" w:hAnsi="Arial Narrow" w:cs="Arial Narrow"/>
                <w:b/>
                <w:sz w:val="20"/>
                <w:szCs w:val="20"/>
                <w:lang w:val="en"/>
              </w:rPr>
              <w:t>Proprietary Name and Manufacturer</w:t>
            </w:r>
          </w:p>
        </w:tc>
      </w:tr>
      <w:tr w:rsidR="00C37C41" w:rsidTr="002B2506">
        <w:trPr>
          <w:trHeight w:val="58"/>
        </w:trPr>
        <w:tc>
          <w:tcPr>
            <w:tcW w:w="1787" w:type="pct"/>
            <w:gridSpan w:val="2"/>
            <w:tcBorders>
              <w:top w:val="single" w:sz="4" w:space="0" w:color="auto"/>
            </w:tcBorders>
            <w:shd w:val="clear" w:color="000000" w:fill="FFFFFF"/>
          </w:tcPr>
          <w:p w:rsidR="00E83F04" w:rsidRDefault="00E83F04" w:rsidP="00611D60">
            <w:pPr>
              <w:widowControl/>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CLOSTRIDIUM BOTULINUM TYPE A TOXIN-HAEMAGGLUTININ COMPLEX</w:t>
            </w:r>
          </w:p>
          <w:p w:rsidR="00E83F04" w:rsidRDefault="00E83F04" w:rsidP="00611D60">
            <w:pPr>
              <w:widowControl/>
              <w:autoSpaceDE w:val="0"/>
              <w:autoSpaceDN w:val="0"/>
              <w:adjustRightInd w:val="0"/>
              <w:ind w:left="-108"/>
              <w:rPr>
                <w:rFonts w:cs="Calibri"/>
                <w:lang w:val="en"/>
              </w:rPr>
            </w:pPr>
            <w:r>
              <w:rPr>
                <w:rFonts w:ascii="Arial Narrow" w:hAnsi="Arial Narrow" w:cs="Arial Narrow"/>
                <w:sz w:val="20"/>
                <w:szCs w:val="20"/>
                <w:lang w:val="en"/>
              </w:rPr>
              <w:t>300 units injection, 1 vial</w:t>
            </w:r>
          </w:p>
        </w:tc>
        <w:tc>
          <w:tcPr>
            <w:tcW w:w="551" w:type="pct"/>
            <w:tcBorders>
              <w:top w:val="single" w:sz="4" w:space="0" w:color="auto"/>
            </w:tcBorders>
            <w:shd w:val="clear" w:color="000000" w:fill="FFFFFF"/>
            <w:vAlign w:val="bottom"/>
          </w:tcPr>
          <w:p w:rsidR="00E83F04" w:rsidRDefault="00E83F04" w:rsidP="00611D60">
            <w:pPr>
              <w:widowControl/>
              <w:autoSpaceDE w:val="0"/>
              <w:autoSpaceDN w:val="0"/>
              <w:adjustRightInd w:val="0"/>
              <w:ind w:left="-108"/>
              <w:jc w:val="center"/>
              <w:rPr>
                <w:rFonts w:ascii="Arial Narrow" w:hAnsi="Arial Narrow" w:cs="Arial Narrow"/>
                <w:sz w:val="20"/>
                <w:szCs w:val="20"/>
                <w:lang w:val="en"/>
              </w:rPr>
            </w:pPr>
          </w:p>
          <w:p w:rsidR="00E83F04" w:rsidRDefault="00E83F04" w:rsidP="00611D60">
            <w:pPr>
              <w:widowControl/>
              <w:autoSpaceDE w:val="0"/>
              <w:autoSpaceDN w:val="0"/>
              <w:adjustRightInd w:val="0"/>
              <w:ind w:left="-108"/>
              <w:jc w:val="center"/>
              <w:rPr>
                <w:rFonts w:cs="Calibri"/>
                <w:lang w:val="en"/>
              </w:rPr>
            </w:pPr>
            <w:r>
              <w:rPr>
                <w:rFonts w:ascii="Arial Narrow" w:hAnsi="Arial Narrow" w:cs="Arial Narrow"/>
                <w:sz w:val="20"/>
                <w:szCs w:val="20"/>
                <w:lang w:val="en"/>
              </w:rPr>
              <w:t>4</w:t>
            </w:r>
          </w:p>
        </w:tc>
        <w:tc>
          <w:tcPr>
            <w:tcW w:w="392" w:type="pct"/>
            <w:tcBorders>
              <w:top w:val="single" w:sz="4" w:space="0" w:color="auto"/>
            </w:tcBorders>
            <w:shd w:val="clear" w:color="000000" w:fill="FFFFFF"/>
            <w:vAlign w:val="bottom"/>
          </w:tcPr>
          <w:p w:rsidR="00E83F04" w:rsidRDefault="00E83F04" w:rsidP="00611D60">
            <w:pPr>
              <w:widowControl/>
              <w:autoSpaceDE w:val="0"/>
              <w:autoSpaceDN w:val="0"/>
              <w:adjustRightInd w:val="0"/>
              <w:ind w:left="-108"/>
              <w:jc w:val="center"/>
              <w:rPr>
                <w:rFonts w:ascii="Arial Narrow" w:hAnsi="Arial Narrow" w:cs="Arial Narrow"/>
                <w:strike/>
                <w:sz w:val="20"/>
                <w:szCs w:val="20"/>
                <w:lang w:val="en"/>
              </w:rPr>
            </w:pPr>
          </w:p>
          <w:p w:rsidR="00E83F04" w:rsidRPr="00CE0B5C" w:rsidRDefault="00E83F04" w:rsidP="00611D60">
            <w:pPr>
              <w:widowControl/>
              <w:autoSpaceDE w:val="0"/>
              <w:autoSpaceDN w:val="0"/>
              <w:adjustRightInd w:val="0"/>
              <w:ind w:left="-108"/>
              <w:jc w:val="center"/>
              <w:rPr>
                <w:rFonts w:cs="Calibri"/>
                <w:lang w:val="en"/>
              </w:rPr>
            </w:pPr>
            <w:r w:rsidRPr="00CE0B5C">
              <w:rPr>
                <w:rFonts w:ascii="Arial Narrow" w:hAnsi="Arial Narrow" w:cs="Arial Narrow"/>
                <w:sz w:val="20"/>
                <w:szCs w:val="20"/>
                <w:lang w:val="en"/>
              </w:rPr>
              <w:t>0</w:t>
            </w:r>
          </w:p>
        </w:tc>
        <w:tc>
          <w:tcPr>
            <w:tcW w:w="1019" w:type="pct"/>
            <w:tcBorders>
              <w:top w:val="single" w:sz="4" w:space="0" w:color="auto"/>
            </w:tcBorders>
            <w:shd w:val="clear" w:color="000000" w:fill="FFFFFF"/>
            <w:vAlign w:val="bottom"/>
          </w:tcPr>
          <w:p w:rsidR="00E83F04" w:rsidRDefault="00E83F04" w:rsidP="00611D60">
            <w:pPr>
              <w:widowControl/>
              <w:autoSpaceDE w:val="0"/>
              <w:autoSpaceDN w:val="0"/>
              <w:adjustRightInd w:val="0"/>
              <w:ind w:left="-108"/>
              <w:jc w:val="center"/>
              <w:rPr>
                <w:rFonts w:ascii="Arial Narrow" w:hAnsi="Arial Narrow" w:cs="Arial Narrow"/>
                <w:sz w:val="20"/>
                <w:szCs w:val="20"/>
                <w:lang w:val="en"/>
              </w:rPr>
            </w:pPr>
          </w:p>
          <w:p w:rsidR="00E83F04" w:rsidRDefault="00E83F04" w:rsidP="00611D60">
            <w:pPr>
              <w:widowControl/>
              <w:autoSpaceDE w:val="0"/>
              <w:autoSpaceDN w:val="0"/>
              <w:adjustRightInd w:val="0"/>
              <w:ind w:left="-108"/>
              <w:jc w:val="center"/>
              <w:rPr>
                <w:rFonts w:cs="Calibri"/>
                <w:lang w:val="en"/>
              </w:rPr>
            </w:pPr>
            <w:r>
              <w:rPr>
                <w:rFonts w:ascii="Arial Narrow" w:hAnsi="Arial Narrow" w:cs="Arial Narrow"/>
                <w:sz w:val="20"/>
                <w:szCs w:val="20"/>
                <w:lang w:val="en"/>
              </w:rPr>
              <w:t>$</w:t>
            </w:r>
            <w:r w:rsidRPr="001A3334">
              <w:rPr>
                <w:rFonts w:ascii="Arial Narrow" w:hAnsi="Arial Narrow" w:cs="Arial Narrow"/>
                <w:sz w:val="20"/>
                <w:szCs w:val="20"/>
                <w:lang w:val="en"/>
              </w:rPr>
              <w:t>1</w:t>
            </w:r>
            <w:r w:rsidR="002B2506" w:rsidRPr="001A3334">
              <w:rPr>
                <w:rFonts w:ascii="Arial Narrow" w:hAnsi="Arial Narrow" w:cs="Arial Narrow"/>
                <w:sz w:val="20"/>
                <w:szCs w:val="20"/>
                <w:lang w:val="en"/>
              </w:rPr>
              <w:t>,</w:t>
            </w:r>
            <w:r w:rsidRPr="001A3334">
              <w:rPr>
                <w:rFonts w:ascii="Arial Narrow" w:hAnsi="Arial Narrow" w:cs="Arial Narrow"/>
                <w:sz w:val="20"/>
                <w:szCs w:val="20"/>
                <w:lang w:val="en"/>
              </w:rPr>
              <w:t>221.85 (published)</w:t>
            </w:r>
          </w:p>
        </w:tc>
        <w:tc>
          <w:tcPr>
            <w:tcW w:w="573" w:type="pct"/>
            <w:tcBorders>
              <w:top w:val="single" w:sz="4" w:space="0" w:color="auto"/>
            </w:tcBorders>
            <w:shd w:val="clear" w:color="000000" w:fill="FFFFFF"/>
            <w:vAlign w:val="bottom"/>
          </w:tcPr>
          <w:p w:rsidR="00E83F04" w:rsidRDefault="00E83F04" w:rsidP="00611D60">
            <w:pPr>
              <w:widowControl/>
              <w:autoSpaceDE w:val="0"/>
              <w:autoSpaceDN w:val="0"/>
              <w:adjustRightInd w:val="0"/>
              <w:rPr>
                <w:rFonts w:cs="Calibri"/>
                <w:lang w:val="en"/>
              </w:rPr>
            </w:pPr>
            <w:r>
              <w:rPr>
                <w:rFonts w:ascii="Arial Narrow" w:hAnsi="Arial Narrow" w:cs="Arial Narrow"/>
                <w:sz w:val="20"/>
                <w:szCs w:val="20"/>
                <w:lang w:val="en"/>
              </w:rPr>
              <w:t>Dysport</w:t>
            </w:r>
            <w:r w:rsidRPr="00FF044C">
              <w:rPr>
                <w:rFonts w:ascii="Arial Narrow" w:hAnsi="Arial Narrow"/>
                <w:sz w:val="20"/>
                <w:vertAlign w:val="superscript"/>
              </w:rPr>
              <w:t>®</w:t>
            </w:r>
          </w:p>
        </w:tc>
        <w:tc>
          <w:tcPr>
            <w:tcW w:w="678" w:type="pct"/>
            <w:tcBorders>
              <w:top w:val="single" w:sz="4" w:space="0" w:color="auto"/>
            </w:tcBorders>
            <w:shd w:val="clear" w:color="000000" w:fill="FFFFFF"/>
            <w:vAlign w:val="bottom"/>
          </w:tcPr>
          <w:p w:rsidR="00E83F04" w:rsidRDefault="00E83F04" w:rsidP="00611D60">
            <w:pPr>
              <w:widowControl/>
              <w:autoSpaceDE w:val="0"/>
              <w:autoSpaceDN w:val="0"/>
              <w:adjustRightInd w:val="0"/>
              <w:ind w:left="-108"/>
              <w:rPr>
                <w:rFonts w:cs="Calibri"/>
                <w:lang w:val="en"/>
              </w:rPr>
            </w:pPr>
            <w:proofErr w:type="spellStart"/>
            <w:r>
              <w:rPr>
                <w:rFonts w:ascii="Arial Narrow" w:hAnsi="Arial Narrow" w:cs="Arial Narrow"/>
                <w:sz w:val="20"/>
                <w:szCs w:val="20"/>
                <w:lang w:val="en"/>
              </w:rPr>
              <w:t>Ipsen</w:t>
            </w:r>
            <w:proofErr w:type="spellEnd"/>
            <w:r>
              <w:rPr>
                <w:rFonts w:ascii="Arial Narrow" w:hAnsi="Arial Narrow" w:cs="Arial Narrow"/>
                <w:sz w:val="20"/>
                <w:szCs w:val="20"/>
                <w:lang w:val="en"/>
              </w:rPr>
              <w:t xml:space="preserve"> Pty Ltd</w:t>
            </w:r>
          </w:p>
        </w:tc>
      </w:tr>
      <w:tr w:rsidR="00C37C41" w:rsidTr="002B2506">
        <w:trPr>
          <w:trHeight w:val="58"/>
        </w:trPr>
        <w:tc>
          <w:tcPr>
            <w:tcW w:w="1787" w:type="pct"/>
            <w:gridSpan w:val="2"/>
            <w:shd w:val="clear" w:color="000000" w:fill="FFFFFF"/>
          </w:tcPr>
          <w:p w:rsidR="00E83F04" w:rsidRDefault="00E83F04" w:rsidP="00611D60">
            <w:pPr>
              <w:widowControl/>
              <w:autoSpaceDE w:val="0"/>
              <w:autoSpaceDN w:val="0"/>
              <w:adjustRightInd w:val="0"/>
              <w:ind w:left="-108"/>
              <w:rPr>
                <w:rFonts w:ascii="Arial Narrow" w:hAnsi="Arial Narrow" w:cs="Arial Narrow"/>
                <w:sz w:val="20"/>
                <w:szCs w:val="20"/>
                <w:lang w:val="en"/>
              </w:rPr>
            </w:pPr>
            <w:r>
              <w:rPr>
                <w:rFonts w:ascii="Arial Narrow" w:hAnsi="Arial Narrow" w:cs="Arial Narrow"/>
                <w:sz w:val="20"/>
                <w:szCs w:val="20"/>
                <w:lang w:val="en"/>
              </w:rPr>
              <w:t>500 units injection, 1 vial</w:t>
            </w:r>
          </w:p>
        </w:tc>
        <w:tc>
          <w:tcPr>
            <w:tcW w:w="551" w:type="pct"/>
            <w:shd w:val="clear" w:color="000000" w:fill="FFFFFF"/>
          </w:tcPr>
          <w:p w:rsidR="00E83F04" w:rsidRDefault="00E83F04" w:rsidP="00611D60">
            <w:pPr>
              <w:widowControl/>
              <w:autoSpaceDE w:val="0"/>
              <w:autoSpaceDN w:val="0"/>
              <w:adjustRightInd w:val="0"/>
              <w:ind w:left="-108"/>
              <w:jc w:val="center"/>
              <w:rPr>
                <w:rFonts w:ascii="Arial Narrow" w:hAnsi="Arial Narrow" w:cs="Arial Narrow"/>
                <w:sz w:val="20"/>
                <w:szCs w:val="20"/>
                <w:lang w:val="en"/>
              </w:rPr>
            </w:pPr>
            <w:r>
              <w:rPr>
                <w:rFonts w:ascii="Arial Narrow" w:hAnsi="Arial Narrow" w:cs="Arial Narrow"/>
                <w:sz w:val="20"/>
                <w:szCs w:val="20"/>
                <w:lang w:val="en"/>
              </w:rPr>
              <w:t>2</w:t>
            </w:r>
          </w:p>
        </w:tc>
        <w:tc>
          <w:tcPr>
            <w:tcW w:w="392" w:type="pct"/>
            <w:shd w:val="clear" w:color="000000" w:fill="FFFFFF"/>
          </w:tcPr>
          <w:p w:rsidR="00E83F04" w:rsidRPr="00CE0B5C" w:rsidRDefault="00E83F04" w:rsidP="00611D60">
            <w:pPr>
              <w:widowControl/>
              <w:autoSpaceDE w:val="0"/>
              <w:autoSpaceDN w:val="0"/>
              <w:adjustRightInd w:val="0"/>
              <w:ind w:left="-108"/>
              <w:jc w:val="center"/>
              <w:rPr>
                <w:rFonts w:ascii="Arial Narrow" w:hAnsi="Arial Narrow" w:cs="Arial Narrow"/>
                <w:sz w:val="20"/>
                <w:szCs w:val="20"/>
                <w:lang w:val="en"/>
              </w:rPr>
            </w:pPr>
            <w:r w:rsidRPr="00CE0B5C">
              <w:rPr>
                <w:rFonts w:ascii="Arial Narrow" w:hAnsi="Arial Narrow" w:cs="Arial Narrow"/>
                <w:sz w:val="20"/>
                <w:szCs w:val="20"/>
                <w:lang w:val="en"/>
              </w:rPr>
              <w:t>0</w:t>
            </w:r>
          </w:p>
        </w:tc>
        <w:tc>
          <w:tcPr>
            <w:tcW w:w="1019" w:type="pct"/>
            <w:shd w:val="clear" w:color="000000" w:fill="FFFFFF"/>
          </w:tcPr>
          <w:p w:rsidR="00E83F04" w:rsidRDefault="00E83F04" w:rsidP="00611D60">
            <w:pPr>
              <w:widowControl/>
              <w:autoSpaceDE w:val="0"/>
              <w:autoSpaceDN w:val="0"/>
              <w:adjustRightInd w:val="0"/>
              <w:ind w:left="-108"/>
              <w:jc w:val="center"/>
              <w:rPr>
                <w:rFonts w:ascii="Arial Narrow" w:hAnsi="Arial Narrow" w:cs="Arial Narrow"/>
                <w:sz w:val="20"/>
                <w:szCs w:val="20"/>
                <w:lang w:val="en"/>
              </w:rPr>
            </w:pPr>
            <w:r>
              <w:rPr>
                <w:rFonts w:ascii="Arial Narrow" w:hAnsi="Arial Narrow" w:cs="Arial Narrow"/>
                <w:sz w:val="20"/>
                <w:szCs w:val="20"/>
                <w:lang w:val="en"/>
              </w:rPr>
              <w:t>$</w:t>
            </w:r>
            <w:r w:rsidRPr="001A3334">
              <w:rPr>
                <w:rFonts w:ascii="Arial Narrow" w:hAnsi="Arial Narrow" w:cs="Arial Narrow"/>
                <w:sz w:val="20"/>
                <w:szCs w:val="20"/>
                <w:lang w:val="en"/>
              </w:rPr>
              <w:t>1</w:t>
            </w:r>
            <w:r w:rsidR="002B2506" w:rsidRPr="001A3334">
              <w:rPr>
                <w:rFonts w:ascii="Arial Narrow" w:hAnsi="Arial Narrow" w:cs="Arial Narrow"/>
                <w:sz w:val="20"/>
                <w:szCs w:val="20"/>
                <w:lang w:val="en"/>
              </w:rPr>
              <w:t>,</w:t>
            </w:r>
            <w:r w:rsidRPr="001A3334">
              <w:rPr>
                <w:rFonts w:ascii="Arial Narrow" w:hAnsi="Arial Narrow" w:cs="Arial Narrow"/>
                <w:sz w:val="20"/>
                <w:szCs w:val="20"/>
                <w:lang w:val="en"/>
              </w:rPr>
              <w:t>094.79 (published)</w:t>
            </w:r>
          </w:p>
        </w:tc>
        <w:tc>
          <w:tcPr>
            <w:tcW w:w="573" w:type="pct"/>
            <w:shd w:val="clear" w:color="000000" w:fill="FFFFFF"/>
            <w:vAlign w:val="bottom"/>
          </w:tcPr>
          <w:p w:rsidR="00E83F04" w:rsidRDefault="00E83F04" w:rsidP="00611D60">
            <w:pPr>
              <w:widowControl/>
              <w:autoSpaceDE w:val="0"/>
              <w:autoSpaceDN w:val="0"/>
              <w:adjustRightInd w:val="0"/>
              <w:rPr>
                <w:rFonts w:cs="Calibri"/>
                <w:lang w:val="en"/>
              </w:rPr>
            </w:pPr>
            <w:r>
              <w:rPr>
                <w:rFonts w:ascii="Arial Narrow" w:hAnsi="Arial Narrow" w:cs="Arial Narrow"/>
                <w:sz w:val="20"/>
                <w:szCs w:val="20"/>
                <w:lang w:val="en"/>
              </w:rPr>
              <w:t>Dysport</w:t>
            </w:r>
            <w:r w:rsidRPr="00FF044C">
              <w:rPr>
                <w:rFonts w:ascii="Arial Narrow" w:hAnsi="Arial Narrow"/>
                <w:sz w:val="20"/>
                <w:vertAlign w:val="superscript"/>
              </w:rPr>
              <w:t>®</w:t>
            </w:r>
          </w:p>
        </w:tc>
        <w:tc>
          <w:tcPr>
            <w:tcW w:w="678" w:type="pct"/>
            <w:shd w:val="clear" w:color="000000" w:fill="FFFFFF"/>
            <w:vAlign w:val="bottom"/>
          </w:tcPr>
          <w:p w:rsidR="00E83F04" w:rsidRDefault="00E83F04" w:rsidP="00611D60">
            <w:pPr>
              <w:widowControl/>
              <w:autoSpaceDE w:val="0"/>
              <w:autoSpaceDN w:val="0"/>
              <w:adjustRightInd w:val="0"/>
              <w:ind w:left="-108"/>
              <w:rPr>
                <w:rFonts w:cs="Calibri"/>
                <w:lang w:val="en"/>
              </w:rPr>
            </w:pPr>
            <w:proofErr w:type="spellStart"/>
            <w:r>
              <w:rPr>
                <w:rFonts w:ascii="Arial Narrow" w:hAnsi="Arial Narrow" w:cs="Arial Narrow"/>
                <w:sz w:val="20"/>
                <w:szCs w:val="20"/>
                <w:lang w:val="en"/>
              </w:rPr>
              <w:t>Ipsen</w:t>
            </w:r>
            <w:proofErr w:type="spellEnd"/>
            <w:r>
              <w:rPr>
                <w:rFonts w:ascii="Arial Narrow" w:hAnsi="Arial Narrow" w:cs="Arial Narrow"/>
                <w:sz w:val="20"/>
                <w:szCs w:val="20"/>
                <w:lang w:val="en"/>
              </w:rPr>
              <w:t xml:space="preserve"> Pty Ltd</w:t>
            </w:r>
          </w:p>
        </w:tc>
      </w:tr>
      <w:tr w:rsidR="00C37C41" w:rsidTr="002B2506">
        <w:trPr>
          <w:trHeight w:val="58"/>
        </w:trPr>
        <w:tc>
          <w:tcPr>
            <w:tcW w:w="1239" w:type="pct"/>
            <w:tcBorders>
              <w:bottom w:val="single" w:sz="4" w:space="0" w:color="auto"/>
            </w:tcBorders>
            <w:shd w:val="clear" w:color="000000" w:fill="FFFFFF"/>
          </w:tcPr>
          <w:p w:rsidR="00E83F04" w:rsidRDefault="00E83F04" w:rsidP="009F0049">
            <w:pPr>
              <w:keepNext/>
              <w:widowControl/>
              <w:autoSpaceDE w:val="0"/>
              <w:autoSpaceDN w:val="0"/>
              <w:adjustRightInd w:val="0"/>
              <w:ind w:left="-108"/>
              <w:rPr>
                <w:rFonts w:ascii="Arial Narrow" w:hAnsi="Arial Narrow" w:cs="Arial Narrow"/>
                <w:sz w:val="20"/>
                <w:szCs w:val="20"/>
                <w:lang w:val="en"/>
              </w:rPr>
            </w:pPr>
          </w:p>
        </w:tc>
        <w:tc>
          <w:tcPr>
            <w:tcW w:w="1099" w:type="pct"/>
            <w:gridSpan w:val="2"/>
            <w:tcBorders>
              <w:bottom w:val="single" w:sz="4" w:space="0" w:color="auto"/>
            </w:tcBorders>
            <w:shd w:val="clear" w:color="000000" w:fill="FFFFFF"/>
          </w:tcPr>
          <w:p w:rsidR="00E83F04" w:rsidRDefault="00E83F04" w:rsidP="00142D5A">
            <w:pPr>
              <w:keepNext/>
              <w:widowControl/>
              <w:autoSpaceDE w:val="0"/>
              <w:autoSpaceDN w:val="0"/>
              <w:adjustRightInd w:val="0"/>
              <w:ind w:left="-108"/>
              <w:jc w:val="center"/>
              <w:rPr>
                <w:rFonts w:ascii="Arial Narrow" w:hAnsi="Arial Narrow" w:cs="Arial Narrow"/>
                <w:sz w:val="20"/>
                <w:szCs w:val="20"/>
                <w:lang w:val="en"/>
              </w:rPr>
            </w:pPr>
          </w:p>
        </w:tc>
        <w:tc>
          <w:tcPr>
            <w:tcW w:w="392" w:type="pct"/>
            <w:tcBorders>
              <w:bottom w:val="single" w:sz="4" w:space="0" w:color="auto"/>
            </w:tcBorders>
            <w:shd w:val="clear" w:color="000000" w:fill="FFFFFF"/>
          </w:tcPr>
          <w:p w:rsidR="00E83F04" w:rsidRDefault="00E83F04" w:rsidP="00142D5A">
            <w:pPr>
              <w:keepNext/>
              <w:widowControl/>
              <w:autoSpaceDE w:val="0"/>
              <w:autoSpaceDN w:val="0"/>
              <w:adjustRightInd w:val="0"/>
              <w:ind w:left="-108"/>
              <w:jc w:val="center"/>
              <w:rPr>
                <w:rFonts w:ascii="Arial Narrow" w:hAnsi="Arial Narrow" w:cs="Arial Narrow"/>
                <w:strike/>
                <w:sz w:val="20"/>
                <w:szCs w:val="20"/>
                <w:lang w:val="en"/>
              </w:rPr>
            </w:pPr>
          </w:p>
        </w:tc>
        <w:tc>
          <w:tcPr>
            <w:tcW w:w="1019" w:type="pct"/>
            <w:tcBorders>
              <w:bottom w:val="single" w:sz="4" w:space="0" w:color="auto"/>
            </w:tcBorders>
            <w:shd w:val="clear" w:color="000000" w:fill="FFFFFF"/>
          </w:tcPr>
          <w:p w:rsidR="00E83F04" w:rsidRDefault="00E83F04" w:rsidP="00142D5A">
            <w:pPr>
              <w:keepNext/>
              <w:widowControl/>
              <w:autoSpaceDE w:val="0"/>
              <w:autoSpaceDN w:val="0"/>
              <w:adjustRightInd w:val="0"/>
              <w:ind w:left="-108"/>
              <w:jc w:val="center"/>
              <w:rPr>
                <w:rFonts w:ascii="Arial Narrow" w:hAnsi="Arial Narrow" w:cs="Arial Narrow"/>
                <w:sz w:val="20"/>
                <w:szCs w:val="20"/>
                <w:lang w:val="en"/>
              </w:rPr>
            </w:pPr>
          </w:p>
        </w:tc>
        <w:tc>
          <w:tcPr>
            <w:tcW w:w="573" w:type="pct"/>
            <w:tcBorders>
              <w:bottom w:val="single" w:sz="4" w:space="0" w:color="auto"/>
            </w:tcBorders>
            <w:shd w:val="clear" w:color="000000" w:fill="FFFFFF"/>
            <w:vAlign w:val="center"/>
          </w:tcPr>
          <w:p w:rsidR="00E83F04" w:rsidRDefault="00E83F04" w:rsidP="009F0049">
            <w:pPr>
              <w:keepNext/>
              <w:widowControl/>
              <w:autoSpaceDE w:val="0"/>
              <w:autoSpaceDN w:val="0"/>
              <w:adjustRightInd w:val="0"/>
              <w:rPr>
                <w:rFonts w:ascii="Arial Narrow" w:hAnsi="Arial Narrow" w:cs="Arial Narrow"/>
                <w:sz w:val="20"/>
                <w:szCs w:val="20"/>
                <w:lang w:val="en"/>
              </w:rPr>
            </w:pPr>
          </w:p>
        </w:tc>
        <w:tc>
          <w:tcPr>
            <w:tcW w:w="678" w:type="pct"/>
            <w:tcBorders>
              <w:bottom w:val="single" w:sz="4" w:space="0" w:color="auto"/>
            </w:tcBorders>
            <w:shd w:val="clear" w:color="000000" w:fill="FFFFFF"/>
            <w:vAlign w:val="center"/>
          </w:tcPr>
          <w:p w:rsidR="00E83F04" w:rsidRDefault="00E83F04" w:rsidP="009F0049">
            <w:pPr>
              <w:keepNext/>
              <w:widowControl/>
              <w:autoSpaceDE w:val="0"/>
              <w:autoSpaceDN w:val="0"/>
              <w:adjustRightInd w:val="0"/>
              <w:ind w:left="-108"/>
              <w:rPr>
                <w:rFonts w:ascii="Arial Narrow" w:hAnsi="Arial Narrow" w:cs="Arial Narrow"/>
                <w:sz w:val="20"/>
                <w:szCs w:val="20"/>
                <w:lang w:val="en"/>
              </w:rPr>
            </w:pPr>
          </w:p>
        </w:tc>
      </w:tr>
      <w:tr w:rsidR="00C37C41" w:rsidTr="00142D5A">
        <w:trPr>
          <w:trHeight w:val="100"/>
        </w:trPr>
        <w:tc>
          <w:tcPr>
            <w:tcW w:w="1239" w:type="pct"/>
            <w:tcBorders>
              <w:top w:val="single" w:sz="4" w:space="0" w:color="auto"/>
              <w:left w:val="single" w:sz="3" w:space="0" w:color="000000"/>
              <w:bottom w:val="single" w:sz="3" w:space="0" w:color="000000"/>
              <w:right w:val="single" w:sz="3" w:space="0" w:color="000000"/>
            </w:tcBorders>
            <w:shd w:val="clear" w:color="000000" w:fill="FFFFFF"/>
          </w:tcPr>
          <w:p w:rsidR="00E83F04" w:rsidRDefault="00E83F04" w:rsidP="009F0049">
            <w:pPr>
              <w:keepNext/>
              <w:widowControl/>
              <w:autoSpaceDE w:val="0"/>
              <w:autoSpaceDN w:val="0"/>
              <w:adjustRightInd w:val="0"/>
              <w:jc w:val="left"/>
              <w:rPr>
                <w:rFonts w:cs="Calibri"/>
                <w:lang w:val="en"/>
              </w:rPr>
            </w:pPr>
            <w:r>
              <w:rPr>
                <w:rFonts w:ascii="Arial Narrow" w:hAnsi="Arial Narrow" w:cs="Arial Narrow"/>
                <w:b/>
                <w:bCs/>
                <w:color w:val="000000"/>
                <w:sz w:val="20"/>
                <w:szCs w:val="20"/>
                <w:lang w:val="en"/>
              </w:rPr>
              <w:t>Category / Program :</w:t>
            </w:r>
          </w:p>
        </w:tc>
        <w:tc>
          <w:tcPr>
            <w:tcW w:w="3761" w:type="pct"/>
            <w:gridSpan w:val="6"/>
            <w:tcBorders>
              <w:top w:val="single" w:sz="4" w:space="0" w:color="auto"/>
              <w:left w:val="single" w:sz="3" w:space="0" w:color="000000"/>
              <w:bottom w:val="single" w:sz="3" w:space="0" w:color="000000"/>
              <w:right w:val="single" w:sz="3" w:space="0" w:color="000000"/>
            </w:tcBorders>
            <w:shd w:val="clear" w:color="000000" w:fill="FFFFFF"/>
          </w:tcPr>
          <w:p w:rsidR="00E83F04" w:rsidRDefault="00E83F04" w:rsidP="009F0049">
            <w:pPr>
              <w:keepNext/>
              <w:widowControl/>
              <w:autoSpaceDE w:val="0"/>
              <w:autoSpaceDN w:val="0"/>
              <w:adjustRightInd w:val="0"/>
              <w:rPr>
                <w:rFonts w:cs="Calibri"/>
                <w:lang w:val="en"/>
              </w:rPr>
            </w:pPr>
            <w:r>
              <w:rPr>
                <w:rFonts w:ascii="Arial Narrow" w:hAnsi="Arial Narrow" w:cs="Arial Narrow"/>
                <w:color w:val="000000"/>
                <w:sz w:val="20"/>
                <w:szCs w:val="20"/>
                <w:lang w:val="en"/>
              </w:rPr>
              <w:t>Section 100 – Botulinum Toxin Program</w:t>
            </w:r>
          </w:p>
        </w:tc>
      </w:tr>
      <w:tr w:rsidR="00C37C41" w:rsidRPr="00260CE3" w:rsidTr="00142D5A">
        <w:trPr>
          <w:trHeight w:val="58"/>
        </w:trPr>
        <w:tc>
          <w:tcPr>
            <w:tcW w:w="1239" w:type="pct"/>
            <w:tcBorders>
              <w:top w:val="single" w:sz="4" w:space="0" w:color="auto"/>
              <w:left w:val="single" w:sz="3" w:space="0" w:color="000000"/>
              <w:bottom w:val="single" w:sz="3" w:space="0" w:color="000000"/>
              <w:right w:val="single" w:sz="3" w:space="0" w:color="000000"/>
            </w:tcBorders>
            <w:shd w:val="clear" w:color="000000" w:fill="FFFFFF"/>
          </w:tcPr>
          <w:p w:rsidR="00E83F04" w:rsidRPr="00AD41F5" w:rsidRDefault="00E83F04" w:rsidP="009F0049">
            <w:pPr>
              <w:keepNext/>
              <w:widowControl/>
              <w:autoSpaceDE w:val="0"/>
              <w:autoSpaceDN w:val="0"/>
              <w:adjustRightInd w:val="0"/>
              <w:jc w:val="left"/>
              <w:rPr>
                <w:rFonts w:ascii="Arial Narrow" w:hAnsi="Arial Narrow" w:cs="Arial Narrow"/>
                <w:b/>
                <w:bCs/>
                <w:color w:val="000000"/>
                <w:sz w:val="20"/>
                <w:szCs w:val="20"/>
                <w:lang w:val="en"/>
              </w:rPr>
            </w:pPr>
            <w:r w:rsidRPr="00AD41F5">
              <w:rPr>
                <w:rFonts w:ascii="Arial Narrow" w:hAnsi="Arial Narrow" w:cs="Arial Narrow"/>
                <w:b/>
                <w:bCs/>
                <w:color w:val="000000"/>
                <w:sz w:val="20"/>
                <w:szCs w:val="20"/>
                <w:lang w:val="en"/>
              </w:rPr>
              <w:t>Prescriber type:</w:t>
            </w:r>
          </w:p>
        </w:tc>
        <w:tc>
          <w:tcPr>
            <w:tcW w:w="3761" w:type="pct"/>
            <w:gridSpan w:val="6"/>
            <w:tcBorders>
              <w:top w:val="single" w:sz="4" w:space="0" w:color="auto"/>
              <w:left w:val="single" w:sz="3" w:space="0" w:color="000000"/>
              <w:bottom w:val="single" w:sz="3" w:space="0" w:color="000000"/>
              <w:right w:val="single" w:sz="3" w:space="0" w:color="000000"/>
            </w:tcBorders>
            <w:shd w:val="clear" w:color="000000" w:fill="FFFFFF"/>
          </w:tcPr>
          <w:p w:rsidR="00E83F04" w:rsidRPr="00AD41F5" w:rsidRDefault="00E83F04" w:rsidP="009F0049">
            <w:pPr>
              <w:keepNext/>
              <w:widowControl/>
              <w:autoSpaceDE w:val="0"/>
              <w:autoSpaceDN w:val="0"/>
              <w:adjustRightInd w:val="0"/>
              <w:rPr>
                <w:rFonts w:ascii="Arial Narrow" w:hAnsi="Arial Narrow" w:cs="Arial Narrow"/>
                <w:color w:val="000000"/>
                <w:sz w:val="20"/>
                <w:szCs w:val="20"/>
                <w:lang w:val="en"/>
              </w:rPr>
            </w:pPr>
            <w:r w:rsidRPr="00AD41F5">
              <w:rPr>
                <w:rFonts w:ascii="Arial Narrow" w:hAnsi="Arial Narrow" w:cs="Arial Narrow"/>
                <w:color w:val="000000"/>
                <w:sz w:val="20"/>
                <w:szCs w:val="20"/>
                <w:lang w:val="en"/>
              </w:rPr>
              <w:fldChar w:fldCharType="begin">
                <w:ffData>
                  <w:name w:val="Check1"/>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DF2EBD">
              <w:rPr>
                <w:rFonts w:ascii="Arial Narrow" w:hAnsi="Arial Narrow" w:cs="Arial Narrow"/>
                <w:color w:val="000000"/>
                <w:sz w:val="20"/>
                <w:szCs w:val="20"/>
                <w:lang w:val="en"/>
              </w:rPr>
            </w:r>
            <w:r w:rsidR="00DF2EBD">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Dental</w:t>
            </w:r>
            <w:r w:rsidR="00642FE1">
              <w:rPr>
                <w:rFonts w:ascii="Arial Narrow" w:hAnsi="Arial Narrow" w:cs="Arial Narrow"/>
                <w:color w:val="000000"/>
                <w:sz w:val="20"/>
                <w:szCs w:val="20"/>
                <w:lang w:val="en"/>
              </w:rPr>
              <w:t xml:space="preserve"> </w:t>
            </w:r>
            <w:r w:rsidRPr="00AD41F5">
              <w:rPr>
                <w:rFonts w:ascii="Arial Narrow" w:hAnsi="Arial Narrow" w:cs="Arial Narrow"/>
                <w:color w:val="000000"/>
                <w:sz w:val="20"/>
                <w:szCs w:val="20"/>
                <w:lang w:val="en"/>
              </w:rPr>
              <w:fldChar w:fldCharType="begin">
                <w:ffData>
                  <w:name w:val=""/>
                  <w:enabled/>
                  <w:calcOnExit w:val="0"/>
                  <w:checkBox>
                    <w:sizeAuto/>
                    <w:default w:val="1"/>
                  </w:checkBox>
                </w:ffData>
              </w:fldChar>
            </w:r>
            <w:r w:rsidRPr="00AD41F5">
              <w:rPr>
                <w:rFonts w:ascii="Arial Narrow" w:hAnsi="Arial Narrow" w:cs="Arial Narrow"/>
                <w:color w:val="000000"/>
                <w:sz w:val="20"/>
                <w:szCs w:val="20"/>
                <w:lang w:val="en"/>
              </w:rPr>
              <w:instrText xml:space="preserve"> FORMCHECKBOX </w:instrText>
            </w:r>
            <w:r w:rsidR="00DF2EBD">
              <w:rPr>
                <w:rFonts w:ascii="Arial Narrow" w:hAnsi="Arial Narrow" w:cs="Arial Narrow"/>
                <w:color w:val="000000"/>
                <w:sz w:val="20"/>
                <w:szCs w:val="20"/>
                <w:lang w:val="en"/>
              </w:rPr>
            </w:r>
            <w:r w:rsidR="00DF2EBD">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Medical Practitioners</w:t>
            </w:r>
            <w:r w:rsidR="00642FE1">
              <w:rPr>
                <w:rFonts w:ascii="Arial Narrow" w:hAnsi="Arial Narrow" w:cs="Arial Narrow"/>
                <w:color w:val="000000"/>
                <w:sz w:val="20"/>
                <w:szCs w:val="20"/>
                <w:lang w:val="en"/>
              </w:rPr>
              <w:t xml:space="preserve"> </w:t>
            </w:r>
            <w:r w:rsidRPr="00AD41F5">
              <w:rPr>
                <w:rFonts w:ascii="Arial Narrow" w:hAnsi="Arial Narrow" w:cs="Arial Narrow"/>
                <w:color w:val="000000"/>
                <w:sz w:val="20"/>
                <w:szCs w:val="20"/>
                <w:lang w:val="en"/>
              </w:rPr>
              <w:fldChar w:fldCharType="begin">
                <w:ffData>
                  <w:name w:val="Check3"/>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DF2EBD">
              <w:rPr>
                <w:rFonts w:ascii="Arial Narrow" w:hAnsi="Arial Narrow" w:cs="Arial Narrow"/>
                <w:color w:val="000000"/>
                <w:sz w:val="20"/>
                <w:szCs w:val="20"/>
                <w:lang w:val="en"/>
              </w:rPr>
            </w:r>
            <w:r w:rsidR="00DF2EBD">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Nurse practitioners</w:t>
            </w:r>
            <w:r w:rsidR="00642FE1">
              <w:rPr>
                <w:rFonts w:ascii="Arial Narrow" w:hAnsi="Arial Narrow" w:cs="Arial Narrow"/>
                <w:color w:val="000000"/>
                <w:sz w:val="20"/>
                <w:szCs w:val="20"/>
                <w:lang w:val="en"/>
              </w:rPr>
              <w:t xml:space="preserve"> </w:t>
            </w:r>
            <w:r w:rsidRPr="00AD41F5">
              <w:rPr>
                <w:rFonts w:ascii="Arial Narrow" w:hAnsi="Arial Narrow" w:cs="Arial Narrow"/>
                <w:color w:val="000000"/>
                <w:sz w:val="20"/>
                <w:szCs w:val="20"/>
                <w:lang w:val="en"/>
              </w:rPr>
              <w:fldChar w:fldCharType="begin">
                <w:ffData>
                  <w:name w:val=""/>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DF2EBD">
              <w:rPr>
                <w:rFonts w:ascii="Arial Narrow" w:hAnsi="Arial Narrow" w:cs="Arial Narrow"/>
                <w:color w:val="000000"/>
                <w:sz w:val="20"/>
                <w:szCs w:val="20"/>
                <w:lang w:val="en"/>
              </w:rPr>
            </w:r>
            <w:r w:rsidR="00DF2EBD">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Pr>
                <w:rFonts w:ascii="Arial Narrow" w:hAnsi="Arial Narrow" w:cs="Arial Narrow"/>
                <w:color w:val="000000"/>
                <w:sz w:val="20"/>
                <w:szCs w:val="20"/>
                <w:lang w:val="en"/>
              </w:rPr>
              <w:t>O</w:t>
            </w:r>
            <w:r w:rsidRPr="00AD41F5">
              <w:rPr>
                <w:rFonts w:ascii="Arial Narrow" w:hAnsi="Arial Narrow" w:cs="Arial Narrow"/>
                <w:color w:val="000000"/>
                <w:sz w:val="20"/>
                <w:szCs w:val="20"/>
                <w:lang w:val="en"/>
              </w:rPr>
              <w:t xml:space="preserve">ptometrists </w:t>
            </w:r>
            <w:r w:rsidRPr="00AD41F5">
              <w:rPr>
                <w:rFonts w:ascii="Arial Narrow" w:hAnsi="Arial Narrow" w:cs="Arial Narrow"/>
                <w:color w:val="000000"/>
                <w:sz w:val="20"/>
                <w:szCs w:val="20"/>
                <w:lang w:val="en"/>
              </w:rPr>
              <w:fldChar w:fldCharType="begin">
                <w:ffData>
                  <w:name w:val="Check5"/>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DF2EBD">
              <w:rPr>
                <w:rFonts w:ascii="Arial Narrow" w:hAnsi="Arial Narrow" w:cs="Arial Narrow"/>
                <w:color w:val="000000"/>
                <w:sz w:val="20"/>
                <w:szCs w:val="20"/>
                <w:lang w:val="en"/>
              </w:rPr>
            </w:r>
            <w:r w:rsidR="00DF2EBD">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Midwives</w:t>
            </w:r>
          </w:p>
        </w:tc>
      </w:tr>
      <w:tr w:rsidR="00C37C41" w:rsidTr="00142D5A">
        <w:trPr>
          <w:trHeight w:val="58"/>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Default="00E83F04" w:rsidP="009F0049">
            <w:pPr>
              <w:keepNext/>
              <w:widowControl/>
              <w:autoSpaceDE w:val="0"/>
              <w:autoSpaceDN w:val="0"/>
              <w:adjustRightInd w:val="0"/>
              <w:jc w:val="left"/>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Severity</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tcPr>
          <w:p w:rsidR="00E83F04" w:rsidRPr="00910FFC" w:rsidRDefault="00E83F04" w:rsidP="009F0049">
            <w:pPr>
              <w:keepNext/>
              <w:widowControl/>
              <w:autoSpaceDE w:val="0"/>
              <w:autoSpaceDN w:val="0"/>
              <w:adjustRightInd w:val="0"/>
              <w:rPr>
                <w:rFonts w:ascii="Arial Narrow" w:hAnsi="Arial Narrow" w:cs="Calibri"/>
                <w:i/>
                <w:sz w:val="20"/>
                <w:szCs w:val="20"/>
                <w:lang w:val="en"/>
              </w:rPr>
            </w:pPr>
            <w:r w:rsidRPr="00910FFC">
              <w:rPr>
                <w:rFonts w:ascii="Arial Narrow" w:hAnsi="Arial Narrow" w:cs="Calibri"/>
                <w:i/>
                <w:sz w:val="20"/>
                <w:szCs w:val="20"/>
                <w:lang w:val="en"/>
              </w:rPr>
              <w:t>Moderate to severe</w:t>
            </w:r>
          </w:p>
        </w:tc>
      </w:tr>
      <w:tr w:rsidR="00C37C41" w:rsidTr="00142D5A">
        <w:trPr>
          <w:trHeight w:val="58"/>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Default="00E83F04" w:rsidP="009F0049">
            <w:pPr>
              <w:keepNext/>
              <w:widowControl/>
              <w:autoSpaceDE w:val="0"/>
              <w:autoSpaceDN w:val="0"/>
              <w:adjustRightInd w:val="0"/>
              <w:jc w:val="left"/>
              <w:rPr>
                <w:rFonts w:cs="Calibri"/>
                <w:lang w:val="en"/>
              </w:rPr>
            </w:pPr>
            <w:r>
              <w:rPr>
                <w:rFonts w:ascii="Arial Narrow" w:hAnsi="Arial Narrow" w:cs="Arial Narrow"/>
                <w:b/>
                <w:bCs/>
                <w:color w:val="000000"/>
                <w:sz w:val="20"/>
                <w:szCs w:val="20"/>
                <w:lang w:val="en"/>
              </w:rPr>
              <w:t>Condition:</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tcPr>
          <w:p w:rsidR="00E83F04" w:rsidRPr="00073BA6" w:rsidRDefault="00E83F04" w:rsidP="009F0049">
            <w:pPr>
              <w:keepNext/>
              <w:widowControl/>
              <w:autoSpaceDE w:val="0"/>
              <w:autoSpaceDN w:val="0"/>
              <w:adjustRightInd w:val="0"/>
              <w:rPr>
                <w:rFonts w:ascii="Arial Narrow" w:hAnsi="Arial Narrow" w:cs="Calibri"/>
                <w:i/>
                <w:sz w:val="20"/>
                <w:szCs w:val="20"/>
                <w:lang w:val="en"/>
              </w:rPr>
            </w:pPr>
            <w:r w:rsidRPr="00073BA6">
              <w:rPr>
                <w:rFonts w:ascii="Arial Narrow" w:hAnsi="Arial Narrow" w:cs="Calibri"/>
                <w:i/>
                <w:sz w:val="20"/>
                <w:szCs w:val="20"/>
                <w:lang w:val="en"/>
              </w:rPr>
              <w:t>Spasticity of the</w:t>
            </w:r>
            <w:r>
              <w:rPr>
                <w:rFonts w:ascii="Arial Narrow" w:hAnsi="Arial Narrow" w:cs="Calibri"/>
                <w:strike/>
                <w:sz w:val="20"/>
                <w:szCs w:val="20"/>
                <w:lang w:val="en"/>
              </w:rPr>
              <w:t xml:space="preserve"> </w:t>
            </w:r>
            <w:r w:rsidRPr="001B5D1B">
              <w:rPr>
                <w:rFonts w:ascii="Arial Narrow" w:hAnsi="Arial Narrow" w:cs="Calibri"/>
                <w:strike/>
                <w:sz w:val="20"/>
                <w:szCs w:val="20"/>
                <w:lang w:val="en"/>
              </w:rPr>
              <w:t>Adult</w:t>
            </w:r>
            <w:r w:rsidRPr="00910FFC">
              <w:rPr>
                <w:rFonts w:ascii="Arial Narrow" w:hAnsi="Arial Narrow" w:cs="Calibri"/>
                <w:sz w:val="20"/>
                <w:szCs w:val="20"/>
                <w:lang w:val="en"/>
              </w:rPr>
              <w:t xml:space="preserve"> upper limb</w:t>
            </w:r>
            <w:r w:rsidRPr="001B5D1B">
              <w:rPr>
                <w:rFonts w:ascii="Arial Narrow" w:hAnsi="Arial Narrow" w:cs="Calibri"/>
                <w:strike/>
                <w:sz w:val="20"/>
                <w:szCs w:val="20"/>
                <w:lang w:val="en"/>
              </w:rPr>
              <w:t xml:space="preserve"> moderate to severe spasticity</w:t>
            </w:r>
            <w:r>
              <w:rPr>
                <w:rFonts w:ascii="Arial Narrow" w:hAnsi="Arial Narrow" w:cs="Calibri"/>
                <w:sz w:val="20"/>
                <w:szCs w:val="20"/>
                <w:lang w:val="en"/>
              </w:rPr>
              <w:t xml:space="preserve"> </w:t>
            </w:r>
            <w:r>
              <w:rPr>
                <w:rFonts w:ascii="Arial Narrow" w:hAnsi="Arial Narrow" w:cs="Calibri"/>
                <w:i/>
                <w:sz w:val="20"/>
                <w:szCs w:val="20"/>
                <w:lang w:val="en"/>
              </w:rPr>
              <w:t>following an acute event</w:t>
            </w:r>
          </w:p>
        </w:tc>
      </w:tr>
      <w:tr w:rsidR="00C37C41" w:rsidTr="00142D5A">
        <w:trPr>
          <w:trHeight w:val="58"/>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Default="00E83F04" w:rsidP="009F0049">
            <w:pPr>
              <w:keepNext/>
              <w:widowControl/>
              <w:autoSpaceDE w:val="0"/>
              <w:autoSpaceDN w:val="0"/>
              <w:adjustRightInd w:val="0"/>
              <w:jc w:val="left"/>
              <w:rPr>
                <w:rFonts w:cs="Calibri"/>
                <w:lang w:val="en"/>
              </w:rPr>
            </w:pPr>
            <w:r>
              <w:rPr>
                <w:rFonts w:ascii="Arial Narrow" w:hAnsi="Arial Narrow" w:cs="Arial Narrow"/>
                <w:b/>
                <w:bCs/>
                <w:color w:val="000000"/>
                <w:sz w:val="20"/>
                <w:szCs w:val="20"/>
                <w:lang w:val="en"/>
              </w:rPr>
              <w:t>PBS Indication:</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tcPr>
          <w:p w:rsidR="00E83F04" w:rsidRPr="00910FFC" w:rsidRDefault="00E83F04" w:rsidP="009F0049">
            <w:pPr>
              <w:keepNext/>
              <w:widowControl/>
              <w:autoSpaceDE w:val="0"/>
              <w:autoSpaceDN w:val="0"/>
              <w:adjustRightInd w:val="0"/>
              <w:rPr>
                <w:rFonts w:cs="Calibri"/>
                <w:i/>
                <w:strike/>
                <w:lang w:val="en"/>
              </w:rPr>
            </w:pPr>
            <w:r>
              <w:rPr>
                <w:rFonts w:ascii="Arial Narrow" w:hAnsi="Arial Narrow"/>
                <w:color w:val="000000" w:themeColor="text1"/>
                <w:sz w:val="20"/>
              </w:rPr>
              <w:t xml:space="preserve">Moderate to severe spasticity of the upper limb </w:t>
            </w:r>
            <w:r>
              <w:rPr>
                <w:rFonts w:ascii="Arial Narrow" w:hAnsi="Arial Narrow"/>
                <w:i/>
                <w:color w:val="000000" w:themeColor="text1"/>
                <w:sz w:val="20"/>
              </w:rPr>
              <w:t>following an acute event</w:t>
            </w:r>
          </w:p>
        </w:tc>
      </w:tr>
      <w:tr w:rsidR="00C37C41" w:rsidTr="00142D5A">
        <w:trPr>
          <w:trHeight w:val="58"/>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Default="00E83F04" w:rsidP="009F0049">
            <w:pPr>
              <w:keepNext/>
              <w:widowControl/>
              <w:autoSpaceDE w:val="0"/>
              <w:autoSpaceDN w:val="0"/>
              <w:adjustRightInd w:val="0"/>
              <w:jc w:val="left"/>
              <w:rPr>
                <w:rFonts w:cs="Calibri"/>
                <w:lang w:val="en"/>
              </w:rPr>
            </w:pPr>
            <w:r>
              <w:rPr>
                <w:rFonts w:ascii="Arial Narrow" w:hAnsi="Arial Narrow" w:cs="Arial Narrow"/>
                <w:b/>
                <w:bCs/>
                <w:color w:val="000000"/>
                <w:sz w:val="20"/>
                <w:szCs w:val="20"/>
                <w:lang w:val="en"/>
              </w:rPr>
              <w:t>Treatment phase:</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tcPr>
          <w:p w:rsidR="00E83F04" w:rsidRPr="00073BA6" w:rsidRDefault="00E83F04" w:rsidP="009F0049">
            <w:pPr>
              <w:keepNext/>
              <w:widowControl/>
              <w:autoSpaceDE w:val="0"/>
              <w:autoSpaceDN w:val="0"/>
              <w:adjustRightInd w:val="0"/>
              <w:rPr>
                <w:rFonts w:cs="Calibri"/>
                <w:strike/>
                <w:highlight w:val="lightGray"/>
                <w:lang w:val="en"/>
              </w:rPr>
            </w:pPr>
            <w:r w:rsidRPr="00073BA6">
              <w:rPr>
                <w:rFonts w:ascii="Arial Narrow" w:hAnsi="Arial Narrow" w:cs="Arial Narrow"/>
                <w:strike/>
                <w:color w:val="000000"/>
                <w:sz w:val="20"/>
                <w:szCs w:val="20"/>
                <w:lang w:val="en"/>
              </w:rPr>
              <w:t>Initial and continuing</w:t>
            </w:r>
          </w:p>
        </w:tc>
      </w:tr>
      <w:tr w:rsidR="00C37C41" w:rsidTr="00142D5A">
        <w:trPr>
          <w:trHeight w:val="360"/>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Default="00E83F04" w:rsidP="009F0049">
            <w:pPr>
              <w:keepNext/>
              <w:widowControl/>
              <w:autoSpaceDE w:val="0"/>
              <w:autoSpaceDN w:val="0"/>
              <w:adjustRightInd w:val="0"/>
              <w:jc w:val="left"/>
              <w:rPr>
                <w:rFonts w:cs="Calibri"/>
                <w:lang w:val="en"/>
              </w:rPr>
            </w:pPr>
            <w:r>
              <w:rPr>
                <w:rFonts w:ascii="Arial Narrow" w:hAnsi="Arial Narrow" w:cs="Arial Narrow"/>
                <w:b/>
                <w:bCs/>
                <w:color w:val="000000"/>
                <w:sz w:val="20"/>
                <w:szCs w:val="20"/>
                <w:lang w:val="en"/>
              </w:rPr>
              <w:t>Restriction Level / Method:</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tcPr>
          <w:p w:rsidR="00E83F04" w:rsidRPr="00F15216" w:rsidRDefault="00E83F04" w:rsidP="009F0049">
            <w:pPr>
              <w:keepNext/>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1"/>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DF2EBD">
              <w:rPr>
                <w:rFonts w:ascii="Arial Narrow" w:hAnsi="Arial Narrow"/>
                <w:color w:val="000000" w:themeColor="text1"/>
                <w:sz w:val="20"/>
              </w:rPr>
            </w:r>
            <w:r w:rsidR="00DF2EBD">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Restricted benefit</w:t>
            </w:r>
          </w:p>
          <w:p w:rsidR="00E83F04" w:rsidRPr="00F15216" w:rsidRDefault="00E83F04" w:rsidP="009F0049">
            <w:pPr>
              <w:keepNext/>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DF2EBD">
              <w:rPr>
                <w:rFonts w:ascii="Arial Narrow" w:hAnsi="Arial Narrow"/>
                <w:color w:val="000000" w:themeColor="text1"/>
                <w:sz w:val="20"/>
              </w:rPr>
            </w:r>
            <w:r w:rsidR="00DF2EBD">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In Writing</w:t>
            </w:r>
          </w:p>
          <w:p w:rsidR="00E83F04" w:rsidRPr="00F15216" w:rsidRDefault="00E83F04" w:rsidP="009F0049">
            <w:pPr>
              <w:keepNext/>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3"/>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DF2EBD">
              <w:rPr>
                <w:rFonts w:ascii="Arial Narrow" w:hAnsi="Arial Narrow"/>
                <w:color w:val="000000" w:themeColor="text1"/>
                <w:sz w:val="20"/>
              </w:rPr>
            </w:r>
            <w:r w:rsidR="00DF2EBD">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Telephone</w:t>
            </w:r>
          </w:p>
          <w:p w:rsidR="00E83F04" w:rsidRPr="00F15216" w:rsidRDefault="00E83F04" w:rsidP="009F0049">
            <w:pPr>
              <w:keepNext/>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DF2EBD">
              <w:rPr>
                <w:rFonts w:ascii="Arial Narrow" w:hAnsi="Arial Narrow"/>
                <w:color w:val="000000" w:themeColor="text1"/>
                <w:sz w:val="20"/>
              </w:rPr>
            </w:r>
            <w:r w:rsidR="00DF2EBD">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Emergency</w:t>
            </w:r>
          </w:p>
          <w:p w:rsidR="00E83F04" w:rsidRPr="00F15216" w:rsidRDefault="00E83F04" w:rsidP="009F0049">
            <w:pPr>
              <w:keepNext/>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5"/>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DF2EBD">
              <w:rPr>
                <w:rFonts w:ascii="Arial Narrow" w:hAnsi="Arial Narrow"/>
                <w:color w:val="000000" w:themeColor="text1"/>
                <w:sz w:val="20"/>
              </w:rPr>
            </w:r>
            <w:r w:rsidR="00DF2EBD">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Electronic</w:t>
            </w:r>
          </w:p>
          <w:p w:rsidR="00E83F04" w:rsidRDefault="00E83F04" w:rsidP="009F0049">
            <w:pPr>
              <w:keepNext/>
              <w:widowControl/>
              <w:autoSpaceDE w:val="0"/>
              <w:autoSpaceDN w:val="0"/>
              <w:adjustRightInd w:val="0"/>
              <w:rPr>
                <w:rFonts w:cs="Calibri"/>
                <w:lang w:val="en"/>
              </w:rPr>
            </w:pPr>
            <w:r w:rsidRPr="00F15216">
              <w:rPr>
                <w:rFonts w:ascii="Arial Narrow" w:hAnsi="Arial Narrow" w:cs="Times New Roman"/>
                <w:color w:val="000000" w:themeColor="text1"/>
                <w:sz w:val="20"/>
              </w:rPr>
              <w:fldChar w:fldCharType="begin">
                <w:ffData>
                  <w:name w:val="Check5"/>
                  <w:enabled/>
                  <w:calcOnExit w:val="0"/>
                  <w:checkBox>
                    <w:sizeAuto/>
                    <w:default w:val="1"/>
                  </w:checkBox>
                </w:ffData>
              </w:fldChar>
            </w:r>
            <w:r w:rsidRPr="00F15216">
              <w:rPr>
                <w:rFonts w:ascii="Arial Narrow" w:hAnsi="Arial Narrow" w:cs="Times New Roman"/>
                <w:color w:val="000000" w:themeColor="text1"/>
                <w:sz w:val="20"/>
              </w:rPr>
              <w:instrText xml:space="preserve"> FORMCHECKBOX </w:instrText>
            </w:r>
            <w:r w:rsidR="00DF2EBD">
              <w:rPr>
                <w:rFonts w:ascii="Arial Narrow" w:hAnsi="Arial Narrow" w:cs="Times New Roman"/>
                <w:color w:val="000000" w:themeColor="text1"/>
                <w:sz w:val="20"/>
              </w:rPr>
            </w:r>
            <w:r w:rsidR="00DF2EBD">
              <w:rPr>
                <w:rFonts w:ascii="Arial Narrow" w:hAnsi="Arial Narrow" w:cs="Times New Roman"/>
                <w:color w:val="000000" w:themeColor="text1"/>
                <w:sz w:val="20"/>
              </w:rPr>
              <w:fldChar w:fldCharType="separate"/>
            </w:r>
            <w:r w:rsidRPr="00F15216">
              <w:rPr>
                <w:rFonts w:ascii="Arial Narrow" w:hAnsi="Arial Narrow" w:cs="Times New Roman"/>
                <w:color w:val="000000" w:themeColor="text1"/>
                <w:sz w:val="20"/>
              </w:rPr>
              <w:fldChar w:fldCharType="end"/>
            </w:r>
            <w:r w:rsidRPr="00F15216">
              <w:rPr>
                <w:rFonts w:ascii="Arial Narrow" w:hAnsi="Arial Narrow" w:cs="Times New Roman"/>
                <w:color w:val="000000" w:themeColor="text1"/>
                <w:sz w:val="20"/>
              </w:rPr>
              <w:t>S</w:t>
            </w:r>
            <w:r w:rsidRPr="00F15216">
              <w:rPr>
                <w:rFonts w:ascii="Arial Narrow" w:hAnsi="Arial Narrow"/>
                <w:color w:val="000000" w:themeColor="text1"/>
                <w:sz w:val="20"/>
              </w:rPr>
              <w:t>treamlined</w:t>
            </w:r>
          </w:p>
        </w:tc>
      </w:tr>
      <w:tr w:rsidR="00C37C41" w:rsidTr="00611D60">
        <w:trPr>
          <w:trHeight w:val="531"/>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Default="00E83F04" w:rsidP="009F0049">
            <w:pPr>
              <w:widowControl/>
              <w:autoSpaceDE w:val="0"/>
              <w:autoSpaceDN w:val="0"/>
              <w:adjustRightInd w:val="0"/>
              <w:rPr>
                <w:rFonts w:cs="Calibri"/>
                <w:lang w:val="en"/>
              </w:rPr>
            </w:pPr>
            <w:r>
              <w:rPr>
                <w:rFonts w:ascii="Arial Narrow" w:hAnsi="Arial Narrow" w:cs="Arial Narrow"/>
                <w:b/>
                <w:bCs/>
                <w:sz w:val="20"/>
                <w:szCs w:val="20"/>
                <w:lang w:val="en"/>
              </w:rPr>
              <w:t>Clinical criteria:</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tcPr>
          <w:p w:rsidR="00E83F04" w:rsidRPr="00073BA6" w:rsidRDefault="00E83F04" w:rsidP="009F0049">
            <w:pPr>
              <w:widowControl/>
              <w:rPr>
                <w:rFonts w:ascii="Arial Narrow" w:hAnsi="Arial Narrow"/>
                <w:sz w:val="20"/>
                <w:szCs w:val="20"/>
              </w:rPr>
            </w:pPr>
            <w:r w:rsidRPr="00073BA6">
              <w:rPr>
                <w:rFonts w:ascii="Arial Narrow" w:hAnsi="Arial Narrow"/>
                <w:sz w:val="20"/>
                <w:szCs w:val="20"/>
              </w:rPr>
              <w:t xml:space="preserve">The condition must be moderate to severe spasticity of the upper limb/s following an acute event, defined as a Modified Ashworth Scale rating of </w:t>
            </w:r>
            <w:r w:rsidRPr="0095691A">
              <w:rPr>
                <w:rFonts w:ascii="Arial Narrow" w:hAnsi="Arial Narrow"/>
                <w:strike/>
                <w:sz w:val="20"/>
                <w:szCs w:val="20"/>
              </w:rPr>
              <w:t>2</w:t>
            </w:r>
            <w:r w:rsidR="0095691A">
              <w:rPr>
                <w:rFonts w:ascii="Arial Narrow" w:hAnsi="Arial Narrow"/>
                <w:sz w:val="20"/>
                <w:szCs w:val="20"/>
              </w:rPr>
              <w:t xml:space="preserve"> 3 </w:t>
            </w:r>
            <w:r w:rsidRPr="00073BA6">
              <w:rPr>
                <w:rFonts w:ascii="Arial Narrow" w:hAnsi="Arial Narrow"/>
                <w:sz w:val="20"/>
                <w:szCs w:val="20"/>
              </w:rPr>
              <w:t>or more,</w:t>
            </w:r>
          </w:p>
          <w:p w:rsidR="00E83F04" w:rsidRPr="00073BA6" w:rsidRDefault="00E83F04" w:rsidP="009F0049">
            <w:pPr>
              <w:widowControl/>
              <w:rPr>
                <w:rFonts w:ascii="Arial Narrow" w:hAnsi="Arial Narrow"/>
                <w:b/>
                <w:sz w:val="20"/>
                <w:szCs w:val="20"/>
              </w:rPr>
            </w:pPr>
            <w:r w:rsidRPr="00073BA6">
              <w:rPr>
                <w:rFonts w:ascii="Arial Narrow" w:hAnsi="Arial Narrow"/>
                <w:b/>
                <w:sz w:val="20"/>
                <w:szCs w:val="20"/>
              </w:rPr>
              <w:t>AND</w:t>
            </w:r>
          </w:p>
          <w:p w:rsidR="00E83F04" w:rsidRPr="00142D5A" w:rsidRDefault="00E83F04" w:rsidP="009F0049">
            <w:pPr>
              <w:widowControl/>
              <w:rPr>
                <w:rFonts w:ascii="Arial Narrow" w:hAnsi="Arial Narrow"/>
                <w:strike/>
                <w:sz w:val="20"/>
                <w:szCs w:val="20"/>
              </w:rPr>
            </w:pPr>
            <w:r w:rsidRPr="00142D5A">
              <w:rPr>
                <w:rFonts w:ascii="Arial Narrow" w:hAnsi="Arial Narrow"/>
                <w:strike/>
                <w:sz w:val="20"/>
                <w:szCs w:val="20"/>
              </w:rPr>
              <w:t>The treatment must not be initiated until three months post-event,</w:t>
            </w:r>
          </w:p>
          <w:p w:rsidR="00E83F04" w:rsidRPr="00073BA6" w:rsidRDefault="00E83F04" w:rsidP="009F0049">
            <w:pPr>
              <w:widowControl/>
              <w:rPr>
                <w:rFonts w:ascii="Arial Narrow" w:hAnsi="Arial Narrow"/>
                <w:b/>
                <w:sz w:val="20"/>
                <w:szCs w:val="20"/>
              </w:rPr>
            </w:pPr>
            <w:r w:rsidRPr="00073BA6">
              <w:rPr>
                <w:rFonts w:ascii="Arial Narrow" w:hAnsi="Arial Narrow"/>
                <w:b/>
                <w:sz w:val="20"/>
                <w:szCs w:val="20"/>
              </w:rPr>
              <w:t>AND</w:t>
            </w:r>
          </w:p>
          <w:p w:rsidR="00E83F04" w:rsidRPr="001C0C8F" w:rsidRDefault="00E83F04" w:rsidP="009F0049">
            <w:pPr>
              <w:widowControl/>
              <w:rPr>
                <w:rFonts w:ascii="Arial Narrow" w:hAnsi="Arial Narrow"/>
                <w:sz w:val="20"/>
                <w:szCs w:val="20"/>
              </w:rPr>
            </w:pPr>
            <w:r w:rsidRPr="00073BA6">
              <w:rPr>
                <w:rFonts w:ascii="Arial Narrow" w:hAnsi="Arial Narrow"/>
                <w:sz w:val="20"/>
                <w:szCs w:val="20"/>
              </w:rPr>
              <w:t>The treatment must only be used as second line therapy when standard management has failed;</w:t>
            </w:r>
            <w:r w:rsidRPr="00073BA6">
              <w:rPr>
                <w:rFonts w:ascii="Arial Narrow" w:hAnsi="Arial Narrow"/>
                <w:b/>
                <w:sz w:val="20"/>
                <w:szCs w:val="20"/>
              </w:rPr>
              <w:t xml:space="preserve"> </w:t>
            </w:r>
            <w:r w:rsidRPr="001C0C8F">
              <w:rPr>
                <w:rFonts w:ascii="Arial Narrow" w:hAnsi="Arial Narrow"/>
                <w:sz w:val="20"/>
                <w:szCs w:val="20"/>
              </w:rPr>
              <w:t>OR</w:t>
            </w:r>
          </w:p>
          <w:p w:rsidR="00E83F04" w:rsidRPr="00073BA6" w:rsidRDefault="00E83F04" w:rsidP="009F0049">
            <w:pPr>
              <w:widowControl/>
              <w:rPr>
                <w:rFonts w:ascii="Arial Narrow" w:hAnsi="Arial Narrow"/>
                <w:sz w:val="20"/>
                <w:szCs w:val="20"/>
              </w:rPr>
            </w:pPr>
            <w:r w:rsidRPr="00073BA6">
              <w:rPr>
                <w:rFonts w:ascii="Arial Narrow" w:hAnsi="Arial Narrow"/>
                <w:sz w:val="20"/>
                <w:szCs w:val="20"/>
              </w:rPr>
              <w:t>The treatment must only be used as an adjunct to physical therapy,</w:t>
            </w:r>
          </w:p>
          <w:p w:rsidR="00E83F04" w:rsidRPr="00073BA6" w:rsidRDefault="00E83F04" w:rsidP="009F0049">
            <w:pPr>
              <w:widowControl/>
              <w:rPr>
                <w:rFonts w:ascii="Arial Narrow" w:hAnsi="Arial Narrow"/>
                <w:b/>
                <w:sz w:val="20"/>
                <w:szCs w:val="20"/>
              </w:rPr>
            </w:pPr>
            <w:r w:rsidRPr="00073BA6">
              <w:rPr>
                <w:rFonts w:ascii="Arial Narrow" w:hAnsi="Arial Narrow"/>
                <w:b/>
                <w:sz w:val="20"/>
                <w:szCs w:val="20"/>
              </w:rPr>
              <w:t>AND</w:t>
            </w:r>
          </w:p>
          <w:p w:rsidR="00E83F04" w:rsidRPr="00B17F7D" w:rsidRDefault="00E83F04" w:rsidP="009F0049">
            <w:pPr>
              <w:widowControl/>
              <w:rPr>
                <w:rFonts w:ascii="Arial Narrow" w:hAnsi="Arial Narrow"/>
                <w:i/>
                <w:sz w:val="20"/>
                <w:szCs w:val="20"/>
              </w:rPr>
            </w:pPr>
            <w:r w:rsidRPr="00FA0A3B">
              <w:rPr>
                <w:rFonts w:ascii="Arial Narrow" w:hAnsi="Arial Narrow"/>
                <w:sz w:val="20"/>
                <w:szCs w:val="20"/>
              </w:rPr>
              <w:t>The treatment must not continue if the patient does not respond (defined as not having had a decrease in spasticity rating greater than 1, using the Modified Ashworth Scale, in at least one joint) after two treatment periods</w:t>
            </w:r>
            <w:r w:rsidRPr="00B17F7D">
              <w:rPr>
                <w:rFonts w:ascii="Arial Narrow" w:hAnsi="Arial Narrow"/>
                <w:i/>
                <w:sz w:val="20"/>
                <w:szCs w:val="20"/>
              </w:rPr>
              <w:t xml:space="preserve"> (with any botulinum toxin type A),</w:t>
            </w:r>
          </w:p>
          <w:p w:rsidR="00E83F04" w:rsidRPr="00073BA6" w:rsidRDefault="00E83F04" w:rsidP="009F0049">
            <w:pPr>
              <w:widowControl/>
              <w:rPr>
                <w:rFonts w:ascii="Arial Narrow" w:hAnsi="Arial Narrow"/>
                <w:b/>
                <w:sz w:val="20"/>
                <w:szCs w:val="20"/>
              </w:rPr>
            </w:pPr>
            <w:r w:rsidRPr="00073BA6">
              <w:rPr>
                <w:rFonts w:ascii="Arial Narrow" w:hAnsi="Arial Narrow"/>
                <w:b/>
                <w:sz w:val="20"/>
                <w:szCs w:val="20"/>
              </w:rPr>
              <w:t>AND</w:t>
            </w:r>
          </w:p>
          <w:p w:rsidR="00E83F04" w:rsidRPr="00073BA6" w:rsidRDefault="00E83F04" w:rsidP="009F0049">
            <w:pPr>
              <w:widowControl/>
              <w:rPr>
                <w:rFonts w:ascii="Arial Narrow" w:hAnsi="Arial Narrow"/>
                <w:sz w:val="20"/>
                <w:szCs w:val="20"/>
              </w:rPr>
            </w:pPr>
            <w:r w:rsidRPr="00073BA6">
              <w:rPr>
                <w:rFonts w:ascii="Arial Narrow" w:hAnsi="Arial Narrow"/>
                <w:sz w:val="20"/>
                <w:szCs w:val="20"/>
              </w:rPr>
              <w:t>Patient must not have established severe contracture in the limb to be treated.</w:t>
            </w:r>
          </w:p>
        </w:tc>
      </w:tr>
      <w:tr w:rsidR="00C37C41" w:rsidRPr="007F2EF5" w:rsidTr="00142D5A">
        <w:trPr>
          <w:trHeight w:val="53"/>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Pr="00073BA6" w:rsidRDefault="00E83F04" w:rsidP="009F0049">
            <w:pPr>
              <w:widowControl/>
              <w:autoSpaceDE w:val="0"/>
              <w:autoSpaceDN w:val="0"/>
              <w:adjustRightInd w:val="0"/>
              <w:rPr>
                <w:rFonts w:ascii="Arial Narrow" w:hAnsi="Arial Narrow" w:cs="Arial Narrow"/>
                <w:b/>
                <w:bCs/>
                <w:color w:val="000000"/>
                <w:sz w:val="20"/>
                <w:szCs w:val="20"/>
                <w:lang w:val="en"/>
              </w:rPr>
            </w:pPr>
            <w:r w:rsidRPr="00073BA6">
              <w:rPr>
                <w:rFonts w:ascii="Arial Narrow" w:hAnsi="Arial Narrow" w:cs="Arial Narrow"/>
                <w:b/>
                <w:bCs/>
                <w:color w:val="000000"/>
                <w:sz w:val="20"/>
                <w:szCs w:val="20"/>
                <w:lang w:val="en"/>
              </w:rPr>
              <w:t>Population criteria</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tcPr>
          <w:p w:rsidR="00E83F04" w:rsidRPr="00073BA6" w:rsidRDefault="00E83F04" w:rsidP="009F0049">
            <w:pPr>
              <w:widowControl/>
              <w:autoSpaceDE w:val="0"/>
              <w:autoSpaceDN w:val="0"/>
              <w:adjustRightInd w:val="0"/>
              <w:rPr>
                <w:rFonts w:ascii="Arial Narrow" w:hAnsi="Arial Narrow" w:cs="Calibri"/>
                <w:sz w:val="20"/>
                <w:szCs w:val="20"/>
                <w:lang w:val="en"/>
              </w:rPr>
            </w:pPr>
            <w:r w:rsidRPr="00073BA6">
              <w:rPr>
                <w:rFonts w:ascii="Arial Narrow" w:hAnsi="Arial Narrow" w:cs="Calibri"/>
                <w:sz w:val="20"/>
                <w:szCs w:val="20"/>
                <w:lang w:val="en"/>
              </w:rPr>
              <w:t>Patient must be aged 18 years or older.</w:t>
            </w:r>
          </w:p>
        </w:tc>
      </w:tr>
      <w:tr w:rsidR="00C37C41" w:rsidRPr="00C31A26" w:rsidTr="00142D5A">
        <w:trPr>
          <w:cantSplit/>
          <w:trHeight w:val="784"/>
        </w:trPr>
        <w:tc>
          <w:tcPr>
            <w:tcW w:w="1239" w:type="pct"/>
            <w:tcBorders>
              <w:top w:val="single" w:sz="4" w:space="0" w:color="auto"/>
              <w:left w:val="single" w:sz="4" w:space="0" w:color="auto"/>
              <w:bottom w:val="single" w:sz="4" w:space="0" w:color="auto"/>
              <w:right w:val="single" w:sz="4" w:space="0" w:color="auto"/>
            </w:tcBorders>
          </w:tcPr>
          <w:p w:rsidR="00E83F04" w:rsidRPr="00892A36" w:rsidRDefault="00E83F04" w:rsidP="009F0049">
            <w:pPr>
              <w:pStyle w:val="Tabletext"/>
              <w:spacing w:after="120"/>
              <w:rPr>
                <w:b/>
              </w:rPr>
            </w:pPr>
            <w:r w:rsidRPr="00892A36">
              <w:rPr>
                <w:b/>
              </w:rPr>
              <w:t>Treatment criteria:</w:t>
            </w:r>
          </w:p>
          <w:p w:rsidR="00E83F04" w:rsidRPr="00045A2B" w:rsidRDefault="00E83F04" w:rsidP="009F0049">
            <w:pPr>
              <w:pStyle w:val="Tabletext"/>
              <w:spacing w:after="120"/>
              <w:rPr>
                <w:i/>
              </w:rPr>
            </w:pPr>
          </w:p>
        </w:tc>
        <w:tc>
          <w:tcPr>
            <w:tcW w:w="3761" w:type="pct"/>
            <w:gridSpan w:val="6"/>
            <w:tcBorders>
              <w:top w:val="single" w:sz="4" w:space="0" w:color="auto"/>
              <w:left w:val="single" w:sz="4" w:space="0" w:color="auto"/>
              <w:bottom w:val="single" w:sz="4" w:space="0" w:color="auto"/>
              <w:right w:val="single" w:sz="4" w:space="0" w:color="auto"/>
            </w:tcBorders>
          </w:tcPr>
          <w:p w:rsidR="00E83F04" w:rsidRDefault="00E83F04" w:rsidP="009F0049">
            <w:pPr>
              <w:pStyle w:val="Tabletext"/>
            </w:pPr>
            <w:r>
              <w:t>Must be treated by a neurologist; OR</w:t>
            </w:r>
          </w:p>
          <w:p w:rsidR="00E83F04" w:rsidRDefault="00E83F04" w:rsidP="009F0049">
            <w:pPr>
              <w:pStyle w:val="Tabletext"/>
            </w:pPr>
            <w:r>
              <w:t>Must be treated by an orthopaedic surgeon; OR</w:t>
            </w:r>
          </w:p>
          <w:p w:rsidR="00E83F04" w:rsidRDefault="00E83F04" w:rsidP="009F0049">
            <w:pPr>
              <w:pStyle w:val="Tabletext"/>
            </w:pPr>
            <w:r>
              <w:t>Must be treated by a rehabilitation specialist; OR</w:t>
            </w:r>
          </w:p>
          <w:p w:rsidR="00E83F04" w:rsidRDefault="00E83F04" w:rsidP="009F0049">
            <w:pPr>
              <w:pStyle w:val="Tabletext"/>
            </w:pPr>
            <w:r>
              <w:t>Must be treated by a plastic surgeon; OR</w:t>
            </w:r>
          </w:p>
          <w:p w:rsidR="00E83F04" w:rsidRPr="00813C5D" w:rsidRDefault="00E83F04" w:rsidP="009F0049">
            <w:pPr>
              <w:pStyle w:val="Tabletext"/>
            </w:pPr>
            <w:r>
              <w:t>Must be treated by a geriatrician.</w:t>
            </w:r>
          </w:p>
        </w:tc>
      </w:tr>
      <w:tr w:rsidR="00C37C41" w:rsidRPr="007F2EF5" w:rsidTr="00142D5A">
        <w:trPr>
          <w:trHeight w:val="277"/>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Default="00E83F04" w:rsidP="009F0049">
            <w:pPr>
              <w:widowControl/>
              <w:autoSpaceDE w:val="0"/>
              <w:autoSpaceDN w:val="0"/>
              <w:adjustRightInd w:val="0"/>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Prescribing instructions</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E83F04" w:rsidRPr="007E444C" w:rsidRDefault="00E83F04" w:rsidP="009F0049">
            <w:pPr>
              <w:pStyle w:val="Tabletext"/>
              <w:rPr>
                <w:i/>
                <w:szCs w:val="20"/>
              </w:rPr>
            </w:pPr>
            <w:r w:rsidRPr="007E444C">
              <w:rPr>
                <w:i/>
                <w:szCs w:val="20"/>
              </w:rPr>
              <w:t xml:space="preserve">The date </w:t>
            </w:r>
            <w:r>
              <w:rPr>
                <w:i/>
                <w:szCs w:val="20"/>
              </w:rPr>
              <w:t xml:space="preserve">and nature </w:t>
            </w:r>
            <w:r w:rsidRPr="007E444C">
              <w:rPr>
                <w:i/>
                <w:szCs w:val="20"/>
              </w:rPr>
              <w:t>of the event must be documented in the patient’s medical records when treatment is initiated.</w:t>
            </w:r>
          </w:p>
          <w:p w:rsidR="00E83F04" w:rsidRPr="007E444C" w:rsidRDefault="00E83F04" w:rsidP="009F0049">
            <w:pPr>
              <w:widowControl/>
              <w:autoSpaceDE w:val="0"/>
              <w:autoSpaceDN w:val="0"/>
              <w:adjustRightInd w:val="0"/>
              <w:rPr>
                <w:rFonts w:ascii="Arial Narrow" w:hAnsi="Arial Narrow"/>
                <w:i/>
                <w:color w:val="222222"/>
                <w:sz w:val="20"/>
                <w:szCs w:val="20"/>
                <w:shd w:val="clear" w:color="auto" w:fill="FFFFFF"/>
              </w:rPr>
            </w:pPr>
            <w:r w:rsidRPr="007E444C">
              <w:rPr>
                <w:rFonts w:ascii="Arial Narrow" w:hAnsi="Arial Narrow"/>
                <w:i/>
                <w:sz w:val="20"/>
                <w:szCs w:val="20"/>
              </w:rPr>
              <w:t>Standard management includes physiotherapy and/or oral spasticity agents.</w:t>
            </w:r>
          </w:p>
        </w:tc>
      </w:tr>
      <w:tr w:rsidR="00C37C41" w:rsidRPr="007F2EF5" w:rsidTr="00142D5A">
        <w:trPr>
          <w:trHeight w:val="277"/>
        </w:trPr>
        <w:tc>
          <w:tcPr>
            <w:tcW w:w="1239" w:type="pct"/>
            <w:tcBorders>
              <w:top w:val="single" w:sz="3" w:space="0" w:color="000000"/>
              <w:left w:val="single" w:sz="3" w:space="0" w:color="000000"/>
              <w:bottom w:val="single" w:sz="3" w:space="0" w:color="000000"/>
              <w:right w:val="single" w:sz="3" w:space="0" w:color="000000"/>
            </w:tcBorders>
            <w:shd w:val="clear" w:color="000000" w:fill="FFFFFF"/>
          </w:tcPr>
          <w:p w:rsidR="00E83F04" w:rsidRPr="00073BA6" w:rsidRDefault="00E83F04" w:rsidP="009F0049">
            <w:pPr>
              <w:widowControl/>
              <w:autoSpaceDE w:val="0"/>
              <w:autoSpaceDN w:val="0"/>
              <w:adjustRightInd w:val="0"/>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 xml:space="preserve">Administrative </w:t>
            </w:r>
            <w:r w:rsidRPr="00073BA6">
              <w:rPr>
                <w:rFonts w:ascii="Arial Narrow" w:hAnsi="Arial Narrow" w:cs="Arial Narrow"/>
                <w:b/>
                <w:bCs/>
                <w:color w:val="000000"/>
                <w:sz w:val="20"/>
                <w:szCs w:val="20"/>
                <w:lang w:val="en"/>
              </w:rPr>
              <w:t>Note</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E83F04" w:rsidRPr="00073BA6" w:rsidRDefault="00E83F04" w:rsidP="009F0049">
            <w:pPr>
              <w:widowControl/>
              <w:autoSpaceDE w:val="0"/>
              <w:autoSpaceDN w:val="0"/>
              <w:adjustRightInd w:val="0"/>
              <w:rPr>
                <w:rFonts w:ascii="Arial Narrow" w:hAnsi="Arial Narrow" w:cs="Calibri"/>
                <w:i/>
                <w:sz w:val="20"/>
                <w:szCs w:val="20"/>
                <w:lang w:val="en"/>
              </w:rPr>
            </w:pPr>
            <w:r w:rsidRPr="00073BA6">
              <w:rPr>
                <w:rFonts w:ascii="Arial Narrow" w:hAnsi="Arial Narrow"/>
                <w:i/>
                <w:color w:val="222222"/>
                <w:sz w:val="20"/>
                <w:szCs w:val="20"/>
                <w:shd w:val="clear" w:color="auto" w:fill="FFFFFF"/>
              </w:rPr>
              <w:t>The units used to express the potency of botulinum toxin preparations currently available for PBS subsidy are not equivalent.</w:t>
            </w:r>
          </w:p>
        </w:tc>
      </w:tr>
      <w:tr w:rsidR="00C37C41" w:rsidTr="00142D5A">
        <w:trPr>
          <w:trHeight w:val="282"/>
        </w:trPr>
        <w:tc>
          <w:tcPr>
            <w:tcW w:w="123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83F04" w:rsidRDefault="00E83F04" w:rsidP="009F0049">
            <w:pPr>
              <w:widowControl/>
              <w:autoSpaceDE w:val="0"/>
              <w:autoSpaceDN w:val="0"/>
              <w:adjustRightInd w:val="0"/>
              <w:rPr>
                <w:rFonts w:cs="Calibri"/>
                <w:lang w:val="en"/>
              </w:rPr>
            </w:pPr>
            <w:r>
              <w:rPr>
                <w:rFonts w:ascii="Arial Narrow" w:hAnsi="Arial Narrow" w:cs="Arial Narrow"/>
                <w:b/>
                <w:bCs/>
                <w:color w:val="000000"/>
                <w:sz w:val="20"/>
                <w:szCs w:val="20"/>
                <w:lang w:val="en"/>
              </w:rPr>
              <w:t>Administrative Advice</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E83F04" w:rsidRPr="00FA6FEE" w:rsidRDefault="00E83F04" w:rsidP="009F0049">
            <w:pPr>
              <w:widowControl/>
              <w:autoSpaceDE w:val="0"/>
              <w:autoSpaceDN w:val="0"/>
              <w:adjustRightInd w:val="0"/>
              <w:rPr>
                <w:rFonts w:ascii="Arial Narrow" w:hAnsi="Arial Narrow" w:cs="Calibri"/>
                <w:sz w:val="20"/>
                <w:szCs w:val="20"/>
                <w:lang w:val="en"/>
              </w:rPr>
            </w:pPr>
            <w:r w:rsidRPr="00073BA6">
              <w:rPr>
                <w:rFonts w:ascii="Arial Narrow" w:hAnsi="Arial Narrow" w:cs="Calibri"/>
                <w:sz w:val="20"/>
                <w:szCs w:val="20"/>
                <w:lang w:val="en"/>
              </w:rPr>
              <w:t>An acute event may be a clinical or external event that leads to upper motor neuron lesions resulting in spasticity for example these may be stroke, TBI, infection or hypoxia</w:t>
            </w:r>
            <w:r>
              <w:rPr>
                <w:rFonts w:ascii="Arial Narrow" w:hAnsi="Arial Narrow" w:cs="Calibri"/>
                <w:sz w:val="20"/>
                <w:szCs w:val="20"/>
                <w:lang w:val="en"/>
              </w:rPr>
              <w:t>.</w:t>
            </w:r>
          </w:p>
        </w:tc>
      </w:tr>
      <w:tr w:rsidR="00C37C41" w:rsidTr="00142D5A">
        <w:trPr>
          <w:trHeight w:val="134"/>
        </w:trPr>
        <w:tc>
          <w:tcPr>
            <w:tcW w:w="123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83F04" w:rsidRDefault="00E83F04" w:rsidP="009F0049">
            <w:pPr>
              <w:widowControl/>
              <w:autoSpaceDE w:val="0"/>
              <w:autoSpaceDN w:val="0"/>
              <w:adjustRightInd w:val="0"/>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Caution</w:t>
            </w:r>
          </w:p>
        </w:tc>
        <w:tc>
          <w:tcPr>
            <w:tcW w:w="3761"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E83F04" w:rsidRPr="00FA6FEE" w:rsidRDefault="00E83F04" w:rsidP="009F0049">
            <w:pPr>
              <w:widowControl/>
              <w:autoSpaceDE w:val="0"/>
              <w:autoSpaceDN w:val="0"/>
              <w:adjustRightInd w:val="0"/>
              <w:rPr>
                <w:rFonts w:ascii="Arial Narrow" w:hAnsi="Arial Narrow"/>
                <w:i/>
                <w:color w:val="222222"/>
                <w:sz w:val="20"/>
                <w:szCs w:val="20"/>
                <w:shd w:val="clear" w:color="auto" w:fill="FFFFFF"/>
              </w:rPr>
            </w:pPr>
            <w:r w:rsidRPr="00FA6FEE">
              <w:rPr>
                <w:rFonts w:ascii="Arial Narrow" w:hAnsi="Arial Narrow"/>
                <w:i/>
                <w:color w:val="222222"/>
                <w:sz w:val="20"/>
                <w:szCs w:val="20"/>
                <w:shd w:val="clear" w:color="auto" w:fill="FFFFFF"/>
              </w:rPr>
              <w:t>Contraindications to treatment include known sensitivity to botulinum toxin.</w:t>
            </w:r>
          </w:p>
        </w:tc>
      </w:tr>
    </w:tbl>
    <w:p w:rsidR="00634A79" w:rsidRPr="00E75A07" w:rsidRDefault="00634A79" w:rsidP="009F0049">
      <w:pPr>
        <w:pStyle w:val="TableFooter"/>
        <w:widowControl/>
        <w:ind w:left="170" w:hanging="170"/>
      </w:pPr>
      <w:r>
        <w:rPr>
          <w:iCs/>
        </w:rPr>
        <w:t>^</w:t>
      </w:r>
      <w:r>
        <w:rPr>
          <w:iCs/>
        </w:rPr>
        <w:tab/>
      </w:r>
      <w:r w:rsidRPr="00564E27">
        <w:rPr>
          <w:i/>
        </w:rPr>
        <w:t xml:space="preserve"> </w:t>
      </w:r>
      <w:r w:rsidRPr="00E75A07">
        <w:t>estimated during the evaluation using PB11 prices and updated PBS mark ups from July 2018.</w:t>
      </w:r>
      <w:r w:rsidR="00642FE1" w:rsidRPr="00E75A07">
        <w:t xml:space="preserve"> </w:t>
      </w:r>
      <w:r w:rsidRPr="00E75A07">
        <w:t>The submission quoted DPMQ of $</w:t>
      </w:r>
      <w:r w:rsidRPr="001A3334">
        <w:t>1,221.71</w:t>
      </w:r>
      <w:r w:rsidRPr="00E75A07">
        <w:t xml:space="preserve"> and $</w:t>
      </w:r>
      <w:r w:rsidRPr="001A3334">
        <w:t>1,094.65</w:t>
      </w:r>
      <w:r w:rsidRPr="00E75A07">
        <w:t xml:space="preserve"> respectively for the 300</w:t>
      </w:r>
      <w:r w:rsidR="00142D5A">
        <w:t xml:space="preserve"> </w:t>
      </w:r>
      <w:r w:rsidRPr="00E75A07">
        <w:t>unit and 500 unit injection preparations.</w:t>
      </w:r>
      <w:r w:rsidR="00642FE1" w:rsidRPr="00E75A07">
        <w:t xml:space="preserve"> </w:t>
      </w:r>
      <w:r w:rsidRPr="00E75A07">
        <w:t>Based on the requested AEMP of $</w:t>
      </w:r>
      <w:r w:rsidRPr="001A3334">
        <w:t>293.64</w:t>
      </w:r>
      <w:r w:rsidRPr="00E75A07">
        <w:t xml:space="preserve"> and </w:t>
      </w:r>
      <w:r w:rsidRPr="00E75A07">
        <w:lastRenderedPageBreak/>
        <w:t>$</w:t>
      </w:r>
      <w:r w:rsidRPr="001A3334">
        <w:t>523.75</w:t>
      </w:r>
      <w:r w:rsidRPr="00E75A07">
        <w:t xml:space="preserve"> per vial for 300</w:t>
      </w:r>
      <w:r w:rsidR="00142D5A">
        <w:t xml:space="preserve"> </w:t>
      </w:r>
      <w:r w:rsidRPr="00E75A07">
        <w:t>unit and 500</w:t>
      </w:r>
      <w:r w:rsidR="00142D5A">
        <w:t xml:space="preserve"> </w:t>
      </w:r>
      <w:r w:rsidRPr="00E75A07">
        <w:t>unit strengths preparations respectively, the DPMQs would be slightly higher at $</w:t>
      </w:r>
      <w:r w:rsidRPr="001A3334">
        <w:t>1,221.85</w:t>
      </w:r>
      <w:r w:rsidRPr="00E75A07">
        <w:t xml:space="preserve"> and $</w:t>
      </w:r>
      <w:r w:rsidRPr="001A3334">
        <w:t>1,094.79</w:t>
      </w:r>
      <w:r w:rsidRPr="00E75A07">
        <w:t xml:space="preserve"> based on PBS mark ups from 1 July 2018.</w:t>
      </w:r>
      <w:r w:rsidR="00642FE1" w:rsidRPr="00E75A07">
        <w:t xml:space="preserve"> </w:t>
      </w:r>
      <w:r w:rsidRPr="00E75A07">
        <w:t>These correspond to prices in the July 2018 PBS schedule.</w:t>
      </w:r>
    </w:p>
    <w:p w:rsidR="00634A79" w:rsidRPr="00E75A07" w:rsidRDefault="00634A79" w:rsidP="009F0049">
      <w:pPr>
        <w:pStyle w:val="TableFooter"/>
        <w:widowControl/>
        <w:rPr>
          <w:iCs/>
        </w:rPr>
      </w:pPr>
      <w:r w:rsidRPr="00E75A07">
        <w:rPr>
          <w:iCs/>
        </w:rPr>
        <w:t>Source: Table 1.7, p33 of the submission.</w:t>
      </w:r>
    </w:p>
    <w:p w:rsidR="00A74BF0" w:rsidRDefault="00A74BF0" w:rsidP="009F0049">
      <w:pPr>
        <w:pStyle w:val="TableFooter"/>
        <w:widowControl/>
        <w:rPr>
          <w:iCs/>
        </w:rPr>
      </w:pPr>
    </w:p>
    <w:p w:rsidR="00634A79" w:rsidRPr="000F1DF7" w:rsidRDefault="00634A79" w:rsidP="009F0049">
      <w:pPr>
        <w:pStyle w:val="ListParagraph"/>
        <w:widowControl/>
        <w:numPr>
          <w:ilvl w:val="1"/>
          <w:numId w:val="1"/>
        </w:numPr>
      </w:pPr>
      <w:r w:rsidRPr="000F1DF7">
        <w:t xml:space="preserve">The Sponsor </w:t>
      </w:r>
      <w:r w:rsidRPr="00DF5C7D">
        <w:t xml:space="preserve">requested the same prices as </w:t>
      </w:r>
      <w:r w:rsidR="00845423" w:rsidRPr="00DF5C7D">
        <w:t xml:space="preserve">currently </w:t>
      </w:r>
      <w:r w:rsidRPr="00DF5C7D">
        <w:t>listed</w:t>
      </w:r>
      <w:r w:rsidRPr="000F1DF7">
        <w:t xml:space="preserve"> for treatment of spasticity of the upper limbs following stroke (PBS mark ups from 1 July 2018).</w:t>
      </w:r>
      <w:r w:rsidR="00642FE1">
        <w:t xml:space="preserve"> </w:t>
      </w:r>
    </w:p>
    <w:p w:rsidR="00634A79" w:rsidRPr="000F1DF7" w:rsidRDefault="00634A79" w:rsidP="009F0049">
      <w:pPr>
        <w:pStyle w:val="ListParagraph"/>
        <w:widowControl/>
        <w:numPr>
          <w:ilvl w:val="1"/>
          <w:numId w:val="1"/>
        </w:numPr>
      </w:pPr>
      <w:r w:rsidRPr="000F1DF7">
        <w:rPr>
          <w:iCs/>
        </w:rPr>
        <w:t>T</w:t>
      </w:r>
      <w:r w:rsidR="00845423" w:rsidRPr="000F1DF7">
        <w:rPr>
          <w:iCs/>
        </w:rPr>
        <w:t>wo</w:t>
      </w:r>
      <w:r w:rsidRPr="000F1DF7">
        <w:rPr>
          <w:iCs/>
        </w:rPr>
        <w:t xml:space="preserve"> inconsistencies were noted between the submission’s requested restriction and the current PBS restriction for spasticity following stroke.</w:t>
      </w:r>
    </w:p>
    <w:p w:rsidR="0069269F" w:rsidRPr="00E50237" w:rsidRDefault="00634A79" w:rsidP="00E50237">
      <w:pPr>
        <w:pStyle w:val="ListParagraph"/>
        <w:widowControl/>
        <w:numPr>
          <w:ilvl w:val="1"/>
          <w:numId w:val="1"/>
        </w:numPr>
        <w:rPr>
          <w:iCs/>
        </w:rPr>
      </w:pPr>
      <w:r w:rsidRPr="000F1DF7">
        <w:rPr>
          <w:iCs/>
        </w:rPr>
        <w:t>Firstly, the current PBS restriction require</w:t>
      </w:r>
      <w:r w:rsidR="00936C20" w:rsidRPr="000F1DF7">
        <w:rPr>
          <w:iCs/>
        </w:rPr>
        <w:t>s</w:t>
      </w:r>
      <w:r w:rsidRPr="000F1DF7">
        <w:rPr>
          <w:iCs/>
        </w:rPr>
        <w:t xml:space="preserve"> patients to have baseline spasticity level as measured by the Modified Ashworth Scale (MAS) of 3 or more, whereas the requested restrictions specified that patients only need a MAS score of 2 or more to be eligible. The submission provided no justification for this proposed </w:t>
      </w:r>
      <w:r w:rsidR="009A197B" w:rsidRPr="000F1DF7">
        <w:rPr>
          <w:iCs/>
        </w:rPr>
        <w:t xml:space="preserve">change in </w:t>
      </w:r>
      <w:r w:rsidRPr="000F1DF7">
        <w:rPr>
          <w:iCs/>
        </w:rPr>
        <w:t>eligibility criteria, nor note</w:t>
      </w:r>
      <w:r w:rsidR="003F322F" w:rsidRPr="000F1DF7">
        <w:rPr>
          <w:iCs/>
        </w:rPr>
        <w:t>d</w:t>
      </w:r>
      <w:r w:rsidRPr="000F1DF7">
        <w:rPr>
          <w:iCs/>
        </w:rPr>
        <w:t xml:space="preserve"> this difference compared to the current post-stroke PBS listing.</w:t>
      </w:r>
      <w:r w:rsidR="00642FE1">
        <w:rPr>
          <w:iCs/>
        </w:rPr>
        <w:t xml:space="preserve"> </w:t>
      </w:r>
      <w:r w:rsidRPr="000F1DF7">
        <w:rPr>
          <w:iCs/>
        </w:rPr>
        <w:t>The PBAC had previously considered in the September 2002 resubmission for Dysport</w:t>
      </w:r>
      <w:r w:rsidRPr="000F1DF7">
        <w:rPr>
          <w:rFonts w:cs="Calibri"/>
          <w:iCs/>
        </w:rPr>
        <w:t xml:space="preserve">® in </w:t>
      </w:r>
      <w:r w:rsidR="00EF5B2D">
        <w:rPr>
          <w:rFonts w:cs="Calibri"/>
          <w:iCs/>
        </w:rPr>
        <w:t>upper limb focal spasticity post-</w:t>
      </w:r>
      <w:r w:rsidRPr="000F1DF7">
        <w:rPr>
          <w:rFonts w:cs="Calibri"/>
          <w:iCs/>
        </w:rPr>
        <w:t xml:space="preserve">stroke that </w:t>
      </w:r>
      <w:r w:rsidRPr="000F1DF7">
        <w:rPr>
          <w:iCs/>
        </w:rPr>
        <w:t>any restriction should include a definition of “moderate to severe” spasticity in terms of MAS of 3</w:t>
      </w:r>
      <w:r w:rsidR="007F5D23">
        <w:rPr>
          <w:iCs/>
        </w:rPr>
        <w:t xml:space="preserve"> or </w:t>
      </w:r>
      <w:r w:rsidRPr="000F1DF7">
        <w:rPr>
          <w:iCs/>
        </w:rPr>
        <w:t>4.</w:t>
      </w:r>
      <w:r w:rsidR="00642FE1">
        <w:rPr>
          <w:iCs/>
        </w:rPr>
        <w:t xml:space="preserve"> </w:t>
      </w:r>
      <w:r w:rsidR="00AF4A55" w:rsidRPr="000F1DF7">
        <w:rPr>
          <w:iCs/>
        </w:rPr>
        <w:t xml:space="preserve">See </w:t>
      </w:r>
      <w:r w:rsidR="0069269F">
        <w:rPr>
          <w:iCs/>
        </w:rPr>
        <w:t xml:space="preserve">Table 2 for a </w:t>
      </w:r>
      <w:r w:rsidR="00AF4A55" w:rsidRPr="000F1DF7">
        <w:rPr>
          <w:iCs/>
        </w:rPr>
        <w:t xml:space="preserve">description of MAS </w:t>
      </w:r>
      <w:r w:rsidR="0069269F">
        <w:rPr>
          <w:iCs/>
        </w:rPr>
        <w:t>scores</w:t>
      </w:r>
      <w:r w:rsidR="00AF4A55" w:rsidRPr="000F1DF7">
        <w:rPr>
          <w:iCs/>
        </w:rPr>
        <w:t>.</w:t>
      </w:r>
      <w:r w:rsidR="00E50237">
        <w:rPr>
          <w:iCs/>
        </w:rPr>
        <w:t xml:space="preserve"> </w:t>
      </w:r>
      <w:r w:rsidR="0069269F" w:rsidRPr="00E50237">
        <w:rPr>
          <w:iCs/>
        </w:rPr>
        <w:t xml:space="preserve">In the PSCR it was stated that the request to adjust the PBS listing criterion to a MAS score of 2 or more was to align with the clinical evidence presented in Trial 145. The trial recruited patients who were naïve to toxin with a MAS </w:t>
      </w:r>
      <w:r w:rsidR="00B36188" w:rsidRPr="00E50237">
        <w:rPr>
          <w:iCs/>
        </w:rPr>
        <w:t xml:space="preserve">score </w:t>
      </w:r>
      <w:r w:rsidR="0069269F" w:rsidRPr="00E50237">
        <w:rPr>
          <w:rFonts w:cs="Calibri"/>
          <w:iCs/>
        </w:rPr>
        <w:t>≥</w:t>
      </w:r>
      <w:r w:rsidR="0069269F" w:rsidRPr="00E50237">
        <w:rPr>
          <w:iCs/>
        </w:rPr>
        <w:t xml:space="preserve"> 2 and patients who were toxin experienced with a MAS </w:t>
      </w:r>
      <w:r w:rsidR="00B36188" w:rsidRPr="00E50237">
        <w:rPr>
          <w:iCs/>
        </w:rPr>
        <w:t xml:space="preserve">score </w:t>
      </w:r>
      <w:r w:rsidR="0069269F" w:rsidRPr="00E50237">
        <w:rPr>
          <w:rFonts w:cs="Calibri"/>
          <w:iCs/>
        </w:rPr>
        <w:t>≥</w:t>
      </w:r>
      <w:r w:rsidR="0069269F" w:rsidRPr="00E50237">
        <w:rPr>
          <w:iCs/>
        </w:rPr>
        <w:t xml:space="preserve"> 3. Th</w:t>
      </w:r>
      <w:r w:rsidR="00E50237">
        <w:rPr>
          <w:iCs/>
        </w:rPr>
        <w:t>e</w:t>
      </w:r>
      <w:r w:rsidR="0069269F" w:rsidRPr="00E50237">
        <w:rPr>
          <w:iCs/>
        </w:rPr>
        <w:t xml:space="preserve"> ESC noted that this </w:t>
      </w:r>
      <w:r w:rsidR="00E50237">
        <w:rPr>
          <w:iCs/>
        </w:rPr>
        <w:t xml:space="preserve">would </w:t>
      </w:r>
      <w:r w:rsidR="0069269F" w:rsidRPr="00E50237">
        <w:rPr>
          <w:iCs/>
        </w:rPr>
        <w:t>expand the PBS eligibility criteria to less severe patients compared to those previously considered to benefit from treatment.</w:t>
      </w:r>
      <w:r w:rsidR="00B36188" w:rsidRPr="00E50237">
        <w:rPr>
          <w:iCs/>
        </w:rPr>
        <w:t xml:space="preserve"> </w:t>
      </w:r>
      <w:r w:rsidR="00E50237">
        <w:rPr>
          <w:iCs/>
        </w:rPr>
        <w:t xml:space="preserve">The PBAC acknowledged that the key trial enrolled toxin-naïve patients with a MAS </w:t>
      </w:r>
      <w:r w:rsidR="00E50237">
        <w:rPr>
          <w:rFonts w:cs="Calibri"/>
          <w:iCs/>
        </w:rPr>
        <w:t>≥</w:t>
      </w:r>
      <w:r w:rsidR="00E50237">
        <w:rPr>
          <w:iCs/>
        </w:rPr>
        <w:t xml:space="preserve">2; however, considered that this alone did not justify such a significant change to the PBS restriction. The PBAC noted that the mean baseline MAS score for patients enrolled in Study was 3.9.  </w:t>
      </w:r>
    </w:p>
    <w:p w:rsidR="009175DA" w:rsidRPr="00E75A07" w:rsidRDefault="00634A79" w:rsidP="009F0049">
      <w:pPr>
        <w:pStyle w:val="ListParagraph"/>
        <w:widowControl/>
        <w:numPr>
          <w:ilvl w:val="1"/>
          <w:numId w:val="1"/>
        </w:numPr>
        <w:rPr>
          <w:iCs/>
        </w:rPr>
      </w:pPr>
      <w:r w:rsidRPr="00E75A07">
        <w:rPr>
          <w:iCs/>
        </w:rPr>
        <w:t xml:space="preserve">Secondly, the requested restriction did not clearly state that treatment should stop if patients do not respond after two treatment periods (total Botox®, </w:t>
      </w:r>
      <w:proofErr w:type="spellStart"/>
      <w:r w:rsidRPr="00E75A07">
        <w:rPr>
          <w:iCs/>
        </w:rPr>
        <w:t>Dysport</w:t>
      </w:r>
      <w:proofErr w:type="spellEnd"/>
      <w:r w:rsidRPr="00E75A07">
        <w:rPr>
          <w:iCs/>
        </w:rPr>
        <w:t xml:space="preserve">® and </w:t>
      </w:r>
      <w:proofErr w:type="spellStart"/>
      <w:r w:rsidRPr="00E75A07">
        <w:rPr>
          <w:iCs/>
        </w:rPr>
        <w:t>Xeomin</w:t>
      </w:r>
      <w:proofErr w:type="spellEnd"/>
      <w:r w:rsidRPr="00E75A07">
        <w:rPr>
          <w:iCs/>
        </w:rPr>
        <w:t>®) as is specified in the current post-stroke PBS listing.</w:t>
      </w:r>
      <w:r w:rsidR="00642FE1" w:rsidRPr="00E75A07">
        <w:rPr>
          <w:iCs/>
        </w:rPr>
        <w:t xml:space="preserve"> </w:t>
      </w:r>
      <w:r w:rsidR="00FD28B9" w:rsidRPr="00E75A07">
        <w:rPr>
          <w:iCs/>
        </w:rPr>
        <w:t>The</w:t>
      </w:r>
      <w:r w:rsidR="00FD28B9" w:rsidRPr="00E75A07">
        <w:t xml:space="preserve"> </w:t>
      </w:r>
      <w:r w:rsidR="0053522D" w:rsidRPr="00E75A07">
        <w:t xml:space="preserve">PSCR </w:t>
      </w:r>
      <w:r w:rsidR="003B2939" w:rsidRPr="00E75A07">
        <w:t xml:space="preserve">clarified </w:t>
      </w:r>
      <w:r w:rsidR="00FD28B9" w:rsidRPr="00E75A07">
        <w:t>that the stopping rule criteri</w:t>
      </w:r>
      <w:r w:rsidR="003B2939" w:rsidRPr="00E75A07">
        <w:t>on</w:t>
      </w:r>
      <w:r w:rsidR="00FD28B9" w:rsidRPr="00E75A07">
        <w:t xml:space="preserve"> was erroneously removed </w:t>
      </w:r>
      <w:r w:rsidR="00B17F7D" w:rsidRPr="00E75A07">
        <w:t>from the proposed restriction. T</w:t>
      </w:r>
      <w:r w:rsidR="00FD28B9" w:rsidRPr="00E75A07">
        <w:t xml:space="preserve">he stopping rule </w:t>
      </w:r>
      <w:r w:rsidR="003B2939" w:rsidRPr="00E75A07">
        <w:t>sh</w:t>
      </w:r>
      <w:r w:rsidR="00FD28B9" w:rsidRPr="00E75A07">
        <w:t xml:space="preserve">ould ensure </w:t>
      </w:r>
      <w:r w:rsidR="003B2939" w:rsidRPr="00E75A07">
        <w:t xml:space="preserve">that </w:t>
      </w:r>
      <w:r w:rsidR="00FD28B9" w:rsidRPr="00E75A07">
        <w:t xml:space="preserve">patients </w:t>
      </w:r>
      <w:r w:rsidR="003B2939" w:rsidRPr="00E75A07">
        <w:t>who</w:t>
      </w:r>
      <w:r w:rsidR="00FD28B9" w:rsidRPr="00E75A07">
        <w:t xml:space="preserve"> do not respond</w:t>
      </w:r>
      <w:r w:rsidR="00ED0CDA" w:rsidRPr="00E75A07">
        <w:t xml:space="preserve"> to treatment</w:t>
      </w:r>
      <w:r w:rsidR="00FD28B9" w:rsidRPr="00E75A07">
        <w:t xml:space="preserve"> do not continue to receive Dysport</w:t>
      </w:r>
      <w:r w:rsidR="00FD28B9" w:rsidRPr="00E75A07">
        <w:rPr>
          <w:rFonts w:cs="Calibri"/>
        </w:rPr>
        <w:t>®</w:t>
      </w:r>
      <w:r w:rsidRPr="00E75A07">
        <w:t>.</w:t>
      </w:r>
    </w:p>
    <w:p w:rsidR="007F5D23" w:rsidRDefault="00634A79" w:rsidP="009F0049">
      <w:pPr>
        <w:pStyle w:val="ListParagraph"/>
        <w:widowControl/>
        <w:numPr>
          <w:ilvl w:val="1"/>
          <w:numId w:val="1"/>
        </w:numPr>
      </w:pPr>
      <w:r>
        <w:t xml:space="preserve">A key difference between the requested restriction in this submission and the current PBS restriction </w:t>
      </w:r>
      <w:r w:rsidR="003F322F">
        <w:t>wa</w:t>
      </w:r>
      <w:r>
        <w:t>s the removal of the maximum limit of four-treatments per limb per lifetime</w:t>
      </w:r>
      <w:r w:rsidR="00AF4A55">
        <w:t xml:space="preserve"> criteria</w:t>
      </w:r>
      <w:r w:rsidRPr="006E39CA">
        <w:t>.</w:t>
      </w:r>
      <w:r w:rsidR="00642FE1">
        <w:t xml:space="preserve"> </w:t>
      </w:r>
      <w:r>
        <w:t>To support this request, the submission u</w:t>
      </w:r>
      <w:r w:rsidRPr="006E39CA">
        <w:t xml:space="preserve">sed </w:t>
      </w:r>
      <w:r>
        <w:t xml:space="preserve">evidence </w:t>
      </w:r>
      <w:r w:rsidRPr="000F1DF7">
        <w:t>from Study 148, the open label extension of Study 145.</w:t>
      </w:r>
      <w:r w:rsidR="00642FE1">
        <w:t xml:space="preserve"> </w:t>
      </w:r>
      <w:r w:rsidRPr="000F1DF7">
        <w:t xml:space="preserve">However, in Study 148, the rollover subjects from Study 145 received a maximum of four treatment cycles (including the first cycle in the double blind trial Study 145), and </w:t>
      </w:r>
      <w:r w:rsidRPr="004F0816">
        <w:t>de novo</w:t>
      </w:r>
      <w:r w:rsidRPr="000F1DF7">
        <w:t xml:space="preserve"> subjects received a maximum of five treatment cycles.</w:t>
      </w:r>
      <w:r w:rsidR="00642FE1">
        <w:t xml:space="preserve"> </w:t>
      </w:r>
      <w:r w:rsidRPr="00E50237">
        <w:rPr>
          <w:iCs/>
        </w:rPr>
        <w:t>Only 32% (81/254) of patients starting Cycle 1 continued onto Cycle 4</w:t>
      </w:r>
      <w:r w:rsidR="003B7CBA" w:rsidRPr="00E50237">
        <w:rPr>
          <w:iCs/>
        </w:rPr>
        <w:t>,</w:t>
      </w:r>
      <w:r w:rsidRPr="00E50237">
        <w:rPr>
          <w:iCs/>
        </w:rPr>
        <w:t xml:space="preserve"> and </w:t>
      </w:r>
      <w:r w:rsidR="00320D88" w:rsidRPr="00E50237">
        <w:rPr>
          <w:iCs/>
        </w:rPr>
        <w:t>only 4% (11/254)</w:t>
      </w:r>
      <w:r w:rsidR="00241D6A" w:rsidRPr="00E50237">
        <w:rPr>
          <w:iCs/>
        </w:rPr>
        <w:t xml:space="preserve"> </w:t>
      </w:r>
      <w:r w:rsidR="00320D88" w:rsidRPr="00E50237">
        <w:rPr>
          <w:iCs/>
        </w:rPr>
        <w:t>continued onto Cycle 5</w:t>
      </w:r>
      <w:r w:rsidR="00691172" w:rsidRPr="00E50237">
        <w:rPr>
          <w:iCs/>
        </w:rPr>
        <w:t>.</w:t>
      </w:r>
      <w:r w:rsidR="00642FE1" w:rsidRPr="00E50237">
        <w:rPr>
          <w:iCs/>
        </w:rPr>
        <w:t xml:space="preserve"> </w:t>
      </w:r>
      <w:r w:rsidRPr="00E50237">
        <w:rPr>
          <w:iCs/>
        </w:rPr>
        <w:t>Hence, Study 145 and Study 148 d</w:t>
      </w:r>
      <w:r w:rsidR="007F5D23">
        <w:rPr>
          <w:iCs/>
        </w:rPr>
        <w:t>id</w:t>
      </w:r>
      <w:r w:rsidRPr="00E50237">
        <w:rPr>
          <w:iCs/>
        </w:rPr>
        <w:t xml:space="preserve"> not provide strong evidence to support efficacy and safety of Dysport® treatments beyond four cycles.</w:t>
      </w:r>
      <w:r w:rsidRPr="000F1DF7">
        <w:t xml:space="preserve"> </w:t>
      </w:r>
      <w:r w:rsidR="00DB78AF" w:rsidRPr="00E50237">
        <w:rPr>
          <w:iCs/>
        </w:rPr>
        <w:t xml:space="preserve">The PSCR stated that the removal of the four treatment limit was also supported by the substantial proportion of patients who enrolled in Study 145 who had received prior botulinum toxin treatment (55%). The </w:t>
      </w:r>
      <w:r w:rsidR="00DB78AF" w:rsidRPr="00E50237">
        <w:rPr>
          <w:iCs/>
        </w:rPr>
        <w:lastRenderedPageBreak/>
        <w:t xml:space="preserve">ESC noted that it was unclear how many treatments were previously received, when patients had received them, or if they were given for the same diagnosis of spasticity. The pre-PBAC </w:t>
      </w:r>
      <w:r w:rsidR="00DB78AF">
        <w:rPr>
          <w:iCs/>
        </w:rPr>
        <w:t>R</w:t>
      </w:r>
      <w:r w:rsidR="00DB78AF" w:rsidRPr="00E50237">
        <w:rPr>
          <w:iCs/>
        </w:rPr>
        <w:t>esponse claimed that the proposed continuation stopping rule would prevent patients who do not respond to treatment from receiving additional botulinum toxin.</w:t>
      </w:r>
    </w:p>
    <w:p w:rsidR="00DB78AF" w:rsidRPr="00DB78AF" w:rsidRDefault="00634A79" w:rsidP="009F0049">
      <w:pPr>
        <w:pStyle w:val="ListParagraph"/>
        <w:widowControl/>
        <w:numPr>
          <w:ilvl w:val="1"/>
          <w:numId w:val="1"/>
        </w:numPr>
      </w:pPr>
      <w:r w:rsidRPr="000F1DF7">
        <w:t>The submission also submitted a letter by the Rehabilitation Medicine Society o</w:t>
      </w:r>
      <w:r w:rsidR="007F5D23">
        <w:t xml:space="preserve">f Australia and New Zealand (RMSANZ) </w:t>
      </w:r>
      <w:r w:rsidRPr="000F1DF7">
        <w:t>supporting the removal of this restriction</w:t>
      </w:r>
      <w:r w:rsidR="007F5D23">
        <w:t xml:space="preserve"> and </w:t>
      </w:r>
      <w:r w:rsidRPr="00E50237">
        <w:rPr>
          <w:iCs/>
        </w:rPr>
        <w:t xml:space="preserve">noted that DUSC had recently also reviewed the </w:t>
      </w:r>
      <w:r w:rsidR="007F5D23">
        <w:rPr>
          <w:iCs/>
        </w:rPr>
        <w:t xml:space="preserve">PBS </w:t>
      </w:r>
      <w:r w:rsidRPr="00E50237">
        <w:rPr>
          <w:iCs/>
        </w:rPr>
        <w:t>utilisation of botulinum toxin</w:t>
      </w:r>
      <w:r w:rsidR="007F5D23">
        <w:rPr>
          <w:iCs/>
        </w:rPr>
        <w:t xml:space="preserve">. </w:t>
      </w:r>
      <w:r w:rsidRPr="00E50237">
        <w:rPr>
          <w:iCs/>
        </w:rPr>
        <w:t xml:space="preserve"> </w:t>
      </w:r>
      <w:r w:rsidR="007F5D23">
        <w:rPr>
          <w:iCs/>
        </w:rPr>
        <w:t>Both of these items were</w:t>
      </w:r>
      <w:r w:rsidRPr="00E50237">
        <w:rPr>
          <w:iCs/>
        </w:rPr>
        <w:t xml:space="preserve"> considered by </w:t>
      </w:r>
      <w:r w:rsidR="007F5D23">
        <w:rPr>
          <w:iCs/>
        </w:rPr>
        <w:t>the</w:t>
      </w:r>
      <w:r w:rsidRPr="00E50237">
        <w:rPr>
          <w:iCs/>
        </w:rPr>
        <w:t xml:space="preserve"> PBAC in July 2018.</w:t>
      </w:r>
      <w:r w:rsidR="00642FE1" w:rsidRPr="00E50237">
        <w:rPr>
          <w:iCs/>
        </w:rPr>
        <w:t xml:space="preserve"> </w:t>
      </w:r>
      <w:r w:rsidRPr="00E50237">
        <w:rPr>
          <w:iCs/>
        </w:rPr>
        <w:t>Overall</w:t>
      </w:r>
      <w:r w:rsidR="00073008" w:rsidRPr="00E50237">
        <w:rPr>
          <w:iCs/>
        </w:rPr>
        <w:t>,</w:t>
      </w:r>
      <w:r w:rsidRPr="00E50237">
        <w:rPr>
          <w:iCs/>
        </w:rPr>
        <w:t xml:space="preserve"> DUSC considered the cost implications of the removal of the four treatment periods limitation per upper limb per lifetime </w:t>
      </w:r>
      <w:r w:rsidR="00BF4C92" w:rsidRPr="00E50237">
        <w:rPr>
          <w:iCs/>
        </w:rPr>
        <w:t xml:space="preserve">in post-stroke patients </w:t>
      </w:r>
      <w:r w:rsidRPr="00E50237">
        <w:rPr>
          <w:iCs/>
        </w:rPr>
        <w:t xml:space="preserve">would have small to negligible impact on PBS </w:t>
      </w:r>
      <w:r w:rsidR="00DB78AF">
        <w:rPr>
          <w:iCs/>
        </w:rPr>
        <w:t>as the majority of pat</w:t>
      </w:r>
      <w:r w:rsidRPr="00E50237">
        <w:rPr>
          <w:iCs/>
        </w:rPr>
        <w:t xml:space="preserve">ients only </w:t>
      </w:r>
      <w:r w:rsidR="00DB78AF">
        <w:rPr>
          <w:iCs/>
        </w:rPr>
        <w:t xml:space="preserve">receive one to two </w:t>
      </w:r>
      <w:r w:rsidRPr="00E50237">
        <w:rPr>
          <w:iCs/>
        </w:rPr>
        <w:t>treatment cycle</w:t>
      </w:r>
      <w:r w:rsidR="00DB78AF">
        <w:rPr>
          <w:iCs/>
        </w:rPr>
        <w:t>s</w:t>
      </w:r>
      <w:r w:rsidRPr="00E50237">
        <w:rPr>
          <w:iCs/>
        </w:rPr>
        <w:t xml:space="preserve"> (</w:t>
      </w:r>
      <w:r w:rsidR="00DB78AF">
        <w:rPr>
          <w:iCs/>
        </w:rPr>
        <w:t xml:space="preserve">Item 10.06, July 2018, </w:t>
      </w:r>
      <w:r w:rsidRPr="00E50237">
        <w:rPr>
          <w:iCs/>
        </w:rPr>
        <w:t>DUSC advice to PBAC on botulinum toxin</w:t>
      </w:r>
      <w:r w:rsidR="001A13BC" w:rsidRPr="00E50237">
        <w:rPr>
          <w:iCs/>
        </w:rPr>
        <w:t>).</w:t>
      </w:r>
      <w:r w:rsidR="0099750B" w:rsidRPr="00E50237">
        <w:rPr>
          <w:iCs/>
        </w:rPr>
        <w:t xml:space="preserve"> </w:t>
      </w:r>
    </w:p>
    <w:p w:rsidR="00DB78AF" w:rsidRDefault="00E50237" w:rsidP="009F0049">
      <w:pPr>
        <w:pStyle w:val="ListParagraph"/>
        <w:widowControl/>
        <w:numPr>
          <w:ilvl w:val="1"/>
          <w:numId w:val="1"/>
        </w:numPr>
      </w:pPr>
      <w:r>
        <w:t xml:space="preserve">The PBAC agreed that the removal of a lifetime limit of four treatments was consistent with clinical practice for continuing responders. The PBAC noted expert opinion which indicated that re-injection intervals tended to increase with continued treatment and considered that a limit of four treatment periods per lower limb in the first year and two treatment periods per lower limb per year from Year 2 onwards </w:t>
      </w:r>
      <w:r w:rsidR="00E72C85">
        <w:t>might be</w:t>
      </w:r>
      <w:r>
        <w:t xml:space="preserve"> reasonable. </w:t>
      </w:r>
    </w:p>
    <w:p w:rsidR="009335E7" w:rsidRPr="00E75A07" w:rsidRDefault="00851E15" w:rsidP="009F0049">
      <w:pPr>
        <w:pStyle w:val="ListParagraph"/>
        <w:widowControl/>
        <w:numPr>
          <w:ilvl w:val="1"/>
          <w:numId w:val="1"/>
        </w:numPr>
      </w:pPr>
      <w:r w:rsidRPr="00E50237">
        <w:rPr>
          <w:iCs/>
        </w:rPr>
        <w:t>The proposed PBS restriction defined response</w:t>
      </w:r>
      <w:r w:rsidRPr="00E75A07">
        <w:t xml:space="preserve"> as a decrease in MAS of </w:t>
      </w:r>
      <w:r w:rsidRPr="00DB78AF">
        <w:t>greater than</w:t>
      </w:r>
      <w:r w:rsidRPr="00E50237">
        <w:rPr>
          <w:u w:val="single"/>
        </w:rPr>
        <w:t xml:space="preserve"> </w:t>
      </w:r>
      <w:r w:rsidRPr="00E75A07">
        <w:t>one, in at least one joint, after two treatment periods.</w:t>
      </w:r>
      <w:r w:rsidR="00642FE1" w:rsidRPr="00E75A07">
        <w:t xml:space="preserve"> </w:t>
      </w:r>
      <w:r w:rsidR="00986F45" w:rsidRPr="00E75A07">
        <w:t>T</w:t>
      </w:r>
      <w:r w:rsidRPr="00E75A07">
        <w:t xml:space="preserve">his </w:t>
      </w:r>
      <w:r w:rsidR="00E50237">
        <w:t>wa</w:t>
      </w:r>
      <w:r w:rsidRPr="00E75A07">
        <w:t xml:space="preserve">s consistent with the current continuation criteria for Dysport® in </w:t>
      </w:r>
      <w:r w:rsidR="00E50237">
        <w:t>upper limb focal spasticity</w:t>
      </w:r>
      <w:r w:rsidR="00986F45" w:rsidRPr="00E75A07">
        <w:t xml:space="preserve">. However, </w:t>
      </w:r>
      <w:r w:rsidRPr="00E75A07">
        <w:t xml:space="preserve">it is inconsistent with the submission’s nominated minimal clinically important difference (MCID) of </w:t>
      </w:r>
      <w:r w:rsidRPr="00DB78AF">
        <w:t>at least</w:t>
      </w:r>
      <w:r w:rsidRPr="00E75A07">
        <w:t xml:space="preserve"> one grade reduction in the MAS; see para</w:t>
      </w:r>
      <w:r w:rsidR="00CD7E8E" w:rsidRPr="00E75A07">
        <w:t>graph</w:t>
      </w:r>
      <w:r w:rsidRPr="00E75A07">
        <w:t xml:space="preserve"> 6.</w:t>
      </w:r>
      <w:r w:rsidR="00D106C4" w:rsidRPr="00E75A07">
        <w:t>10</w:t>
      </w:r>
      <w:r w:rsidRPr="00E75A07">
        <w:t xml:space="preserve"> below for further details.</w:t>
      </w:r>
      <w:r w:rsidR="006B6200" w:rsidRPr="00E75A07">
        <w:t xml:space="preserve"> </w:t>
      </w:r>
      <w:r w:rsidR="00986F45" w:rsidRPr="00E75A07">
        <w:t>T</w:t>
      </w:r>
      <w:r w:rsidR="006B6200" w:rsidRPr="00E75A07">
        <w:t xml:space="preserve">he PSCR stated that the </w:t>
      </w:r>
      <w:r w:rsidR="00986F45" w:rsidRPr="00E75A07">
        <w:t>current/</w:t>
      </w:r>
      <w:r w:rsidR="006B6200" w:rsidRPr="00E75A07">
        <w:t xml:space="preserve">proposed restriction follows </w:t>
      </w:r>
      <w:r w:rsidR="00986F45" w:rsidRPr="00E75A07">
        <w:t xml:space="preserve">the historical </w:t>
      </w:r>
      <w:r w:rsidR="00B17F7D" w:rsidRPr="00E75A07">
        <w:t xml:space="preserve">MAS </w:t>
      </w:r>
      <w:r w:rsidR="00986F45" w:rsidRPr="00E75A07">
        <w:t>coding convention</w:t>
      </w:r>
      <w:r w:rsidR="00B17F7D" w:rsidRPr="00E75A07">
        <w:t>; whereas t</w:t>
      </w:r>
      <w:r w:rsidR="00986F45" w:rsidRPr="00E75A07">
        <w:t xml:space="preserve">he clinical trial </w:t>
      </w:r>
      <w:r w:rsidR="00B17F7D" w:rsidRPr="00E75A07">
        <w:t xml:space="preserve">was </w:t>
      </w:r>
      <w:r w:rsidR="00986F45" w:rsidRPr="00E75A07">
        <w:t>align</w:t>
      </w:r>
      <w:r w:rsidR="00F871D9" w:rsidRPr="00E75A07">
        <w:t>ed</w:t>
      </w:r>
      <w:r w:rsidR="00986F45" w:rsidRPr="00E75A07">
        <w:t xml:space="preserve"> with the coding conventions of the ‘derived MAS’. This change</w:t>
      </w:r>
      <w:r w:rsidR="006B6200" w:rsidRPr="00E75A07">
        <w:t xml:space="preserve"> means that patients who</w:t>
      </w:r>
      <w:r w:rsidR="001C5AF4" w:rsidRPr="00E75A07">
        <w:t xml:space="preserve"> receive a MAS score of 1+ and were previously coded as </w:t>
      </w:r>
      <w:r w:rsidR="006B6200" w:rsidRPr="00E75A07">
        <w:t xml:space="preserve">1.5 are now coded </w:t>
      </w:r>
      <w:r w:rsidR="001C5AF4" w:rsidRPr="00E75A07">
        <w:t xml:space="preserve">as </w:t>
      </w:r>
      <w:r w:rsidR="006B6200" w:rsidRPr="00E75A07">
        <w:t xml:space="preserve">2, with subsequent MAS scores </w:t>
      </w:r>
      <w:r w:rsidR="00964646" w:rsidRPr="00E75A07">
        <w:t>increasing</w:t>
      </w:r>
      <w:r w:rsidR="006B6200" w:rsidRPr="00E75A07">
        <w:t xml:space="preserve"> by a value of 1 (see </w:t>
      </w:r>
      <w:r w:rsidR="00525315" w:rsidRPr="00E75A07">
        <w:t xml:space="preserve">Table </w:t>
      </w:r>
      <w:r w:rsidR="00525315" w:rsidRPr="00E75A07">
        <w:rPr>
          <w:noProof/>
        </w:rPr>
        <w:t>2</w:t>
      </w:r>
      <w:r w:rsidR="006B6200" w:rsidRPr="00E75A07">
        <w:t>).</w:t>
      </w:r>
      <w:r w:rsidR="00602A8E" w:rsidRPr="00E75A07">
        <w:t xml:space="preserve"> The ESC noted that a decrease of greater than one in the historical coding aligned with a decrease of at least 2 in the </w:t>
      </w:r>
      <w:r w:rsidR="00F871D9" w:rsidRPr="00E75A07">
        <w:t xml:space="preserve">‘derived MAS’ </w:t>
      </w:r>
      <w:r w:rsidR="00602A8E" w:rsidRPr="00E75A07">
        <w:t xml:space="preserve">coding convention </w:t>
      </w:r>
      <w:r w:rsidR="001C5AF4" w:rsidRPr="00E75A07">
        <w:t xml:space="preserve">which was </w:t>
      </w:r>
      <w:r w:rsidR="00602A8E" w:rsidRPr="00E75A07">
        <w:t>used in the trial.</w:t>
      </w:r>
    </w:p>
    <w:p w:rsidR="00130EF4" w:rsidRPr="00E75A07" w:rsidRDefault="00130EF4" w:rsidP="009F0049">
      <w:pPr>
        <w:pStyle w:val="ListParagraph"/>
        <w:widowControl/>
        <w:numPr>
          <w:ilvl w:val="1"/>
          <w:numId w:val="1"/>
        </w:numPr>
      </w:pPr>
      <w:r w:rsidRPr="00E75A07">
        <w:rPr>
          <w:iCs/>
        </w:rPr>
        <w:t xml:space="preserve">The ESC </w:t>
      </w:r>
      <w:r w:rsidR="001C5AF4" w:rsidRPr="00E75A07">
        <w:rPr>
          <w:iCs/>
        </w:rPr>
        <w:t>questioned which coding convention was most commonly used in clinical practic</w:t>
      </w:r>
      <w:r w:rsidR="007A5A38" w:rsidRPr="00E75A07">
        <w:rPr>
          <w:iCs/>
        </w:rPr>
        <w:t>e, noting that th</w:t>
      </w:r>
      <w:r w:rsidR="006B7461" w:rsidRPr="00E75A07">
        <w:rPr>
          <w:iCs/>
        </w:rPr>
        <w:t>e two coding conventions were no</w:t>
      </w:r>
      <w:r w:rsidR="007A5A38" w:rsidRPr="00E75A07">
        <w:rPr>
          <w:iCs/>
        </w:rPr>
        <w:t xml:space="preserve">t presented </w:t>
      </w:r>
      <w:r w:rsidR="006B7461" w:rsidRPr="00E75A07">
        <w:rPr>
          <w:iCs/>
        </w:rPr>
        <w:t>in the submissions for Dysport</w:t>
      </w:r>
      <w:r w:rsidR="006B7461" w:rsidRPr="00E75A07">
        <w:rPr>
          <w:rFonts w:cs="Calibri"/>
          <w:iCs/>
        </w:rPr>
        <w:t>®</w:t>
      </w:r>
      <w:r w:rsidR="006B7461" w:rsidRPr="00E75A07">
        <w:rPr>
          <w:iCs/>
        </w:rPr>
        <w:t xml:space="preserve"> (Item 6.02) or </w:t>
      </w:r>
      <w:r w:rsidR="007A5A38" w:rsidRPr="00E75A07">
        <w:rPr>
          <w:iCs/>
        </w:rPr>
        <w:t>B</w:t>
      </w:r>
      <w:r w:rsidR="00E50237">
        <w:rPr>
          <w:iCs/>
        </w:rPr>
        <w:t>OTOX</w:t>
      </w:r>
      <w:r w:rsidR="007A5A38" w:rsidRPr="00E75A07">
        <w:rPr>
          <w:rFonts w:cs="Calibri"/>
          <w:iCs/>
        </w:rPr>
        <w:t>®</w:t>
      </w:r>
      <w:r w:rsidR="007A5A38" w:rsidRPr="00E75A07">
        <w:rPr>
          <w:iCs/>
        </w:rPr>
        <w:t xml:space="preserve"> </w:t>
      </w:r>
      <w:r w:rsidR="006B7461" w:rsidRPr="00E75A07">
        <w:rPr>
          <w:iCs/>
        </w:rPr>
        <w:t xml:space="preserve">(Item 7.02) </w:t>
      </w:r>
      <w:r w:rsidR="007A5A38" w:rsidRPr="00E75A07">
        <w:rPr>
          <w:iCs/>
        </w:rPr>
        <w:t>for lower limb spasticity.</w:t>
      </w:r>
      <w:r w:rsidR="00D71E09">
        <w:rPr>
          <w:iCs/>
        </w:rPr>
        <w:t xml:space="preserve"> The pre-PBAC </w:t>
      </w:r>
      <w:r w:rsidR="00DB78AF">
        <w:rPr>
          <w:iCs/>
        </w:rPr>
        <w:t>R</w:t>
      </w:r>
      <w:r w:rsidR="00D71E09">
        <w:rPr>
          <w:iCs/>
        </w:rPr>
        <w:t xml:space="preserve">esponse claimed that </w:t>
      </w:r>
      <w:r w:rsidR="002430B7">
        <w:rPr>
          <w:iCs/>
        </w:rPr>
        <w:t xml:space="preserve">data is not available for which coding convention is most commonly used </w:t>
      </w:r>
      <w:r w:rsidR="00D71E09">
        <w:rPr>
          <w:iCs/>
        </w:rPr>
        <w:t>in clinical practice</w:t>
      </w:r>
      <w:r w:rsidR="002430B7">
        <w:rPr>
          <w:iCs/>
        </w:rPr>
        <w:t>, but suggested that</w:t>
      </w:r>
      <w:r w:rsidR="00D71E09">
        <w:rPr>
          <w:iCs/>
        </w:rPr>
        <w:t xml:space="preserve"> </w:t>
      </w:r>
      <w:r w:rsidR="00E50237">
        <w:rPr>
          <w:iCs/>
        </w:rPr>
        <w:t>physicians</w:t>
      </w:r>
      <w:r w:rsidR="00D71E09">
        <w:rPr>
          <w:iCs/>
        </w:rPr>
        <w:t xml:space="preserve"> c</w:t>
      </w:r>
      <w:r w:rsidR="00885E70">
        <w:rPr>
          <w:iCs/>
        </w:rPr>
        <w:t>ould</w:t>
      </w:r>
      <w:r w:rsidR="00D71E09">
        <w:rPr>
          <w:iCs/>
        </w:rPr>
        <w:t xml:space="preserve"> effectively switch between the two conventions.</w:t>
      </w:r>
    </w:p>
    <w:p w:rsidR="0069269F" w:rsidRPr="00E75A07" w:rsidRDefault="0069269F" w:rsidP="009F0049">
      <w:pPr>
        <w:pStyle w:val="TableHeading0"/>
        <w:rPr>
          <w:szCs w:val="20"/>
        </w:rPr>
      </w:pPr>
      <w:r w:rsidRPr="00E75A07">
        <w:rPr>
          <w:szCs w:val="20"/>
        </w:rPr>
        <w:lastRenderedPageBreak/>
        <w:t xml:space="preserve">Table </w:t>
      </w:r>
      <w:r w:rsidRPr="00E75A07">
        <w:rPr>
          <w:noProof/>
          <w:szCs w:val="20"/>
        </w:rPr>
        <w:t>2</w:t>
      </w:r>
      <w:r w:rsidRPr="00E75A07">
        <w:rPr>
          <w:rStyle w:val="CommentReference"/>
          <w:b/>
          <w:bCs/>
          <w:szCs w:val="20"/>
        </w:rPr>
        <w:t>:</w:t>
      </w:r>
      <w:r w:rsidR="00642FE1" w:rsidRPr="00E75A07">
        <w:rPr>
          <w:rStyle w:val="CommentReference"/>
          <w:b/>
          <w:bCs/>
          <w:szCs w:val="20"/>
        </w:rPr>
        <w:t xml:space="preserve"> </w:t>
      </w:r>
      <w:r w:rsidRPr="00E75A07">
        <w:rPr>
          <w:rStyle w:val="CommentReference"/>
          <w:b/>
          <w:bCs/>
          <w:szCs w:val="20"/>
        </w:rPr>
        <w:t xml:space="preserve">Description of </w:t>
      </w:r>
      <w:r w:rsidR="001C5AF4" w:rsidRPr="00E75A07">
        <w:rPr>
          <w:rStyle w:val="CommentReference"/>
          <w:b/>
          <w:bCs/>
          <w:szCs w:val="20"/>
        </w:rPr>
        <w:t xml:space="preserve">the </w:t>
      </w:r>
      <w:r w:rsidRPr="00E75A07">
        <w:rPr>
          <w:rStyle w:val="CommentReference"/>
          <w:b/>
          <w:bCs/>
          <w:szCs w:val="20"/>
        </w:rPr>
        <w:t>Modified Ashworth Scale (MAS)</w:t>
      </w:r>
    </w:p>
    <w:tbl>
      <w:tblPr>
        <w:tblStyle w:val="TableGrid"/>
        <w:tblW w:w="9105" w:type="dxa"/>
        <w:tblInd w:w="-5" w:type="dxa"/>
        <w:tblLayout w:type="fixed"/>
        <w:tblLook w:val="04A0" w:firstRow="1" w:lastRow="0" w:firstColumn="1" w:lastColumn="0" w:noHBand="0" w:noVBand="1"/>
        <w:tblCaption w:val="Description of the modified ashworth scale"/>
      </w:tblPr>
      <w:tblGrid>
        <w:gridCol w:w="732"/>
        <w:gridCol w:w="861"/>
        <w:gridCol w:w="708"/>
        <w:gridCol w:w="6804"/>
      </w:tblGrid>
      <w:tr w:rsidR="0069269F" w:rsidRPr="00E75A07" w:rsidTr="00DF2EBD">
        <w:trPr>
          <w:cantSplit/>
          <w:tblHeader/>
        </w:trPr>
        <w:tc>
          <w:tcPr>
            <w:tcW w:w="732" w:type="dxa"/>
            <w:tcMar>
              <w:left w:w="28" w:type="dxa"/>
              <w:right w:w="28" w:type="dxa"/>
            </w:tcMar>
          </w:tcPr>
          <w:p w:rsidR="0069269F" w:rsidRPr="00E75A07" w:rsidRDefault="0069269F" w:rsidP="002A754C">
            <w:pPr>
              <w:keepNext/>
              <w:keepLines/>
              <w:rPr>
                <w:rFonts w:ascii="Arial Narrow" w:hAnsi="Arial Narrow"/>
                <w:b/>
                <w:bCs/>
                <w:sz w:val="20"/>
                <w:szCs w:val="20"/>
              </w:rPr>
            </w:pPr>
            <w:r w:rsidRPr="00E75A07">
              <w:rPr>
                <w:rFonts w:ascii="Arial Narrow" w:hAnsi="Arial Narrow"/>
                <w:b/>
                <w:bCs/>
                <w:sz w:val="20"/>
                <w:szCs w:val="20"/>
              </w:rPr>
              <w:t>MAS score</w:t>
            </w:r>
          </w:p>
        </w:tc>
        <w:tc>
          <w:tcPr>
            <w:tcW w:w="861" w:type="dxa"/>
            <w:tcMar>
              <w:left w:w="28" w:type="dxa"/>
              <w:right w:w="28" w:type="dxa"/>
            </w:tcMar>
          </w:tcPr>
          <w:p w:rsidR="0069269F" w:rsidRPr="00E75A07" w:rsidRDefault="0069269F" w:rsidP="002A754C">
            <w:pPr>
              <w:keepNext/>
              <w:keepLines/>
              <w:rPr>
                <w:rFonts w:ascii="Arial Narrow" w:hAnsi="Arial Narrow"/>
                <w:b/>
                <w:bCs/>
                <w:sz w:val="20"/>
                <w:szCs w:val="20"/>
              </w:rPr>
            </w:pPr>
            <w:r w:rsidRPr="00E75A07">
              <w:rPr>
                <w:rFonts w:ascii="Arial Narrow" w:hAnsi="Arial Narrow"/>
                <w:b/>
                <w:bCs/>
                <w:sz w:val="20"/>
                <w:szCs w:val="20"/>
              </w:rPr>
              <w:t>Historical code</w:t>
            </w:r>
          </w:p>
        </w:tc>
        <w:tc>
          <w:tcPr>
            <w:tcW w:w="708" w:type="dxa"/>
            <w:tcMar>
              <w:left w:w="28" w:type="dxa"/>
              <w:right w:w="28" w:type="dxa"/>
            </w:tcMar>
          </w:tcPr>
          <w:p w:rsidR="0069269F" w:rsidRPr="00E75A07" w:rsidRDefault="00212C3D" w:rsidP="002A754C">
            <w:pPr>
              <w:keepNext/>
              <w:keepLines/>
              <w:rPr>
                <w:rFonts w:ascii="Arial Narrow" w:hAnsi="Arial Narrow"/>
                <w:b/>
                <w:bCs/>
                <w:sz w:val="20"/>
                <w:szCs w:val="20"/>
              </w:rPr>
            </w:pPr>
            <w:r w:rsidRPr="00E75A07">
              <w:rPr>
                <w:rFonts w:ascii="Arial Narrow" w:hAnsi="Arial Narrow"/>
                <w:b/>
                <w:bCs/>
                <w:sz w:val="20"/>
                <w:szCs w:val="20"/>
              </w:rPr>
              <w:t>Derived</w:t>
            </w:r>
            <w:r w:rsidR="0069269F" w:rsidRPr="00E75A07">
              <w:rPr>
                <w:rFonts w:ascii="Arial Narrow" w:hAnsi="Arial Narrow"/>
                <w:b/>
                <w:bCs/>
                <w:sz w:val="20"/>
                <w:szCs w:val="20"/>
              </w:rPr>
              <w:t xml:space="preserve"> code</w:t>
            </w:r>
          </w:p>
        </w:tc>
        <w:tc>
          <w:tcPr>
            <w:tcW w:w="6804" w:type="dxa"/>
            <w:tcMar>
              <w:left w:w="28" w:type="dxa"/>
              <w:right w:w="28" w:type="dxa"/>
            </w:tcMar>
          </w:tcPr>
          <w:p w:rsidR="0069269F" w:rsidRPr="00E75A07" w:rsidRDefault="0069269F" w:rsidP="002A754C">
            <w:pPr>
              <w:keepNext/>
              <w:keepLines/>
              <w:rPr>
                <w:rFonts w:ascii="Arial Narrow" w:hAnsi="Arial Narrow"/>
                <w:b/>
                <w:bCs/>
                <w:sz w:val="20"/>
                <w:szCs w:val="20"/>
              </w:rPr>
            </w:pPr>
            <w:r w:rsidRPr="00E75A07">
              <w:rPr>
                <w:rFonts w:ascii="Arial Narrow" w:hAnsi="Arial Narrow"/>
                <w:b/>
                <w:bCs/>
                <w:sz w:val="20"/>
                <w:szCs w:val="20"/>
              </w:rPr>
              <w:t>Description</w:t>
            </w:r>
          </w:p>
        </w:tc>
      </w:tr>
      <w:tr w:rsidR="0069269F" w:rsidRPr="00E75A07" w:rsidTr="002A754C">
        <w:trPr>
          <w:cantSplit/>
          <w:trHeight w:val="95"/>
        </w:trPr>
        <w:tc>
          <w:tcPr>
            <w:tcW w:w="732"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0</w:t>
            </w:r>
          </w:p>
        </w:tc>
        <w:tc>
          <w:tcPr>
            <w:tcW w:w="861"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0</w:t>
            </w:r>
          </w:p>
        </w:tc>
        <w:tc>
          <w:tcPr>
            <w:tcW w:w="708"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0</w:t>
            </w:r>
          </w:p>
        </w:tc>
        <w:tc>
          <w:tcPr>
            <w:tcW w:w="6804"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Normal tone, no increase in muscle tone</w:t>
            </w:r>
          </w:p>
        </w:tc>
      </w:tr>
      <w:tr w:rsidR="0069269F" w:rsidRPr="00E75A07" w:rsidTr="002A754C">
        <w:trPr>
          <w:cantSplit/>
        </w:trPr>
        <w:tc>
          <w:tcPr>
            <w:tcW w:w="732"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1</w:t>
            </w:r>
          </w:p>
        </w:tc>
        <w:tc>
          <w:tcPr>
            <w:tcW w:w="861"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1</w:t>
            </w:r>
          </w:p>
        </w:tc>
        <w:tc>
          <w:tcPr>
            <w:tcW w:w="708"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1</w:t>
            </w:r>
          </w:p>
        </w:tc>
        <w:tc>
          <w:tcPr>
            <w:tcW w:w="6804"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Slight increase in muscle tone, manifested by a catch or by minimal resistance at the end of the range of motion (ROM) when the affected part(s) is (are) moved in flexion or extension</w:t>
            </w:r>
          </w:p>
        </w:tc>
      </w:tr>
      <w:tr w:rsidR="0069269F" w:rsidRPr="00E75A07" w:rsidTr="002A754C">
        <w:trPr>
          <w:cantSplit/>
        </w:trPr>
        <w:tc>
          <w:tcPr>
            <w:tcW w:w="732"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1+</w:t>
            </w:r>
          </w:p>
        </w:tc>
        <w:tc>
          <w:tcPr>
            <w:tcW w:w="861"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1.5</w:t>
            </w:r>
          </w:p>
        </w:tc>
        <w:tc>
          <w:tcPr>
            <w:tcW w:w="708"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2</w:t>
            </w:r>
          </w:p>
        </w:tc>
        <w:tc>
          <w:tcPr>
            <w:tcW w:w="6804"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Slight increase in muscle tone, manifested by a catch, followed by minimal resistance throughout the remainder (less than half) of the ROM</w:t>
            </w:r>
          </w:p>
        </w:tc>
      </w:tr>
      <w:tr w:rsidR="0069269F" w:rsidRPr="00E75A07" w:rsidTr="002A754C">
        <w:trPr>
          <w:cantSplit/>
        </w:trPr>
        <w:tc>
          <w:tcPr>
            <w:tcW w:w="732"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2</w:t>
            </w:r>
          </w:p>
        </w:tc>
        <w:tc>
          <w:tcPr>
            <w:tcW w:w="861"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2</w:t>
            </w:r>
          </w:p>
        </w:tc>
        <w:tc>
          <w:tcPr>
            <w:tcW w:w="708"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3</w:t>
            </w:r>
          </w:p>
        </w:tc>
        <w:tc>
          <w:tcPr>
            <w:tcW w:w="6804"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More marked increase in muscle tone through most of the ROM, but affected part(s) easily moved</w:t>
            </w:r>
          </w:p>
        </w:tc>
      </w:tr>
      <w:tr w:rsidR="0069269F" w:rsidRPr="00E75A07" w:rsidTr="002A754C">
        <w:trPr>
          <w:cantSplit/>
        </w:trPr>
        <w:tc>
          <w:tcPr>
            <w:tcW w:w="732"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3</w:t>
            </w:r>
          </w:p>
        </w:tc>
        <w:tc>
          <w:tcPr>
            <w:tcW w:w="861"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3</w:t>
            </w:r>
          </w:p>
        </w:tc>
        <w:tc>
          <w:tcPr>
            <w:tcW w:w="708"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4</w:t>
            </w:r>
          </w:p>
        </w:tc>
        <w:tc>
          <w:tcPr>
            <w:tcW w:w="6804"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Considerable increase in muscle tone, passive movement difficult</w:t>
            </w:r>
          </w:p>
        </w:tc>
      </w:tr>
      <w:tr w:rsidR="0069269F" w:rsidRPr="00E75A07" w:rsidTr="002A754C">
        <w:trPr>
          <w:cantSplit/>
        </w:trPr>
        <w:tc>
          <w:tcPr>
            <w:tcW w:w="732"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4</w:t>
            </w:r>
          </w:p>
        </w:tc>
        <w:tc>
          <w:tcPr>
            <w:tcW w:w="861"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4</w:t>
            </w:r>
          </w:p>
        </w:tc>
        <w:tc>
          <w:tcPr>
            <w:tcW w:w="708"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5</w:t>
            </w:r>
          </w:p>
        </w:tc>
        <w:tc>
          <w:tcPr>
            <w:tcW w:w="6804" w:type="dxa"/>
            <w:tcMar>
              <w:left w:w="28" w:type="dxa"/>
              <w:right w:w="28" w:type="dxa"/>
            </w:tcMar>
          </w:tcPr>
          <w:p w:rsidR="0069269F" w:rsidRPr="00E75A07" w:rsidRDefault="0069269F" w:rsidP="002A754C">
            <w:pPr>
              <w:keepNext/>
              <w:keepLines/>
              <w:rPr>
                <w:rFonts w:ascii="Arial Narrow" w:hAnsi="Arial Narrow"/>
                <w:sz w:val="20"/>
                <w:szCs w:val="20"/>
              </w:rPr>
            </w:pPr>
            <w:r w:rsidRPr="00E75A07">
              <w:rPr>
                <w:rFonts w:ascii="Arial Narrow" w:hAnsi="Arial Narrow"/>
                <w:sz w:val="20"/>
                <w:szCs w:val="20"/>
              </w:rPr>
              <w:t>Affected part(s) rigid in flexion or extension</w:t>
            </w:r>
          </w:p>
        </w:tc>
      </w:tr>
    </w:tbl>
    <w:p w:rsidR="0069269F" w:rsidRPr="00E75A07" w:rsidRDefault="0069269F" w:rsidP="009F0049">
      <w:pPr>
        <w:pStyle w:val="TableFooter"/>
        <w:widowControl/>
      </w:pPr>
      <w:r w:rsidRPr="00E75A07">
        <w:t>Source: Table 2.26, p68 of the submission and Table 1, p5 of the PSCR</w:t>
      </w:r>
    </w:p>
    <w:p w:rsidR="002B60F7" w:rsidRDefault="002B60F7" w:rsidP="009F0049">
      <w:pPr>
        <w:pStyle w:val="TableFooter"/>
        <w:widowControl/>
      </w:pPr>
    </w:p>
    <w:p w:rsidR="00E75A07" w:rsidRDefault="00E75A07" w:rsidP="00E75A07">
      <w:pPr>
        <w:rPr>
          <w:i/>
        </w:rPr>
      </w:pPr>
      <w:r w:rsidRPr="001054C5">
        <w:rPr>
          <w:i/>
        </w:rPr>
        <w:t>For more detail on PBAC’s view, see Section 7 PBAC outcome.</w:t>
      </w:r>
    </w:p>
    <w:p w:rsidR="00B50DB8" w:rsidRPr="00407F2D" w:rsidRDefault="00B50DB8" w:rsidP="00611D60">
      <w:pPr>
        <w:pStyle w:val="Heading1"/>
      </w:pPr>
      <w:bookmarkStart w:id="3" w:name="_Toc524461020"/>
      <w:r w:rsidRPr="00407F2D">
        <w:t>Background</w:t>
      </w:r>
      <w:bookmarkEnd w:id="3"/>
    </w:p>
    <w:p w:rsidR="00B60939" w:rsidRPr="00A2249E" w:rsidRDefault="00591957" w:rsidP="009F0049">
      <w:pPr>
        <w:pStyle w:val="Heading2"/>
        <w:widowControl/>
      </w:pPr>
      <w:bookmarkStart w:id="4" w:name="_Toc524461021"/>
      <w:r w:rsidRPr="00A2249E">
        <w:t>Registration status</w:t>
      </w:r>
      <w:bookmarkEnd w:id="4"/>
    </w:p>
    <w:p w:rsidR="006B2B95" w:rsidRDefault="008A73BB" w:rsidP="009F0049">
      <w:pPr>
        <w:pStyle w:val="ListParagraph"/>
        <w:keepNext/>
        <w:widowControl/>
        <w:numPr>
          <w:ilvl w:val="1"/>
          <w:numId w:val="1"/>
        </w:numPr>
      </w:pPr>
      <w:r w:rsidRPr="00115370">
        <w:t xml:space="preserve">TGA status: </w:t>
      </w:r>
      <w:r>
        <w:t>Dysport</w:t>
      </w:r>
      <w:r w:rsidR="009611DA">
        <w:rPr>
          <w:rFonts w:cs="Calibri"/>
        </w:rPr>
        <w:t>®</w:t>
      </w:r>
      <w:r w:rsidRPr="003371B0">
        <w:t xml:space="preserve"> was TGA registered on</w:t>
      </w:r>
      <w:r>
        <w:t xml:space="preserve"> 16 March 2018 for “symptomatic treatment of focal spasticity affecting the upper limbs in adults”.</w:t>
      </w:r>
      <w:r w:rsidR="00642FE1">
        <w:t xml:space="preserve"> </w:t>
      </w:r>
      <w:r w:rsidR="00936C20">
        <w:t xml:space="preserve">It was previously approved for “spasticity of the upper limb in adults following a stroke”. </w:t>
      </w:r>
    </w:p>
    <w:p w:rsidR="00E50237" w:rsidRDefault="00E50237" w:rsidP="009F0049">
      <w:pPr>
        <w:pStyle w:val="ListParagraph"/>
        <w:keepNext/>
        <w:widowControl/>
        <w:numPr>
          <w:ilvl w:val="1"/>
          <w:numId w:val="1"/>
        </w:numPr>
      </w:pPr>
      <w:r>
        <w:t>The PBAC noted that the TGA approved Dysport</w:t>
      </w:r>
      <w:r>
        <w:rPr>
          <w:rFonts w:cs="Calibri"/>
        </w:rPr>
        <w:t>®</w:t>
      </w:r>
      <w:r w:rsidR="00885E70">
        <w:rPr>
          <w:rFonts w:cs="Calibri"/>
        </w:rPr>
        <w:t xml:space="preserve"> </w:t>
      </w:r>
      <w:r>
        <w:t>for the treatment of focal spasticity of the upper limbs due to any aetiology, on the basis that the underlying cause of spasticity would not have a major effect on the utility of the treatment.</w:t>
      </w:r>
    </w:p>
    <w:p w:rsidR="008A73BB" w:rsidRPr="000F1DF7" w:rsidRDefault="008A73BB" w:rsidP="009F0049">
      <w:pPr>
        <w:pStyle w:val="ListParagraph"/>
        <w:widowControl/>
        <w:numPr>
          <w:ilvl w:val="1"/>
          <w:numId w:val="1"/>
        </w:numPr>
      </w:pPr>
      <w:r w:rsidRPr="000F1DF7">
        <w:rPr>
          <w:iCs/>
        </w:rPr>
        <w:t xml:space="preserve">Other approved indications include focal spasticity of the lower limbs in adults and in children, spasmodic torticollis, blepharospasm, </w:t>
      </w:r>
      <w:proofErr w:type="gramStart"/>
      <w:r w:rsidRPr="000F1DF7">
        <w:rPr>
          <w:iCs/>
        </w:rPr>
        <w:t>hemifacial</w:t>
      </w:r>
      <w:proofErr w:type="gramEnd"/>
      <w:r w:rsidRPr="000F1DF7">
        <w:rPr>
          <w:iCs/>
        </w:rPr>
        <w:t xml:space="preserve"> spasm and glabellar lines.</w:t>
      </w:r>
    </w:p>
    <w:p w:rsidR="00A2249E" w:rsidRDefault="00A2249E" w:rsidP="009F0049">
      <w:pPr>
        <w:pStyle w:val="Heading2"/>
        <w:widowControl/>
      </w:pPr>
      <w:bookmarkStart w:id="5" w:name="_Toc524461022"/>
      <w:r>
        <w:t>Previous PBAC considerations</w:t>
      </w:r>
      <w:bookmarkEnd w:id="5"/>
    </w:p>
    <w:p w:rsidR="003C1CD1" w:rsidRPr="003B7CBA" w:rsidRDefault="003C1CD1" w:rsidP="003C1CD1">
      <w:pPr>
        <w:pStyle w:val="ListParagraph"/>
        <w:widowControl/>
        <w:numPr>
          <w:ilvl w:val="1"/>
          <w:numId w:val="1"/>
        </w:numPr>
        <w:rPr>
          <w:i/>
        </w:rPr>
      </w:pPr>
      <w:r>
        <w:t>The PBAC recommended Dysport</w:t>
      </w:r>
      <w:r>
        <w:rPr>
          <w:rFonts w:cs="Calibri"/>
        </w:rPr>
        <w:t>®</w:t>
      </w:r>
      <w:r>
        <w:t xml:space="preserve"> for the treatment of upper limb spasticity following a stroke in November 2007.</w:t>
      </w:r>
      <w:r w:rsidR="00DF7451">
        <w:t xml:space="preserve"> </w:t>
      </w:r>
      <w:r w:rsidR="00DF7451">
        <w:rPr>
          <w:snapToGrid/>
          <w:lang w:val="en-US" w:eastAsia="en-AU"/>
        </w:rPr>
        <w:t xml:space="preserve">Dysport® is also PBS listed for treatment of spasmodic torticollis, </w:t>
      </w:r>
      <w:r w:rsidR="00DF7451" w:rsidRPr="001D193C">
        <w:rPr>
          <w:snapToGrid/>
          <w:lang w:val="en-US" w:eastAsia="en-AU"/>
        </w:rPr>
        <w:t xml:space="preserve">blepharospasm </w:t>
      </w:r>
      <w:r w:rsidR="00DF7451">
        <w:rPr>
          <w:snapToGrid/>
          <w:lang w:val="en-US" w:eastAsia="en-AU"/>
        </w:rPr>
        <w:t xml:space="preserve">and </w:t>
      </w:r>
      <w:r w:rsidR="00DF7451" w:rsidRPr="001D193C">
        <w:rPr>
          <w:snapToGrid/>
          <w:lang w:val="en-US" w:eastAsia="en-AU"/>
        </w:rPr>
        <w:t>hemifacial spasm in adults</w:t>
      </w:r>
      <w:r w:rsidR="00DF7451">
        <w:rPr>
          <w:snapToGrid/>
          <w:lang w:val="en-US" w:eastAsia="en-AU"/>
        </w:rPr>
        <w:t>.</w:t>
      </w:r>
    </w:p>
    <w:p w:rsidR="0081057C" w:rsidRPr="000F1DF7" w:rsidRDefault="0081057C" w:rsidP="0081057C">
      <w:pPr>
        <w:pStyle w:val="ListParagraph"/>
        <w:widowControl/>
        <w:numPr>
          <w:ilvl w:val="1"/>
          <w:numId w:val="1"/>
        </w:numPr>
      </w:pPr>
      <w:r>
        <w:t>Th</w:t>
      </w:r>
      <w:r w:rsidR="003C1CD1">
        <w:t>is was the first submission to extend the Dysport</w:t>
      </w:r>
      <w:r w:rsidR="003C1CD1">
        <w:rPr>
          <w:rFonts w:cs="Calibri"/>
        </w:rPr>
        <w:t>®</w:t>
      </w:r>
      <w:r w:rsidR="003C1CD1">
        <w:t xml:space="preserve"> listing to include upper limb spasticity following an acute event. </w:t>
      </w:r>
      <w:r w:rsidRPr="000F1DF7">
        <w:t>This extension of restriction aligns with the RMSANZ request</w:t>
      </w:r>
      <w:r w:rsidR="003C1CD1">
        <w:t xml:space="preserve">, considered by the PBAC in </w:t>
      </w:r>
      <w:r w:rsidRPr="000F1DF7">
        <w:t>July 2018, to facilitate the ‘expansion of funded conditions to include muscle overactivity of any aetiology’.</w:t>
      </w:r>
    </w:p>
    <w:p w:rsidR="00142D5A" w:rsidRPr="00387C69" w:rsidRDefault="00142D5A" w:rsidP="00142D5A">
      <w:pPr>
        <w:pStyle w:val="ListParagraph"/>
        <w:widowControl/>
        <w:numPr>
          <w:ilvl w:val="1"/>
          <w:numId w:val="1"/>
        </w:numPr>
      </w:pPr>
      <w:r w:rsidRPr="000F1DF7">
        <w:t xml:space="preserve">This request </w:t>
      </w:r>
      <w:r w:rsidR="003C1CD1">
        <w:t xml:space="preserve">to remove the limit of four treatment periods also </w:t>
      </w:r>
      <w:r w:rsidRPr="000F1DF7">
        <w:t>aligned with the RMSANZ request</w:t>
      </w:r>
      <w:r w:rsidRPr="000F1DF7">
        <w:rPr>
          <w:iCs/>
        </w:rPr>
        <w:t>.</w:t>
      </w:r>
      <w:r>
        <w:rPr>
          <w:iCs/>
        </w:rPr>
        <w:t xml:space="preserve"> </w:t>
      </w:r>
    </w:p>
    <w:p w:rsidR="0081057C" w:rsidRDefault="00142D5A" w:rsidP="00142D5A">
      <w:pPr>
        <w:pStyle w:val="ListParagraph"/>
        <w:widowControl/>
        <w:numPr>
          <w:ilvl w:val="1"/>
          <w:numId w:val="1"/>
        </w:numPr>
        <w:rPr>
          <w:snapToGrid/>
          <w:lang w:val="en-US" w:eastAsia="en-AU"/>
        </w:rPr>
      </w:pPr>
      <w:r w:rsidRPr="000F1DF7">
        <w:t>The RMSANZ also requested to ‘reduce the time limit for first injection of post-stroke upper limb spasticity to less than three months’</w:t>
      </w:r>
      <w:r>
        <w:t>. The</w:t>
      </w:r>
      <w:r w:rsidRPr="000F1DF7">
        <w:t xml:space="preserve"> submission </w:t>
      </w:r>
      <w:r w:rsidR="00DF7451">
        <w:t>did</w:t>
      </w:r>
      <w:r w:rsidR="00DF7451" w:rsidRPr="000F1DF7">
        <w:t xml:space="preserve"> </w:t>
      </w:r>
      <w:r w:rsidRPr="000F1DF7">
        <w:t>not request to reduce this time limitation.</w:t>
      </w:r>
    </w:p>
    <w:p w:rsidR="00A2249E" w:rsidRPr="000F1DF7" w:rsidRDefault="00A2249E" w:rsidP="009F0049">
      <w:pPr>
        <w:pStyle w:val="ListParagraph"/>
        <w:widowControl/>
        <w:numPr>
          <w:ilvl w:val="1"/>
          <w:numId w:val="1"/>
        </w:numPr>
        <w:rPr>
          <w:snapToGrid/>
          <w:lang w:val="en-US" w:eastAsia="en-AU"/>
        </w:rPr>
      </w:pPr>
      <w:r w:rsidRPr="000F1DF7">
        <w:rPr>
          <w:snapToGrid/>
          <w:lang w:val="en-US" w:eastAsia="en-AU"/>
        </w:rPr>
        <w:t xml:space="preserve">A summary of </w:t>
      </w:r>
      <w:r w:rsidR="00FA40D8">
        <w:rPr>
          <w:snapToGrid/>
          <w:lang w:val="en-US" w:eastAsia="en-AU"/>
        </w:rPr>
        <w:t xml:space="preserve">the November 2007 </w:t>
      </w:r>
      <w:r w:rsidRPr="000F1DF7">
        <w:rPr>
          <w:snapToGrid/>
          <w:lang w:val="en-US" w:eastAsia="en-AU"/>
        </w:rPr>
        <w:t xml:space="preserve">PBAC considerations for Dysport® for upper limb spasticity in adult patients following stroke </w:t>
      </w:r>
      <w:r w:rsidR="00FA40D8">
        <w:rPr>
          <w:snapToGrid/>
          <w:lang w:val="en-US" w:eastAsia="en-AU"/>
        </w:rPr>
        <w:t>is presented in Table 3</w:t>
      </w:r>
      <w:r w:rsidR="006C12FC" w:rsidRPr="000F1DF7">
        <w:rPr>
          <w:snapToGrid/>
          <w:lang w:val="en-US" w:eastAsia="en-AU"/>
        </w:rPr>
        <w:t>.</w:t>
      </w:r>
    </w:p>
    <w:p w:rsidR="00DB78AF" w:rsidRPr="00DB78AF" w:rsidRDefault="00A2249E" w:rsidP="00DB78AF">
      <w:pPr>
        <w:pStyle w:val="ListParagraph"/>
        <w:widowControl/>
        <w:numPr>
          <w:ilvl w:val="1"/>
          <w:numId w:val="1"/>
        </w:numPr>
        <w:rPr>
          <w:i/>
          <w:snapToGrid/>
          <w:lang w:val="en-US" w:eastAsia="en-AU"/>
        </w:rPr>
      </w:pPr>
      <w:r w:rsidRPr="000F1DF7">
        <w:rPr>
          <w:snapToGrid/>
          <w:lang w:val="en-US" w:eastAsia="en-AU"/>
        </w:rPr>
        <w:lastRenderedPageBreak/>
        <w:t xml:space="preserve">In May 2018, DUSC provided advice to </w:t>
      </w:r>
      <w:r w:rsidR="00DA58E0" w:rsidRPr="000F1DF7">
        <w:rPr>
          <w:snapToGrid/>
          <w:lang w:val="en-US" w:eastAsia="en-AU"/>
        </w:rPr>
        <w:t xml:space="preserve">the </w:t>
      </w:r>
      <w:r w:rsidRPr="000F1DF7">
        <w:rPr>
          <w:snapToGrid/>
          <w:lang w:val="en-US" w:eastAsia="en-AU"/>
        </w:rPr>
        <w:t xml:space="preserve">PBAC </w:t>
      </w:r>
      <w:r w:rsidR="00DA58E0" w:rsidRPr="000F1DF7">
        <w:rPr>
          <w:snapToGrid/>
          <w:lang w:val="en-US" w:eastAsia="en-AU"/>
        </w:rPr>
        <w:t>in a</w:t>
      </w:r>
      <w:r w:rsidRPr="000F1DF7">
        <w:rPr>
          <w:snapToGrid/>
          <w:lang w:val="en-US" w:eastAsia="en-AU"/>
        </w:rPr>
        <w:t xml:space="preserve"> review of utilisation of botulinum toxin supplied through the PBS for treatment of spasticity in patients with cerebral palsy or following a stroke, and for spasmodic torticollis, blepharospasm and hemifacial spasm</w:t>
      </w:r>
      <w:r w:rsidR="001054C5">
        <w:rPr>
          <w:snapToGrid/>
          <w:lang w:val="en-US" w:eastAsia="en-AU"/>
        </w:rPr>
        <w:t xml:space="preserve"> (</w:t>
      </w:r>
      <w:r w:rsidR="001054C5" w:rsidRPr="00E75A07">
        <w:rPr>
          <w:iCs/>
        </w:rPr>
        <w:t>Item 10.06 July 2018</w:t>
      </w:r>
      <w:r w:rsidR="001054C5">
        <w:rPr>
          <w:iCs/>
        </w:rPr>
        <w:t>)</w:t>
      </w:r>
      <w:r w:rsidRPr="000F1DF7">
        <w:rPr>
          <w:snapToGrid/>
          <w:lang w:val="en-US" w:eastAsia="en-AU"/>
        </w:rPr>
        <w:t>.</w:t>
      </w:r>
      <w:r w:rsidR="006C12FC" w:rsidRPr="000F1DF7">
        <w:rPr>
          <w:snapToGrid/>
          <w:lang w:val="en-US" w:eastAsia="en-AU"/>
        </w:rPr>
        <w:t xml:space="preserve"> </w:t>
      </w:r>
      <w:r w:rsidRPr="000F1DF7">
        <w:rPr>
          <w:snapToGrid/>
          <w:lang w:val="en-US" w:eastAsia="en-AU"/>
        </w:rPr>
        <w:t>This followed</w:t>
      </w:r>
      <w:r w:rsidR="00DF7451">
        <w:rPr>
          <w:snapToGrid/>
          <w:lang w:val="en-US" w:eastAsia="en-AU"/>
        </w:rPr>
        <w:t xml:space="preserve"> the above mentioned</w:t>
      </w:r>
      <w:r w:rsidRPr="000F1DF7">
        <w:rPr>
          <w:snapToGrid/>
          <w:lang w:val="en-US" w:eastAsia="en-AU"/>
        </w:rPr>
        <w:t xml:space="preserve"> request from the RMSANZ to the PBAC to review a perceived inequity of access for patients to </w:t>
      </w:r>
      <w:r w:rsidR="00DF7451">
        <w:rPr>
          <w:snapToGrid/>
          <w:lang w:val="en-US" w:eastAsia="en-AU"/>
        </w:rPr>
        <w:t>botulinum toxin</w:t>
      </w:r>
      <w:r w:rsidR="00DF7451" w:rsidRPr="000F1DF7">
        <w:rPr>
          <w:snapToGrid/>
          <w:lang w:val="en-US" w:eastAsia="en-AU"/>
        </w:rPr>
        <w:t xml:space="preserve"> </w:t>
      </w:r>
      <w:r w:rsidRPr="000F1DF7">
        <w:rPr>
          <w:snapToGrid/>
          <w:lang w:val="en-US" w:eastAsia="en-AU"/>
        </w:rPr>
        <w:t>treatments in the current PBS restrictions.</w:t>
      </w:r>
      <w:r w:rsidR="00642FE1">
        <w:rPr>
          <w:snapToGrid/>
          <w:lang w:val="en-US" w:eastAsia="en-AU"/>
        </w:rPr>
        <w:t xml:space="preserve"> </w:t>
      </w:r>
    </w:p>
    <w:p w:rsidR="006C12FC" w:rsidRPr="00636269" w:rsidRDefault="00525315" w:rsidP="009F0049">
      <w:pPr>
        <w:pStyle w:val="TableHeading0"/>
      </w:pPr>
      <w:bookmarkStart w:id="6" w:name="_Ref526503495"/>
      <w:r>
        <w:t xml:space="preserve">Table </w:t>
      </w:r>
      <w:r w:rsidR="00877905">
        <w:rPr>
          <w:noProof/>
        </w:rPr>
        <w:t>3</w:t>
      </w:r>
      <w:bookmarkEnd w:id="6"/>
      <w:r w:rsidR="006C12FC" w:rsidRPr="00636269">
        <w:t xml:space="preserve">: Summary of </w:t>
      </w:r>
      <w:r w:rsidR="00FA40D8">
        <w:t xml:space="preserve">the November 2007 </w:t>
      </w:r>
      <w:r w:rsidR="006C12FC" w:rsidRPr="00636269">
        <w:t xml:space="preserve">PBAC submission for </w:t>
      </w:r>
      <w:r w:rsidR="006C12FC">
        <w:t>Dysport for</w:t>
      </w:r>
      <w:r w:rsidR="00DA58E0">
        <w:t xml:space="preserve"> upper</w:t>
      </w:r>
      <w:r w:rsidR="006C12FC">
        <w:t xml:space="preserve"> limb spasticity in adult patients due to acute injury</w:t>
      </w:r>
    </w:p>
    <w:tbl>
      <w:tblPr>
        <w:tblStyle w:val="TableGrid"/>
        <w:tblW w:w="5000" w:type="pct"/>
        <w:tblInd w:w="-5" w:type="dxa"/>
        <w:tblCellMar>
          <w:left w:w="28" w:type="dxa"/>
          <w:right w:w="28" w:type="dxa"/>
        </w:tblCellMar>
        <w:tblLook w:val="04A0" w:firstRow="1" w:lastRow="0" w:firstColumn="1" w:lastColumn="0" w:noHBand="0" w:noVBand="1"/>
        <w:tblCaption w:val="Summary of the November 2007 submission for Dysport for upper limb spasticity in adult patients due to acute injury"/>
      </w:tblPr>
      <w:tblGrid>
        <w:gridCol w:w="767"/>
        <w:gridCol w:w="8250"/>
      </w:tblGrid>
      <w:tr w:rsidR="00FA40D8" w:rsidRPr="00B56521" w:rsidTr="00FA40D8">
        <w:trPr>
          <w:tblHeader/>
        </w:trPr>
        <w:tc>
          <w:tcPr>
            <w:tcW w:w="421" w:type="pct"/>
          </w:tcPr>
          <w:p w:rsidR="00FA40D8" w:rsidRPr="000F1DF7" w:rsidRDefault="00FA40D8" w:rsidP="00E90609">
            <w:pPr>
              <w:keepNext/>
              <w:keepLines/>
              <w:widowControl/>
              <w:jc w:val="left"/>
              <w:rPr>
                <w:rFonts w:ascii="Arial Narrow" w:hAnsi="Arial Narrow"/>
                <w:b/>
                <w:sz w:val="19"/>
                <w:szCs w:val="19"/>
              </w:rPr>
            </w:pPr>
          </w:p>
        </w:tc>
        <w:tc>
          <w:tcPr>
            <w:tcW w:w="4579" w:type="pct"/>
          </w:tcPr>
          <w:p w:rsidR="00FA40D8" w:rsidRPr="000F1DF7" w:rsidRDefault="00FA40D8" w:rsidP="00E90609">
            <w:pPr>
              <w:keepNext/>
              <w:keepLines/>
              <w:widowControl/>
              <w:jc w:val="center"/>
              <w:rPr>
                <w:rFonts w:ascii="Arial Narrow" w:hAnsi="Arial Narrow"/>
                <w:b/>
                <w:sz w:val="19"/>
                <w:szCs w:val="19"/>
              </w:rPr>
            </w:pPr>
            <w:r>
              <w:rPr>
                <w:rFonts w:ascii="Arial Narrow" w:hAnsi="Arial Narrow"/>
                <w:b/>
                <w:sz w:val="19"/>
                <w:szCs w:val="19"/>
              </w:rPr>
              <w:t xml:space="preserve">November 2007 </w:t>
            </w:r>
            <w:r w:rsidRPr="000F1DF7">
              <w:rPr>
                <w:rFonts w:ascii="Arial Narrow" w:hAnsi="Arial Narrow"/>
                <w:b/>
                <w:sz w:val="19"/>
                <w:szCs w:val="19"/>
              </w:rPr>
              <w:t>Dysport</w:t>
            </w:r>
            <w:r>
              <w:rPr>
                <w:rFonts w:ascii="Arial Narrow" w:hAnsi="Arial Narrow"/>
                <w:b/>
                <w:sz w:val="19"/>
                <w:szCs w:val="19"/>
              </w:rPr>
              <w:t xml:space="preserve"> submission</w:t>
            </w:r>
          </w:p>
        </w:tc>
      </w:tr>
      <w:tr w:rsidR="00FA40D8" w:rsidRPr="00B56521" w:rsidTr="00FA40D8">
        <w:tc>
          <w:tcPr>
            <w:tcW w:w="421"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Indication</w:t>
            </w:r>
          </w:p>
        </w:tc>
        <w:tc>
          <w:tcPr>
            <w:tcW w:w="4579"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Treatment of moderate to severe spasticity of the upper limb in adults following a stroke, as second line therapy when standard management has failed or as an adjunct to physical therapy.</w:t>
            </w:r>
          </w:p>
        </w:tc>
      </w:tr>
      <w:tr w:rsidR="00FA40D8" w:rsidRPr="00B56521" w:rsidTr="00FA40D8">
        <w:tc>
          <w:tcPr>
            <w:tcW w:w="421"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Evidence</w:t>
            </w:r>
          </w:p>
        </w:tc>
        <w:tc>
          <w:tcPr>
            <w:tcW w:w="4579"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One new trial (097) conducted in Australia, supportive evidence from three RCTs (Study 016, Study 049, Bhakta 2000) presented previously and additional two meta-analyses (Francis 2004, Cardoso 2005).</w:t>
            </w:r>
          </w:p>
        </w:tc>
      </w:tr>
      <w:tr w:rsidR="00FA40D8" w:rsidRPr="00B56521" w:rsidTr="00FA40D8">
        <w:tc>
          <w:tcPr>
            <w:tcW w:w="421"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Outcome</w:t>
            </w:r>
          </w:p>
        </w:tc>
        <w:tc>
          <w:tcPr>
            <w:tcW w:w="4579"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Changes in QoL from weeks 0 to 20, based on trial (097).</w:t>
            </w:r>
            <w:r>
              <w:rPr>
                <w:rFonts w:ascii="Arial Narrow" w:hAnsi="Arial Narrow"/>
                <w:sz w:val="19"/>
                <w:szCs w:val="19"/>
              </w:rPr>
              <w:t xml:space="preserve"> </w:t>
            </w:r>
            <w:r w:rsidRPr="000F1DF7">
              <w:rPr>
                <w:rFonts w:ascii="Arial Narrow" w:hAnsi="Arial Narrow"/>
                <w:sz w:val="19"/>
                <w:szCs w:val="19"/>
              </w:rPr>
              <w:t>The PBAC noted the objective of the trial was to show the change in spasticity was functionally relevant to patients.</w:t>
            </w:r>
            <w:r>
              <w:rPr>
                <w:rFonts w:ascii="Arial Narrow" w:hAnsi="Arial Narrow"/>
                <w:sz w:val="19"/>
                <w:szCs w:val="19"/>
              </w:rPr>
              <w:t xml:space="preserve"> </w:t>
            </w:r>
            <w:r w:rsidRPr="000F1DF7">
              <w:rPr>
                <w:rFonts w:ascii="Arial Narrow" w:hAnsi="Arial Narrow"/>
                <w:sz w:val="19"/>
                <w:szCs w:val="19"/>
              </w:rPr>
              <w:t>Although the difference in mean QoL between placebo and Dysport was not statistically different, disease specific functional measures were positive for Dysport.</w:t>
            </w:r>
            <w:r>
              <w:rPr>
                <w:rFonts w:ascii="Arial Narrow" w:hAnsi="Arial Narrow"/>
                <w:sz w:val="19"/>
                <w:szCs w:val="19"/>
              </w:rPr>
              <w:t xml:space="preserve"> </w:t>
            </w:r>
            <w:r w:rsidRPr="000F1DF7">
              <w:rPr>
                <w:rFonts w:ascii="Arial Narrow" w:hAnsi="Arial Narrow"/>
                <w:sz w:val="19"/>
                <w:szCs w:val="19"/>
              </w:rPr>
              <w:t>The PBAC noted Dysport treatment resulted in more patients with reduction in MAS</w:t>
            </w:r>
            <w:r>
              <w:rPr>
                <w:rFonts w:ascii="Arial Narrow" w:hAnsi="Arial Narrow"/>
                <w:sz w:val="19"/>
                <w:szCs w:val="19"/>
              </w:rPr>
              <w:t xml:space="preserve"> </w:t>
            </w:r>
            <w:r w:rsidRPr="000F1DF7">
              <w:rPr>
                <w:rFonts w:ascii="Arial Narrow" w:hAnsi="Arial Narrow" w:hint="eastAsia"/>
                <w:sz w:val="19"/>
                <w:szCs w:val="19"/>
              </w:rPr>
              <w:t>≥</w:t>
            </w:r>
            <w:r>
              <w:rPr>
                <w:rFonts w:ascii="Arial Narrow" w:hAnsi="Arial Narrow"/>
                <w:sz w:val="19"/>
                <w:szCs w:val="19"/>
              </w:rPr>
              <w:t xml:space="preserve"> </w:t>
            </w:r>
            <w:r w:rsidRPr="000F1DF7">
              <w:rPr>
                <w:rFonts w:ascii="Arial Narrow" w:hAnsi="Arial Narrow"/>
                <w:sz w:val="19"/>
                <w:szCs w:val="19"/>
              </w:rPr>
              <w:t>1 at week 20 and agreed this change was significant. The PBAC considered the relevance of MAS improvement was supported by GAS and GAB, which the PBAC also considered clinically important.</w:t>
            </w:r>
          </w:p>
        </w:tc>
      </w:tr>
      <w:tr w:rsidR="00FA40D8" w:rsidRPr="00B56521" w:rsidTr="00FA40D8">
        <w:tc>
          <w:tcPr>
            <w:tcW w:w="421"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Economic evaluation</w:t>
            </w:r>
          </w:p>
        </w:tc>
        <w:tc>
          <w:tcPr>
            <w:tcW w:w="4579" w:type="pct"/>
          </w:tcPr>
          <w:p w:rsidR="00FA40D8" w:rsidRPr="000F1DF7" w:rsidRDefault="00FA40D8" w:rsidP="00E90609">
            <w:pPr>
              <w:keepNext/>
              <w:keepLines/>
              <w:widowControl/>
              <w:jc w:val="left"/>
              <w:rPr>
                <w:rFonts w:ascii="Arial Narrow" w:hAnsi="Arial Narrow"/>
                <w:sz w:val="19"/>
                <w:szCs w:val="19"/>
              </w:rPr>
            </w:pPr>
            <w:r w:rsidRPr="000F1DF7">
              <w:rPr>
                <w:rFonts w:ascii="Arial Narrow" w:hAnsi="Arial Narrow"/>
                <w:sz w:val="19"/>
                <w:szCs w:val="19"/>
              </w:rPr>
              <w:t>Trial based CEA.</w:t>
            </w:r>
            <w:r>
              <w:rPr>
                <w:rFonts w:ascii="Arial Narrow" w:hAnsi="Arial Narrow"/>
                <w:sz w:val="19"/>
                <w:szCs w:val="19"/>
              </w:rPr>
              <w:t xml:space="preserve"> </w:t>
            </w:r>
            <w:r w:rsidRPr="000F1DF7">
              <w:rPr>
                <w:rFonts w:ascii="Arial Narrow" w:hAnsi="Arial Narrow"/>
                <w:sz w:val="19"/>
                <w:szCs w:val="19"/>
              </w:rPr>
              <w:t xml:space="preserve">Incremental cost per extra responder (MAS change </w:t>
            </w:r>
            <w:r w:rsidRPr="000F1DF7">
              <w:rPr>
                <w:rFonts w:ascii="Arial Narrow" w:hAnsi="Arial Narrow"/>
                <w:sz w:val="19"/>
                <w:szCs w:val="19"/>
                <w:u w:val="single"/>
              </w:rPr>
              <w:t>greater than</w:t>
            </w:r>
            <w:r w:rsidRPr="000F1DF7">
              <w:rPr>
                <w:rFonts w:ascii="Arial Narrow" w:hAnsi="Arial Narrow"/>
                <w:sz w:val="19"/>
                <w:szCs w:val="19"/>
              </w:rPr>
              <w:t xml:space="preserve"> 1 in at least one joint at Week 20) was estimated as </w:t>
            </w:r>
            <w:r w:rsidRPr="000F1DF7">
              <w:rPr>
                <w:rFonts w:ascii="Arial Narrow" w:hAnsi="Arial Narrow" w:hint="eastAsia"/>
                <w:sz w:val="19"/>
                <w:szCs w:val="19"/>
              </w:rPr>
              <w:t>≤</w:t>
            </w:r>
            <w:r>
              <w:rPr>
                <w:rFonts w:ascii="Arial Narrow" w:hAnsi="Arial Narrow"/>
                <w:sz w:val="19"/>
                <w:szCs w:val="19"/>
              </w:rPr>
              <w:t xml:space="preserve"> </w:t>
            </w:r>
            <w:r w:rsidRPr="000F1DF7">
              <w:rPr>
                <w:rFonts w:ascii="Arial Narrow" w:hAnsi="Arial Narrow"/>
                <w:sz w:val="19"/>
                <w:szCs w:val="19"/>
              </w:rPr>
              <w:t>$15k.</w:t>
            </w:r>
            <w:r>
              <w:rPr>
                <w:rFonts w:ascii="Arial Narrow" w:hAnsi="Arial Narrow"/>
                <w:sz w:val="19"/>
                <w:szCs w:val="19"/>
              </w:rPr>
              <w:t xml:space="preserve"> </w:t>
            </w:r>
            <w:r w:rsidRPr="000F1DF7">
              <w:rPr>
                <w:rFonts w:ascii="Arial Narrow" w:hAnsi="Arial Narrow"/>
                <w:sz w:val="19"/>
                <w:szCs w:val="19"/>
              </w:rPr>
              <w:t>PBAC noted that the results of 097 could not be used to extrapolate to a CUA becau</w:t>
            </w:r>
            <w:r>
              <w:rPr>
                <w:rFonts w:ascii="Arial Narrow" w:hAnsi="Arial Narrow"/>
                <w:sz w:val="19"/>
                <w:szCs w:val="19"/>
              </w:rPr>
              <w:t xml:space="preserve">se there was no improvement in </w:t>
            </w:r>
            <w:r w:rsidRPr="000F1DF7">
              <w:rPr>
                <w:rFonts w:ascii="Arial Narrow" w:hAnsi="Arial Narrow"/>
                <w:sz w:val="19"/>
                <w:szCs w:val="19"/>
              </w:rPr>
              <w:t>QoL, gi</w:t>
            </w:r>
            <w:r>
              <w:rPr>
                <w:rFonts w:ascii="Arial Narrow" w:hAnsi="Arial Narrow"/>
                <w:sz w:val="19"/>
                <w:szCs w:val="19"/>
              </w:rPr>
              <w:t xml:space="preserve">ven wide variation in baseline </w:t>
            </w:r>
            <w:r w:rsidRPr="000F1DF7">
              <w:rPr>
                <w:rFonts w:ascii="Arial Narrow" w:hAnsi="Arial Narrow"/>
                <w:sz w:val="19"/>
                <w:szCs w:val="19"/>
              </w:rPr>
              <w:t xml:space="preserve">QoL scores. Results were very sensitive to definition of MAS response, using MAS </w:t>
            </w:r>
            <w:r w:rsidRPr="000F1DF7">
              <w:rPr>
                <w:rFonts w:ascii="Arial Narrow" w:hAnsi="Arial Narrow" w:hint="eastAsia"/>
                <w:sz w:val="19"/>
                <w:szCs w:val="19"/>
              </w:rPr>
              <w:t>≥</w:t>
            </w:r>
            <w:r>
              <w:rPr>
                <w:rFonts w:ascii="Arial Narrow" w:hAnsi="Arial Narrow"/>
                <w:sz w:val="19"/>
                <w:szCs w:val="19"/>
              </w:rPr>
              <w:t xml:space="preserve"> </w:t>
            </w:r>
            <w:r w:rsidRPr="000F1DF7">
              <w:rPr>
                <w:rFonts w:ascii="Arial Narrow" w:hAnsi="Arial Narrow"/>
                <w:sz w:val="19"/>
                <w:szCs w:val="19"/>
              </w:rPr>
              <w:t>1, the ICER reduced to $</w:t>
            </w:r>
            <w:r w:rsidR="00926D2B">
              <w:rPr>
                <w:rFonts w:ascii="Arial Narrow" w:hAnsi="Arial Narrow"/>
                <w:noProof/>
                <w:color w:val="000000"/>
                <w:sz w:val="19"/>
                <w:szCs w:val="19"/>
                <w:highlight w:val="black"/>
              </w:rPr>
              <w:t>''''''''''''</w:t>
            </w:r>
            <w:r w:rsidRPr="000F1DF7">
              <w:rPr>
                <w:rFonts w:ascii="Arial Narrow" w:hAnsi="Arial Narrow"/>
                <w:sz w:val="19"/>
                <w:szCs w:val="19"/>
              </w:rPr>
              <w:t>, and using MAS</w:t>
            </w:r>
            <w:r>
              <w:rPr>
                <w:rFonts w:ascii="Arial Narrow" w:hAnsi="Arial Narrow"/>
                <w:sz w:val="19"/>
                <w:szCs w:val="19"/>
              </w:rPr>
              <w:t xml:space="preserve"> </w:t>
            </w:r>
            <w:r w:rsidRPr="000F1DF7">
              <w:rPr>
                <w:rFonts w:ascii="Arial Narrow" w:hAnsi="Arial Narrow" w:hint="eastAsia"/>
                <w:sz w:val="19"/>
                <w:szCs w:val="19"/>
              </w:rPr>
              <w:t>≥</w:t>
            </w:r>
            <w:r>
              <w:rPr>
                <w:rFonts w:ascii="Arial Narrow" w:hAnsi="Arial Narrow"/>
                <w:sz w:val="19"/>
                <w:szCs w:val="19"/>
              </w:rPr>
              <w:t xml:space="preserve"> </w:t>
            </w:r>
            <w:r w:rsidRPr="000F1DF7">
              <w:rPr>
                <w:rFonts w:ascii="Arial Narrow" w:hAnsi="Arial Narrow"/>
                <w:sz w:val="19"/>
                <w:szCs w:val="19"/>
              </w:rPr>
              <w:t>2, the ICER increased to $</w:t>
            </w:r>
            <w:r w:rsidR="00926D2B">
              <w:rPr>
                <w:rFonts w:ascii="Arial Narrow" w:hAnsi="Arial Narrow"/>
                <w:noProof/>
                <w:color w:val="000000"/>
                <w:sz w:val="19"/>
                <w:szCs w:val="19"/>
                <w:highlight w:val="black"/>
              </w:rPr>
              <w:t>'''''''''''</w:t>
            </w:r>
            <w:r w:rsidRPr="000F1DF7">
              <w:rPr>
                <w:rFonts w:ascii="Arial Narrow" w:hAnsi="Arial Narrow"/>
                <w:sz w:val="19"/>
                <w:szCs w:val="19"/>
              </w:rPr>
              <w:t>.</w:t>
            </w:r>
            <w:r>
              <w:rPr>
                <w:rFonts w:ascii="Arial Narrow" w:hAnsi="Arial Narrow"/>
                <w:sz w:val="19"/>
                <w:szCs w:val="19"/>
              </w:rPr>
              <w:t xml:space="preserve"> </w:t>
            </w:r>
            <w:r w:rsidRPr="000F1DF7">
              <w:rPr>
                <w:rFonts w:ascii="Arial Narrow" w:hAnsi="Arial Narrow"/>
                <w:sz w:val="19"/>
                <w:szCs w:val="19"/>
              </w:rPr>
              <w:t>The PBS response criteria adopted was MAS &gt;</w:t>
            </w:r>
            <w:r>
              <w:rPr>
                <w:rFonts w:ascii="Arial Narrow" w:hAnsi="Arial Narrow"/>
                <w:sz w:val="19"/>
                <w:szCs w:val="19"/>
              </w:rPr>
              <w:t xml:space="preserve"> </w:t>
            </w:r>
            <w:r w:rsidRPr="000F1DF7">
              <w:rPr>
                <w:rFonts w:ascii="Arial Narrow" w:hAnsi="Arial Narrow"/>
                <w:sz w:val="19"/>
                <w:szCs w:val="19"/>
              </w:rPr>
              <w:t xml:space="preserve">1 in </w:t>
            </w:r>
            <w:r w:rsidRPr="000F1DF7">
              <w:rPr>
                <w:rFonts w:ascii="Arial Narrow" w:hAnsi="Arial Narrow" w:hint="eastAsia"/>
                <w:sz w:val="19"/>
                <w:szCs w:val="19"/>
              </w:rPr>
              <w:t>≥</w:t>
            </w:r>
            <w:r>
              <w:rPr>
                <w:rFonts w:ascii="Arial Narrow" w:hAnsi="Arial Narrow"/>
                <w:sz w:val="19"/>
                <w:szCs w:val="19"/>
              </w:rPr>
              <w:t xml:space="preserve"> </w:t>
            </w:r>
            <w:r w:rsidRPr="000F1DF7">
              <w:rPr>
                <w:rFonts w:ascii="Arial Narrow" w:hAnsi="Arial Narrow"/>
                <w:sz w:val="19"/>
                <w:szCs w:val="19"/>
              </w:rPr>
              <w:t xml:space="preserve">1 joint after </w:t>
            </w:r>
            <w:r>
              <w:rPr>
                <w:rFonts w:ascii="Arial Narrow" w:hAnsi="Arial Narrow"/>
                <w:sz w:val="19"/>
                <w:szCs w:val="19"/>
              </w:rPr>
              <w:t>two treatment</w:t>
            </w:r>
            <w:r w:rsidRPr="000F1DF7">
              <w:rPr>
                <w:rFonts w:ascii="Arial Narrow" w:hAnsi="Arial Narrow"/>
                <w:sz w:val="19"/>
                <w:szCs w:val="19"/>
              </w:rPr>
              <w:t xml:space="preserve"> cycles.</w:t>
            </w:r>
            <w:r>
              <w:rPr>
                <w:rFonts w:ascii="Arial Narrow" w:hAnsi="Arial Narrow"/>
                <w:sz w:val="19"/>
                <w:szCs w:val="19"/>
              </w:rPr>
              <w:t xml:space="preserve"> </w:t>
            </w:r>
            <w:r w:rsidRPr="000F1DF7">
              <w:rPr>
                <w:rFonts w:ascii="Arial Narrow" w:hAnsi="Arial Narrow"/>
                <w:sz w:val="19"/>
                <w:szCs w:val="19"/>
              </w:rPr>
              <w:t>The PBAC considered that although there was uncertainty in the size or sustainability of the functional outcome and the impact of this on quality of life and subsequently the cost-effectiveness that this could be mitigated by RSA.</w:t>
            </w:r>
            <w:r>
              <w:rPr>
                <w:rFonts w:ascii="Arial Narrow" w:hAnsi="Arial Narrow"/>
                <w:sz w:val="19"/>
                <w:szCs w:val="19"/>
              </w:rPr>
              <w:t xml:space="preserve"> </w:t>
            </w:r>
            <w:r w:rsidRPr="000F1DF7">
              <w:rPr>
                <w:rFonts w:ascii="Arial Narrow" w:hAnsi="Arial Narrow"/>
                <w:sz w:val="19"/>
                <w:szCs w:val="19"/>
              </w:rPr>
              <w:t xml:space="preserve">Several RSA options were proposed to minimise budget impact in excess of </w:t>
            </w:r>
            <w:r w:rsidR="00183DF2">
              <w:rPr>
                <w:rFonts w:ascii="Arial Narrow" w:hAnsi="Arial Narrow"/>
                <w:sz w:val="19"/>
                <w:szCs w:val="19"/>
              </w:rPr>
              <w:t>$</w:t>
            </w:r>
            <w:r w:rsidRPr="000F1DF7">
              <w:rPr>
                <w:rFonts w:ascii="Arial Narrow" w:hAnsi="Arial Narrow"/>
                <w:sz w:val="19"/>
                <w:szCs w:val="19"/>
              </w:rPr>
              <w:t>8</w:t>
            </w:r>
            <w:r w:rsidR="00183DF2">
              <w:rPr>
                <w:rFonts w:ascii="Arial Narrow" w:hAnsi="Arial Narrow"/>
                <w:sz w:val="19"/>
                <w:szCs w:val="19"/>
              </w:rPr>
              <w:t xml:space="preserve"> million</w:t>
            </w:r>
            <w:r w:rsidRPr="000F1DF7">
              <w:rPr>
                <w:rFonts w:ascii="Arial Narrow" w:hAnsi="Arial Narrow"/>
                <w:sz w:val="19"/>
                <w:szCs w:val="19"/>
              </w:rPr>
              <w:t xml:space="preserve"> per annum.</w:t>
            </w:r>
          </w:p>
        </w:tc>
      </w:tr>
      <w:tr w:rsidR="00FA40D8" w:rsidRPr="00B56521" w:rsidTr="00FA40D8">
        <w:tc>
          <w:tcPr>
            <w:tcW w:w="421" w:type="pct"/>
          </w:tcPr>
          <w:p w:rsidR="00FA40D8" w:rsidRPr="00EE375D" w:rsidRDefault="00FA40D8" w:rsidP="00E90609">
            <w:pPr>
              <w:keepNext/>
              <w:keepLines/>
              <w:widowControl/>
              <w:rPr>
                <w:rFonts w:ascii="Arial Narrow" w:hAnsi="Arial Narrow"/>
                <w:sz w:val="19"/>
                <w:szCs w:val="19"/>
              </w:rPr>
            </w:pPr>
            <w:r w:rsidRPr="00EE375D">
              <w:rPr>
                <w:rFonts w:ascii="Arial Narrow" w:hAnsi="Arial Narrow"/>
                <w:sz w:val="19"/>
                <w:szCs w:val="19"/>
              </w:rPr>
              <w:t>PBAC decision</w:t>
            </w:r>
          </w:p>
        </w:tc>
        <w:tc>
          <w:tcPr>
            <w:tcW w:w="4579" w:type="pct"/>
          </w:tcPr>
          <w:p w:rsidR="00FA40D8" w:rsidRPr="00EE375D" w:rsidRDefault="00FA40D8" w:rsidP="00E90609">
            <w:pPr>
              <w:keepNext/>
              <w:keepLines/>
              <w:widowControl/>
              <w:rPr>
                <w:rFonts w:ascii="Arial Narrow" w:hAnsi="Arial Narrow"/>
                <w:sz w:val="19"/>
                <w:szCs w:val="19"/>
              </w:rPr>
            </w:pPr>
            <w:r w:rsidRPr="00EE375D">
              <w:rPr>
                <w:rFonts w:ascii="Arial Narrow" w:hAnsi="Arial Narrow"/>
                <w:sz w:val="19"/>
                <w:szCs w:val="19"/>
              </w:rPr>
              <w:t xml:space="preserve">Recommended based on an acceptable cost-effectiveness. A restriction was applied on the maximum number of treatments authorised as 4 per upper limb and per lifetime. </w:t>
            </w:r>
          </w:p>
        </w:tc>
      </w:tr>
    </w:tbl>
    <w:p w:rsidR="006C12FC" w:rsidRPr="00E90609" w:rsidRDefault="006C12FC" w:rsidP="00E90609">
      <w:pPr>
        <w:widowControl/>
        <w:rPr>
          <w:rFonts w:ascii="Arial Narrow" w:hAnsi="Arial Narrow"/>
          <w:sz w:val="18"/>
          <w:szCs w:val="18"/>
        </w:rPr>
      </w:pPr>
      <w:r w:rsidRPr="00BA38B3">
        <w:rPr>
          <w:rFonts w:ascii="Arial Narrow" w:hAnsi="Arial Narrow"/>
          <w:sz w:val="18"/>
          <w:szCs w:val="18"/>
        </w:rPr>
        <w:t xml:space="preserve">Abbreviations: </w:t>
      </w:r>
      <w:r w:rsidR="00FA40D8">
        <w:rPr>
          <w:rFonts w:ascii="Arial Narrow" w:hAnsi="Arial Narrow"/>
          <w:sz w:val="18"/>
          <w:szCs w:val="18"/>
        </w:rPr>
        <w:t>CEA=c</w:t>
      </w:r>
      <w:r>
        <w:rPr>
          <w:rFonts w:ascii="Arial Narrow" w:hAnsi="Arial Narrow"/>
          <w:sz w:val="18"/>
          <w:szCs w:val="18"/>
        </w:rPr>
        <w:t xml:space="preserve">ost-effectiveness analysis; </w:t>
      </w:r>
      <w:r w:rsidR="00FA40D8">
        <w:rPr>
          <w:rFonts w:ascii="Arial Narrow" w:hAnsi="Arial Narrow"/>
          <w:sz w:val="18"/>
          <w:szCs w:val="18"/>
        </w:rPr>
        <w:t xml:space="preserve">CUA=cost-utility analysis; </w:t>
      </w:r>
      <w:r w:rsidR="00FA40D8" w:rsidRPr="00BA38B3">
        <w:rPr>
          <w:rFonts w:ascii="Arial Narrow" w:hAnsi="Arial Narrow"/>
          <w:sz w:val="18"/>
          <w:szCs w:val="18"/>
        </w:rPr>
        <w:t>GAB=Global Assessment of Benefit;</w:t>
      </w:r>
      <w:r w:rsidR="00FA40D8">
        <w:rPr>
          <w:rFonts w:ascii="Arial Narrow" w:hAnsi="Arial Narrow"/>
          <w:sz w:val="18"/>
          <w:szCs w:val="18"/>
        </w:rPr>
        <w:t xml:space="preserve"> </w:t>
      </w:r>
      <w:r w:rsidR="00FA40D8" w:rsidRPr="00BA38B3">
        <w:rPr>
          <w:rFonts w:ascii="Arial Narrow" w:hAnsi="Arial Narrow"/>
          <w:sz w:val="18"/>
          <w:szCs w:val="18"/>
        </w:rPr>
        <w:t>GAS=Goal Attainment Scaling;</w:t>
      </w:r>
      <w:r w:rsidR="00FA40D8">
        <w:rPr>
          <w:rFonts w:ascii="Arial Narrow" w:hAnsi="Arial Narrow"/>
          <w:sz w:val="18"/>
          <w:szCs w:val="18"/>
        </w:rPr>
        <w:t xml:space="preserve"> ICER=incremental cost-effectiveness ratio; MAS=Modified Ashworth Scale; PBAC=Pharmaceutical Benefits Advisory Committee; PBS=Pharmaceutical Benefits Scheme; QoL=quality of life; RCT=randomised controlled trial; </w:t>
      </w:r>
      <w:r>
        <w:rPr>
          <w:rFonts w:ascii="Arial Narrow" w:hAnsi="Arial Narrow"/>
          <w:sz w:val="18"/>
          <w:szCs w:val="18"/>
        </w:rPr>
        <w:t>RSA=risk sharing arrangement</w:t>
      </w:r>
    </w:p>
    <w:p w:rsidR="00B50DB8" w:rsidRPr="00407F2D" w:rsidRDefault="00203181" w:rsidP="00611D60">
      <w:pPr>
        <w:pStyle w:val="Heading1"/>
      </w:pPr>
      <w:bookmarkStart w:id="7" w:name="_Toc524461023"/>
      <w:r>
        <w:t xml:space="preserve">Population and </w:t>
      </w:r>
      <w:r w:rsidR="008E0D3C">
        <w:t>d</w:t>
      </w:r>
      <w:r>
        <w:t>isease</w:t>
      </w:r>
      <w:bookmarkEnd w:id="7"/>
    </w:p>
    <w:p w:rsidR="004C073A" w:rsidRDefault="004C073A" w:rsidP="009F0049">
      <w:pPr>
        <w:pStyle w:val="ListParagraph"/>
        <w:widowControl/>
        <w:numPr>
          <w:ilvl w:val="1"/>
          <w:numId w:val="1"/>
        </w:numPr>
      </w:pPr>
      <w:r>
        <w:t xml:space="preserve">The submission estimated that around 75% of patients with physical disability after severe </w:t>
      </w:r>
      <w:r w:rsidR="00DF7451">
        <w:t>TBI</w:t>
      </w:r>
      <w:r>
        <w:t xml:space="preserve"> will develop spasticity that necessitates specific treatment</w:t>
      </w:r>
      <w:r>
        <w:rPr>
          <w:rStyle w:val="FootnoteReference"/>
        </w:rPr>
        <w:footnoteReference w:id="1"/>
      </w:r>
      <w:r>
        <w:t>, and of these, approximately one-third may require treatment with botulinum toxin.</w:t>
      </w:r>
    </w:p>
    <w:p w:rsidR="004C073A" w:rsidRDefault="004C073A" w:rsidP="009F0049">
      <w:pPr>
        <w:pStyle w:val="ListParagraph"/>
        <w:widowControl/>
        <w:numPr>
          <w:ilvl w:val="1"/>
          <w:numId w:val="1"/>
        </w:numPr>
      </w:pPr>
      <w:r>
        <w:t>Dysport</w:t>
      </w:r>
      <w:r w:rsidR="000826CA">
        <w:rPr>
          <w:rFonts w:cs="Calibri"/>
        </w:rPr>
        <w:t>®</w:t>
      </w:r>
      <w:r>
        <w:t xml:space="preserve"> is a muscle relaxant that acts on the junctions between the nerves and muscles, preventing the release of one of the chemical messengers called acetylcholine from the nerve endings that would normally cause the muscle to contract. This results in a weakened muscle and helps to reduce some of the abnormal muscle contractions.</w:t>
      </w:r>
    </w:p>
    <w:p w:rsidR="00D129A3" w:rsidRDefault="00D129A3" w:rsidP="009F0049">
      <w:pPr>
        <w:pStyle w:val="ListParagraph"/>
        <w:widowControl/>
        <w:numPr>
          <w:ilvl w:val="1"/>
          <w:numId w:val="1"/>
        </w:numPr>
      </w:pPr>
      <w:r w:rsidRPr="00D129A3">
        <w:lastRenderedPageBreak/>
        <w:t xml:space="preserve">The main role of botulinum </w:t>
      </w:r>
      <w:r w:rsidR="00DF7451">
        <w:t xml:space="preserve">toxin </w:t>
      </w:r>
      <w:r w:rsidRPr="00D129A3">
        <w:t xml:space="preserve">injections in </w:t>
      </w:r>
      <w:r>
        <w:t xml:space="preserve">limb spasticity </w:t>
      </w:r>
      <w:r w:rsidRPr="00D129A3">
        <w:t xml:space="preserve">is to produce temporary relaxation of the targeted muscles, allowing them to be stretched more easily, thus providing a window of opportunity for physical therapy. </w:t>
      </w:r>
    </w:p>
    <w:p w:rsidR="004019C9" w:rsidRDefault="004019C9" w:rsidP="009F0049">
      <w:pPr>
        <w:pStyle w:val="ListParagraph"/>
        <w:widowControl/>
        <w:numPr>
          <w:ilvl w:val="1"/>
          <w:numId w:val="1"/>
        </w:numPr>
      </w:pPr>
      <w:r>
        <w:t>The proposed PBS listing for Dysport</w:t>
      </w:r>
      <w:r w:rsidRPr="008F26D9">
        <w:rPr>
          <w:rFonts w:cs="Calibri"/>
        </w:rPr>
        <w:t>®</w:t>
      </w:r>
      <w:r>
        <w:t xml:space="preserve"> is for use as an adjunct to physical therapy, or as second line therapy when </w:t>
      </w:r>
      <w:r w:rsidRPr="000F1DF7">
        <w:t>standard management has failed.</w:t>
      </w:r>
      <w:r w:rsidR="00642FE1">
        <w:t xml:space="preserve"> </w:t>
      </w:r>
      <w:r w:rsidRPr="000F1DF7">
        <w:rPr>
          <w:iCs/>
        </w:rPr>
        <w:t>This does not preclude Dysport® from being used without physical therapy.</w:t>
      </w:r>
      <w:r w:rsidRPr="000F1DF7">
        <w:t xml:space="preserve"> Standard</w:t>
      </w:r>
      <w:r>
        <w:t xml:space="preserve"> management includes physiotherapy and/or oral spasticity agents.</w:t>
      </w:r>
      <w:r w:rsidR="00642FE1">
        <w:t xml:space="preserve"> </w:t>
      </w:r>
    </w:p>
    <w:p w:rsidR="004C073A" w:rsidRDefault="004C073A" w:rsidP="009F0049">
      <w:pPr>
        <w:pStyle w:val="ListParagraph"/>
        <w:widowControl/>
        <w:numPr>
          <w:ilvl w:val="1"/>
          <w:numId w:val="1"/>
        </w:numPr>
      </w:pPr>
      <w:r w:rsidRPr="001B15A8">
        <w:t>Dysport</w:t>
      </w:r>
      <w:r w:rsidRPr="001B15A8">
        <w:rPr>
          <w:rFonts w:cs="Calibri"/>
        </w:rPr>
        <w:t xml:space="preserve">® </w:t>
      </w:r>
      <w:r w:rsidRPr="001B15A8">
        <w:t>is given by intramuscular injection directly into each of the affected muscles.</w:t>
      </w:r>
      <w:r w:rsidR="00642FE1">
        <w:t xml:space="preserve"> </w:t>
      </w:r>
      <w:r>
        <w:t>The maximum recommended dose</w:t>
      </w:r>
      <w:r w:rsidR="00DF7451">
        <w:t xml:space="preserve"> for spasticity affecting the upper limbs in adults</w:t>
      </w:r>
      <w:r>
        <w:t xml:space="preserve"> is 1000U in a single treatment session.</w:t>
      </w:r>
      <w:r w:rsidR="00642FE1">
        <w:t xml:space="preserve"> </w:t>
      </w:r>
      <w:r>
        <w:t>Repeat Dysport</w:t>
      </w:r>
      <w:r>
        <w:rPr>
          <w:rFonts w:cs="Calibri"/>
        </w:rPr>
        <w:t>® treatment should be administered when the effect of a previous injection has diminished, but no sooner than 12 weeks after the previous injection.</w:t>
      </w:r>
      <w:r w:rsidR="00642FE1">
        <w:rPr>
          <w:rFonts w:cs="Calibri"/>
        </w:rPr>
        <w:t xml:space="preserve"> </w:t>
      </w:r>
      <w:r>
        <w:t>If treatment is required in the upper and lower limbs during the same treatment session, the dose of Dysport</w:t>
      </w:r>
      <w:r>
        <w:rPr>
          <w:rFonts w:cs="Calibri"/>
        </w:rPr>
        <w:t xml:space="preserve">® </w:t>
      </w:r>
      <w:r>
        <w:t>to be injected in each limb should be tailored to the individual needs, without exceeding a total dose of 1500U.</w:t>
      </w:r>
    </w:p>
    <w:p w:rsidR="00E75A07" w:rsidRPr="00E75A07" w:rsidRDefault="00E75A07" w:rsidP="00E75A07">
      <w:pPr>
        <w:pStyle w:val="ListParagraph"/>
        <w:widowControl/>
        <w:rPr>
          <w:i/>
        </w:rPr>
      </w:pPr>
      <w:r w:rsidRPr="00E75A07">
        <w:rPr>
          <w:i/>
        </w:rPr>
        <w:t>For more detail on PBAC’s view, see Section 7 PBAC outcome.</w:t>
      </w:r>
    </w:p>
    <w:p w:rsidR="00B50DB8" w:rsidRPr="00407F2D" w:rsidRDefault="00B50DB8" w:rsidP="00611D60">
      <w:pPr>
        <w:pStyle w:val="Heading1"/>
      </w:pPr>
      <w:bookmarkStart w:id="8" w:name="_Toc524461024"/>
      <w:r w:rsidRPr="00407F2D">
        <w:t>Comparator</w:t>
      </w:r>
      <w:bookmarkEnd w:id="8"/>
    </w:p>
    <w:p w:rsidR="002C2775" w:rsidRPr="00E75A07" w:rsidRDefault="007D0CBD" w:rsidP="009F0049">
      <w:pPr>
        <w:pStyle w:val="ListParagraph"/>
        <w:widowControl/>
        <w:numPr>
          <w:ilvl w:val="1"/>
          <w:numId w:val="1"/>
        </w:numPr>
      </w:pPr>
      <w:r w:rsidRPr="000F1DF7">
        <w:rPr>
          <w:rFonts w:cs="Calibri"/>
          <w:snapToGrid/>
          <w:szCs w:val="24"/>
          <w:lang w:val="en-US" w:eastAsia="en-AU"/>
        </w:rPr>
        <w:t xml:space="preserve">The submission </w:t>
      </w:r>
      <w:r w:rsidRPr="000F1DF7">
        <w:rPr>
          <w:rFonts w:cs="Calibri"/>
          <w:iCs/>
          <w:snapToGrid/>
          <w:szCs w:val="24"/>
          <w:lang w:val="en-US" w:eastAsia="en-AU"/>
        </w:rPr>
        <w:t>appropriately</w:t>
      </w:r>
      <w:r w:rsidRPr="000F1DF7">
        <w:rPr>
          <w:rFonts w:cs="Calibri"/>
          <w:snapToGrid/>
          <w:szCs w:val="24"/>
          <w:lang w:val="en-US" w:eastAsia="en-AU"/>
        </w:rPr>
        <w:t xml:space="preserve"> nominated placebo or best supportive care as the comparator on the justification that </w:t>
      </w:r>
      <w:r w:rsidRPr="000F1DF7">
        <w:t xml:space="preserve">there are no medicines currently listed on the PBS for </w:t>
      </w:r>
      <w:r w:rsidR="00DF7451">
        <w:t>upper limb focal spasticity</w:t>
      </w:r>
      <w:r w:rsidR="00DF7451" w:rsidRPr="000F1DF7">
        <w:t xml:space="preserve"> </w:t>
      </w:r>
      <w:r w:rsidRPr="000F1DF7">
        <w:t>due to a non-stroke event.</w:t>
      </w:r>
      <w:r w:rsidR="00642FE1">
        <w:t xml:space="preserve"> </w:t>
      </w:r>
      <w:r w:rsidRPr="000F1DF7">
        <w:rPr>
          <w:iCs/>
        </w:rPr>
        <w:t xml:space="preserve">The comparator of best supportive care or standard management (physiotherapy, orthoses </w:t>
      </w:r>
      <w:r w:rsidRPr="000F1DF7">
        <w:rPr>
          <w:iCs/>
          <w:u w:val="single"/>
        </w:rPr>
        <w:t>+</w:t>
      </w:r>
      <w:r w:rsidRPr="000F1DF7">
        <w:rPr>
          <w:iCs/>
        </w:rPr>
        <w:t xml:space="preserve"> oral anti-spasticity drugs) was previously accepted by the PBAC in the Dysport® November 2007 resubmission.</w:t>
      </w:r>
    </w:p>
    <w:p w:rsidR="00E75A07" w:rsidRPr="00E75A07" w:rsidRDefault="00E75A07" w:rsidP="00E75A07">
      <w:pPr>
        <w:pStyle w:val="ListParagraph"/>
        <w:widowControl/>
        <w:rPr>
          <w:i/>
        </w:rPr>
      </w:pPr>
      <w:r w:rsidRPr="00E75A07">
        <w:rPr>
          <w:i/>
          <w:iCs/>
        </w:rPr>
        <w:t>For more detail on PBAC’s view, see Section 7 PBAC outcome.</w:t>
      </w:r>
    </w:p>
    <w:p w:rsidR="00B50DB8" w:rsidRPr="00407F2D" w:rsidRDefault="00BD6CF3" w:rsidP="00611D60">
      <w:pPr>
        <w:pStyle w:val="Heading1"/>
      </w:pPr>
      <w:bookmarkStart w:id="9" w:name="_Toc524461025"/>
      <w:r>
        <w:t>C</w:t>
      </w:r>
      <w:r w:rsidR="00B50DB8" w:rsidRPr="00407F2D">
        <w:t>onsideration of the evidence</w:t>
      </w:r>
      <w:bookmarkEnd w:id="9"/>
    </w:p>
    <w:p w:rsidR="00462CB6" w:rsidRPr="00244933" w:rsidRDefault="00462CB6" w:rsidP="00462CB6">
      <w:pPr>
        <w:pStyle w:val="Heading2"/>
      </w:pPr>
      <w:bookmarkStart w:id="10" w:name="_Toc524461026"/>
      <w:r w:rsidRPr="00244933">
        <w:t>Sponsor hearing</w:t>
      </w:r>
    </w:p>
    <w:p w:rsidR="00462CB6" w:rsidRPr="00E10750" w:rsidRDefault="00462CB6" w:rsidP="00462CB6">
      <w:pPr>
        <w:numPr>
          <w:ilvl w:val="1"/>
          <w:numId w:val="1"/>
        </w:numPr>
        <w:spacing w:after="120"/>
        <w:rPr>
          <w:rFonts w:asciiTheme="minorHAnsi" w:hAnsiTheme="minorHAnsi"/>
          <w:bCs/>
        </w:rPr>
      </w:pPr>
      <w:r w:rsidRPr="00244933">
        <w:rPr>
          <w:rFonts w:asciiTheme="minorHAnsi" w:hAnsiTheme="minorHAnsi"/>
          <w:bCs/>
        </w:rPr>
        <w:t xml:space="preserve">The sponsor requested a hearing for this item. </w:t>
      </w:r>
      <w:r w:rsidR="00E10750" w:rsidRPr="00E10750">
        <w:rPr>
          <w:rFonts w:asciiTheme="minorHAnsi" w:hAnsiTheme="minorHAnsi"/>
          <w:bCs/>
        </w:rPr>
        <w:t xml:space="preserve">The clinician outlined the impact of focal spasticity on </w:t>
      </w:r>
      <w:r w:rsidR="00DF7451">
        <w:rPr>
          <w:rFonts w:asciiTheme="minorHAnsi" w:hAnsiTheme="minorHAnsi"/>
          <w:bCs/>
        </w:rPr>
        <w:t xml:space="preserve">a </w:t>
      </w:r>
      <w:r w:rsidR="00E10750" w:rsidRPr="00E10750">
        <w:rPr>
          <w:rFonts w:asciiTheme="minorHAnsi" w:hAnsiTheme="minorHAnsi"/>
          <w:bCs/>
        </w:rPr>
        <w:t>patient</w:t>
      </w:r>
      <w:r w:rsidR="00885E70">
        <w:rPr>
          <w:rFonts w:asciiTheme="minorHAnsi" w:hAnsiTheme="minorHAnsi"/>
          <w:bCs/>
        </w:rPr>
        <w:t>’</w:t>
      </w:r>
      <w:r w:rsidR="00E10750" w:rsidRPr="00E10750">
        <w:rPr>
          <w:rFonts w:asciiTheme="minorHAnsi" w:hAnsiTheme="minorHAnsi"/>
          <w:bCs/>
        </w:rPr>
        <w:t>s quality of life and capacity for recovery from acute events. The clinician highlighted the benefit attained with each round of treatment, when the drug would be used in practice, and that the goals of therapy remained the same despite the cause of the spasticity. The clinician also addressed other matters in response to the Committee’s questions.  The PBAC considered that the hearing was informative as it provided a clinical perspective on the functional goals and clinical benefits of treatment.</w:t>
      </w:r>
      <w:r w:rsidRPr="00244933">
        <w:rPr>
          <w:rFonts w:asciiTheme="minorHAnsi" w:hAnsiTheme="minorHAnsi"/>
          <w:bCs/>
        </w:rPr>
        <w:t xml:space="preserve"> </w:t>
      </w:r>
    </w:p>
    <w:p w:rsidR="00462CB6" w:rsidRPr="002430B7" w:rsidRDefault="00462CB6" w:rsidP="002430B7">
      <w:pPr>
        <w:pStyle w:val="Heading2"/>
      </w:pPr>
      <w:r w:rsidRPr="002430B7">
        <w:t>Consumer comments</w:t>
      </w:r>
    </w:p>
    <w:p w:rsidR="00462CB6" w:rsidRPr="0079275B" w:rsidRDefault="00462CB6" w:rsidP="00462CB6">
      <w:pPr>
        <w:numPr>
          <w:ilvl w:val="1"/>
          <w:numId w:val="1"/>
        </w:numPr>
        <w:spacing w:after="120"/>
        <w:rPr>
          <w:rFonts w:asciiTheme="minorHAnsi" w:hAnsiTheme="minorHAnsi"/>
          <w:bCs/>
        </w:rPr>
      </w:pPr>
      <w:r w:rsidRPr="0079275B">
        <w:rPr>
          <w:rFonts w:asciiTheme="minorHAnsi" w:hAnsiTheme="minorHAnsi"/>
          <w:bCs/>
        </w:rPr>
        <w:t xml:space="preserve">The PBAC noted and welcomed the input from </w:t>
      </w:r>
      <w:r w:rsidR="0079275B" w:rsidRPr="0079275B">
        <w:rPr>
          <w:rFonts w:asciiTheme="minorHAnsi" w:hAnsiTheme="minorHAnsi"/>
          <w:bCs/>
        </w:rPr>
        <w:t>two</w:t>
      </w:r>
      <w:r w:rsidRPr="0079275B">
        <w:rPr>
          <w:rFonts w:asciiTheme="minorHAnsi" w:hAnsiTheme="minorHAnsi"/>
          <w:bCs/>
        </w:rPr>
        <w:t xml:space="preserve"> health care professionals via the Consumer Comments facility on the PBS website.  The comments described </w:t>
      </w:r>
      <w:r w:rsidR="0079275B" w:rsidRPr="0079275B">
        <w:rPr>
          <w:rFonts w:asciiTheme="minorHAnsi" w:hAnsiTheme="minorHAnsi"/>
          <w:bCs/>
        </w:rPr>
        <w:t>the</w:t>
      </w:r>
      <w:r w:rsidRPr="0079275B">
        <w:rPr>
          <w:rFonts w:asciiTheme="minorHAnsi" w:hAnsiTheme="minorHAnsi"/>
          <w:bCs/>
        </w:rPr>
        <w:t xml:space="preserve"> </w:t>
      </w:r>
      <w:r w:rsidRPr="0079275B">
        <w:rPr>
          <w:rFonts w:asciiTheme="minorHAnsi" w:hAnsiTheme="minorHAnsi"/>
          <w:bCs/>
        </w:rPr>
        <w:lastRenderedPageBreak/>
        <w:t xml:space="preserve">benefits of treatment with </w:t>
      </w:r>
      <w:r w:rsidR="0079275B" w:rsidRPr="0079275B">
        <w:rPr>
          <w:rFonts w:asciiTheme="minorHAnsi" w:hAnsiTheme="minorHAnsi"/>
          <w:bCs/>
        </w:rPr>
        <w:t xml:space="preserve">botulinum </w:t>
      </w:r>
      <w:r w:rsidR="00DF7451">
        <w:rPr>
          <w:rFonts w:asciiTheme="minorHAnsi" w:hAnsiTheme="minorHAnsi"/>
          <w:bCs/>
        </w:rPr>
        <w:t xml:space="preserve">toxin </w:t>
      </w:r>
      <w:r w:rsidR="0079275B" w:rsidRPr="0079275B">
        <w:rPr>
          <w:rFonts w:asciiTheme="minorHAnsi" w:hAnsiTheme="minorHAnsi"/>
          <w:bCs/>
        </w:rPr>
        <w:t xml:space="preserve">for patients following an acute event other than stroke and </w:t>
      </w:r>
      <w:r w:rsidR="00DF7451">
        <w:rPr>
          <w:rFonts w:asciiTheme="minorHAnsi" w:hAnsiTheme="minorHAnsi"/>
          <w:bCs/>
        </w:rPr>
        <w:t>how</w:t>
      </w:r>
      <w:r w:rsidR="0079275B" w:rsidRPr="0079275B">
        <w:rPr>
          <w:rFonts w:asciiTheme="minorHAnsi" w:hAnsiTheme="minorHAnsi"/>
          <w:bCs/>
        </w:rPr>
        <w:t xml:space="preserve"> more than four doses </w:t>
      </w:r>
      <w:r w:rsidR="00DF7451">
        <w:rPr>
          <w:rFonts w:asciiTheme="minorHAnsi" w:hAnsiTheme="minorHAnsi"/>
          <w:bCs/>
        </w:rPr>
        <w:t xml:space="preserve">are used </w:t>
      </w:r>
      <w:r w:rsidR="0079275B" w:rsidRPr="0079275B">
        <w:rPr>
          <w:rFonts w:asciiTheme="minorHAnsi" w:hAnsiTheme="minorHAnsi"/>
          <w:bCs/>
        </w:rPr>
        <w:t xml:space="preserve">in patients who </w:t>
      </w:r>
      <w:r w:rsidR="00DF7451">
        <w:rPr>
          <w:rFonts w:asciiTheme="minorHAnsi" w:hAnsiTheme="minorHAnsi"/>
          <w:bCs/>
        </w:rPr>
        <w:t xml:space="preserve">continue to </w:t>
      </w:r>
      <w:r w:rsidR="0079275B" w:rsidRPr="0079275B">
        <w:rPr>
          <w:rFonts w:asciiTheme="minorHAnsi" w:hAnsiTheme="minorHAnsi"/>
          <w:bCs/>
        </w:rPr>
        <w:t>respond to treatment.</w:t>
      </w:r>
    </w:p>
    <w:p w:rsidR="00B60939" w:rsidRPr="00C9624D" w:rsidRDefault="00B60939" w:rsidP="00611D60">
      <w:pPr>
        <w:pStyle w:val="Heading2"/>
        <w:widowControl/>
      </w:pPr>
      <w:r w:rsidRPr="00C9624D">
        <w:t>Clinical trials</w:t>
      </w:r>
      <w:bookmarkEnd w:id="10"/>
    </w:p>
    <w:p w:rsidR="00B203AE" w:rsidRPr="008A6EEB" w:rsidRDefault="00B203AE" w:rsidP="009F0049">
      <w:pPr>
        <w:pStyle w:val="ListParagraph"/>
        <w:keepNext/>
        <w:widowControl/>
        <w:numPr>
          <w:ilvl w:val="1"/>
          <w:numId w:val="1"/>
        </w:numPr>
        <w:spacing w:after="80"/>
      </w:pPr>
      <w:r>
        <w:rPr>
          <w:rFonts w:cs="Calibri"/>
          <w:snapToGrid/>
          <w:szCs w:val="24"/>
          <w:lang w:val="en-US" w:eastAsia="en-AU"/>
        </w:rPr>
        <w:t>The submission was based on:</w:t>
      </w:r>
    </w:p>
    <w:p w:rsidR="00B203AE" w:rsidRPr="00560D56" w:rsidRDefault="002317D7" w:rsidP="009F0049">
      <w:pPr>
        <w:pStyle w:val="ListParagraph"/>
        <w:widowControl/>
        <w:numPr>
          <w:ilvl w:val="0"/>
          <w:numId w:val="6"/>
        </w:numPr>
        <w:spacing w:after="80"/>
        <w:ind w:left="993" w:hanging="284"/>
      </w:pPr>
      <w:r>
        <w:rPr>
          <w:rFonts w:cs="Calibri"/>
          <w:snapToGrid/>
          <w:szCs w:val="24"/>
          <w:lang w:val="en-US" w:eastAsia="en-AU"/>
        </w:rPr>
        <w:t xml:space="preserve">Study 145: a </w:t>
      </w:r>
      <w:r w:rsidR="00B203AE">
        <w:rPr>
          <w:rFonts w:cs="Calibri"/>
          <w:snapToGrid/>
          <w:szCs w:val="24"/>
          <w:lang w:val="en-US" w:eastAsia="en-AU"/>
        </w:rPr>
        <w:t xml:space="preserve">RCT comparing Dysport® to placebo </w:t>
      </w:r>
      <w:r w:rsidR="001A75F0">
        <w:rPr>
          <w:rFonts w:cs="Calibri"/>
          <w:snapToGrid/>
          <w:szCs w:val="24"/>
          <w:lang w:val="en-US" w:eastAsia="en-AU"/>
        </w:rPr>
        <w:t>over one treatment cycle</w:t>
      </w:r>
      <w:r>
        <w:rPr>
          <w:rFonts w:cs="Calibri"/>
          <w:snapToGrid/>
          <w:szCs w:val="24"/>
          <w:lang w:val="en-US" w:eastAsia="en-AU"/>
        </w:rPr>
        <w:t xml:space="preserve">: </w:t>
      </w:r>
      <w:r w:rsidR="001A75F0">
        <w:rPr>
          <w:rFonts w:cs="Calibri"/>
          <w:snapToGrid/>
          <w:szCs w:val="24"/>
          <w:lang w:val="en-US" w:eastAsia="en-AU"/>
        </w:rPr>
        <w:t xml:space="preserve"> </w:t>
      </w:r>
      <w:r w:rsidR="00B203AE">
        <w:rPr>
          <w:rFonts w:cs="Calibri"/>
          <w:snapToGrid/>
          <w:szCs w:val="24"/>
          <w:lang w:val="en-US" w:eastAsia="en-AU"/>
        </w:rPr>
        <w:t>(N=243);</w:t>
      </w:r>
    </w:p>
    <w:p w:rsidR="00B203AE" w:rsidRPr="00560D56" w:rsidRDefault="002317D7" w:rsidP="009F0049">
      <w:pPr>
        <w:pStyle w:val="ListParagraph"/>
        <w:widowControl/>
        <w:numPr>
          <w:ilvl w:val="0"/>
          <w:numId w:val="6"/>
        </w:numPr>
        <w:spacing w:after="80"/>
        <w:ind w:left="993" w:hanging="284"/>
      </w:pPr>
      <w:r>
        <w:rPr>
          <w:rFonts w:cs="Calibri"/>
          <w:snapToGrid/>
          <w:szCs w:val="24"/>
          <w:lang w:val="en-US" w:eastAsia="en-AU"/>
        </w:rPr>
        <w:t xml:space="preserve">Study 148: an </w:t>
      </w:r>
      <w:r w:rsidR="00B203AE">
        <w:rPr>
          <w:rFonts w:cs="Calibri"/>
          <w:snapToGrid/>
          <w:szCs w:val="24"/>
          <w:lang w:val="en-US" w:eastAsia="en-AU"/>
        </w:rPr>
        <w:t xml:space="preserve">open-label extension study of Study 145 </w:t>
      </w:r>
      <w:r>
        <w:rPr>
          <w:rFonts w:cs="Calibri"/>
          <w:snapToGrid/>
          <w:szCs w:val="24"/>
          <w:lang w:val="en-US" w:eastAsia="en-AU"/>
        </w:rPr>
        <w:t>in which patients received Dysport® for up to four additional treatment cycle</w:t>
      </w:r>
      <w:r w:rsidR="00B203AE">
        <w:rPr>
          <w:rFonts w:cs="Calibri"/>
          <w:snapToGrid/>
          <w:szCs w:val="24"/>
          <w:lang w:val="en-US" w:eastAsia="en-AU"/>
        </w:rPr>
        <w:t>s (N=254): Study 148;</w:t>
      </w:r>
      <w:r>
        <w:rPr>
          <w:rFonts w:cs="Calibri"/>
          <w:snapToGrid/>
          <w:szCs w:val="24"/>
          <w:lang w:val="en-US" w:eastAsia="en-AU"/>
        </w:rPr>
        <w:t xml:space="preserve"> and</w:t>
      </w:r>
    </w:p>
    <w:p w:rsidR="00B203AE" w:rsidRPr="00F8793E" w:rsidRDefault="002317D7" w:rsidP="009F0049">
      <w:pPr>
        <w:pStyle w:val="ListParagraph"/>
        <w:widowControl/>
        <w:numPr>
          <w:ilvl w:val="0"/>
          <w:numId w:val="6"/>
        </w:numPr>
        <w:spacing w:after="80"/>
        <w:ind w:left="993" w:hanging="284"/>
      </w:pPr>
      <w:r>
        <w:rPr>
          <w:rFonts w:cs="Calibri"/>
          <w:snapToGrid/>
          <w:szCs w:val="24"/>
          <w:lang w:val="en-US" w:eastAsia="en-AU"/>
        </w:rPr>
        <w:t>Smith 2000 (N</w:t>
      </w:r>
      <w:r w:rsidRPr="00560D56">
        <w:rPr>
          <w:rFonts w:cs="Calibri"/>
          <w:snapToGrid/>
          <w:szCs w:val="24"/>
          <w:lang w:val="en-US" w:eastAsia="en-AU"/>
        </w:rPr>
        <w:t xml:space="preserve">=21) and Lam 2012 </w:t>
      </w:r>
      <w:r>
        <w:rPr>
          <w:rFonts w:cs="Calibri"/>
          <w:snapToGrid/>
          <w:szCs w:val="24"/>
          <w:lang w:val="en-US" w:eastAsia="en-AU"/>
        </w:rPr>
        <w:t xml:space="preserve">(N=55): </w:t>
      </w:r>
      <w:r w:rsidR="00B203AE" w:rsidRPr="00560D56">
        <w:rPr>
          <w:rFonts w:cs="Calibri"/>
          <w:snapToGrid/>
          <w:szCs w:val="24"/>
          <w:lang w:val="en-US" w:eastAsia="en-AU"/>
        </w:rPr>
        <w:t xml:space="preserve">two </w:t>
      </w:r>
      <w:r w:rsidR="00B203AE">
        <w:rPr>
          <w:rFonts w:cs="Calibri"/>
          <w:snapToGrid/>
          <w:szCs w:val="24"/>
          <w:lang w:val="en-US" w:eastAsia="en-AU"/>
        </w:rPr>
        <w:t xml:space="preserve">smaller </w:t>
      </w:r>
      <w:r w:rsidR="00B203AE" w:rsidRPr="00560D56">
        <w:t xml:space="preserve">supportive </w:t>
      </w:r>
      <w:r w:rsidR="00B203AE">
        <w:rPr>
          <w:rFonts w:cs="Calibri"/>
          <w:snapToGrid/>
          <w:szCs w:val="24"/>
          <w:lang w:val="en-US" w:eastAsia="en-AU"/>
        </w:rPr>
        <w:t>RCTs</w:t>
      </w:r>
      <w:r w:rsidR="00B203AE" w:rsidRPr="00560D56">
        <w:rPr>
          <w:rFonts w:cs="Calibri"/>
          <w:snapToGrid/>
          <w:szCs w:val="24"/>
          <w:lang w:val="en-US" w:eastAsia="en-AU"/>
        </w:rPr>
        <w:t xml:space="preserve"> comparing Dysp</w:t>
      </w:r>
      <w:r w:rsidR="00B203AE">
        <w:rPr>
          <w:rFonts w:cs="Calibri"/>
          <w:snapToGrid/>
          <w:szCs w:val="24"/>
          <w:lang w:val="en-US" w:eastAsia="en-AU"/>
        </w:rPr>
        <w:t>ort® to placebo</w:t>
      </w:r>
      <w:r>
        <w:rPr>
          <w:rFonts w:cs="Calibri"/>
          <w:snapToGrid/>
          <w:szCs w:val="24"/>
          <w:lang w:val="en-US" w:eastAsia="en-AU"/>
        </w:rPr>
        <w:t>.</w:t>
      </w:r>
    </w:p>
    <w:p w:rsidR="00B203AE" w:rsidRPr="007F5D8B" w:rsidRDefault="00B203AE" w:rsidP="009F0049">
      <w:pPr>
        <w:pStyle w:val="ListParagraph"/>
        <w:widowControl/>
        <w:numPr>
          <w:ilvl w:val="1"/>
          <w:numId w:val="1"/>
        </w:numPr>
      </w:pPr>
      <w:r>
        <w:t xml:space="preserve">A subgroup of patients with TBI from Study 145 (n=23) was used to support the clinical claim. </w:t>
      </w:r>
    </w:p>
    <w:p w:rsidR="00B203AE" w:rsidRPr="005C1E02" w:rsidRDefault="00B203AE" w:rsidP="009F0049">
      <w:pPr>
        <w:pStyle w:val="ListParagraph"/>
        <w:widowControl/>
        <w:numPr>
          <w:ilvl w:val="1"/>
          <w:numId w:val="1"/>
        </w:numPr>
      </w:pPr>
      <w:r>
        <w:t xml:space="preserve">The submission included one further </w:t>
      </w:r>
      <w:r w:rsidR="00621CD4">
        <w:t xml:space="preserve">small </w:t>
      </w:r>
      <w:r>
        <w:t>supportive trial (</w:t>
      </w:r>
      <w:proofErr w:type="spellStart"/>
      <w:r>
        <w:t>Akulov</w:t>
      </w:r>
      <w:proofErr w:type="spellEnd"/>
      <w:r>
        <w:t xml:space="preserve"> 2015).</w:t>
      </w:r>
      <w:r w:rsidR="00642FE1">
        <w:t xml:space="preserve"> </w:t>
      </w:r>
      <w:r>
        <w:t xml:space="preserve">As this </w:t>
      </w:r>
      <w:r w:rsidR="00372AF6">
        <w:t xml:space="preserve">trial </w:t>
      </w:r>
      <w:r>
        <w:t xml:space="preserve">evaluated the efficacy of </w:t>
      </w:r>
      <w:proofErr w:type="spellStart"/>
      <w:r>
        <w:t>Dysport</w:t>
      </w:r>
      <w:proofErr w:type="spellEnd"/>
      <w:r>
        <w:rPr>
          <w:rFonts w:cs="Calibri"/>
        </w:rPr>
        <w:t xml:space="preserve">® </w:t>
      </w:r>
      <w:r>
        <w:t xml:space="preserve">injections under </w:t>
      </w:r>
      <w:proofErr w:type="spellStart"/>
      <w:r>
        <w:t>electromyographic</w:t>
      </w:r>
      <w:proofErr w:type="spellEnd"/>
      <w:r>
        <w:t xml:space="preserve"> (EMG) control versus control patients administered Dysport</w:t>
      </w:r>
      <w:r>
        <w:rPr>
          <w:rFonts w:cs="Calibri"/>
        </w:rPr>
        <w:t xml:space="preserve">® </w:t>
      </w:r>
      <w:r>
        <w:t xml:space="preserve">injections without EMG control, it </w:t>
      </w:r>
      <w:r w:rsidR="00621CD4">
        <w:t xml:space="preserve">was excluded during the evaluation </w:t>
      </w:r>
      <w:r>
        <w:t xml:space="preserve">since </w:t>
      </w:r>
      <w:r w:rsidR="00621CD4">
        <w:t>the trial</w:t>
      </w:r>
      <w:r>
        <w:t xml:space="preserve"> does not </w:t>
      </w:r>
      <w:r w:rsidR="00621CD4">
        <w:t xml:space="preserve">report results for the </w:t>
      </w:r>
      <w:r>
        <w:t>comparison of interest of Dysport</w:t>
      </w:r>
      <w:r>
        <w:rPr>
          <w:rFonts w:cs="Calibri"/>
        </w:rPr>
        <w:t>®</w:t>
      </w:r>
      <w:r>
        <w:t xml:space="preserve"> versus placebo.</w:t>
      </w:r>
    </w:p>
    <w:p w:rsidR="00B203AE" w:rsidRPr="00D8224A" w:rsidRDefault="00B203AE" w:rsidP="009F0049">
      <w:pPr>
        <w:pStyle w:val="ListParagraph"/>
        <w:widowControl/>
        <w:numPr>
          <w:ilvl w:val="1"/>
          <w:numId w:val="1"/>
        </w:numPr>
        <w:rPr>
          <w:rFonts w:ascii="Arial Narrow" w:hAnsi="Arial Narrow"/>
          <w:b/>
          <w:sz w:val="20"/>
          <w:szCs w:val="16"/>
        </w:rPr>
      </w:pPr>
      <w:r w:rsidRPr="00D8224A">
        <w:rPr>
          <w:rFonts w:cs="Calibri"/>
          <w:snapToGrid/>
          <w:szCs w:val="24"/>
          <w:lang w:val="en-US" w:eastAsia="en-AU"/>
        </w:rPr>
        <w:t xml:space="preserve">Details of the trials presented in the submission </w:t>
      </w:r>
      <w:r>
        <w:rPr>
          <w:rFonts w:cs="Calibri"/>
          <w:snapToGrid/>
          <w:szCs w:val="24"/>
          <w:lang w:val="en-US" w:eastAsia="en-AU"/>
        </w:rPr>
        <w:t xml:space="preserve">are provided in </w:t>
      </w:r>
      <w:r w:rsidR="00525315" w:rsidRPr="00525315">
        <w:t xml:space="preserve">Table </w:t>
      </w:r>
      <w:r w:rsidR="00525315" w:rsidRPr="00525315">
        <w:rPr>
          <w:noProof/>
        </w:rPr>
        <w:t>4</w:t>
      </w:r>
      <w:r>
        <w:rPr>
          <w:rFonts w:cs="Calibri"/>
          <w:snapToGrid/>
          <w:szCs w:val="24"/>
          <w:lang w:val="en-US" w:eastAsia="en-AU"/>
        </w:rPr>
        <w:t>.</w:t>
      </w:r>
    </w:p>
    <w:p w:rsidR="00B203AE" w:rsidRPr="00525315" w:rsidRDefault="00525315" w:rsidP="009F0049">
      <w:pPr>
        <w:pStyle w:val="TableHeading0"/>
      </w:pPr>
      <w:bookmarkStart w:id="11" w:name="_Ref526503575"/>
      <w:r w:rsidRPr="00525315">
        <w:lastRenderedPageBreak/>
        <w:t xml:space="preserve">Table </w:t>
      </w:r>
      <w:r w:rsidR="00877905">
        <w:rPr>
          <w:noProof/>
        </w:rPr>
        <w:t>4</w:t>
      </w:r>
      <w:bookmarkEnd w:id="11"/>
      <w:r w:rsidR="001C5AF4">
        <w:t>:</w:t>
      </w:r>
      <w:r w:rsidR="00B203AE" w:rsidRPr="00525315">
        <w:rPr>
          <w:rStyle w:val="CommentReference"/>
        </w:rPr>
        <w:t xml:space="preserve"> </w:t>
      </w:r>
      <w:r w:rsidR="00B203AE" w:rsidRPr="00525315">
        <w:rPr>
          <w:rStyle w:val="CommentReference"/>
          <w:b/>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4"/>
        <w:gridCol w:w="5347"/>
        <w:gridCol w:w="2656"/>
      </w:tblGrid>
      <w:tr w:rsidR="00B203AE" w:rsidRPr="00B41614" w:rsidTr="00B6406E">
        <w:trPr>
          <w:tblHeader/>
        </w:trPr>
        <w:tc>
          <w:tcPr>
            <w:tcW w:w="562" w:type="pct"/>
            <w:vAlign w:val="center"/>
          </w:tcPr>
          <w:p w:rsidR="00B203AE" w:rsidRPr="00B41614" w:rsidRDefault="00B203AE" w:rsidP="009F0049">
            <w:pPr>
              <w:pStyle w:val="Tabletext"/>
              <w:keepNext/>
              <w:rPr>
                <w:b/>
              </w:rPr>
            </w:pPr>
            <w:r w:rsidRPr="00B41614">
              <w:rPr>
                <w:b/>
              </w:rPr>
              <w:t>Trial ID</w:t>
            </w:r>
          </w:p>
        </w:tc>
        <w:tc>
          <w:tcPr>
            <w:tcW w:w="2965" w:type="pct"/>
            <w:vAlign w:val="center"/>
          </w:tcPr>
          <w:p w:rsidR="00B203AE" w:rsidRPr="00B41614" w:rsidRDefault="00B203AE" w:rsidP="009F0049">
            <w:pPr>
              <w:pStyle w:val="Tabletext"/>
              <w:keepNext/>
              <w:jc w:val="center"/>
              <w:rPr>
                <w:b/>
              </w:rPr>
            </w:pPr>
            <w:r w:rsidRPr="00B41614">
              <w:rPr>
                <w:b/>
              </w:rPr>
              <w:t>Protocol title/ Publication title</w:t>
            </w:r>
          </w:p>
        </w:tc>
        <w:tc>
          <w:tcPr>
            <w:tcW w:w="1473" w:type="pct"/>
            <w:vAlign w:val="center"/>
          </w:tcPr>
          <w:p w:rsidR="00B203AE" w:rsidRPr="00B41614" w:rsidRDefault="00B203AE" w:rsidP="009F0049">
            <w:pPr>
              <w:pStyle w:val="Tabletext"/>
              <w:keepNext/>
              <w:jc w:val="center"/>
              <w:rPr>
                <w:b/>
              </w:rPr>
            </w:pPr>
            <w:r w:rsidRPr="00B41614">
              <w:rPr>
                <w:b/>
              </w:rPr>
              <w:t>Publication citation</w:t>
            </w:r>
          </w:p>
        </w:tc>
      </w:tr>
      <w:tr w:rsidR="00B203AE" w:rsidRPr="00CB38A8" w:rsidTr="00E30A25">
        <w:tc>
          <w:tcPr>
            <w:tcW w:w="5000" w:type="pct"/>
            <w:gridSpan w:val="3"/>
            <w:tcBorders>
              <w:bottom w:val="nil"/>
            </w:tcBorders>
            <w:vAlign w:val="center"/>
          </w:tcPr>
          <w:p w:rsidR="00B203AE" w:rsidRDefault="00B203AE" w:rsidP="009F0049">
            <w:pPr>
              <w:pStyle w:val="Tabletext"/>
              <w:keepNext/>
            </w:pPr>
            <w:r w:rsidRPr="009A6360">
              <w:rPr>
                <w:b/>
                <w:bCs/>
              </w:rPr>
              <w:t>Main trial</w:t>
            </w:r>
          </w:p>
        </w:tc>
      </w:tr>
      <w:tr w:rsidR="00B203AE" w:rsidRPr="00CB38A8" w:rsidTr="00B6406E">
        <w:tc>
          <w:tcPr>
            <w:tcW w:w="562" w:type="pct"/>
            <w:tcBorders>
              <w:bottom w:val="nil"/>
            </w:tcBorders>
            <w:vAlign w:val="center"/>
          </w:tcPr>
          <w:p w:rsidR="00B203AE" w:rsidRPr="00CB38A8" w:rsidRDefault="00B203AE" w:rsidP="009F0049">
            <w:pPr>
              <w:pStyle w:val="Tabletext"/>
              <w:keepNext/>
              <w:rPr>
                <w:rFonts w:ascii="Times" w:hAnsi="Times"/>
              </w:rPr>
            </w:pPr>
          </w:p>
        </w:tc>
        <w:tc>
          <w:tcPr>
            <w:tcW w:w="2965" w:type="pct"/>
            <w:tcBorders>
              <w:bottom w:val="nil"/>
            </w:tcBorders>
            <w:vAlign w:val="center"/>
          </w:tcPr>
          <w:p w:rsidR="00B203AE" w:rsidRDefault="00B203AE" w:rsidP="009F0049">
            <w:pPr>
              <w:pStyle w:val="Tabletext"/>
              <w:keepNext/>
              <w:rPr>
                <w:szCs w:val="18"/>
              </w:rPr>
            </w:pPr>
            <w:r w:rsidRPr="00E34A35">
              <w:rPr>
                <w:szCs w:val="18"/>
              </w:rPr>
              <w:t xml:space="preserve">A </w:t>
            </w:r>
            <w:r>
              <w:rPr>
                <w:szCs w:val="18"/>
              </w:rPr>
              <w:t>phase 3, multicentre, prospective, double blind, randomised, placebo controlled study, assessing the efficacy and safety of Dysport</w:t>
            </w:r>
            <w:r w:rsidR="00EA7732">
              <w:rPr>
                <w:szCs w:val="18"/>
              </w:rPr>
              <w:t>®</w:t>
            </w:r>
            <w:r>
              <w:rPr>
                <w:szCs w:val="18"/>
              </w:rPr>
              <w:t xml:space="preserve"> intramuscular injections used for the treatment of upper limb spasticity in adult subjects with spastic hemiparesis due to stroke or traumatic brain injury.</w:t>
            </w:r>
          </w:p>
          <w:p w:rsidR="00B203AE" w:rsidRPr="00AB6248" w:rsidRDefault="00B203AE" w:rsidP="009F0049">
            <w:pPr>
              <w:pStyle w:val="Tabletext"/>
              <w:keepNext/>
              <w:rPr>
                <w:szCs w:val="18"/>
              </w:rPr>
            </w:pPr>
          </w:p>
        </w:tc>
        <w:tc>
          <w:tcPr>
            <w:tcW w:w="1473" w:type="pct"/>
            <w:tcBorders>
              <w:bottom w:val="nil"/>
            </w:tcBorders>
          </w:tcPr>
          <w:p w:rsidR="00B203AE" w:rsidRPr="00CB38A8" w:rsidRDefault="00B203AE" w:rsidP="009F0049">
            <w:pPr>
              <w:pStyle w:val="Tabletext"/>
              <w:keepNext/>
              <w:rPr>
                <w:rFonts w:ascii="Times" w:hAnsi="Times"/>
              </w:rPr>
            </w:pPr>
            <w:r>
              <w:t>April 2014</w:t>
            </w:r>
          </w:p>
        </w:tc>
      </w:tr>
      <w:tr w:rsidR="00B203AE" w:rsidRPr="00CB38A8" w:rsidTr="009F0049">
        <w:tc>
          <w:tcPr>
            <w:tcW w:w="562" w:type="pct"/>
            <w:tcBorders>
              <w:top w:val="nil"/>
              <w:bottom w:val="nil"/>
            </w:tcBorders>
          </w:tcPr>
          <w:p w:rsidR="00B203AE" w:rsidRPr="00CB38A8" w:rsidRDefault="00B203AE" w:rsidP="009F0049">
            <w:pPr>
              <w:pStyle w:val="Tabletext"/>
              <w:keepNext/>
            </w:pPr>
            <w:r>
              <w:t>Study 145</w:t>
            </w:r>
          </w:p>
        </w:tc>
        <w:tc>
          <w:tcPr>
            <w:tcW w:w="2965" w:type="pct"/>
            <w:tcBorders>
              <w:top w:val="nil"/>
              <w:bottom w:val="nil"/>
            </w:tcBorders>
            <w:vAlign w:val="center"/>
          </w:tcPr>
          <w:p w:rsidR="00B203AE" w:rsidRDefault="00B203AE" w:rsidP="009F0049">
            <w:pPr>
              <w:pStyle w:val="Tabletext"/>
              <w:keepNext/>
              <w:rPr>
                <w:szCs w:val="18"/>
                <w:lang w:eastAsia="en-AU"/>
              </w:rPr>
            </w:pPr>
            <w:proofErr w:type="spellStart"/>
            <w:r w:rsidRPr="00170889">
              <w:rPr>
                <w:szCs w:val="18"/>
                <w:lang w:eastAsia="en-AU"/>
              </w:rPr>
              <w:t>Gracies</w:t>
            </w:r>
            <w:proofErr w:type="spellEnd"/>
            <w:r w:rsidRPr="00170889">
              <w:rPr>
                <w:szCs w:val="18"/>
                <w:lang w:eastAsia="en-AU"/>
              </w:rPr>
              <w:t xml:space="preserve"> J-M, Brashear A, </w:t>
            </w:r>
            <w:proofErr w:type="spellStart"/>
            <w:r w:rsidRPr="00170889">
              <w:rPr>
                <w:szCs w:val="18"/>
                <w:lang w:eastAsia="en-AU"/>
              </w:rPr>
              <w:t>Jech</w:t>
            </w:r>
            <w:proofErr w:type="spellEnd"/>
            <w:r w:rsidRPr="00170889">
              <w:rPr>
                <w:szCs w:val="18"/>
                <w:lang w:eastAsia="en-AU"/>
              </w:rPr>
              <w:t xml:space="preserve"> R et al.</w:t>
            </w:r>
            <w:r w:rsidR="00642FE1">
              <w:rPr>
                <w:szCs w:val="18"/>
                <w:lang w:eastAsia="en-AU"/>
              </w:rPr>
              <w:t xml:space="preserve"> </w:t>
            </w:r>
            <w:r>
              <w:rPr>
                <w:szCs w:val="18"/>
                <w:lang w:eastAsia="en-AU"/>
              </w:rPr>
              <w:t xml:space="preserve">Safety and efficacy of </w:t>
            </w:r>
            <w:proofErr w:type="spellStart"/>
            <w:r>
              <w:rPr>
                <w:szCs w:val="18"/>
                <w:lang w:eastAsia="en-AU"/>
              </w:rPr>
              <w:t>abobotulinumtoxinA</w:t>
            </w:r>
            <w:proofErr w:type="spellEnd"/>
            <w:r>
              <w:rPr>
                <w:szCs w:val="18"/>
                <w:lang w:eastAsia="en-AU"/>
              </w:rPr>
              <w:t xml:space="preserve"> for hemiparesis in adults with upper limb spasticity after stroke or traumatic brain injury. </w:t>
            </w:r>
          </w:p>
          <w:p w:rsidR="00B6406E" w:rsidRPr="00E34A35" w:rsidRDefault="00B6406E" w:rsidP="009F0049">
            <w:pPr>
              <w:pStyle w:val="Tabletext"/>
              <w:keepNext/>
              <w:rPr>
                <w:szCs w:val="18"/>
                <w:lang w:eastAsia="en-AU"/>
              </w:rPr>
            </w:pPr>
          </w:p>
        </w:tc>
        <w:tc>
          <w:tcPr>
            <w:tcW w:w="1473" w:type="pct"/>
            <w:tcBorders>
              <w:top w:val="nil"/>
              <w:bottom w:val="nil"/>
            </w:tcBorders>
          </w:tcPr>
          <w:p w:rsidR="00B203AE" w:rsidRPr="00E34A35" w:rsidRDefault="00B203AE" w:rsidP="009F0049">
            <w:pPr>
              <w:pStyle w:val="Tabletext"/>
              <w:keepNext/>
              <w:rPr>
                <w:szCs w:val="18"/>
                <w:lang w:eastAsia="en-AU"/>
              </w:rPr>
            </w:pPr>
            <w:proofErr w:type="spellStart"/>
            <w:r>
              <w:rPr>
                <w:i/>
                <w:szCs w:val="18"/>
                <w:lang w:eastAsia="en-AU"/>
              </w:rPr>
              <w:t>LancetNeurol</w:t>
            </w:r>
            <w:proofErr w:type="spellEnd"/>
            <w:r>
              <w:rPr>
                <w:szCs w:val="18"/>
                <w:lang w:eastAsia="en-AU"/>
              </w:rPr>
              <w:t xml:space="preserve"> 2015; 14: 992-1001.</w:t>
            </w:r>
          </w:p>
        </w:tc>
      </w:tr>
      <w:tr w:rsidR="00B203AE" w:rsidRPr="00CB38A8" w:rsidTr="00B6406E">
        <w:tc>
          <w:tcPr>
            <w:tcW w:w="562" w:type="pct"/>
            <w:tcBorders>
              <w:top w:val="nil"/>
              <w:bottom w:val="nil"/>
            </w:tcBorders>
            <w:vAlign w:val="center"/>
          </w:tcPr>
          <w:p w:rsidR="00B203AE" w:rsidRDefault="00B203AE" w:rsidP="009F0049">
            <w:pPr>
              <w:pStyle w:val="Tabletext"/>
              <w:keepNext/>
            </w:pPr>
          </w:p>
        </w:tc>
        <w:tc>
          <w:tcPr>
            <w:tcW w:w="2965" w:type="pct"/>
            <w:tcBorders>
              <w:top w:val="nil"/>
              <w:bottom w:val="single" w:sz="4" w:space="0" w:color="auto"/>
            </w:tcBorders>
          </w:tcPr>
          <w:p w:rsidR="00B203AE" w:rsidRPr="00170889" w:rsidRDefault="00B203AE" w:rsidP="009F0049">
            <w:pPr>
              <w:pStyle w:val="Tabletext"/>
              <w:keepNext/>
              <w:rPr>
                <w:szCs w:val="18"/>
                <w:lang w:eastAsia="en-AU"/>
              </w:rPr>
            </w:pPr>
            <w:r>
              <w:rPr>
                <w:szCs w:val="18"/>
                <w:lang w:eastAsia="en-AU"/>
              </w:rPr>
              <w:t>O’Dell M, Brashear A, Walker H</w:t>
            </w:r>
            <w:r w:rsidRPr="00170889">
              <w:rPr>
                <w:szCs w:val="18"/>
                <w:lang w:eastAsia="en-AU"/>
              </w:rPr>
              <w:t xml:space="preserve"> et al.</w:t>
            </w:r>
            <w:r w:rsidR="00642FE1">
              <w:rPr>
                <w:szCs w:val="18"/>
                <w:lang w:eastAsia="en-AU"/>
              </w:rPr>
              <w:t xml:space="preserve"> </w:t>
            </w:r>
            <w:proofErr w:type="spellStart"/>
            <w:r>
              <w:rPr>
                <w:szCs w:val="18"/>
                <w:lang w:val="en-US" w:eastAsia="en-AU"/>
              </w:rPr>
              <w:t>AbobotulinumtoxinA</w:t>
            </w:r>
            <w:proofErr w:type="spellEnd"/>
            <w:r>
              <w:rPr>
                <w:szCs w:val="18"/>
                <w:lang w:val="en-US" w:eastAsia="en-AU"/>
              </w:rPr>
              <w:t xml:space="preserve"> (</w:t>
            </w:r>
            <w:proofErr w:type="spellStart"/>
            <w:r>
              <w:rPr>
                <w:szCs w:val="18"/>
                <w:lang w:val="en-US" w:eastAsia="en-AU"/>
              </w:rPr>
              <w:t>Dysport</w:t>
            </w:r>
            <w:proofErr w:type="spellEnd"/>
            <w:r>
              <w:rPr>
                <w:szCs w:val="18"/>
                <w:lang w:val="en-US" w:eastAsia="en-AU"/>
              </w:rPr>
              <w:t>®) in the treatment of adult patients with upper-limb spasticity due to traumatic brain injury.</w:t>
            </w:r>
          </w:p>
        </w:tc>
        <w:tc>
          <w:tcPr>
            <w:tcW w:w="1473" w:type="pct"/>
            <w:tcBorders>
              <w:top w:val="nil"/>
              <w:bottom w:val="single" w:sz="4" w:space="0" w:color="auto"/>
            </w:tcBorders>
          </w:tcPr>
          <w:p w:rsidR="00B203AE" w:rsidRPr="00C86684" w:rsidRDefault="00B203AE" w:rsidP="009F0049">
            <w:pPr>
              <w:pStyle w:val="Tabletext"/>
              <w:keepNext/>
              <w:rPr>
                <w:i/>
                <w:szCs w:val="18"/>
                <w:lang w:eastAsia="en-AU"/>
              </w:rPr>
            </w:pPr>
            <w:r w:rsidRPr="00C86684">
              <w:rPr>
                <w:rStyle w:val="Small"/>
                <w:rFonts w:ascii="Arial Narrow" w:hAnsi="Arial Narrow"/>
              </w:rPr>
              <w:t>PM and R. Conference: 2015 Annual Assembly of the American Academy of Physical Medicine and Rehabilitation. Boston, MA United States. Confe</w:t>
            </w:r>
            <w:r w:rsidR="00B6406E">
              <w:rPr>
                <w:rStyle w:val="Small"/>
                <w:rFonts w:ascii="Arial Narrow" w:hAnsi="Arial Narrow"/>
              </w:rPr>
              <w:t>rence Publication:</w:t>
            </w:r>
            <w:r w:rsidRPr="00C86684">
              <w:rPr>
                <w:rStyle w:val="Small"/>
                <w:rFonts w:ascii="Arial Narrow" w:hAnsi="Arial Narrow"/>
              </w:rPr>
              <w:t xml:space="preserve"> 7 (9 SUPPL. 1) (pp S103), 2015</w:t>
            </w:r>
          </w:p>
        </w:tc>
      </w:tr>
      <w:tr w:rsidR="00B203AE" w:rsidRPr="00CB38A8" w:rsidTr="00B6406E">
        <w:tc>
          <w:tcPr>
            <w:tcW w:w="562" w:type="pct"/>
            <w:tcBorders>
              <w:bottom w:val="nil"/>
            </w:tcBorders>
            <w:vAlign w:val="center"/>
          </w:tcPr>
          <w:p w:rsidR="00B203AE" w:rsidRDefault="00B203AE" w:rsidP="009F0049">
            <w:pPr>
              <w:pStyle w:val="Tabletext"/>
              <w:keepNext/>
            </w:pPr>
            <w:r>
              <w:t>Study 148</w:t>
            </w:r>
          </w:p>
          <w:p w:rsidR="00B203AE" w:rsidRPr="00CB38A8" w:rsidRDefault="00B203AE" w:rsidP="009F0049">
            <w:pPr>
              <w:pStyle w:val="Tabletext"/>
              <w:keepNext/>
              <w:rPr>
                <w:rFonts w:ascii="Times" w:hAnsi="Times"/>
              </w:rPr>
            </w:pPr>
            <w:r>
              <w:t>(extension study)</w:t>
            </w:r>
          </w:p>
        </w:tc>
        <w:tc>
          <w:tcPr>
            <w:tcW w:w="2965" w:type="pct"/>
            <w:tcBorders>
              <w:top w:val="single" w:sz="4" w:space="0" w:color="auto"/>
              <w:bottom w:val="nil"/>
            </w:tcBorders>
          </w:tcPr>
          <w:p w:rsidR="00B203AE" w:rsidRDefault="00B203AE" w:rsidP="009F0049">
            <w:pPr>
              <w:pStyle w:val="Tabletext"/>
              <w:keepNext/>
              <w:rPr>
                <w:szCs w:val="18"/>
              </w:rPr>
            </w:pPr>
            <w:r w:rsidRPr="00E34A35">
              <w:rPr>
                <w:szCs w:val="18"/>
              </w:rPr>
              <w:t xml:space="preserve">A </w:t>
            </w:r>
            <w:r>
              <w:rPr>
                <w:szCs w:val="18"/>
              </w:rPr>
              <w:t>phase 3, multicentre, prospective, open label, extension study to</w:t>
            </w:r>
            <w:r w:rsidR="00642FE1">
              <w:rPr>
                <w:szCs w:val="18"/>
              </w:rPr>
              <w:t xml:space="preserve"> </w:t>
            </w:r>
            <w:r>
              <w:rPr>
                <w:szCs w:val="18"/>
              </w:rPr>
              <w:t>assess the long-term safety and efficacy of repeated treatment of Dysport intramuscular injections used for the treatment of upper limb spasticity in adult subjects with spastic hemiparesis due to stroke or traumatic brain injury.</w:t>
            </w:r>
          </w:p>
          <w:p w:rsidR="00B203AE" w:rsidRPr="00CB38A8" w:rsidRDefault="00B203AE" w:rsidP="009F0049">
            <w:pPr>
              <w:pStyle w:val="Tabletext"/>
              <w:keepNext/>
              <w:rPr>
                <w:rFonts w:ascii="Times" w:hAnsi="Times"/>
              </w:rPr>
            </w:pPr>
          </w:p>
        </w:tc>
        <w:tc>
          <w:tcPr>
            <w:tcW w:w="1473" w:type="pct"/>
            <w:tcBorders>
              <w:top w:val="single" w:sz="4" w:space="0" w:color="auto"/>
              <w:bottom w:val="nil"/>
            </w:tcBorders>
          </w:tcPr>
          <w:p w:rsidR="00B203AE" w:rsidRPr="004A2558" w:rsidRDefault="00B203AE" w:rsidP="009F0049">
            <w:pPr>
              <w:pStyle w:val="Tabletext"/>
              <w:keepNext/>
            </w:pPr>
            <w:r>
              <w:t>December 2015</w:t>
            </w:r>
          </w:p>
        </w:tc>
      </w:tr>
      <w:tr w:rsidR="00B203AE" w:rsidRPr="00CB38A8" w:rsidTr="00B6406E">
        <w:tc>
          <w:tcPr>
            <w:tcW w:w="562" w:type="pct"/>
            <w:tcBorders>
              <w:top w:val="nil"/>
              <w:bottom w:val="single" w:sz="4" w:space="0" w:color="auto"/>
            </w:tcBorders>
            <w:vAlign w:val="center"/>
          </w:tcPr>
          <w:p w:rsidR="00B203AE" w:rsidRPr="00CB38A8" w:rsidRDefault="00B203AE" w:rsidP="009F0049">
            <w:pPr>
              <w:pStyle w:val="Tabletext"/>
              <w:keepNext/>
            </w:pPr>
          </w:p>
        </w:tc>
        <w:tc>
          <w:tcPr>
            <w:tcW w:w="2965" w:type="pct"/>
            <w:tcBorders>
              <w:top w:val="nil"/>
              <w:bottom w:val="single" w:sz="4" w:space="0" w:color="auto"/>
            </w:tcBorders>
          </w:tcPr>
          <w:p w:rsidR="00B203AE" w:rsidRPr="00E34A35" w:rsidRDefault="00B203AE" w:rsidP="009F0049">
            <w:pPr>
              <w:pStyle w:val="Tabletext"/>
              <w:keepNext/>
              <w:rPr>
                <w:szCs w:val="18"/>
              </w:rPr>
            </w:pPr>
            <w:r w:rsidRPr="005139BC">
              <w:rPr>
                <w:szCs w:val="18"/>
                <w:lang w:val="it-IT" w:eastAsia="en-AU"/>
              </w:rPr>
              <w:t>Gracies J-M, O’Dell M, Vecchio M et al.</w:t>
            </w:r>
            <w:r w:rsidR="00642FE1">
              <w:rPr>
                <w:szCs w:val="18"/>
                <w:lang w:val="it-IT" w:eastAsia="en-AU"/>
              </w:rPr>
              <w:t xml:space="preserve"> </w:t>
            </w:r>
            <w:r>
              <w:rPr>
                <w:szCs w:val="18"/>
                <w:lang w:eastAsia="en-AU"/>
              </w:rPr>
              <w:t xml:space="preserve">Effects of repeated </w:t>
            </w:r>
            <w:proofErr w:type="spellStart"/>
            <w:r>
              <w:rPr>
                <w:szCs w:val="18"/>
                <w:lang w:eastAsia="en-AU"/>
              </w:rPr>
              <w:t>abobotulinumtoxinA</w:t>
            </w:r>
            <w:proofErr w:type="spellEnd"/>
            <w:r>
              <w:rPr>
                <w:szCs w:val="18"/>
                <w:lang w:eastAsia="en-AU"/>
              </w:rPr>
              <w:t xml:space="preserve"> injections in upper limb spasticity.</w:t>
            </w:r>
          </w:p>
        </w:tc>
        <w:tc>
          <w:tcPr>
            <w:tcW w:w="1473" w:type="pct"/>
            <w:tcBorders>
              <w:top w:val="nil"/>
              <w:bottom w:val="single" w:sz="4" w:space="0" w:color="auto"/>
            </w:tcBorders>
          </w:tcPr>
          <w:p w:rsidR="00B203AE" w:rsidRPr="00CB38A8" w:rsidRDefault="00B203AE" w:rsidP="009F0049">
            <w:pPr>
              <w:pStyle w:val="Tabletext"/>
              <w:keepNext/>
              <w:rPr>
                <w:i/>
              </w:rPr>
            </w:pPr>
            <w:r>
              <w:rPr>
                <w:i/>
                <w:szCs w:val="18"/>
              </w:rPr>
              <w:t>Muscle Nerve</w:t>
            </w:r>
            <w:r w:rsidRPr="00F74CD9">
              <w:rPr>
                <w:i/>
                <w:szCs w:val="18"/>
              </w:rPr>
              <w:t xml:space="preserve"> </w:t>
            </w:r>
            <w:r>
              <w:rPr>
                <w:szCs w:val="18"/>
              </w:rPr>
              <w:t>2018; 57: 245-254.</w:t>
            </w:r>
          </w:p>
        </w:tc>
      </w:tr>
      <w:tr w:rsidR="00B203AE" w:rsidRPr="00CB38A8" w:rsidTr="00B6406E">
        <w:tc>
          <w:tcPr>
            <w:tcW w:w="5000" w:type="pct"/>
            <w:gridSpan w:val="3"/>
            <w:vAlign w:val="center"/>
          </w:tcPr>
          <w:p w:rsidR="00B203AE" w:rsidRPr="009A6360" w:rsidRDefault="00B203AE" w:rsidP="009F0049">
            <w:pPr>
              <w:pStyle w:val="Tabletext"/>
              <w:keepNext/>
              <w:rPr>
                <w:b/>
                <w:bCs/>
                <w:iCs/>
                <w:szCs w:val="18"/>
              </w:rPr>
            </w:pPr>
            <w:r w:rsidRPr="009A6360">
              <w:rPr>
                <w:b/>
                <w:bCs/>
                <w:iCs/>
                <w:szCs w:val="18"/>
              </w:rPr>
              <w:t>Supportive trials</w:t>
            </w:r>
          </w:p>
        </w:tc>
      </w:tr>
      <w:tr w:rsidR="00B203AE" w:rsidRPr="00CB38A8" w:rsidTr="00B6406E">
        <w:tc>
          <w:tcPr>
            <w:tcW w:w="562" w:type="pct"/>
            <w:vAlign w:val="center"/>
          </w:tcPr>
          <w:p w:rsidR="00B203AE" w:rsidRPr="00CB38A8" w:rsidRDefault="00B203AE" w:rsidP="009F0049">
            <w:pPr>
              <w:pStyle w:val="Tabletext"/>
              <w:keepNext/>
            </w:pPr>
            <w:r>
              <w:t>Smith 2000</w:t>
            </w:r>
          </w:p>
        </w:tc>
        <w:tc>
          <w:tcPr>
            <w:tcW w:w="2965" w:type="pct"/>
          </w:tcPr>
          <w:p w:rsidR="00B203AE" w:rsidRPr="00CB38A8" w:rsidRDefault="00B203AE" w:rsidP="009F0049">
            <w:pPr>
              <w:pStyle w:val="Tabletext"/>
              <w:keepNext/>
              <w:rPr>
                <w:rFonts w:ascii="Times" w:hAnsi="Times"/>
              </w:rPr>
            </w:pPr>
            <w:r w:rsidRPr="005C1050">
              <w:rPr>
                <w:szCs w:val="18"/>
                <w:lang w:eastAsia="en-AU"/>
              </w:rPr>
              <w:t>Smith SJ, Ellis E, White S et al.</w:t>
            </w:r>
            <w:r w:rsidR="00642FE1">
              <w:rPr>
                <w:szCs w:val="18"/>
                <w:lang w:eastAsia="en-AU"/>
              </w:rPr>
              <w:t xml:space="preserve"> </w:t>
            </w:r>
            <w:r>
              <w:rPr>
                <w:szCs w:val="18"/>
                <w:lang w:eastAsia="en-AU"/>
              </w:rPr>
              <w:t>A double-blind placebo-controlled study of botulinum toxin in upper limb spasticity after stroke or head injury.</w:t>
            </w:r>
          </w:p>
        </w:tc>
        <w:tc>
          <w:tcPr>
            <w:tcW w:w="1473" w:type="pct"/>
          </w:tcPr>
          <w:p w:rsidR="00B203AE" w:rsidRPr="00CB38A8" w:rsidRDefault="00B203AE" w:rsidP="009F0049">
            <w:pPr>
              <w:pStyle w:val="Tabletext"/>
              <w:keepNext/>
              <w:rPr>
                <w:rFonts w:ascii="Times" w:hAnsi="Times"/>
              </w:rPr>
            </w:pPr>
            <w:r>
              <w:rPr>
                <w:i/>
                <w:szCs w:val="18"/>
              </w:rPr>
              <w:t>Clinical Rehabilitation</w:t>
            </w:r>
            <w:r>
              <w:rPr>
                <w:szCs w:val="18"/>
              </w:rPr>
              <w:t xml:space="preserve"> 2000; 14: 5-13</w:t>
            </w:r>
            <w:r w:rsidRPr="00E34A35">
              <w:rPr>
                <w:szCs w:val="18"/>
              </w:rPr>
              <w:t>.</w:t>
            </w:r>
          </w:p>
        </w:tc>
      </w:tr>
      <w:tr w:rsidR="00B203AE" w:rsidRPr="00CB38A8" w:rsidTr="00B6406E">
        <w:tc>
          <w:tcPr>
            <w:tcW w:w="562" w:type="pct"/>
            <w:vAlign w:val="center"/>
          </w:tcPr>
          <w:p w:rsidR="00B203AE" w:rsidRDefault="00B203AE" w:rsidP="009F0049">
            <w:pPr>
              <w:pStyle w:val="Tabletext"/>
              <w:keepNext/>
            </w:pPr>
            <w:r>
              <w:t>Lam 2012</w:t>
            </w:r>
          </w:p>
        </w:tc>
        <w:tc>
          <w:tcPr>
            <w:tcW w:w="2965" w:type="pct"/>
          </w:tcPr>
          <w:p w:rsidR="00B203AE" w:rsidRPr="005C1050" w:rsidRDefault="00B203AE" w:rsidP="009F0049">
            <w:pPr>
              <w:pStyle w:val="Tabletext"/>
              <w:keepNext/>
              <w:rPr>
                <w:szCs w:val="18"/>
                <w:lang w:eastAsia="en-AU"/>
              </w:rPr>
            </w:pPr>
            <w:r w:rsidRPr="000710A5">
              <w:rPr>
                <w:szCs w:val="18"/>
                <w:lang w:val="de-DE" w:eastAsia="en-AU"/>
              </w:rPr>
              <w:t xml:space="preserve">Lam K, Lau KK, So KK et al. </w:t>
            </w:r>
            <w:r>
              <w:rPr>
                <w:szCs w:val="18"/>
                <w:lang w:eastAsia="en-AU"/>
              </w:rPr>
              <w:t>Can botulinum toxin decrease carer burden in long-term care residents with upper limb spasticity? A randomized controlled study.</w:t>
            </w:r>
          </w:p>
        </w:tc>
        <w:tc>
          <w:tcPr>
            <w:tcW w:w="1473" w:type="pct"/>
          </w:tcPr>
          <w:p w:rsidR="00B203AE" w:rsidRDefault="00B203AE" w:rsidP="009F0049">
            <w:pPr>
              <w:pStyle w:val="Tabletext"/>
              <w:keepNext/>
              <w:rPr>
                <w:i/>
                <w:szCs w:val="18"/>
              </w:rPr>
            </w:pPr>
            <w:r>
              <w:rPr>
                <w:i/>
                <w:szCs w:val="18"/>
              </w:rPr>
              <w:t>Journal of the American Medical Directors Association</w:t>
            </w:r>
            <w:r>
              <w:rPr>
                <w:szCs w:val="18"/>
              </w:rPr>
              <w:t xml:space="preserve"> 2012; 13(5): 447-484</w:t>
            </w:r>
            <w:r w:rsidRPr="00E34A35">
              <w:rPr>
                <w:szCs w:val="18"/>
              </w:rPr>
              <w:t>.</w:t>
            </w:r>
          </w:p>
        </w:tc>
      </w:tr>
    </w:tbl>
    <w:p w:rsidR="00B203AE" w:rsidRPr="00B1011F" w:rsidRDefault="00B203AE" w:rsidP="009F0049">
      <w:pPr>
        <w:pStyle w:val="TableFooter"/>
        <w:widowControl/>
        <w:rPr>
          <w:sz w:val="20"/>
        </w:rPr>
      </w:pPr>
      <w:r>
        <w:t xml:space="preserve">Source: Table 2.3, pp43-45 </w:t>
      </w:r>
      <w:r w:rsidRPr="00D13A3E">
        <w:t xml:space="preserve">of the </w:t>
      </w:r>
      <w:r>
        <w:t>submission.</w:t>
      </w:r>
    </w:p>
    <w:p w:rsidR="00B203AE" w:rsidRPr="008F120A" w:rsidRDefault="00B203AE" w:rsidP="00611D60">
      <w:pPr>
        <w:pStyle w:val="TableFooter"/>
      </w:pPr>
    </w:p>
    <w:p w:rsidR="00B203AE" w:rsidRDefault="00B203AE" w:rsidP="009F0049">
      <w:pPr>
        <w:pStyle w:val="ListParagraph"/>
        <w:widowControl/>
        <w:numPr>
          <w:ilvl w:val="1"/>
          <w:numId w:val="1"/>
        </w:numPr>
      </w:pPr>
      <w:r w:rsidRPr="00B50DB8">
        <w:t>The key features of the direct ran</w:t>
      </w:r>
      <w:r>
        <w:t>domised trials</w:t>
      </w:r>
      <w:r w:rsidRPr="00B50DB8">
        <w:t xml:space="preserve"> ar</w:t>
      </w:r>
      <w:r>
        <w:t xml:space="preserve">e summarised in </w:t>
      </w:r>
      <w:r w:rsidR="00525315">
        <w:t xml:space="preserve">Table </w:t>
      </w:r>
      <w:r w:rsidR="00525315">
        <w:rPr>
          <w:noProof/>
        </w:rPr>
        <w:t>5</w:t>
      </w:r>
      <w:r>
        <w:t>.</w:t>
      </w:r>
    </w:p>
    <w:p w:rsidR="00B203AE" w:rsidRPr="00525315" w:rsidRDefault="00525315" w:rsidP="00C37C41">
      <w:pPr>
        <w:pStyle w:val="TableHeading0"/>
      </w:pPr>
      <w:bookmarkStart w:id="12" w:name="_Ref526503611"/>
      <w:r>
        <w:lastRenderedPageBreak/>
        <w:t xml:space="preserve">Table </w:t>
      </w:r>
      <w:r w:rsidR="00877905">
        <w:rPr>
          <w:noProof/>
        </w:rPr>
        <w:t>5</w:t>
      </w:r>
      <w:bookmarkEnd w:id="12"/>
      <w:r w:rsidR="00B203AE" w:rsidRPr="00E2771E">
        <w:rPr>
          <w:rStyle w:val="CommentReference"/>
        </w:rPr>
        <w:t xml:space="preserve">: </w:t>
      </w:r>
      <w:r w:rsidR="00B203AE" w:rsidRPr="00525315">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3"/>
        <w:gridCol w:w="420"/>
        <w:gridCol w:w="986"/>
        <w:gridCol w:w="703"/>
        <w:gridCol w:w="2112"/>
        <w:gridCol w:w="2224"/>
        <w:gridCol w:w="1699"/>
      </w:tblGrid>
      <w:tr w:rsidR="00B203AE" w:rsidRPr="00B41614" w:rsidTr="002317D7">
        <w:tc>
          <w:tcPr>
            <w:tcW w:w="484" w:type="pct"/>
            <w:shd w:val="clear" w:color="auto" w:fill="auto"/>
            <w:vAlign w:val="center"/>
          </w:tcPr>
          <w:p w:rsidR="00B203AE" w:rsidRPr="00B41614" w:rsidRDefault="00B203AE" w:rsidP="00C37C41">
            <w:pPr>
              <w:pStyle w:val="Tabletext"/>
              <w:keepNext/>
              <w:rPr>
                <w:b/>
                <w:lang w:val="en-US"/>
              </w:rPr>
            </w:pPr>
            <w:r w:rsidRPr="00B41614">
              <w:rPr>
                <w:b/>
                <w:lang w:val="en-US"/>
              </w:rPr>
              <w:t>Trial</w:t>
            </w:r>
          </w:p>
        </w:tc>
        <w:tc>
          <w:tcPr>
            <w:tcW w:w="233" w:type="pct"/>
            <w:shd w:val="clear" w:color="auto" w:fill="auto"/>
            <w:vAlign w:val="center"/>
          </w:tcPr>
          <w:p w:rsidR="00B203AE" w:rsidRPr="00B41614" w:rsidRDefault="00B203AE" w:rsidP="00C37C41">
            <w:pPr>
              <w:pStyle w:val="Tabletext"/>
              <w:keepNext/>
              <w:jc w:val="center"/>
              <w:rPr>
                <w:b/>
                <w:lang w:val="en-US"/>
              </w:rPr>
            </w:pPr>
            <w:r w:rsidRPr="00B41614">
              <w:rPr>
                <w:b/>
                <w:lang w:val="en-US"/>
              </w:rPr>
              <w:t>N</w:t>
            </w:r>
          </w:p>
        </w:tc>
        <w:tc>
          <w:tcPr>
            <w:tcW w:w="547" w:type="pct"/>
            <w:shd w:val="clear" w:color="auto" w:fill="auto"/>
            <w:vAlign w:val="center"/>
          </w:tcPr>
          <w:p w:rsidR="00B203AE" w:rsidRPr="00B41614" w:rsidRDefault="00B203AE" w:rsidP="00C37C41">
            <w:pPr>
              <w:pStyle w:val="Tabletext"/>
              <w:keepNext/>
              <w:jc w:val="center"/>
              <w:rPr>
                <w:b/>
                <w:lang w:val="en-US"/>
              </w:rPr>
            </w:pPr>
            <w:r w:rsidRPr="00B41614">
              <w:rPr>
                <w:b/>
                <w:lang w:val="en-US"/>
              </w:rPr>
              <w:t>Design/ duration</w:t>
            </w:r>
          </w:p>
        </w:tc>
        <w:tc>
          <w:tcPr>
            <w:tcW w:w="390" w:type="pct"/>
            <w:shd w:val="clear" w:color="auto" w:fill="auto"/>
            <w:vAlign w:val="center"/>
          </w:tcPr>
          <w:p w:rsidR="00B203AE" w:rsidRPr="00B41614" w:rsidRDefault="00B203AE" w:rsidP="00C37C41">
            <w:pPr>
              <w:pStyle w:val="Tabletext"/>
              <w:keepNext/>
              <w:jc w:val="center"/>
              <w:rPr>
                <w:b/>
                <w:lang w:val="en-US"/>
              </w:rPr>
            </w:pPr>
            <w:r w:rsidRPr="00B41614">
              <w:rPr>
                <w:b/>
                <w:lang w:val="en-US"/>
              </w:rPr>
              <w:t>Risk of bias</w:t>
            </w:r>
          </w:p>
        </w:tc>
        <w:tc>
          <w:tcPr>
            <w:tcW w:w="1171" w:type="pct"/>
            <w:shd w:val="clear" w:color="auto" w:fill="auto"/>
            <w:vAlign w:val="center"/>
          </w:tcPr>
          <w:p w:rsidR="00B203AE" w:rsidRPr="00B41614" w:rsidRDefault="00B203AE" w:rsidP="00C37C41">
            <w:pPr>
              <w:pStyle w:val="Tabletext"/>
              <w:keepNext/>
              <w:jc w:val="center"/>
              <w:rPr>
                <w:b/>
                <w:lang w:val="en-US"/>
              </w:rPr>
            </w:pPr>
            <w:r w:rsidRPr="00B41614">
              <w:rPr>
                <w:b/>
                <w:lang w:val="en-US"/>
              </w:rPr>
              <w:t>Patient population</w:t>
            </w:r>
          </w:p>
        </w:tc>
        <w:tc>
          <w:tcPr>
            <w:tcW w:w="1233" w:type="pct"/>
            <w:shd w:val="clear" w:color="auto" w:fill="auto"/>
            <w:vAlign w:val="center"/>
          </w:tcPr>
          <w:p w:rsidR="00B203AE" w:rsidRPr="00B41614" w:rsidRDefault="00B203AE" w:rsidP="00C37C41">
            <w:pPr>
              <w:pStyle w:val="Tabletext"/>
              <w:keepNext/>
              <w:jc w:val="center"/>
              <w:rPr>
                <w:b/>
                <w:lang w:val="en-US"/>
              </w:rPr>
            </w:pPr>
            <w:r w:rsidRPr="00B41614">
              <w:rPr>
                <w:b/>
                <w:lang w:val="en-US"/>
              </w:rPr>
              <w:t>Outcome(s)</w:t>
            </w:r>
          </w:p>
        </w:tc>
        <w:tc>
          <w:tcPr>
            <w:tcW w:w="943" w:type="pct"/>
            <w:shd w:val="clear" w:color="auto" w:fill="auto"/>
            <w:vAlign w:val="center"/>
          </w:tcPr>
          <w:p w:rsidR="00B203AE" w:rsidRPr="00B41614" w:rsidRDefault="00B203AE" w:rsidP="00C37C41">
            <w:pPr>
              <w:pStyle w:val="Tabletext"/>
              <w:keepNext/>
              <w:jc w:val="center"/>
              <w:rPr>
                <w:b/>
                <w:lang w:val="en-US"/>
              </w:rPr>
            </w:pPr>
            <w:r w:rsidRPr="00B41614">
              <w:rPr>
                <w:b/>
                <w:lang w:val="en-US"/>
              </w:rPr>
              <w:t>Use in modelled evaluation</w:t>
            </w:r>
          </w:p>
        </w:tc>
      </w:tr>
      <w:tr w:rsidR="00B203AE" w:rsidRPr="00E2771E" w:rsidTr="00E30A25">
        <w:tc>
          <w:tcPr>
            <w:tcW w:w="5000" w:type="pct"/>
            <w:gridSpan w:val="7"/>
            <w:shd w:val="clear" w:color="auto" w:fill="auto"/>
            <w:vAlign w:val="center"/>
          </w:tcPr>
          <w:p w:rsidR="00B203AE" w:rsidRPr="00B41614" w:rsidRDefault="00B203AE" w:rsidP="00C37C41">
            <w:pPr>
              <w:pStyle w:val="Tabletext"/>
              <w:keepNext/>
              <w:rPr>
                <w:b/>
                <w:lang w:val="en-US"/>
              </w:rPr>
            </w:pPr>
            <w:r>
              <w:rPr>
                <w:b/>
                <w:lang w:val="en-US"/>
              </w:rPr>
              <w:t>Dysport</w:t>
            </w:r>
            <w:r w:rsidR="008105FE" w:rsidRPr="002317D7">
              <w:rPr>
                <w:b/>
                <w:vertAlign w:val="superscript"/>
                <w:lang w:val="en-US"/>
              </w:rPr>
              <w:t>®</w:t>
            </w:r>
            <w:r>
              <w:rPr>
                <w:b/>
                <w:lang w:val="en-US"/>
              </w:rPr>
              <w:t xml:space="preserve"> vs. placebo</w:t>
            </w:r>
          </w:p>
        </w:tc>
      </w:tr>
      <w:tr w:rsidR="00B203AE" w:rsidRPr="00E2771E" w:rsidTr="002317D7">
        <w:tc>
          <w:tcPr>
            <w:tcW w:w="484" w:type="pct"/>
            <w:shd w:val="clear" w:color="auto" w:fill="auto"/>
            <w:vAlign w:val="center"/>
          </w:tcPr>
          <w:p w:rsidR="00B203AE" w:rsidRPr="00E2771E" w:rsidRDefault="00B203AE" w:rsidP="00C37C41">
            <w:pPr>
              <w:pStyle w:val="Tabletext"/>
              <w:keepNext/>
              <w:rPr>
                <w:lang w:val="en-US"/>
              </w:rPr>
            </w:pPr>
            <w:r>
              <w:rPr>
                <w:lang w:val="en-US"/>
              </w:rPr>
              <w:t>Study 145</w:t>
            </w:r>
          </w:p>
        </w:tc>
        <w:tc>
          <w:tcPr>
            <w:tcW w:w="233" w:type="pct"/>
            <w:shd w:val="clear" w:color="auto" w:fill="auto"/>
            <w:vAlign w:val="center"/>
          </w:tcPr>
          <w:p w:rsidR="00B203AE" w:rsidRPr="00E2771E" w:rsidRDefault="00B203AE" w:rsidP="00C37C41">
            <w:pPr>
              <w:pStyle w:val="Tabletext"/>
              <w:keepNext/>
              <w:jc w:val="center"/>
              <w:rPr>
                <w:lang w:val="en-US"/>
              </w:rPr>
            </w:pPr>
            <w:r>
              <w:rPr>
                <w:lang w:val="en-US"/>
              </w:rPr>
              <w:t>243</w:t>
            </w:r>
          </w:p>
        </w:tc>
        <w:tc>
          <w:tcPr>
            <w:tcW w:w="547" w:type="pct"/>
            <w:shd w:val="clear" w:color="auto" w:fill="auto"/>
            <w:vAlign w:val="center"/>
          </w:tcPr>
          <w:p w:rsidR="00B203AE" w:rsidRPr="00E2771E" w:rsidRDefault="00B203AE" w:rsidP="00C37C41">
            <w:pPr>
              <w:pStyle w:val="Tabletext"/>
              <w:keepNext/>
              <w:jc w:val="center"/>
              <w:rPr>
                <w:lang w:val="en-US"/>
              </w:rPr>
            </w:pPr>
            <w:r w:rsidRPr="00E2771E">
              <w:rPr>
                <w:lang w:val="en-US"/>
              </w:rPr>
              <w:t>R, DB</w:t>
            </w:r>
            <w:r>
              <w:rPr>
                <w:lang w:val="en-US"/>
              </w:rPr>
              <w:t>, MC</w:t>
            </w:r>
          </w:p>
          <w:p w:rsidR="00B203AE" w:rsidRPr="00E2771E" w:rsidRDefault="00B203AE" w:rsidP="00C37C41">
            <w:pPr>
              <w:pStyle w:val="Tabletext"/>
              <w:keepNext/>
              <w:jc w:val="center"/>
              <w:rPr>
                <w:lang w:val="en-US"/>
              </w:rPr>
            </w:pPr>
            <w:r>
              <w:rPr>
                <w:lang w:val="en-US"/>
              </w:rPr>
              <w:t>12-24 w</w:t>
            </w:r>
            <w:r w:rsidR="00C903CB">
              <w:rPr>
                <w:lang w:val="en-US"/>
              </w:rPr>
              <w:t>ee</w:t>
            </w:r>
            <w:r>
              <w:rPr>
                <w:lang w:val="en-US"/>
              </w:rPr>
              <w:t>ks</w:t>
            </w:r>
          </w:p>
        </w:tc>
        <w:tc>
          <w:tcPr>
            <w:tcW w:w="390" w:type="pct"/>
            <w:shd w:val="clear" w:color="auto" w:fill="auto"/>
            <w:vAlign w:val="center"/>
          </w:tcPr>
          <w:p w:rsidR="00B203AE" w:rsidRPr="00E2771E" w:rsidRDefault="00B203AE" w:rsidP="00C37C41">
            <w:pPr>
              <w:pStyle w:val="Tabletext"/>
              <w:keepNext/>
              <w:jc w:val="center"/>
              <w:rPr>
                <w:lang w:val="en-US"/>
              </w:rPr>
            </w:pPr>
            <w:r w:rsidRPr="00E2771E">
              <w:rPr>
                <w:lang w:val="en-US"/>
              </w:rPr>
              <w:t>Low</w:t>
            </w:r>
          </w:p>
        </w:tc>
        <w:tc>
          <w:tcPr>
            <w:tcW w:w="1171" w:type="pct"/>
            <w:vMerge w:val="restart"/>
            <w:shd w:val="clear" w:color="auto" w:fill="auto"/>
            <w:vAlign w:val="center"/>
          </w:tcPr>
          <w:p w:rsidR="00B203AE" w:rsidRPr="00E2771E" w:rsidRDefault="00B203AE" w:rsidP="00C37C41">
            <w:pPr>
              <w:pStyle w:val="Tabletext"/>
              <w:keepNext/>
              <w:jc w:val="center"/>
              <w:rPr>
                <w:lang w:val="en-US"/>
              </w:rPr>
            </w:pPr>
            <w:r w:rsidRPr="00170785">
              <w:rPr>
                <w:snapToGrid w:val="0"/>
                <w:szCs w:val="20"/>
              </w:rPr>
              <w:t xml:space="preserve">Post-stroke </w:t>
            </w:r>
            <w:r>
              <w:rPr>
                <w:snapToGrid w:val="0"/>
                <w:szCs w:val="20"/>
              </w:rPr>
              <w:t>(</w:t>
            </w:r>
            <w:r>
              <w:rPr>
                <w:snapToGrid w:val="0"/>
                <w:szCs w:val="20"/>
              </w:rPr>
              <w:sym w:font="Symbol" w:char="F0BB"/>
            </w:r>
            <w:r>
              <w:rPr>
                <w:snapToGrid w:val="0"/>
                <w:szCs w:val="20"/>
              </w:rPr>
              <w:t xml:space="preserve">90%) </w:t>
            </w:r>
            <w:r w:rsidRPr="00170785">
              <w:rPr>
                <w:snapToGrid w:val="0"/>
                <w:szCs w:val="20"/>
              </w:rPr>
              <w:t>or TB</w:t>
            </w:r>
            <w:r>
              <w:rPr>
                <w:snapToGrid w:val="0"/>
                <w:szCs w:val="20"/>
              </w:rPr>
              <w:t>I (</w:t>
            </w:r>
            <w:r>
              <w:rPr>
                <w:snapToGrid w:val="0"/>
                <w:szCs w:val="20"/>
              </w:rPr>
              <w:sym w:font="Symbol" w:char="F0BB"/>
            </w:r>
            <w:r>
              <w:rPr>
                <w:snapToGrid w:val="0"/>
                <w:szCs w:val="20"/>
              </w:rPr>
              <w:t xml:space="preserve">10%) </w:t>
            </w:r>
            <w:r w:rsidR="006803B0">
              <w:rPr>
                <w:snapToGrid w:val="0"/>
                <w:szCs w:val="20"/>
              </w:rPr>
              <w:t>≥</w:t>
            </w:r>
            <w:r w:rsidR="00C903CB">
              <w:rPr>
                <w:snapToGrid w:val="0"/>
                <w:szCs w:val="20"/>
              </w:rPr>
              <w:t xml:space="preserve"> </w:t>
            </w:r>
            <w:r>
              <w:rPr>
                <w:snapToGrid w:val="0"/>
                <w:szCs w:val="20"/>
              </w:rPr>
              <w:t>6</w:t>
            </w:r>
            <w:r w:rsidR="00C903CB">
              <w:rPr>
                <w:snapToGrid w:val="0"/>
                <w:szCs w:val="20"/>
              </w:rPr>
              <w:t xml:space="preserve"> </w:t>
            </w:r>
            <w:r>
              <w:rPr>
                <w:snapToGrid w:val="0"/>
                <w:szCs w:val="20"/>
              </w:rPr>
              <w:t>m</w:t>
            </w:r>
            <w:r w:rsidR="00C903CB">
              <w:rPr>
                <w:snapToGrid w:val="0"/>
                <w:szCs w:val="20"/>
              </w:rPr>
              <w:t>on</w:t>
            </w:r>
            <w:r>
              <w:rPr>
                <w:snapToGrid w:val="0"/>
                <w:szCs w:val="20"/>
              </w:rPr>
              <w:t>th</w:t>
            </w:r>
            <w:r w:rsidR="00C903CB">
              <w:rPr>
                <w:snapToGrid w:val="0"/>
                <w:szCs w:val="20"/>
              </w:rPr>
              <w:t>s</w:t>
            </w:r>
            <w:r w:rsidR="002317D7">
              <w:rPr>
                <w:snapToGrid w:val="0"/>
                <w:szCs w:val="20"/>
              </w:rPr>
              <w:t xml:space="preserve"> previously</w:t>
            </w:r>
            <w:r w:rsidR="006803B0">
              <w:rPr>
                <w:snapToGrid w:val="0"/>
                <w:szCs w:val="20"/>
              </w:rPr>
              <w:t xml:space="preserve">; </w:t>
            </w:r>
            <w:r w:rsidR="002317D7">
              <w:rPr>
                <w:snapToGrid w:val="0"/>
                <w:szCs w:val="20"/>
              </w:rPr>
              <w:br/>
            </w:r>
            <w:r w:rsidR="006803B0">
              <w:rPr>
                <w:snapToGrid w:val="0"/>
                <w:szCs w:val="20"/>
              </w:rPr>
              <w:t>MAS</w:t>
            </w:r>
            <w:r w:rsidR="002317D7">
              <w:rPr>
                <w:snapToGrid w:val="0"/>
                <w:szCs w:val="20"/>
              </w:rPr>
              <w:t xml:space="preserve"> </w:t>
            </w:r>
            <w:r w:rsidR="006803B0">
              <w:rPr>
                <w:snapToGrid w:val="0"/>
                <w:szCs w:val="20"/>
              </w:rPr>
              <w:t>≥</w:t>
            </w:r>
            <w:r w:rsidR="002317D7">
              <w:rPr>
                <w:snapToGrid w:val="0"/>
                <w:szCs w:val="20"/>
              </w:rPr>
              <w:t xml:space="preserve"> </w:t>
            </w:r>
            <w:r w:rsidR="006803B0">
              <w:rPr>
                <w:snapToGrid w:val="0"/>
                <w:szCs w:val="20"/>
              </w:rPr>
              <w:t>2 toxin naïve, MAS</w:t>
            </w:r>
            <w:r w:rsidR="002317D7">
              <w:rPr>
                <w:snapToGrid w:val="0"/>
                <w:szCs w:val="20"/>
              </w:rPr>
              <w:t xml:space="preserve"> </w:t>
            </w:r>
            <w:r w:rsidR="006803B0">
              <w:rPr>
                <w:snapToGrid w:val="0"/>
                <w:szCs w:val="20"/>
              </w:rPr>
              <w:t>≥</w:t>
            </w:r>
            <w:r w:rsidR="002317D7">
              <w:rPr>
                <w:snapToGrid w:val="0"/>
                <w:szCs w:val="20"/>
              </w:rPr>
              <w:t xml:space="preserve"> </w:t>
            </w:r>
            <w:r>
              <w:rPr>
                <w:snapToGrid w:val="0"/>
                <w:szCs w:val="20"/>
              </w:rPr>
              <w:t>3 non-</w:t>
            </w:r>
            <w:r w:rsidR="002317D7">
              <w:rPr>
                <w:snapToGrid w:val="0"/>
                <w:szCs w:val="20"/>
              </w:rPr>
              <w:t xml:space="preserve">toxin </w:t>
            </w:r>
            <w:r>
              <w:rPr>
                <w:snapToGrid w:val="0"/>
                <w:szCs w:val="20"/>
              </w:rPr>
              <w:t>naïve</w:t>
            </w:r>
          </w:p>
        </w:tc>
        <w:tc>
          <w:tcPr>
            <w:tcW w:w="1233" w:type="pct"/>
            <w:shd w:val="clear" w:color="auto" w:fill="auto"/>
            <w:vAlign w:val="center"/>
          </w:tcPr>
          <w:p w:rsidR="00B203AE" w:rsidRDefault="002317D7" w:rsidP="00C37C41">
            <w:pPr>
              <w:pStyle w:val="TableText0"/>
              <w:jc w:val="center"/>
              <w:rPr>
                <w:rFonts w:eastAsia="Times New Roman" w:cs="Times New Roman"/>
              </w:rPr>
            </w:pPr>
            <w:r>
              <w:rPr>
                <w:rFonts w:eastAsia="Times New Roman" w:cs="Times New Roman"/>
              </w:rPr>
              <w:t>1º</w:t>
            </w:r>
            <w:r w:rsidR="00B203AE">
              <w:rPr>
                <w:rFonts w:eastAsia="Times New Roman" w:cs="Times New Roman"/>
              </w:rPr>
              <w:t xml:space="preserve">: change in MAS at </w:t>
            </w:r>
            <w:r w:rsidR="00A20425">
              <w:rPr>
                <w:rFonts w:eastAsia="Times New Roman" w:cs="Times New Roman"/>
              </w:rPr>
              <w:br/>
            </w:r>
            <w:r w:rsidR="00B203AE">
              <w:rPr>
                <w:rFonts w:eastAsia="Times New Roman" w:cs="Times New Roman"/>
              </w:rPr>
              <w:t>4</w:t>
            </w:r>
            <w:r w:rsidR="00A20425">
              <w:rPr>
                <w:rFonts w:eastAsia="Times New Roman" w:cs="Times New Roman"/>
              </w:rPr>
              <w:t xml:space="preserve"> </w:t>
            </w:r>
            <w:r w:rsidR="00B203AE">
              <w:rPr>
                <w:rFonts w:eastAsia="Times New Roman" w:cs="Times New Roman"/>
              </w:rPr>
              <w:t>w</w:t>
            </w:r>
            <w:r>
              <w:rPr>
                <w:rFonts w:eastAsia="Times New Roman" w:cs="Times New Roman"/>
              </w:rPr>
              <w:t>ee</w:t>
            </w:r>
            <w:r w:rsidR="00B203AE">
              <w:rPr>
                <w:rFonts w:eastAsia="Times New Roman" w:cs="Times New Roman"/>
              </w:rPr>
              <w:t>ks</w:t>
            </w:r>
          </w:p>
          <w:p w:rsidR="00B203AE" w:rsidRPr="00E2771E" w:rsidRDefault="002317D7" w:rsidP="00C37C41">
            <w:pPr>
              <w:pStyle w:val="Tabletext"/>
              <w:keepNext/>
              <w:jc w:val="center"/>
              <w:rPr>
                <w:lang w:val="en-US"/>
              </w:rPr>
            </w:pPr>
            <w:r>
              <w:t>2º</w:t>
            </w:r>
            <w:r w:rsidR="00B203AE">
              <w:t xml:space="preserve">: </w:t>
            </w:r>
            <w:r w:rsidR="00B203AE" w:rsidRPr="00FA0278">
              <w:t>PGA,</w:t>
            </w:r>
            <w:r w:rsidR="00B203AE">
              <w:t xml:space="preserve"> DAS</w:t>
            </w:r>
          </w:p>
        </w:tc>
        <w:tc>
          <w:tcPr>
            <w:tcW w:w="943" w:type="pct"/>
            <w:shd w:val="clear" w:color="auto" w:fill="auto"/>
            <w:vAlign w:val="center"/>
          </w:tcPr>
          <w:p w:rsidR="00B203AE" w:rsidRDefault="00B203AE" w:rsidP="00C37C41">
            <w:pPr>
              <w:pStyle w:val="Tabletext"/>
              <w:keepNext/>
              <w:jc w:val="center"/>
              <w:rPr>
                <w:lang w:val="en-US"/>
              </w:rPr>
            </w:pPr>
            <w:r>
              <w:rPr>
                <w:lang w:val="en-US"/>
              </w:rPr>
              <w:t xml:space="preserve">Base case: MAS </w:t>
            </w:r>
            <w:proofErr w:type="spellStart"/>
            <w:r>
              <w:rPr>
                <w:lang w:val="en-US"/>
              </w:rPr>
              <w:t>responder</w:t>
            </w:r>
            <w:r w:rsidRPr="00FB65CA">
              <w:rPr>
                <w:vertAlign w:val="superscript"/>
                <w:lang w:val="en-US"/>
              </w:rPr>
              <w:t>a</w:t>
            </w:r>
            <w:proofErr w:type="spellEnd"/>
          </w:p>
          <w:p w:rsidR="00B203AE" w:rsidRPr="00E2771E" w:rsidRDefault="00B203AE" w:rsidP="00C37C41">
            <w:pPr>
              <w:pStyle w:val="Tabletext"/>
              <w:keepNext/>
              <w:jc w:val="center"/>
              <w:rPr>
                <w:lang w:val="en-US"/>
              </w:rPr>
            </w:pPr>
            <w:r>
              <w:rPr>
                <w:lang w:val="en-US"/>
              </w:rPr>
              <w:t xml:space="preserve">Sensitivity: </w:t>
            </w:r>
            <w:proofErr w:type="spellStart"/>
            <w:r>
              <w:rPr>
                <w:lang w:val="en-US"/>
              </w:rPr>
              <w:t>PGA</w:t>
            </w:r>
            <w:r w:rsidRPr="000E051F">
              <w:rPr>
                <w:vertAlign w:val="superscript"/>
                <w:lang w:val="en-US"/>
              </w:rPr>
              <w:t>b</w:t>
            </w:r>
            <w:proofErr w:type="spellEnd"/>
            <w:r w:rsidRPr="000E051F">
              <w:rPr>
                <w:vertAlign w:val="superscript"/>
                <w:lang w:val="en-US"/>
              </w:rPr>
              <w:t xml:space="preserve"> </w:t>
            </w:r>
            <w:r>
              <w:rPr>
                <w:lang w:val="en-US"/>
              </w:rPr>
              <w:t xml:space="preserve">and DAS </w:t>
            </w:r>
            <w:proofErr w:type="spellStart"/>
            <w:r>
              <w:rPr>
                <w:lang w:val="en-US"/>
              </w:rPr>
              <w:t>responders</w:t>
            </w:r>
            <w:r w:rsidRPr="000E051F">
              <w:rPr>
                <w:vertAlign w:val="superscript"/>
                <w:lang w:val="en-US"/>
              </w:rPr>
              <w:t>c</w:t>
            </w:r>
            <w:proofErr w:type="spellEnd"/>
          </w:p>
        </w:tc>
      </w:tr>
      <w:tr w:rsidR="00B203AE" w:rsidRPr="00E2771E" w:rsidTr="002317D7">
        <w:tc>
          <w:tcPr>
            <w:tcW w:w="484" w:type="pct"/>
            <w:shd w:val="clear" w:color="auto" w:fill="auto"/>
            <w:vAlign w:val="center"/>
          </w:tcPr>
          <w:p w:rsidR="00B203AE" w:rsidRPr="00E2771E" w:rsidRDefault="00B203AE" w:rsidP="00C37C41">
            <w:pPr>
              <w:pStyle w:val="Tabletext"/>
              <w:keepNext/>
              <w:rPr>
                <w:lang w:val="en-US"/>
              </w:rPr>
            </w:pPr>
            <w:r>
              <w:rPr>
                <w:lang w:val="en-US"/>
              </w:rPr>
              <w:t>Study 148</w:t>
            </w:r>
          </w:p>
        </w:tc>
        <w:tc>
          <w:tcPr>
            <w:tcW w:w="233" w:type="pct"/>
            <w:shd w:val="clear" w:color="auto" w:fill="auto"/>
            <w:vAlign w:val="center"/>
          </w:tcPr>
          <w:p w:rsidR="00B203AE" w:rsidRPr="00E2771E" w:rsidRDefault="00B203AE" w:rsidP="00C37C41">
            <w:pPr>
              <w:pStyle w:val="Tabletext"/>
              <w:keepNext/>
              <w:jc w:val="center"/>
              <w:rPr>
                <w:lang w:val="en-US"/>
              </w:rPr>
            </w:pPr>
            <w:r>
              <w:rPr>
                <w:lang w:val="en-US"/>
              </w:rPr>
              <w:t>254</w:t>
            </w:r>
          </w:p>
        </w:tc>
        <w:tc>
          <w:tcPr>
            <w:tcW w:w="547" w:type="pct"/>
            <w:shd w:val="clear" w:color="auto" w:fill="auto"/>
            <w:vAlign w:val="center"/>
          </w:tcPr>
          <w:p w:rsidR="00B203AE" w:rsidRPr="00E2771E" w:rsidRDefault="00B203AE" w:rsidP="00C37C41">
            <w:pPr>
              <w:pStyle w:val="Tabletext"/>
              <w:keepNext/>
              <w:jc w:val="center"/>
              <w:rPr>
                <w:lang w:val="en-US"/>
              </w:rPr>
            </w:pPr>
            <w:r w:rsidRPr="00E2771E">
              <w:rPr>
                <w:lang w:val="en-US"/>
              </w:rPr>
              <w:t>R, OL</w:t>
            </w:r>
            <w:r>
              <w:rPr>
                <w:lang w:val="en-US"/>
              </w:rPr>
              <w:t>, MC</w:t>
            </w:r>
          </w:p>
          <w:p w:rsidR="00B203AE" w:rsidRPr="00E2771E" w:rsidRDefault="00B203AE" w:rsidP="00C37C41">
            <w:pPr>
              <w:pStyle w:val="Tabletext"/>
              <w:keepNext/>
              <w:jc w:val="center"/>
              <w:rPr>
                <w:lang w:val="en-US"/>
              </w:rPr>
            </w:pPr>
            <w:r>
              <w:rPr>
                <w:lang w:val="en-US"/>
              </w:rPr>
              <w:t>12</w:t>
            </w:r>
            <w:r w:rsidRPr="00E2771E">
              <w:rPr>
                <w:lang w:val="en-US"/>
              </w:rPr>
              <w:t xml:space="preserve"> m</w:t>
            </w:r>
            <w:r w:rsidR="00C903CB">
              <w:rPr>
                <w:lang w:val="en-US"/>
              </w:rPr>
              <w:t>on</w:t>
            </w:r>
            <w:r w:rsidRPr="00E2771E">
              <w:rPr>
                <w:lang w:val="en-US"/>
              </w:rPr>
              <w:t>ths</w:t>
            </w:r>
          </w:p>
        </w:tc>
        <w:tc>
          <w:tcPr>
            <w:tcW w:w="390" w:type="pct"/>
            <w:shd w:val="clear" w:color="auto" w:fill="auto"/>
            <w:vAlign w:val="center"/>
          </w:tcPr>
          <w:p w:rsidR="00B203AE" w:rsidRPr="00E2771E" w:rsidRDefault="00B203AE" w:rsidP="00C37C41">
            <w:pPr>
              <w:pStyle w:val="Tabletext"/>
              <w:keepNext/>
              <w:jc w:val="center"/>
              <w:rPr>
                <w:lang w:val="en-US"/>
              </w:rPr>
            </w:pPr>
            <w:r w:rsidRPr="00E2771E">
              <w:rPr>
                <w:lang w:val="en-US"/>
              </w:rPr>
              <w:t>High</w:t>
            </w:r>
          </w:p>
        </w:tc>
        <w:tc>
          <w:tcPr>
            <w:tcW w:w="1171" w:type="pct"/>
            <w:vMerge/>
            <w:shd w:val="clear" w:color="auto" w:fill="auto"/>
            <w:vAlign w:val="center"/>
          </w:tcPr>
          <w:p w:rsidR="00B203AE" w:rsidRPr="00E2771E" w:rsidRDefault="00B203AE" w:rsidP="00C37C41">
            <w:pPr>
              <w:pStyle w:val="Tabletext"/>
              <w:keepNext/>
              <w:jc w:val="center"/>
              <w:rPr>
                <w:lang w:val="en-US"/>
              </w:rPr>
            </w:pPr>
          </w:p>
        </w:tc>
        <w:tc>
          <w:tcPr>
            <w:tcW w:w="1233" w:type="pct"/>
            <w:shd w:val="clear" w:color="auto" w:fill="auto"/>
            <w:vAlign w:val="center"/>
          </w:tcPr>
          <w:p w:rsidR="00B203AE" w:rsidRPr="007938CC" w:rsidRDefault="002317D7" w:rsidP="00C37C41">
            <w:pPr>
              <w:pStyle w:val="TableText0"/>
              <w:jc w:val="center"/>
              <w:rPr>
                <w:rFonts w:eastAsia="Times New Roman" w:cs="Times New Roman"/>
              </w:rPr>
            </w:pPr>
            <w:r>
              <w:rPr>
                <w:rFonts w:eastAsia="Times New Roman" w:cs="Times New Roman"/>
              </w:rPr>
              <w:t>1º</w:t>
            </w:r>
            <w:r w:rsidR="00B203AE" w:rsidRPr="007938CC">
              <w:rPr>
                <w:rFonts w:eastAsia="Times New Roman" w:cs="Times New Roman"/>
              </w:rPr>
              <w:t>: Long term safety</w:t>
            </w:r>
          </w:p>
          <w:p w:rsidR="00B203AE" w:rsidRPr="00E2771E" w:rsidRDefault="00B203AE" w:rsidP="00C37C41">
            <w:pPr>
              <w:pStyle w:val="Tabletext"/>
              <w:keepNext/>
              <w:jc w:val="center"/>
              <w:rPr>
                <w:lang w:val="en-US"/>
              </w:rPr>
            </w:pPr>
            <w:r w:rsidRPr="007938CC">
              <w:t>Ot</w:t>
            </w:r>
            <w:r>
              <w:t>her: Long term efficacy</w:t>
            </w:r>
          </w:p>
        </w:tc>
        <w:tc>
          <w:tcPr>
            <w:tcW w:w="943" w:type="pct"/>
            <w:shd w:val="clear" w:color="auto" w:fill="auto"/>
            <w:vAlign w:val="center"/>
          </w:tcPr>
          <w:p w:rsidR="00B203AE" w:rsidRPr="00E2771E" w:rsidRDefault="00B203AE" w:rsidP="00C37C41">
            <w:pPr>
              <w:pStyle w:val="Tabletext"/>
              <w:keepNext/>
              <w:jc w:val="center"/>
              <w:rPr>
                <w:lang w:val="en-US"/>
              </w:rPr>
            </w:pPr>
            <w:r w:rsidRPr="00E2771E">
              <w:rPr>
                <w:lang w:val="en-US"/>
              </w:rPr>
              <w:t>Not used</w:t>
            </w:r>
          </w:p>
        </w:tc>
      </w:tr>
      <w:tr w:rsidR="00B203AE" w:rsidRPr="00E2771E" w:rsidTr="002317D7">
        <w:tc>
          <w:tcPr>
            <w:tcW w:w="484" w:type="pct"/>
            <w:shd w:val="clear" w:color="auto" w:fill="auto"/>
            <w:vAlign w:val="center"/>
          </w:tcPr>
          <w:p w:rsidR="00B203AE" w:rsidRPr="00E2771E" w:rsidRDefault="00B203AE" w:rsidP="00C37C41">
            <w:pPr>
              <w:pStyle w:val="Tabletext"/>
              <w:keepNext/>
              <w:rPr>
                <w:lang w:val="en-US"/>
              </w:rPr>
            </w:pPr>
            <w:r>
              <w:rPr>
                <w:lang w:val="en-US"/>
              </w:rPr>
              <w:t>Smith 2000</w:t>
            </w:r>
          </w:p>
        </w:tc>
        <w:tc>
          <w:tcPr>
            <w:tcW w:w="233" w:type="pct"/>
            <w:shd w:val="clear" w:color="auto" w:fill="auto"/>
            <w:vAlign w:val="center"/>
          </w:tcPr>
          <w:p w:rsidR="00B203AE" w:rsidRPr="00E2771E" w:rsidRDefault="00B203AE" w:rsidP="00C37C41">
            <w:pPr>
              <w:pStyle w:val="Tabletext"/>
              <w:keepNext/>
              <w:jc w:val="center"/>
              <w:rPr>
                <w:lang w:val="en-US"/>
              </w:rPr>
            </w:pPr>
            <w:r>
              <w:rPr>
                <w:lang w:val="en-US"/>
              </w:rPr>
              <w:t>21</w:t>
            </w:r>
          </w:p>
        </w:tc>
        <w:tc>
          <w:tcPr>
            <w:tcW w:w="547" w:type="pct"/>
            <w:shd w:val="clear" w:color="auto" w:fill="auto"/>
            <w:vAlign w:val="center"/>
          </w:tcPr>
          <w:p w:rsidR="00B203AE" w:rsidRPr="00E2771E" w:rsidRDefault="00B203AE" w:rsidP="00C37C41">
            <w:pPr>
              <w:pStyle w:val="Tabletext"/>
              <w:keepNext/>
              <w:jc w:val="center"/>
              <w:rPr>
                <w:lang w:val="en-US"/>
              </w:rPr>
            </w:pPr>
            <w:r w:rsidRPr="00E2771E">
              <w:rPr>
                <w:lang w:val="en-US"/>
              </w:rPr>
              <w:t>R, DB</w:t>
            </w:r>
          </w:p>
          <w:p w:rsidR="00B203AE" w:rsidRPr="00E2771E" w:rsidRDefault="00B203AE" w:rsidP="00C37C41">
            <w:pPr>
              <w:pStyle w:val="Tabletext"/>
              <w:keepNext/>
              <w:jc w:val="center"/>
              <w:rPr>
                <w:lang w:val="en-US"/>
              </w:rPr>
            </w:pPr>
            <w:r>
              <w:rPr>
                <w:lang w:val="en-US"/>
              </w:rPr>
              <w:t>6-12 w</w:t>
            </w:r>
            <w:r w:rsidR="00C903CB">
              <w:rPr>
                <w:lang w:val="en-US"/>
              </w:rPr>
              <w:t>ee</w:t>
            </w:r>
            <w:r>
              <w:rPr>
                <w:lang w:val="en-US"/>
              </w:rPr>
              <w:t>k</w:t>
            </w:r>
            <w:r w:rsidRPr="00E2771E">
              <w:rPr>
                <w:lang w:val="en-US"/>
              </w:rPr>
              <w:t>s</w:t>
            </w:r>
          </w:p>
        </w:tc>
        <w:tc>
          <w:tcPr>
            <w:tcW w:w="390" w:type="pct"/>
            <w:shd w:val="clear" w:color="auto" w:fill="auto"/>
            <w:vAlign w:val="center"/>
          </w:tcPr>
          <w:p w:rsidR="00B203AE" w:rsidRPr="00E2771E" w:rsidRDefault="00B203AE" w:rsidP="00C37C41">
            <w:pPr>
              <w:pStyle w:val="Tabletext"/>
              <w:keepNext/>
              <w:jc w:val="center"/>
              <w:rPr>
                <w:lang w:val="en-US"/>
              </w:rPr>
            </w:pPr>
            <w:r w:rsidRPr="00E2771E">
              <w:rPr>
                <w:lang w:val="en-US"/>
              </w:rPr>
              <w:t>Low</w:t>
            </w:r>
          </w:p>
        </w:tc>
        <w:tc>
          <w:tcPr>
            <w:tcW w:w="1171" w:type="pct"/>
            <w:shd w:val="clear" w:color="auto" w:fill="auto"/>
            <w:vAlign w:val="center"/>
          </w:tcPr>
          <w:p w:rsidR="00B203AE" w:rsidRPr="00E2771E" w:rsidRDefault="00B203AE" w:rsidP="00C37C41">
            <w:pPr>
              <w:pStyle w:val="Tabletext"/>
              <w:keepNext/>
              <w:jc w:val="center"/>
              <w:rPr>
                <w:lang w:val="en-US"/>
              </w:rPr>
            </w:pPr>
            <w:r w:rsidRPr="00170785">
              <w:rPr>
                <w:snapToGrid w:val="0"/>
                <w:szCs w:val="20"/>
              </w:rPr>
              <w:t>Post-stroke</w:t>
            </w:r>
            <w:r>
              <w:rPr>
                <w:snapToGrid w:val="0"/>
                <w:szCs w:val="20"/>
              </w:rPr>
              <w:t xml:space="preserve"> (</w:t>
            </w:r>
            <w:r>
              <w:rPr>
                <w:snapToGrid w:val="0"/>
                <w:szCs w:val="20"/>
              </w:rPr>
              <w:sym w:font="Symbol" w:char="F0BB"/>
            </w:r>
            <w:r>
              <w:rPr>
                <w:snapToGrid w:val="0"/>
                <w:szCs w:val="20"/>
              </w:rPr>
              <w:t>90%)</w:t>
            </w:r>
            <w:r w:rsidRPr="00170785">
              <w:rPr>
                <w:snapToGrid w:val="0"/>
                <w:szCs w:val="20"/>
              </w:rPr>
              <w:t xml:space="preserve"> or TBI </w:t>
            </w:r>
            <w:r>
              <w:rPr>
                <w:snapToGrid w:val="0"/>
                <w:szCs w:val="20"/>
              </w:rPr>
              <w:t>(</w:t>
            </w:r>
            <w:r>
              <w:rPr>
                <w:snapToGrid w:val="0"/>
                <w:szCs w:val="20"/>
              </w:rPr>
              <w:sym w:font="Symbol" w:char="F0BB"/>
            </w:r>
            <w:r>
              <w:rPr>
                <w:snapToGrid w:val="0"/>
                <w:szCs w:val="20"/>
              </w:rPr>
              <w:t xml:space="preserve">10%) </w:t>
            </w:r>
            <w:r w:rsidR="006803B0">
              <w:rPr>
                <w:snapToGrid w:val="0"/>
                <w:szCs w:val="20"/>
              </w:rPr>
              <w:t>≥</w:t>
            </w:r>
            <w:r w:rsidR="002317D7">
              <w:rPr>
                <w:snapToGrid w:val="0"/>
                <w:szCs w:val="20"/>
              </w:rPr>
              <w:t xml:space="preserve"> </w:t>
            </w:r>
            <w:r>
              <w:rPr>
                <w:snapToGrid w:val="0"/>
                <w:szCs w:val="20"/>
              </w:rPr>
              <w:t>12</w:t>
            </w:r>
            <w:r w:rsidR="002317D7">
              <w:rPr>
                <w:snapToGrid w:val="0"/>
                <w:szCs w:val="20"/>
              </w:rPr>
              <w:t xml:space="preserve"> </w:t>
            </w:r>
            <w:r>
              <w:rPr>
                <w:snapToGrid w:val="0"/>
                <w:szCs w:val="20"/>
              </w:rPr>
              <w:t>m</w:t>
            </w:r>
            <w:r w:rsidR="002317D7">
              <w:rPr>
                <w:snapToGrid w:val="0"/>
                <w:szCs w:val="20"/>
              </w:rPr>
              <w:t>on</w:t>
            </w:r>
            <w:r>
              <w:rPr>
                <w:snapToGrid w:val="0"/>
                <w:szCs w:val="20"/>
              </w:rPr>
              <w:t>th</w:t>
            </w:r>
            <w:r w:rsidR="002317D7">
              <w:rPr>
                <w:snapToGrid w:val="0"/>
                <w:szCs w:val="20"/>
              </w:rPr>
              <w:t>s previously</w:t>
            </w:r>
          </w:p>
        </w:tc>
        <w:tc>
          <w:tcPr>
            <w:tcW w:w="1233" w:type="pct"/>
            <w:shd w:val="clear" w:color="auto" w:fill="auto"/>
            <w:vAlign w:val="center"/>
          </w:tcPr>
          <w:p w:rsidR="00B203AE" w:rsidRPr="00E2771E" w:rsidRDefault="002317D7" w:rsidP="00C37C41">
            <w:pPr>
              <w:pStyle w:val="Tabletext"/>
              <w:keepNext/>
              <w:jc w:val="center"/>
              <w:rPr>
                <w:lang w:val="en-US"/>
              </w:rPr>
            </w:pPr>
            <w:r>
              <w:t>1º</w:t>
            </w:r>
            <w:r w:rsidR="00B203AE">
              <w:t>: change in MAS, PROM and AROM at 6</w:t>
            </w:r>
            <w:r w:rsidR="00A20425">
              <w:t xml:space="preserve"> </w:t>
            </w:r>
            <w:r w:rsidR="00B203AE">
              <w:t>w</w:t>
            </w:r>
            <w:r>
              <w:t>ee</w:t>
            </w:r>
            <w:r w:rsidR="00B203AE">
              <w:t xml:space="preserve">ks. </w:t>
            </w:r>
          </w:p>
        </w:tc>
        <w:tc>
          <w:tcPr>
            <w:tcW w:w="943" w:type="pct"/>
            <w:shd w:val="clear" w:color="auto" w:fill="auto"/>
            <w:vAlign w:val="center"/>
          </w:tcPr>
          <w:p w:rsidR="00B203AE" w:rsidRPr="00E2771E" w:rsidRDefault="00B203AE" w:rsidP="00C37C41">
            <w:pPr>
              <w:pStyle w:val="Tabletext"/>
              <w:keepNext/>
              <w:jc w:val="center"/>
              <w:rPr>
                <w:lang w:val="en-US"/>
              </w:rPr>
            </w:pPr>
            <w:r w:rsidRPr="00E2771E">
              <w:rPr>
                <w:lang w:val="en-US"/>
              </w:rPr>
              <w:t>Not used</w:t>
            </w:r>
          </w:p>
        </w:tc>
      </w:tr>
      <w:tr w:rsidR="00B203AE" w:rsidRPr="00E2771E" w:rsidTr="002317D7">
        <w:trPr>
          <w:trHeight w:val="254"/>
        </w:trPr>
        <w:tc>
          <w:tcPr>
            <w:tcW w:w="484" w:type="pct"/>
            <w:shd w:val="clear" w:color="auto" w:fill="auto"/>
            <w:vAlign w:val="center"/>
          </w:tcPr>
          <w:p w:rsidR="00B203AE" w:rsidRDefault="00B203AE" w:rsidP="00C37C41">
            <w:pPr>
              <w:pStyle w:val="Tabletext"/>
              <w:keepNext/>
              <w:rPr>
                <w:lang w:val="en-US"/>
              </w:rPr>
            </w:pPr>
            <w:r>
              <w:rPr>
                <w:lang w:val="en-US"/>
              </w:rPr>
              <w:t>Lam 2012</w:t>
            </w:r>
          </w:p>
        </w:tc>
        <w:tc>
          <w:tcPr>
            <w:tcW w:w="233" w:type="pct"/>
            <w:shd w:val="clear" w:color="auto" w:fill="auto"/>
            <w:vAlign w:val="center"/>
          </w:tcPr>
          <w:p w:rsidR="00B203AE" w:rsidRDefault="00B203AE" w:rsidP="00C37C41">
            <w:pPr>
              <w:pStyle w:val="Tabletext"/>
              <w:keepNext/>
              <w:jc w:val="center"/>
              <w:rPr>
                <w:lang w:val="en-US"/>
              </w:rPr>
            </w:pPr>
            <w:r>
              <w:rPr>
                <w:lang w:val="en-US"/>
              </w:rPr>
              <w:t>55</w:t>
            </w:r>
          </w:p>
        </w:tc>
        <w:tc>
          <w:tcPr>
            <w:tcW w:w="547" w:type="pct"/>
            <w:shd w:val="clear" w:color="auto" w:fill="auto"/>
            <w:vAlign w:val="center"/>
          </w:tcPr>
          <w:p w:rsidR="00B203AE" w:rsidRDefault="00B203AE" w:rsidP="00C37C41">
            <w:pPr>
              <w:pStyle w:val="Tabletext"/>
              <w:keepNext/>
              <w:jc w:val="center"/>
              <w:rPr>
                <w:lang w:val="en-US"/>
              </w:rPr>
            </w:pPr>
            <w:r>
              <w:rPr>
                <w:lang w:val="en-US"/>
              </w:rPr>
              <w:t>R, DB</w:t>
            </w:r>
          </w:p>
          <w:p w:rsidR="00B203AE" w:rsidRPr="00E2771E" w:rsidRDefault="00B203AE" w:rsidP="00C37C41">
            <w:pPr>
              <w:pStyle w:val="Tabletext"/>
              <w:keepNext/>
              <w:jc w:val="center"/>
              <w:rPr>
                <w:lang w:val="en-US"/>
              </w:rPr>
            </w:pPr>
            <w:r>
              <w:rPr>
                <w:lang w:val="en-US"/>
              </w:rPr>
              <w:t>24 w</w:t>
            </w:r>
            <w:r w:rsidR="00C903CB">
              <w:rPr>
                <w:lang w:val="en-US"/>
              </w:rPr>
              <w:t>ee</w:t>
            </w:r>
            <w:r>
              <w:rPr>
                <w:lang w:val="en-US"/>
              </w:rPr>
              <w:t>ks</w:t>
            </w:r>
          </w:p>
        </w:tc>
        <w:tc>
          <w:tcPr>
            <w:tcW w:w="390" w:type="pct"/>
            <w:shd w:val="clear" w:color="auto" w:fill="auto"/>
            <w:vAlign w:val="center"/>
          </w:tcPr>
          <w:p w:rsidR="00B203AE" w:rsidRPr="00E2771E" w:rsidRDefault="00B203AE" w:rsidP="00C37C41">
            <w:pPr>
              <w:pStyle w:val="Tabletext"/>
              <w:keepNext/>
              <w:jc w:val="center"/>
              <w:rPr>
                <w:lang w:val="en-US"/>
              </w:rPr>
            </w:pPr>
            <w:r>
              <w:rPr>
                <w:lang w:val="en-US"/>
              </w:rPr>
              <w:t>Low</w:t>
            </w:r>
          </w:p>
        </w:tc>
        <w:tc>
          <w:tcPr>
            <w:tcW w:w="1171" w:type="pct"/>
            <w:shd w:val="clear" w:color="auto" w:fill="auto"/>
            <w:vAlign w:val="center"/>
          </w:tcPr>
          <w:p w:rsidR="00B203AE" w:rsidRDefault="00B203AE" w:rsidP="00C37C41">
            <w:pPr>
              <w:pStyle w:val="Tabletext"/>
              <w:keepNext/>
              <w:jc w:val="center"/>
              <w:rPr>
                <w:snapToGrid w:val="0"/>
                <w:szCs w:val="20"/>
              </w:rPr>
            </w:pPr>
            <w:r>
              <w:rPr>
                <w:snapToGrid w:val="0"/>
                <w:szCs w:val="20"/>
              </w:rPr>
              <w:t>ULFS from “brain’ causes</w:t>
            </w:r>
          </w:p>
          <w:p w:rsidR="00B203AE" w:rsidRPr="00170785" w:rsidRDefault="00B203AE" w:rsidP="00C37C41">
            <w:pPr>
              <w:pStyle w:val="Tabletext"/>
              <w:keepNext/>
              <w:jc w:val="center"/>
              <w:rPr>
                <w:snapToGrid w:val="0"/>
                <w:szCs w:val="20"/>
              </w:rPr>
            </w:pPr>
            <w:r>
              <w:rPr>
                <w:snapToGrid w:val="0"/>
                <w:szCs w:val="20"/>
              </w:rPr>
              <w:t>MAS</w:t>
            </w:r>
            <w:r w:rsidR="002317D7">
              <w:rPr>
                <w:snapToGrid w:val="0"/>
                <w:szCs w:val="20"/>
              </w:rPr>
              <w:t xml:space="preserve"> </w:t>
            </w:r>
            <w:r>
              <w:rPr>
                <w:snapToGrid w:val="0"/>
                <w:szCs w:val="20"/>
              </w:rPr>
              <w:t>&gt;</w:t>
            </w:r>
            <w:r w:rsidR="002317D7">
              <w:rPr>
                <w:snapToGrid w:val="0"/>
                <w:szCs w:val="20"/>
              </w:rPr>
              <w:t xml:space="preserve"> </w:t>
            </w:r>
            <w:r>
              <w:rPr>
                <w:snapToGrid w:val="0"/>
                <w:szCs w:val="20"/>
              </w:rPr>
              <w:t>2</w:t>
            </w:r>
          </w:p>
        </w:tc>
        <w:tc>
          <w:tcPr>
            <w:tcW w:w="1233" w:type="pct"/>
            <w:shd w:val="clear" w:color="auto" w:fill="auto"/>
            <w:vAlign w:val="center"/>
          </w:tcPr>
          <w:p w:rsidR="00B203AE" w:rsidRDefault="002317D7" w:rsidP="00C37C41">
            <w:pPr>
              <w:pStyle w:val="TableText0"/>
              <w:jc w:val="center"/>
              <w:rPr>
                <w:rFonts w:eastAsia="Times New Roman" w:cs="Times New Roman"/>
              </w:rPr>
            </w:pPr>
            <w:r>
              <w:rPr>
                <w:rFonts w:eastAsia="Times New Roman" w:cs="Times New Roman"/>
              </w:rPr>
              <w:t>1º</w:t>
            </w:r>
            <w:r w:rsidR="00B203AE">
              <w:rPr>
                <w:rFonts w:eastAsia="Times New Roman" w:cs="Times New Roman"/>
              </w:rPr>
              <w:t>: 4-point improvement in CBS at 6</w:t>
            </w:r>
            <w:r w:rsidR="00A20425">
              <w:rPr>
                <w:rFonts w:eastAsia="Times New Roman" w:cs="Times New Roman"/>
              </w:rPr>
              <w:t xml:space="preserve"> </w:t>
            </w:r>
            <w:r w:rsidR="00B203AE">
              <w:rPr>
                <w:rFonts w:eastAsia="Times New Roman" w:cs="Times New Roman"/>
              </w:rPr>
              <w:t>w</w:t>
            </w:r>
            <w:r>
              <w:rPr>
                <w:rFonts w:eastAsia="Times New Roman" w:cs="Times New Roman"/>
              </w:rPr>
              <w:t>ee</w:t>
            </w:r>
            <w:r w:rsidR="00B203AE">
              <w:rPr>
                <w:rFonts w:eastAsia="Times New Roman" w:cs="Times New Roman"/>
              </w:rPr>
              <w:t>ks</w:t>
            </w:r>
          </w:p>
          <w:p w:rsidR="00B203AE" w:rsidRDefault="002317D7" w:rsidP="00C37C41">
            <w:pPr>
              <w:pStyle w:val="TableText0"/>
              <w:jc w:val="center"/>
              <w:rPr>
                <w:rFonts w:eastAsia="Times New Roman" w:cs="Times New Roman"/>
              </w:rPr>
            </w:pPr>
            <w:r>
              <w:rPr>
                <w:rFonts w:eastAsia="Times New Roman" w:cs="Times New Roman"/>
              </w:rPr>
              <w:t>2º</w:t>
            </w:r>
            <w:r w:rsidR="00B203AE">
              <w:rPr>
                <w:rFonts w:eastAsia="Times New Roman" w:cs="Times New Roman"/>
              </w:rPr>
              <w:t>: GAS, MAS, PROM</w:t>
            </w:r>
          </w:p>
        </w:tc>
        <w:tc>
          <w:tcPr>
            <w:tcW w:w="943" w:type="pct"/>
            <w:shd w:val="clear" w:color="auto" w:fill="auto"/>
            <w:vAlign w:val="center"/>
          </w:tcPr>
          <w:p w:rsidR="00B203AE" w:rsidRPr="00E2771E" w:rsidRDefault="00B203AE" w:rsidP="00C37C41">
            <w:pPr>
              <w:pStyle w:val="Tabletext"/>
              <w:keepNext/>
              <w:jc w:val="center"/>
              <w:rPr>
                <w:lang w:val="en-US"/>
              </w:rPr>
            </w:pPr>
            <w:r>
              <w:rPr>
                <w:lang w:val="en-US"/>
              </w:rPr>
              <w:t>Not used</w:t>
            </w:r>
          </w:p>
        </w:tc>
      </w:tr>
    </w:tbl>
    <w:p w:rsidR="00B203AE" w:rsidRPr="0072416F" w:rsidRDefault="00CD68FB" w:rsidP="009F0049">
      <w:pPr>
        <w:pStyle w:val="TableFooter"/>
        <w:widowControl/>
      </w:pPr>
      <w:r>
        <w:t xml:space="preserve">Abbreviations: </w:t>
      </w:r>
      <w:r w:rsidR="00B203AE" w:rsidRPr="0072416F">
        <w:t>DB=double blind; MC=multi-centre; O</w:t>
      </w:r>
      <w:r w:rsidR="00B203AE">
        <w:t>L=open label; R=randomised;</w:t>
      </w:r>
      <w:r w:rsidR="00B203AE" w:rsidRPr="00DA5172">
        <w:t xml:space="preserve"> </w:t>
      </w:r>
      <w:r w:rsidR="00B203AE">
        <w:t>AROM= active range of motion; CBS=Carer Burden Scale; DAS=Disability Assessment Scale</w:t>
      </w:r>
      <w:r w:rsidR="00B203AE" w:rsidRPr="000F6058">
        <w:t xml:space="preserve">; </w:t>
      </w:r>
      <w:r w:rsidR="00B203AE">
        <w:t xml:space="preserve">GAS=Goal Attainment Scaling; </w:t>
      </w:r>
      <w:r w:rsidR="00B203AE" w:rsidRPr="000F6058">
        <w:t xml:space="preserve">MAS=modified Ashworth Scale; </w:t>
      </w:r>
      <w:r w:rsidR="00B203AE">
        <w:t>PGA=Physician’s Global A</w:t>
      </w:r>
      <w:r w:rsidR="00B203AE" w:rsidRPr="000F6058">
        <w:t>ssessment;</w:t>
      </w:r>
      <w:r w:rsidR="00B203AE" w:rsidRPr="00D32F05">
        <w:t xml:space="preserve"> </w:t>
      </w:r>
      <w:r w:rsidR="00B203AE">
        <w:t>PROM= passive range of motion; TBI=traumatic brain injury; U</w:t>
      </w:r>
      <w:r w:rsidR="008262EB">
        <w:t>LFS</w:t>
      </w:r>
      <w:r w:rsidR="00B203AE">
        <w:t>=upper limb focal spasticity.</w:t>
      </w:r>
    </w:p>
    <w:p w:rsidR="00B203AE" w:rsidRDefault="00B203AE" w:rsidP="009F0049">
      <w:pPr>
        <w:pStyle w:val="TableFooter"/>
        <w:widowControl/>
      </w:pPr>
      <w:proofErr w:type="gramStart"/>
      <w:r w:rsidRPr="000E051F">
        <w:rPr>
          <w:vertAlign w:val="superscript"/>
        </w:rPr>
        <w:t>a</w:t>
      </w:r>
      <w:proofErr w:type="gramEnd"/>
      <w:r>
        <w:tab/>
        <w:t xml:space="preserve">MAS reduction from </w:t>
      </w:r>
      <w:r w:rsidRPr="00FF080F">
        <w:t>baseline</w:t>
      </w:r>
      <w:r w:rsidR="002317D7">
        <w:t xml:space="preserve"> </w:t>
      </w:r>
      <w:r w:rsidR="007215AA">
        <w:t>≥</w:t>
      </w:r>
      <w:r w:rsidR="002317D7">
        <w:t xml:space="preserve"> </w:t>
      </w:r>
      <w:r w:rsidRPr="00FF080F">
        <w:t>1</w:t>
      </w:r>
    </w:p>
    <w:p w:rsidR="00B203AE" w:rsidRDefault="00B203AE" w:rsidP="009F0049">
      <w:pPr>
        <w:pStyle w:val="TableFooter"/>
        <w:widowControl/>
      </w:pPr>
      <w:proofErr w:type="gramStart"/>
      <w:r w:rsidRPr="000E051F">
        <w:rPr>
          <w:vertAlign w:val="superscript"/>
        </w:rPr>
        <w:t>b</w:t>
      </w:r>
      <w:proofErr w:type="gramEnd"/>
      <w:r>
        <w:tab/>
        <w:t>PGA score</w:t>
      </w:r>
      <w:r w:rsidR="002317D7">
        <w:t xml:space="preserve"> </w:t>
      </w:r>
      <w:r>
        <w:t>≥</w:t>
      </w:r>
      <w:r w:rsidR="002317D7">
        <w:t xml:space="preserve"> </w:t>
      </w:r>
      <w:r>
        <w:t>1</w:t>
      </w:r>
    </w:p>
    <w:p w:rsidR="00B203AE" w:rsidRDefault="00B203AE" w:rsidP="009F0049">
      <w:pPr>
        <w:pStyle w:val="TableFooter"/>
        <w:widowControl/>
      </w:pPr>
      <w:proofErr w:type="gramStart"/>
      <w:r w:rsidRPr="000E051F">
        <w:rPr>
          <w:vertAlign w:val="superscript"/>
        </w:rPr>
        <w:t>c</w:t>
      </w:r>
      <w:proofErr w:type="gramEnd"/>
      <w:r>
        <w:tab/>
        <w:t>MAS reduction from baseline</w:t>
      </w:r>
      <w:r w:rsidR="002317D7">
        <w:t xml:space="preserve"> </w:t>
      </w:r>
      <w:r>
        <w:t>≥</w:t>
      </w:r>
      <w:r w:rsidR="002317D7">
        <w:t xml:space="preserve"> </w:t>
      </w:r>
      <w:r>
        <w:t xml:space="preserve"> 1</w:t>
      </w:r>
    </w:p>
    <w:p w:rsidR="00B203AE" w:rsidRDefault="00B203AE" w:rsidP="009F0049">
      <w:pPr>
        <w:widowControl/>
        <w:rPr>
          <w:rFonts w:ascii="Arial Narrow" w:hAnsi="Arial Narrow"/>
          <w:iCs/>
          <w:sz w:val="18"/>
          <w:szCs w:val="18"/>
        </w:rPr>
      </w:pPr>
      <w:r w:rsidRPr="00E75A07">
        <w:rPr>
          <w:rFonts w:ascii="Arial Narrow" w:hAnsi="Arial Narrow"/>
          <w:iCs/>
          <w:sz w:val="18"/>
          <w:szCs w:val="18"/>
        </w:rPr>
        <w:t>Source: compiled during the evaluation.</w:t>
      </w:r>
    </w:p>
    <w:p w:rsidR="002317D7" w:rsidRPr="00E75A07" w:rsidRDefault="002317D7" w:rsidP="00611D60">
      <w:pPr>
        <w:pStyle w:val="TableFooter"/>
      </w:pPr>
    </w:p>
    <w:p w:rsidR="002317D7" w:rsidRPr="002317D7" w:rsidRDefault="002317D7" w:rsidP="009F0049">
      <w:pPr>
        <w:pStyle w:val="ListParagraph"/>
        <w:widowControl/>
        <w:numPr>
          <w:ilvl w:val="1"/>
          <w:numId w:val="1"/>
        </w:numPr>
      </w:pPr>
      <w:r w:rsidRPr="00E75A07">
        <w:rPr>
          <w:iCs/>
        </w:rPr>
        <w:t xml:space="preserve">The ESC noted that subgroups of patients with non-stroke spasticity in the included trials were small. The majority of patients (90.3%) in Study 145 had </w:t>
      </w:r>
      <w:r>
        <w:rPr>
          <w:iCs/>
        </w:rPr>
        <w:t>upper limb focal spasticity</w:t>
      </w:r>
      <w:r w:rsidRPr="00E75A07">
        <w:rPr>
          <w:iCs/>
        </w:rPr>
        <w:t xml:space="preserve"> due to stroke, with 9.7% having </w:t>
      </w:r>
      <w:r>
        <w:rPr>
          <w:iCs/>
        </w:rPr>
        <w:t>spasticity</w:t>
      </w:r>
      <w:r w:rsidRPr="00E75A07">
        <w:rPr>
          <w:iCs/>
        </w:rPr>
        <w:t xml:space="preserve"> due to TBI. </w:t>
      </w:r>
      <w:r w:rsidRPr="00E75A07">
        <w:rPr>
          <w:rFonts w:asciiTheme="minorHAnsi" w:hAnsiTheme="minorHAnsi" w:cstheme="minorHAnsi"/>
          <w:iCs/>
          <w:szCs w:val="24"/>
        </w:rPr>
        <w:t xml:space="preserve">In Smith 2000, spastic hemiplegia was due to TBI in two patients (9.5%), and due to stroke in 19 patients (90.5%). </w:t>
      </w:r>
      <w:r w:rsidRPr="00E75A07">
        <w:rPr>
          <w:iCs/>
        </w:rPr>
        <w:t xml:space="preserve">It was uncertain how many patients in Lam 2012 had </w:t>
      </w:r>
      <w:r>
        <w:rPr>
          <w:iCs/>
        </w:rPr>
        <w:t>upper limb spasticity</w:t>
      </w:r>
      <w:r w:rsidRPr="00E75A07">
        <w:rPr>
          <w:iCs/>
        </w:rPr>
        <w:t xml:space="preserve"> due to </w:t>
      </w:r>
      <w:r>
        <w:rPr>
          <w:iCs/>
        </w:rPr>
        <w:t xml:space="preserve">each </w:t>
      </w:r>
      <w:r w:rsidRPr="00E75A07">
        <w:rPr>
          <w:iCs/>
        </w:rPr>
        <w:t>specific cause</w:t>
      </w:r>
      <w:r>
        <w:rPr>
          <w:iCs/>
        </w:rPr>
        <w:t xml:space="preserve">, as the </w:t>
      </w:r>
      <w:r w:rsidRPr="00E75A07">
        <w:rPr>
          <w:iCs/>
        </w:rPr>
        <w:t>quoted cause was “brain” for all patients.</w:t>
      </w:r>
      <w:r w:rsidRPr="00E75A07">
        <w:rPr>
          <w:rFonts w:asciiTheme="minorHAnsi" w:hAnsiTheme="minorHAnsi" w:cstheme="minorHAnsi"/>
          <w:iCs/>
          <w:szCs w:val="24"/>
        </w:rPr>
        <w:t xml:space="preserve"> </w:t>
      </w:r>
      <w:r w:rsidRPr="00E75A07">
        <w:rPr>
          <w:iCs/>
        </w:rPr>
        <w:t xml:space="preserve">No evidence was presented in the submission for patients with </w:t>
      </w:r>
      <w:r>
        <w:rPr>
          <w:iCs/>
        </w:rPr>
        <w:t xml:space="preserve">upper limb focal spasticity due to </w:t>
      </w:r>
      <w:r w:rsidRPr="00E75A07">
        <w:rPr>
          <w:iCs/>
        </w:rPr>
        <w:t>other aetiologies</w:t>
      </w:r>
      <w:r>
        <w:rPr>
          <w:iCs/>
        </w:rPr>
        <w:t>,</w:t>
      </w:r>
      <w:r w:rsidRPr="00E75A07">
        <w:rPr>
          <w:iCs/>
        </w:rPr>
        <w:t xml:space="preserve"> such as </w:t>
      </w:r>
      <w:r w:rsidR="00C37C41">
        <w:rPr>
          <w:iCs/>
        </w:rPr>
        <w:t xml:space="preserve">spinal cord injury, </w:t>
      </w:r>
      <w:r w:rsidRPr="00E75A07">
        <w:rPr>
          <w:iCs/>
        </w:rPr>
        <w:t xml:space="preserve">hypoxia or infection. The PSCR reiterated the difficulties associated with recruiting patients who have suffered from other forms of acute event, and the currently unmet medical need for this small, but equally disabled, group. The ESC </w:t>
      </w:r>
      <w:r>
        <w:rPr>
          <w:iCs/>
        </w:rPr>
        <w:t xml:space="preserve">considered </w:t>
      </w:r>
      <w:r w:rsidRPr="00E75A07">
        <w:rPr>
          <w:iCs/>
        </w:rPr>
        <w:t xml:space="preserve">that patients with </w:t>
      </w:r>
      <w:r>
        <w:rPr>
          <w:iCs/>
        </w:rPr>
        <w:t>spasticity due to</w:t>
      </w:r>
      <w:r w:rsidRPr="00E75A07">
        <w:rPr>
          <w:iCs/>
        </w:rPr>
        <w:t xml:space="preserve"> differing aetiologies were likely to have different prospects for rehabilitation and the goals of treatment were likely to vary</w:t>
      </w:r>
      <w:r>
        <w:rPr>
          <w:iCs/>
        </w:rPr>
        <w:t xml:space="preserve">, and that </w:t>
      </w:r>
      <w:r w:rsidRPr="00E75A07">
        <w:rPr>
          <w:iCs/>
        </w:rPr>
        <w:t>this would also affect the determination of cost effectiveness.</w:t>
      </w:r>
      <w:r>
        <w:rPr>
          <w:iCs/>
        </w:rPr>
        <w:t xml:space="preserve"> The pre-PBAC </w:t>
      </w:r>
      <w:r w:rsidR="001E4CA7">
        <w:rPr>
          <w:iCs/>
        </w:rPr>
        <w:t>R</w:t>
      </w:r>
      <w:r>
        <w:rPr>
          <w:iCs/>
        </w:rPr>
        <w:t>esponse maintained that the benefits of Dysport</w:t>
      </w:r>
      <w:r>
        <w:rPr>
          <w:rFonts w:cs="Calibri"/>
          <w:iCs/>
        </w:rPr>
        <w:t>®</w:t>
      </w:r>
      <w:r>
        <w:rPr>
          <w:iCs/>
        </w:rPr>
        <w:t xml:space="preserve"> could be applied equally to stroke and non-stroke populations, as evidenced by improvement in efficacy endpoints in Study 145 and Study 148. </w:t>
      </w:r>
    </w:p>
    <w:p w:rsidR="002317D7" w:rsidRPr="00C9624D" w:rsidRDefault="002317D7" w:rsidP="002317D7">
      <w:pPr>
        <w:pStyle w:val="Heading2"/>
        <w:widowControl/>
      </w:pPr>
      <w:bookmarkStart w:id="13" w:name="_Toc524461027"/>
      <w:r w:rsidRPr="00C9624D">
        <w:t>Comparative effectiveness</w:t>
      </w:r>
      <w:bookmarkEnd w:id="13"/>
    </w:p>
    <w:p w:rsidR="00F43C82" w:rsidRDefault="00F30CEF" w:rsidP="009F0049">
      <w:pPr>
        <w:pStyle w:val="ListParagraph"/>
        <w:widowControl/>
        <w:numPr>
          <w:ilvl w:val="1"/>
          <w:numId w:val="1"/>
        </w:numPr>
      </w:pPr>
      <w:r>
        <w:t xml:space="preserve">The submission’s clinical claims </w:t>
      </w:r>
      <w:r w:rsidRPr="00D63253">
        <w:t xml:space="preserve">were based on </w:t>
      </w:r>
      <w:r w:rsidR="003A533C">
        <w:t xml:space="preserve">change in spasticity </w:t>
      </w:r>
      <w:r>
        <w:t xml:space="preserve">measured </w:t>
      </w:r>
      <w:r w:rsidR="003A533C">
        <w:t xml:space="preserve">by </w:t>
      </w:r>
      <w:r w:rsidR="00C37C41">
        <w:t>the</w:t>
      </w:r>
      <w:r w:rsidR="003A533C">
        <w:t xml:space="preserve"> </w:t>
      </w:r>
      <w:r w:rsidRPr="00EA3497">
        <w:t>MAS</w:t>
      </w:r>
      <w:r w:rsidR="003A533C">
        <w:t xml:space="preserve"> score</w:t>
      </w:r>
      <w:r w:rsidR="00C37C41">
        <w:t xml:space="preserve"> and </w:t>
      </w:r>
      <w:r>
        <w:t>supported by functional outcomes</w:t>
      </w:r>
      <w:r w:rsidR="00C37C41">
        <w:t xml:space="preserve"> including</w:t>
      </w:r>
      <w:r>
        <w:t xml:space="preserve"> </w:t>
      </w:r>
      <w:r w:rsidR="006E0451" w:rsidRPr="00A600DF">
        <w:t xml:space="preserve">Physician Global Assessment </w:t>
      </w:r>
      <w:r w:rsidR="006E0451">
        <w:t>(</w:t>
      </w:r>
      <w:r w:rsidRPr="00A600DF">
        <w:t>PGA</w:t>
      </w:r>
      <w:r w:rsidR="006E0451">
        <w:t xml:space="preserve">) </w:t>
      </w:r>
      <w:r w:rsidRPr="00A600DF">
        <w:t xml:space="preserve">responders and </w:t>
      </w:r>
      <w:r w:rsidR="006E0451" w:rsidRPr="00A600DF">
        <w:t xml:space="preserve">Disability Assessment Scale </w:t>
      </w:r>
      <w:r w:rsidR="006E0451">
        <w:t>(</w:t>
      </w:r>
      <w:r w:rsidRPr="00A600DF">
        <w:t>DAS</w:t>
      </w:r>
      <w:r w:rsidR="006E0451">
        <w:t>)</w:t>
      </w:r>
      <w:r w:rsidRPr="00A600DF">
        <w:t xml:space="preserve"> responders</w:t>
      </w:r>
      <w:r w:rsidR="00F43C82">
        <w:t>.</w:t>
      </w:r>
    </w:p>
    <w:p w:rsidR="00F30CEF" w:rsidRPr="000F1DF7" w:rsidRDefault="00A20425" w:rsidP="009F0049">
      <w:pPr>
        <w:pStyle w:val="ListParagraph"/>
        <w:widowControl/>
        <w:numPr>
          <w:ilvl w:val="1"/>
          <w:numId w:val="1"/>
        </w:numPr>
      </w:pPr>
      <w:r w:rsidRPr="000F1DF7">
        <w:rPr>
          <w:iCs/>
        </w:rPr>
        <w:t xml:space="preserve">The </w:t>
      </w:r>
      <w:r w:rsidR="00547892" w:rsidRPr="000F1DF7">
        <w:rPr>
          <w:iCs/>
        </w:rPr>
        <w:t xml:space="preserve">MAS is </w:t>
      </w:r>
      <w:r w:rsidR="002424A8" w:rsidRPr="000F1DF7">
        <w:rPr>
          <w:iCs/>
        </w:rPr>
        <w:t xml:space="preserve">a common </w:t>
      </w:r>
      <w:r w:rsidR="00547892" w:rsidRPr="000F1DF7">
        <w:rPr>
          <w:iCs/>
        </w:rPr>
        <w:t xml:space="preserve">outcome </w:t>
      </w:r>
      <w:r w:rsidR="002424A8" w:rsidRPr="000F1DF7">
        <w:rPr>
          <w:iCs/>
        </w:rPr>
        <w:t>reported in trials of botulinum toxin</w:t>
      </w:r>
      <w:r w:rsidR="00B5262B">
        <w:rPr>
          <w:iCs/>
        </w:rPr>
        <w:t xml:space="preserve"> and spasticity</w:t>
      </w:r>
      <w:r w:rsidR="002424A8" w:rsidRPr="000F1DF7">
        <w:rPr>
          <w:iCs/>
        </w:rPr>
        <w:t xml:space="preserve">, </w:t>
      </w:r>
      <w:r w:rsidRPr="000F1DF7">
        <w:rPr>
          <w:iCs/>
        </w:rPr>
        <w:t xml:space="preserve">and </w:t>
      </w:r>
      <w:r w:rsidR="002424A8" w:rsidRPr="000F1DF7">
        <w:rPr>
          <w:iCs/>
        </w:rPr>
        <w:t xml:space="preserve">it </w:t>
      </w:r>
      <w:r w:rsidRPr="000F1DF7">
        <w:rPr>
          <w:iCs/>
        </w:rPr>
        <w:t>h</w:t>
      </w:r>
      <w:r w:rsidR="002424A8" w:rsidRPr="000F1DF7">
        <w:rPr>
          <w:iCs/>
        </w:rPr>
        <w:t xml:space="preserve">as </w:t>
      </w:r>
      <w:r w:rsidRPr="000F1DF7">
        <w:rPr>
          <w:iCs/>
        </w:rPr>
        <w:t xml:space="preserve">been presented </w:t>
      </w:r>
      <w:r w:rsidR="002424A8" w:rsidRPr="000F1DF7">
        <w:rPr>
          <w:iCs/>
        </w:rPr>
        <w:t xml:space="preserve">in past </w:t>
      </w:r>
      <w:r w:rsidR="00547892" w:rsidRPr="000F1DF7">
        <w:rPr>
          <w:iCs/>
        </w:rPr>
        <w:t xml:space="preserve">PBAC submissions. </w:t>
      </w:r>
      <w:r w:rsidR="00F43C82" w:rsidRPr="000F1DF7">
        <w:t xml:space="preserve">The MAS measures the level of resistance to passive movement, and evaluates a combination of soft tissue </w:t>
      </w:r>
      <w:r w:rsidR="00F43C82" w:rsidRPr="000F1DF7">
        <w:lastRenderedPageBreak/>
        <w:t>contracture and spastic dystonia, in addition to spasticity itself.</w:t>
      </w:r>
      <w:r w:rsidR="00642FE1">
        <w:t xml:space="preserve"> </w:t>
      </w:r>
      <w:r w:rsidR="00F43C82" w:rsidRPr="000F1DF7">
        <w:t>PGA and DAS are subjective functional outcomes.</w:t>
      </w:r>
      <w:r w:rsidR="00642FE1">
        <w:t xml:space="preserve"> </w:t>
      </w:r>
      <w:r w:rsidR="00F43C82" w:rsidRPr="000F1DF7">
        <w:t>The PGA is an investigator rated response to treatment after injection of treatment.</w:t>
      </w:r>
      <w:r w:rsidR="00642FE1">
        <w:t xml:space="preserve"> </w:t>
      </w:r>
      <w:r w:rsidR="00F43C82" w:rsidRPr="000F1DF7">
        <w:t>The DAS is an upper-limb specific tool that assessed four domains of disability associated with passive functioning (hygiene, dressing, limb position and pain).</w:t>
      </w:r>
    </w:p>
    <w:p w:rsidR="00191160" w:rsidRPr="00191160" w:rsidRDefault="00E1116E" w:rsidP="009F0049">
      <w:pPr>
        <w:pStyle w:val="ListParagraph"/>
        <w:widowControl/>
        <w:numPr>
          <w:ilvl w:val="1"/>
          <w:numId w:val="1"/>
        </w:numPr>
      </w:pPr>
      <w:r w:rsidRPr="000F1DF7">
        <w:t xml:space="preserve">The </w:t>
      </w:r>
      <w:r w:rsidR="00052FC4">
        <w:t xml:space="preserve">submission nominated a </w:t>
      </w:r>
      <w:r w:rsidRPr="000F1DF7">
        <w:t>minimal clinical</w:t>
      </w:r>
      <w:r w:rsidR="00FF6A18" w:rsidRPr="000F1DF7">
        <w:t>ly</w:t>
      </w:r>
      <w:r w:rsidRPr="000F1DF7">
        <w:t xml:space="preserve"> important difference (MCID) </w:t>
      </w:r>
      <w:r w:rsidR="00052FC4">
        <w:t>of an</w:t>
      </w:r>
      <w:r w:rsidRPr="000F1DF7">
        <w:t xml:space="preserve"> </w:t>
      </w:r>
      <w:r w:rsidRPr="00B5262B">
        <w:t xml:space="preserve">at least </w:t>
      </w:r>
      <w:r w:rsidRPr="000F1DF7">
        <w:t>one grade reduction in the MAS</w:t>
      </w:r>
      <w:r w:rsidR="009F3A33">
        <w:t xml:space="preserve"> </w:t>
      </w:r>
      <w:r w:rsidR="00052FC4">
        <w:t xml:space="preserve">(MAS </w:t>
      </w:r>
      <w:r w:rsidR="00052FC4" w:rsidRPr="00834977">
        <w:rPr>
          <w:rFonts w:cs="Calibri"/>
        </w:rPr>
        <w:t>≥</w:t>
      </w:r>
      <w:r w:rsidR="00052FC4">
        <w:t xml:space="preserve"> 1)</w:t>
      </w:r>
      <w:r w:rsidR="00116262">
        <w:t>, using the ‘derived MAS’</w:t>
      </w:r>
      <w:r w:rsidR="00052FC4">
        <w:t xml:space="preserve"> </w:t>
      </w:r>
      <w:r w:rsidR="009F3A33">
        <w:t>at Week</w:t>
      </w:r>
      <w:r w:rsidR="006F614E">
        <w:t xml:space="preserve"> 4</w:t>
      </w:r>
      <w:r w:rsidRPr="000F1DF7">
        <w:t>.</w:t>
      </w:r>
      <w:r w:rsidR="00642FE1">
        <w:t xml:space="preserve"> </w:t>
      </w:r>
      <w:r w:rsidR="009158C4" w:rsidRPr="002925DF">
        <w:t>The ESC</w:t>
      </w:r>
      <w:r w:rsidR="00547892" w:rsidRPr="002925DF">
        <w:t xml:space="preserve"> noted</w:t>
      </w:r>
      <w:r w:rsidR="00547892" w:rsidRPr="000F1DF7">
        <w:t xml:space="preserve"> that the PBAC had previously accepted a decrease in MAS of </w:t>
      </w:r>
      <w:r w:rsidR="00547892" w:rsidRPr="00B5262B">
        <w:t xml:space="preserve">at least </w:t>
      </w:r>
      <w:r w:rsidR="00547892" w:rsidRPr="000F1DF7">
        <w:t>one point in at least one joint at Week 20</w:t>
      </w:r>
      <w:r w:rsidR="00116262">
        <w:t xml:space="preserve"> (using the historical MAS coding convention)</w:t>
      </w:r>
      <w:r w:rsidR="00547892" w:rsidRPr="000F1DF7">
        <w:t xml:space="preserve"> to be clinically significant when supported by several significant changes in functional outcomes (G</w:t>
      </w:r>
      <w:r w:rsidR="006B6C50" w:rsidRPr="000F1DF7">
        <w:t xml:space="preserve">oal </w:t>
      </w:r>
      <w:r w:rsidR="00547892" w:rsidRPr="000F1DF7">
        <w:t>A</w:t>
      </w:r>
      <w:r w:rsidR="006B6C50" w:rsidRPr="000F1DF7">
        <w:t xml:space="preserve">ttainment </w:t>
      </w:r>
      <w:r w:rsidR="00547892" w:rsidRPr="000F1DF7">
        <w:t>S</w:t>
      </w:r>
      <w:r w:rsidR="006B6C50" w:rsidRPr="000F1DF7">
        <w:t>cal</w:t>
      </w:r>
      <w:r w:rsidR="007B2D92" w:rsidRPr="000F1DF7">
        <w:t>ing score</w:t>
      </w:r>
      <w:r w:rsidR="00547892" w:rsidRPr="000F1DF7">
        <w:t xml:space="preserve"> </w:t>
      </w:r>
      <w:r w:rsidR="00BC7CE2" w:rsidRPr="000F1DF7">
        <w:t>(GAS)</w:t>
      </w:r>
      <w:r w:rsidR="00B6406E" w:rsidRPr="000F1DF7">
        <w:t xml:space="preserve"> </w:t>
      </w:r>
      <w:r w:rsidR="00547892" w:rsidRPr="000F1DF7">
        <w:t>and G</w:t>
      </w:r>
      <w:r w:rsidR="006B6C50" w:rsidRPr="000F1DF7">
        <w:t xml:space="preserve">lobal </w:t>
      </w:r>
      <w:r w:rsidR="00547892" w:rsidRPr="000F1DF7">
        <w:t>A</w:t>
      </w:r>
      <w:r w:rsidR="006B6C50" w:rsidRPr="000F1DF7">
        <w:t xml:space="preserve">ssessment of </w:t>
      </w:r>
      <w:r w:rsidR="00547892" w:rsidRPr="000F1DF7">
        <w:t>B</w:t>
      </w:r>
      <w:r w:rsidR="006B6C50" w:rsidRPr="000F1DF7">
        <w:t>enefit</w:t>
      </w:r>
      <w:r w:rsidR="00BC7CE2" w:rsidRPr="000F1DF7">
        <w:t xml:space="preserve"> (GAB)</w:t>
      </w:r>
      <w:r w:rsidR="007B2D92" w:rsidRPr="000F1DF7">
        <w:t xml:space="preserve"> score</w:t>
      </w:r>
      <w:r w:rsidR="00547892" w:rsidRPr="000F1DF7">
        <w:t xml:space="preserve">) in </w:t>
      </w:r>
      <w:r w:rsidR="00347F0A">
        <w:t>upper limb focal spasticity</w:t>
      </w:r>
      <w:r w:rsidR="00347F0A" w:rsidRPr="000F1DF7">
        <w:t xml:space="preserve"> </w:t>
      </w:r>
      <w:r w:rsidR="00547892" w:rsidRPr="000F1DF7">
        <w:t>post stroke (November 2007</w:t>
      </w:r>
      <w:r w:rsidR="00052FC4">
        <w:t>,</w:t>
      </w:r>
      <w:r w:rsidR="00547892" w:rsidRPr="000F1DF7">
        <w:t xml:space="preserve"> Dysport® </w:t>
      </w:r>
      <w:r w:rsidR="00166452">
        <w:t>public summary document (</w:t>
      </w:r>
      <w:r w:rsidR="00547892" w:rsidRPr="000F1DF7">
        <w:t>PSD</w:t>
      </w:r>
      <w:r w:rsidR="00166452">
        <w:t>)</w:t>
      </w:r>
      <w:r w:rsidR="00547892" w:rsidRPr="000F1DF7">
        <w:t>).</w:t>
      </w:r>
      <w:r w:rsidR="00642FE1">
        <w:t xml:space="preserve"> </w:t>
      </w:r>
      <w:r w:rsidR="00834977" w:rsidRPr="00E75A07">
        <w:t xml:space="preserve">The ESC noted that a decrease </w:t>
      </w:r>
      <w:r w:rsidR="00834977">
        <w:t xml:space="preserve">in MAS </w:t>
      </w:r>
      <w:r w:rsidR="00C568B9">
        <w:rPr>
          <w:rFonts w:cs="Calibri"/>
        </w:rPr>
        <w:t>&gt;</w:t>
      </w:r>
      <w:r w:rsidR="00834977">
        <w:t xml:space="preserve"> 1</w:t>
      </w:r>
      <w:r w:rsidR="00834977" w:rsidRPr="00E75A07">
        <w:t xml:space="preserve"> using the historical coding </w:t>
      </w:r>
      <w:r w:rsidR="00834977">
        <w:t xml:space="preserve">convention </w:t>
      </w:r>
      <w:r w:rsidR="00834977" w:rsidRPr="00E75A07">
        <w:t xml:space="preserve">aligned with a decrease of </w:t>
      </w:r>
      <w:r w:rsidR="00834977">
        <w:t xml:space="preserve">MAS </w:t>
      </w:r>
      <w:r w:rsidR="00834977">
        <w:rPr>
          <w:rFonts w:cs="Calibri"/>
        </w:rPr>
        <w:t>≥</w:t>
      </w:r>
      <w:r w:rsidR="00834977">
        <w:t xml:space="preserve"> 2</w:t>
      </w:r>
      <w:r w:rsidR="00834977" w:rsidRPr="00E75A07">
        <w:t xml:space="preserve"> when using the ‘derived MAS’ coding convention, which was used in the key trial.</w:t>
      </w:r>
      <w:r w:rsidR="00834977">
        <w:t xml:space="preserve"> </w:t>
      </w:r>
      <w:r w:rsidR="00116262" w:rsidRPr="00834977">
        <w:rPr>
          <w:iCs/>
        </w:rPr>
        <w:t xml:space="preserve">The PBAC </w:t>
      </w:r>
      <w:r w:rsidR="00834977">
        <w:rPr>
          <w:iCs/>
        </w:rPr>
        <w:t>c</w:t>
      </w:r>
      <w:r w:rsidR="00116262" w:rsidRPr="00834977">
        <w:rPr>
          <w:iCs/>
        </w:rPr>
        <w:t xml:space="preserve">onsidered a MAS </w:t>
      </w:r>
      <w:r w:rsidR="00116262" w:rsidRPr="00834977">
        <w:rPr>
          <w:rFonts w:cs="Calibri"/>
          <w:iCs/>
        </w:rPr>
        <w:t>≥ 2 using the ‘derived MAS’</w:t>
      </w:r>
      <w:r w:rsidR="00116262" w:rsidRPr="00834977">
        <w:rPr>
          <w:iCs/>
        </w:rPr>
        <w:t>, when accompanied by other functional outcomes such as goal attainment, would likely represent a clinically meaningful response.</w:t>
      </w:r>
    </w:p>
    <w:p w:rsidR="00BD272A" w:rsidRDefault="00AF7DF0" w:rsidP="009F0049">
      <w:pPr>
        <w:pStyle w:val="ListParagraph"/>
        <w:widowControl/>
        <w:numPr>
          <w:ilvl w:val="1"/>
          <w:numId w:val="1"/>
        </w:numPr>
      </w:pPr>
      <w:r>
        <w:t xml:space="preserve">Table </w:t>
      </w:r>
      <w:r w:rsidR="00557F4F">
        <w:rPr>
          <w:rFonts w:cs="Calibri"/>
          <w:snapToGrid/>
          <w:szCs w:val="24"/>
          <w:lang w:val="en-US" w:eastAsia="en-AU"/>
        </w:rPr>
        <w:t>6</w:t>
      </w:r>
      <w:r w:rsidR="00BD272A" w:rsidRPr="00C20479">
        <w:rPr>
          <w:rFonts w:cs="Calibri"/>
          <w:snapToGrid/>
          <w:szCs w:val="24"/>
          <w:lang w:val="en-US" w:eastAsia="en-AU"/>
        </w:rPr>
        <w:t xml:space="preserve"> </w:t>
      </w:r>
      <w:r w:rsidR="00BD272A" w:rsidRPr="00C20479">
        <w:t xml:space="preserve">summarises the </w:t>
      </w:r>
      <w:r w:rsidR="0012449A">
        <w:t xml:space="preserve">MAS </w:t>
      </w:r>
      <w:r w:rsidR="00BD272A" w:rsidRPr="00C20479">
        <w:t xml:space="preserve">outcomes in the primary targeted muscle group </w:t>
      </w:r>
      <w:r w:rsidR="0012449A">
        <w:t>following</w:t>
      </w:r>
      <w:r w:rsidR="00BD272A" w:rsidRPr="00C20479">
        <w:t xml:space="preserve"> a single treatment </w:t>
      </w:r>
      <w:r w:rsidR="0012449A">
        <w:t>from</w:t>
      </w:r>
      <w:r w:rsidR="00BD272A" w:rsidRPr="00C20479">
        <w:t xml:space="preserve"> Study 145</w:t>
      </w:r>
      <w:r w:rsidR="00BD272A" w:rsidRPr="00471FB0">
        <w:t>.</w:t>
      </w:r>
      <w:r w:rsidR="00642FE1">
        <w:t xml:space="preserve"> </w:t>
      </w:r>
      <w:r w:rsidR="00471FB0" w:rsidRPr="00471FB0">
        <w:t>The time point for assessme</w:t>
      </w:r>
      <w:r w:rsidR="0001631E">
        <w:t>nt of MAS outcomes in Study 145</w:t>
      </w:r>
      <w:r w:rsidR="00471FB0" w:rsidRPr="00471FB0">
        <w:t xml:space="preserve"> was Week 4</w:t>
      </w:r>
      <w:r>
        <w:t xml:space="preserve">. The </w:t>
      </w:r>
      <w:r w:rsidR="00471FB0" w:rsidRPr="00471FB0">
        <w:t>economic evaluation used</w:t>
      </w:r>
      <w:r>
        <w:t xml:space="preserve"> the proportion of responders at</w:t>
      </w:r>
      <w:r w:rsidR="00471FB0" w:rsidRPr="00471FB0">
        <w:t xml:space="preserve"> Week 12 in its base case analysis</w:t>
      </w:r>
      <w:r>
        <w:t>.</w:t>
      </w:r>
    </w:p>
    <w:p w:rsidR="00BD272A" w:rsidRPr="007C2AF1" w:rsidRDefault="008C3F76" w:rsidP="009F0049">
      <w:pPr>
        <w:pStyle w:val="TableHeading0"/>
        <w:rPr>
          <w:rStyle w:val="CommentReference"/>
          <w:b/>
          <w:bCs/>
        </w:rPr>
      </w:pPr>
      <w:bookmarkStart w:id="14" w:name="_Ref526505301"/>
      <w:bookmarkStart w:id="15" w:name="_Toc524429273"/>
      <w:r>
        <w:t xml:space="preserve">Table </w:t>
      </w:r>
      <w:bookmarkEnd w:id="14"/>
      <w:r w:rsidR="00AF7DF0">
        <w:t xml:space="preserve">6: </w:t>
      </w:r>
      <w:r w:rsidR="00AF7DF0">
        <w:rPr>
          <w:rStyle w:val="CommentReference"/>
          <w:b/>
          <w:bCs/>
        </w:rPr>
        <w:t>Results of MAS outcomes from</w:t>
      </w:r>
      <w:r w:rsidR="00BD272A" w:rsidRPr="007C2AF1">
        <w:rPr>
          <w:rStyle w:val="CommentReference"/>
          <w:b/>
          <w:bCs/>
        </w:rPr>
        <w:t xml:space="preserve"> Study 145</w:t>
      </w:r>
      <w:bookmarkEnd w:id="15"/>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31"/>
        <w:gridCol w:w="1130"/>
        <w:gridCol w:w="1271"/>
        <w:gridCol w:w="1130"/>
        <w:gridCol w:w="1271"/>
        <w:gridCol w:w="1271"/>
        <w:gridCol w:w="863"/>
      </w:tblGrid>
      <w:tr w:rsidR="00BD272A" w:rsidRPr="002837E3" w:rsidTr="007A08EB">
        <w:tc>
          <w:tcPr>
            <w:tcW w:w="1175" w:type="pct"/>
            <w:vMerge w:val="restart"/>
            <w:tcMar>
              <w:left w:w="11" w:type="dxa"/>
              <w:right w:w="11" w:type="dxa"/>
            </w:tcMar>
            <w:vAlign w:val="center"/>
          </w:tcPr>
          <w:p w:rsidR="00BD272A" w:rsidRPr="002837E3" w:rsidRDefault="00BD272A" w:rsidP="009F0049">
            <w:pPr>
              <w:pStyle w:val="Tabletext"/>
              <w:keepNext/>
              <w:rPr>
                <w:b/>
                <w:sz w:val="18"/>
                <w:szCs w:val="18"/>
              </w:rPr>
            </w:pPr>
          </w:p>
        </w:tc>
        <w:tc>
          <w:tcPr>
            <w:tcW w:w="1947" w:type="pct"/>
            <w:gridSpan w:val="3"/>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ITT population</w:t>
            </w:r>
          </w:p>
        </w:tc>
        <w:tc>
          <w:tcPr>
            <w:tcW w:w="1879" w:type="pct"/>
            <w:gridSpan w:val="3"/>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TBI subgroup</w:t>
            </w:r>
          </w:p>
        </w:tc>
      </w:tr>
      <w:tr w:rsidR="00BD272A" w:rsidRPr="002837E3" w:rsidTr="007A08EB">
        <w:tc>
          <w:tcPr>
            <w:tcW w:w="1175" w:type="pct"/>
            <w:vMerge/>
            <w:tcMar>
              <w:left w:w="11" w:type="dxa"/>
              <w:right w:w="11" w:type="dxa"/>
            </w:tcMar>
            <w:vAlign w:val="center"/>
          </w:tcPr>
          <w:p w:rsidR="00BD272A" w:rsidRPr="002837E3" w:rsidRDefault="00BD272A" w:rsidP="009F0049">
            <w:pPr>
              <w:pStyle w:val="Tabletext"/>
              <w:keepNext/>
              <w:rPr>
                <w:b/>
                <w:sz w:val="18"/>
                <w:szCs w:val="18"/>
              </w:rPr>
            </w:pPr>
          </w:p>
        </w:tc>
        <w:tc>
          <w:tcPr>
            <w:tcW w:w="623"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Dysport 1000U</w:t>
            </w:r>
          </w:p>
        </w:tc>
        <w:tc>
          <w:tcPr>
            <w:tcW w:w="701"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Dysport 500U</w:t>
            </w:r>
          </w:p>
        </w:tc>
        <w:tc>
          <w:tcPr>
            <w:tcW w:w="623"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Placebo</w:t>
            </w:r>
          </w:p>
        </w:tc>
        <w:tc>
          <w:tcPr>
            <w:tcW w:w="701"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Dysport 1000U</w:t>
            </w:r>
          </w:p>
        </w:tc>
        <w:tc>
          <w:tcPr>
            <w:tcW w:w="701"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Dysport 500U</w:t>
            </w:r>
          </w:p>
        </w:tc>
        <w:tc>
          <w:tcPr>
            <w:tcW w:w="476"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Placebo</w:t>
            </w:r>
          </w:p>
        </w:tc>
      </w:tr>
      <w:tr w:rsidR="00BD272A" w:rsidRPr="002837E3" w:rsidTr="007A08EB">
        <w:tc>
          <w:tcPr>
            <w:tcW w:w="1175" w:type="pct"/>
            <w:vMerge/>
            <w:tcMar>
              <w:left w:w="11" w:type="dxa"/>
              <w:right w:w="11" w:type="dxa"/>
            </w:tcMar>
            <w:vAlign w:val="center"/>
          </w:tcPr>
          <w:p w:rsidR="00BD272A" w:rsidRPr="002837E3" w:rsidRDefault="00BD272A" w:rsidP="009F0049">
            <w:pPr>
              <w:pStyle w:val="Tabletext"/>
              <w:keepNext/>
              <w:rPr>
                <w:b/>
                <w:sz w:val="18"/>
                <w:szCs w:val="18"/>
              </w:rPr>
            </w:pPr>
          </w:p>
        </w:tc>
        <w:tc>
          <w:tcPr>
            <w:tcW w:w="623"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N=79</w:t>
            </w:r>
          </w:p>
        </w:tc>
        <w:tc>
          <w:tcPr>
            <w:tcW w:w="701"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N=80</w:t>
            </w:r>
          </w:p>
        </w:tc>
        <w:tc>
          <w:tcPr>
            <w:tcW w:w="623"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N=79</w:t>
            </w:r>
          </w:p>
        </w:tc>
        <w:tc>
          <w:tcPr>
            <w:tcW w:w="701"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N=6</w:t>
            </w:r>
          </w:p>
        </w:tc>
        <w:tc>
          <w:tcPr>
            <w:tcW w:w="701"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N=8</w:t>
            </w:r>
          </w:p>
        </w:tc>
        <w:tc>
          <w:tcPr>
            <w:tcW w:w="476" w:type="pct"/>
            <w:tcMar>
              <w:left w:w="11" w:type="dxa"/>
              <w:right w:w="11" w:type="dxa"/>
            </w:tcMar>
            <w:vAlign w:val="center"/>
          </w:tcPr>
          <w:p w:rsidR="00BD272A" w:rsidRPr="002837E3" w:rsidRDefault="00BD272A" w:rsidP="009F0049">
            <w:pPr>
              <w:pStyle w:val="Tabletext"/>
              <w:keepNext/>
              <w:jc w:val="center"/>
              <w:rPr>
                <w:b/>
                <w:sz w:val="18"/>
                <w:szCs w:val="18"/>
              </w:rPr>
            </w:pPr>
            <w:r w:rsidRPr="002837E3">
              <w:rPr>
                <w:b/>
                <w:sz w:val="18"/>
                <w:szCs w:val="18"/>
              </w:rPr>
              <w:t>N=9</w:t>
            </w:r>
          </w:p>
        </w:tc>
      </w:tr>
      <w:tr w:rsidR="00BD272A" w:rsidRPr="002837E3" w:rsidTr="00886CE9">
        <w:tc>
          <w:tcPr>
            <w:tcW w:w="5000" w:type="pct"/>
            <w:gridSpan w:val="7"/>
            <w:shd w:val="clear" w:color="auto" w:fill="BFBFBF" w:themeFill="background1" w:themeFillShade="BF"/>
            <w:tcMar>
              <w:left w:w="11" w:type="dxa"/>
              <w:right w:w="11" w:type="dxa"/>
            </w:tcMar>
            <w:vAlign w:val="center"/>
          </w:tcPr>
          <w:p w:rsidR="00BD272A" w:rsidRPr="002837E3" w:rsidRDefault="00BD272A" w:rsidP="009F0049">
            <w:pPr>
              <w:pStyle w:val="Tabletext"/>
              <w:keepNext/>
              <w:rPr>
                <w:b/>
                <w:bCs/>
                <w:sz w:val="18"/>
                <w:szCs w:val="18"/>
              </w:rPr>
            </w:pPr>
            <w:r w:rsidRPr="002837E3">
              <w:rPr>
                <w:b/>
                <w:bCs/>
                <w:sz w:val="18"/>
                <w:szCs w:val="18"/>
              </w:rPr>
              <w:t>Primary outcome: change from baseline in MAS s</w:t>
            </w:r>
            <w:r>
              <w:rPr>
                <w:b/>
                <w:bCs/>
                <w:sz w:val="18"/>
                <w:szCs w:val="18"/>
              </w:rPr>
              <w:t>core in the PTMG at Week 4</w:t>
            </w:r>
          </w:p>
        </w:tc>
      </w:tr>
      <w:tr w:rsidR="00BD272A" w:rsidRPr="002837E3" w:rsidTr="007A08EB">
        <w:tc>
          <w:tcPr>
            <w:tcW w:w="1175" w:type="pct"/>
            <w:tcMar>
              <w:left w:w="11" w:type="dxa"/>
              <w:right w:w="11" w:type="dxa"/>
            </w:tcMar>
            <w:vAlign w:val="center"/>
          </w:tcPr>
          <w:p w:rsidR="00BD272A" w:rsidRPr="002837E3" w:rsidRDefault="00BD272A" w:rsidP="009F0049">
            <w:pPr>
              <w:pStyle w:val="Tabletext"/>
              <w:keepNext/>
              <w:rPr>
                <w:sz w:val="18"/>
                <w:szCs w:val="18"/>
              </w:rPr>
            </w:pPr>
            <w:r w:rsidRPr="002837E3">
              <w:rPr>
                <w:sz w:val="18"/>
                <w:szCs w:val="18"/>
              </w:rPr>
              <w:t>Baseline, mean (SD)</w:t>
            </w:r>
          </w:p>
        </w:tc>
        <w:tc>
          <w:tcPr>
            <w:tcW w:w="623"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3.9 (0.4)</w:t>
            </w:r>
          </w:p>
        </w:tc>
        <w:tc>
          <w:tcPr>
            <w:tcW w:w="701"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3.9 (0.5)</w:t>
            </w:r>
          </w:p>
        </w:tc>
        <w:tc>
          <w:tcPr>
            <w:tcW w:w="623"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3.9 (0.4)</w:t>
            </w:r>
          </w:p>
        </w:tc>
        <w:tc>
          <w:tcPr>
            <w:tcW w:w="701" w:type="pct"/>
            <w:tcMar>
              <w:left w:w="11" w:type="dxa"/>
              <w:right w:w="11" w:type="dxa"/>
            </w:tcMar>
          </w:tcPr>
          <w:p w:rsidR="00BD272A" w:rsidRPr="002837E3" w:rsidRDefault="00BD272A" w:rsidP="009F0049">
            <w:pPr>
              <w:pStyle w:val="Tabletext"/>
              <w:keepNext/>
              <w:jc w:val="center"/>
              <w:rPr>
                <w:sz w:val="18"/>
                <w:szCs w:val="18"/>
              </w:rPr>
            </w:pPr>
            <w:r>
              <w:rPr>
                <w:sz w:val="18"/>
                <w:szCs w:val="18"/>
              </w:rPr>
              <w:t>4 (0)</w:t>
            </w:r>
          </w:p>
        </w:tc>
        <w:tc>
          <w:tcPr>
            <w:tcW w:w="701" w:type="pct"/>
            <w:tcMar>
              <w:left w:w="11" w:type="dxa"/>
              <w:right w:w="11" w:type="dxa"/>
            </w:tcMar>
          </w:tcPr>
          <w:p w:rsidR="00BD272A" w:rsidRPr="002837E3" w:rsidRDefault="00BD272A" w:rsidP="009F0049">
            <w:pPr>
              <w:pStyle w:val="Tabletext"/>
              <w:keepNext/>
              <w:jc w:val="center"/>
              <w:rPr>
                <w:sz w:val="18"/>
                <w:szCs w:val="18"/>
              </w:rPr>
            </w:pPr>
            <w:r>
              <w:rPr>
                <w:sz w:val="18"/>
                <w:szCs w:val="18"/>
              </w:rPr>
              <w:t>3.8 (0.5)</w:t>
            </w:r>
          </w:p>
        </w:tc>
        <w:tc>
          <w:tcPr>
            <w:tcW w:w="476" w:type="pct"/>
            <w:tcMar>
              <w:left w:w="11" w:type="dxa"/>
              <w:right w:w="11" w:type="dxa"/>
            </w:tcMar>
          </w:tcPr>
          <w:p w:rsidR="00BD272A" w:rsidRPr="002837E3" w:rsidRDefault="00BD272A" w:rsidP="009F0049">
            <w:pPr>
              <w:pStyle w:val="Tabletext"/>
              <w:keepNext/>
              <w:jc w:val="center"/>
              <w:rPr>
                <w:sz w:val="18"/>
                <w:szCs w:val="18"/>
              </w:rPr>
            </w:pPr>
            <w:r>
              <w:rPr>
                <w:sz w:val="18"/>
                <w:szCs w:val="18"/>
              </w:rPr>
              <w:t>4 (0)</w:t>
            </w:r>
          </w:p>
        </w:tc>
      </w:tr>
      <w:tr w:rsidR="00BD272A" w:rsidRPr="002837E3" w:rsidTr="007A08EB">
        <w:tc>
          <w:tcPr>
            <w:tcW w:w="1175" w:type="pct"/>
            <w:tcMar>
              <w:left w:w="11" w:type="dxa"/>
              <w:right w:w="11" w:type="dxa"/>
            </w:tcMar>
            <w:vAlign w:val="center"/>
          </w:tcPr>
          <w:p w:rsidR="00BD272A" w:rsidRPr="002837E3" w:rsidRDefault="00BD272A" w:rsidP="009F0049">
            <w:pPr>
              <w:pStyle w:val="Tabletext"/>
              <w:keepNext/>
              <w:rPr>
                <w:sz w:val="18"/>
                <w:szCs w:val="18"/>
              </w:rPr>
            </w:pPr>
            <w:r w:rsidRPr="002837E3">
              <w:rPr>
                <w:sz w:val="18"/>
                <w:szCs w:val="18"/>
              </w:rPr>
              <w:t>Week 4, mean (SD)</w:t>
            </w:r>
          </w:p>
        </w:tc>
        <w:tc>
          <w:tcPr>
            <w:tcW w:w="623"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2.6 (1.2)</w:t>
            </w:r>
          </w:p>
        </w:tc>
        <w:tc>
          <w:tcPr>
            <w:tcW w:w="701"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2.7 (1.0)</w:t>
            </w:r>
          </w:p>
        </w:tc>
        <w:tc>
          <w:tcPr>
            <w:tcW w:w="623"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3.7 (0.7)</w:t>
            </w:r>
          </w:p>
        </w:tc>
        <w:tc>
          <w:tcPr>
            <w:tcW w:w="701" w:type="pct"/>
            <w:tcMar>
              <w:left w:w="11" w:type="dxa"/>
              <w:right w:w="11" w:type="dxa"/>
            </w:tcMar>
          </w:tcPr>
          <w:p w:rsidR="00BD272A" w:rsidRPr="002837E3" w:rsidRDefault="00BD272A" w:rsidP="009F0049">
            <w:pPr>
              <w:pStyle w:val="Tabletext"/>
              <w:keepNext/>
              <w:jc w:val="center"/>
              <w:rPr>
                <w:sz w:val="18"/>
                <w:szCs w:val="18"/>
              </w:rPr>
            </w:pPr>
            <w:r>
              <w:rPr>
                <w:sz w:val="18"/>
                <w:szCs w:val="18"/>
              </w:rPr>
              <w:t>2.8 (1.2)</w:t>
            </w:r>
          </w:p>
        </w:tc>
        <w:tc>
          <w:tcPr>
            <w:tcW w:w="701" w:type="pct"/>
            <w:tcMar>
              <w:left w:w="11" w:type="dxa"/>
              <w:right w:w="11" w:type="dxa"/>
            </w:tcMar>
          </w:tcPr>
          <w:p w:rsidR="00BD272A" w:rsidRPr="002837E3" w:rsidRDefault="00BD272A" w:rsidP="009F0049">
            <w:pPr>
              <w:pStyle w:val="Tabletext"/>
              <w:keepNext/>
              <w:jc w:val="center"/>
              <w:rPr>
                <w:sz w:val="18"/>
                <w:szCs w:val="18"/>
              </w:rPr>
            </w:pPr>
            <w:r>
              <w:rPr>
                <w:sz w:val="18"/>
                <w:szCs w:val="18"/>
              </w:rPr>
              <w:t>3 (0.9)</w:t>
            </w:r>
          </w:p>
        </w:tc>
        <w:tc>
          <w:tcPr>
            <w:tcW w:w="476" w:type="pct"/>
            <w:tcMar>
              <w:left w:w="11" w:type="dxa"/>
              <w:right w:w="11" w:type="dxa"/>
            </w:tcMar>
          </w:tcPr>
          <w:p w:rsidR="00BD272A" w:rsidRPr="002837E3" w:rsidRDefault="00BD272A" w:rsidP="009F0049">
            <w:pPr>
              <w:pStyle w:val="Tabletext"/>
              <w:keepNext/>
              <w:jc w:val="center"/>
              <w:rPr>
                <w:sz w:val="18"/>
                <w:szCs w:val="18"/>
              </w:rPr>
            </w:pPr>
            <w:r>
              <w:rPr>
                <w:sz w:val="18"/>
                <w:szCs w:val="18"/>
              </w:rPr>
              <w:t>3.8 (0.4)</w:t>
            </w:r>
          </w:p>
        </w:tc>
      </w:tr>
      <w:tr w:rsidR="00BD272A" w:rsidRPr="002837E3" w:rsidTr="00886CE9">
        <w:tc>
          <w:tcPr>
            <w:tcW w:w="5000" w:type="pct"/>
            <w:gridSpan w:val="7"/>
            <w:tcMar>
              <w:left w:w="11" w:type="dxa"/>
              <w:right w:w="11" w:type="dxa"/>
            </w:tcMar>
            <w:vAlign w:val="center"/>
          </w:tcPr>
          <w:p w:rsidR="00BD272A" w:rsidRPr="002837E3" w:rsidRDefault="00BD272A" w:rsidP="009F0049">
            <w:pPr>
              <w:pStyle w:val="Tabletext"/>
              <w:keepNext/>
              <w:rPr>
                <w:sz w:val="18"/>
                <w:szCs w:val="18"/>
              </w:rPr>
            </w:pPr>
            <w:r w:rsidRPr="002837E3">
              <w:rPr>
                <w:sz w:val="18"/>
                <w:szCs w:val="18"/>
              </w:rPr>
              <w:t>Change from baseline in MAS at Week 4</w:t>
            </w:r>
          </w:p>
        </w:tc>
      </w:tr>
      <w:tr w:rsidR="00BD272A" w:rsidRPr="002837E3" w:rsidTr="007A08EB">
        <w:tc>
          <w:tcPr>
            <w:tcW w:w="1175" w:type="pct"/>
            <w:tcMar>
              <w:left w:w="11" w:type="dxa"/>
              <w:right w:w="11" w:type="dxa"/>
            </w:tcMar>
            <w:vAlign w:val="center"/>
          </w:tcPr>
          <w:p w:rsidR="00BD272A" w:rsidRPr="002837E3" w:rsidRDefault="00BD272A" w:rsidP="009F0049">
            <w:pPr>
              <w:pStyle w:val="Tabletext"/>
              <w:keepNext/>
              <w:ind w:left="104"/>
              <w:rPr>
                <w:sz w:val="18"/>
                <w:szCs w:val="18"/>
              </w:rPr>
            </w:pPr>
            <w:r w:rsidRPr="002837E3">
              <w:rPr>
                <w:sz w:val="18"/>
                <w:szCs w:val="18"/>
              </w:rPr>
              <w:t>Mean change (SD)</w:t>
            </w:r>
          </w:p>
        </w:tc>
        <w:tc>
          <w:tcPr>
            <w:tcW w:w="623"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-1.4 (1.1)</w:t>
            </w:r>
          </w:p>
        </w:tc>
        <w:tc>
          <w:tcPr>
            <w:tcW w:w="701"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-1.2 (1.0)</w:t>
            </w:r>
          </w:p>
        </w:tc>
        <w:tc>
          <w:tcPr>
            <w:tcW w:w="623" w:type="pct"/>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-0.3 (0.6)</w:t>
            </w:r>
          </w:p>
        </w:tc>
        <w:tc>
          <w:tcPr>
            <w:tcW w:w="701" w:type="pct"/>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-1.2 (1.2)</w:t>
            </w:r>
          </w:p>
        </w:tc>
        <w:tc>
          <w:tcPr>
            <w:tcW w:w="701" w:type="pct"/>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-0.8 (0.7)</w:t>
            </w:r>
          </w:p>
        </w:tc>
        <w:tc>
          <w:tcPr>
            <w:tcW w:w="476" w:type="pct"/>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-0.2 (0.4)</w:t>
            </w:r>
          </w:p>
        </w:tc>
      </w:tr>
      <w:tr w:rsidR="00BD272A" w:rsidRPr="002837E3" w:rsidTr="007A08EB">
        <w:tc>
          <w:tcPr>
            <w:tcW w:w="1175" w:type="pct"/>
            <w:tcMar>
              <w:left w:w="11" w:type="dxa"/>
              <w:right w:w="11" w:type="dxa"/>
            </w:tcMar>
            <w:vAlign w:val="center"/>
          </w:tcPr>
          <w:p w:rsidR="00BD272A" w:rsidRPr="002837E3" w:rsidRDefault="00BD272A" w:rsidP="009F0049">
            <w:pPr>
              <w:pStyle w:val="Tabletext"/>
              <w:keepNext/>
              <w:ind w:left="104"/>
              <w:rPr>
                <w:sz w:val="18"/>
                <w:szCs w:val="18"/>
              </w:rPr>
            </w:pPr>
            <w:r w:rsidRPr="002837E3">
              <w:rPr>
                <w:sz w:val="18"/>
                <w:szCs w:val="18"/>
              </w:rPr>
              <w:t>LS mean (95% CI)</w:t>
            </w:r>
          </w:p>
        </w:tc>
        <w:tc>
          <w:tcPr>
            <w:tcW w:w="623" w:type="pct"/>
            <w:shd w:val="clear" w:color="auto" w:fill="FFFFFF"/>
            <w:tcMar>
              <w:left w:w="11" w:type="dxa"/>
              <w:right w:w="11" w:type="dxa"/>
            </w:tcMar>
            <w:vAlign w:val="center"/>
          </w:tcPr>
          <w:p w:rsidR="00BD272A" w:rsidRPr="002837E3" w:rsidRDefault="00BD272A" w:rsidP="009F0049">
            <w:pPr>
              <w:pStyle w:val="Tabletext"/>
              <w:keepNext/>
              <w:jc w:val="center"/>
              <w:rPr>
                <w:b/>
                <w:bCs/>
                <w:sz w:val="18"/>
                <w:szCs w:val="18"/>
              </w:rPr>
            </w:pPr>
            <w:r w:rsidRPr="002837E3">
              <w:rPr>
                <w:b/>
                <w:bCs/>
                <w:sz w:val="18"/>
                <w:szCs w:val="18"/>
              </w:rPr>
              <w:t>-1.4 (-1.6, -1.2)</w:t>
            </w:r>
          </w:p>
        </w:tc>
        <w:tc>
          <w:tcPr>
            <w:tcW w:w="701" w:type="pct"/>
            <w:shd w:val="clear" w:color="auto" w:fill="FFFFFF"/>
            <w:tcMar>
              <w:left w:w="11" w:type="dxa"/>
              <w:right w:w="11" w:type="dxa"/>
            </w:tcMar>
            <w:vAlign w:val="center"/>
          </w:tcPr>
          <w:p w:rsidR="00BD272A" w:rsidRPr="00C42768" w:rsidRDefault="00BD272A" w:rsidP="009F0049">
            <w:pPr>
              <w:pStyle w:val="Tabletext"/>
              <w:keepNext/>
              <w:jc w:val="center"/>
              <w:rPr>
                <w:b/>
                <w:bCs/>
                <w:sz w:val="18"/>
                <w:szCs w:val="18"/>
              </w:rPr>
            </w:pPr>
            <w:r w:rsidRPr="00C42768">
              <w:rPr>
                <w:b/>
                <w:bCs/>
                <w:sz w:val="18"/>
                <w:szCs w:val="18"/>
              </w:rPr>
              <w:t>-1.2 (-1.4, 1.0)</w:t>
            </w:r>
          </w:p>
        </w:tc>
        <w:tc>
          <w:tcPr>
            <w:tcW w:w="623" w:type="pct"/>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b/>
                <w:bCs/>
                <w:sz w:val="18"/>
                <w:szCs w:val="18"/>
              </w:rPr>
              <w:t>-0.3 (-0.5, -0.1)</w:t>
            </w:r>
          </w:p>
        </w:tc>
        <w:tc>
          <w:tcPr>
            <w:tcW w:w="701" w:type="pct"/>
            <w:shd w:val="clear" w:color="auto" w:fill="FFFFFF"/>
            <w:tcMar>
              <w:left w:w="11" w:type="dxa"/>
              <w:right w:w="11" w:type="dxa"/>
            </w:tcMar>
            <w:vAlign w:val="center"/>
          </w:tcPr>
          <w:p w:rsidR="00BD272A" w:rsidRPr="00CD659F" w:rsidRDefault="00BD272A" w:rsidP="009F0049">
            <w:pPr>
              <w:pStyle w:val="Tabletext"/>
              <w:keepNext/>
              <w:jc w:val="center"/>
              <w:rPr>
                <w:sz w:val="18"/>
                <w:szCs w:val="18"/>
              </w:rPr>
            </w:pPr>
            <w:r w:rsidRPr="00CD659F">
              <w:rPr>
                <w:sz w:val="18"/>
                <w:szCs w:val="18"/>
              </w:rPr>
              <w:t>-</w:t>
            </w:r>
          </w:p>
        </w:tc>
        <w:tc>
          <w:tcPr>
            <w:tcW w:w="701" w:type="pct"/>
            <w:shd w:val="clear" w:color="auto" w:fill="FFFFFF"/>
            <w:tcMar>
              <w:left w:w="11" w:type="dxa"/>
              <w:right w:w="11" w:type="dxa"/>
            </w:tcMar>
            <w:vAlign w:val="center"/>
          </w:tcPr>
          <w:p w:rsidR="00BD272A" w:rsidRPr="00CD659F" w:rsidRDefault="00BD272A" w:rsidP="009F0049">
            <w:pPr>
              <w:pStyle w:val="Tabletext"/>
              <w:keepNext/>
              <w:jc w:val="center"/>
              <w:rPr>
                <w:sz w:val="18"/>
                <w:szCs w:val="18"/>
              </w:rPr>
            </w:pPr>
            <w:r w:rsidRPr="00CD659F">
              <w:rPr>
                <w:sz w:val="18"/>
                <w:szCs w:val="18"/>
              </w:rPr>
              <w:t>-</w:t>
            </w:r>
          </w:p>
        </w:tc>
        <w:tc>
          <w:tcPr>
            <w:tcW w:w="476" w:type="pct"/>
            <w:shd w:val="clear" w:color="auto" w:fill="FFFFFF"/>
            <w:tcMar>
              <w:left w:w="11" w:type="dxa"/>
              <w:right w:w="11" w:type="dxa"/>
            </w:tcMar>
            <w:vAlign w:val="center"/>
          </w:tcPr>
          <w:p w:rsidR="00BD272A" w:rsidRPr="00CD659F" w:rsidRDefault="00BD272A" w:rsidP="009F0049">
            <w:pPr>
              <w:pStyle w:val="Tabletext"/>
              <w:keepNext/>
              <w:jc w:val="center"/>
              <w:rPr>
                <w:sz w:val="18"/>
                <w:szCs w:val="18"/>
              </w:rPr>
            </w:pPr>
            <w:r w:rsidRPr="00CD659F">
              <w:rPr>
                <w:sz w:val="18"/>
                <w:szCs w:val="18"/>
              </w:rPr>
              <w:t>-</w:t>
            </w:r>
          </w:p>
        </w:tc>
      </w:tr>
      <w:tr w:rsidR="00BD272A" w:rsidRPr="002837E3" w:rsidTr="00886CE9">
        <w:tc>
          <w:tcPr>
            <w:tcW w:w="5000" w:type="pct"/>
            <w:gridSpan w:val="7"/>
            <w:tcBorders>
              <w:bottom w:val="single" w:sz="4" w:space="0" w:color="auto"/>
            </w:tcBorders>
            <w:tcMar>
              <w:left w:w="11" w:type="dxa"/>
              <w:right w:w="11" w:type="dxa"/>
            </w:tcMar>
            <w:vAlign w:val="center"/>
          </w:tcPr>
          <w:p w:rsidR="00BD272A" w:rsidRPr="002837E3" w:rsidRDefault="00BD272A" w:rsidP="009F0049">
            <w:pPr>
              <w:pStyle w:val="Tabletext"/>
              <w:keepNext/>
              <w:rPr>
                <w:b/>
                <w:bCs/>
                <w:sz w:val="18"/>
                <w:szCs w:val="18"/>
              </w:rPr>
            </w:pPr>
            <w:r w:rsidRPr="002837E3">
              <w:rPr>
                <w:b/>
                <w:bCs/>
                <w:sz w:val="18"/>
                <w:szCs w:val="18"/>
              </w:rPr>
              <w:t>Comparison to placebo</w:t>
            </w:r>
          </w:p>
        </w:tc>
      </w:tr>
      <w:tr w:rsidR="00BD272A" w:rsidRPr="002837E3" w:rsidTr="007A08EB">
        <w:tc>
          <w:tcPr>
            <w:tcW w:w="117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D272A" w:rsidRPr="002837E3" w:rsidRDefault="00BD272A" w:rsidP="009F0049">
            <w:pPr>
              <w:pStyle w:val="Tabletext"/>
              <w:keepNext/>
              <w:ind w:left="104"/>
              <w:rPr>
                <w:sz w:val="18"/>
                <w:szCs w:val="18"/>
              </w:rPr>
            </w:pPr>
            <w:r w:rsidRPr="002837E3">
              <w:rPr>
                <w:sz w:val="18"/>
                <w:szCs w:val="18"/>
              </w:rPr>
              <w:t>LS mean (95% CI)</w:t>
            </w:r>
          </w:p>
        </w:tc>
        <w:tc>
          <w:tcPr>
            <w:tcW w:w="62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D272A" w:rsidRPr="002837E3" w:rsidRDefault="00BD272A" w:rsidP="009F0049">
            <w:pPr>
              <w:pStyle w:val="Tabletext"/>
              <w:keepNext/>
              <w:jc w:val="center"/>
              <w:rPr>
                <w:b/>
                <w:bCs/>
                <w:sz w:val="18"/>
                <w:szCs w:val="18"/>
              </w:rPr>
            </w:pPr>
            <w:r w:rsidRPr="002837E3">
              <w:rPr>
                <w:b/>
                <w:bCs/>
                <w:sz w:val="18"/>
                <w:szCs w:val="18"/>
              </w:rPr>
              <w:t>-1.1 (-1.4, -0.8)</w:t>
            </w:r>
          </w:p>
        </w:tc>
        <w:tc>
          <w:tcPr>
            <w:tcW w:w="701"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b/>
                <w:bCs/>
                <w:sz w:val="18"/>
                <w:szCs w:val="18"/>
              </w:rPr>
            </w:pPr>
            <w:r w:rsidRPr="002837E3">
              <w:rPr>
                <w:b/>
                <w:bCs/>
                <w:sz w:val="18"/>
                <w:szCs w:val="18"/>
              </w:rPr>
              <w:t>-0.9 (-1.2, -0.6)</w:t>
            </w:r>
          </w:p>
        </w:tc>
        <w:tc>
          <w:tcPr>
            <w:tcW w:w="623"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NA</w:t>
            </w:r>
          </w:p>
        </w:tc>
        <w:tc>
          <w:tcPr>
            <w:tcW w:w="701"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b/>
                <w:bCs/>
                <w:sz w:val="18"/>
                <w:szCs w:val="18"/>
              </w:rPr>
              <w:t>-0.9 (-1.8, -0.1)</w:t>
            </w:r>
          </w:p>
        </w:tc>
        <w:tc>
          <w:tcPr>
            <w:tcW w:w="701"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-0.5 (-1.3, 0.3)</w:t>
            </w:r>
          </w:p>
        </w:tc>
        <w:tc>
          <w:tcPr>
            <w:tcW w:w="476"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NA</w:t>
            </w:r>
          </w:p>
        </w:tc>
      </w:tr>
      <w:tr w:rsidR="00BD272A" w:rsidRPr="002837E3" w:rsidTr="007A08EB">
        <w:tc>
          <w:tcPr>
            <w:tcW w:w="117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D272A" w:rsidRPr="002837E3" w:rsidRDefault="00BD272A" w:rsidP="009F0049">
            <w:pPr>
              <w:pStyle w:val="Tabletext"/>
              <w:keepNext/>
              <w:ind w:left="104"/>
              <w:rPr>
                <w:sz w:val="18"/>
                <w:szCs w:val="18"/>
              </w:rPr>
            </w:pPr>
            <w:r w:rsidRPr="002837E3">
              <w:rPr>
                <w:sz w:val="18"/>
                <w:szCs w:val="18"/>
              </w:rPr>
              <w:t>p-value</w:t>
            </w:r>
          </w:p>
        </w:tc>
        <w:tc>
          <w:tcPr>
            <w:tcW w:w="62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D272A" w:rsidRPr="002837E3" w:rsidRDefault="00BD272A" w:rsidP="009F0049">
            <w:pPr>
              <w:pStyle w:val="Tabletext"/>
              <w:keepNext/>
              <w:jc w:val="center"/>
              <w:rPr>
                <w:b/>
                <w:bCs/>
                <w:sz w:val="18"/>
                <w:szCs w:val="18"/>
              </w:rPr>
            </w:pPr>
            <w:r w:rsidRPr="002837E3">
              <w:rPr>
                <w:b/>
                <w:bCs/>
                <w:sz w:val="18"/>
                <w:szCs w:val="18"/>
              </w:rPr>
              <w:t>&lt;0.0001</w:t>
            </w:r>
          </w:p>
        </w:tc>
        <w:tc>
          <w:tcPr>
            <w:tcW w:w="701"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b/>
                <w:bCs/>
                <w:sz w:val="18"/>
                <w:szCs w:val="18"/>
              </w:rPr>
            </w:pPr>
            <w:r w:rsidRPr="002837E3">
              <w:rPr>
                <w:b/>
                <w:bCs/>
                <w:sz w:val="18"/>
                <w:szCs w:val="18"/>
              </w:rPr>
              <w:t>&lt;0.0001</w:t>
            </w:r>
          </w:p>
        </w:tc>
        <w:tc>
          <w:tcPr>
            <w:tcW w:w="623"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sidRPr="002837E3">
              <w:rPr>
                <w:sz w:val="18"/>
                <w:szCs w:val="18"/>
              </w:rPr>
              <w:t>NA</w:t>
            </w:r>
          </w:p>
        </w:tc>
        <w:tc>
          <w:tcPr>
            <w:tcW w:w="701"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Pr>
                <w:sz w:val="18"/>
                <w:szCs w:val="18"/>
              </w:rPr>
              <w:t>-</w:t>
            </w:r>
          </w:p>
        </w:tc>
        <w:tc>
          <w:tcPr>
            <w:tcW w:w="701"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Pr>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Mar>
              <w:left w:w="11" w:type="dxa"/>
              <w:right w:w="11" w:type="dxa"/>
            </w:tcMar>
            <w:vAlign w:val="center"/>
          </w:tcPr>
          <w:p w:rsidR="00BD272A" w:rsidRPr="002837E3" w:rsidRDefault="00BD272A" w:rsidP="009F0049">
            <w:pPr>
              <w:pStyle w:val="Tabletext"/>
              <w:keepNext/>
              <w:jc w:val="center"/>
              <w:rPr>
                <w:sz w:val="18"/>
                <w:szCs w:val="18"/>
              </w:rPr>
            </w:pPr>
            <w:r>
              <w:rPr>
                <w:sz w:val="18"/>
                <w:szCs w:val="18"/>
              </w:rPr>
              <w:t>NA</w:t>
            </w:r>
          </w:p>
        </w:tc>
      </w:tr>
      <w:tr w:rsidR="00BD272A" w:rsidRPr="002837E3" w:rsidTr="00886CE9">
        <w:tc>
          <w:tcPr>
            <w:tcW w:w="5000" w:type="pct"/>
            <w:gridSpan w:val="7"/>
            <w:tcBorders>
              <w:top w:val="single" w:sz="4" w:space="0" w:color="auto"/>
            </w:tcBorders>
            <w:shd w:val="clear" w:color="auto" w:fill="D9D9D9" w:themeFill="background1" w:themeFillShade="D9"/>
            <w:tcMar>
              <w:left w:w="11" w:type="dxa"/>
              <w:right w:w="11" w:type="dxa"/>
            </w:tcMar>
            <w:vAlign w:val="center"/>
          </w:tcPr>
          <w:p w:rsidR="00BD272A" w:rsidRPr="002837E3" w:rsidRDefault="00BD272A" w:rsidP="009F0049">
            <w:pPr>
              <w:pStyle w:val="Tabletext"/>
              <w:keepNext/>
              <w:rPr>
                <w:b/>
                <w:bCs/>
                <w:sz w:val="18"/>
                <w:szCs w:val="18"/>
              </w:rPr>
            </w:pPr>
            <w:r w:rsidRPr="002837E3">
              <w:rPr>
                <w:b/>
                <w:bCs/>
                <w:sz w:val="18"/>
                <w:szCs w:val="18"/>
              </w:rPr>
              <w:t xml:space="preserve">MAS responders at Weeks 4 and 12 (reduction </w:t>
            </w:r>
            <w:r w:rsidR="008D5B73">
              <w:rPr>
                <w:b/>
                <w:bCs/>
                <w:sz w:val="18"/>
                <w:szCs w:val="18"/>
              </w:rPr>
              <w:t>≥</w:t>
            </w:r>
            <w:r w:rsidR="0012449A">
              <w:rPr>
                <w:b/>
                <w:bCs/>
                <w:sz w:val="18"/>
                <w:szCs w:val="18"/>
              </w:rPr>
              <w:t xml:space="preserve"> </w:t>
            </w:r>
            <w:r>
              <w:rPr>
                <w:b/>
                <w:bCs/>
                <w:sz w:val="18"/>
                <w:szCs w:val="18"/>
              </w:rPr>
              <w:t>1 or more)</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rPr>
                <w:sz w:val="18"/>
                <w:szCs w:val="18"/>
              </w:rPr>
            </w:pPr>
            <w:r w:rsidRPr="00D21D33">
              <w:rPr>
                <w:sz w:val="18"/>
                <w:szCs w:val="18"/>
              </w:rPr>
              <w:t>Responders at Week 4, n</w:t>
            </w:r>
            <w:r w:rsidR="007A08EB">
              <w:rPr>
                <w:sz w:val="18"/>
                <w:szCs w:val="18"/>
              </w:rPr>
              <w:t xml:space="preserve"> </w:t>
            </w:r>
            <w:r w:rsidRPr="00D21D33">
              <w:rPr>
                <w:sz w:val="18"/>
                <w:szCs w:val="18"/>
              </w:rPr>
              <w:t>(%)</w:t>
            </w:r>
          </w:p>
        </w:tc>
        <w:tc>
          <w:tcPr>
            <w:tcW w:w="623" w:type="pct"/>
            <w:tcMar>
              <w:left w:w="11" w:type="dxa"/>
              <w:right w:w="11" w:type="dxa"/>
            </w:tcMar>
            <w:vAlign w:val="center"/>
          </w:tcPr>
          <w:p w:rsidR="00BD272A" w:rsidRPr="00D21D33" w:rsidRDefault="00BD272A" w:rsidP="009F0049">
            <w:pPr>
              <w:pStyle w:val="Tabletext"/>
              <w:keepNext/>
              <w:jc w:val="center"/>
              <w:rPr>
                <w:b/>
                <w:bCs/>
                <w:sz w:val="18"/>
                <w:szCs w:val="18"/>
              </w:rPr>
            </w:pPr>
            <w:r w:rsidRPr="00D21D33">
              <w:rPr>
                <w:sz w:val="18"/>
                <w:szCs w:val="18"/>
              </w:rPr>
              <w:t>62 (78.5</w:t>
            </w:r>
            <w:r w:rsidR="007A08EB">
              <w:rPr>
                <w:sz w:val="18"/>
                <w:szCs w:val="18"/>
              </w:rPr>
              <w:t>%</w:t>
            </w:r>
            <w:r w:rsidRPr="00D21D33">
              <w:rPr>
                <w:sz w:val="18"/>
                <w:szCs w:val="18"/>
              </w:rPr>
              <w:t>)</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59 (73.8</w:t>
            </w:r>
            <w:r w:rsidR="007A08EB">
              <w:rPr>
                <w:sz w:val="18"/>
                <w:szCs w:val="18"/>
              </w:rPr>
              <w:t>%</w:t>
            </w:r>
            <w:r w:rsidRPr="00D21D33">
              <w:rPr>
                <w:sz w:val="18"/>
                <w:szCs w:val="18"/>
              </w:rPr>
              <w:t>)</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18 (22.8</w:t>
            </w:r>
            <w:r w:rsidR="007A08EB">
              <w:rPr>
                <w:sz w:val="18"/>
                <w:szCs w:val="18"/>
              </w:rPr>
              <w:t>%</w:t>
            </w:r>
            <w:r w:rsidRPr="00D21D33">
              <w:rPr>
                <w:sz w:val="18"/>
                <w:szCs w:val="18"/>
              </w:rPr>
              <w:t>)</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4 (66.7</w:t>
            </w:r>
            <w:r w:rsidR="007A08EB">
              <w:rPr>
                <w:sz w:val="18"/>
                <w:szCs w:val="18"/>
              </w:rPr>
              <w:t>%</w:t>
            </w:r>
            <w:r w:rsidRPr="00D21D33">
              <w:rPr>
                <w:sz w:val="18"/>
                <w:szCs w:val="18"/>
              </w:rPr>
              <w:t>)</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5 (62.5</w:t>
            </w:r>
            <w:r w:rsidR="007A08EB">
              <w:rPr>
                <w:sz w:val="18"/>
                <w:szCs w:val="18"/>
              </w:rPr>
              <w:t>%</w:t>
            </w:r>
            <w:r w:rsidRPr="00D21D33">
              <w:rPr>
                <w:sz w:val="18"/>
                <w:szCs w:val="18"/>
              </w:rPr>
              <w:t>)</w:t>
            </w:r>
          </w:p>
        </w:tc>
        <w:tc>
          <w:tcPr>
            <w:tcW w:w="476"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2 (22.2</w:t>
            </w:r>
            <w:r w:rsidR="007A08EB">
              <w:rPr>
                <w:sz w:val="18"/>
                <w:szCs w:val="18"/>
              </w:rPr>
              <w:t>%</w:t>
            </w:r>
            <w:r w:rsidRPr="00D21D33">
              <w:rPr>
                <w:sz w:val="18"/>
                <w:szCs w:val="18"/>
              </w:rPr>
              <w:t>)</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ind w:left="104"/>
              <w:rPr>
                <w:sz w:val="18"/>
                <w:szCs w:val="18"/>
              </w:rPr>
            </w:pPr>
            <w:r w:rsidRPr="00D21D33">
              <w:rPr>
                <w:iCs/>
                <w:sz w:val="18"/>
                <w:szCs w:val="18"/>
              </w:rPr>
              <w:t>RD (95% CI)</w:t>
            </w:r>
          </w:p>
        </w:tc>
        <w:tc>
          <w:tcPr>
            <w:tcW w:w="623" w:type="pct"/>
            <w:tcMar>
              <w:left w:w="11" w:type="dxa"/>
              <w:right w:w="11" w:type="dxa"/>
            </w:tcMar>
            <w:vAlign w:val="center"/>
          </w:tcPr>
          <w:p w:rsidR="00BD272A" w:rsidRPr="00D21D33" w:rsidRDefault="00BD272A" w:rsidP="009F0049">
            <w:pPr>
              <w:pStyle w:val="Tabletext"/>
              <w:keepNext/>
              <w:jc w:val="center"/>
              <w:rPr>
                <w:sz w:val="18"/>
                <w:szCs w:val="18"/>
              </w:rPr>
            </w:pPr>
            <w:r w:rsidRPr="00D21D33">
              <w:rPr>
                <w:b/>
                <w:bCs/>
                <w:iCs/>
                <w:sz w:val="18"/>
                <w:szCs w:val="18"/>
              </w:rPr>
              <w:t>0.56 (0.43. 0.69)</w:t>
            </w:r>
          </w:p>
        </w:tc>
        <w:tc>
          <w:tcPr>
            <w:tcW w:w="701" w:type="pct"/>
            <w:tcMar>
              <w:left w:w="11" w:type="dxa"/>
              <w:right w:w="11" w:type="dxa"/>
            </w:tcMar>
            <w:vAlign w:val="center"/>
          </w:tcPr>
          <w:p w:rsidR="00BD272A" w:rsidRPr="00D21D33" w:rsidRDefault="00BD272A" w:rsidP="009F0049">
            <w:pPr>
              <w:pStyle w:val="Tabletext"/>
              <w:keepNext/>
              <w:jc w:val="center"/>
              <w:rPr>
                <w:b/>
                <w:bCs/>
                <w:sz w:val="18"/>
                <w:szCs w:val="18"/>
              </w:rPr>
            </w:pPr>
            <w:r w:rsidRPr="00D21D33">
              <w:rPr>
                <w:b/>
                <w:bCs/>
                <w:iCs/>
                <w:sz w:val="18"/>
                <w:szCs w:val="18"/>
              </w:rPr>
              <w:t>0.51(0.38, 0.64)</w:t>
            </w:r>
          </w:p>
        </w:tc>
        <w:tc>
          <w:tcPr>
            <w:tcW w:w="623" w:type="pct"/>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NA</w:t>
            </w:r>
          </w:p>
        </w:tc>
        <w:tc>
          <w:tcPr>
            <w:tcW w:w="701" w:type="pct"/>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0.44 (-0.02, 0.91)</w:t>
            </w:r>
          </w:p>
        </w:tc>
        <w:tc>
          <w:tcPr>
            <w:tcW w:w="701" w:type="pct"/>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0.40 (-0.03, 0.83)</w:t>
            </w:r>
          </w:p>
        </w:tc>
        <w:tc>
          <w:tcPr>
            <w:tcW w:w="476" w:type="pct"/>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NA</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ind w:left="104"/>
              <w:rPr>
                <w:sz w:val="18"/>
                <w:szCs w:val="18"/>
              </w:rPr>
            </w:pPr>
            <w:r w:rsidRPr="00D21D33">
              <w:rPr>
                <w:sz w:val="18"/>
                <w:szCs w:val="18"/>
              </w:rPr>
              <w:t>p-value (versus placebo)</w:t>
            </w:r>
          </w:p>
        </w:tc>
        <w:tc>
          <w:tcPr>
            <w:tcW w:w="623" w:type="pct"/>
            <w:tcMar>
              <w:left w:w="11" w:type="dxa"/>
              <w:right w:w="11" w:type="dxa"/>
            </w:tcMar>
            <w:vAlign w:val="center"/>
          </w:tcPr>
          <w:p w:rsidR="00BD272A" w:rsidRPr="00D21D33" w:rsidRDefault="00BD272A" w:rsidP="009F0049">
            <w:pPr>
              <w:pStyle w:val="Tabletext"/>
              <w:keepNext/>
              <w:jc w:val="center"/>
              <w:rPr>
                <w:b/>
                <w:bCs/>
                <w:sz w:val="18"/>
                <w:szCs w:val="18"/>
              </w:rPr>
            </w:pPr>
            <w:r w:rsidRPr="00D21D33">
              <w:rPr>
                <w:b/>
                <w:bCs/>
                <w:sz w:val="18"/>
                <w:szCs w:val="18"/>
              </w:rPr>
              <w:t>&lt;0.0001</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b/>
                <w:bCs/>
                <w:sz w:val="18"/>
                <w:szCs w:val="18"/>
              </w:rPr>
            </w:pPr>
            <w:r w:rsidRPr="00D21D33">
              <w:rPr>
                <w:b/>
                <w:bCs/>
                <w:sz w:val="18"/>
                <w:szCs w:val="18"/>
              </w:rPr>
              <w:t>&lt;0.0001</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NA</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0.09</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0.09</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NA</w:t>
            </w:r>
          </w:p>
        </w:tc>
      </w:tr>
      <w:tr w:rsidR="00BD272A" w:rsidRPr="00D21D33" w:rsidTr="007A08EB">
        <w:tc>
          <w:tcPr>
            <w:tcW w:w="1175" w:type="pct"/>
            <w:tcMar>
              <w:left w:w="11" w:type="dxa"/>
              <w:right w:w="11" w:type="dxa"/>
            </w:tcMar>
            <w:vAlign w:val="center"/>
          </w:tcPr>
          <w:p w:rsidR="00BD272A" w:rsidRPr="00D21D33" w:rsidRDefault="00BD272A" w:rsidP="007A08EB">
            <w:pPr>
              <w:pStyle w:val="Tabletext"/>
              <w:keepNext/>
              <w:rPr>
                <w:sz w:val="18"/>
                <w:szCs w:val="18"/>
              </w:rPr>
            </w:pPr>
            <w:r w:rsidRPr="00D21D33">
              <w:rPr>
                <w:sz w:val="18"/>
                <w:szCs w:val="18"/>
              </w:rPr>
              <w:t>Responders at Week 12, n</w:t>
            </w:r>
            <w:r w:rsidR="007A08EB">
              <w:rPr>
                <w:sz w:val="18"/>
                <w:szCs w:val="18"/>
              </w:rPr>
              <w:t xml:space="preserve"> </w:t>
            </w:r>
            <w:r w:rsidRPr="00D21D33">
              <w:rPr>
                <w:sz w:val="18"/>
                <w:szCs w:val="18"/>
              </w:rPr>
              <w:t>(%)</w:t>
            </w:r>
          </w:p>
        </w:tc>
        <w:tc>
          <w:tcPr>
            <w:tcW w:w="623" w:type="pct"/>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38 (48.1</w:t>
            </w:r>
            <w:r w:rsidR="007A08EB">
              <w:rPr>
                <w:sz w:val="18"/>
                <w:szCs w:val="18"/>
              </w:rPr>
              <w:t>%</w:t>
            </w:r>
            <w:r w:rsidRPr="00D21D33">
              <w:rPr>
                <w:sz w:val="18"/>
                <w:szCs w:val="18"/>
              </w:rPr>
              <w:t>)</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34</w:t>
            </w:r>
            <w:r w:rsidR="007A08EB">
              <w:rPr>
                <w:sz w:val="18"/>
                <w:szCs w:val="18"/>
              </w:rPr>
              <w:t xml:space="preserve"> </w:t>
            </w:r>
            <w:r w:rsidRPr="00D21D33">
              <w:rPr>
                <w:sz w:val="18"/>
                <w:szCs w:val="18"/>
              </w:rPr>
              <w:t>(42.5</w:t>
            </w:r>
            <w:r w:rsidR="007A08EB">
              <w:rPr>
                <w:sz w:val="18"/>
                <w:szCs w:val="18"/>
              </w:rPr>
              <w:t>%</w:t>
            </w:r>
            <w:r w:rsidRPr="00D21D33">
              <w:rPr>
                <w:sz w:val="18"/>
                <w:szCs w:val="18"/>
              </w:rPr>
              <w:t>)</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11 (13.9</w:t>
            </w:r>
            <w:r w:rsidR="007A08EB">
              <w:rPr>
                <w:sz w:val="18"/>
                <w:szCs w:val="18"/>
              </w:rPr>
              <w:t>%</w:t>
            </w:r>
            <w:r w:rsidRPr="00D21D33">
              <w:rPr>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1 (16.7</w:t>
            </w:r>
            <w:r w:rsidR="007A08EB">
              <w:rPr>
                <w:sz w:val="18"/>
                <w:szCs w:val="18"/>
              </w:rPr>
              <w:t>%</w:t>
            </w:r>
            <w:r w:rsidRPr="00D21D33">
              <w:rPr>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4 (50.0</w:t>
            </w:r>
            <w:r w:rsidR="007A08EB">
              <w:rPr>
                <w:sz w:val="18"/>
                <w:szCs w:val="18"/>
              </w:rPr>
              <w:t>%</w:t>
            </w:r>
            <w:r w:rsidRPr="00D21D33">
              <w:rPr>
                <w:sz w:val="18"/>
                <w:szCs w:val="18"/>
              </w:rPr>
              <w:t>)</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1 (11.1</w:t>
            </w:r>
            <w:r w:rsidR="007A08EB">
              <w:rPr>
                <w:sz w:val="18"/>
                <w:szCs w:val="18"/>
              </w:rPr>
              <w:t>%</w:t>
            </w:r>
            <w:r w:rsidRPr="00D21D33">
              <w:rPr>
                <w:sz w:val="18"/>
                <w:szCs w:val="18"/>
              </w:rPr>
              <w:t>)</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ind w:left="104"/>
              <w:rPr>
                <w:sz w:val="18"/>
                <w:szCs w:val="18"/>
              </w:rPr>
            </w:pPr>
            <w:r w:rsidRPr="00D21D33">
              <w:rPr>
                <w:iCs/>
                <w:sz w:val="18"/>
                <w:szCs w:val="18"/>
              </w:rPr>
              <w:t>RD (95% CI)</w:t>
            </w:r>
          </w:p>
        </w:tc>
        <w:tc>
          <w:tcPr>
            <w:tcW w:w="623" w:type="pct"/>
            <w:tcMar>
              <w:left w:w="11" w:type="dxa"/>
              <w:right w:w="11" w:type="dxa"/>
            </w:tcMar>
            <w:vAlign w:val="center"/>
          </w:tcPr>
          <w:p w:rsidR="00BD272A" w:rsidRPr="00D21D33" w:rsidRDefault="00BD272A" w:rsidP="009F0049">
            <w:pPr>
              <w:pStyle w:val="Tabletext"/>
              <w:keepNext/>
              <w:jc w:val="center"/>
              <w:rPr>
                <w:b/>
                <w:bCs/>
                <w:iCs/>
                <w:sz w:val="18"/>
                <w:szCs w:val="18"/>
              </w:rPr>
            </w:pPr>
            <w:r w:rsidRPr="00D21D33">
              <w:rPr>
                <w:b/>
                <w:bCs/>
                <w:iCs/>
                <w:sz w:val="18"/>
                <w:szCs w:val="18"/>
              </w:rPr>
              <w:t>0.34 (0.21, 0.48)</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b/>
                <w:bCs/>
                <w:iCs/>
                <w:sz w:val="18"/>
                <w:szCs w:val="18"/>
              </w:rPr>
            </w:pPr>
            <w:r w:rsidRPr="00D21D33">
              <w:rPr>
                <w:b/>
                <w:bCs/>
                <w:iCs/>
                <w:sz w:val="18"/>
                <w:szCs w:val="18"/>
              </w:rPr>
              <w:t>0.29 (0.15, 0.42)</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NA</w:t>
            </w:r>
          </w:p>
        </w:tc>
        <w:tc>
          <w:tcPr>
            <w:tcW w:w="701" w:type="pct"/>
            <w:shd w:val="clear" w:color="auto" w:fill="FFFFFF"/>
            <w:tcMar>
              <w:left w:w="11" w:type="dxa"/>
              <w:right w:w="11" w:type="dxa"/>
            </w:tcMar>
          </w:tcPr>
          <w:p w:rsidR="00BD272A" w:rsidRPr="00D21D33" w:rsidRDefault="00BD272A" w:rsidP="009F0049">
            <w:pPr>
              <w:pStyle w:val="Tabletext"/>
              <w:keepNext/>
              <w:jc w:val="center"/>
              <w:rPr>
                <w:iCs/>
                <w:sz w:val="18"/>
                <w:szCs w:val="18"/>
              </w:rPr>
            </w:pPr>
            <w:r w:rsidRPr="00D21D33">
              <w:rPr>
                <w:iCs/>
                <w:sz w:val="18"/>
                <w:szCs w:val="18"/>
              </w:rPr>
              <w:t>0.06 (-0.31, 0.42)</w:t>
            </w:r>
          </w:p>
        </w:tc>
        <w:tc>
          <w:tcPr>
            <w:tcW w:w="701" w:type="pct"/>
            <w:shd w:val="clear" w:color="auto" w:fill="FFFFFF"/>
            <w:tcMar>
              <w:left w:w="11" w:type="dxa"/>
              <w:right w:w="11" w:type="dxa"/>
            </w:tcMar>
          </w:tcPr>
          <w:p w:rsidR="00BD272A" w:rsidRPr="00D21D33" w:rsidRDefault="00BD272A" w:rsidP="009F0049">
            <w:pPr>
              <w:pStyle w:val="Tabletext"/>
              <w:keepNext/>
              <w:jc w:val="center"/>
              <w:rPr>
                <w:iCs/>
                <w:sz w:val="18"/>
                <w:szCs w:val="18"/>
              </w:rPr>
            </w:pPr>
            <w:r w:rsidRPr="00D21D33">
              <w:rPr>
                <w:iCs/>
                <w:sz w:val="18"/>
                <w:szCs w:val="18"/>
              </w:rPr>
              <w:t>0.39 (-0.01, 0.79)</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NA</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ind w:left="104"/>
              <w:rPr>
                <w:sz w:val="18"/>
                <w:szCs w:val="18"/>
              </w:rPr>
            </w:pPr>
            <w:r w:rsidRPr="00D21D33">
              <w:rPr>
                <w:sz w:val="18"/>
                <w:szCs w:val="18"/>
              </w:rPr>
              <w:t>p-value (versus placebo)</w:t>
            </w:r>
          </w:p>
        </w:tc>
        <w:tc>
          <w:tcPr>
            <w:tcW w:w="623" w:type="pct"/>
            <w:tcMar>
              <w:left w:w="11" w:type="dxa"/>
              <w:right w:w="11" w:type="dxa"/>
            </w:tcMar>
            <w:vAlign w:val="center"/>
          </w:tcPr>
          <w:p w:rsidR="00BD272A" w:rsidRPr="00D21D33" w:rsidRDefault="00BD272A" w:rsidP="009F0049">
            <w:pPr>
              <w:pStyle w:val="Tabletext"/>
              <w:keepNext/>
              <w:jc w:val="center"/>
              <w:rPr>
                <w:b/>
                <w:bCs/>
                <w:sz w:val="18"/>
                <w:szCs w:val="18"/>
              </w:rPr>
            </w:pPr>
            <w:r w:rsidRPr="00D21D33">
              <w:rPr>
                <w:b/>
                <w:bCs/>
                <w:sz w:val="18"/>
                <w:szCs w:val="18"/>
              </w:rPr>
              <w:t>&lt;0.0001</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b/>
                <w:bCs/>
                <w:sz w:val="18"/>
                <w:szCs w:val="18"/>
              </w:rPr>
            </w:pPr>
            <w:r w:rsidRPr="00D21D33">
              <w:rPr>
                <w:b/>
                <w:bCs/>
                <w:sz w:val="18"/>
                <w:szCs w:val="18"/>
              </w:rPr>
              <w:t>&lt;0.0001</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NA</w:t>
            </w:r>
          </w:p>
        </w:tc>
        <w:tc>
          <w:tcPr>
            <w:tcW w:w="701" w:type="pct"/>
            <w:shd w:val="clear" w:color="auto" w:fill="FFFFFF"/>
            <w:tcMar>
              <w:left w:w="11" w:type="dxa"/>
              <w:right w:w="11" w:type="dxa"/>
            </w:tcMar>
          </w:tcPr>
          <w:p w:rsidR="00BD272A" w:rsidRPr="00D21D33" w:rsidRDefault="00BD272A" w:rsidP="009F0049">
            <w:pPr>
              <w:pStyle w:val="Tabletext"/>
              <w:keepNext/>
              <w:jc w:val="center"/>
              <w:rPr>
                <w:iCs/>
                <w:sz w:val="18"/>
                <w:szCs w:val="18"/>
              </w:rPr>
            </w:pPr>
            <w:r w:rsidRPr="00D21D33">
              <w:rPr>
                <w:iCs/>
                <w:sz w:val="18"/>
                <w:szCs w:val="18"/>
              </w:rPr>
              <w:t>0.76</w:t>
            </w:r>
          </w:p>
        </w:tc>
        <w:tc>
          <w:tcPr>
            <w:tcW w:w="701" w:type="pct"/>
            <w:shd w:val="clear" w:color="auto" w:fill="FFFFFF"/>
            <w:tcMar>
              <w:left w:w="11" w:type="dxa"/>
              <w:right w:w="11" w:type="dxa"/>
            </w:tcMar>
          </w:tcPr>
          <w:p w:rsidR="00BD272A" w:rsidRPr="00D21D33" w:rsidRDefault="00BD272A" w:rsidP="009F0049">
            <w:pPr>
              <w:pStyle w:val="Tabletext"/>
              <w:keepNext/>
              <w:jc w:val="center"/>
              <w:rPr>
                <w:iCs/>
                <w:sz w:val="18"/>
                <w:szCs w:val="18"/>
              </w:rPr>
            </w:pPr>
            <w:r w:rsidRPr="00D21D33">
              <w:rPr>
                <w:iCs/>
                <w:sz w:val="18"/>
                <w:szCs w:val="18"/>
              </w:rPr>
              <w:t>0.08</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NA</w:t>
            </w:r>
          </w:p>
        </w:tc>
      </w:tr>
      <w:tr w:rsidR="00BD272A" w:rsidRPr="002837E3" w:rsidTr="00886CE9">
        <w:tc>
          <w:tcPr>
            <w:tcW w:w="5000" w:type="pct"/>
            <w:gridSpan w:val="7"/>
            <w:shd w:val="clear" w:color="auto" w:fill="BFBFBF" w:themeFill="background1" w:themeFillShade="BF"/>
            <w:tcMar>
              <w:left w:w="11" w:type="dxa"/>
              <w:right w:w="11" w:type="dxa"/>
            </w:tcMar>
            <w:vAlign w:val="center"/>
          </w:tcPr>
          <w:p w:rsidR="00BD272A" w:rsidRPr="002837E3" w:rsidRDefault="00BD272A" w:rsidP="009F0049">
            <w:pPr>
              <w:pStyle w:val="Tabletext"/>
              <w:keepNext/>
              <w:rPr>
                <w:b/>
                <w:bCs/>
                <w:sz w:val="18"/>
                <w:szCs w:val="18"/>
              </w:rPr>
            </w:pPr>
            <w:r w:rsidRPr="002837E3">
              <w:rPr>
                <w:b/>
                <w:bCs/>
                <w:sz w:val="18"/>
                <w:szCs w:val="18"/>
              </w:rPr>
              <w:t xml:space="preserve">MAS responders at Weeks 4 and 12 (reduction </w:t>
            </w:r>
            <w:r>
              <w:rPr>
                <w:b/>
                <w:bCs/>
                <w:sz w:val="18"/>
                <w:szCs w:val="18"/>
              </w:rPr>
              <w:t>≥</w:t>
            </w:r>
            <w:r w:rsidR="0012449A">
              <w:rPr>
                <w:b/>
                <w:bCs/>
                <w:sz w:val="18"/>
                <w:szCs w:val="18"/>
              </w:rPr>
              <w:t xml:space="preserve"> </w:t>
            </w:r>
            <w:r>
              <w:rPr>
                <w:b/>
                <w:bCs/>
                <w:sz w:val="18"/>
                <w:szCs w:val="18"/>
              </w:rPr>
              <w:t>2 or more)</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rPr>
                <w:iCs/>
                <w:sz w:val="18"/>
                <w:szCs w:val="18"/>
              </w:rPr>
            </w:pPr>
            <w:r w:rsidRPr="00D21D33">
              <w:rPr>
                <w:iCs/>
                <w:sz w:val="18"/>
                <w:szCs w:val="18"/>
              </w:rPr>
              <w:t>Responders at Week 4, n</w:t>
            </w:r>
            <w:r w:rsidR="007A08EB">
              <w:rPr>
                <w:iCs/>
                <w:sz w:val="18"/>
                <w:szCs w:val="18"/>
              </w:rPr>
              <w:t xml:space="preserve"> </w:t>
            </w:r>
            <w:r w:rsidRPr="00D21D33">
              <w:rPr>
                <w:iCs/>
                <w:sz w:val="18"/>
                <w:szCs w:val="18"/>
              </w:rPr>
              <w:t>(%)</w:t>
            </w:r>
          </w:p>
        </w:tc>
        <w:tc>
          <w:tcPr>
            <w:tcW w:w="623" w:type="pct"/>
            <w:tcMar>
              <w:left w:w="11" w:type="dxa"/>
              <w:right w:w="11" w:type="dxa"/>
            </w:tcMar>
            <w:vAlign w:val="center"/>
          </w:tcPr>
          <w:p w:rsidR="00BD272A" w:rsidRPr="00D21D33" w:rsidRDefault="00BD272A" w:rsidP="009F0049">
            <w:pPr>
              <w:pStyle w:val="Tabletext"/>
              <w:keepNext/>
              <w:jc w:val="center"/>
              <w:rPr>
                <w:iCs/>
                <w:sz w:val="18"/>
                <w:szCs w:val="18"/>
              </w:rPr>
            </w:pPr>
            <w:r w:rsidRPr="00D21D33">
              <w:rPr>
                <w:iCs/>
                <w:sz w:val="18"/>
                <w:szCs w:val="18"/>
              </w:rPr>
              <w:t>29 (36.7</w:t>
            </w:r>
            <w:r w:rsidR="007A08EB">
              <w:rPr>
                <w:iCs/>
                <w:sz w:val="18"/>
                <w:szCs w:val="18"/>
              </w:rPr>
              <w:t>%</w:t>
            </w:r>
            <w:r w:rsidRPr="00D21D33">
              <w:rPr>
                <w:iCs/>
                <w:sz w:val="18"/>
                <w:szCs w:val="18"/>
              </w:rPr>
              <w:t>)</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iCs/>
                <w:sz w:val="18"/>
                <w:szCs w:val="18"/>
              </w:rPr>
            </w:pPr>
            <w:r w:rsidRPr="00D21D33">
              <w:rPr>
                <w:iCs/>
                <w:sz w:val="18"/>
                <w:szCs w:val="18"/>
              </w:rPr>
              <w:t>28 (35.0</w:t>
            </w:r>
            <w:r w:rsidR="007A08EB">
              <w:rPr>
                <w:iCs/>
                <w:sz w:val="18"/>
                <w:szCs w:val="18"/>
              </w:rPr>
              <w:t>%</w:t>
            </w:r>
            <w:r w:rsidRPr="00D21D33">
              <w:rPr>
                <w:iCs/>
                <w:sz w:val="18"/>
                <w:szCs w:val="18"/>
              </w:rPr>
              <w:t>)</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iCs/>
                <w:sz w:val="18"/>
                <w:szCs w:val="18"/>
              </w:rPr>
            </w:pPr>
            <w:r w:rsidRPr="00D21D33">
              <w:rPr>
                <w:iCs/>
                <w:sz w:val="18"/>
                <w:szCs w:val="18"/>
              </w:rPr>
              <w:t>3 (3.8</w:t>
            </w:r>
            <w:r w:rsidR="007A08EB">
              <w:rPr>
                <w:iCs/>
                <w:sz w:val="18"/>
                <w:szCs w:val="18"/>
              </w:rPr>
              <w:t>%</w:t>
            </w:r>
            <w:r w:rsidRPr="00D21D33">
              <w:rPr>
                <w:iCs/>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ind w:left="104"/>
              <w:rPr>
                <w:sz w:val="18"/>
                <w:szCs w:val="18"/>
              </w:rPr>
            </w:pPr>
            <w:r w:rsidRPr="00D21D33">
              <w:rPr>
                <w:iCs/>
                <w:sz w:val="18"/>
                <w:szCs w:val="18"/>
              </w:rPr>
              <w:t>RD (95% CI)</w:t>
            </w:r>
          </w:p>
        </w:tc>
        <w:tc>
          <w:tcPr>
            <w:tcW w:w="623" w:type="pct"/>
            <w:tcMar>
              <w:left w:w="11" w:type="dxa"/>
              <w:right w:w="11" w:type="dxa"/>
            </w:tcMar>
            <w:vAlign w:val="center"/>
          </w:tcPr>
          <w:p w:rsidR="00BD272A" w:rsidRPr="00D21D33" w:rsidRDefault="00BD272A" w:rsidP="009F0049">
            <w:pPr>
              <w:pStyle w:val="Tabletext"/>
              <w:keepNext/>
              <w:jc w:val="center"/>
              <w:rPr>
                <w:b/>
                <w:bCs/>
                <w:sz w:val="18"/>
                <w:szCs w:val="18"/>
              </w:rPr>
            </w:pPr>
            <w:r w:rsidRPr="00D21D33">
              <w:rPr>
                <w:b/>
                <w:bCs/>
                <w:sz w:val="18"/>
                <w:szCs w:val="18"/>
              </w:rPr>
              <w:t>0.33 (0.22, 0.44)</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b/>
                <w:bCs/>
                <w:iCs/>
                <w:sz w:val="18"/>
                <w:szCs w:val="18"/>
              </w:rPr>
            </w:pPr>
            <w:r w:rsidRPr="00D21D33">
              <w:rPr>
                <w:b/>
                <w:bCs/>
                <w:iCs/>
                <w:sz w:val="18"/>
                <w:szCs w:val="18"/>
              </w:rPr>
              <w:t>0.31 (0.20, 0.42)</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NA</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rPr>
                <w:iCs/>
                <w:sz w:val="18"/>
                <w:szCs w:val="18"/>
              </w:rPr>
            </w:pPr>
            <w:r w:rsidRPr="00D21D33">
              <w:rPr>
                <w:iCs/>
                <w:sz w:val="18"/>
                <w:szCs w:val="18"/>
              </w:rPr>
              <w:t>Responders at Week 12, n</w:t>
            </w:r>
            <w:r w:rsidR="007A08EB">
              <w:rPr>
                <w:iCs/>
                <w:sz w:val="18"/>
                <w:szCs w:val="18"/>
              </w:rPr>
              <w:t xml:space="preserve"> </w:t>
            </w:r>
            <w:r w:rsidRPr="00D21D33">
              <w:rPr>
                <w:iCs/>
                <w:sz w:val="18"/>
                <w:szCs w:val="18"/>
              </w:rPr>
              <w:t>(%)</w:t>
            </w:r>
          </w:p>
        </w:tc>
        <w:tc>
          <w:tcPr>
            <w:tcW w:w="623" w:type="pct"/>
            <w:tcMar>
              <w:left w:w="11" w:type="dxa"/>
              <w:right w:w="11" w:type="dxa"/>
            </w:tcMar>
            <w:vAlign w:val="center"/>
          </w:tcPr>
          <w:p w:rsidR="00BD272A" w:rsidRPr="00D21D33" w:rsidRDefault="00BD272A" w:rsidP="009F0049">
            <w:pPr>
              <w:pStyle w:val="Tabletext"/>
              <w:keepNext/>
              <w:jc w:val="center"/>
              <w:rPr>
                <w:iCs/>
                <w:sz w:val="18"/>
                <w:szCs w:val="18"/>
              </w:rPr>
            </w:pPr>
            <w:r w:rsidRPr="00D21D33">
              <w:rPr>
                <w:iCs/>
                <w:sz w:val="18"/>
                <w:szCs w:val="18"/>
              </w:rPr>
              <w:t>14 (17.7</w:t>
            </w:r>
            <w:r w:rsidR="007A08EB">
              <w:rPr>
                <w:iCs/>
                <w:sz w:val="18"/>
                <w:szCs w:val="18"/>
              </w:rPr>
              <w:t>%</w:t>
            </w:r>
            <w:r w:rsidRPr="00D21D33">
              <w:rPr>
                <w:iCs/>
                <w:sz w:val="18"/>
                <w:szCs w:val="18"/>
              </w:rPr>
              <w:t>)</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iCs/>
                <w:sz w:val="18"/>
                <w:szCs w:val="18"/>
              </w:rPr>
            </w:pPr>
            <w:r w:rsidRPr="00D21D33">
              <w:rPr>
                <w:iCs/>
                <w:sz w:val="18"/>
                <w:szCs w:val="18"/>
              </w:rPr>
              <w:t>8 (10.0</w:t>
            </w:r>
            <w:r w:rsidR="007A08EB">
              <w:rPr>
                <w:iCs/>
                <w:sz w:val="18"/>
                <w:szCs w:val="18"/>
              </w:rPr>
              <w:t>%</w:t>
            </w:r>
            <w:r w:rsidRPr="00D21D33">
              <w:rPr>
                <w:iCs/>
                <w:sz w:val="18"/>
                <w:szCs w:val="18"/>
              </w:rPr>
              <w:t>)</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iCs/>
                <w:sz w:val="18"/>
                <w:szCs w:val="18"/>
              </w:rPr>
            </w:pPr>
            <w:r w:rsidRPr="00D21D33">
              <w:rPr>
                <w:iCs/>
                <w:sz w:val="18"/>
                <w:szCs w:val="18"/>
              </w:rPr>
              <w:t>3 (3.8</w:t>
            </w:r>
            <w:r w:rsidR="007A08EB">
              <w:rPr>
                <w:iCs/>
                <w:sz w:val="18"/>
                <w:szCs w:val="18"/>
              </w:rPr>
              <w:t>%</w:t>
            </w:r>
            <w:r w:rsidRPr="00D21D33">
              <w:rPr>
                <w:iCs/>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r>
      <w:tr w:rsidR="00BD272A" w:rsidRPr="00D21D33" w:rsidTr="007A08EB">
        <w:tc>
          <w:tcPr>
            <w:tcW w:w="1175" w:type="pct"/>
            <w:tcMar>
              <w:left w:w="11" w:type="dxa"/>
              <w:right w:w="11" w:type="dxa"/>
            </w:tcMar>
            <w:vAlign w:val="center"/>
          </w:tcPr>
          <w:p w:rsidR="00BD272A" w:rsidRPr="00D21D33" w:rsidRDefault="00BD272A" w:rsidP="009F0049">
            <w:pPr>
              <w:pStyle w:val="Tabletext"/>
              <w:keepNext/>
              <w:ind w:left="104"/>
              <w:rPr>
                <w:sz w:val="18"/>
                <w:szCs w:val="18"/>
              </w:rPr>
            </w:pPr>
            <w:r w:rsidRPr="00D21D33">
              <w:rPr>
                <w:iCs/>
                <w:sz w:val="18"/>
                <w:szCs w:val="18"/>
              </w:rPr>
              <w:t>RD (95% CI)</w:t>
            </w:r>
          </w:p>
        </w:tc>
        <w:tc>
          <w:tcPr>
            <w:tcW w:w="623" w:type="pct"/>
            <w:tcMar>
              <w:left w:w="11" w:type="dxa"/>
              <w:right w:w="11" w:type="dxa"/>
            </w:tcMar>
            <w:vAlign w:val="center"/>
          </w:tcPr>
          <w:p w:rsidR="00BD272A" w:rsidRPr="00D21D33" w:rsidRDefault="00BD272A" w:rsidP="009F0049">
            <w:pPr>
              <w:pStyle w:val="Tabletext"/>
              <w:keepNext/>
              <w:jc w:val="center"/>
              <w:rPr>
                <w:b/>
                <w:bCs/>
                <w:sz w:val="18"/>
                <w:szCs w:val="18"/>
              </w:rPr>
            </w:pPr>
            <w:r w:rsidRPr="00D21D33">
              <w:rPr>
                <w:b/>
                <w:bCs/>
                <w:sz w:val="18"/>
                <w:szCs w:val="18"/>
              </w:rPr>
              <w:t>0.14 (0.05, 0.24)</w:t>
            </w:r>
          </w:p>
        </w:tc>
        <w:tc>
          <w:tcPr>
            <w:tcW w:w="701" w:type="pct"/>
            <w:shd w:val="clear" w:color="auto" w:fill="FFFFFF"/>
            <w:tcMar>
              <w:left w:w="11" w:type="dxa"/>
              <w:right w:w="11" w:type="dxa"/>
            </w:tcMar>
            <w:vAlign w:val="center"/>
          </w:tcPr>
          <w:p w:rsidR="00BD272A" w:rsidRPr="00D21D33" w:rsidRDefault="00BD272A" w:rsidP="009F0049">
            <w:pPr>
              <w:pStyle w:val="Tabletext"/>
              <w:keepNext/>
              <w:jc w:val="center"/>
              <w:rPr>
                <w:iCs/>
                <w:sz w:val="18"/>
                <w:szCs w:val="18"/>
              </w:rPr>
            </w:pPr>
            <w:r w:rsidRPr="00D21D33">
              <w:rPr>
                <w:iCs/>
                <w:sz w:val="18"/>
                <w:szCs w:val="18"/>
              </w:rPr>
              <w:t>0.06 (-0.02, 0.14)</w:t>
            </w:r>
          </w:p>
        </w:tc>
        <w:tc>
          <w:tcPr>
            <w:tcW w:w="623" w:type="pct"/>
            <w:shd w:val="clear" w:color="auto" w:fill="FFFFFF"/>
            <w:tcMar>
              <w:left w:w="11" w:type="dxa"/>
              <w:right w:w="11" w:type="dxa"/>
            </w:tcMar>
            <w:vAlign w:val="center"/>
          </w:tcPr>
          <w:p w:rsidR="00BD272A" w:rsidRPr="00D21D33" w:rsidRDefault="00BD272A" w:rsidP="009F0049">
            <w:pPr>
              <w:pStyle w:val="Tabletext"/>
              <w:keepNext/>
              <w:jc w:val="center"/>
              <w:rPr>
                <w:sz w:val="18"/>
                <w:szCs w:val="18"/>
              </w:rPr>
            </w:pPr>
            <w:r w:rsidRPr="00D21D33">
              <w:rPr>
                <w:sz w:val="18"/>
                <w:szCs w:val="18"/>
              </w:rPr>
              <w:t>NA</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701"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c>
          <w:tcPr>
            <w:tcW w:w="476" w:type="pct"/>
            <w:shd w:val="clear" w:color="auto" w:fill="FFFFFF"/>
            <w:tcMar>
              <w:left w:w="11" w:type="dxa"/>
              <w:right w:w="11" w:type="dxa"/>
            </w:tcMar>
          </w:tcPr>
          <w:p w:rsidR="00BD272A" w:rsidRPr="00D21D33" w:rsidRDefault="00BD272A" w:rsidP="009F0049">
            <w:pPr>
              <w:pStyle w:val="Tabletext"/>
              <w:keepNext/>
              <w:jc w:val="center"/>
              <w:rPr>
                <w:sz w:val="18"/>
                <w:szCs w:val="18"/>
              </w:rPr>
            </w:pPr>
            <w:r w:rsidRPr="00D21D33">
              <w:rPr>
                <w:sz w:val="18"/>
                <w:szCs w:val="18"/>
              </w:rPr>
              <w:t>-</w:t>
            </w:r>
          </w:p>
        </w:tc>
      </w:tr>
    </w:tbl>
    <w:p w:rsidR="00BD272A" w:rsidRPr="00B756B7" w:rsidRDefault="00BD272A" w:rsidP="009F0049">
      <w:pPr>
        <w:pStyle w:val="TableFooter"/>
        <w:widowControl/>
      </w:pPr>
      <w:bookmarkStart w:id="16" w:name="_Toc524429274"/>
      <w:r w:rsidRPr="00B756B7">
        <w:t xml:space="preserve">Bolded values reached statistical significance. Italics indicate results estimated during the evaluation using </w:t>
      </w:r>
      <w:proofErr w:type="spellStart"/>
      <w:r w:rsidRPr="00B756B7">
        <w:t>RevMan</w:t>
      </w:r>
      <w:proofErr w:type="spellEnd"/>
      <w:r w:rsidRPr="00B756B7">
        <w:t xml:space="preserve"> v5.3, and STATA 15.</w:t>
      </w:r>
      <w:bookmarkEnd w:id="16"/>
    </w:p>
    <w:p w:rsidR="00BD272A" w:rsidRPr="00B756B7" w:rsidRDefault="00BD272A" w:rsidP="009F0049">
      <w:pPr>
        <w:pStyle w:val="TableFooter"/>
        <w:widowControl/>
      </w:pPr>
      <w:bookmarkStart w:id="17" w:name="_Toc524429275"/>
      <w:r w:rsidRPr="00B756B7">
        <w:t>Abbreviations: LS=least squares; MAS=modified Ashworth scale; NA=not applicable; NR=not reported; PTMG=primary targeted muscle group; TBI=traumatic brain injury, RD=risk difference.</w:t>
      </w:r>
      <w:bookmarkEnd w:id="17"/>
    </w:p>
    <w:p w:rsidR="00BD272A" w:rsidRDefault="00BD272A" w:rsidP="009F0049">
      <w:pPr>
        <w:pStyle w:val="TableFooter"/>
        <w:widowControl/>
      </w:pPr>
      <w:bookmarkStart w:id="18" w:name="_Toc524429276"/>
      <w:r w:rsidRPr="00B756B7">
        <w:lastRenderedPageBreak/>
        <w:t>Source: Table 2.31, Table 2.33, pp.75-78 of the submission; Table 3.6</w:t>
      </w:r>
      <w:r w:rsidRPr="00E262EC">
        <w:t>, p132 of the submission.</w:t>
      </w:r>
      <w:bookmarkEnd w:id="18"/>
    </w:p>
    <w:p w:rsidR="00767C6C" w:rsidRPr="00E262EC" w:rsidRDefault="00767C6C" w:rsidP="009F0049">
      <w:pPr>
        <w:pStyle w:val="TableFooter"/>
        <w:widowControl/>
      </w:pPr>
    </w:p>
    <w:p w:rsidR="00BD272A" w:rsidRPr="000F1DF7" w:rsidRDefault="00BD272A" w:rsidP="009F0049">
      <w:pPr>
        <w:pStyle w:val="ListParagraph"/>
        <w:widowControl/>
        <w:numPr>
          <w:ilvl w:val="1"/>
          <w:numId w:val="1"/>
        </w:numPr>
      </w:pPr>
      <w:r w:rsidRPr="000F1DF7">
        <w:t>The mean MAS reduction</w:t>
      </w:r>
      <w:r w:rsidR="0012449A">
        <w:t>s</w:t>
      </w:r>
      <w:r w:rsidRPr="000F1DF7">
        <w:t xml:space="preserve"> at Week 4 w</w:t>
      </w:r>
      <w:r w:rsidR="0012449A">
        <w:t>ere</w:t>
      </w:r>
      <w:r w:rsidRPr="000F1DF7">
        <w:t xml:space="preserve"> statistically significantly higher in patients treated with Dysport</w:t>
      </w:r>
      <w:r w:rsidRPr="000F1DF7">
        <w:rPr>
          <w:rFonts w:cs="Calibri"/>
        </w:rPr>
        <w:t>®</w:t>
      </w:r>
      <w:r w:rsidRPr="000F1DF7">
        <w:t xml:space="preserve"> compared to placebo in the </w:t>
      </w:r>
      <w:r w:rsidR="0012449A">
        <w:t>intention to treat (ITT)</w:t>
      </w:r>
      <w:r w:rsidR="0012449A" w:rsidRPr="000F1DF7">
        <w:t xml:space="preserve"> </w:t>
      </w:r>
      <w:r w:rsidRPr="000F1DF7">
        <w:t>population.</w:t>
      </w:r>
      <w:r w:rsidR="00642FE1">
        <w:t xml:space="preserve"> </w:t>
      </w:r>
      <w:r w:rsidR="0012449A">
        <w:t>For patients treated with Dysport</w:t>
      </w:r>
      <w:r w:rsidR="0012449A">
        <w:rPr>
          <w:rFonts w:cs="Calibri"/>
        </w:rPr>
        <w:t>®</w:t>
      </w:r>
      <w:r w:rsidR="0012449A">
        <w:t xml:space="preserve"> 1000U the result was clinically significant, as it exceed</w:t>
      </w:r>
      <w:r w:rsidR="007A08EB">
        <w:t>ed</w:t>
      </w:r>
      <w:r w:rsidR="0012449A">
        <w:t xml:space="preserve"> the nominated MCID of reduction in MAS </w:t>
      </w:r>
      <w:r w:rsidR="0012449A">
        <w:rPr>
          <w:rFonts w:cs="Calibri"/>
        </w:rPr>
        <w:t>≥</w:t>
      </w:r>
      <w:r w:rsidR="0012449A">
        <w:t xml:space="preserve"> 1. </w:t>
      </w:r>
    </w:p>
    <w:p w:rsidR="00BD272A" w:rsidRPr="000F1DF7" w:rsidRDefault="00BD272A" w:rsidP="009F0049">
      <w:pPr>
        <w:pStyle w:val="ListParagraph"/>
        <w:widowControl/>
        <w:numPr>
          <w:ilvl w:val="1"/>
          <w:numId w:val="1"/>
        </w:numPr>
      </w:pPr>
      <w:r w:rsidRPr="000F1DF7">
        <w:t>In the subgroup of TBI patients, the mean reduction in the MAS score at Week 4 was not significantly different for Dysport</w:t>
      </w:r>
      <w:r w:rsidRPr="000F1DF7">
        <w:rPr>
          <w:rFonts w:cs="Calibri"/>
        </w:rPr>
        <w:t xml:space="preserve">® </w:t>
      </w:r>
      <w:r w:rsidRPr="000F1DF7">
        <w:t>500U versus placebo.</w:t>
      </w:r>
      <w:r w:rsidR="00642FE1">
        <w:t xml:space="preserve"> </w:t>
      </w:r>
      <w:r w:rsidRPr="000F1DF7">
        <w:t>The mean MAS reduction in Dysport</w:t>
      </w:r>
      <w:r w:rsidRPr="000F1DF7">
        <w:rPr>
          <w:rFonts w:cs="Calibri"/>
        </w:rPr>
        <w:t>® 1000U</w:t>
      </w:r>
      <w:r w:rsidRPr="000F1DF7">
        <w:t xml:space="preserve"> compared to placebo was statistically significant, </w:t>
      </w:r>
      <w:r w:rsidRPr="000F1DF7">
        <w:rPr>
          <w:iCs/>
        </w:rPr>
        <w:t>but not clinically significant, as it did not meet the MCID</w:t>
      </w:r>
      <w:r w:rsidR="007430E5">
        <w:rPr>
          <w:iCs/>
        </w:rPr>
        <w:t xml:space="preserve"> nominated by the submission</w:t>
      </w:r>
      <w:r w:rsidRPr="000F1DF7">
        <w:rPr>
          <w:iCs/>
        </w:rPr>
        <w:t>.</w:t>
      </w:r>
      <w:r w:rsidR="00642FE1">
        <w:rPr>
          <w:iCs/>
        </w:rPr>
        <w:t xml:space="preserve"> </w:t>
      </w:r>
      <w:r w:rsidRPr="000F1DF7">
        <w:t xml:space="preserve">These subgroup analyses were </w:t>
      </w:r>
      <w:r w:rsidRPr="007A08EB">
        <w:rPr>
          <w:i/>
        </w:rPr>
        <w:t>post-hoc</w:t>
      </w:r>
      <w:r w:rsidRPr="000F1DF7">
        <w:t xml:space="preserve"> analyses of Study 145, and were not powered to detect statistical significance.</w:t>
      </w:r>
      <w:r w:rsidR="00642FE1">
        <w:t xml:space="preserve"> </w:t>
      </w:r>
    </w:p>
    <w:p w:rsidR="00BD272A" w:rsidRPr="000F1DF7" w:rsidRDefault="00BD272A" w:rsidP="009F0049">
      <w:pPr>
        <w:pStyle w:val="ListParagraph"/>
        <w:widowControl/>
        <w:numPr>
          <w:ilvl w:val="1"/>
          <w:numId w:val="1"/>
        </w:numPr>
        <w:rPr>
          <w:iCs/>
        </w:rPr>
      </w:pPr>
      <w:r w:rsidRPr="000F1DF7">
        <w:rPr>
          <w:snapToGrid/>
        </w:rPr>
        <w:t xml:space="preserve">In the ITT population, both Dysport® treatment groups were significantly more effective than placebo in terms of </w:t>
      </w:r>
      <w:r w:rsidR="001F31D3" w:rsidRPr="000F1DF7">
        <w:rPr>
          <w:snapToGrid/>
        </w:rPr>
        <w:t xml:space="preserve">the </w:t>
      </w:r>
      <w:r w:rsidRPr="000F1DF7">
        <w:rPr>
          <w:snapToGrid/>
        </w:rPr>
        <w:t xml:space="preserve">proportion of patients attaining </w:t>
      </w:r>
      <w:r w:rsidR="001F31D3" w:rsidRPr="000F1DF7">
        <w:rPr>
          <w:snapToGrid/>
        </w:rPr>
        <w:t xml:space="preserve">a </w:t>
      </w:r>
      <w:r w:rsidRPr="000F1DF7">
        <w:rPr>
          <w:snapToGrid/>
        </w:rPr>
        <w:t xml:space="preserve">MAS response at </w:t>
      </w:r>
      <w:r w:rsidR="007A08EB">
        <w:rPr>
          <w:snapToGrid/>
        </w:rPr>
        <w:t xml:space="preserve">Week </w:t>
      </w:r>
      <w:r w:rsidRPr="000F1DF7">
        <w:rPr>
          <w:snapToGrid/>
        </w:rPr>
        <w:t>4.</w:t>
      </w:r>
      <w:r w:rsidR="00642FE1">
        <w:rPr>
          <w:snapToGrid/>
        </w:rPr>
        <w:t xml:space="preserve"> </w:t>
      </w:r>
    </w:p>
    <w:p w:rsidR="00BD272A" w:rsidRPr="009F3A33" w:rsidRDefault="00BD272A" w:rsidP="009F0049">
      <w:pPr>
        <w:pStyle w:val="ListParagraph"/>
        <w:widowControl/>
        <w:numPr>
          <w:ilvl w:val="1"/>
          <w:numId w:val="1"/>
        </w:numPr>
        <w:rPr>
          <w:iCs/>
        </w:rPr>
      </w:pPr>
      <w:r w:rsidRPr="000F1DF7">
        <w:rPr>
          <w:iCs/>
        </w:rPr>
        <w:t xml:space="preserve">The results </w:t>
      </w:r>
      <w:r w:rsidRPr="000F1DF7">
        <w:rPr>
          <w:iCs/>
          <w:szCs w:val="20"/>
        </w:rPr>
        <w:t xml:space="preserve">for changes from baseline in MAS scores from Lam 2012 </w:t>
      </w:r>
      <w:r w:rsidR="007A08EB">
        <w:rPr>
          <w:iCs/>
          <w:szCs w:val="20"/>
        </w:rPr>
        <w:t xml:space="preserve">were </w:t>
      </w:r>
      <w:r w:rsidRPr="000F1DF7">
        <w:rPr>
          <w:iCs/>
          <w:szCs w:val="20"/>
        </w:rPr>
        <w:t>consistent with those from Study 145.</w:t>
      </w:r>
      <w:r w:rsidR="00642FE1">
        <w:rPr>
          <w:iCs/>
          <w:szCs w:val="20"/>
        </w:rPr>
        <w:t xml:space="preserve"> </w:t>
      </w:r>
      <w:r w:rsidR="001F31D3" w:rsidRPr="000F1DF7">
        <w:rPr>
          <w:iCs/>
          <w:szCs w:val="20"/>
        </w:rPr>
        <w:t>However, in Smith 2000, t</w:t>
      </w:r>
      <w:r w:rsidRPr="000F1DF7">
        <w:rPr>
          <w:iCs/>
          <w:szCs w:val="20"/>
        </w:rPr>
        <w:t>he reduction in the MAS score was not statistically significant for most of the Dysport</w:t>
      </w:r>
      <w:r w:rsidRPr="000F1DF7">
        <w:rPr>
          <w:rFonts w:cs="Calibri"/>
          <w:iCs/>
          <w:szCs w:val="20"/>
        </w:rPr>
        <w:t>®</w:t>
      </w:r>
      <w:r w:rsidRPr="000F1DF7">
        <w:rPr>
          <w:iCs/>
          <w:szCs w:val="20"/>
        </w:rPr>
        <w:t xml:space="preserve"> treatment groups </w:t>
      </w:r>
      <w:r w:rsidR="007A08EB">
        <w:rPr>
          <w:iCs/>
          <w:szCs w:val="20"/>
        </w:rPr>
        <w:t>compared to</w:t>
      </w:r>
      <w:r w:rsidR="007A08EB" w:rsidRPr="000F1DF7">
        <w:rPr>
          <w:iCs/>
          <w:szCs w:val="20"/>
        </w:rPr>
        <w:t xml:space="preserve"> </w:t>
      </w:r>
      <w:r w:rsidRPr="000F1DF7">
        <w:rPr>
          <w:iCs/>
          <w:szCs w:val="20"/>
        </w:rPr>
        <w:t>placebo.</w:t>
      </w:r>
      <w:r w:rsidR="00642FE1">
        <w:rPr>
          <w:iCs/>
          <w:szCs w:val="20"/>
        </w:rPr>
        <w:t xml:space="preserve"> </w:t>
      </w:r>
    </w:p>
    <w:p w:rsidR="009F3A33" w:rsidRPr="00E75A07" w:rsidRDefault="009F3A33" w:rsidP="009F0049">
      <w:pPr>
        <w:pStyle w:val="ListParagraph"/>
        <w:widowControl/>
        <w:numPr>
          <w:ilvl w:val="1"/>
          <w:numId w:val="1"/>
        </w:numPr>
      </w:pPr>
      <w:r w:rsidRPr="00E75A07">
        <w:t xml:space="preserve">Table 7 presents </w:t>
      </w:r>
      <w:r w:rsidR="006F7C45" w:rsidRPr="00E75A07">
        <w:t xml:space="preserve">incremental benefit </w:t>
      </w:r>
      <w:r w:rsidRPr="00E75A07">
        <w:t>results from the PSCR</w:t>
      </w:r>
      <w:r w:rsidR="007A08EB">
        <w:t>,</w:t>
      </w:r>
      <w:r w:rsidRPr="00E75A07">
        <w:t xml:space="preserve"> which </w:t>
      </w:r>
      <w:r w:rsidR="007A08EB">
        <w:t>were</w:t>
      </w:r>
      <w:r w:rsidR="007A08EB" w:rsidRPr="00E75A07">
        <w:t xml:space="preserve"> </w:t>
      </w:r>
      <w:r w:rsidRPr="00E75A07">
        <w:t>re</w:t>
      </w:r>
      <w:r w:rsidR="00632BB3" w:rsidRPr="00E75A07">
        <w:t>-</w:t>
      </w:r>
      <w:r w:rsidRPr="00E75A07">
        <w:t xml:space="preserve">coded using the historical </w:t>
      </w:r>
      <w:r w:rsidR="007A08EB">
        <w:t xml:space="preserve">MAS </w:t>
      </w:r>
      <w:r w:rsidRPr="00E75A07">
        <w:t xml:space="preserve">coding convention. </w:t>
      </w:r>
    </w:p>
    <w:p w:rsidR="009F3A33" w:rsidRPr="00E75A07" w:rsidRDefault="009F3A33" w:rsidP="009F0049">
      <w:pPr>
        <w:pStyle w:val="TableHeading0"/>
      </w:pPr>
      <w:r w:rsidRPr="00E75A07">
        <w:t>Table 7: MAS outcomes in Study 145 recoded for historical MAS coding convention</w:t>
      </w:r>
      <w:r w:rsidR="00555181" w:rsidRPr="00E75A07">
        <w:t xml:space="preserve"> – incremental benefit</w:t>
      </w:r>
    </w:p>
    <w:tbl>
      <w:tblPr>
        <w:tblStyle w:val="TableGrid"/>
        <w:tblW w:w="4942" w:type="pct"/>
        <w:tblInd w:w="108" w:type="dxa"/>
        <w:tblLook w:val="04A0" w:firstRow="1" w:lastRow="0" w:firstColumn="1" w:lastColumn="0" w:noHBand="0" w:noVBand="1"/>
        <w:tblCaption w:val="MAS outcomes in Study 145 recoded for historical MAS coding convention – incremental benefit"/>
      </w:tblPr>
      <w:tblGrid>
        <w:gridCol w:w="4287"/>
        <w:gridCol w:w="1659"/>
        <w:gridCol w:w="1522"/>
        <w:gridCol w:w="1444"/>
      </w:tblGrid>
      <w:tr w:rsidR="00F871D9" w:rsidRPr="00E75A07" w:rsidTr="00DF2EBD">
        <w:trPr>
          <w:cantSplit/>
          <w:trHeight w:val="130"/>
          <w:tblHeader/>
        </w:trPr>
        <w:tc>
          <w:tcPr>
            <w:tcW w:w="2405" w:type="pct"/>
          </w:tcPr>
          <w:p w:rsidR="009F3A33" w:rsidRPr="00E75A07" w:rsidRDefault="006F7C45" w:rsidP="009F0049">
            <w:pPr>
              <w:pStyle w:val="TableText0"/>
              <w:spacing w:before="0" w:after="0"/>
              <w:rPr>
                <w:b/>
              </w:rPr>
            </w:pPr>
            <w:r w:rsidRPr="00E75A07">
              <w:rPr>
                <w:b/>
              </w:rPr>
              <w:t>Responders</w:t>
            </w:r>
            <w:r w:rsidR="009F3A33" w:rsidRPr="00E75A07">
              <w:rPr>
                <w:b/>
              </w:rPr>
              <w:t xml:space="preserve"> at </w:t>
            </w:r>
            <w:r w:rsidRPr="00E75A07">
              <w:rPr>
                <w:b/>
              </w:rPr>
              <w:t>W</w:t>
            </w:r>
            <w:r w:rsidR="009F3A33" w:rsidRPr="00E75A07">
              <w:rPr>
                <w:b/>
              </w:rPr>
              <w:t>eek 12 (1000U)</w:t>
            </w:r>
            <w:r w:rsidRPr="00E75A07">
              <w:rPr>
                <w:b/>
              </w:rPr>
              <w:t>, ITT population</w:t>
            </w:r>
          </w:p>
        </w:tc>
        <w:tc>
          <w:tcPr>
            <w:tcW w:w="931" w:type="pct"/>
          </w:tcPr>
          <w:p w:rsidR="009F3A33" w:rsidRPr="00E75A07" w:rsidRDefault="009F3A33" w:rsidP="009F0049">
            <w:pPr>
              <w:pStyle w:val="TableText0"/>
              <w:spacing w:before="0" w:after="0"/>
              <w:jc w:val="center"/>
              <w:rPr>
                <w:b/>
              </w:rPr>
            </w:pPr>
            <w:r w:rsidRPr="00E75A07">
              <w:rPr>
                <w:b/>
              </w:rPr>
              <w:t>MAS ≥ 1</w:t>
            </w:r>
          </w:p>
        </w:tc>
        <w:tc>
          <w:tcPr>
            <w:tcW w:w="854" w:type="pct"/>
          </w:tcPr>
          <w:p w:rsidR="009F3A33" w:rsidRPr="00E75A07" w:rsidRDefault="009F3A33" w:rsidP="009F0049">
            <w:pPr>
              <w:pStyle w:val="TableText0"/>
              <w:spacing w:before="0" w:after="0"/>
              <w:jc w:val="center"/>
              <w:rPr>
                <w:b/>
              </w:rPr>
            </w:pPr>
            <w:r w:rsidRPr="00E75A07">
              <w:rPr>
                <w:b/>
              </w:rPr>
              <w:t>MAS &gt; 1</w:t>
            </w:r>
          </w:p>
        </w:tc>
        <w:tc>
          <w:tcPr>
            <w:tcW w:w="810" w:type="pct"/>
          </w:tcPr>
          <w:p w:rsidR="009F3A33" w:rsidRPr="00E75A07" w:rsidRDefault="009F3A33" w:rsidP="009F0049">
            <w:pPr>
              <w:pStyle w:val="TableText0"/>
              <w:spacing w:before="0" w:after="0"/>
              <w:jc w:val="center"/>
              <w:rPr>
                <w:b/>
              </w:rPr>
            </w:pPr>
            <w:r w:rsidRPr="00E75A07">
              <w:rPr>
                <w:b/>
              </w:rPr>
              <w:t>MAS ≥ 2</w:t>
            </w:r>
          </w:p>
        </w:tc>
      </w:tr>
      <w:tr w:rsidR="00F871D9" w:rsidRPr="00E75A07" w:rsidTr="00F871D9">
        <w:tc>
          <w:tcPr>
            <w:tcW w:w="2405" w:type="pct"/>
          </w:tcPr>
          <w:p w:rsidR="009F3A33" w:rsidRPr="00E75A07" w:rsidRDefault="00F871D9" w:rsidP="009F0049">
            <w:pPr>
              <w:pStyle w:val="TableText0"/>
              <w:spacing w:before="0" w:after="0"/>
            </w:pPr>
            <w:r w:rsidRPr="00E75A07">
              <w:t>‘derived MAS’</w:t>
            </w:r>
            <w:r w:rsidR="009F3A33" w:rsidRPr="00E75A07">
              <w:t xml:space="preserve"> coding convention, </w:t>
            </w:r>
            <w:r w:rsidR="0065498D" w:rsidRPr="00E75A07">
              <w:t xml:space="preserve">RD </w:t>
            </w:r>
            <w:r w:rsidR="009F3A33" w:rsidRPr="00E75A07">
              <w:t>(95% CI)</w:t>
            </w:r>
          </w:p>
        </w:tc>
        <w:tc>
          <w:tcPr>
            <w:tcW w:w="931" w:type="pct"/>
          </w:tcPr>
          <w:p w:rsidR="009F3A33" w:rsidRPr="00E75A07" w:rsidRDefault="009F3A33" w:rsidP="009F0049">
            <w:pPr>
              <w:pStyle w:val="TableText0"/>
              <w:spacing w:before="0" w:after="0"/>
              <w:jc w:val="center"/>
            </w:pPr>
            <w:r w:rsidRPr="00E75A07">
              <w:t>35.3% (21.5, 49.1)</w:t>
            </w:r>
            <w:r w:rsidR="00427CD1" w:rsidRPr="00E75A07">
              <w:t>*</w:t>
            </w:r>
          </w:p>
        </w:tc>
        <w:tc>
          <w:tcPr>
            <w:tcW w:w="854" w:type="pct"/>
          </w:tcPr>
          <w:p w:rsidR="009F3A33" w:rsidRPr="00E75A07" w:rsidRDefault="009F3A33" w:rsidP="009F0049">
            <w:pPr>
              <w:pStyle w:val="TableText0"/>
              <w:spacing w:before="0" w:after="0"/>
              <w:jc w:val="center"/>
            </w:pPr>
            <w:r w:rsidRPr="00E75A07">
              <w:t>NA</w:t>
            </w:r>
          </w:p>
        </w:tc>
        <w:tc>
          <w:tcPr>
            <w:tcW w:w="810" w:type="pct"/>
          </w:tcPr>
          <w:p w:rsidR="009F3A33" w:rsidRPr="00E75A07" w:rsidRDefault="009F3A33" w:rsidP="009F0049">
            <w:pPr>
              <w:pStyle w:val="TableText0"/>
              <w:spacing w:before="0" w:after="0"/>
              <w:jc w:val="center"/>
            </w:pPr>
            <w:r w:rsidRPr="00E75A07">
              <w:t>14.4% (4.6, 24.2)</w:t>
            </w:r>
          </w:p>
        </w:tc>
      </w:tr>
      <w:tr w:rsidR="00F871D9" w:rsidRPr="00E75A07" w:rsidTr="00F871D9">
        <w:tc>
          <w:tcPr>
            <w:tcW w:w="2405" w:type="pct"/>
          </w:tcPr>
          <w:p w:rsidR="009F3A33" w:rsidRPr="00E75A07" w:rsidRDefault="009F3A33" w:rsidP="009F0049">
            <w:pPr>
              <w:pStyle w:val="TableText0"/>
              <w:spacing w:before="0" w:after="0"/>
            </w:pPr>
            <w:r w:rsidRPr="00E75A07">
              <w:t xml:space="preserve">Historical coding convention, </w:t>
            </w:r>
            <w:r w:rsidR="0065498D" w:rsidRPr="00E75A07">
              <w:t>RD</w:t>
            </w:r>
            <w:r w:rsidRPr="00E75A07">
              <w:t xml:space="preserve"> (95% CI)</w:t>
            </w:r>
          </w:p>
        </w:tc>
        <w:tc>
          <w:tcPr>
            <w:tcW w:w="931" w:type="pct"/>
          </w:tcPr>
          <w:p w:rsidR="009F3A33" w:rsidRPr="00E75A07" w:rsidRDefault="009F3A33" w:rsidP="009F0049">
            <w:pPr>
              <w:pStyle w:val="TableText0"/>
              <w:spacing w:before="0" w:after="0"/>
              <w:jc w:val="center"/>
            </w:pPr>
            <w:r w:rsidRPr="00E75A07">
              <w:t>35.4% (21.7, 49.0)</w:t>
            </w:r>
          </w:p>
        </w:tc>
        <w:tc>
          <w:tcPr>
            <w:tcW w:w="854" w:type="pct"/>
          </w:tcPr>
          <w:p w:rsidR="009F3A33" w:rsidRPr="00E75A07" w:rsidRDefault="009F3A33" w:rsidP="009F0049">
            <w:pPr>
              <w:pStyle w:val="TableText0"/>
              <w:spacing w:before="0" w:after="0"/>
              <w:jc w:val="center"/>
            </w:pPr>
            <w:r w:rsidRPr="00E75A07">
              <w:t>13.1% (3.5, 22.7)</w:t>
            </w:r>
          </w:p>
        </w:tc>
        <w:tc>
          <w:tcPr>
            <w:tcW w:w="810" w:type="pct"/>
          </w:tcPr>
          <w:p w:rsidR="009F3A33" w:rsidRPr="00E75A07" w:rsidRDefault="009F3A33" w:rsidP="009F0049">
            <w:pPr>
              <w:pStyle w:val="TableText0"/>
              <w:spacing w:before="0" w:after="0"/>
              <w:jc w:val="center"/>
            </w:pPr>
            <w:r w:rsidRPr="00E75A07">
              <w:t>3.9% (-2.7, 10.6)</w:t>
            </w:r>
          </w:p>
        </w:tc>
      </w:tr>
    </w:tbl>
    <w:p w:rsidR="009F3A33" w:rsidRPr="00E75A07" w:rsidRDefault="009F3A33" w:rsidP="009F0049">
      <w:pPr>
        <w:pStyle w:val="TableFooter"/>
        <w:widowControl/>
      </w:pPr>
      <w:r w:rsidRPr="00E75A07">
        <w:t xml:space="preserve">CI = confidence interval; ITT = intention to treat; MAS = Modified Ashworth Scale; NA = not applicable; </w:t>
      </w:r>
      <w:r w:rsidR="0065498D" w:rsidRPr="00E75A07">
        <w:t>RD = risk difference</w:t>
      </w:r>
    </w:p>
    <w:p w:rsidR="00427CD1" w:rsidRPr="00E75A07" w:rsidRDefault="00427CD1" w:rsidP="009F0049">
      <w:pPr>
        <w:pStyle w:val="TableFooter"/>
        <w:widowControl/>
      </w:pPr>
      <w:r w:rsidRPr="00E75A07">
        <w:t>* Discrepancy with RD in Table 6 of 0.33 is due to the population used. Table 6 used ITT (N= 79), Table 7, the number of patients observed at Week 12 (N = 76)</w:t>
      </w:r>
    </w:p>
    <w:p w:rsidR="009F3A33" w:rsidRPr="00E75A07" w:rsidRDefault="009F3A33" w:rsidP="009F0049">
      <w:pPr>
        <w:pStyle w:val="TableFooter"/>
        <w:widowControl/>
      </w:pPr>
      <w:r w:rsidRPr="00E75A07">
        <w:t>Source: Table 2, p5 PSCR</w:t>
      </w:r>
    </w:p>
    <w:p w:rsidR="00A74BF0" w:rsidRPr="007A5A38" w:rsidRDefault="00A74BF0" w:rsidP="009F0049">
      <w:pPr>
        <w:pStyle w:val="TableFooter"/>
        <w:widowControl/>
        <w:rPr>
          <w:i/>
        </w:rPr>
      </w:pPr>
    </w:p>
    <w:p w:rsidR="007E0739" w:rsidRPr="007E0739" w:rsidRDefault="007E0739" w:rsidP="009F0049">
      <w:pPr>
        <w:pStyle w:val="ListParagraph"/>
        <w:widowControl/>
        <w:numPr>
          <w:ilvl w:val="1"/>
          <w:numId w:val="1"/>
        </w:numPr>
        <w:rPr>
          <w:iCs/>
        </w:rPr>
      </w:pPr>
      <w:r>
        <w:t xml:space="preserve">Although the proportion of MAS responders (MAS </w:t>
      </w:r>
      <w:r>
        <w:rPr>
          <w:rFonts w:cs="Calibri"/>
        </w:rPr>
        <w:t>≥</w:t>
      </w:r>
      <w:r>
        <w:t xml:space="preserve"> 1 and MAS &gt; 1) was statistically significantly higher for patients who received 1000U Dysport</w:t>
      </w:r>
      <w:r>
        <w:rPr>
          <w:rFonts w:cs="Calibri"/>
        </w:rPr>
        <w:t>®</w:t>
      </w:r>
      <w:r>
        <w:t xml:space="preserve"> compared to placebo using the historical coding convention, the PBAC noted that no data was provided for the mean change in MAS or for the subgroup of patients who had spasticity due to a TBI. </w:t>
      </w:r>
    </w:p>
    <w:p w:rsidR="007E0739" w:rsidRPr="007E0739" w:rsidRDefault="007E0739" w:rsidP="009F0049">
      <w:pPr>
        <w:pStyle w:val="ListParagraph"/>
        <w:widowControl/>
        <w:numPr>
          <w:ilvl w:val="1"/>
          <w:numId w:val="1"/>
        </w:numPr>
        <w:rPr>
          <w:iCs/>
        </w:rPr>
      </w:pPr>
      <w:r w:rsidRPr="00E75A07">
        <w:t>The cost-effectiveness analys</w:t>
      </w:r>
      <w:r>
        <w:t>e</w:t>
      </w:r>
      <w:r w:rsidRPr="00E75A07">
        <w:t>s presented in the submission w</w:t>
      </w:r>
      <w:r>
        <w:t>ere</w:t>
      </w:r>
      <w:r w:rsidRPr="00E75A07">
        <w:t xml:space="preserve"> based on patients with an improvement in MAS </w:t>
      </w:r>
      <w:r w:rsidRPr="00E75A07">
        <w:rPr>
          <w:rFonts w:cs="Calibri"/>
        </w:rPr>
        <w:t>≥</w:t>
      </w:r>
      <w:r>
        <w:rPr>
          <w:rFonts w:cs="Calibri"/>
        </w:rPr>
        <w:t xml:space="preserve"> </w:t>
      </w:r>
      <w:r w:rsidRPr="00E75A07">
        <w:t xml:space="preserve">1 </w:t>
      </w:r>
      <w:r>
        <w:t>using</w:t>
      </w:r>
      <w:r w:rsidRPr="00E75A07">
        <w:t xml:space="preserve"> the ‘derived MAS’ coding convention (i.e. 35.3%); the PSCR presented revised cost-effectiveness analyses based on patients with an improvement in MAS &gt;</w:t>
      </w:r>
      <w:r>
        <w:t xml:space="preserve"> </w:t>
      </w:r>
      <w:r w:rsidRPr="00E75A07">
        <w:t xml:space="preserve">1 and </w:t>
      </w:r>
      <w:r>
        <w:t xml:space="preserve">using </w:t>
      </w:r>
      <w:r w:rsidRPr="00E75A07">
        <w:t xml:space="preserve">the historical </w:t>
      </w:r>
      <w:r>
        <w:t xml:space="preserve">MAS </w:t>
      </w:r>
      <w:r w:rsidRPr="00E75A07">
        <w:t>coding convention (i.e. 13.1%)</w:t>
      </w:r>
      <w:r>
        <w:t>, which was consistent with that presented in November 2007.</w:t>
      </w:r>
    </w:p>
    <w:p w:rsidR="00427CD1" w:rsidRPr="00E75A07" w:rsidRDefault="00427CD1" w:rsidP="009F0049">
      <w:pPr>
        <w:pStyle w:val="ListParagraph"/>
        <w:widowControl/>
        <w:numPr>
          <w:ilvl w:val="1"/>
          <w:numId w:val="1"/>
        </w:numPr>
        <w:rPr>
          <w:iCs/>
        </w:rPr>
      </w:pPr>
      <w:r w:rsidRPr="00E75A07">
        <w:rPr>
          <w:iCs/>
        </w:rPr>
        <w:lastRenderedPageBreak/>
        <w:t xml:space="preserve">The PSCR presented responder analyses for patients from Study 148 who received treatment </w:t>
      </w:r>
      <w:r w:rsidR="00762B95">
        <w:rPr>
          <w:iCs/>
        </w:rPr>
        <w:t>C</w:t>
      </w:r>
      <w:r w:rsidRPr="00E75A07">
        <w:rPr>
          <w:iCs/>
        </w:rPr>
        <w:t>ycles 3 and 4. Results were presented using both the historical and ‘derived MAS’ coding conventions</w:t>
      </w:r>
      <w:r w:rsidR="007A5A38" w:rsidRPr="00E75A07">
        <w:rPr>
          <w:iCs/>
        </w:rPr>
        <w:t xml:space="preserve"> – see Table 8</w:t>
      </w:r>
      <w:r w:rsidRPr="00E75A07">
        <w:rPr>
          <w:iCs/>
        </w:rPr>
        <w:t>.</w:t>
      </w:r>
    </w:p>
    <w:p w:rsidR="00427CD1" w:rsidRPr="00E75A07" w:rsidRDefault="00427CD1" w:rsidP="009F0049">
      <w:pPr>
        <w:pStyle w:val="TableHeading0"/>
      </w:pPr>
      <w:bookmarkStart w:id="19" w:name="_Ref524990341"/>
      <w:r w:rsidRPr="00E75A07">
        <w:t xml:space="preserve">Table </w:t>
      </w:r>
      <w:bookmarkEnd w:id="19"/>
      <w:r w:rsidRPr="00E75A07">
        <w:t>8: Analysis of continued responders, Study 148</w:t>
      </w:r>
    </w:p>
    <w:tbl>
      <w:tblPr>
        <w:tblStyle w:val="TableGrid"/>
        <w:tblW w:w="0" w:type="auto"/>
        <w:tblLook w:val="04A0" w:firstRow="1" w:lastRow="0" w:firstColumn="1" w:lastColumn="0" w:noHBand="0" w:noVBand="1"/>
        <w:tblCaption w:val="Analysis of continued responders, Study 148"/>
      </w:tblPr>
      <w:tblGrid>
        <w:gridCol w:w="3400"/>
        <w:gridCol w:w="1549"/>
        <w:gridCol w:w="1408"/>
        <w:gridCol w:w="1409"/>
        <w:gridCol w:w="1251"/>
      </w:tblGrid>
      <w:tr w:rsidR="006F7C45" w:rsidRPr="00E75A07" w:rsidTr="00DF2EBD">
        <w:trPr>
          <w:cantSplit/>
          <w:tblHeader/>
        </w:trPr>
        <w:tc>
          <w:tcPr>
            <w:tcW w:w="3430" w:type="dxa"/>
            <w:vMerge w:val="restart"/>
            <w:shd w:val="clear" w:color="auto" w:fill="auto"/>
            <w:tcMar>
              <w:left w:w="28" w:type="dxa"/>
              <w:right w:w="28" w:type="dxa"/>
            </w:tcMar>
          </w:tcPr>
          <w:p w:rsidR="00427CD1" w:rsidRPr="00E75A07" w:rsidRDefault="00427CD1" w:rsidP="009F0049">
            <w:pPr>
              <w:pStyle w:val="TableText0"/>
              <w:spacing w:before="0" w:after="0"/>
              <w:jc w:val="center"/>
              <w:rPr>
                <w:b/>
              </w:rPr>
            </w:pPr>
          </w:p>
        </w:tc>
        <w:tc>
          <w:tcPr>
            <w:tcW w:w="2977" w:type="dxa"/>
            <w:gridSpan w:val="2"/>
            <w:shd w:val="clear" w:color="auto" w:fill="auto"/>
            <w:tcMar>
              <w:left w:w="28" w:type="dxa"/>
              <w:right w:w="28" w:type="dxa"/>
            </w:tcMar>
          </w:tcPr>
          <w:p w:rsidR="00427CD1" w:rsidRPr="00E75A07" w:rsidRDefault="00427CD1" w:rsidP="009F0049">
            <w:pPr>
              <w:pStyle w:val="TableText0"/>
              <w:spacing w:before="0" w:after="0"/>
              <w:jc w:val="center"/>
              <w:rPr>
                <w:b/>
              </w:rPr>
            </w:pPr>
            <w:r w:rsidRPr="00E75A07">
              <w:rPr>
                <w:b/>
              </w:rPr>
              <w:t xml:space="preserve">‘derived MAS’ convention (MAS </w:t>
            </w:r>
            <w:r w:rsidRPr="00E75A07">
              <w:rPr>
                <w:rFonts w:cstheme="minorHAnsi"/>
                <w:b/>
              </w:rPr>
              <w:t>≥</w:t>
            </w:r>
            <w:r w:rsidRPr="00E75A07">
              <w:rPr>
                <w:b/>
              </w:rPr>
              <w:t xml:space="preserve"> 1)</w:t>
            </w:r>
          </w:p>
        </w:tc>
        <w:tc>
          <w:tcPr>
            <w:tcW w:w="2676" w:type="dxa"/>
            <w:gridSpan w:val="2"/>
            <w:shd w:val="clear" w:color="auto" w:fill="auto"/>
            <w:tcMar>
              <w:left w:w="28" w:type="dxa"/>
              <w:right w:w="28" w:type="dxa"/>
            </w:tcMar>
          </w:tcPr>
          <w:p w:rsidR="00427CD1" w:rsidRPr="00E75A07" w:rsidRDefault="00427CD1" w:rsidP="009F0049">
            <w:pPr>
              <w:pStyle w:val="TableText0"/>
              <w:spacing w:before="0" w:after="0"/>
              <w:jc w:val="center"/>
              <w:rPr>
                <w:b/>
              </w:rPr>
            </w:pPr>
            <w:r w:rsidRPr="00E75A07">
              <w:rPr>
                <w:b/>
              </w:rPr>
              <w:t>Historical convention (MAS &gt; 1)</w:t>
            </w:r>
          </w:p>
        </w:tc>
      </w:tr>
      <w:tr w:rsidR="00632BB3" w:rsidRPr="00E75A07" w:rsidTr="006F7C45">
        <w:tc>
          <w:tcPr>
            <w:tcW w:w="3430" w:type="dxa"/>
            <w:vMerge/>
            <w:shd w:val="clear" w:color="auto" w:fill="auto"/>
            <w:tcMar>
              <w:left w:w="28" w:type="dxa"/>
              <w:right w:w="28" w:type="dxa"/>
            </w:tcMar>
          </w:tcPr>
          <w:p w:rsidR="00427CD1" w:rsidRPr="00E75A07" w:rsidRDefault="00427CD1" w:rsidP="009F0049">
            <w:pPr>
              <w:pStyle w:val="TableText0"/>
              <w:spacing w:before="0" w:after="0"/>
              <w:jc w:val="center"/>
              <w:rPr>
                <w:b/>
              </w:rPr>
            </w:pPr>
          </w:p>
        </w:tc>
        <w:tc>
          <w:tcPr>
            <w:tcW w:w="1560" w:type="dxa"/>
            <w:shd w:val="clear" w:color="auto" w:fill="auto"/>
            <w:tcMar>
              <w:left w:w="28" w:type="dxa"/>
              <w:right w:w="28" w:type="dxa"/>
            </w:tcMar>
          </w:tcPr>
          <w:p w:rsidR="00427CD1" w:rsidRPr="00E75A07" w:rsidRDefault="00427CD1" w:rsidP="009F0049">
            <w:pPr>
              <w:pStyle w:val="TableText0"/>
              <w:spacing w:before="0" w:after="0"/>
              <w:jc w:val="center"/>
              <w:rPr>
                <w:b/>
              </w:rPr>
            </w:pPr>
            <w:r w:rsidRPr="00E75A07">
              <w:rPr>
                <w:b/>
              </w:rPr>
              <w:t>Cycle 3</w:t>
            </w:r>
          </w:p>
        </w:tc>
        <w:tc>
          <w:tcPr>
            <w:tcW w:w="1417" w:type="dxa"/>
            <w:shd w:val="clear" w:color="auto" w:fill="auto"/>
            <w:tcMar>
              <w:left w:w="28" w:type="dxa"/>
              <w:right w:w="28" w:type="dxa"/>
            </w:tcMar>
          </w:tcPr>
          <w:p w:rsidR="00427CD1" w:rsidRPr="00E75A07" w:rsidRDefault="00427CD1" w:rsidP="009F0049">
            <w:pPr>
              <w:pStyle w:val="TableText0"/>
              <w:spacing w:before="0" w:after="0"/>
              <w:jc w:val="center"/>
              <w:rPr>
                <w:b/>
              </w:rPr>
            </w:pPr>
            <w:r w:rsidRPr="00E75A07">
              <w:rPr>
                <w:b/>
              </w:rPr>
              <w:t>Cycle 4</w:t>
            </w:r>
          </w:p>
        </w:tc>
        <w:tc>
          <w:tcPr>
            <w:tcW w:w="1418" w:type="dxa"/>
            <w:shd w:val="clear" w:color="auto" w:fill="auto"/>
            <w:tcMar>
              <w:left w:w="28" w:type="dxa"/>
              <w:right w:w="28" w:type="dxa"/>
            </w:tcMar>
          </w:tcPr>
          <w:p w:rsidR="00427CD1" w:rsidRPr="00E75A07" w:rsidRDefault="00427CD1" w:rsidP="009F0049">
            <w:pPr>
              <w:pStyle w:val="TableText0"/>
              <w:spacing w:before="0" w:after="0"/>
              <w:jc w:val="center"/>
              <w:rPr>
                <w:b/>
              </w:rPr>
            </w:pPr>
            <w:r w:rsidRPr="00E75A07">
              <w:rPr>
                <w:b/>
              </w:rPr>
              <w:t>Cycle 3</w:t>
            </w:r>
          </w:p>
        </w:tc>
        <w:tc>
          <w:tcPr>
            <w:tcW w:w="1258" w:type="dxa"/>
            <w:shd w:val="clear" w:color="auto" w:fill="auto"/>
            <w:tcMar>
              <w:left w:w="28" w:type="dxa"/>
              <w:right w:w="28" w:type="dxa"/>
            </w:tcMar>
          </w:tcPr>
          <w:p w:rsidR="00427CD1" w:rsidRPr="00E75A07" w:rsidRDefault="00427CD1" w:rsidP="009F0049">
            <w:pPr>
              <w:pStyle w:val="TableText0"/>
              <w:spacing w:before="0" w:after="0"/>
              <w:jc w:val="center"/>
              <w:rPr>
                <w:b/>
              </w:rPr>
            </w:pPr>
            <w:r w:rsidRPr="00E75A07">
              <w:rPr>
                <w:b/>
              </w:rPr>
              <w:t>Cycle 4</w:t>
            </w:r>
          </w:p>
        </w:tc>
      </w:tr>
      <w:tr w:rsidR="00555181" w:rsidRPr="00E75A07" w:rsidTr="006F7C45">
        <w:tc>
          <w:tcPr>
            <w:tcW w:w="3430" w:type="dxa"/>
            <w:tcMar>
              <w:left w:w="28" w:type="dxa"/>
              <w:right w:w="28" w:type="dxa"/>
            </w:tcMar>
          </w:tcPr>
          <w:p w:rsidR="00555181" w:rsidRPr="00E75A07" w:rsidRDefault="00555181" w:rsidP="009F0049">
            <w:pPr>
              <w:pStyle w:val="TableText0"/>
              <w:spacing w:before="0" w:after="0"/>
            </w:pPr>
            <w:r w:rsidRPr="00E75A07">
              <w:t>Patients who responded in ≥ 1 of the first two treatment cycles</w:t>
            </w:r>
          </w:p>
        </w:tc>
        <w:tc>
          <w:tcPr>
            <w:tcW w:w="1560" w:type="dxa"/>
            <w:tcMar>
              <w:left w:w="28" w:type="dxa"/>
              <w:right w:w="28" w:type="dxa"/>
            </w:tcMar>
            <w:vAlign w:val="center"/>
          </w:tcPr>
          <w:p w:rsidR="00555181" w:rsidRPr="00E75A07" w:rsidRDefault="00555181" w:rsidP="009F0049">
            <w:pPr>
              <w:pStyle w:val="TableText0"/>
              <w:spacing w:before="0" w:after="0"/>
              <w:jc w:val="center"/>
            </w:pPr>
            <w:r w:rsidRPr="00E75A07">
              <w:t>73/96 (76.0%)</w:t>
            </w:r>
          </w:p>
        </w:tc>
        <w:tc>
          <w:tcPr>
            <w:tcW w:w="1417" w:type="dxa"/>
            <w:tcMar>
              <w:left w:w="28" w:type="dxa"/>
              <w:right w:w="28" w:type="dxa"/>
            </w:tcMar>
            <w:vAlign w:val="center"/>
          </w:tcPr>
          <w:p w:rsidR="00555181" w:rsidRPr="00E75A07" w:rsidRDefault="00555181" w:rsidP="009F0049">
            <w:pPr>
              <w:pStyle w:val="TableText0"/>
              <w:spacing w:before="0" w:after="0"/>
              <w:jc w:val="center"/>
            </w:pPr>
            <w:r w:rsidRPr="00E75A07">
              <w:t>22/27 (81.5%)</w:t>
            </w:r>
          </w:p>
        </w:tc>
        <w:tc>
          <w:tcPr>
            <w:tcW w:w="1418" w:type="dxa"/>
            <w:tcMar>
              <w:left w:w="28" w:type="dxa"/>
              <w:right w:w="28" w:type="dxa"/>
            </w:tcMar>
            <w:vAlign w:val="center"/>
          </w:tcPr>
          <w:p w:rsidR="00555181" w:rsidRPr="00E75A07" w:rsidRDefault="00555181" w:rsidP="009F0049">
            <w:pPr>
              <w:pStyle w:val="TableText0"/>
              <w:spacing w:before="0" w:after="0"/>
              <w:jc w:val="center"/>
            </w:pPr>
            <w:r w:rsidRPr="00E75A07">
              <w:t>20/29 (69.0%)</w:t>
            </w:r>
          </w:p>
        </w:tc>
        <w:tc>
          <w:tcPr>
            <w:tcW w:w="1258" w:type="dxa"/>
            <w:tcMar>
              <w:left w:w="28" w:type="dxa"/>
              <w:right w:w="28" w:type="dxa"/>
            </w:tcMar>
            <w:vAlign w:val="center"/>
          </w:tcPr>
          <w:p w:rsidR="00555181" w:rsidRPr="00E75A07" w:rsidRDefault="00555181" w:rsidP="009F0049">
            <w:pPr>
              <w:pStyle w:val="TableText0"/>
              <w:spacing w:before="0" w:after="0"/>
              <w:jc w:val="center"/>
            </w:pPr>
            <w:r w:rsidRPr="00E75A07">
              <w:t>0/3 (0)</w:t>
            </w:r>
          </w:p>
        </w:tc>
      </w:tr>
      <w:tr w:rsidR="00632BB3" w:rsidRPr="00E75A07" w:rsidTr="006F7C45">
        <w:tc>
          <w:tcPr>
            <w:tcW w:w="3430" w:type="dxa"/>
            <w:tcMar>
              <w:left w:w="28" w:type="dxa"/>
              <w:right w:w="28" w:type="dxa"/>
            </w:tcMar>
          </w:tcPr>
          <w:p w:rsidR="00427CD1" w:rsidRPr="00E75A07" w:rsidRDefault="00427CD1" w:rsidP="009F0049">
            <w:pPr>
              <w:pStyle w:val="TableText0"/>
              <w:spacing w:before="0" w:after="0"/>
            </w:pPr>
            <w:r w:rsidRPr="00E75A07">
              <w:t>Patients who did not respond in the first two treatment cycles</w:t>
            </w:r>
          </w:p>
        </w:tc>
        <w:tc>
          <w:tcPr>
            <w:tcW w:w="1560" w:type="dxa"/>
            <w:tcMar>
              <w:left w:w="28" w:type="dxa"/>
              <w:right w:w="28" w:type="dxa"/>
            </w:tcMar>
            <w:vAlign w:val="center"/>
          </w:tcPr>
          <w:p w:rsidR="00427CD1" w:rsidRPr="00E75A07" w:rsidRDefault="00427CD1" w:rsidP="009F0049">
            <w:pPr>
              <w:pStyle w:val="TableText0"/>
              <w:spacing w:before="0" w:after="0"/>
              <w:jc w:val="center"/>
            </w:pPr>
            <w:r w:rsidRPr="00E75A07">
              <w:t>15/59</w:t>
            </w:r>
            <w:r w:rsidR="00555181" w:rsidRPr="00E75A07">
              <w:t xml:space="preserve"> </w:t>
            </w:r>
            <w:r w:rsidRPr="00E75A07">
              <w:t>(25.4</w:t>
            </w:r>
            <w:r w:rsidR="00555181" w:rsidRPr="00E75A07">
              <w:t>%</w:t>
            </w:r>
            <w:r w:rsidRPr="00E75A07">
              <w:t>)</w:t>
            </w:r>
          </w:p>
        </w:tc>
        <w:tc>
          <w:tcPr>
            <w:tcW w:w="1417" w:type="dxa"/>
            <w:tcMar>
              <w:left w:w="28" w:type="dxa"/>
              <w:right w:w="28" w:type="dxa"/>
            </w:tcMar>
            <w:vAlign w:val="center"/>
          </w:tcPr>
          <w:p w:rsidR="00427CD1" w:rsidRPr="00E75A07" w:rsidRDefault="00427CD1" w:rsidP="009F0049">
            <w:pPr>
              <w:pStyle w:val="TableText0"/>
              <w:spacing w:before="0" w:after="0"/>
              <w:jc w:val="center"/>
            </w:pPr>
            <w:r w:rsidRPr="00E75A07">
              <w:t>12/30</w:t>
            </w:r>
            <w:r w:rsidR="00555181" w:rsidRPr="00E75A07">
              <w:t xml:space="preserve"> </w:t>
            </w:r>
            <w:r w:rsidRPr="00E75A07">
              <w:t>(40.0</w:t>
            </w:r>
            <w:r w:rsidR="00555181" w:rsidRPr="00E75A07">
              <w:t>%</w:t>
            </w:r>
            <w:r w:rsidRPr="00E75A07">
              <w:t>)</w:t>
            </w:r>
          </w:p>
        </w:tc>
        <w:tc>
          <w:tcPr>
            <w:tcW w:w="1418" w:type="dxa"/>
            <w:tcMar>
              <w:left w:w="28" w:type="dxa"/>
              <w:right w:w="28" w:type="dxa"/>
            </w:tcMar>
            <w:vAlign w:val="center"/>
          </w:tcPr>
          <w:p w:rsidR="00427CD1" w:rsidRPr="00E75A07" w:rsidRDefault="00427CD1" w:rsidP="009F0049">
            <w:pPr>
              <w:pStyle w:val="TableText0"/>
              <w:spacing w:before="0" w:after="0"/>
              <w:jc w:val="center"/>
            </w:pPr>
            <w:r w:rsidRPr="00E75A07">
              <w:t>18/126</w:t>
            </w:r>
            <w:r w:rsidR="00555181" w:rsidRPr="00E75A07">
              <w:t xml:space="preserve"> </w:t>
            </w:r>
            <w:r w:rsidRPr="00E75A07">
              <w:t>(14.3</w:t>
            </w:r>
            <w:r w:rsidR="00555181" w:rsidRPr="00E75A07">
              <w:t>%</w:t>
            </w:r>
            <w:r w:rsidRPr="00E75A07">
              <w:t>)</w:t>
            </w:r>
          </w:p>
        </w:tc>
        <w:tc>
          <w:tcPr>
            <w:tcW w:w="1258" w:type="dxa"/>
            <w:tcMar>
              <w:left w:w="28" w:type="dxa"/>
              <w:right w:w="28" w:type="dxa"/>
            </w:tcMar>
            <w:vAlign w:val="center"/>
          </w:tcPr>
          <w:p w:rsidR="00427CD1" w:rsidRPr="00E75A07" w:rsidRDefault="00427CD1" w:rsidP="009F0049">
            <w:pPr>
              <w:pStyle w:val="TableText0"/>
              <w:spacing w:before="0" w:after="0"/>
              <w:jc w:val="center"/>
            </w:pPr>
            <w:r w:rsidRPr="00E75A07">
              <w:t>9/54</w:t>
            </w:r>
            <w:r w:rsidR="00555181" w:rsidRPr="00E75A07">
              <w:t xml:space="preserve"> </w:t>
            </w:r>
            <w:r w:rsidRPr="00E75A07">
              <w:t>(16.7</w:t>
            </w:r>
            <w:r w:rsidR="00555181" w:rsidRPr="00E75A07">
              <w:t>%</w:t>
            </w:r>
            <w:r w:rsidRPr="00E75A07">
              <w:t>)</w:t>
            </w:r>
          </w:p>
        </w:tc>
      </w:tr>
    </w:tbl>
    <w:p w:rsidR="00427CD1" w:rsidRPr="00E75A07" w:rsidRDefault="00555181" w:rsidP="009F0049">
      <w:pPr>
        <w:pStyle w:val="TableFooter"/>
        <w:widowControl/>
      </w:pPr>
      <w:r w:rsidRPr="00E75A07">
        <w:t>MAS = Modified Ashworth Scale</w:t>
      </w:r>
    </w:p>
    <w:p w:rsidR="00555181" w:rsidRPr="00E75A07" w:rsidRDefault="00555181" w:rsidP="009F0049">
      <w:pPr>
        <w:pStyle w:val="TableFooter"/>
        <w:widowControl/>
      </w:pPr>
      <w:r w:rsidRPr="00E75A07">
        <w:t>Source: Table 4, p5 of the PSCR</w:t>
      </w:r>
    </w:p>
    <w:p w:rsidR="00A74BF0" w:rsidRPr="00E75A07" w:rsidRDefault="00A74BF0" w:rsidP="009F0049">
      <w:pPr>
        <w:pStyle w:val="TableFooter"/>
        <w:widowControl/>
      </w:pPr>
    </w:p>
    <w:p w:rsidR="00B160D8" w:rsidRPr="00E75A07" w:rsidRDefault="00555181" w:rsidP="009F0049">
      <w:pPr>
        <w:pStyle w:val="ListParagraph"/>
        <w:widowControl/>
        <w:numPr>
          <w:ilvl w:val="1"/>
          <w:numId w:val="1"/>
        </w:numPr>
        <w:spacing w:after="0"/>
      </w:pPr>
      <w:r w:rsidRPr="00E75A07">
        <w:rPr>
          <w:rFonts w:cs="Calibri"/>
          <w:iCs/>
          <w:snapToGrid/>
          <w:lang w:val="en-US" w:eastAsia="en-AU"/>
        </w:rPr>
        <w:t xml:space="preserve">The ESC were concerned, given </w:t>
      </w:r>
      <w:r w:rsidR="00B160D8" w:rsidRPr="00E75A07">
        <w:rPr>
          <w:rFonts w:cs="Calibri"/>
          <w:iCs/>
          <w:snapToGrid/>
          <w:lang w:val="en-US" w:eastAsia="en-AU"/>
        </w:rPr>
        <w:t xml:space="preserve">that </w:t>
      </w:r>
      <w:r w:rsidRPr="00E75A07">
        <w:rPr>
          <w:rFonts w:cs="Calibri"/>
          <w:iCs/>
          <w:snapToGrid/>
          <w:lang w:val="en-US" w:eastAsia="en-AU"/>
        </w:rPr>
        <w:t xml:space="preserve">the stopping criterion applies </w:t>
      </w:r>
      <w:r w:rsidR="00B160D8" w:rsidRPr="00E75A07">
        <w:rPr>
          <w:rFonts w:cs="Calibri"/>
          <w:iCs/>
          <w:snapToGrid/>
          <w:lang w:val="en-US" w:eastAsia="en-AU"/>
        </w:rPr>
        <w:t>after</w:t>
      </w:r>
      <w:r w:rsidRPr="00E75A07">
        <w:rPr>
          <w:rFonts w:cs="Calibri"/>
          <w:iCs/>
          <w:snapToGrid/>
          <w:lang w:val="en-US" w:eastAsia="en-AU"/>
        </w:rPr>
        <w:t xml:space="preserve"> the first two cycles, that</w:t>
      </w:r>
      <w:r w:rsidR="00762B95">
        <w:rPr>
          <w:rFonts w:cs="Calibri"/>
          <w:iCs/>
          <w:snapToGrid/>
          <w:lang w:val="en-US" w:eastAsia="en-AU"/>
        </w:rPr>
        <w:t>, when the ‘derived MAS’ coding was used</w:t>
      </w:r>
      <w:r w:rsidR="00B160D8" w:rsidRPr="00E75A07">
        <w:rPr>
          <w:rFonts w:cs="Calibri"/>
          <w:iCs/>
          <w:snapToGrid/>
          <w:lang w:val="en-US" w:eastAsia="en-AU"/>
        </w:rPr>
        <w:t>:</w:t>
      </w:r>
      <w:r w:rsidRPr="00E75A07">
        <w:rPr>
          <w:rFonts w:cs="Calibri"/>
          <w:iCs/>
          <w:snapToGrid/>
          <w:lang w:val="en-US" w:eastAsia="en-AU"/>
        </w:rPr>
        <w:t xml:space="preserve"> </w:t>
      </w:r>
    </w:p>
    <w:p w:rsidR="00B160D8" w:rsidRPr="00E75A07" w:rsidRDefault="00555181" w:rsidP="009F0049">
      <w:pPr>
        <w:pStyle w:val="ListParagraph"/>
        <w:widowControl/>
        <w:numPr>
          <w:ilvl w:val="1"/>
          <w:numId w:val="20"/>
        </w:numPr>
        <w:spacing w:after="0"/>
        <w:ind w:left="1077" w:hanging="357"/>
      </w:pPr>
      <w:r w:rsidRPr="00E75A07">
        <w:rPr>
          <w:rFonts w:cs="Calibri"/>
          <w:iCs/>
          <w:snapToGrid/>
          <w:lang w:val="en-US" w:eastAsia="en-AU"/>
        </w:rPr>
        <w:t xml:space="preserve">there was a proportion of patients who </w:t>
      </w:r>
      <w:r w:rsidR="00B160D8" w:rsidRPr="00E75A07">
        <w:rPr>
          <w:rFonts w:cs="Calibri"/>
          <w:iCs/>
          <w:snapToGrid/>
          <w:lang w:val="en-US" w:eastAsia="en-AU"/>
        </w:rPr>
        <w:t xml:space="preserve">would </w:t>
      </w:r>
      <w:r w:rsidRPr="00E75A07">
        <w:rPr>
          <w:rFonts w:cs="Calibri"/>
          <w:iCs/>
          <w:snapToGrid/>
          <w:lang w:val="en-US" w:eastAsia="en-AU"/>
        </w:rPr>
        <w:t>continue to receive Dysport</w:t>
      </w:r>
      <w:r w:rsidR="00B160D8" w:rsidRPr="00E75A07">
        <w:rPr>
          <w:rFonts w:cs="Calibri"/>
          <w:iCs/>
          <w:snapToGrid/>
          <w:lang w:val="en-US" w:eastAsia="en-AU"/>
        </w:rPr>
        <w:t>®</w:t>
      </w:r>
      <w:r w:rsidRPr="00E75A07">
        <w:rPr>
          <w:rFonts w:cs="Calibri"/>
          <w:iCs/>
          <w:snapToGrid/>
          <w:lang w:val="en-US" w:eastAsia="en-AU"/>
        </w:rPr>
        <w:t xml:space="preserve"> who </w:t>
      </w:r>
      <w:r w:rsidR="00B160D8" w:rsidRPr="00E75A07">
        <w:rPr>
          <w:rFonts w:cs="Calibri"/>
          <w:iCs/>
          <w:snapToGrid/>
          <w:lang w:val="en-US" w:eastAsia="en-AU"/>
        </w:rPr>
        <w:t>would not continue to respond;</w:t>
      </w:r>
      <w:r w:rsidRPr="00E75A07">
        <w:rPr>
          <w:rFonts w:cs="Calibri"/>
          <w:iCs/>
          <w:snapToGrid/>
          <w:lang w:val="en-US" w:eastAsia="en-AU"/>
        </w:rPr>
        <w:t xml:space="preserve"> and </w:t>
      </w:r>
    </w:p>
    <w:p w:rsidR="00555181" w:rsidRPr="00E75A07" w:rsidRDefault="00555181" w:rsidP="009F0049">
      <w:pPr>
        <w:pStyle w:val="ListParagraph"/>
        <w:widowControl/>
        <w:numPr>
          <w:ilvl w:val="1"/>
          <w:numId w:val="20"/>
        </w:numPr>
        <w:spacing w:after="120"/>
        <w:ind w:left="1077" w:hanging="357"/>
      </w:pPr>
      <w:proofErr w:type="gramStart"/>
      <w:r w:rsidRPr="00E75A07">
        <w:rPr>
          <w:rFonts w:cs="Calibri"/>
          <w:iCs/>
          <w:snapToGrid/>
          <w:lang w:val="en-US" w:eastAsia="en-AU"/>
        </w:rPr>
        <w:t>there</w:t>
      </w:r>
      <w:proofErr w:type="gramEnd"/>
      <w:r w:rsidRPr="00E75A07">
        <w:rPr>
          <w:rFonts w:cs="Calibri"/>
          <w:iCs/>
          <w:snapToGrid/>
          <w:lang w:val="en-US" w:eastAsia="en-AU"/>
        </w:rPr>
        <w:t xml:space="preserve"> could be patients who would benefit from </w:t>
      </w:r>
      <w:r w:rsidR="00B160D8" w:rsidRPr="00E75A07">
        <w:rPr>
          <w:rFonts w:cs="Calibri"/>
          <w:iCs/>
          <w:snapToGrid/>
          <w:lang w:val="en-US" w:eastAsia="en-AU"/>
        </w:rPr>
        <w:t xml:space="preserve">continuing </w:t>
      </w:r>
      <w:r w:rsidRPr="00E75A07">
        <w:rPr>
          <w:rFonts w:cs="Calibri"/>
          <w:iCs/>
          <w:snapToGrid/>
          <w:lang w:val="en-US" w:eastAsia="en-AU"/>
        </w:rPr>
        <w:t>treatment who would not receive</w:t>
      </w:r>
      <w:r w:rsidR="00B160D8" w:rsidRPr="00E75A07">
        <w:rPr>
          <w:rFonts w:cs="Calibri"/>
          <w:iCs/>
          <w:snapToGrid/>
          <w:lang w:val="en-US" w:eastAsia="en-AU"/>
        </w:rPr>
        <w:t xml:space="preserve"> it</w:t>
      </w:r>
      <w:r w:rsidRPr="00E75A07">
        <w:rPr>
          <w:rFonts w:cs="Calibri"/>
          <w:iCs/>
          <w:snapToGrid/>
          <w:lang w:val="en-US" w:eastAsia="en-AU"/>
        </w:rPr>
        <w:t xml:space="preserve"> as they </w:t>
      </w:r>
      <w:r w:rsidR="00B160D8" w:rsidRPr="00E75A07">
        <w:rPr>
          <w:rFonts w:cs="Calibri"/>
          <w:iCs/>
          <w:snapToGrid/>
          <w:lang w:val="en-US" w:eastAsia="en-AU"/>
        </w:rPr>
        <w:t xml:space="preserve">would have </w:t>
      </w:r>
      <w:r w:rsidRPr="00E75A07">
        <w:rPr>
          <w:rFonts w:cs="Calibri"/>
          <w:iCs/>
          <w:snapToGrid/>
          <w:lang w:val="en-US" w:eastAsia="en-AU"/>
        </w:rPr>
        <w:t>met the stopping rule criteria.</w:t>
      </w:r>
    </w:p>
    <w:p w:rsidR="00471FB0" w:rsidRDefault="007A5A38" w:rsidP="009F0049">
      <w:pPr>
        <w:pStyle w:val="ListParagraph"/>
        <w:widowControl/>
        <w:numPr>
          <w:ilvl w:val="1"/>
          <w:numId w:val="1"/>
        </w:numPr>
      </w:pPr>
      <w:r>
        <w:rPr>
          <w:rFonts w:cs="Calibri"/>
          <w:snapToGrid/>
          <w:szCs w:val="24"/>
          <w:lang w:val="en-US" w:eastAsia="en-AU"/>
        </w:rPr>
        <w:t>Table 9</w:t>
      </w:r>
      <w:r w:rsidR="00BD272A" w:rsidRPr="00471FB0">
        <w:rPr>
          <w:rFonts w:cs="Calibri"/>
          <w:snapToGrid/>
          <w:szCs w:val="24"/>
          <w:lang w:val="en-US" w:eastAsia="en-AU"/>
        </w:rPr>
        <w:t xml:space="preserve"> </w:t>
      </w:r>
      <w:r w:rsidR="00BD272A">
        <w:t>summarises the outcomes of functional measures from Study 145 and Lam 2012</w:t>
      </w:r>
      <w:r w:rsidR="00471FB0" w:rsidRPr="00A976A5">
        <w:t>.</w:t>
      </w:r>
      <w:r w:rsidR="00642FE1">
        <w:t xml:space="preserve"> </w:t>
      </w:r>
      <w:r w:rsidR="00471FB0" w:rsidRPr="00A976A5">
        <w:t>The time point for assessment of functional outcomes in Study 145 was Week 4</w:t>
      </w:r>
      <w:r w:rsidR="00762B95">
        <w:t xml:space="preserve"> and in Lam 2012, Week 6</w:t>
      </w:r>
      <w:r w:rsidR="00E771E1" w:rsidRPr="00A976A5">
        <w:t>.</w:t>
      </w:r>
      <w:r w:rsidR="00642FE1">
        <w:t xml:space="preserve"> </w:t>
      </w:r>
    </w:p>
    <w:p w:rsidR="00BD272A" w:rsidRPr="000D4E70" w:rsidRDefault="000D4E70" w:rsidP="00B84CAE">
      <w:pPr>
        <w:pStyle w:val="TableHeading0"/>
      </w:pPr>
      <w:bookmarkStart w:id="20" w:name="_Ref526506627"/>
      <w:r>
        <w:lastRenderedPageBreak/>
        <w:t xml:space="preserve">Table </w:t>
      </w:r>
      <w:bookmarkEnd w:id="20"/>
      <w:r w:rsidR="007A5A38">
        <w:t>9</w:t>
      </w:r>
      <w:r w:rsidR="00BD272A" w:rsidRPr="000D4E70">
        <w:t xml:space="preserve">: </w:t>
      </w:r>
      <w:r w:rsidR="00762B95">
        <w:t>Functional measure r</w:t>
      </w:r>
      <w:r w:rsidR="00BD272A" w:rsidRPr="000D4E70">
        <w:t>esults</w:t>
      </w:r>
      <w:r w:rsidR="00762B95">
        <w:t xml:space="preserve">: Study 145 - </w:t>
      </w:r>
      <w:r w:rsidR="00BD272A" w:rsidRPr="000D4E70">
        <w:t>PGA and DAS</w:t>
      </w:r>
      <w:r w:rsidR="00762B95">
        <w:t>; Lam 2012 -</w:t>
      </w:r>
      <w:r w:rsidR="00BD272A" w:rsidRPr="000D4E70">
        <w:t xml:space="preserve"> CBS and GAS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7"/>
        <w:gridCol w:w="1416"/>
        <w:gridCol w:w="709"/>
        <w:gridCol w:w="707"/>
        <w:gridCol w:w="1418"/>
      </w:tblGrid>
      <w:tr w:rsidR="00B84CAE" w:rsidRPr="00B1011F" w:rsidTr="00465D7D">
        <w:tc>
          <w:tcPr>
            <w:tcW w:w="5000" w:type="pct"/>
            <w:gridSpan w:val="5"/>
            <w:shd w:val="clear" w:color="auto" w:fill="BFBFBF" w:themeFill="background1" w:themeFillShade="BF"/>
            <w:vAlign w:val="center"/>
          </w:tcPr>
          <w:p w:rsidR="00B84CAE" w:rsidRDefault="00B84CAE" w:rsidP="00465D7D">
            <w:pPr>
              <w:pStyle w:val="Tabletext"/>
              <w:keepNext/>
              <w:rPr>
                <w:b/>
                <w:bCs/>
              </w:rPr>
            </w:pPr>
            <w:r>
              <w:rPr>
                <w:b/>
                <w:bCs/>
              </w:rPr>
              <w:t>Study 145</w:t>
            </w:r>
          </w:p>
        </w:tc>
      </w:tr>
      <w:tr w:rsidR="00BD272A" w:rsidRPr="00B84117" w:rsidTr="001F31D3">
        <w:trPr>
          <w:tblHeader/>
        </w:trPr>
        <w:tc>
          <w:tcPr>
            <w:tcW w:w="2656" w:type="pct"/>
            <w:vMerge w:val="restart"/>
            <w:vAlign w:val="center"/>
          </w:tcPr>
          <w:p w:rsidR="00BD272A" w:rsidRPr="00B84117" w:rsidRDefault="00BD272A" w:rsidP="00B84CAE">
            <w:pPr>
              <w:pStyle w:val="Tabletext"/>
              <w:keepNext/>
              <w:rPr>
                <w:b/>
              </w:rPr>
            </w:pPr>
          </w:p>
        </w:tc>
        <w:tc>
          <w:tcPr>
            <w:tcW w:w="781" w:type="pct"/>
            <w:vAlign w:val="center"/>
          </w:tcPr>
          <w:p w:rsidR="00BD272A" w:rsidRPr="00B84117" w:rsidRDefault="00BD272A" w:rsidP="00B84CAE">
            <w:pPr>
              <w:pStyle w:val="Tabletext"/>
              <w:keepNext/>
              <w:jc w:val="center"/>
              <w:rPr>
                <w:b/>
              </w:rPr>
            </w:pPr>
            <w:r>
              <w:rPr>
                <w:b/>
              </w:rPr>
              <w:t>Dysport 1000U</w:t>
            </w:r>
          </w:p>
        </w:tc>
        <w:tc>
          <w:tcPr>
            <w:tcW w:w="781" w:type="pct"/>
            <w:gridSpan w:val="2"/>
            <w:vAlign w:val="center"/>
          </w:tcPr>
          <w:p w:rsidR="00BD272A" w:rsidRPr="00B84117" w:rsidRDefault="00BD272A" w:rsidP="00B84CAE">
            <w:pPr>
              <w:pStyle w:val="Tabletext"/>
              <w:keepNext/>
              <w:jc w:val="center"/>
              <w:rPr>
                <w:b/>
              </w:rPr>
            </w:pPr>
            <w:r>
              <w:rPr>
                <w:b/>
              </w:rPr>
              <w:t>Dysport 500U</w:t>
            </w:r>
          </w:p>
        </w:tc>
        <w:tc>
          <w:tcPr>
            <w:tcW w:w="782" w:type="pct"/>
            <w:vAlign w:val="center"/>
          </w:tcPr>
          <w:p w:rsidR="00BD272A" w:rsidRPr="00B84117" w:rsidRDefault="00BD272A" w:rsidP="00B84CAE">
            <w:pPr>
              <w:pStyle w:val="Tabletext"/>
              <w:keepNext/>
              <w:jc w:val="center"/>
              <w:rPr>
                <w:b/>
              </w:rPr>
            </w:pPr>
            <w:r>
              <w:rPr>
                <w:b/>
              </w:rPr>
              <w:t>Placebo</w:t>
            </w:r>
          </w:p>
        </w:tc>
      </w:tr>
      <w:tr w:rsidR="00BD272A" w:rsidRPr="00B84117" w:rsidTr="001F31D3">
        <w:trPr>
          <w:tblHeader/>
        </w:trPr>
        <w:tc>
          <w:tcPr>
            <w:tcW w:w="2656" w:type="pct"/>
            <w:vMerge/>
            <w:vAlign w:val="center"/>
          </w:tcPr>
          <w:p w:rsidR="00BD272A" w:rsidRDefault="00BD272A" w:rsidP="00B84CAE">
            <w:pPr>
              <w:pStyle w:val="Tabletext"/>
              <w:keepNext/>
              <w:rPr>
                <w:b/>
              </w:rPr>
            </w:pPr>
          </w:p>
        </w:tc>
        <w:tc>
          <w:tcPr>
            <w:tcW w:w="781" w:type="pct"/>
            <w:vAlign w:val="center"/>
          </w:tcPr>
          <w:p w:rsidR="00BD272A" w:rsidRDefault="00BD272A" w:rsidP="00B84CAE">
            <w:pPr>
              <w:pStyle w:val="Tabletext"/>
              <w:keepNext/>
              <w:jc w:val="center"/>
              <w:rPr>
                <w:b/>
              </w:rPr>
            </w:pPr>
            <w:r>
              <w:rPr>
                <w:b/>
              </w:rPr>
              <w:t>N=79</w:t>
            </w:r>
          </w:p>
        </w:tc>
        <w:tc>
          <w:tcPr>
            <w:tcW w:w="781" w:type="pct"/>
            <w:gridSpan w:val="2"/>
            <w:vAlign w:val="center"/>
          </w:tcPr>
          <w:p w:rsidR="00BD272A" w:rsidRDefault="00BD272A" w:rsidP="00B84CAE">
            <w:pPr>
              <w:pStyle w:val="Tabletext"/>
              <w:keepNext/>
              <w:jc w:val="center"/>
              <w:rPr>
                <w:b/>
              </w:rPr>
            </w:pPr>
            <w:r>
              <w:rPr>
                <w:b/>
              </w:rPr>
              <w:t>N=80</w:t>
            </w:r>
          </w:p>
        </w:tc>
        <w:tc>
          <w:tcPr>
            <w:tcW w:w="782" w:type="pct"/>
            <w:vAlign w:val="center"/>
          </w:tcPr>
          <w:p w:rsidR="00BD272A" w:rsidRPr="00B84117" w:rsidRDefault="00BD272A" w:rsidP="00B84CAE">
            <w:pPr>
              <w:pStyle w:val="Tabletext"/>
              <w:keepNext/>
              <w:jc w:val="center"/>
              <w:rPr>
                <w:b/>
              </w:rPr>
            </w:pPr>
            <w:r>
              <w:rPr>
                <w:b/>
              </w:rPr>
              <w:t>N=79</w:t>
            </w:r>
          </w:p>
        </w:tc>
      </w:tr>
      <w:tr w:rsidR="00BD272A" w:rsidRPr="00B1011F" w:rsidTr="00B84CAE">
        <w:tc>
          <w:tcPr>
            <w:tcW w:w="5000" w:type="pct"/>
            <w:gridSpan w:val="5"/>
            <w:shd w:val="clear" w:color="auto" w:fill="F2F2F2" w:themeFill="background1" w:themeFillShade="F2"/>
            <w:vAlign w:val="center"/>
          </w:tcPr>
          <w:p w:rsidR="00BD272A" w:rsidRPr="00000491" w:rsidRDefault="00BD272A" w:rsidP="00B84CAE">
            <w:pPr>
              <w:pStyle w:val="Tabletext"/>
              <w:keepNext/>
              <w:rPr>
                <w:b/>
                <w:bCs/>
              </w:rPr>
            </w:pPr>
            <w:r>
              <w:rPr>
                <w:b/>
                <w:bCs/>
              </w:rPr>
              <w:t>PGA at Week 4</w:t>
            </w:r>
            <w:r w:rsidR="00762B95">
              <w:rPr>
                <w:b/>
                <w:bCs/>
              </w:rPr>
              <w:t xml:space="preserve"> </w:t>
            </w:r>
            <w:r>
              <w:rPr>
                <w:b/>
                <w:bCs/>
              </w:rPr>
              <w:t>- ITT</w:t>
            </w:r>
          </w:p>
        </w:tc>
      </w:tr>
      <w:tr w:rsidR="00BD272A" w:rsidRPr="00AA2920" w:rsidTr="00E30A25">
        <w:tc>
          <w:tcPr>
            <w:tcW w:w="2656" w:type="pct"/>
            <w:vAlign w:val="center"/>
          </w:tcPr>
          <w:p w:rsidR="00BD272A" w:rsidRPr="005C4E2F" w:rsidRDefault="00BD272A" w:rsidP="00B84CAE">
            <w:pPr>
              <w:pStyle w:val="Tabletext"/>
              <w:keepNext/>
              <w:ind w:left="104"/>
              <w:rPr>
                <w:szCs w:val="20"/>
              </w:rPr>
            </w:pPr>
            <w:r w:rsidRPr="00AC7EA9">
              <w:t>Mean</w:t>
            </w:r>
            <w:r w:rsidRPr="005C4E2F">
              <w:rPr>
                <w:szCs w:val="20"/>
              </w:rPr>
              <w:t xml:space="preserve"> (SD)</w:t>
            </w:r>
          </w:p>
        </w:tc>
        <w:tc>
          <w:tcPr>
            <w:tcW w:w="781" w:type="pct"/>
            <w:vAlign w:val="center"/>
          </w:tcPr>
          <w:p w:rsidR="00BD272A" w:rsidRPr="00AA2920" w:rsidRDefault="00BD272A" w:rsidP="00B84CAE">
            <w:pPr>
              <w:pStyle w:val="Tabletext"/>
              <w:keepNext/>
              <w:jc w:val="center"/>
              <w:rPr>
                <w:szCs w:val="20"/>
                <w:lang w:val="fr-FR"/>
              </w:rPr>
            </w:pPr>
            <w:r w:rsidRPr="00AA2920">
              <w:rPr>
                <w:szCs w:val="20"/>
                <w:lang w:val="fr-FR"/>
              </w:rPr>
              <w:t>1.</w:t>
            </w:r>
            <w:r>
              <w:rPr>
                <w:szCs w:val="20"/>
                <w:lang w:val="fr-FR"/>
              </w:rPr>
              <w:t>8 (1.1</w:t>
            </w:r>
            <w:r w:rsidRPr="00AA2920">
              <w:rPr>
                <w:szCs w:val="20"/>
                <w:lang w:val="fr-FR"/>
              </w:rPr>
              <w:t>)</w:t>
            </w:r>
          </w:p>
        </w:tc>
        <w:tc>
          <w:tcPr>
            <w:tcW w:w="781" w:type="pct"/>
            <w:gridSpan w:val="2"/>
            <w:vAlign w:val="center"/>
          </w:tcPr>
          <w:p w:rsidR="00BD272A" w:rsidRPr="00AA2920" w:rsidRDefault="00BD272A" w:rsidP="00B84CAE">
            <w:pPr>
              <w:pStyle w:val="Tabletext"/>
              <w:keepNext/>
              <w:jc w:val="center"/>
              <w:rPr>
                <w:szCs w:val="20"/>
                <w:lang w:val="fr-FR"/>
              </w:rPr>
            </w:pPr>
            <w:r>
              <w:rPr>
                <w:szCs w:val="20"/>
                <w:lang w:val="fr-FR"/>
              </w:rPr>
              <w:t>1.4</w:t>
            </w:r>
            <w:r w:rsidRPr="00AA2920">
              <w:rPr>
                <w:szCs w:val="20"/>
                <w:lang w:val="fr-FR"/>
              </w:rPr>
              <w:t xml:space="preserve"> (1.1)</w:t>
            </w:r>
          </w:p>
        </w:tc>
        <w:tc>
          <w:tcPr>
            <w:tcW w:w="782" w:type="pct"/>
            <w:vAlign w:val="center"/>
          </w:tcPr>
          <w:p w:rsidR="00BD272A" w:rsidRPr="00AA2920" w:rsidRDefault="00BD272A" w:rsidP="00B84CAE">
            <w:pPr>
              <w:pStyle w:val="Tabletext"/>
              <w:keepNext/>
              <w:jc w:val="center"/>
              <w:rPr>
                <w:szCs w:val="20"/>
                <w:lang w:val="fr-FR"/>
              </w:rPr>
            </w:pPr>
            <w:r>
              <w:rPr>
                <w:szCs w:val="20"/>
                <w:lang w:val="fr-FR"/>
              </w:rPr>
              <w:t>0.6 (1.0</w:t>
            </w:r>
            <w:r w:rsidRPr="00AA2920">
              <w:rPr>
                <w:szCs w:val="20"/>
                <w:lang w:val="fr-FR"/>
              </w:rPr>
              <w:t>)</w:t>
            </w:r>
          </w:p>
        </w:tc>
      </w:tr>
      <w:tr w:rsidR="00BD272A" w:rsidRPr="00AA2920" w:rsidTr="00E30A25">
        <w:tc>
          <w:tcPr>
            <w:tcW w:w="2656" w:type="pct"/>
            <w:vAlign w:val="center"/>
          </w:tcPr>
          <w:p w:rsidR="00BD272A" w:rsidRPr="00AA2920" w:rsidRDefault="00BD272A" w:rsidP="00B84CAE">
            <w:pPr>
              <w:pStyle w:val="Tabletext"/>
              <w:keepNext/>
              <w:ind w:left="104" w:right="-28"/>
              <w:rPr>
                <w:szCs w:val="20"/>
                <w:lang w:val="fr-FR"/>
              </w:rPr>
            </w:pPr>
            <w:r w:rsidRPr="00AA2920">
              <w:rPr>
                <w:szCs w:val="20"/>
                <w:lang w:val="fr-FR"/>
              </w:rPr>
              <w:t xml:space="preserve">LS </w:t>
            </w:r>
            <w:proofErr w:type="spellStart"/>
            <w:r w:rsidRPr="00AA2920">
              <w:rPr>
                <w:szCs w:val="20"/>
                <w:lang w:val="fr-FR"/>
              </w:rPr>
              <w:t>mean</w:t>
            </w:r>
            <w:proofErr w:type="spellEnd"/>
            <w:r w:rsidRPr="00AA2920">
              <w:rPr>
                <w:szCs w:val="20"/>
                <w:lang w:val="fr-FR"/>
              </w:rPr>
              <w:t xml:space="preserve"> (95% CI)</w:t>
            </w:r>
          </w:p>
        </w:tc>
        <w:tc>
          <w:tcPr>
            <w:tcW w:w="781" w:type="pct"/>
            <w:vAlign w:val="center"/>
          </w:tcPr>
          <w:p w:rsidR="00BD272A" w:rsidRPr="00AA2920" w:rsidRDefault="00BD272A" w:rsidP="00B84CAE">
            <w:pPr>
              <w:pStyle w:val="Tabletext"/>
              <w:keepNext/>
              <w:jc w:val="center"/>
              <w:rPr>
                <w:szCs w:val="20"/>
                <w:lang w:val="fr-FR"/>
              </w:rPr>
            </w:pPr>
            <w:r>
              <w:rPr>
                <w:szCs w:val="20"/>
                <w:lang w:val="fr-FR"/>
              </w:rPr>
              <w:t>1.8 (1.6, 2.1</w:t>
            </w:r>
            <w:r w:rsidRPr="00AA2920">
              <w:rPr>
                <w:szCs w:val="20"/>
                <w:lang w:val="fr-FR"/>
              </w:rPr>
              <w:t>)</w:t>
            </w:r>
          </w:p>
        </w:tc>
        <w:tc>
          <w:tcPr>
            <w:tcW w:w="781" w:type="pct"/>
            <w:gridSpan w:val="2"/>
            <w:vAlign w:val="center"/>
          </w:tcPr>
          <w:p w:rsidR="00BD272A" w:rsidRPr="00AA2920" w:rsidRDefault="00BD272A" w:rsidP="00B84CAE">
            <w:pPr>
              <w:pStyle w:val="Tabletext"/>
              <w:keepNext/>
              <w:jc w:val="center"/>
              <w:rPr>
                <w:szCs w:val="20"/>
                <w:lang w:val="fr-FR"/>
              </w:rPr>
            </w:pPr>
            <w:r>
              <w:rPr>
                <w:szCs w:val="20"/>
                <w:lang w:val="fr-FR"/>
              </w:rPr>
              <w:t>1.4 (1.1, 1.6</w:t>
            </w:r>
            <w:r w:rsidRPr="00AA2920">
              <w:rPr>
                <w:szCs w:val="20"/>
                <w:lang w:val="fr-FR"/>
              </w:rPr>
              <w:t>)</w:t>
            </w:r>
          </w:p>
        </w:tc>
        <w:tc>
          <w:tcPr>
            <w:tcW w:w="782" w:type="pct"/>
            <w:vAlign w:val="center"/>
          </w:tcPr>
          <w:p w:rsidR="00BD272A" w:rsidRPr="00AA2920" w:rsidRDefault="00BD272A" w:rsidP="00B84CAE">
            <w:pPr>
              <w:pStyle w:val="Tabletext"/>
              <w:keepNext/>
              <w:jc w:val="center"/>
              <w:rPr>
                <w:szCs w:val="20"/>
              </w:rPr>
            </w:pPr>
            <w:r w:rsidRPr="00AA2920">
              <w:rPr>
                <w:szCs w:val="20"/>
              </w:rPr>
              <w:t>0.7 (-0.</w:t>
            </w:r>
            <w:r>
              <w:rPr>
                <w:szCs w:val="20"/>
              </w:rPr>
              <w:t>5, 1.0</w:t>
            </w:r>
            <w:r w:rsidRPr="00AA2920">
              <w:rPr>
                <w:szCs w:val="20"/>
              </w:rPr>
              <w:t>)</w:t>
            </w:r>
          </w:p>
        </w:tc>
      </w:tr>
      <w:tr w:rsidR="00BD272A" w:rsidRPr="00B1011F" w:rsidTr="00E30A25">
        <w:tc>
          <w:tcPr>
            <w:tcW w:w="2656" w:type="pct"/>
            <w:vAlign w:val="center"/>
          </w:tcPr>
          <w:p w:rsidR="00BD272A" w:rsidRPr="00AA2920" w:rsidRDefault="00BD272A" w:rsidP="00B84CAE">
            <w:pPr>
              <w:pStyle w:val="Tabletext"/>
              <w:keepNext/>
              <w:ind w:left="104"/>
              <w:rPr>
                <w:szCs w:val="20"/>
              </w:rPr>
            </w:pPr>
            <w:r w:rsidRPr="00AA2920">
              <w:t>LS</w:t>
            </w:r>
            <w:r w:rsidRPr="00AA2920">
              <w:rPr>
                <w:szCs w:val="20"/>
              </w:rPr>
              <w:t xml:space="preserve"> mean (95% CI) versus placebo</w:t>
            </w:r>
          </w:p>
        </w:tc>
        <w:tc>
          <w:tcPr>
            <w:tcW w:w="781" w:type="pct"/>
            <w:vAlign w:val="center"/>
          </w:tcPr>
          <w:p w:rsidR="00BD272A" w:rsidRPr="00AA2920" w:rsidRDefault="00BD272A" w:rsidP="00B84CAE">
            <w:pPr>
              <w:pStyle w:val="Tabletext"/>
              <w:keepNext/>
              <w:jc w:val="center"/>
              <w:rPr>
                <w:b/>
                <w:bCs/>
                <w:szCs w:val="20"/>
              </w:rPr>
            </w:pPr>
            <w:r w:rsidRPr="00AA2920">
              <w:rPr>
                <w:b/>
                <w:bCs/>
                <w:szCs w:val="20"/>
              </w:rPr>
              <w:t>1.1 (0.8, 1.4)</w:t>
            </w:r>
          </w:p>
        </w:tc>
        <w:tc>
          <w:tcPr>
            <w:tcW w:w="781" w:type="pct"/>
            <w:gridSpan w:val="2"/>
            <w:vAlign w:val="center"/>
          </w:tcPr>
          <w:p w:rsidR="00BD272A" w:rsidRPr="00AA2920" w:rsidRDefault="00BD272A" w:rsidP="00B84CAE">
            <w:pPr>
              <w:pStyle w:val="Tabletext"/>
              <w:keepNext/>
              <w:jc w:val="center"/>
              <w:rPr>
                <w:b/>
                <w:bCs/>
                <w:szCs w:val="20"/>
              </w:rPr>
            </w:pPr>
            <w:r w:rsidRPr="00AA2920">
              <w:rPr>
                <w:b/>
                <w:bCs/>
                <w:szCs w:val="20"/>
              </w:rPr>
              <w:t>0.6 (0.3, 1.0)</w:t>
            </w:r>
          </w:p>
        </w:tc>
        <w:tc>
          <w:tcPr>
            <w:tcW w:w="782" w:type="pct"/>
            <w:vAlign w:val="center"/>
          </w:tcPr>
          <w:p w:rsidR="00BD272A" w:rsidRPr="005C4E2F" w:rsidRDefault="00BD272A" w:rsidP="00B84CAE">
            <w:pPr>
              <w:pStyle w:val="Tabletext"/>
              <w:keepNext/>
              <w:jc w:val="center"/>
              <w:rPr>
                <w:szCs w:val="20"/>
              </w:rPr>
            </w:pPr>
            <w:r w:rsidRPr="00AA2920">
              <w:rPr>
                <w:b/>
                <w:bCs/>
                <w:szCs w:val="20"/>
              </w:rPr>
              <w:t>NA</w:t>
            </w:r>
          </w:p>
        </w:tc>
      </w:tr>
      <w:tr w:rsidR="00BD272A" w:rsidRPr="00B1011F" w:rsidTr="00E30A25">
        <w:tc>
          <w:tcPr>
            <w:tcW w:w="2656" w:type="pct"/>
            <w:vAlign w:val="center"/>
          </w:tcPr>
          <w:p w:rsidR="00BD272A" w:rsidRPr="005C4E2F" w:rsidRDefault="00BD272A" w:rsidP="00B84CAE">
            <w:pPr>
              <w:pStyle w:val="Tabletext"/>
              <w:keepNext/>
              <w:ind w:left="104"/>
              <w:rPr>
                <w:szCs w:val="20"/>
              </w:rPr>
            </w:pPr>
            <w:r w:rsidRPr="005C4E2F">
              <w:rPr>
                <w:szCs w:val="20"/>
              </w:rPr>
              <w:t>p-value</w:t>
            </w:r>
            <w:r>
              <w:rPr>
                <w:szCs w:val="20"/>
              </w:rPr>
              <w:t xml:space="preserve"> (versus placebo)</w:t>
            </w:r>
          </w:p>
        </w:tc>
        <w:tc>
          <w:tcPr>
            <w:tcW w:w="781" w:type="pct"/>
            <w:vAlign w:val="center"/>
          </w:tcPr>
          <w:p w:rsidR="00BD272A" w:rsidRPr="004709BF" w:rsidRDefault="00BD272A" w:rsidP="00B84CAE">
            <w:pPr>
              <w:pStyle w:val="Tabletext"/>
              <w:keepNext/>
              <w:jc w:val="center"/>
              <w:rPr>
                <w:b/>
                <w:bCs/>
                <w:szCs w:val="20"/>
              </w:rPr>
            </w:pPr>
            <w:r w:rsidRPr="004709BF">
              <w:rPr>
                <w:b/>
                <w:bCs/>
              </w:rPr>
              <w:t>&lt;0.0001</w:t>
            </w:r>
          </w:p>
        </w:tc>
        <w:tc>
          <w:tcPr>
            <w:tcW w:w="781" w:type="pct"/>
            <w:gridSpan w:val="2"/>
            <w:vAlign w:val="center"/>
          </w:tcPr>
          <w:p w:rsidR="00BD272A" w:rsidRPr="004709BF" w:rsidRDefault="00BD272A" w:rsidP="00B84CAE">
            <w:pPr>
              <w:pStyle w:val="Tabletext"/>
              <w:keepNext/>
              <w:jc w:val="center"/>
              <w:rPr>
                <w:b/>
                <w:bCs/>
                <w:szCs w:val="20"/>
              </w:rPr>
            </w:pPr>
            <w:r w:rsidRPr="004709BF">
              <w:rPr>
                <w:b/>
                <w:bCs/>
                <w:szCs w:val="20"/>
              </w:rPr>
              <w:t>0.0003</w:t>
            </w:r>
          </w:p>
        </w:tc>
        <w:tc>
          <w:tcPr>
            <w:tcW w:w="782" w:type="pct"/>
            <w:vAlign w:val="center"/>
          </w:tcPr>
          <w:p w:rsidR="00BD272A" w:rsidRPr="004709BF" w:rsidRDefault="00BD272A" w:rsidP="00B84CAE">
            <w:pPr>
              <w:pStyle w:val="Tabletext"/>
              <w:keepNext/>
              <w:jc w:val="center"/>
              <w:rPr>
                <w:b/>
                <w:bCs/>
                <w:szCs w:val="20"/>
              </w:rPr>
            </w:pPr>
            <w:r w:rsidRPr="004709BF">
              <w:rPr>
                <w:b/>
                <w:bCs/>
                <w:szCs w:val="20"/>
              </w:rPr>
              <w:t>NA</w:t>
            </w:r>
          </w:p>
        </w:tc>
      </w:tr>
      <w:tr w:rsidR="00BD272A" w:rsidRPr="00B1011F" w:rsidTr="00E30A25">
        <w:tc>
          <w:tcPr>
            <w:tcW w:w="5000" w:type="pct"/>
            <w:gridSpan w:val="5"/>
            <w:vAlign w:val="center"/>
          </w:tcPr>
          <w:p w:rsidR="00BD272A" w:rsidRPr="00477D51" w:rsidRDefault="00BD272A" w:rsidP="00B84CAE">
            <w:pPr>
              <w:pStyle w:val="Tabletext"/>
              <w:keepNext/>
            </w:pPr>
            <w:r w:rsidRPr="00197D34">
              <w:rPr>
                <w:b/>
                <w:bCs/>
              </w:rPr>
              <w:t xml:space="preserve">Subgroup analysis: </w:t>
            </w:r>
            <w:r>
              <w:rPr>
                <w:b/>
                <w:bCs/>
              </w:rPr>
              <w:t>TBI patients</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t>N</w:t>
            </w:r>
          </w:p>
        </w:tc>
        <w:tc>
          <w:tcPr>
            <w:tcW w:w="781" w:type="pct"/>
            <w:vAlign w:val="center"/>
          </w:tcPr>
          <w:p w:rsidR="00BD272A" w:rsidRPr="003B3314" w:rsidRDefault="00BD272A" w:rsidP="00B84CAE">
            <w:pPr>
              <w:pStyle w:val="Tabletext"/>
              <w:keepNext/>
              <w:jc w:val="center"/>
              <w:rPr>
                <w:szCs w:val="20"/>
              </w:rPr>
            </w:pPr>
            <w:r>
              <w:t>6</w:t>
            </w:r>
          </w:p>
        </w:tc>
        <w:tc>
          <w:tcPr>
            <w:tcW w:w="781" w:type="pct"/>
            <w:gridSpan w:val="2"/>
            <w:shd w:val="clear" w:color="auto" w:fill="FFFFFF"/>
            <w:vAlign w:val="center"/>
          </w:tcPr>
          <w:p w:rsidR="00BD272A" w:rsidRPr="003B3314" w:rsidRDefault="00BD272A" w:rsidP="00B84CAE">
            <w:pPr>
              <w:pStyle w:val="Tabletext"/>
              <w:keepNext/>
              <w:jc w:val="center"/>
              <w:rPr>
                <w:szCs w:val="20"/>
              </w:rPr>
            </w:pPr>
            <w:r>
              <w:t>8</w:t>
            </w:r>
          </w:p>
        </w:tc>
        <w:tc>
          <w:tcPr>
            <w:tcW w:w="782" w:type="pct"/>
            <w:shd w:val="clear" w:color="auto" w:fill="FFFFFF"/>
            <w:vAlign w:val="center"/>
          </w:tcPr>
          <w:p w:rsidR="00BD272A" w:rsidRPr="00477D51" w:rsidRDefault="00BD272A" w:rsidP="00B84CAE">
            <w:pPr>
              <w:pStyle w:val="Tabletext"/>
              <w:keepNext/>
              <w:jc w:val="center"/>
            </w:pPr>
            <w:r>
              <w:t>9</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rsidRPr="00AC7EA9">
              <w:t>Mean</w:t>
            </w:r>
            <w:r w:rsidRPr="005C4E2F">
              <w:rPr>
                <w:szCs w:val="20"/>
              </w:rPr>
              <w:t xml:space="preserve"> (SD)</w:t>
            </w:r>
          </w:p>
        </w:tc>
        <w:tc>
          <w:tcPr>
            <w:tcW w:w="781" w:type="pct"/>
            <w:vAlign w:val="center"/>
          </w:tcPr>
          <w:p w:rsidR="00BD272A" w:rsidRPr="003B3314" w:rsidRDefault="00BD272A" w:rsidP="00B84CAE">
            <w:pPr>
              <w:pStyle w:val="Tabletext"/>
              <w:keepNext/>
              <w:jc w:val="center"/>
              <w:rPr>
                <w:szCs w:val="20"/>
              </w:rPr>
            </w:pPr>
            <w:r>
              <w:rPr>
                <w:szCs w:val="20"/>
              </w:rPr>
              <w:t>1.5 (0.5)</w:t>
            </w:r>
          </w:p>
        </w:tc>
        <w:tc>
          <w:tcPr>
            <w:tcW w:w="781" w:type="pct"/>
            <w:gridSpan w:val="2"/>
            <w:vAlign w:val="center"/>
          </w:tcPr>
          <w:p w:rsidR="00BD272A" w:rsidRPr="003B3314" w:rsidRDefault="00BD272A" w:rsidP="00B84CAE">
            <w:pPr>
              <w:pStyle w:val="Tabletext"/>
              <w:keepNext/>
              <w:jc w:val="center"/>
              <w:rPr>
                <w:szCs w:val="20"/>
              </w:rPr>
            </w:pPr>
            <w:r>
              <w:rPr>
                <w:szCs w:val="20"/>
              </w:rPr>
              <w:t>1.5 (1.2)</w:t>
            </w:r>
          </w:p>
        </w:tc>
        <w:tc>
          <w:tcPr>
            <w:tcW w:w="782" w:type="pct"/>
            <w:vAlign w:val="center"/>
          </w:tcPr>
          <w:p w:rsidR="00BD272A" w:rsidRPr="00477D51" w:rsidRDefault="00BD272A" w:rsidP="00B84CAE">
            <w:pPr>
              <w:pStyle w:val="Tabletext"/>
              <w:keepNext/>
              <w:jc w:val="center"/>
            </w:pPr>
            <w:r>
              <w:rPr>
                <w:szCs w:val="20"/>
              </w:rPr>
              <w:t>0.6 (1.2)</w:t>
            </w:r>
          </w:p>
        </w:tc>
      </w:tr>
      <w:tr w:rsidR="00BD272A" w:rsidRPr="00B1011F" w:rsidTr="00B84CAE">
        <w:tc>
          <w:tcPr>
            <w:tcW w:w="5000" w:type="pct"/>
            <w:gridSpan w:val="5"/>
            <w:shd w:val="clear" w:color="auto" w:fill="F2F2F2" w:themeFill="background1" w:themeFillShade="F2"/>
            <w:vAlign w:val="center"/>
          </w:tcPr>
          <w:p w:rsidR="00BD272A" w:rsidRPr="00477D51" w:rsidRDefault="00BD272A" w:rsidP="00B84CAE">
            <w:pPr>
              <w:pStyle w:val="Tabletext"/>
              <w:keepNext/>
            </w:pPr>
            <w:r>
              <w:rPr>
                <w:b/>
                <w:bCs/>
                <w:szCs w:val="20"/>
              </w:rPr>
              <w:t>PGA responders (score ≥</w:t>
            </w:r>
            <w:r w:rsidR="00762B95">
              <w:rPr>
                <w:b/>
                <w:bCs/>
                <w:szCs w:val="20"/>
              </w:rPr>
              <w:t xml:space="preserve"> </w:t>
            </w:r>
            <w:r w:rsidRPr="00BE479F">
              <w:rPr>
                <w:b/>
                <w:bCs/>
                <w:szCs w:val="20"/>
              </w:rPr>
              <w:t>+1 or more)</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rsidRPr="00AC7EA9">
              <w:t>Responders</w:t>
            </w:r>
            <w:r w:rsidRPr="003B3314">
              <w:rPr>
                <w:szCs w:val="20"/>
              </w:rPr>
              <w:t>, n (%)</w:t>
            </w:r>
          </w:p>
        </w:tc>
        <w:tc>
          <w:tcPr>
            <w:tcW w:w="781" w:type="pct"/>
            <w:vAlign w:val="center"/>
          </w:tcPr>
          <w:p w:rsidR="00BD272A" w:rsidRPr="003B3314" w:rsidRDefault="00BD272A" w:rsidP="00B84CAE">
            <w:pPr>
              <w:pStyle w:val="Tabletext"/>
              <w:keepNext/>
              <w:jc w:val="center"/>
              <w:rPr>
                <w:szCs w:val="20"/>
              </w:rPr>
            </w:pPr>
            <w:r>
              <w:rPr>
                <w:szCs w:val="20"/>
              </w:rPr>
              <w:t>6 (100</w:t>
            </w:r>
            <w:r w:rsidR="00B84CAE">
              <w:rPr>
                <w:szCs w:val="20"/>
              </w:rPr>
              <w:t>%</w:t>
            </w:r>
            <w:r w:rsidRPr="003B3314">
              <w:rPr>
                <w:szCs w:val="20"/>
              </w:rPr>
              <w:t>)</w:t>
            </w:r>
          </w:p>
        </w:tc>
        <w:tc>
          <w:tcPr>
            <w:tcW w:w="781" w:type="pct"/>
            <w:gridSpan w:val="2"/>
            <w:vAlign w:val="center"/>
          </w:tcPr>
          <w:p w:rsidR="00BD272A" w:rsidRPr="003B3314" w:rsidRDefault="00BD272A" w:rsidP="00B84CAE">
            <w:pPr>
              <w:pStyle w:val="Tabletext"/>
              <w:keepNext/>
              <w:jc w:val="center"/>
              <w:rPr>
                <w:szCs w:val="20"/>
              </w:rPr>
            </w:pPr>
            <w:r>
              <w:rPr>
                <w:szCs w:val="20"/>
              </w:rPr>
              <w:t>7 (87.5</w:t>
            </w:r>
            <w:r w:rsidR="00B84CAE">
              <w:rPr>
                <w:szCs w:val="20"/>
              </w:rPr>
              <w:t>%</w:t>
            </w:r>
            <w:r w:rsidRPr="003B3314">
              <w:rPr>
                <w:szCs w:val="20"/>
              </w:rPr>
              <w:t>)</w:t>
            </w:r>
          </w:p>
        </w:tc>
        <w:tc>
          <w:tcPr>
            <w:tcW w:w="782" w:type="pct"/>
            <w:vAlign w:val="center"/>
          </w:tcPr>
          <w:p w:rsidR="00BD272A" w:rsidRPr="00477D51" w:rsidRDefault="00BD272A" w:rsidP="00B84CAE">
            <w:pPr>
              <w:pStyle w:val="Tabletext"/>
              <w:keepNext/>
              <w:jc w:val="center"/>
            </w:pPr>
            <w:r>
              <w:rPr>
                <w:szCs w:val="20"/>
              </w:rPr>
              <w:t>3 (33.3</w:t>
            </w:r>
            <w:r w:rsidR="00B84CAE">
              <w:rPr>
                <w:szCs w:val="20"/>
              </w:rPr>
              <w:t>%</w:t>
            </w:r>
            <w:r w:rsidRPr="003B3314">
              <w:rPr>
                <w:szCs w:val="20"/>
              </w:rPr>
              <w:t>)</w:t>
            </w:r>
          </w:p>
        </w:tc>
      </w:tr>
      <w:tr w:rsidR="00BD272A" w:rsidRPr="00B1011F" w:rsidTr="00B84CAE">
        <w:tc>
          <w:tcPr>
            <w:tcW w:w="5000" w:type="pct"/>
            <w:gridSpan w:val="5"/>
            <w:shd w:val="clear" w:color="auto" w:fill="F2F2F2" w:themeFill="background1" w:themeFillShade="F2"/>
            <w:vAlign w:val="center"/>
          </w:tcPr>
          <w:p w:rsidR="00BD272A" w:rsidRPr="00B33E7E" w:rsidRDefault="00762B95" w:rsidP="00B84CAE">
            <w:pPr>
              <w:pStyle w:val="Tabletext"/>
              <w:keepNext/>
              <w:rPr>
                <w:sz w:val="21"/>
                <w:szCs w:val="24"/>
              </w:rPr>
            </w:pPr>
            <w:r>
              <w:rPr>
                <w:b/>
                <w:bCs/>
              </w:rPr>
              <w:t>C</w:t>
            </w:r>
            <w:r w:rsidR="00BD272A">
              <w:rPr>
                <w:b/>
                <w:bCs/>
              </w:rPr>
              <w:t>hange from baseline in DAS at Week 4 - ITT</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t>Baseline, mean (SD)</w:t>
            </w:r>
          </w:p>
        </w:tc>
        <w:tc>
          <w:tcPr>
            <w:tcW w:w="781" w:type="pct"/>
            <w:vAlign w:val="center"/>
          </w:tcPr>
          <w:p w:rsidR="00BD272A" w:rsidRPr="003B3314" w:rsidRDefault="00BD272A" w:rsidP="00B84CAE">
            <w:pPr>
              <w:pStyle w:val="Tabletext"/>
              <w:keepNext/>
              <w:jc w:val="center"/>
              <w:rPr>
                <w:szCs w:val="20"/>
              </w:rPr>
            </w:pPr>
            <w:r>
              <w:rPr>
                <w:szCs w:val="20"/>
              </w:rPr>
              <w:t>2.5 (0.5)</w:t>
            </w:r>
          </w:p>
        </w:tc>
        <w:tc>
          <w:tcPr>
            <w:tcW w:w="781" w:type="pct"/>
            <w:gridSpan w:val="2"/>
            <w:vAlign w:val="center"/>
          </w:tcPr>
          <w:p w:rsidR="00BD272A" w:rsidRPr="003B3314" w:rsidRDefault="00BD272A" w:rsidP="00B84CAE">
            <w:pPr>
              <w:pStyle w:val="Tabletext"/>
              <w:keepNext/>
              <w:jc w:val="center"/>
              <w:rPr>
                <w:szCs w:val="20"/>
              </w:rPr>
            </w:pPr>
            <w:r>
              <w:rPr>
                <w:szCs w:val="20"/>
              </w:rPr>
              <w:t>2.6 (0.5)</w:t>
            </w:r>
          </w:p>
        </w:tc>
        <w:tc>
          <w:tcPr>
            <w:tcW w:w="782" w:type="pct"/>
            <w:vAlign w:val="center"/>
          </w:tcPr>
          <w:p w:rsidR="00BD272A" w:rsidRPr="00477D51" w:rsidRDefault="00BD272A" w:rsidP="00B84CAE">
            <w:pPr>
              <w:pStyle w:val="Tabletext"/>
              <w:keepNext/>
              <w:jc w:val="center"/>
            </w:pPr>
            <w:r>
              <w:rPr>
                <w:szCs w:val="20"/>
              </w:rPr>
              <w:t>2.6 (0.5)</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t>Week 4, mean (SD)</w:t>
            </w:r>
          </w:p>
        </w:tc>
        <w:tc>
          <w:tcPr>
            <w:tcW w:w="781" w:type="pct"/>
            <w:vAlign w:val="center"/>
          </w:tcPr>
          <w:p w:rsidR="00BD272A" w:rsidRPr="003B3314" w:rsidRDefault="00BD272A" w:rsidP="00B84CAE">
            <w:pPr>
              <w:pStyle w:val="Tabletext"/>
              <w:keepNext/>
              <w:jc w:val="center"/>
              <w:rPr>
                <w:szCs w:val="20"/>
              </w:rPr>
            </w:pPr>
            <w:r>
              <w:rPr>
                <w:szCs w:val="20"/>
              </w:rPr>
              <w:t>1.8 (0.7)</w:t>
            </w:r>
          </w:p>
        </w:tc>
        <w:tc>
          <w:tcPr>
            <w:tcW w:w="781" w:type="pct"/>
            <w:gridSpan w:val="2"/>
            <w:vAlign w:val="center"/>
          </w:tcPr>
          <w:p w:rsidR="00BD272A" w:rsidRPr="003B3314" w:rsidRDefault="00BD272A" w:rsidP="00B84CAE">
            <w:pPr>
              <w:pStyle w:val="Tabletext"/>
              <w:keepNext/>
              <w:jc w:val="center"/>
              <w:rPr>
                <w:szCs w:val="20"/>
              </w:rPr>
            </w:pPr>
            <w:r>
              <w:rPr>
                <w:szCs w:val="20"/>
              </w:rPr>
              <w:t>1.9 (0.8)</w:t>
            </w:r>
          </w:p>
        </w:tc>
        <w:tc>
          <w:tcPr>
            <w:tcW w:w="782" w:type="pct"/>
            <w:vAlign w:val="center"/>
          </w:tcPr>
          <w:p w:rsidR="00BD272A" w:rsidRPr="00477D51" w:rsidRDefault="00BD272A" w:rsidP="00B84CAE">
            <w:pPr>
              <w:pStyle w:val="Tabletext"/>
              <w:keepNext/>
              <w:jc w:val="center"/>
            </w:pPr>
            <w:r>
              <w:rPr>
                <w:szCs w:val="20"/>
              </w:rPr>
              <w:t>2.1 (0.8)</w:t>
            </w:r>
          </w:p>
        </w:tc>
      </w:tr>
      <w:tr w:rsidR="00BD272A" w:rsidRPr="00B1011F" w:rsidTr="00E30A25">
        <w:tc>
          <w:tcPr>
            <w:tcW w:w="5000" w:type="pct"/>
            <w:gridSpan w:val="5"/>
            <w:vAlign w:val="center"/>
          </w:tcPr>
          <w:p w:rsidR="00BD272A" w:rsidRPr="00477D51" w:rsidRDefault="00BD272A" w:rsidP="00B84CAE">
            <w:pPr>
              <w:pStyle w:val="Tabletext"/>
              <w:keepNext/>
            </w:pPr>
            <w:r>
              <w:t>Change from baseline in D</w:t>
            </w:r>
            <w:r w:rsidRPr="001954AB">
              <w:t>AS at Week 4</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t>Mean change (SD)</w:t>
            </w:r>
          </w:p>
        </w:tc>
        <w:tc>
          <w:tcPr>
            <w:tcW w:w="781" w:type="pct"/>
            <w:vAlign w:val="center"/>
          </w:tcPr>
          <w:p w:rsidR="00BD272A" w:rsidRPr="003B3314" w:rsidRDefault="00BD272A" w:rsidP="00B84CAE">
            <w:pPr>
              <w:pStyle w:val="Tabletext"/>
              <w:keepNext/>
              <w:jc w:val="center"/>
              <w:rPr>
                <w:szCs w:val="20"/>
              </w:rPr>
            </w:pPr>
            <w:r>
              <w:rPr>
                <w:szCs w:val="20"/>
              </w:rPr>
              <w:t>-0.7 (0.7)</w:t>
            </w:r>
          </w:p>
        </w:tc>
        <w:tc>
          <w:tcPr>
            <w:tcW w:w="781" w:type="pct"/>
            <w:gridSpan w:val="2"/>
            <w:vAlign w:val="center"/>
          </w:tcPr>
          <w:p w:rsidR="00BD272A" w:rsidRPr="003B3314" w:rsidRDefault="00BD272A" w:rsidP="00B84CAE">
            <w:pPr>
              <w:pStyle w:val="Tabletext"/>
              <w:keepNext/>
              <w:jc w:val="center"/>
              <w:rPr>
                <w:szCs w:val="20"/>
              </w:rPr>
            </w:pPr>
            <w:r>
              <w:rPr>
                <w:szCs w:val="20"/>
              </w:rPr>
              <w:t>-0.7 (0.8)</w:t>
            </w:r>
          </w:p>
        </w:tc>
        <w:tc>
          <w:tcPr>
            <w:tcW w:w="782" w:type="pct"/>
            <w:vAlign w:val="center"/>
          </w:tcPr>
          <w:p w:rsidR="00BD272A" w:rsidRPr="00477D51" w:rsidRDefault="00BD272A" w:rsidP="00B84CAE">
            <w:pPr>
              <w:pStyle w:val="Tabletext"/>
              <w:keepNext/>
              <w:jc w:val="center"/>
            </w:pPr>
            <w:r>
              <w:rPr>
                <w:szCs w:val="20"/>
              </w:rPr>
              <w:t>-0.5 (0.7)</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t>LS mean (95% CI)</w:t>
            </w:r>
          </w:p>
        </w:tc>
        <w:tc>
          <w:tcPr>
            <w:tcW w:w="781" w:type="pct"/>
            <w:vAlign w:val="center"/>
          </w:tcPr>
          <w:p w:rsidR="00BD272A" w:rsidRPr="003B3314" w:rsidRDefault="00BD272A" w:rsidP="00B84CAE">
            <w:pPr>
              <w:pStyle w:val="Tabletext"/>
              <w:keepNext/>
              <w:jc w:val="center"/>
              <w:rPr>
                <w:szCs w:val="20"/>
              </w:rPr>
            </w:pPr>
            <w:r>
              <w:rPr>
                <w:szCs w:val="20"/>
              </w:rPr>
              <w:t>-0.7 (-0.8, 0.5)</w:t>
            </w:r>
          </w:p>
        </w:tc>
        <w:tc>
          <w:tcPr>
            <w:tcW w:w="781" w:type="pct"/>
            <w:gridSpan w:val="2"/>
            <w:vAlign w:val="center"/>
          </w:tcPr>
          <w:p w:rsidR="00BD272A" w:rsidRPr="00CD5F89" w:rsidRDefault="00BD272A" w:rsidP="00B84CAE">
            <w:pPr>
              <w:pStyle w:val="Tabletext"/>
              <w:keepNext/>
              <w:jc w:val="center"/>
              <w:rPr>
                <w:b/>
                <w:bCs/>
                <w:szCs w:val="20"/>
              </w:rPr>
            </w:pPr>
            <w:r w:rsidRPr="00CD5F89">
              <w:rPr>
                <w:b/>
                <w:bCs/>
                <w:szCs w:val="20"/>
              </w:rPr>
              <w:t>-0.6 (-0.8, -0.4)</w:t>
            </w:r>
          </w:p>
        </w:tc>
        <w:tc>
          <w:tcPr>
            <w:tcW w:w="782" w:type="pct"/>
            <w:vAlign w:val="center"/>
          </w:tcPr>
          <w:p w:rsidR="00BD272A" w:rsidRPr="00477D51" w:rsidRDefault="00BD272A" w:rsidP="00B84CAE">
            <w:pPr>
              <w:pStyle w:val="Tabletext"/>
              <w:keepNext/>
              <w:jc w:val="center"/>
            </w:pPr>
            <w:r>
              <w:rPr>
                <w:szCs w:val="20"/>
              </w:rPr>
              <w:t>-0.5 (-0.6, 0.3)</w:t>
            </w:r>
          </w:p>
        </w:tc>
      </w:tr>
      <w:tr w:rsidR="00BD272A" w:rsidRPr="00B1011F" w:rsidTr="00E30A25">
        <w:tc>
          <w:tcPr>
            <w:tcW w:w="2656" w:type="pct"/>
            <w:vAlign w:val="center"/>
          </w:tcPr>
          <w:p w:rsidR="00BD272A" w:rsidRPr="00754544" w:rsidRDefault="00BD272A" w:rsidP="00B84CAE">
            <w:pPr>
              <w:pStyle w:val="Tabletext"/>
              <w:keepNext/>
              <w:rPr>
                <w:b/>
                <w:bCs/>
                <w:szCs w:val="20"/>
              </w:rPr>
            </w:pPr>
            <w:r w:rsidRPr="00754544">
              <w:rPr>
                <w:b/>
                <w:bCs/>
                <w:szCs w:val="20"/>
              </w:rPr>
              <w:t>Comparison to placebo</w:t>
            </w:r>
          </w:p>
        </w:tc>
        <w:tc>
          <w:tcPr>
            <w:tcW w:w="781" w:type="pct"/>
            <w:vAlign w:val="center"/>
          </w:tcPr>
          <w:p w:rsidR="00BD272A" w:rsidRPr="003B3314" w:rsidRDefault="00BD272A" w:rsidP="00B84CAE">
            <w:pPr>
              <w:pStyle w:val="Tabletext"/>
              <w:keepNext/>
              <w:jc w:val="center"/>
              <w:rPr>
                <w:szCs w:val="20"/>
              </w:rPr>
            </w:pPr>
          </w:p>
        </w:tc>
        <w:tc>
          <w:tcPr>
            <w:tcW w:w="781" w:type="pct"/>
            <w:gridSpan w:val="2"/>
            <w:vAlign w:val="center"/>
          </w:tcPr>
          <w:p w:rsidR="00BD272A" w:rsidRPr="003B3314" w:rsidRDefault="00BD272A" w:rsidP="00B84CAE">
            <w:pPr>
              <w:pStyle w:val="Tabletext"/>
              <w:keepNext/>
              <w:jc w:val="center"/>
              <w:rPr>
                <w:szCs w:val="20"/>
              </w:rPr>
            </w:pPr>
          </w:p>
        </w:tc>
        <w:tc>
          <w:tcPr>
            <w:tcW w:w="782" w:type="pct"/>
            <w:vAlign w:val="center"/>
          </w:tcPr>
          <w:p w:rsidR="00BD272A" w:rsidRPr="00477D51" w:rsidRDefault="00BD272A" w:rsidP="00B84CAE">
            <w:pPr>
              <w:pStyle w:val="Tabletext"/>
              <w:keepNext/>
              <w:jc w:val="center"/>
            </w:pPr>
          </w:p>
        </w:tc>
      </w:tr>
      <w:tr w:rsidR="00BD272A" w:rsidRPr="00B1011F" w:rsidTr="00E30A25">
        <w:tc>
          <w:tcPr>
            <w:tcW w:w="2656" w:type="pct"/>
            <w:vAlign w:val="center"/>
          </w:tcPr>
          <w:p w:rsidR="00BD272A" w:rsidRPr="003B3314" w:rsidRDefault="00BD272A" w:rsidP="00B84CAE">
            <w:pPr>
              <w:pStyle w:val="Tabletext"/>
              <w:keepNext/>
              <w:ind w:left="104"/>
              <w:rPr>
                <w:szCs w:val="20"/>
              </w:rPr>
            </w:pPr>
            <w:r>
              <w:t>LS mean (95% CI)</w:t>
            </w:r>
          </w:p>
        </w:tc>
        <w:tc>
          <w:tcPr>
            <w:tcW w:w="781" w:type="pct"/>
            <w:vAlign w:val="center"/>
          </w:tcPr>
          <w:p w:rsidR="00BD272A" w:rsidRPr="003B3314" w:rsidRDefault="00BD272A" w:rsidP="00B84CAE">
            <w:pPr>
              <w:pStyle w:val="Tabletext"/>
              <w:keepNext/>
              <w:jc w:val="center"/>
              <w:rPr>
                <w:szCs w:val="20"/>
              </w:rPr>
            </w:pPr>
            <w:r>
              <w:rPr>
                <w:szCs w:val="20"/>
              </w:rPr>
              <w:t>-0.2 (-0.4, 0.00)</w:t>
            </w:r>
          </w:p>
        </w:tc>
        <w:tc>
          <w:tcPr>
            <w:tcW w:w="781" w:type="pct"/>
            <w:gridSpan w:val="2"/>
            <w:vAlign w:val="center"/>
          </w:tcPr>
          <w:p w:rsidR="00BD272A" w:rsidRPr="003B3314" w:rsidRDefault="00BD272A" w:rsidP="00B84CAE">
            <w:pPr>
              <w:pStyle w:val="Tabletext"/>
              <w:keepNext/>
              <w:jc w:val="center"/>
              <w:rPr>
                <w:szCs w:val="20"/>
              </w:rPr>
            </w:pPr>
            <w:r>
              <w:rPr>
                <w:szCs w:val="20"/>
              </w:rPr>
              <w:t>-0.1 (-0.4, 0.1)</w:t>
            </w:r>
          </w:p>
        </w:tc>
        <w:tc>
          <w:tcPr>
            <w:tcW w:w="782" w:type="pct"/>
            <w:vAlign w:val="center"/>
          </w:tcPr>
          <w:p w:rsidR="00BD272A" w:rsidRPr="00477D51" w:rsidRDefault="00BD272A" w:rsidP="00B84CAE">
            <w:pPr>
              <w:pStyle w:val="Tabletext"/>
              <w:keepNext/>
              <w:jc w:val="center"/>
            </w:pPr>
            <w:r>
              <w:rPr>
                <w:szCs w:val="20"/>
              </w:rPr>
              <w:t>NA</w:t>
            </w:r>
          </w:p>
        </w:tc>
      </w:tr>
      <w:tr w:rsidR="00BD272A" w:rsidRPr="00B1011F" w:rsidTr="00E30A25">
        <w:tc>
          <w:tcPr>
            <w:tcW w:w="2656" w:type="pct"/>
            <w:vAlign w:val="center"/>
          </w:tcPr>
          <w:p w:rsidR="00BD272A" w:rsidRPr="003B3314" w:rsidRDefault="00BD272A" w:rsidP="00B84CAE">
            <w:pPr>
              <w:pStyle w:val="Tabletext"/>
              <w:keepNext/>
              <w:ind w:left="104"/>
              <w:rPr>
                <w:szCs w:val="20"/>
              </w:rPr>
            </w:pPr>
            <w:r>
              <w:t>p-value</w:t>
            </w:r>
          </w:p>
        </w:tc>
        <w:tc>
          <w:tcPr>
            <w:tcW w:w="781" w:type="pct"/>
            <w:vAlign w:val="center"/>
          </w:tcPr>
          <w:p w:rsidR="00BD272A" w:rsidRPr="003B3314" w:rsidRDefault="00BD272A" w:rsidP="00B84CAE">
            <w:pPr>
              <w:pStyle w:val="Tabletext"/>
              <w:keepNext/>
              <w:jc w:val="center"/>
              <w:rPr>
                <w:szCs w:val="20"/>
              </w:rPr>
            </w:pPr>
            <w:r>
              <w:rPr>
                <w:szCs w:val="20"/>
              </w:rPr>
              <w:t>0.0772</w:t>
            </w:r>
          </w:p>
        </w:tc>
        <w:tc>
          <w:tcPr>
            <w:tcW w:w="781" w:type="pct"/>
            <w:gridSpan w:val="2"/>
            <w:vAlign w:val="center"/>
          </w:tcPr>
          <w:p w:rsidR="00BD272A" w:rsidRPr="003B3314" w:rsidRDefault="00BD272A" w:rsidP="00B84CAE">
            <w:pPr>
              <w:pStyle w:val="Tabletext"/>
              <w:keepNext/>
              <w:jc w:val="center"/>
              <w:rPr>
                <w:szCs w:val="20"/>
              </w:rPr>
            </w:pPr>
            <w:r>
              <w:rPr>
                <w:szCs w:val="20"/>
              </w:rPr>
              <w:t>0.2560</w:t>
            </w:r>
          </w:p>
        </w:tc>
        <w:tc>
          <w:tcPr>
            <w:tcW w:w="782" w:type="pct"/>
            <w:vAlign w:val="center"/>
          </w:tcPr>
          <w:p w:rsidR="00BD272A" w:rsidRPr="00477D51" w:rsidRDefault="00BD272A" w:rsidP="00B84CAE">
            <w:pPr>
              <w:pStyle w:val="Tabletext"/>
              <w:keepNext/>
              <w:jc w:val="center"/>
            </w:pPr>
            <w:r>
              <w:rPr>
                <w:szCs w:val="20"/>
              </w:rPr>
              <w:t>NA</w:t>
            </w:r>
          </w:p>
        </w:tc>
      </w:tr>
      <w:tr w:rsidR="00BD272A" w:rsidRPr="00B1011F" w:rsidTr="00B84CAE">
        <w:tc>
          <w:tcPr>
            <w:tcW w:w="5000" w:type="pct"/>
            <w:gridSpan w:val="5"/>
            <w:shd w:val="clear" w:color="auto" w:fill="F2F2F2" w:themeFill="background1" w:themeFillShade="F2"/>
            <w:vAlign w:val="center"/>
          </w:tcPr>
          <w:p w:rsidR="00BD272A" w:rsidRPr="00477D51" w:rsidRDefault="00BD272A" w:rsidP="00B84CAE">
            <w:pPr>
              <w:pStyle w:val="Tabletext"/>
              <w:keepNext/>
            </w:pPr>
            <w:r>
              <w:rPr>
                <w:b/>
                <w:bCs/>
                <w:szCs w:val="20"/>
              </w:rPr>
              <w:t>D</w:t>
            </w:r>
            <w:r w:rsidRPr="00C42540">
              <w:rPr>
                <w:b/>
                <w:bCs/>
                <w:szCs w:val="20"/>
              </w:rPr>
              <w:t>AS responders at Week</w:t>
            </w:r>
            <w:r>
              <w:rPr>
                <w:b/>
                <w:bCs/>
                <w:szCs w:val="20"/>
              </w:rPr>
              <w:t>s</w:t>
            </w:r>
            <w:r w:rsidRPr="00C42540">
              <w:rPr>
                <w:b/>
                <w:bCs/>
                <w:szCs w:val="20"/>
              </w:rPr>
              <w:t xml:space="preserve"> 4</w:t>
            </w:r>
            <w:r>
              <w:rPr>
                <w:b/>
                <w:bCs/>
                <w:szCs w:val="20"/>
              </w:rPr>
              <w:t xml:space="preserve"> and 12 (reduction ≥</w:t>
            </w:r>
            <w:r w:rsidR="00762B95">
              <w:rPr>
                <w:b/>
                <w:bCs/>
                <w:szCs w:val="20"/>
              </w:rPr>
              <w:t xml:space="preserve"> </w:t>
            </w:r>
            <w:r w:rsidRPr="00C42540">
              <w:rPr>
                <w:b/>
                <w:bCs/>
                <w:szCs w:val="20"/>
              </w:rPr>
              <w:t>1 or more)</w:t>
            </w:r>
            <w:r>
              <w:rPr>
                <w:b/>
                <w:bCs/>
                <w:szCs w:val="20"/>
              </w:rPr>
              <w:t xml:space="preserve"> - ITT</w:t>
            </w:r>
          </w:p>
        </w:tc>
      </w:tr>
      <w:tr w:rsidR="00BD272A" w:rsidRPr="00B1011F" w:rsidTr="00E30A25">
        <w:tc>
          <w:tcPr>
            <w:tcW w:w="2656" w:type="pct"/>
            <w:vAlign w:val="center"/>
          </w:tcPr>
          <w:p w:rsidR="00BD272A" w:rsidRDefault="00BD272A" w:rsidP="00B84CAE">
            <w:pPr>
              <w:pStyle w:val="Tabletext"/>
              <w:keepNext/>
              <w:ind w:left="104"/>
            </w:pPr>
            <w:r>
              <w:t>Responders at Week 4, n</w:t>
            </w:r>
            <w:r w:rsidR="00B84CAE">
              <w:t xml:space="preserve"> </w:t>
            </w:r>
            <w:r>
              <w:t>(%)</w:t>
            </w:r>
          </w:p>
        </w:tc>
        <w:tc>
          <w:tcPr>
            <w:tcW w:w="781" w:type="pct"/>
            <w:vAlign w:val="center"/>
          </w:tcPr>
          <w:p w:rsidR="00BD272A" w:rsidRDefault="00BD272A" w:rsidP="00B84CAE">
            <w:pPr>
              <w:pStyle w:val="Tabletext"/>
              <w:keepNext/>
              <w:jc w:val="center"/>
              <w:rPr>
                <w:szCs w:val="20"/>
              </w:rPr>
            </w:pPr>
            <w:r>
              <w:rPr>
                <w:szCs w:val="20"/>
              </w:rPr>
              <w:t>49 (62.0</w:t>
            </w:r>
            <w:r w:rsidR="00B84CAE">
              <w:rPr>
                <w:szCs w:val="20"/>
              </w:rPr>
              <w:t>%</w:t>
            </w:r>
            <w:r>
              <w:rPr>
                <w:szCs w:val="20"/>
              </w:rPr>
              <w:t>)</w:t>
            </w:r>
          </w:p>
        </w:tc>
        <w:tc>
          <w:tcPr>
            <w:tcW w:w="781" w:type="pct"/>
            <w:gridSpan w:val="2"/>
            <w:vAlign w:val="center"/>
          </w:tcPr>
          <w:p w:rsidR="00BD272A" w:rsidRDefault="00BD272A" w:rsidP="00B84CAE">
            <w:pPr>
              <w:pStyle w:val="Tabletext"/>
              <w:keepNext/>
              <w:jc w:val="center"/>
              <w:rPr>
                <w:szCs w:val="20"/>
              </w:rPr>
            </w:pPr>
            <w:r>
              <w:rPr>
                <w:szCs w:val="20"/>
              </w:rPr>
              <w:t>40 (50.0</w:t>
            </w:r>
            <w:r w:rsidR="00B84CAE">
              <w:rPr>
                <w:szCs w:val="20"/>
              </w:rPr>
              <w:t>%</w:t>
            </w:r>
            <w:r>
              <w:rPr>
                <w:szCs w:val="20"/>
              </w:rPr>
              <w:t>)</w:t>
            </w:r>
          </w:p>
        </w:tc>
        <w:tc>
          <w:tcPr>
            <w:tcW w:w="782" w:type="pct"/>
            <w:vAlign w:val="center"/>
          </w:tcPr>
          <w:p w:rsidR="00BD272A" w:rsidRPr="00477D51" w:rsidRDefault="00BD272A" w:rsidP="00B84CAE">
            <w:pPr>
              <w:pStyle w:val="Tabletext"/>
              <w:keepNext/>
              <w:jc w:val="center"/>
            </w:pPr>
            <w:r>
              <w:rPr>
                <w:szCs w:val="20"/>
              </w:rPr>
              <w:t>31 (39.2</w:t>
            </w:r>
            <w:r w:rsidR="00B84CAE">
              <w:rPr>
                <w:szCs w:val="20"/>
              </w:rPr>
              <w:t>%</w:t>
            </w:r>
            <w:r>
              <w:rPr>
                <w:szCs w:val="20"/>
              </w:rPr>
              <w:t>)</w:t>
            </w:r>
          </w:p>
        </w:tc>
      </w:tr>
      <w:tr w:rsidR="00BD272A" w:rsidRPr="00B84CAE" w:rsidTr="00E30A25">
        <w:tc>
          <w:tcPr>
            <w:tcW w:w="2656" w:type="pct"/>
            <w:vAlign w:val="center"/>
          </w:tcPr>
          <w:p w:rsidR="00BD272A" w:rsidRPr="00B84CAE" w:rsidRDefault="00BD272A" w:rsidP="00B84CAE">
            <w:pPr>
              <w:pStyle w:val="Tabletext"/>
              <w:keepNext/>
              <w:ind w:left="104"/>
              <w:rPr>
                <w:iCs/>
              </w:rPr>
            </w:pPr>
            <w:r w:rsidRPr="00B84CAE">
              <w:rPr>
                <w:iCs/>
              </w:rPr>
              <w:t>Risk difference (95% CI)</w:t>
            </w:r>
          </w:p>
        </w:tc>
        <w:tc>
          <w:tcPr>
            <w:tcW w:w="781" w:type="pct"/>
            <w:vAlign w:val="center"/>
          </w:tcPr>
          <w:p w:rsidR="00BD272A" w:rsidRPr="00B84CAE" w:rsidRDefault="00BD272A" w:rsidP="00B84CAE">
            <w:pPr>
              <w:pStyle w:val="Tabletext"/>
              <w:keepNext/>
              <w:jc w:val="center"/>
              <w:rPr>
                <w:b/>
                <w:bCs/>
                <w:iCs/>
                <w:szCs w:val="20"/>
              </w:rPr>
            </w:pPr>
            <w:r w:rsidRPr="00B84CAE">
              <w:rPr>
                <w:b/>
                <w:bCs/>
                <w:iCs/>
                <w:szCs w:val="20"/>
              </w:rPr>
              <w:t>0.23 (0.08. 0.38)</w:t>
            </w:r>
          </w:p>
        </w:tc>
        <w:tc>
          <w:tcPr>
            <w:tcW w:w="781" w:type="pct"/>
            <w:gridSpan w:val="2"/>
            <w:vAlign w:val="center"/>
          </w:tcPr>
          <w:p w:rsidR="00BD272A" w:rsidRPr="00B84CAE" w:rsidRDefault="00BD272A" w:rsidP="00B84CAE">
            <w:pPr>
              <w:pStyle w:val="Tabletext"/>
              <w:keepNext/>
              <w:jc w:val="center"/>
              <w:rPr>
                <w:iCs/>
                <w:szCs w:val="20"/>
              </w:rPr>
            </w:pPr>
            <w:r w:rsidRPr="00B84CAE">
              <w:rPr>
                <w:iCs/>
                <w:szCs w:val="20"/>
              </w:rPr>
              <w:t>0.11 (-0.05, 0.26)</w:t>
            </w:r>
          </w:p>
        </w:tc>
        <w:tc>
          <w:tcPr>
            <w:tcW w:w="782" w:type="pct"/>
            <w:vAlign w:val="center"/>
          </w:tcPr>
          <w:p w:rsidR="00BD272A" w:rsidRPr="00B84CAE" w:rsidRDefault="00BD272A" w:rsidP="00B84CAE">
            <w:pPr>
              <w:pStyle w:val="Tabletext"/>
              <w:keepNext/>
              <w:jc w:val="center"/>
            </w:pPr>
            <w:r w:rsidRPr="00B84CAE">
              <w:rPr>
                <w:szCs w:val="20"/>
              </w:rPr>
              <w:t>NA</w:t>
            </w:r>
          </w:p>
        </w:tc>
      </w:tr>
      <w:tr w:rsidR="00BD272A" w:rsidRPr="00B1011F" w:rsidTr="00E30A25">
        <w:tc>
          <w:tcPr>
            <w:tcW w:w="2656" w:type="pct"/>
            <w:vAlign w:val="center"/>
          </w:tcPr>
          <w:p w:rsidR="00BD272A" w:rsidRDefault="00BD272A" w:rsidP="00B84CAE">
            <w:pPr>
              <w:pStyle w:val="Tabletext"/>
              <w:keepNext/>
              <w:ind w:left="104"/>
            </w:pPr>
            <w:r>
              <w:t>p-value (versus placebo)</w:t>
            </w:r>
          </w:p>
        </w:tc>
        <w:tc>
          <w:tcPr>
            <w:tcW w:w="781" w:type="pct"/>
            <w:vAlign w:val="center"/>
          </w:tcPr>
          <w:p w:rsidR="00BD272A" w:rsidRPr="00477BE5" w:rsidRDefault="00BD272A" w:rsidP="00B84CAE">
            <w:pPr>
              <w:pStyle w:val="Tabletext"/>
              <w:keepNext/>
              <w:jc w:val="center"/>
              <w:rPr>
                <w:b/>
                <w:bCs/>
                <w:szCs w:val="20"/>
              </w:rPr>
            </w:pPr>
            <w:r w:rsidRPr="00477BE5">
              <w:rPr>
                <w:b/>
                <w:bCs/>
                <w:szCs w:val="20"/>
              </w:rPr>
              <w:t>0.0018</w:t>
            </w:r>
          </w:p>
        </w:tc>
        <w:tc>
          <w:tcPr>
            <w:tcW w:w="781" w:type="pct"/>
            <w:gridSpan w:val="2"/>
            <w:vAlign w:val="center"/>
          </w:tcPr>
          <w:p w:rsidR="00BD272A" w:rsidRDefault="00BD272A" w:rsidP="00B84CAE">
            <w:pPr>
              <w:pStyle w:val="Tabletext"/>
              <w:keepNext/>
              <w:jc w:val="center"/>
              <w:rPr>
                <w:szCs w:val="20"/>
              </w:rPr>
            </w:pPr>
            <w:r>
              <w:rPr>
                <w:szCs w:val="20"/>
              </w:rPr>
              <w:t>0.1279</w:t>
            </w:r>
          </w:p>
        </w:tc>
        <w:tc>
          <w:tcPr>
            <w:tcW w:w="782" w:type="pct"/>
            <w:vAlign w:val="center"/>
          </w:tcPr>
          <w:p w:rsidR="00BD272A" w:rsidRPr="00477D51" w:rsidRDefault="00BD272A" w:rsidP="00B84CAE">
            <w:pPr>
              <w:pStyle w:val="Tabletext"/>
              <w:keepNext/>
              <w:jc w:val="center"/>
            </w:pPr>
            <w:r>
              <w:rPr>
                <w:szCs w:val="20"/>
              </w:rPr>
              <w:t>NA</w:t>
            </w:r>
          </w:p>
        </w:tc>
      </w:tr>
      <w:tr w:rsidR="00BD272A" w:rsidRPr="00B1011F" w:rsidTr="00E30A25">
        <w:tc>
          <w:tcPr>
            <w:tcW w:w="2656" w:type="pct"/>
            <w:vAlign w:val="center"/>
          </w:tcPr>
          <w:p w:rsidR="00BD272A" w:rsidRDefault="00BD272A" w:rsidP="00B84CAE">
            <w:pPr>
              <w:pStyle w:val="Tabletext"/>
              <w:keepNext/>
              <w:ind w:left="104"/>
            </w:pPr>
            <w:r>
              <w:t>Responders at Week 12, n</w:t>
            </w:r>
            <w:r w:rsidR="00B84CAE">
              <w:t xml:space="preserve"> </w:t>
            </w:r>
            <w:r>
              <w:t>(%)</w:t>
            </w:r>
          </w:p>
        </w:tc>
        <w:tc>
          <w:tcPr>
            <w:tcW w:w="781" w:type="pct"/>
            <w:vAlign w:val="center"/>
          </w:tcPr>
          <w:p w:rsidR="00BD272A" w:rsidRPr="006D30A3" w:rsidRDefault="00BD272A" w:rsidP="00B84CAE">
            <w:pPr>
              <w:pStyle w:val="Tabletext"/>
              <w:keepNext/>
              <w:jc w:val="center"/>
              <w:rPr>
                <w:szCs w:val="20"/>
              </w:rPr>
            </w:pPr>
            <w:r w:rsidRPr="006D30A3">
              <w:rPr>
                <w:szCs w:val="20"/>
              </w:rPr>
              <w:t>44 (55.7</w:t>
            </w:r>
            <w:r w:rsidR="00B84CAE">
              <w:rPr>
                <w:szCs w:val="20"/>
              </w:rPr>
              <w:t>%</w:t>
            </w:r>
            <w:r w:rsidRPr="006D30A3">
              <w:rPr>
                <w:szCs w:val="20"/>
              </w:rPr>
              <w:t>)</w:t>
            </w:r>
          </w:p>
        </w:tc>
        <w:tc>
          <w:tcPr>
            <w:tcW w:w="781" w:type="pct"/>
            <w:gridSpan w:val="2"/>
            <w:vAlign w:val="center"/>
          </w:tcPr>
          <w:p w:rsidR="00BD272A" w:rsidRDefault="00BD272A" w:rsidP="00B84CAE">
            <w:pPr>
              <w:pStyle w:val="Tabletext"/>
              <w:keepNext/>
              <w:jc w:val="center"/>
              <w:rPr>
                <w:szCs w:val="20"/>
              </w:rPr>
            </w:pPr>
            <w:r>
              <w:rPr>
                <w:szCs w:val="20"/>
              </w:rPr>
              <w:t>33 (41.3</w:t>
            </w:r>
            <w:r w:rsidR="00B84CAE">
              <w:rPr>
                <w:szCs w:val="20"/>
              </w:rPr>
              <w:t>%</w:t>
            </w:r>
            <w:r>
              <w:rPr>
                <w:szCs w:val="20"/>
              </w:rPr>
              <w:t>)</w:t>
            </w:r>
          </w:p>
        </w:tc>
        <w:tc>
          <w:tcPr>
            <w:tcW w:w="782" w:type="pct"/>
            <w:vAlign w:val="center"/>
          </w:tcPr>
          <w:p w:rsidR="00BD272A" w:rsidRDefault="00BD272A" w:rsidP="00B84CAE">
            <w:pPr>
              <w:pStyle w:val="Tabletext"/>
              <w:keepNext/>
              <w:jc w:val="center"/>
              <w:rPr>
                <w:szCs w:val="20"/>
              </w:rPr>
            </w:pPr>
            <w:r>
              <w:rPr>
                <w:szCs w:val="20"/>
              </w:rPr>
              <w:t>26 (32.9</w:t>
            </w:r>
            <w:r w:rsidR="00B84CAE">
              <w:rPr>
                <w:szCs w:val="20"/>
              </w:rPr>
              <w:t>%</w:t>
            </w:r>
            <w:r>
              <w:rPr>
                <w:szCs w:val="20"/>
              </w:rPr>
              <w:t>)</w:t>
            </w:r>
          </w:p>
        </w:tc>
      </w:tr>
      <w:tr w:rsidR="00BD272A" w:rsidRPr="00B84CAE" w:rsidTr="00E30A25">
        <w:tc>
          <w:tcPr>
            <w:tcW w:w="2656" w:type="pct"/>
            <w:vAlign w:val="center"/>
          </w:tcPr>
          <w:p w:rsidR="00BD272A" w:rsidRPr="00B84CAE" w:rsidRDefault="00BD272A" w:rsidP="00B84CAE">
            <w:pPr>
              <w:pStyle w:val="Tabletext"/>
              <w:keepNext/>
              <w:ind w:left="104"/>
            </w:pPr>
            <w:r w:rsidRPr="00B84CAE">
              <w:rPr>
                <w:iCs/>
              </w:rPr>
              <w:t>Risk difference (95% CI)</w:t>
            </w:r>
          </w:p>
        </w:tc>
        <w:tc>
          <w:tcPr>
            <w:tcW w:w="781" w:type="pct"/>
            <w:vAlign w:val="center"/>
          </w:tcPr>
          <w:p w:rsidR="00BD272A" w:rsidRPr="00B84CAE" w:rsidRDefault="00BD272A" w:rsidP="00B84CAE">
            <w:pPr>
              <w:pStyle w:val="Tabletext"/>
              <w:keepNext/>
              <w:jc w:val="center"/>
              <w:rPr>
                <w:b/>
                <w:bCs/>
                <w:iCs/>
                <w:szCs w:val="20"/>
              </w:rPr>
            </w:pPr>
            <w:r w:rsidRPr="00B84CAE">
              <w:rPr>
                <w:b/>
                <w:bCs/>
                <w:iCs/>
                <w:szCs w:val="20"/>
              </w:rPr>
              <w:t>0.23 (0.08, 0.39)</w:t>
            </w:r>
          </w:p>
        </w:tc>
        <w:tc>
          <w:tcPr>
            <w:tcW w:w="781" w:type="pct"/>
            <w:gridSpan w:val="2"/>
            <w:vAlign w:val="center"/>
          </w:tcPr>
          <w:p w:rsidR="00BD272A" w:rsidRPr="00B84CAE" w:rsidRDefault="00BD272A" w:rsidP="00B84CAE">
            <w:pPr>
              <w:pStyle w:val="Tabletext"/>
              <w:keepNext/>
              <w:jc w:val="center"/>
              <w:rPr>
                <w:iCs/>
                <w:szCs w:val="20"/>
              </w:rPr>
            </w:pPr>
            <w:r w:rsidRPr="00B84CAE">
              <w:rPr>
                <w:iCs/>
                <w:szCs w:val="20"/>
              </w:rPr>
              <w:t>0.08 (-0.07, 0.23)</w:t>
            </w:r>
          </w:p>
        </w:tc>
        <w:tc>
          <w:tcPr>
            <w:tcW w:w="782" w:type="pct"/>
            <w:vAlign w:val="center"/>
          </w:tcPr>
          <w:p w:rsidR="00BD272A" w:rsidRPr="00B84CAE" w:rsidRDefault="00BD272A" w:rsidP="00B84CAE">
            <w:pPr>
              <w:pStyle w:val="Tabletext"/>
              <w:keepNext/>
              <w:jc w:val="center"/>
              <w:rPr>
                <w:szCs w:val="20"/>
              </w:rPr>
            </w:pPr>
            <w:r w:rsidRPr="00B84CAE">
              <w:rPr>
                <w:szCs w:val="20"/>
              </w:rPr>
              <w:t>NA</w:t>
            </w:r>
          </w:p>
        </w:tc>
      </w:tr>
      <w:tr w:rsidR="00BD272A" w:rsidRPr="00B1011F" w:rsidTr="00E30A25">
        <w:tc>
          <w:tcPr>
            <w:tcW w:w="2656" w:type="pct"/>
            <w:vAlign w:val="center"/>
          </w:tcPr>
          <w:p w:rsidR="00BD272A" w:rsidRDefault="00BD272A" w:rsidP="00B84CAE">
            <w:pPr>
              <w:pStyle w:val="Tabletext"/>
              <w:keepNext/>
              <w:ind w:left="104"/>
            </w:pPr>
            <w:r>
              <w:t>p-value (versus placebo)</w:t>
            </w:r>
          </w:p>
        </w:tc>
        <w:tc>
          <w:tcPr>
            <w:tcW w:w="781" w:type="pct"/>
            <w:vAlign w:val="center"/>
          </w:tcPr>
          <w:p w:rsidR="00BD272A" w:rsidRPr="00477BE5" w:rsidRDefault="00BD272A" w:rsidP="00B84CAE">
            <w:pPr>
              <w:pStyle w:val="Tabletext"/>
              <w:keepNext/>
              <w:jc w:val="center"/>
              <w:rPr>
                <w:b/>
                <w:bCs/>
                <w:szCs w:val="20"/>
              </w:rPr>
            </w:pPr>
            <w:r>
              <w:rPr>
                <w:b/>
                <w:bCs/>
                <w:szCs w:val="20"/>
              </w:rPr>
              <w:t>0.0004</w:t>
            </w:r>
          </w:p>
        </w:tc>
        <w:tc>
          <w:tcPr>
            <w:tcW w:w="781" w:type="pct"/>
            <w:gridSpan w:val="2"/>
            <w:vAlign w:val="center"/>
          </w:tcPr>
          <w:p w:rsidR="00BD272A" w:rsidRDefault="00BD272A" w:rsidP="00B84CAE">
            <w:pPr>
              <w:pStyle w:val="Tabletext"/>
              <w:keepNext/>
              <w:jc w:val="center"/>
              <w:rPr>
                <w:szCs w:val="20"/>
              </w:rPr>
            </w:pPr>
            <w:r>
              <w:rPr>
                <w:szCs w:val="20"/>
              </w:rPr>
              <w:t>0.1053</w:t>
            </w:r>
          </w:p>
        </w:tc>
        <w:tc>
          <w:tcPr>
            <w:tcW w:w="782" w:type="pct"/>
            <w:vAlign w:val="center"/>
          </w:tcPr>
          <w:p w:rsidR="00BD272A" w:rsidRDefault="00BD272A" w:rsidP="00B84CAE">
            <w:pPr>
              <w:pStyle w:val="Tabletext"/>
              <w:keepNext/>
              <w:jc w:val="center"/>
              <w:rPr>
                <w:szCs w:val="20"/>
              </w:rPr>
            </w:pPr>
            <w:r>
              <w:rPr>
                <w:szCs w:val="20"/>
              </w:rPr>
              <w:t>NA</w:t>
            </w:r>
          </w:p>
        </w:tc>
      </w:tr>
      <w:tr w:rsidR="00BD272A" w:rsidRPr="00B1011F" w:rsidTr="00E30A25">
        <w:tc>
          <w:tcPr>
            <w:tcW w:w="5000" w:type="pct"/>
            <w:gridSpan w:val="5"/>
            <w:vAlign w:val="center"/>
          </w:tcPr>
          <w:p w:rsidR="00BD272A" w:rsidRPr="00477D51" w:rsidRDefault="00BD272A" w:rsidP="00B84CAE">
            <w:pPr>
              <w:pStyle w:val="Tabletext"/>
              <w:keepNext/>
            </w:pPr>
            <w:r w:rsidRPr="00197D34">
              <w:rPr>
                <w:b/>
                <w:bCs/>
              </w:rPr>
              <w:t xml:space="preserve">Subgroup analysis: </w:t>
            </w:r>
            <w:r>
              <w:rPr>
                <w:b/>
                <w:bCs/>
              </w:rPr>
              <w:t>TBI patients</w:t>
            </w:r>
          </w:p>
        </w:tc>
      </w:tr>
      <w:tr w:rsidR="00BD272A" w:rsidRPr="00B1011F" w:rsidTr="00E30A25">
        <w:tc>
          <w:tcPr>
            <w:tcW w:w="2656" w:type="pct"/>
            <w:vAlign w:val="center"/>
          </w:tcPr>
          <w:p w:rsidR="00BD272A" w:rsidRDefault="00BD272A" w:rsidP="00B84CAE">
            <w:pPr>
              <w:pStyle w:val="Tabletext"/>
              <w:keepNext/>
              <w:ind w:left="104"/>
            </w:pPr>
            <w:r>
              <w:t>N</w:t>
            </w:r>
          </w:p>
        </w:tc>
        <w:tc>
          <w:tcPr>
            <w:tcW w:w="781" w:type="pct"/>
            <w:vAlign w:val="center"/>
          </w:tcPr>
          <w:p w:rsidR="00BD272A" w:rsidRDefault="00BD272A" w:rsidP="00B84CAE">
            <w:pPr>
              <w:pStyle w:val="Tabletext"/>
              <w:keepNext/>
              <w:jc w:val="center"/>
              <w:rPr>
                <w:szCs w:val="20"/>
              </w:rPr>
            </w:pPr>
            <w:r>
              <w:t>6</w:t>
            </w:r>
          </w:p>
        </w:tc>
        <w:tc>
          <w:tcPr>
            <w:tcW w:w="781" w:type="pct"/>
            <w:gridSpan w:val="2"/>
            <w:shd w:val="clear" w:color="auto" w:fill="FFFFFF"/>
            <w:vAlign w:val="center"/>
          </w:tcPr>
          <w:p w:rsidR="00BD272A" w:rsidRDefault="00BD272A" w:rsidP="00B84CAE">
            <w:pPr>
              <w:pStyle w:val="Tabletext"/>
              <w:keepNext/>
              <w:jc w:val="center"/>
              <w:rPr>
                <w:szCs w:val="20"/>
              </w:rPr>
            </w:pPr>
            <w:r>
              <w:t>8</w:t>
            </w:r>
          </w:p>
        </w:tc>
        <w:tc>
          <w:tcPr>
            <w:tcW w:w="782" w:type="pct"/>
            <w:shd w:val="clear" w:color="auto" w:fill="FFFFFF"/>
            <w:vAlign w:val="center"/>
          </w:tcPr>
          <w:p w:rsidR="00BD272A" w:rsidRPr="00477D51" w:rsidRDefault="00BD272A" w:rsidP="00B84CAE">
            <w:pPr>
              <w:pStyle w:val="Tabletext"/>
              <w:keepNext/>
              <w:jc w:val="center"/>
            </w:pPr>
            <w:r>
              <w:t>9</w:t>
            </w:r>
          </w:p>
        </w:tc>
      </w:tr>
      <w:tr w:rsidR="00BD272A" w:rsidRPr="00B1011F" w:rsidTr="00E30A25">
        <w:tc>
          <w:tcPr>
            <w:tcW w:w="2656" w:type="pct"/>
            <w:vAlign w:val="center"/>
          </w:tcPr>
          <w:p w:rsidR="00BD272A" w:rsidRDefault="00BD272A" w:rsidP="00B84CAE">
            <w:pPr>
              <w:pStyle w:val="Tabletext"/>
              <w:keepNext/>
              <w:ind w:left="104"/>
            </w:pPr>
            <w:r>
              <w:t>Responders at Week 4, n</w:t>
            </w:r>
            <w:r w:rsidR="00B84CAE">
              <w:t xml:space="preserve"> </w:t>
            </w:r>
            <w:r>
              <w:t>(%)</w:t>
            </w:r>
          </w:p>
        </w:tc>
        <w:tc>
          <w:tcPr>
            <w:tcW w:w="781" w:type="pct"/>
            <w:vAlign w:val="center"/>
          </w:tcPr>
          <w:p w:rsidR="00BD272A" w:rsidRDefault="00BD272A" w:rsidP="00B84CAE">
            <w:pPr>
              <w:pStyle w:val="Tabletext"/>
              <w:keepNext/>
              <w:jc w:val="center"/>
              <w:rPr>
                <w:szCs w:val="20"/>
              </w:rPr>
            </w:pPr>
            <w:r>
              <w:rPr>
                <w:szCs w:val="20"/>
              </w:rPr>
              <w:t>5 (83.3</w:t>
            </w:r>
            <w:r w:rsidR="00B84CAE">
              <w:rPr>
                <w:szCs w:val="20"/>
              </w:rPr>
              <w:t>%</w:t>
            </w:r>
            <w:r>
              <w:rPr>
                <w:szCs w:val="20"/>
              </w:rPr>
              <w:t>)</w:t>
            </w:r>
          </w:p>
        </w:tc>
        <w:tc>
          <w:tcPr>
            <w:tcW w:w="781" w:type="pct"/>
            <w:gridSpan w:val="2"/>
            <w:vAlign w:val="center"/>
          </w:tcPr>
          <w:p w:rsidR="00BD272A" w:rsidRDefault="00BD272A" w:rsidP="00B84CAE">
            <w:pPr>
              <w:pStyle w:val="Tabletext"/>
              <w:keepNext/>
              <w:jc w:val="center"/>
              <w:rPr>
                <w:szCs w:val="20"/>
              </w:rPr>
            </w:pPr>
            <w:r>
              <w:rPr>
                <w:szCs w:val="20"/>
              </w:rPr>
              <w:t>5 (62.5</w:t>
            </w:r>
            <w:r w:rsidR="00B84CAE">
              <w:rPr>
                <w:szCs w:val="20"/>
              </w:rPr>
              <w:t>%</w:t>
            </w:r>
            <w:r>
              <w:rPr>
                <w:szCs w:val="20"/>
              </w:rPr>
              <w:t>)</w:t>
            </w:r>
          </w:p>
        </w:tc>
        <w:tc>
          <w:tcPr>
            <w:tcW w:w="782" w:type="pct"/>
            <w:vAlign w:val="center"/>
          </w:tcPr>
          <w:p w:rsidR="00BD272A" w:rsidRPr="00477D51" w:rsidRDefault="00BD272A" w:rsidP="00B84CAE">
            <w:pPr>
              <w:pStyle w:val="Tabletext"/>
              <w:keepNext/>
              <w:jc w:val="center"/>
            </w:pPr>
            <w:r>
              <w:rPr>
                <w:szCs w:val="20"/>
              </w:rPr>
              <w:t>2 (22.2</w:t>
            </w:r>
            <w:r w:rsidR="00B84CAE">
              <w:rPr>
                <w:szCs w:val="20"/>
              </w:rPr>
              <w:t>%</w:t>
            </w:r>
            <w:r>
              <w:rPr>
                <w:szCs w:val="20"/>
              </w:rPr>
              <w:t>)</w:t>
            </w:r>
          </w:p>
        </w:tc>
      </w:tr>
      <w:tr w:rsidR="00762B95" w:rsidRPr="00B1011F" w:rsidTr="00E30A25">
        <w:tc>
          <w:tcPr>
            <w:tcW w:w="5000" w:type="pct"/>
            <w:gridSpan w:val="5"/>
            <w:shd w:val="clear" w:color="auto" w:fill="BFBFBF" w:themeFill="background1" w:themeFillShade="BF"/>
            <w:vAlign w:val="center"/>
          </w:tcPr>
          <w:p w:rsidR="00762B95" w:rsidRDefault="00762B95" w:rsidP="00B84CAE">
            <w:pPr>
              <w:pStyle w:val="Tabletext"/>
              <w:keepNext/>
              <w:rPr>
                <w:b/>
                <w:bCs/>
                <w:szCs w:val="20"/>
              </w:rPr>
            </w:pPr>
            <w:r>
              <w:rPr>
                <w:b/>
                <w:bCs/>
                <w:szCs w:val="20"/>
              </w:rPr>
              <w:t>Lam 2012</w:t>
            </w:r>
          </w:p>
        </w:tc>
      </w:tr>
      <w:tr w:rsidR="00B84CAE" w:rsidRPr="00B1011F" w:rsidTr="00465D7D">
        <w:tc>
          <w:tcPr>
            <w:tcW w:w="2656" w:type="pct"/>
            <w:vMerge w:val="restart"/>
            <w:vAlign w:val="center"/>
          </w:tcPr>
          <w:p w:rsidR="00B84CAE" w:rsidRDefault="00B84CAE" w:rsidP="00465D7D">
            <w:pPr>
              <w:pStyle w:val="Tabletext"/>
              <w:keepNext/>
              <w:ind w:left="104"/>
            </w:pPr>
          </w:p>
        </w:tc>
        <w:tc>
          <w:tcPr>
            <w:tcW w:w="1172" w:type="pct"/>
            <w:gridSpan w:val="2"/>
            <w:vAlign w:val="center"/>
          </w:tcPr>
          <w:p w:rsidR="00B84CAE" w:rsidRDefault="00B84CAE" w:rsidP="00465D7D">
            <w:pPr>
              <w:pStyle w:val="Tabletext"/>
              <w:keepNext/>
              <w:jc w:val="center"/>
              <w:rPr>
                <w:szCs w:val="20"/>
              </w:rPr>
            </w:pPr>
            <w:proofErr w:type="spellStart"/>
            <w:r w:rsidRPr="000F25C5">
              <w:rPr>
                <w:b/>
                <w:bCs/>
                <w:szCs w:val="20"/>
              </w:rPr>
              <w:t>Dysport</w:t>
            </w:r>
            <w:r w:rsidRPr="000F25C5">
              <w:rPr>
                <w:szCs w:val="20"/>
                <w:vertAlign w:val="superscript"/>
              </w:rPr>
              <w:t>a</w:t>
            </w:r>
            <w:proofErr w:type="spellEnd"/>
          </w:p>
        </w:tc>
        <w:tc>
          <w:tcPr>
            <w:tcW w:w="1172" w:type="pct"/>
            <w:gridSpan w:val="2"/>
            <w:vAlign w:val="center"/>
          </w:tcPr>
          <w:p w:rsidR="00B84CAE" w:rsidRDefault="00B84CAE" w:rsidP="00465D7D">
            <w:pPr>
              <w:pStyle w:val="Tabletext"/>
              <w:keepNext/>
              <w:jc w:val="center"/>
              <w:rPr>
                <w:szCs w:val="20"/>
              </w:rPr>
            </w:pPr>
            <w:r w:rsidRPr="000F25C5">
              <w:rPr>
                <w:b/>
                <w:bCs/>
                <w:szCs w:val="20"/>
              </w:rPr>
              <w:t>Placebo</w:t>
            </w:r>
          </w:p>
        </w:tc>
      </w:tr>
      <w:tr w:rsidR="00B84CAE" w:rsidRPr="00B1011F" w:rsidTr="00465D7D">
        <w:tc>
          <w:tcPr>
            <w:tcW w:w="2656" w:type="pct"/>
            <w:vMerge/>
            <w:vAlign w:val="center"/>
          </w:tcPr>
          <w:p w:rsidR="00B84CAE" w:rsidRDefault="00B84CAE" w:rsidP="00465D7D">
            <w:pPr>
              <w:pStyle w:val="Tabletext"/>
              <w:keepNext/>
              <w:ind w:left="104"/>
            </w:pPr>
          </w:p>
        </w:tc>
        <w:tc>
          <w:tcPr>
            <w:tcW w:w="1172" w:type="pct"/>
            <w:gridSpan w:val="2"/>
            <w:vAlign w:val="center"/>
          </w:tcPr>
          <w:p w:rsidR="00B84CAE" w:rsidRPr="00B84CAE" w:rsidRDefault="00B84CAE" w:rsidP="00465D7D">
            <w:pPr>
              <w:pStyle w:val="Tabletext"/>
              <w:keepNext/>
              <w:jc w:val="center"/>
              <w:rPr>
                <w:b/>
                <w:szCs w:val="20"/>
              </w:rPr>
            </w:pPr>
            <w:r w:rsidRPr="00B84CAE">
              <w:rPr>
                <w:b/>
                <w:szCs w:val="20"/>
              </w:rPr>
              <w:t>N=30</w:t>
            </w:r>
          </w:p>
        </w:tc>
        <w:tc>
          <w:tcPr>
            <w:tcW w:w="1172" w:type="pct"/>
            <w:gridSpan w:val="2"/>
            <w:vAlign w:val="center"/>
          </w:tcPr>
          <w:p w:rsidR="00B84CAE" w:rsidRPr="00B84CAE" w:rsidRDefault="00B84CAE" w:rsidP="00465D7D">
            <w:pPr>
              <w:pStyle w:val="Tabletext"/>
              <w:keepNext/>
              <w:jc w:val="center"/>
              <w:rPr>
                <w:b/>
                <w:szCs w:val="20"/>
              </w:rPr>
            </w:pPr>
            <w:r w:rsidRPr="00B84CAE">
              <w:rPr>
                <w:b/>
                <w:szCs w:val="20"/>
              </w:rPr>
              <w:t>N=25</w:t>
            </w:r>
          </w:p>
        </w:tc>
      </w:tr>
      <w:tr w:rsidR="00BD272A" w:rsidRPr="00B1011F" w:rsidTr="00B84CAE">
        <w:tc>
          <w:tcPr>
            <w:tcW w:w="5000" w:type="pct"/>
            <w:gridSpan w:val="5"/>
            <w:shd w:val="clear" w:color="auto" w:fill="F2F2F2" w:themeFill="background1" w:themeFillShade="F2"/>
            <w:vAlign w:val="center"/>
          </w:tcPr>
          <w:p w:rsidR="00BD272A" w:rsidRDefault="00BD272A" w:rsidP="00B84CAE">
            <w:pPr>
              <w:pStyle w:val="Tabletext"/>
              <w:keepNext/>
              <w:rPr>
                <w:szCs w:val="20"/>
              </w:rPr>
            </w:pPr>
            <w:r>
              <w:rPr>
                <w:b/>
                <w:bCs/>
                <w:szCs w:val="20"/>
              </w:rPr>
              <w:t>Carer Burden Scale (CBS</w:t>
            </w:r>
            <w:r w:rsidRPr="00D567B8">
              <w:rPr>
                <w:b/>
                <w:bCs/>
                <w:szCs w:val="20"/>
              </w:rPr>
              <w:t>)</w:t>
            </w:r>
            <w:r>
              <w:rPr>
                <w:b/>
                <w:bCs/>
                <w:szCs w:val="20"/>
              </w:rPr>
              <w:t xml:space="preserve"> at Week 6</w:t>
            </w:r>
          </w:p>
        </w:tc>
      </w:tr>
      <w:tr w:rsidR="00BD272A" w:rsidRPr="00B1011F" w:rsidTr="00E30A25">
        <w:tc>
          <w:tcPr>
            <w:tcW w:w="2656" w:type="pct"/>
            <w:vAlign w:val="center"/>
          </w:tcPr>
          <w:p w:rsidR="00BD272A" w:rsidRDefault="00B84CAE" w:rsidP="00B84CAE">
            <w:pPr>
              <w:pStyle w:val="Tabletext"/>
              <w:keepNext/>
              <w:ind w:left="104"/>
            </w:pPr>
            <w:r>
              <w:t>A</w:t>
            </w:r>
            <w:r w:rsidR="00BD272A">
              <w:t>chieving 4-point improvement in CBS at Week 6, n</w:t>
            </w:r>
            <w:r>
              <w:t xml:space="preserve"> </w:t>
            </w:r>
            <w:r w:rsidR="00BD272A">
              <w:t>(%)</w:t>
            </w:r>
          </w:p>
        </w:tc>
        <w:tc>
          <w:tcPr>
            <w:tcW w:w="1172" w:type="pct"/>
            <w:gridSpan w:val="2"/>
            <w:vAlign w:val="center"/>
          </w:tcPr>
          <w:p w:rsidR="00BD272A" w:rsidRDefault="00BD272A" w:rsidP="00B84CAE">
            <w:pPr>
              <w:pStyle w:val="Tabletext"/>
              <w:keepNext/>
              <w:jc w:val="center"/>
              <w:rPr>
                <w:szCs w:val="20"/>
              </w:rPr>
            </w:pPr>
            <w:r>
              <w:rPr>
                <w:szCs w:val="20"/>
              </w:rPr>
              <w:t>18 (60.0</w:t>
            </w:r>
            <w:r w:rsidR="00B84CAE">
              <w:rPr>
                <w:szCs w:val="20"/>
              </w:rPr>
              <w:t>%</w:t>
            </w:r>
            <w:r>
              <w:rPr>
                <w:szCs w:val="20"/>
              </w:rPr>
              <w:t>)</w:t>
            </w:r>
          </w:p>
        </w:tc>
        <w:tc>
          <w:tcPr>
            <w:tcW w:w="1172" w:type="pct"/>
            <w:gridSpan w:val="2"/>
            <w:vAlign w:val="center"/>
          </w:tcPr>
          <w:p w:rsidR="00BD272A" w:rsidRDefault="00BD272A" w:rsidP="00B84CAE">
            <w:pPr>
              <w:pStyle w:val="Tabletext"/>
              <w:keepNext/>
              <w:jc w:val="center"/>
              <w:rPr>
                <w:szCs w:val="20"/>
              </w:rPr>
            </w:pPr>
            <w:r>
              <w:rPr>
                <w:szCs w:val="20"/>
              </w:rPr>
              <w:t>2 (8.0</w:t>
            </w:r>
            <w:r w:rsidR="00B84CAE">
              <w:rPr>
                <w:szCs w:val="20"/>
              </w:rPr>
              <w:t>%</w:t>
            </w:r>
            <w:r>
              <w:rPr>
                <w:szCs w:val="20"/>
              </w:rPr>
              <w:t>)</w:t>
            </w:r>
          </w:p>
        </w:tc>
      </w:tr>
      <w:tr w:rsidR="00BD272A" w:rsidRPr="00B1011F" w:rsidTr="00E30A25">
        <w:tc>
          <w:tcPr>
            <w:tcW w:w="2656" w:type="pct"/>
            <w:vAlign w:val="center"/>
          </w:tcPr>
          <w:p w:rsidR="00BD272A" w:rsidRDefault="00BD272A" w:rsidP="00B84CAE">
            <w:pPr>
              <w:pStyle w:val="Tabletext"/>
              <w:keepNext/>
              <w:ind w:left="104"/>
            </w:pPr>
            <w:r>
              <w:t>p-value (versus placebo)</w:t>
            </w:r>
          </w:p>
        </w:tc>
        <w:tc>
          <w:tcPr>
            <w:tcW w:w="1172" w:type="pct"/>
            <w:gridSpan w:val="2"/>
            <w:vAlign w:val="center"/>
          </w:tcPr>
          <w:p w:rsidR="00BD272A" w:rsidRPr="00492D1B" w:rsidRDefault="00BD272A" w:rsidP="00B84CAE">
            <w:pPr>
              <w:pStyle w:val="Tabletext"/>
              <w:keepNext/>
              <w:jc w:val="center"/>
              <w:rPr>
                <w:b/>
                <w:bCs/>
                <w:szCs w:val="20"/>
              </w:rPr>
            </w:pPr>
            <w:r w:rsidRPr="00492D1B">
              <w:rPr>
                <w:b/>
                <w:bCs/>
                <w:szCs w:val="20"/>
              </w:rPr>
              <w:t>&lt;0.001</w:t>
            </w:r>
          </w:p>
        </w:tc>
        <w:tc>
          <w:tcPr>
            <w:tcW w:w="1172" w:type="pct"/>
            <w:gridSpan w:val="2"/>
            <w:vAlign w:val="center"/>
          </w:tcPr>
          <w:p w:rsidR="00BD272A" w:rsidRDefault="00BD272A" w:rsidP="00B84CAE">
            <w:pPr>
              <w:pStyle w:val="Tabletext"/>
              <w:keepNext/>
              <w:jc w:val="center"/>
              <w:rPr>
                <w:szCs w:val="20"/>
              </w:rPr>
            </w:pPr>
            <w:r>
              <w:rPr>
                <w:szCs w:val="20"/>
              </w:rPr>
              <w:t>NA</w:t>
            </w:r>
          </w:p>
        </w:tc>
      </w:tr>
      <w:tr w:rsidR="00BD272A" w:rsidRPr="00B1011F" w:rsidTr="00B84CAE">
        <w:tc>
          <w:tcPr>
            <w:tcW w:w="5000" w:type="pct"/>
            <w:gridSpan w:val="5"/>
            <w:shd w:val="clear" w:color="auto" w:fill="F2F2F2" w:themeFill="background1" w:themeFillShade="F2"/>
            <w:vAlign w:val="center"/>
          </w:tcPr>
          <w:p w:rsidR="00BD272A" w:rsidRPr="00D567B8" w:rsidRDefault="00BD272A" w:rsidP="00B84CAE">
            <w:pPr>
              <w:pStyle w:val="Tabletext"/>
              <w:keepNext/>
              <w:rPr>
                <w:b/>
                <w:bCs/>
                <w:szCs w:val="20"/>
              </w:rPr>
            </w:pPr>
            <w:r>
              <w:rPr>
                <w:b/>
                <w:bCs/>
                <w:szCs w:val="20"/>
              </w:rPr>
              <w:t xml:space="preserve">Change from baseline in </w:t>
            </w:r>
            <w:r w:rsidRPr="00D567B8">
              <w:rPr>
                <w:b/>
                <w:bCs/>
                <w:szCs w:val="20"/>
              </w:rPr>
              <w:t>Goal Attainment Scaling (GAS)</w:t>
            </w:r>
            <w:r>
              <w:rPr>
                <w:b/>
                <w:bCs/>
                <w:szCs w:val="20"/>
              </w:rPr>
              <w:t xml:space="preserve"> at Week 6</w:t>
            </w:r>
          </w:p>
        </w:tc>
      </w:tr>
      <w:tr w:rsidR="00BD272A" w:rsidRPr="00B1011F" w:rsidTr="00E30A25">
        <w:tc>
          <w:tcPr>
            <w:tcW w:w="2656" w:type="pct"/>
            <w:vAlign w:val="center"/>
          </w:tcPr>
          <w:p w:rsidR="00BD272A" w:rsidRDefault="00BD272A" w:rsidP="00B84CAE">
            <w:pPr>
              <w:pStyle w:val="Tabletext"/>
              <w:keepNext/>
              <w:ind w:left="104"/>
            </w:pPr>
            <w:r>
              <w:t>Baseline, m</w:t>
            </w:r>
            <w:r w:rsidRPr="00AC7EA9">
              <w:t>ean</w:t>
            </w:r>
            <w:r w:rsidRPr="005C4E2F">
              <w:rPr>
                <w:szCs w:val="20"/>
              </w:rPr>
              <w:t xml:space="preserve"> (SD)</w:t>
            </w:r>
          </w:p>
        </w:tc>
        <w:tc>
          <w:tcPr>
            <w:tcW w:w="1172" w:type="pct"/>
            <w:gridSpan w:val="2"/>
            <w:vAlign w:val="center"/>
          </w:tcPr>
          <w:p w:rsidR="00BD272A" w:rsidRDefault="00BD272A" w:rsidP="00B84CAE">
            <w:pPr>
              <w:pStyle w:val="Tabletext"/>
              <w:keepNext/>
              <w:jc w:val="center"/>
              <w:rPr>
                <w:szCs w:val="20"/>
              </w:rPr>
            </w:pPr>
            <w:r>
              <w:rPr>
                <w:szCs w:val="20"/>
              </w:rPr>
              <w:t>37.93 (0.64)</w:t>
            </w:r>
          </w:p>
        </w:tc>
        <w:tc>
          <w:tcPr>
            <w:tcW w:w="1172" w:type="pct"/>
            <w:gridSpan w:val="2"/>
            <w:vAlign w:val="center"/>
          </w:tcPr>
          <w:p w:rsidR="00BD272A" w:rsidRDefault="00BD272A" w:rsidP="00B84CAE">
            <w:pPr>
              <w:pStyle w:val="Tabletext"/>
              <w:keepNext/>
              <w:jc w:val="center"/>
              <w:rPr>
                <w:szCs w:val="20"/>
              </w:rPr>
            </w:pPr>
            <w:r>
              <w:rPr>
                <w:szCs w:val="20"/>
              </w:rPr>
              <w:t>38.0 (0.0)</w:t>
            </w:r>
          </w:p>
        </w:tc>
      </w:tr>
      <w:tr w:rsidR="00BD272A" w:rsidRPr="00B1011F" w:rsidTr="00E30A25">
        <w:tc>
          <w:tcPr>
            <w:tcW w:w="2656" w:type="pct"/>
            <w:vAlign w:val="center"/>
          </w:tcPr>
          <w:p w:rsidR="00BD272A" w:rsidRDefault="00BD272A" w:rsidP="00B84CAE">
            <w:pPr>
              <w:pStyle w:val="Tabletext"/>
              <w:keepNext/>
              <w:ind w:left="104"/>
            </w:pPr>
            <w:proofErr w:type="spellStart"/>
            <w:r>
              <w:rPr>
                <w:szCs w:val="20"/>
                <w:lang w:val="fr-FR"/>
              </w:rPr>
              <w:t>Week</w:t>
            </w:r>
            <w:proofErr w:type="spellEnd"/>
            <w:r>
              <w:rPr>
                <w:szCs w:val="20"/>
                <w:lang w:val="fr-FR"/>
              </w:rPr>
              <w:t xml:space="preserve"> 6, </w:t>
            </w:r>
            <w:proofErr w:type="spellStart"/>
            <w:r>
              <w:rPr>
                <w:szCs w:val="20"/>
                <w:lang w:val="fr-FR"/>
              </w:rPr>
              <w:t>mean</w:t>
            </w:r>
            <w:proofErr w:type="spellEnd"/>
            <w:r>
              <w:rPr>
                <w:szCs w:val="20"/>
                <w:lang w:val="fr-FR"/>
              </w:rPr>
              <w:t xml:space="preserve"> (SD)</w:t>
            </w:r>
          </w:p>
        </w:tc>
        <w:tc>
          <w:tcPr>
            <w:tcW w:w="1172" w:type="pct"/>
            <w:gridSpan w:val="2"/>
            <w:vAlign w:val="center"/>
          </w:tcPr>
          <w:p w:rsidR="00BD272A" w:rsidRDefault="00BD272A" w:rsidP="00B84CAE">
            <w:pPr>
              <w:pStyle w:val="Tabletext"/>
              <w:keepNext/>
              <w:jc w:val="center"/>
              <w:rPr>
                <w:szCs w:val="20"/>
              </w:rPr>
            </w:pPr>
            <w:r>
              <w:rPr>
                <w:szCs w:val="20"/>
              </w:rPr>
              <w:t>61.67 (12.05)</w:t>
            </w:r>
          </w:p>
        </w:tc>
        <w:tc>
          <w:tcPr>
            <w:tcW w:w="1172" w:type="pct"/>
            <w:gridSpan w:val="2"/>
            <w:vAlign w:val="center"/>
          </w:tcPr>
          <w:p w:rsidR="00BD272A" w:rsidRDefault="00BD272A" w:rsidP="00B84CAE">
            <w:pPr>
              <w:pStyle w:val="Tabletext"/>
              <w:keepNext/>
              <w:jc w:val="center"/>
              <w:rPr>
                <w:szCs w:val="20"/>
              </w:rPr>
            </w:pPr>
            <w:r>
              <w:rPr>
                <w:szCs w:val="20"/>
              </w:rPr>
              <w:t>49.08 (14.95)</w:t>
            </w:r>
          </w:p>
        </w:tc>
      </w:tr>
      <w:tr w:rsidR="00BD272A" w:rsidRPr="00B1011F" w:rsidTr="00E30A25">
        <w:tc>
          <w:tcPr>
            <w:tcW w:w="5000" w:type="pct"/>
            <w:gridSpan w:val="5"/>
            <w:vAlign w:val="center"/>
          </w:tcPr>
          <w:p w:rsidR="00BD272A" w:rsidRDefault="00BD272A" w:rsidP="00B84CAE">
            <w:pPr>
              <w:pStyle w:val="Tabletext"/>
              <w:keepNext/>
              <w:rPr>
                <w:szCs w:val="20"/>
              </w:rPr>
            </w:pPr>
            <w:r>
              <w:t>Change from baseline in GAS at Week 6</w:t>
            </w:r>
          </w:p>
        </w:tc>
      </w:tr>
      <w:tr w:rsidR="00BD272A" w:rsidRPr="00B1011F" w:rsidTr="00E30A25">
        <w:tc>
          <w:tcPr>
            <w:tcW w:w="2656" w:type="pct"/>
            <w:vAlign w:val="center"/>
          </w:tcPr>
          <w:p w:rsidR="00BD272A" w:rsidRDefault="00BD272A" w:rsidP="00B84CAE">
            <w:pPr>
              <w:pStyle w:val="Tabletext"/>
              <w:keepNext/>
              <w:ind w:left="104"/>
            </w:pPr>
            <w:r>
              <w:t>Mean change (SD)</w:t>
            </w:r>
          </w:p>
        </w:tc>
        <w:tc>
          <w:tcPr>
            <w:tcW w:w="1172" w:type="pct"/>
            <w:gridSpan w:val="2"/>
            <w:vAlign w:val="center"/>
          </w:tcPr>
          <w:p w:rsidR="00BD272A" w:rsidRDefault="00BD272A" w:rsidP="00B84CAE">
            <w:pPr>
              <w:pStyle w:val="Tabletext"/>
              <w:keepNext/>
              <w:jc w:val="center"/>
              <w:rPr>
                <w:szCs w:val="20"/>
              </w:rPr>
            </w:pPr>
            <w:r>
              <w:rPr>
                <w:szCs w:val="20"/>
              </w:rPr>
              <w:t>23.73 (12.08)</w:t>
            </w:r>
          </w:p>
        </w:tc>
        <w:tc>
          <w:tcPr>
            <w:tcW w:w="1172" w:type="pct"/>
            <w:gridSpan w:val="2"/>
            <w:vAlign w:val="center"/>
          </w:tcPr>
          <w:p w:rsidR="00BD272A" w:rsidRDefault="00BD272A" w:rsidP="00B84CAE">
            <w:pPr>
              <w:pStyle w:val="Tabletext"/>
              <w:keepNext/>
              <w:jc w:val="center"/>
              <w:rPr>
                <w:szCs w:val="20"/>
              </w:rPr>
            </w:pPr>
            <w:r>
              <w:rPr>
                <w:szCs w:val="20"/>
              </w:rPr>
              <w:t>11.08 (14.95)</w:t>
            </w:r>
          </w:p>
        </w:tc>
      </w:tr>
      <w:tr w:rsidR="00BD272A" w:rsidRPr="00B1011F" w:rsidTr="00E30A25">
        <w:tc>
          <w:tcPr>
            <w:tcW w:w="2656" w:type="pct"/>
            <w:vAlign w:val="center"/>
          </w:tcPr>
          <w:p w:rsidR="00BD272A" w:rsidRPr="00A623C8" w:rsidRDefault="00BD272A" w:rsidP="00B84CAE">
            <w:pPr>
              <w:pStyle w:val="Tabletext"/>
              <w:keepNext/>
              <w:rPr>
                <w:b/>
                <w:bCs/>
              </w:rPr>
            </w:pPr>
            <w:r w:rsidRPr="00A623C8">
              <w:rPr>
                <w:b/>
                <w:bCs/>
              </w:rPr>
              <w:t>Comparison to placebo</w:t>
            </w:r>
          </w:p>
        </w:tc>
        <w:tc>
          <w:tcPr>
            <w:tcW w:w="1172" w:type="pct"/>
            <w:gridSpan w:val="2"/>
            <w:vAlign w:val="center"/>
          </w:tcPr>
          <w:p w:rsidR="00BD272A" w:rsidRDefault="00BD272A" w:rsidP="00B84CAE">
            <w:pPr>
              <w:pStyle w:val="Tabletext"/>
              <w:keepNext/>
              <w:jc w:val="center"/>
              <w:rPr>
                <w:szCs w:val="20"/>
              </w:rPr>
            </w:pPr>
          </w:p>
        </w:tc>
        <w:tc>
          <w:tcPr>
            <w:tcW w:w="1172" w:type="pct"/>
            <w:gridSpan w:val="2"/>
            <w:vAlign w:val="center"/>
          </w:tcPr>
          <w:p w:rsidR="00BD272A" w:rsidRDefault="00BD272A" w:rsidP="00B84CAE">
            <w:pPr>
              <w:pStyle w:val="Tabletext"/>
              <w:keepNext/>
              <w:jc w:val="center"/>
              <w:rPr>
                <w:szCs w:val="20"/>
              </w:rPr>
            </w:pPr>
          </w:p>
        </w:tc>
      </w:tr>
      <w:tr w:rsidR="00BD272A" w:rsidRPr="00B1011F" w:rsidTr="00E30A25">
        <w:tc>
          <w:tcPr>
            <w:tcW w:w="2656" w:type="pct"/>
            <w:vAlign w:val="center"/>
          </w:tcPr>
          <w:p w:rsidR="00BD272A" w:rsidRDefault="00BD272A" w:rsidP="00B84CAE">
            <w:pPr>
              <w:pStyle w:val="Tabletext"/>
              <w:keepNext/>
              <w:ind w:left="104"/>
            </w:pPr>
            <w:r>
              <w:t>Difference (95% CI)</w:t>
            </w:r>
          </w:p>
        </w:tc>
        <w:tc>
          <w:tcPr>
            <w:tcW w:w="1172" w:type="pct"/>
            <w:gridSpan w:val="2"/>
            <w:vAlign w:val="center"/>
          </w:tcPr>
          <w:p w:rsidR="00BD272A" w:rsidRPr="000D2119" w:rsidRDefault="00BD272A" w:rsidP="00B84CAE">
            <w:pPr>
              <w:pStyle w:val="Tabletext"/>
              <w:keepNext/>
              <w:jc w:val="center"/>
              <w:rPr>
                <w:b/>
                <w:bCs/>
                <w:szCs w:val="20"/>
              </w:rPr>
            </w:pPr>
            <w:r w:rsidRPr="000D2119">
              <w:rPr>
                <w:b/>
                <w:bCs/>
                <w:szCs w:val="20"/>
              </w:rPr>
              <w:t>12.65 (5.34, 19.96)</w:t>
            </w:r>
          </w:p>
        </w:tc>
        <w:tc>
          <w:tcPr>
            <w:tcW w:w="1172" w:type="pct"/>
            <w:gridSpan w:val="2"/>
            <w:vAlign w:val="center"/>
          </w:tcPr>
          <w:p w:rsidR="00BD272A" w:rsidRDefault="00BD272A" w:rsidP="00B84CAE">
            <w:pPr>
              <w:pStyle w:val="Tabletext"/>
              <w:keepNext/>
              <w:jc w:val="center"/>
              <w:rPr>
                <w:szCs w:val="20"/>
              </w:rPr>
            </w:pPr>
            <w:r>
              <w:rPr>
                <w:szCs w:val="20"/>
              </w:rPr>
              <w:t>NA</w:t>
            </w:r>
          </w:p>
        </w:tc>
      </w:tr>
      <w:tr w:rsidR="00BD272A" w:rsidRPr="00B1011F" w:rsidTr="00E30A25">
        <w:tc>
          <w:tcPr>
            <w:tcW w:w="2656" w:type="pct"/>
            <w:vAlign w:val="center"/>
          </w:tcPr>
          <w:p w:rsidR="00BD272A" w:rsidRDefault="00BD272A" w:rsidP="00B84CAE">
            <w:pPr>
              <w:pStyle w:val="Tabletext"/>
              <w:keepNext/>
              <w:ind w:left="104"/>
            </w:pPr>
            <w:r>
              <w:t>p-value</w:t>
            </w:r>
          </w:p>
        </w:tc>
        <w:tc>
          <w:tcPr>
            <w:tcW w:w="1172" w:type="pct"/>
            <w:gridSpan w:val="2"/>
            <w:vAlign w:val="center"/>
          </w:tcPr>
          <w:p w:rsidR="00BD272A" w:rsidRPr="000D2119" w:rsidRDefault="00BD272A" w:rsidP="00B84CAE">
            <w:pPr>
              <w:pStyle w:val="Tabletext"/>
              <w:keepNext/>
              <w:jc w:val="center"/>
              <w:rPr>
                <w:b/>
                <w:bCs/>
                <w:szCs w:val="20"/>
              </w:rPr>
            </w:pPr>
            <w:r>
              <w:rPr>
                <w:b/>
                <w:bCs/>
                <w:szCs w:val="20"/>
              </w:rPr>
              <w:t>0.001</w:t>
            </w:r>
          </w:p>
        </w:tc>
        <w:tc>
          <w:tcPr>
            <w:tcW w:w="1172" w:type="pct"/>
            <w:gridSpan w:val="2"/>
            <w:vAlign w:val="center"/>
          </w:tcPr>
          <w:p w:rsidR="00BD272A" w:rsidRDefault="00BD272A" w:rsidP="00B84CAE">
            <w:pPr>
              <w:pStyle w:val="Tabletext"/>
              <w:keepNext/>
              <w:jc w:val="center"/>
              <w:rPr>
                <w:szCs w:val="20"/>
              </w:rPr>
            </w:pPr>
            <w:r>
              <w:rPr>
                <w:szCs w:val="20"/>
              </w:rPr>
              <w:t>NA</w:t>
            </w:r>
          </w:p>
        </w:tc>
      </w:tr>
    </w:tbl>
    <w:p w:rsidR="00BD272A" w:rsidRPr="00EE6542" w:rsidRDefault="00BD272A" w:rsidP="009F0049">
      <w:pPr>
        <w:pStyle w:val="TableFooter"/>
        <w:widowControl/>
      </w:pPr>
      <w:bookmarkStart w:id="21" w:name="_Toc524429277"/>
      <w:r w:rsidRPr="00EE6542">
        <w:t>Bolded values reached statistical significance.</w:t>
      </w:r>
      <w:bookmarkEnd w:id="21"/>
    </w:p>
    <w:p w:rsidR="00BD272A" w:rsidRPr="00EE6542" w:rsidRDefault="00BD272A" w:rsidP="009F0049">
      <w:pPr>
        <w:pStyle w:val="TableFooter"/>
        <w:widowControl/>
      </w:pPr>
      <w:bookmarkStart w:id="22" w:name="_Toc524429278"/>
      <w:r w:rsidRPr="00EE6542">
        <w:t>Abbreviations: CBS=Carer Burden Scale; DAS=Disability Assessment Scale; GAS=Goal Attainment Scaling; LS=least squares; NA = not applicable; PGA=Physician’s Global Assessment; PTT=principal target of treatment; TBI=traumatic brain injury.</w:t>
      </w:r>
      <w:bookmarkEnd w:id="22"/>
    </w:p>
    <w:p w:rsidR="00BD272A" w:rsidRPr="00EE6542" w:rsidRDefault="00BD272A" w:rsidP="009F0049">
      <w:pPr>
        <w:pStyle w:val="TableFooter"/>
        <w:widowControl/>
      </w:pPr>
      <w:bookmarkStart w:id="23" w:name="_Toc524429279"/>
      <w:proofErr w:type="gramStart"/>
      <w:r w:rsidRPr="00EE6542">
        <w:rPr>
          <w:vertAlign w:val="superscript"/>
        </w:rPr>
        <w:t>a</w:t>
      </w:r>
      <w:proofErr w:type="gramEnd"/>
      <w:r w:rsidR="00E771E1">
        <w:tab/>
      </w:r>
      <w:r w:rsidRPr="00EE6542">
        <w:t>The maximum total dose was 1000 units for one patient.</w:t>
      </w:r>
      <w:bookmarkEnd w:id="23"/>
    </w:p>
    <w:p w:rsidR="00BD272A" w:rsidRDefault="00BD272A" w:rsidP="009F0049">
      <w:pPr>
        <w:pStyle w:val="TableFooter"/>
        <w:widowControl/>
      </w:pPr>
      <w:bookmarkStart w:id="24" w:name="_Toc524429280"/>
      <w:r w:rsidRPr="00EE6542">
        <w:t>Source: Table 2.31, Table 2.33, Table 2.34, Table 2.35, pp.75-80 of the submission and Table 19, p58 of CSR for Study 145; Table 5, p451 of Lam 2012 publication.</w:t>
      </w:r>
      <w:bookmarkEnd w:id="24"/>
    </w:p>
    <w:p w:rsidR="000D4E70" w:rsidRDefault="000D4E70" w:rsidP="009F0049">
      <w:pPr>
        <w:pStyle w:val="TableFooter"/>
        <w:widowControl/>
      </w:pPr>
    </w:p>
    <w:p w:rsidR="00BD272A" w:rsidRPr="000F1DF7" w:rsidRDefault="00BD272A" w:rsidP="009F0049">
      <w:pPr>
        <w:pStyle w:val="ListParagraph"/>
        <w:widowControl/>
        <w:numPr>
          <w:ilvl w:val="1"/>
          <w:numId w:val="1"/>
        </w:numPr>
      </w:pPr>
      <w:r w:rsidRPr="000F1DF7">
        <w:rPr>
          <w:szCs w:val="20"/>
        </w:rPr>
        <w:lastRenderedPageBreak/>
        <w:t>The mean PGA scores at Week 4 were statistically significantly higher in patients treated with Dysport</w:t>
      </w:r>
      <w:r w:rsidRPr="000F1DF7">
        <w:rPr>
          <w:rFonts w:cs="Calibri"/>
          <w:szCs w:val="20"/>
        </w:rPr>
        <w:t>®</w:t>
      </w:r>
      <w:r w:rsidRPr="000F1DF7">
        <w:rPr>
          <w:szCs w:val="20"/>
        </w:rPr>
        <w:t xml:space="preserve"> compared to </w:t>
      </w:r>
      <w:r w:rsidR="00E771E1" w:rsidRPr="000F1DF7">
        <w:rPr>
          <w:szCs w:val="20"/>
        </w:rPr>
        <w:t>placebo in the ITT population of Study 145</w:t>
      </w:r>
      <w:r w:rsidR="00B84CAE">
        <w:rPr>
          <w:szCs w:val="20"/>
        </w:rPr>
        <w:t>;</w:t>
      </w:r>
      <w:r w:rsidR="00E771E1" w:rsidRPr="000F1DF7">
        <w:rPr>
          <w:szCs w:val="20"/>
        </w:rPr>
        <w:t xml:space="preserve"> </w:t>
      </w:r>
      <w:r w:rsidR="00B84CAE" w:rsidRPr="000F1DF7">
        <w:rPr>
          <w:iCs/>
          <w:szCs w:val="20"/>
        </w:rPr>
        <w:t>however</w:t>
      </w:r>
      <w:r w:rsidR="00B84CAE">
        <w:rPr>
          <w:iCs/>
          <w:szCs w:val="20"/>
        </w:rPr>
        <w:t xml:space="preserve">, </w:t>
      </w:r>
      <w:r w:rsidR="00E771E1" w:rsidRPr="000F1DF7">
        <w:rPr>
          <w:iCs/>
          <w:szCs w:val="20"/>
        </w:rPr>
        <w:t>changes in DAS for the princip</w:t>
      </w:r>
      <w:r w:rsidR="00826A1C">
        <w:rPr>
          <w:iCs/>
          <w:szCs w:val="20"/>
        </w:rPr>
        <w:t>al</w:t>
      </w:r>
      <w:r w:rsidR="00E771E1" w:rsidRPr="000F1DF7">
        <w:rPr>
          <w:iCs/>
          <w:szCs w:val="20"/>
        </w:rPr>
        <w:t xml:space="preserve"> target of treatment </w:t>
      </w:r>
      <w:r w:rsidRPr="000F1DF7">
        <w:rPr>
          <w:iCs/>
          <w:szCs w:val="20"/>
        </w:rPr>
        <w:t>were not significantly different.</w:t>
      </w:r>
      <w:r w:rsidR="00642FE1">
        <w:rPr>
          <w:iCs/>
          <w:szCs w:val="20"/>
        </w:rPr>
        <w:t xml:space="preserve"> </w:t>
      </w:r>
      <w:r w:rsidR="00563DDC">
        <w:rPr>
          <w:iCs/>
          <w:szCs w:val="20"/>
        </w:rPr>
        <w:t xml:space="preserve">The </w:t>
      </w:r>
      <w:r w:rsidR="00284C1A">
        <w:rPr>
          <w:iCs/>
          <w:szCs w:val="20"/>
        </w:rPr>
        <w:t xml:space="preserve">PBAC considered that the </w:t>
      </w:r>
      <w:r w:rsidR="00563DDC">
        <w:rPr>
          <w:iCs/>
          <w:szCs w:val="20"/>
        </w:rPr>
        <w:t xml:space="preserve">subgroup analyses of patients with TBI were difficult to assess due to small patient numbers. </w:t>
      </w:r>
    </w:p>
    <w:p w:rsidR="00BD272A" w:rsidRDefault="00B84CAE" w:rsidP="009F0049">
      <w:pPr>
        <w:pStyle w:val="ListParagraph"/>
        <w:widowControl/>
        <w:numPr>
          <w:ilvl w:val="1"/>
          <w:numId w:val="1"/>
        </w:numPr>
      </w:pPr>
      <w:r>
        <w:t xml:space="preserve">Quality of life outcomes </w:t>
      </w:r>
      <w:r w:rsidR="00284C1A">
        <w:t xml:space="preserve">for the ITT population </w:t>
      </w:r>
      <w:r>
        <w:t>from Study 145 are presented in Table 10. There were n</w:t>
      </w:r>
      <w:r w:rsidR="00BD272A" w:rsidRPr="000F1DF7">
        <w:t>o statistically significant differences between treatment groups</w:t>
      </w:r>
      <w:r>
        <w:t xml:space="preserve"> for </w:t>
      </w:r>
      <w:r w:rsidR="00BD272A" w:rsidRPr="000F1DF7">
        <w:t>any of the SF-36 or EQ-5D</w:t>
      </w:r>
      <w:r w:rsidR="009550BE" w:rsidRPr="000F1DF7">
        <w:t>-5L</w:t>
      </w:r>
      <w:r w:rsidR="00BD272A" w:rsidRPr="000F1DF7">
        <w:t xml:space="preserve"> domains.</w:t>
      </w:r>
    </w:p>
    <w:p w:rsidR="003E3C88" w:rsidRPr="003E3C88" w:rsidRDefault="003E3C88" w:rsidP="009F0049">
      <w:pPr>
        <w:pStyle w:val="TableHeading0"/>
        <w:rPr>
          <w:rStyle w:val="CommentReference"/>
          <w:b/>
        </w:rPr>
      </w:pPr>
      <w:r w:rsidRPr="003E3C88">
        <w:rPr>
          <w:rStyle w:val="CommentReference"/>
          <w:b/>
        </w:rPr>
        <w:t>Table</w:t>
      </w:r>
      <w:r>
        <w:rPr>
          <w:rStyle w:val="CommentReference"/>
          <w:b/>
        </w:rPr>
        <w:t xml:space="preserve"> 10</w:t>
      </w:r>
      <w:r w:rsidRPr="003E3C88">
        <w:rPr>
          <w:rStyle w:val="CommentReference"/>
          <w:b/>
        </w:rPr>
        <w:t>: Results of quality of life outcomes in Study 145</w:t>
      </w:r>
      <w:r>
        <w:rPr>
          <w:rStyle w:val="CommentReference"/>
          <w:b/>
        </w:rPr>
        <w:t>, mean change from baseline at Week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7"/>
        <w:gridCol w:w="1573"/>
        <w:gridCol w:w="1573"/>
        <w:gridCol w:w="1574"/>
      </w:tblGrid>
      <w:tr w:rsidR="003E3C88" w:rsidRPr="002837E3" w:rsidTr="00E75A07">
        <w:tc>
          <w:tcPr>
            <w:tcW w:w="2383" w:type="pct"/>
            <w:vMerge w:val="restart"/>
            <w:vAlign w:val="center"/>
          </w:tcPr>
          <w:p w:rsidR="003E3C88" w:rsidRPr="002837E3" w:rsidRDefault="003E3C88" w:rsidP="009F0049">
            <w:pPr>
              <w:pStyle w:val="Tabletext"/>
              <w:rPr>
                <w:b/>
                <w:sz w:val="18"/>
                <w:szCs w:val="18"/>
              </w:rPr>
            </w:pPr>
          </w:p>
        </w:tc>
        <w:tc>
          <w:tcPr>
            <w:tcW w:w="2617" w:type="pct"/>
            <w:gridSpan w:val="3"/>
            <w:vAlign w:val="center"/>
          </w:tcPr>
          <w:p w:rsidR="003E3C88" w:rsidRPr="002837E3" w:rsidRDefault="003E3C88" w:rsidP="009F0049">
            <w:pPr>
              <w:pStyle w:val="Tabletext"/>
              <w:jc w:val="center"/>
              <w:rPr>
                <w:b/>
                <w:sz w:val="18"/>
                <w:szCs w:val="18"/>
              </w:rPr>
            </w:pPr>
            <w:r w:rsidRPr="002837E3">
              <w:rPr>
                <w:b/>
                <w:sz w:val="18"/>
                <w:szCs w:val="18"/>
              </w:rPr>
              <w:t>ITT population</w:t>
            </w:r>
          </w:p>
        </w:tc>
      </w:tr>
      <w:tr w:rsidR="003E3C88" w:rsidRPr="002837E3" w:rsidTr="00E75A07">
        <w:tc>
          <w:tcPr>
            <w:tcW w:w="2383" w:type="pct"/>
            <w:vMerge/>
            <w:vAlign w:val="center"/>
          </w:tcPr>
          <w:p w:rsidR="003E3C88" w:rsidRPr="002837E3" w:rsidRDefault="003E3C88" w:rsidP="009F0049">
            <w:pPr>
              <w:pStyle w:val="Tabletext"/>
              <w:rPr>
                <w:b/>
                <w:sz w:val="18"/>
                <w:szCs w:val="18"/>
              </w:rPr>
            </w:pPr>
          </w:p>
        </w:tc>
        <w:tc>
          <w:tcPr>
            <w:tcW w:w="872" w:type="pct"/>
            <w:vAlign w:val="center"/>
          </w:tcPr>
          <w:p w:rsidR="003E3C88" w:rsidRPr="002837E3" w:rsidRDefault="003E3C88" w:rsidP="009F0049">
            <w:pPr>
              <w:pStyle w:val="Tabletext"/>
              <w:jc w:val="center"/>
              <w:rPr>
                <w:b/>
                <w:sz w:val="18"/>
                <w:szCs w:val="18"/>
              </w:rPr>
            </w:pPr>
            <w:r w:rsidRPr="002837E3">
              <w:rPr>
                <w:b/>
                <w:sz w:val="18"/>
                <w:szCs w:val="18"/>
              </w:rPr>
              <w:t>Dysport 1000U</w:t>
            </w:r>
          </w:p>
        </w:tc>
        <w:tc>
          <w:tcPr>
            <w:tcW w:w="872" w:type="pct"/>
            <w:vAlign w:val="center"/>
          </w:tcPr>
          <w:p w:rsidR="003E3C88" w:rsidRPr="002837E3" w:rsidRDefault="003E3C88" w:rsidP="009F0049">
            <w:pPr>
              <w:pStyle w:val="Tabletext"/>
              <w:jc w:val="center"/>
              <w:rPr>
                <w:b/>
                <w:sz w:val="18"/>
                <w:szCs w:val="18"/>
              </w:rPr>
            </w:pPr>
            <w:r w:rsidRPr="002837E3">
              <w:rPr>
                <w:b/>
                <w:sz w:val="18"/>
                <w:szCs w:val="18"/>
              </w:rPr>
              <w:t>Dysport 500U</w:t>
            </w:r>
          </w:p>
        </w:tc>
        <w:tc>
          <w:tcPr>
            <w:tcW w:w="873" w:type="pct"/>
            <w:vAlign w:val="center"/>
          </w:tcPr>
          <w:p w:rsidR="003E3C88" w:rsidRPr="002837E3" w:rsidRDefault="003E3C88" w:rsidP="009F0049">
            <w:pPr>
              <w:pStyle w:val="Tabletext"/>
              <w:jc w:val="center"/>
              <w:rPr>
                <w:b/>
                <w:sz w:val="18"/>
                <w:szCs w:val="18"/>
              </w:rPr>
            </w:pPr>
            <w:r w:rsidRPr="002837E3">
              <w:rPr>
                <w:b/>
                <w:sz w:val="18"/>
                <w:szCs w:val="18"/>
              </w:rPr>
              <w:t>Placebo</w:t>
            </w:r>
          </w:p>
        </w:tc>
      </w:tr>
      <w:tr w:rsidR="003E3C88" w:rsidRPr="002837E3" w:rsidTr="00E75A07">
        <w:tc>
          <w:tcPr>
            <w:tcW w:w="2383" w:type="pct"/>
            <w:vMerge/>
            <w:vAlign w:val="center"/>
          </w:tcPr>
          <w:p w:rsidR="003E3C88" w:rsidRPr="002837E3" w:rsidRDefault="003E3C88" w:rsidP="009F0049">
            <w:pPr>
              <w:pStyle w:val="Tabletext"/>
              <w:rPr>
                <w:b/>
                <w:sz w:val="18"/>
                <w:szCs w:val="18"/>
              </w:rPr>
            </w:pPr>
          </w:p>
        </w:tc>
        <w:tc>
          <w:tcPr>
            <w:tcW w:w="872" w:type="pct"/>
            <w:vAlign w:val="center"/>
          </w:tcPr>
          <w:p w:rsidR="003E3C88" w:rsidRPr="002837E3" w:rsidRDefault="003E3C88" w:rsidP="00B84CAE">
            <w:pPr>
              <w:pStyle w:val="Tabletext"/>
              <w:jc w:val="center"/>
              <w:rPr>
                <w:b/>
                <w:sz w:val="18"/>
                <w:szCs w:val="18"/>
              </w:rPr>
            </w:pPr>
            <w:r w:rsidRPr="002837E3">
              <w:rPr>
                <w:b/>
                <w:sz w:val="18"/>
                <w:szCs w:val="18"/>
              </w:rPr>
              <w:t>N=</w:t>
            </w:r>
            <w:r w:rsidR="00B84CAE">
              <w:rPr>
                <w:b/>
                <w:sz w:val="18"/>
                <w:szCs w:val="18"/>
              </w:rPr>
              <w:t>74</w:t>
            </w:r>
          </w:p>
        </w:tc>
        <w:tc>
          <w:tcPr>
            <w:tcW w:w="872" w:type="pct"/>
            <w:vAlign w:val="center"/>
          </w:tcPr>
          <w:p w:rsidR="003E3C88" w:rsidRPr="002837E3" w:rsidRDefault="003E3C88" w:rsidP="00B84CAE">
            <w:pPr>
              <w:pStyle w:val="Tabletext"/>
              <w:jc w:val="center"/>
              <w:rPr>
                <w:b/>
                <w:sz w:val="18"/>
                <w:szCs w:val="18"/>
              </w:rPr>
            </w:pPr>
            <w:r w:rsidRPr="002837E3">
              <w:rPr>
                <w:b/>
                <w:sz w:val="18"/>
                <w:szCs w:val="18"/>
              </w:rPr>
              <w:t>N=</w:t>
            </w:r>
            <w:r w:rsidR="00B84CAE">
              <w:rPr>
                <w:b/>
                <w:sz w:val="18"/>
                <w:szCs w:val="18"/>
              </w:rPr>
              <w:t>73</w:t>
            </w:r>
          </w:p>
        </w:tc>
        <w:tc>
          <w:tcPr>
            <w:tcW w:w="873" w:type="pct"/>
            <w:vAlign w:val="center"/>
          </w:tcPr>
          <w:p w:rsidR="003E3C88" w:rsidRPr="002837E3" w:rsidRDefault="003E3C88" w:rsidP="00B84CAE">
            <w:pPr>
              <w:pStyle w:val="Tabletext"/>
              <w:jc w:val="center"/>
              <w:rPr>
                <w:b/>
                <w:sz w:val="18"/>
                <w:szCs w:val="18"/>
              </w:rPr>
            </w:pPr>
            <w:r w:rsidRPr="002837E3">
              <w:rPr>
                <w:b/>
                <w:sz w:val="18"/>
                <w:szCs w:val="18"/>
              </w:rPr>
              <w:t>N=</w:t>
            </w:r>
            <w:r w:rsidR="00B84CAE">
              <w:rPr>
                <w:b/>
                <w:sz w:val="18"/>
                <w:szCs w:val="18"/>
              </w:rPr>
              <w:t>74</w:t>
            </w:r>
          </w:p>
        </w:tc>
      </w:tr>
      <w:tr w:rsidR="00B84CAE" w:rsidRPr="002837E3" w:rsidTr="00B84CAE">
        <w:tc>
          <w:tcPr>
            <w:tcW w:w="5000" w:type="pct"/>
            <w:gridSpan w:val="4"/>
            <w:shd w:val="clear" w:color="auto" w:fill="BFBFBF" w:themeFill="background1" w:themeFillShade="BF"/>
            <w:vAlign w:val="center"/>
          </w:tcPr>
          <w:p w:rsidR="00B84CAE" w:rsidRPr="00D824B7" w:rsidRDefault="00B84CAE" w:rsidP="00B84CAE">
            <w:pPr>
              <w:pStyle w:val="Tabletext"/>
              <w:rPr>
                <w:b/>
                <w:bCs/>
                <w:sz w:val="18"/>
                <w:szCs w:val="18"/>
              </w:rPr>
            </w:pPr>
            <w:r w:rsidRPr="00D824B7">
              <w:rPr>
                <w:b/>
                <w:bCs/>
                <w:sz w:val="18"/>
                <w:szCs w:val="18"/>
              </w:rPr>
              <w:t>SF-36</w:t>
            </w:r>
            <w:r>
              <w:rPr>
                <w:b/>
                <w:bCs/>
                <w:sz w:val="18"/>
                <w:szCs w:val="18"/>
              </w:rPr>
              <w:t>, mean change from baseline (SD)</w:t>
            </w:r>
          </w:p>
        </w:tc>
      </w:tr>
      <w:tr w:rsidR="003E3C88" w:rsidRPr="002837E3" w:rsidTr="00E75A07">
        <w:tc>
          <w:tcPr>
            <w:tcW w:w="2383" w:type="pct"/>
            <w:vAlign w:val="center"/>
          </w:tcPr>
          <w:p w:rsidR="003E3C88" w:rsidRPr="002837E3" w:rsidRDefault="003E3C88" w:rsidP="00B84CAE">
            <w:pPr>
              <w:pStyle w:val="Tabletext"/>
              <w:rPr>
                <w:sz w:val="18"/>
                <w:szCs w:val="18"/>
              </w:rPr>
            </w:pPr>
            <w:r>
              <w:rPr>
                <w:sz w:val="18"/>
                <w:szCs w:val="18"/>
              </w:rPr>
              <w:t>Mental component</w:t>
            </w:r>
          </w:p>
        </w:tc>
        <w:tc>
          <w:tcPr>
            <w:tcW w:w="872" w:type="pct"/>
            <w:vAlign w:val="center"/>
          </w:tcPr>
          <w:p w:rsidR="003E3C88" w:rsidRPr="002837E3" w:rsidRDefault="003E3C88" w:rsidP="009F0049">
            <w:pPr>
              <w:pStyle w:val="Tabletext"/>
              <w:jc w:val="center"/>
              <w:rPr>
                <w:sz w:val="18"/>
                <w:szCs w:val="18"/>
              </w:rPr>
            </w:pPr>
            <w:r>
              <w:rPr>
                <w:sz w:val="18"/>
                <w:szCs w:val="18"/>
              </w:rPr>
              <w:t>-0.00 (11.06</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0.48 (9.12</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1.28 (8.67</w:t>
            </w:r>
            <w:r w:rsidRPr="002837E3">
              <w:rPr>
                <w:sz w:val="18"/>
                <w:szCs w:val="18"/>
              </w:rPr>
              <w:t>)</w:t>
            </w:r>
          </w:p>
        </w:tc>
      </w:tr>
      <w:tr w:rsidR="003E3C88" w:rsidTr="00E75A07">
        <w:tc>
          <w:tcPr>
            <w:tcW w:w="2383" w:type="pct"/>
            <w:vAlign w:val="center"/>
          </w:tcPr>
          <w:p w:rsidR="003E3C88" w:rsidRPr="002837E3" w:rsidRDefault="003E3C88" w:rsidP="00B84CAE">
            <w:pPr>
              <w:pStyle w:val="Tabletext"/>
              <w:rPr>
                <w:sz w:val="18"/>
                <w:szCs w:val="18"/>
              </w:rPr>
            </w:pPr>
            <w:r>
              <w:rPr>
                <w:sz w:val="18"/>
                <w:szCs w:val="18"/>
              </w:rPr>
              <w:t>Physical component</w:t>
            </w:r>
          </w:p>
        </w:tc>
        <w:tc>
          <w:tcPr>
            <w:tcW w:w="872" w:type="pct"/>
            <w:vAlign w:val="center"/>
          </w:tcPr>
          <w:p w:rsidR="003E3C88" w:rsidRPr="002837E3" w:rsidRDefault="003E3C88" w:rsidP="009F0049">
            <w:pPr>
              <w:pStyle w:val="Tabletext"/>
              <w:jc w:val="center"/>
              <w:rPr>
                <w:sz w:val="18"/>
                <w:szCs w:val="18"/>
              </w:rPr>
            </w:pPr>
            <w:r>
              <w:rPr>
                <w:sz w:val="18"/>
                <w:szCs w:val="18"/>
              </w:rPr>
              <w:t>1.16 (6.02</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0.68 (6.03</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1.77 (7.53</w:t>
            </w:r>
            <w:r w:rsidRPr="002837E3">
              <w:rPr>
                <w:sz w:val="18"/>
                <w:szCs w:val="18"/>
              </w:rPr>
              <w:t>)</w:t>
            </w:r>
          </w:p>
        </w:tc>
      </w:tr>
      <w:tr w:rsidR="00116262" w:rsidRPr="00D824B7" w:rsidTr="00116262">
        <w:tc>
          <w:tcPr>
            <w:tcW w:w="5000" w:type="pct"/>
            <w:gridSpan w:val="4"/>
            <w:shd w:val="clear" w:color="auto" w:fill="BFBFBF" w:themeFill="background1" w:themeFillShade="BF"/>
            <w:vAlign w:val="center"/>
          </w:tcPr>
          <w:p w:rsidR="00116262" w:rsidRPr="00D824B7" w:rsidRDefault="00116262" w:rsidP="00116262">
            <w:pPr>
              <w:pStyle w:val="Tabletext"/>
              <w:rPr>
                <w:b/>
                <w:bCs/>
                <w:sz w:val="18"/>
                <w:szCs w:val="18"/>
              </w:rPr>
            </w:pPr>
            <w:r>
              <w:rPr>
                <w:b/>
                <w:bCs/>
                <w:sz w:val="18"/>
                <w:szCs w:val="18"/>
              </w:rPr>
              <w:t>EQ-5D-5L, mean change from baseline (SD)</w:t>
            </w:r>
          </w:p>
        </w:tc>
      </w:tr>
      <w:tr w:rsidR="003E3C88" w:rsidRPr="002837E3" w:rsidTr="00E75A07">
        <w:tc>
          <w:tcPr>
            <w:tcW w:w="2383" w:type="pct"/>
            <w:vAlign w:val="center"/>
          </w:tcPr>
          <w:p w:rsidR="003E3C88" w:rsidRPr="002837E3" w:rsidRDefault="003E3C88" w:rsidP="00B84CAE">
            <w:pPr>
              <w:pStyle w:val="Tabletext"/>
              <w:rPr>
                <w:sz w:val="18"/>
                <w:szCs w:val="18"/>
              </w:rPr>
            </w:pPr>
            <w:r>
              <w:rPr>
                <w:sz w:val="18"/>
                <w:szCs w:val="18"/>
              </w:rPr>
              <w:t>Anxiety depression</w:t>
            </w:r>
          </w:p>
        </w:tc>
        <w:tc>
          <w:tcPr>
            <w:tcW w:w="872" w:type="pct"/>
            <w:vAlign w:val="center"/>
          </w:tcPr>
          <w:p w:rsidR="003E3C88" w:rsidRPr="002837E3" w:rsidRDefault="003E3C88" w:rsidP="009F0049">
            <w:pPr>
              <w:pStyle w:val="Tabletext"/>
              <w:jc w:val="center"/>
              <w:rPr>
                <w:sz w:val="18"/>
                <w:szCs w:val="18"/>
              </w:rPr>
            </w:pPr>
            <w:r>
              <w:rPr>
                <w:sz w:val="18"/>
                <w:szCs w:val="18"/>
              </w:rPr>
              <w:t>0.1 (0.8</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-0.1 (0.9</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-0.3 (1.0</w:t>
            </w:r>
            <w:r w:rsidRPr="002837E3">
              <w:rPr>
                <w:sz w:val="18"/>
                <w:szCs w:val="18"/>
              </w:rPr>
              <w:t>)</w:t>
            </w:r>
          </w:p>
        </w:tc>
      </w:tr>
      <w:tr w:rsidR="003E3C88" w:rsidRPr="002837E3" w:rsidTr="00E75A07">
        <w:tc>
          <w:tcPr>
            <w:tcW w:w="2383" w:type="pct"/>
            <w:vAlign w:val="center"/>
          </w:tcPr>
          <w:p w:rsidR="003E3C88" w:rsidRPr="002837E3" w:rsidRDefault="003E3C88" w:rsidP="00B84CAE">
            <w:pPr>
              <w:pStyle w:val="Tabletext"/>
              <w:rPr>
                <w:sz w:val="18"/>
                <w:szCs w:val="18"/>
              </w:rPr>
            </w:pPr>
            <w:r>
              <w:rPr>
                <w:sz w:val="18"/>
                <w:szCs w:val="18"/>
              </w:rPr>
              <w:t>Mobility</w:t>
            </w:r>
          </w:p>
        </w:tc>
        <w:tc>
          <w:tcPr>
            <w:tcW w:w="872" w:type="pct"/>
            <w:vAlign w:val="center"/>
          </w:tcPr>
          <w:p w:rsidR="003E3C88" w:rsidRPr="002837E3" w:rsidRDefault="003E3C88" w:rsidP="009F0049">
            <w:pPr>
              <w:pStyle w:val="Tabletext"/>
              <w:jc w:val="center"/>
              <w:rPr>
                <w:sz w:val="18"/>
                <w:szCs w:val="18"/>
              </w:rPr>
            </w:pPr>
            <w:r>
              <w:rPr>
                <w:sz w:val="18"/>
                <w:szCs w:val="18"/>
              </w:rPr>
              <w:t>0.1 (0.7</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0.0 (1.0</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0.0 (0.9</w:t>
            </w:r>
            <w:r w:rsidRPr="002837E3">
              <w:rPr>
                <w:sz w:val="18"/>
                <w:szCs w:val="18"/>
              </w:rPr>
              <w:t>)</w:t>
            </w:r>
          </w:p>
        </w:tc>
      </w:tr>
      <w:tr w:rsidR="003E3C88" w:rsidRPr="002837E3" w:rsidTr="00E75A07">
        <w:tc>
          <w:tcPr>
            <w:tcW w:w="2383" w:type="pct"/>
            <w:vAlign w:val="center"/>
          </w:tcPr>
          <w:p w:rsidR="003E3C88" w:rsidRPr="002837E3" w:rsidRDefault="003E3C88" w:rsidP="00B84CAE">
            <w:pPr>
              <w:pStyle w:val="Tabletext"/>
              <w:rPr>
                <w:sz w:val="18"/>
                <w:szCs w:val="18"/>
              </w:rPr>
            </w:pPr>
            <w:r>
              <w:rPr>
                <w:sz w:val="18"/>
                <w:szCs w:val="18"/>
              </w:rPr>
              <w:t>Pain/discomfort</w:t>
            </w:r>
          </w:p>
        </w:tc>
        <w:tc>
          <w:tcPr>
            <w:tcW w:w="872" w:type="pct"/>
            <w:vAlign w:val="center"/>
          </w:tcPr>
          <w:p w:rsidR="003E3C88" w:rsidRPr="002837E3" w:rsidRDefault="003E3C88" w:rsidP="009F0049">
            <w:pPr>
              <w:pStyle w:val="Tabletext"/>
              <w:jc w:val="center"/>
              <w:rPr>
                <w:sz w:val="18"/>
                <w:szCs w:val="18"/>
              </w:rPr>
            </w:pPr>
            <w:r>
              <w:rPr>
                <w:sz w:val="18"/>
                <w:szCs w:val="18"/>
              </w:rPr>
              <w:t>0.0 (0.8</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-0.3 (0.9</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-0.2 (0.8</w:t>
            </w:r>
            <w:r w:rsidRPr="002837E3">
              <w:rPr>
                <w:sz w:val="18"/>
                <w:szCs w:val="18"/>
              </w:rPr>
              <w:t>)</w:t>
            </w:r>
          </w:p>
        </w:tc>
      </w:tr>
      <w:tr w:rsidR="003E3C88" w:rsidRPr="002837E3" w:rsidTr="00E75A07">
        <w:tc>
          <w:tcPr>
            <w:tcW w:w="2383" w:type="pct"/>
            <w:vAlign w:val="center"/>
          </w:tcPr>
          <w:p w:rsidR="003E3C88" w:rsidRPr="002837E3" w:rsidRDefault="003E3C88" w:rsidP="00B84CAE">
            <w:pPr>
              <w:pStyle w:val="Tabletext"/>
              <w:rPr>
                <w:sz w:val="18"/>
                <w:szCs w:val="18"/>
              </w:rPr>
            </w:pPr>
            <w:r>
              <w:rPr>
                <w:sz w:val="18"/>
                <w:szCs w:val="18"/>
              </w:rPr>
              <w:t>Self-care</w:t>
            </w:r>
          </w:p>
        </w:tc>
        <w:tc>
          <w:tcPr>
            <w:tcW w:w="872" w:type="pct"/>
            <w:vAlign w:val="center"/>
          </w:tcPr>
          <w:p w:rsidR="003E3C88" w:rsidRPr="002837E3" w:rsidRDefault="003E3C88" w:rsidP="009F0049">
            <w:pPr>
              <w:pStyle w:val="Tabletext"/>
              <w:jc w:val="center"/>
              <w:rPr>
                <w:sz w:val="18"/>
                <w:szCs w:val="18"/>
              </w:rPr>
            </w:pPr>
            <w:r>
              <w:rPr>
                <w:sz w:val="18"/>
                <w:szCs w:val="18"/>
              </w:rPr>
              <w:t>0.2 (0.9</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-0.2 (0.9</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0.0 (0.8</w:t>
            </w:r>
            <w:r w:rsidRPr="002837E3">
              <w:rPr>
                <w:sz w:val="18"/>
                <w:szCs w:val="18"/>
              </w:rPr>
              <w:t>)</w:t>
            </w:r>
          </w:p>
        </w:tc>
      </w:tr>
      <w:tr w:rsidR="003E3C88" w:rsidRPr="002837E3" w:rsidTr="00E75A07">
        <w:tc>
          <w:tcPr>
            <w:tcW w:w="2383" w:type="pct"/>
            <w:vAlign w:val="center"/>
          </w:tcPr>
          <w:p w:rsidR="003E3C88" w:rsidRPr="002837E3" w:rsidRDefault="003E3C88" w:rsidP="00B84CAE">
            <w:pPr>
              <w:pStyle w:val="Tabletext"/>
              <w:rPr>
                <w:sz w:val="18"/>
                <w:szCs w:val="18"/>
              </w:rPr>
            </w:pPr>
            <w:r>
              <w:rPr>
                <w:sz w:val="18"/>
                <w:szCs w:val="18"/>
              </w:rPr>
              <w:t>Usual activities</w:t>
            </w:r>
          </w:p>
        </w:tc>
        <w:tc>
          <w:tcPr>
            <w:tcW w:w="872" w:type="pct"/>
            <w:vAlign w:val="center"/>
          </w:tcPr>
          <w:p w:rsidR="003E3C88" w:rsidRPr="002837E3" w:rsidRDefault="003E3C88" w:rsidP="009F0049">
            <w:pPr>
              <w:pStyle w:val="Tabletext"/>
              <w:jc w:val="center"/>
              <w:rPr>
                <w:sz w:val="18"/>
                <w:szCs w:val="18"/>
              </w:rPr>
            </w:pPr>
            <w:r>
              <w:rPr>
                <w:sz w:val="18"/>
                <w:szCs w:val="18"/>
              </w:rPr>
              <w:t>0.1 (0.9</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-0.1 (1.0</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-0.2 (0.9</w:t>
            </w:r>
            <w:r w:rsidRPr="002837E3">
              <w:rPr>
                <w:sz w:val="18"/>
                <w:szCs w:val="18"/>
              </w:rPr>
              <w:t>)</w:t>
            </w:r>
          </w:p>
        </w:tc>
      </w:tr>
      <w:tr w:rsidR="003E3C88" w:rsidRPr="002837E3" w:rsidTr="00E75A07">
        <w:tc>
          <w:tcPr>
            <w:tcW w:w="2383" w:type="pct"/>
            <w:vAlign w:val="center"/>
          </w:tcPr>
          <w:p w:rsidR="003E3C88" w:rsidRPr="002837E3" w:rsidRDefault="003E3C88" w:rsidP="00B84CAE">
            <w:pPr>
              <w:pStyle w:val="Tabletext"/>
              <w:rPr>
                <w:sz w:val="18"/>
                <w:szCs w:val="18"/>
              </w:rPr>
            </w:pPr>
            <w:r>
              <w:rPr>
                <w:sz w:val="18"/>
                <w:szCs w:val="18"/>
              </w:rPr>
              <w:t>EQ-5D VAS</w:t>
            </w:r>
          </w:p>
        </w:tc>
        <w:tc>
          <w:tcPr>
            <w:tcW w:w="872" w:type="pct"/>
            <w:vAlign w:val="center"/>
          </w:tcPr>
          <w:p w:rsidR="003E3C88" w:rsidRPr="002837E3" w:rsidRDefault="003E3C88" w:rsidP="009F0049">
            <w:pPr>
              <w:pStyle w:val="Tabletext"/>
              <w:jc w:val="center"/>
              <w:rPr>
                <w:sz w:val="18"/>
                <w:szCs w:val="18"/>
              </w:rPr>
            </w:pPr>
            <w:r>
              <w:rPr>
                <w:sz w:val="18"/>
                <w:szCs w:val="18"/>
              </w:rPr>
              <w:t>2.9 (15.9</w:t>
            </w:r>
            <w:r w:rsidRPr="002837E3">
              <w:rPr>
                <w:sz w:val="18"/>
                <w:szCs w:val="18"/>
              </w:rPr>
              <w:t>)</w:t>
            </w:r>
          </w:p>
        </w:tc>
        <w:tc>
          <w:tcPr>
            <w:tcW w:w="872" w:type="pct"/>
            <w:vAlign w:val="center"/>
          </w:tcPr>
          <w:p w:rsidR="003E3C88" w:rsidRPr="002837E3" w:rsidRDefault="003E3C88" w:rsidP="009F0049">
            <w:pPr>
              <w:pStyle w:val="Tabletext"/>
              <w:jc w:val="center"/>
              <w:rPr>
                <w:sz w:val="18"/>
                <w:szCs w:val="18"/>
              </w:rPr>
            </w:pPr>
            <w:r>
              <w:rPr>
                <w:sz w:val="18"/>
                <w:szCs w:val="18"/>
              </w:rPr>
              <w:t>2.4 (18.9</w:t>
            </w:r>
            <w:r w:rsidRPr="002837E3">
              <w:rPr>
                <w:sz w:val="18"/>
                <w:szCs w:val="18"/>
              </w:rPr>
              <w:t>)</w:t>
            </w:r>
          </w:p>
        </w:tc>
        <w:tc>
          <w:tcPr>
            <w:tcW w:w="873" w:type="pct"/>
            <w:vAlign w:val="center"/>
          </w:tcPr>
          <w:p w:rsidR="003E3C88" w:rsidRPr="002837E3" w:rsidRDefault="003E3C88" w:rsidP="009F0049">
            <w:pPr>
              <w:pStyle w:val="Tabletext"/>
              <w:jc w:val="center"/>
              <w:rPr>
                <w:sz w:val="18"/>
                <w:szCs w:val="18"/>
              </w:rPr>
            </w:pPr>
            <w:r>
              <w:rPr>
                <w:sz w:val="18"/>
                <w:szCs w:val="18"/>
              </w:rPr>
              <w:t>2.0 (19.6</w:t>
            </w:r>
            <w:r w:rsidRPr="002837E3">
              <w:rPr>
                <w:sz w:val="18"/>
                <w:szCs w:val="18"/>
              </w:rPr>
              <w:t>)</w:t>
            </w:r>
          </w:p>
        </w:tc>
      </w:tr>
    </w:tbl>
    <w:p w:rsidR="003E3C88" w:rsidRDefault="003E3C88" w:rsidP="009F0049">
      <w:pPr>
        <w:pStyle w:val="TableFooter"/>
        <w:widowControl/>
      </w:pPr>
      <w:r>
        <w:t>SD = standard deviation; VAS = visual analogue scale</w:t>
      </w:r>
    </w:p>
    <w:p w:rsidR="003E3C88" w:rsidRPr="00E85F2B" w:rsidRDefault="003E3C88" w:rsidP="009F0049">
      <w:pPr>
        <w:pStyle w:val="TableFooter"/>
        <w:widowControl/>
        <w:rPr>
          <w:sz w:val="20"/>
        </w:rPr>
      </w:pPr>
      <w:r w:rsidRPr="00E85F2B">
        <w:t xml:space="preserve">Source: Supplementary Table 3, Appendix to </w:t>
      </w:r>
      <w:proofErr w:type="spellStart"/>
      <w:r w:rsidRPr="00E85F2B">
        <w:t>Gracies</w:t>
      </w:r>
      <w:proofErr w:type="spellEnd"/>
      <w:r w:rsidRPr="00E85F2B">
        <w:t xml:space="preserve"> (2015).</w:t>
      </w:r>
    </w:p>
    <w:p w:rsidR="003E3C88" w:rsidRPr="000F1DF7" w:rsidRDefault="003E3C88" w:rsidP="00611D60">
      <w:pPr>
        <w:pStyle w:val="TableFooter"/>
      </w:pPr>
    </w:p>
    <w:p w:rsidR="00A5193A" w:rsidRPr="000F1DF7" w:rsidRDefault="00BD272A" w:rsidP="009F0049">
      <w:pPr>
        <w:pStyle w:val="ListParagraph"/>
        <w:widowControl/>
        <w:numPr>
          <w:ilvl w:val="1"/>
          <w:numId w:val="1"/>
        </w:numPr>
      </w:pPr>
      <w:r w:rsidRPr="000F1DF7">
        <w:t xml:space="preserve">A series of correlation analyses performed in the submission </w:t>
      </w:r>
      <w:r w:rsidR="00B160D8">
        <w:t xml:space="preserve">demonstrated </w:t>
      </w:r>
      <w:r w:rsidRPr="000F1DF7">
        <w:t xml:space="preserve">that </w:t>
      </w:r>
      <w:r w:rsidR="00B160D8">
        <w:t xml:space="preserve">although </w:t>
      </w:r>
      <w:r w:rsidRPr="000F1DF7">
        <w:t xml:space="preserve">there </w:t>
      </w:r>
      <w:r w:rsidR="00B160D8">
        <w:t xml:space="preserve">was </w:t>
      </w:r>
      <w:r w:rsidRPr="000F1DF7">
        <w:t>some relationship between MAS and functioning scales, there was generally a lack of significant associations between MAS and EQ-5D-5L derived utility.</w:t>
      </w:r>
    </w:p>
    <w:p w:rsidR="00B60939" w:rsidRPr="00C9624D" w:rsidRDefault="00B60939" w:rsidP="009F0049">
      <w:pPr>
        <w:pStyle w:val="Heading2"/>
        <w:widowControl/>
      </w:pPr>
      <w:bookmarkStart w:id="25" w:name="_Toc524461028"/>
      <w:r w:rsidRPr="00C9624D">
        <w:t>Comparative harms</w:t>
      </w:r>
      <w:bookmarkEnd w:id="25"/>
    </w:p>
    <w:p w:rsidR="005156C0" w:rsidRPr="00550FAA" w:rsidRDefault="00C568B9" w:rsidP="009F0049">
      <w:pPr>
        <w:pStyle w:val="ListParagraph"/>
        <w:widowControl/>
        <w:numPr>
          <w:ilvl w:val="1"/>
          <w:numId w:val="1"/>
        </w:numPr>
      </w:pPr>
      <w:r>
        <w:t>T</w:t>
      </w:r>
      <w:r w:rsidR="005156C0" w:rsidRPr="000F1DF7">
        <w:t xml:space="preserve">he proportion of patients reporting at least one treatment emergent adverse event </w:t>
      </w:r>
      <w:r>
        <w:t xml:space="preserve">in the ITT population of Study 145 </w:t>
      </w:r>
      <w:r w:rsidR="005156C0" w:rsidRPr="000F1DF7">
        <w:t>was significantly higher with Dysport</w:t>
      </w:r>
      <w:r w:rsidR="005156C0" w:rsidRPr="000F1DF7">
        <w:rPr>
          <w:rFonts w:cs="Calibri"/>
        </w:rPr>
        <w:t>®</w:t>
      </w:r>
      <w:r w:rsidR="00B160D8">
        <w:rPr>
          <w:rFonts w:cs="Calibri"/>
        </w:rPr>
        <w:t xml:space="preserve"> (</w:t>
      </w:r>
      <w:r w:rsidRPr="000F1DF7">
        <w:t>1000U</w:t>
      </w:r>
      <w:r>
        <w:t xml:space="preserve"> =</w:t>
      </w:r>
      <w:r w:rsidRPr="000F1DF7">
        <w:t xml:space="preserve"> </w:t>
      </w:r>
      <w:r w:rsidR="005156C0" w:rsidRPr="000F1DF7">
        <w:t>42%</w:t>
      </w:r>
      <w:r>
        <w:t>; 500U =</w:t>
      </w:r>
      <w:r w:rsidR="005156C0" w:rsidRPr="000F1DF7">
        <w:t xml:space="preserve"> 44.4%</w:t>
      </w:r>
      <w:r w:rsidR="00B160D8">
        <w:t>)</w:t>
      </w:r>
      <w:r w:rsidR="005156C0" w:rsidRPr="000F1DF7">
        <w:t xml:space="preserve"> compared to placebo</w:t>
      </w:r>
      <w:r>
        <w:t xml:space="preserve"> (25.9%)</w:t>
      </w:r>
      <w:r w:rsidR="00B77A79">
        <w:t>; however, t</w:t>
      </w:r>
      <w:r w:rsidR="005156C0" w:rsidRPr="000F1DF7">
        <w:t>he majority were mild in intensity.</w:t>
      </w:r>
      <w:r w:rsidR="00642FE1">
        <w:t xml:space="preserve"> </w:t>
      </w:r>
      <w:r w:rsidR="005156C0" w:rsidRPr="000F1DF7">
        <w:rPr>
          <w:iCs/>
        </w:rPr>
        <w:t xml:space="preserve">The incidence of any </w:t>
      </w:r>
      <w:r w:rsidR="00B77A79">
        <w:rPr>
          <w:iCs/>
        </w:rPr>
        <w:t>adverse event</w:t>
      </w:r>
      <w:r w:rsidR="005156C0" w:rsidRPr="000F1DF7">
        <w:rPr>
          <w:iCs/>
        </w:rPr>
        <w:t xml:space="preserve">, serious </w:t>
      </w:r>
      <w:r w:rsidR="00B77A79">
        <w:rPr>
          <w:iCs/>
        </w:rPr>
        <w:t>adverse events</w:t>
      </w:r>
      <w:r w:rsidR="005156C0" w:rsidRPr="000F1DF7">
        <w:rPr>
          <w:iCs/>
        </w:rPr>
        <w:t xml:space="preserve">, discontinuations due to </w:t>
      </w:r>
      <w:r w:rsidR="00B77A79">
        <w:rPr>
          <w:iCs/>
        </w:rPr>
        <w:t>treatment emergent adverse events</w:t>
      </w:r>
      <w:r w:rsidR="005156C0" w:rsidRPr="000F1DF7">
        <w:rPr>
          <w:iCs/>
        </w:rPr>
        <w:t xml:space="preserve"> and deaths were similar between the Dysport</w:t>
      </w:r>
      <w:r w:rsidR="005156C0" w:rsidRPr="000F1DF7">
        <w:rPr>
          <w:rFonts w:cs="Calibri"/>
          <w:iCs/>
        </w:rPr>
        <w:t>®</w:t>
      </w:r>
      <w:r w:rsidR="005156C0" w:rsidRPr="000F1DF7">
        <w:rPr>
          <w:iCs/>
        </w:rPr>
        <w:t xml:space="preserve"> and placebo treatment groups.</w:t>
      </w:r>
      <w:r w:rsidR="00642FE1">
        <w:rPr>
          <w:iCs/>
        </w:rPr>
        <w:t xml:space="preserve"> </w:t>
      </w:r>
      <w:r w:rsidR="00051BD8" w:rsidRPr="000F1DF7">
        <w:rPr>
          <w:iCs/>
        </w:rPr>
        <w:t xml:space="preserve">In Study 145, the most frequently reported </w:t>
      </w:r>
      <w:r w:rsidR="00B77A79">
        <w:rPr>
          <w:iCs/>
        </w:rPr>
        <w:t>adverse events</w:t>
      </w:r>
      <w:r w:rsidR="00051BD8" w:rsidRPr="000F1DF7">
        <w:rPr>
          <w:iCs/>
        </w:rPr>
        <w:t xml:space="preserve"> were </w:t>
      </w:r>
      <w:proofErr w:type="spellStart"/>
      <w:r w:rsidR="00051BD8" w:rsidRPr="000F1DF7">
        <w:rPr>
          <w:iCs/>
        </w:rPr>
        <w:t>naso</w:t>
      </w:r>
      <w:r w:rsidR="00FB0955" w:rsidRPr="000F1DF7">
        <w:rPr>
          <w:iCs/>
        </w:rPr>
        <w:t>pharyngitis</w:t>
      </w:r>
      <w:proofErr w:type="spellEnd"/>
      <w:r w:rsidR="00FB0955" w:rsidRPr="000F1DF7">
        <w:rPr>
          <w:iCs/>
        </w:rPr>
        <w:t xml:space="preserve"> and muscular weakn</w:t>
      </w:r>
      <w:r w:rsidR="00051BD8" w:rsidRPr="000F1DF7">
        <w:rPr>
          <w:iCs/>
        </w:rPr>
        <w:t>ess.</w:t>
      </w:r>
      <w:r w:rsidR="004D701B">
        <w:rPr>
          <w:iCs/>
        </w:rPr>
        <w:t xml:space="preserve"> </w:t>
      </w:r>
      <w:r w:rsidR="004D701B" w:rsidRPr="00E75A07">
        <w:rPr>
          <w:iCs/>
        </w:rPr>
        <w:t xml:space="preserve">The ESC noted that the </w:t>
      </w:r>
      <w:r w:rsidR="00B160D8" w:rsidRPr="00E75A07">
        <w:rPr>
          <w:iCs/>
        </w:rPr>
        <w:t xml:space="preserve">type of </w:t>
      </w:r>
      <w:r w:rsidR="00B77A79">
        <w:rPr>
          <w:iCs/>
        </w:rPr>
        <w:t xml:space="preserve">treatment emergent adverse events associated with </w:t>
      </w:r>
      <w:r w:rsidR="004D701B" w:rsidRPr="00E75A07">
        <w:rPr>
          <w:iCs/>
        </w:rPr>
        <w:t>Dysport</w:t>
      </w:r>
      <w:r w:rsidR="00B160D8" w:rsidRPr="00E75A07">
        <w:rPr>
          <w:rFonts w:cs="Calibri"/>
          <w:iCs/>
        </w:rPr>
        <w:t>®</w:t>
      </w:r>
      <w:r w:rsidR="004D701B" w:rsidRPr="00E75A07">
        <w:rPr>
          <w:iCs/>
        </w:rPr>
        <w:t xml:space="preserve"> were limited</w:t>
      </w:r>
      <w:r w:rsidR="00B160D8" w:rsidRPr="00E75A07">
        <w:rPr>
          <w:iCs/>
        </w:rPr>
        <w:t>,</w:t>
      </w:r>
      <w:r w:rsidR="004D701B" w:rsidRPr="00E75A07">
        <w:rPr>
          <w:iCs/>
        </w:rPr>
        <w:t xml:space="preserve"> but higher than in the placebo group. </w:t>
      </w:r>
      <w:r w:rsidR="00B160D8" w:rsidRPr="00E75A07">
        <w:rPr>
          <w:iCs/>
        </w:rPr>
        <w:t>In addition, the ESC noted that patients receiving standard of care in practice would not receive a placebo injection.</w:t>
      </w:r>
    </w:p>
    <w:p w:rsidR="007F1017" w:rsidRPr="00C9624D" w:rsidRDefault="007F1017" w:rsidP="00550FAA">
      <w:pPr>
        <w:pStyle w:val="Heading2"/>
        <w:keepNext w:val="0"/>
        <w:widowControl/>
      </w:pPr>
      <w:bookmarkStart w:id="26" w:name="_Toc524461029"/>
      <w:r w:rsidRPr="00C9624D">
        <w:t>Benefits/harms</w:t>
      </w:r>
      <w:bookmarkEnd w:id="26"/>
    </w:p>
    <w:p w:rsidR="00D91328" w:rsidRDefault="00D91328" w:rsidP="00550FAA">
      <w:pPr>
        <w:pStyle w:val="ListParagraph"/>
        <w:widowControl/>
        <w:numPr>
          <w:ilvl w:val="1"/>
          <w:numId w:val="1"/>
        </w:numPr>
      </w:pPr>
      <w:r w:rsidRPr="00B50DB8">
        <w:t>A summary of the comp</w:t>
      </w:r>
      <w:r>
        <w:t>arative benefits and harms for Dysport</w:t>
      </w:r>
      <w:r>
        <w:rPr>
          <w:rFonts w:cs="Calibri"/>
        </w:rPr>
        <w:t>®</w:t>
      </w:r>
      <w:r>
        <w:t xml:space="preserve"> versus placebo</w:t>
      </w:r>
      <w:r w:rsidRPr="00B50DB8">
        <w:t xml:space="preserve"> </w:t>
      </w:r>
      <w:r>
        <w:t>is presented in</w:t>
      </w:r>
      <w:r w:rsidR="007A5A38">
        <w:t xml:space="preserve"> Table 1</w:t>
      </w:r>
      <w:r w:rsidR="009F0049">
        <w:t>1</w:t>
      </w:r>
      <w:r w:rsidR="003368A6">
        <w:t>.</w:t>
      </w:r>
      <w:r w:rsidRPr="00B50DB8">
        <w:t xml:space="preserve"> </w:t>
      </w:r>
    </w:p>
    <w:p w:rsidR="00D91328" w:rsidRPr="000D4E70" w:rsidRDefault="000D4E70" w:rsidP="009F0049">
      <w:pPr>
        <w:pStyle w:val="TableHeading0"/>
      </w:pPr>
      <w:bookmarkStart w:id="27" w:name="_Ref526506999"/>
      <w:r w:rsidRPr="000D4E70">
        <w:lastRenderedPageBreak/>
        <w:t xml:space="preserve">Table </w:t>
      </w:r>
      <w:bookmarkEnd w:id="27"/>
      <w:r w:rsidR="003E3C88">
        <w:t>11</w:t>
      </w:r>
      <w:r w:rsidR="00D91328" w:rsidRPr="000D4E70">
        <w:t>: Summary of comparative benefits and harms for Dysport® and PBO</w:t>
      </w:r>
    </w:p>
    <w:tbl>
      <w:tblPr>
        <w:tblW w:w="5000" w:type="pct"/>
        <w:tblLayout w:type="fixed"/>
        <w:tblCellMar>
          <w:left w:w="28" w:type="dxa"/>
          <w:right w:w="28" w:type="dxa"/>
        </w:tblCellMar>
        <w:tblLook w:val="04A0" w:firstRow="1" w:lastRow="0" w:firstColumn="1" w:lastColumn="0" w:noHBand="0" w:noVBand="1"/>
      </w:tblPr>
      <w:tblGrid>
        <w:gridCol w:w="1305"/>
        <w:gridCol w:w="8"/>
        <w:gridCol w:w="575"/>
        <w:gridCol w:w="537"/>
        <w:gridCol w:w="1048"/>
        <w:gridCol w:w="705"/>
        <w:gridCol w:w="561"/>
        <w:gridCol w:w="467"/>
        <w:gridCol w:w="950"/>
        <w:gridCol w:w="272"/>
        <w:gridCol w:w="22"/>
        <w:gridCol w:w="402"/>
        <w:gridCol w:w="721"/>
        <w:gridCol w:w="23"/>
        <w:gridCol w:w="1421"/>
      </w:tblGrid>
      <w:tr w:rsidR="00D91328" w:rsidRPr="00E2771E" w:rsidTr="00F95EC1">
        <w:tc>
          <w:tcPr>
            <w:tcW w:w="5000" w:type="pct"/>
            <w:gridSpan w:val="15"/>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D91328" w:rsidRPr="00E75A07" w:rsidRDefault="00D91328" w:rsidP="009F0049">
            <w:pPr>
              <w:keepNext/>
              <w:widowControl/>
              <w:rPr>
                <w:rFonts w:ascii="Arial Narrow" w:hAnsi="Arial Narrow"/>
                <w:b/>
                <w:color w:val="000000"/>
                <w:sz w:val="20"/>
                <w:szCs w:val="18"/>
              </w:rPr>
            </w:pPr>
            <w:r w:rsidRPr="00E75A07">
              <w:rPr>
                <w:rFonts w:ascii="Arial Narrow" w:hAnsi="Arial Narrow"/>
                <w:b/>
                <w:color w:val="000000"/>
                <w:sz w:val="20"/>
                <w:szCs w:val="18"/>
              </w:rPr>
              <w:t>Benefits</w:t>
            </w:r>
          </w:p>
        </w:tc>
      </w:tr>
      <w:tr w:rsidR="00D91328" w:rsidRPr="00E2771E" w:rsidTr="00F95EC1">
        <w:tc>
          <w:tcPr>
            <w:tcW w:w="5000" w:type="pct"/>
            <w:gridSpan w:val="15"/>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1328" w:rsidRPr="00E75A07" w:rsidRDefault="00D91328" w:rsidP="009F0049">
            <w:pPr>
              <w:keepNext/>
              <w:widowControl/>
              <w:rPr>
                <w:rFonts w:ascii="Arial Narrow" w:hAnsi="Arial Narrow"/>
                <w:b/>
                <w:color w:val="000000"/>
                <w:sz w:val="20"/>
                <w:szCs w:val="18"/>
              </w:rPr>
            </w:pPr>
            <w:r w:rsidRPr="00E75A07">
              <w:rPr>
                <w:rFonts w:ascii="Arial Narrow" w:hAnsi="Arial Narrow"/>
                <w:b/>
                <w:color w:val="000000"/>
                <w:sz w:val="20"/>
                <w:szCs w:val="18"/>
              </w:rPr>
              <w:t>Continuous outcome: change from baseline to Week 4 in MAS in the PTMG</w:t>
            </w:r>
          </w:p>
        </w:tc>
      </w:tr>
      <w:tr w:rsidR="000B5BF6" w:rsidRPr="00E2771E" w:rsidTr="000B5BF6">
        <w:trPr>
          <w:trHeight w:val="225"/>
        </w:trPr>
        <w:tc>
          <w:tcPr>
            <w:tcW w:w="7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D91328" w:rsidRPr="00E75A07" w:rsidRDefault="00E271B2"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Dysport</w:t>
            </w:r>
          </w:p>
        </w:tc>
        <w:tc>
          <w:tcPr>
            <w:tcW w:w="1482" w:type="pct"/>
            <w:gridSpan w:val="6"/>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PBO</w:t>
            </w:r>
          </w:p>
        </w:tc>
        <w:tc>
          <w:tcPr>
            <w:tcW w:w="1203" w:type="pct"/>
            <w:gridSpan w:val="3"/>
            <w:vMerge w:val="restar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sz w:val="20"/>
                <w:szCs w:val="18"/>
              </w:rPr>
            </w:pPr>
            <w:r w:rsidRPr="00E75A07">
              <w:rPr>
                <w:rFonts w:ascii="Arial Narrow" w:hAnsi="Arial Narrow"/>
                <w:b/>
                <w:sz w:val="20"/>
                <w:szCs w:val="18"/>
              </w:rPr>
              <w:t>Mean difference*</w:t>
            </w:r>
            <w:r w:rsidR="00B77A79">
              <w:rPr>
                <w:rFonts w:ascii="Arial Narrow" w:hAnsi="Arial Narrow"/>
                <w:b/>
                <w:sz w:val="20"/>
                <w:szCs w:val="18"/>
              </w:rPr>
              <w:t xml:space="preserve"> </w:t>
            </w:r>
            <w:r w:rsidR="00471FB0" w:rsidRPr="00E75A07">
              <w:rPr>
                <w:rFonts w:ascii="Arial Narrow" w:hAnsi="Arial Narrow"/>
                <w:b/>
                <w:sz w:val="20"/>
                <w:szCs w:val="18"/>
              </w:rPr>
              <w:t>(95% CI)</w:t>
            </w:r>
            <w:r w:rsidRPr="00E75A07">
              <w:rPr>
                <w:rFonts w:ascii="Arial Narrow" w:hAnsi="Arial Narrow"/>
                <w:b/>
                <w:sz w:val="20"/>
                <w:szCs w:val="18"/>
              </w:rPr>
              <w:t xml:space="preserve">: </w:t>
            </w:r>
            <w:r w:rsidR="00E271B2" w:rsidRPr="00E75A07">
              <w:rPr>
                <w:rFonts w:ascii="Arial Narrow" w:hAnsi="Arial Narrow"/>
                <w:b/>
                <w:sz w:val="20"/>
                <w:szCs w:val="18"/>
              </w:rPr>
              <w:t>Dysport</w:t>
            </w:r>
            <w:r w:rsidRPr="00E75A07">
              <w:rPr>
                <w:rFonts w:ascii="Arial Narrow" w:hAnsi="Arial Narrow"/>
                <w:b/>
                <w:sz w:val="20"/>
                <w:szCs w:val="18"/>
              </w:rPr>
              <w:t xml:space="preserve"> vs. PBO</w:t>
            </w:r>
          </w:p>
        </w:tc>
      </w:tr>
      <w:tr w:rsidR="000B5BF6" w:rsidRPr="00E2771E" w:rsidTr="000B5BF6">
        <w:trPr>
          <w:trHeight w:val="265"/>
        </w:trPr>
        <w:tc>
          <w:tcPr>
            <w:tcW w:w="72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sz w:val="20"/>
                <w:szCs w:val="18"/>
              </w:rPr>
            </w:pPr>
            <w:r w:rsidRPr="00E75A07">
              <w:rPr>
                <w:rFonts w:ascii="Arial Narrow" w:hAnsi="Arial Narrow"/>
                <w:b/>
                <w:sz w:val="20"/>
                <w:szCs w:val="18"/>
              </w:rPr>
              <w:t>Mean ∆ baseline</w:t>
            </w:r>
          </w:p>
        </w:tc>
        <w:tc>
          <w:tcPr>
            <w:tcW w:w="391"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sz w:val="20"/>
                <w:szCs w:val="18"/>
              </w:rPr>
            </w:pPr>
            <w:r w:rsidRPr="00E75A07">
              <w:rPr>
                <w:rFonts w:ascii="Arial Narrow" w:hAnsi="Arial Narrow"/>
                <w:b/>
                <w:sz w:val="20"/>
                <w:szCs w:val="18"/>
              </w:rPr>
              <w:t>SD</w:t>
            </w:r>
          </w:p>
        </w:tc>
        <w:tc>
          <w:tcPr>
            <w:tcW w:w="311"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sz w:val="20"/>
                <w:szCs w:val="18"/>
              </w:rPr>
            </w:pPr>
            <w:r w:rsidRPr="00E75A07">
              <w:rPr>
                <w:rFonts w:ascii="Arial Narrow" w:hAnsi="Arial Narrow"/>
                <w:b/>
                <w:sz w:val="20"/>
                <w:szCs w:val="18"/>
              </w:rPr>
              <w:t xml:space="preserve">Mean ∆ baseline </w:t>
            </w:r>
          </w:p>
        </w:tc>
        <w:tc>
          <w:tcPr>
            <w:tcW w:w="386" w:type="pct"/>
            <w:gridSpan w:val="3"/>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sz w:val="20"/>
                <w:szCs w:val="18"/>
              </w:rPr>
            </w:pPr>
            <w:r w:rsidRPr="00E75A07">
              <w:rPr>
                <w:rFonts w:ascii="Arial Narrow" w:hAnsi="Arial Narrow"/>
                <w:b/>
                <w:sz w:val="20"/>
                <w:szCs w:val="18"/>
              </w:rPr>
              <w:t>SD</w:t>
            </w:r>
          </w:p>
        </w:tc>
        <w:tc>
          <w:tcPr>
            <w:tcW w:w="1203" w:type="pct"/>
            <w:gridSpan w:val="3"/>
            <w:vMerge/>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sz w:val="20"/>
                <w:szCs w:val="18"/>
              </w:rPr>
            </w:pPr>
          </w:p>
        </w:tc>
      </w:tr>
      <w:tr w:rsidR="00D91328" w:rsidRPr="00E2771E" w:rsidTr="00E30A25">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jc w:val="left"/>
              <w:rPr>
                <w:rFonts w:ascii="Arial Narrow" w:hAnsi="Arial Narrow"/>
                <w:sz w:val="20"/>
                <w:szCs w:val="18"/>
              </w:rPr>
            </w:pPr>
            <w:r w:rsidRPr="00E75A07">
              <w:rPr>
                <w:rFonts w:ascii="Arial Narrow" w:hAnsi="Arial Narrow"/>
                <w:b/>
                <w:bCs/>
                <w:color w:val="000000"/>
                <w:sz w:val="20"/>
                <w:szCs w:val="18"/>
              </w:rPr>
              <w:t>Study 145: ITT</w:t>
            </w:r>
          </w:p>
        </w:tc>
      </w:tr>
      <w:tr w:rsidR="000B5BF6" w:rsidRPr="00E2771E"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319"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79</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-1.4</w:t>
            </w:r>
          </w:p>
        </w:tc>
        <w:tc>
          <w:tcPr>
            <w:tcW w:w="391"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1.1</w:t>
            </w:r>
          </w:p>
        </w:tc>
        <w:tc>
          <w:tcPr>
            <w:tcW w:w="311" w:type="pct"/>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79</w:t>
            </w:r>
          </w:p>
        </w:tc>
        <w:tc>
          <w:tcPr>
            <w:tcW w:w="786" w:type="pct"/>
            <w:gridSpan w:val="2"/>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-0.30</w:t>
            </w:r>
          </w:p>
        </w:tc>
        <w:tc>
          <w:tcPr>
            <w:tcW w:w="386" w:type="pct"/>
            <w:gridSpan w:val="3"/>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0.6</w:t>
            </w:r>
          </w:p>
        </w:tc>
        <w:tc>
          <w:tcPr>
            <w:tcW w:w="1203" w:type="pct"/>
            <w:gridSpan w:val="3"/>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bCs/>
                <w:sz w:val="20"/>
                <w:szCs w:val="18"/>
              </w:rPr>
            </w:pPr>
            <w:r w:rsidRPr="00E75A07">
              <w:rPr>
                <w:rFonts w:ascii="Arial Narrow" w:hAnsi="Arial Narrow"/>
                <w:b/>
                <w:bCs/>
                <w:sz w:val="20"/>
                <w:szCs w:val="18"/>
              </w:rPr>
              <w:t>-1.1 (-1.4, -0.8)</w:t>
            </w:r>
          </w:p>
        </w:tc>
      </w:tr>
      <w:tr w:rsidR="000B5BF6" w:rsidRPr="00E2771E"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319"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80</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-1.2</w:t>
            </w:r>
          </w:p>
        </w:tc>
        <w:tc>
          <w:tcPr>
            <w:tcW w:w="391"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1.0</w:t>
            </w:r>
          </w:p>
        </w:tc>
        <w:tc>
          <w:tcPr>
            <w:tcW w:w="311" w:type="pct"/>
            <w:vMerge/>
            <w:tcBorders>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786" w:type="pct"/>
            <w:gridSpan w:val="2"/>
            <w:vMerge/>
            <w:tcBorders>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386" w:type="pct"/>
            <w:gridSpan w:val="3"/>
            <w:vMerge/>
            <w:tcBorders>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1203" w:type="pct"/>
            <w:gridSpan w:val="3"/>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bCs/>
                <w:sz w:val="20"/>
                <w:szCs w:val="18"/>
              </w:rPr>
            </w:pPr>
            <w:r w:rsidRPr="00E75A07">
              <w:rPr>
                <w:rFonts w:ascii="Arial Narrow" w:hAnsi="Arial Narrow"/>
                <w:b/>
                <w:bCs/>
                <w:sz w:val="20"/>
                <w:szCs w:val="18"/>
              </w:rPr>
              <w:t>-0.9 (-1.2, -0.6)</w:t>
            </w:r>
          </w:p>
        </w:tc>
      </w:tr>
      <w:tr w:rsidR="00D91328" w:rsidRPr="00E2771E" w:rsidTr="00E30A25">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jc w:val="left"/>
              <w:rPr>
                <w:rFonts w:ascii="Arial Narrow" w:hAnsi="Arial Narrow"/>
                <w:b/>
                <w:bCs/>
                <w:sz w:val="20"/>
                <w:szCs w:val="18"/>
              </w:rPr>
            </w:pPr>
            <w:r w:rsidRPr="00E75A07">
              <w:rPr>
                <w:rFonts w:ascii="Arial Narrow" w:hAnsi="Arial Narrow"/>
                <w:b/>
                <w:bCs/>
                <w:color w:val="000000"/>
                <w:sz w:val="20"/>
                <w:szCs w:val="18"/>
              </w:rPr>
              <w:t>Study 145: TBI subgroup</w:t>
            </w:r>
          </w:p>
        </w:tc>
      </w:tr>
      <w:tr w:rsidR="000B5BF6" w:rsidRPr="00E2771E"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319"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6</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-1.2</w:t>
            </w:r>
          </w:p>
        </w:tc>
        <w:tc>
          <w:tcPr>
            <w:tcW w:w="391" w:type="pct"/>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1.2</w:t>
            </w:r>
          </w:p>
        </w:tc>
        <w:tc>
          <w:tcPr>
            <w:tcW w:w="311" w:type="pct"/>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9</w:t>
            </w:r>
          </w:p>
        </w:tc>
        <w:tc>
          <w:tcPr>
            <w:tcW w:w="786" w:type="pct"/>
            <w:gridSpan w:val="2"/>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-0.20</w:t>
            </w:r>
          </w:p>
        </w:tc>
        <w:tc>
          <w:tcPr>
            <w:tcW w:w="386" w:type="pct"/>
            <w:gridSpan w:val="3"/>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0.4</w:t>
            </w:r>
          </w:p>
        </w:tc>
        <w:tc>
          <w:tcPr>
            <w:tcW w:w="1203" w:type="pct"/>
            <w:gridSpan w:val="3"/>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bCs/>
                <w:sz w:val="20"/>
                <w:szCs w:val="18"/>
              </w:rPr>
            </w:pPr>
            <w:r w:rsidRPr="00E75A07">
              <w:rPr>
                <w:rFonts w:ascii="Arial Narrow" w:hAnsi="Arial Narrow"/>
                <w:b/>
                <w:bCs/>
                <w:sz w:val="20"/>
                <w:szCs w:val="18"/>
              </w:rPr>
              <w:t>-0.9 (-1.8, -0.1)</w:t>
            </w:r>
          </w:p>
        </w:tc>
      </w:tr>
      <w:tr w:rsidR="000B5BF6" w:rsidRPr="00E2771E" w:rsidTr="000B5BF6">
        <w:tc>
          <w:tcPr>
            <w:tcW w:w="727"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319" w:type="pct"/>
            <w:tcBorders>
              <w:top w:val="single" w:sz="4" w:space="0" w:color="auto"/>
              <w:left w:val="single" w:sz="4" w:space="0" w:color="auto"/>
              <w:bottom w:val="doub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8</w:t>
            </w:r>
          </w:p>
        </w:tc>
        <w:tc>
          <w:tcPr>
            <w:tcW w:w="877" w:type="pct"/>
            <w:gridSpan w:val="2"/>
            <w:tcBorders>
              <w:top w:val="single" w:sz="4" w:space="0" w:color="auto"/>
              <w:left w:val="single" w:sz="4" w:space="0" w:color="auto"/>
              <w:bottom w:val="doub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-0.8</w:t>
            </w:r>
          </w:p>
        </w:tc>
        <w:tc>
          <w:tcPr>
            <w:tcW w:w="391" w:type="pct"/>
            <w:tcBorders>
              <w:top w:val="single" w:sz="4" w:space="0" w:color="auto"/>
              <w:left w:val="single" w:sz="4" w:space="0" w:color="auto"/>
              <w:bottom w:val="doub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0.7</w:t>
            </w:r>
          </w:p>
        </w:tc>
        <w:tc>
          <w:tcPr>
            <w:tcW w:w="311" w:type="pct"/>
            <w:vMerge/>
            <w:tcBorders>
              <w:left w:val="single" w:sz="4" w:space="0" w:color="auto"/>
              <w:bottom w:val="doub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786" w:type="pct"/>
            <w:gridSpan w:val="2"/>
            <w:vMerge/>
            <w:tcBorders>
              <w:left w:val="single" w:sz="4" w:space="0" w:color="auto"/>
              <w:bottom w:val="doub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386" w:type="pct"/>
            <w:gridSpan w:val="3"/>
            <w:vMerge/>
            <w:tcBorders>
              <w:left w:val="single" w:sz="4" w:space="0" w:color="auto"/>
              <w:bottom w:val="doub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1203" w:type="pct"/>
            <w:gridSpan w:val="3"/>
            <w:tcBorders>
              <w:top w:val="single" w:sz="4" w:space="0" w:color="auto"/>
              <w:left w:val="single" w:sz="4" w:space="0" w:color="auto"/>
              <w:bottom w:val="double" w:sz="4" w:space="0" w:color="auto"/>
              <w:right w:val="single" w:sz="4" w:space="0" w:color="auto"/>
            </w:tcBorders>
            <w:vAlign w:val="center"/>
          </w:tcPr>
          <w:p w:rsidR="00D91328" w:rsidRPr="00E75A07" w:rsidRDefault="00D91328" w:rsidP="009F0049">
            <w:pPr>
              <w:keepNext/>
              <w:widowControl/>
              <w:jc w:val="center"/>
              <w:rPr>
                <w:rFonts w:ascii="Arial Narrow" w:hAnsi="Arial Narrow"/>
                <w:sz w:val="20"/>
                <w:szCs w:val="18"/>
              </w:rPr>
            </w:pPr>
            <w:r w:rsidRPr="00E75A07">
              <w:rPr>
                <w:rFonts w:ascii="Arial Narrow" w:hAnsi="Arial Narrow"/>
                <w:sz w:val="20"/>
                <w:szCs w:val="18"/>
              </w:rPr>
              <w:t>-0.5 (-1.3, 0.3)</w:t>
            </w:r>
          </w:p>
        </w:tc>
      </w:tr>
      <w:tr w:rsidR="001F31D3" w:rsidRPr="00E2771E" w:rsidTr="005C6A66">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31D3" w:rsidRPr="00E75A07" w:rsidRDefault="001F31D3" w:rsidP="009F0049">
            <w:pPr>
              <w:keepNext/>
              <w:widowControl/>
              <w:jc w:val="left"/>
              <w:rPr>
                <w:rFonts w:ascii="Arial Narrow" w:hAnsi="Arial Narrow"/>
                <w:b/>
                <w:bCs/>
                <w:color w:val="000000"/>
                <w:sz w:val="20"/>
                <w:szCs w:val="18"/>
              </w:rPr>
            </w:pPr>
            <w:r w:rsidRPr="00E75A07">
              <w:rPr>
                <w:rFonts w:ascii="Arial Narrow" w:hAnsi="Arial Narrow"/>
                <w:b/>
                <w:color w:val="000000"/>
                <w:sz w:val="20"/>
                <w:szCs w:val="18"/>
              </w:rPr>
              <w:t>Dichotomous outcome: MAS responder (</w:t>
            </w:r>
            <w:r w:rsidRPr="00E75A07">
              <w:rPr>
                <w:rFonts w:ascii="Arial Narrow" w:hAnsi="Arial Narrow"/>
                <w:b/>
                <w:sz w:val="20"/>
                <w:szCs w:val="18"/>
              </w:rPr>
              <w:t>∆≥1)</w:t>
            </w:r>
            <w:r w:rsidR="00EA0930" w:rsidRPr="00E75A07">
              <w:rPr>
                <w:rFonts w:ascii="Arial Narrow" w:hAnsi="Arial Narrow"/>
                <w:b/>
                <w:sz w:val="20"/>
                <w:szCs w:val="18"/>
              </w:rPr>
              <w:t xml:space="preserve"> at Week 4</w:t>
            </w:r>
          </w:p>
        </w:tc>
      </w:tr>
      <w:tr w:rsidR="000B5BF6" w:rsidRPr="00E2771E" w:rsidTr="000B5BF6">
        <w:tc>
          <w:tcPr>
            <w:tcW w:w="727" w:type="pct"/>
            <w:gridSpan w:val="2"/>
            <w:vMerge w:val="restart"/>
            <w:tcBorders>
              <w:top w:val="double" w:sz="4" w:space="0" w:color="auto"/>
              <w:left w:val="single" w:sz="4" w:space="0" w:color="auto"/>
              <w:right w:val="single" w:sz="4" w:space="0" w:color="auto"/>
            </w:tcBorders>
            <w:shd w:val="clear" w:color="auto" w:fill="auto"/>
            <w:vAlign w:val="center"/>
          </w:tcPr>
          <w:p w:rsidR="005B53D9" w:rsidRPr="00E75A07" w:rsidRDefault="005B53D9" w:rsidP="009F0049">
            <w:pPr>
              <w:keepNext/>
              <w:widowControl/>
              <w:rPr>
                <w:rFonts w:ascii="Arial Narrow" w:hAnsi="Arial Narrow"/>
                <w:b/>
                <w:color w:val="000000"/>
                <w:sz w:val="20"/>
                <w:szCs w:val="18"/>
              </w:rPr>
            </w:pPr>
            <w:r w:rsidRPr="00E75A07">
              <w:rPr>
                <w:rFonts w:ascii="Arial Narrow" w:hAnsi="Arial Narrow"/>
                <w:b/>
                <w:color w:val="000000"/>
                <w:sz w:val="20"/>
                <w:szCs w:val="18"/>
              </w:rPr>
              <w:t>Trial</w:t>
            </w:r>
          </w:p>
        </w:tc>
        <w:tc>
          <w:tcPr>
            <w:tcW w:w="617" w:type="pct"/>
            <w:gridSpan w:val="2"/>
            <w:vMerge w:val="restart"/>
            <w:tcBorders>
              <w:top w:val="double" w:sz="4" w:space="0" w:color="auto"/>
              <w:left w:val="single" w:sz="4" w:space="0" w:color="auto"/>
              <w:right w:val="single" w:sz="4" w:space="0" w:color="auto"/>
            </w:tcBorders>
            <w:vAlign w:val="center"/>
          </w:tcPr>
          <w:p w:rsidR="005B53D9" w:rsidRPr="00E75A07" w:rsidRDefault="00E271B2"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Dysport</w:t>
            </w:r>
            <w:r w:rsidR="005B53D9" w:rsidRPr="00E75A07">
              <w:rPr>
                <w:rFonts w:ascii="Arial Narrow" w:hAnsi="Arial Narrow"/>
                <w:b/>
                <w:color w:val="000000"/>
                <w:sz w:val="20"/>
                <w:szCs w:val="18"/>
              </w:rPr>
              <w:t xml:space="preserve"> </w:t>
            </w:r>
          </w:p>
          <w:p w:rsidR="005B53D9" w:rsidRPr="00E75A07" w:rsidRDefault="005B53D9"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n/N</w:t>
            </w:r>
          </w:p>
        </w:tc>
        <w:tc>
          <w:tcPr>
            <w:tcW w:w="579" w:type="pct"/>
            <w:vMerge w:val="restart"/>
            <w:tcBorders>
              <w:top w:val="double" w:sz="4" w:space="0" w:color="auto"/>
              <w:left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PBO</w:t>
            </w:r>
          </w:p>
          <w:p w:rsidR="005B53D9" w:rsidRPr="00E75A07" w:rsidRDefault="005B53D9"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n/N</w:t>
            </w:r>
          </w:p>
        </w:tc>
        <w:tc>
          <w:tcPr>
            <w:tcW w:w="961" w:type="pct"/>
            <w:gridSpan w:val="3"/>
            <w:vMerge w:val="restart"/>
            <w:tcBorders>
              <w:top w:val="double" w:sz="4" w:space="0" w:color="auto"/>
              <w:left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RR</w:t>
            </w:r>
          </w:p>
          <w:p w:rsidR="005B53D9" w:rsidRPr="00E75A07" w:rsidRDefault="005B53D9"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(95% CI)</w:t>
            </w:r>
          </w:p>
        </w:tc>
        <w:tc>
          <w:tcPr>
            <w:tcW w:w="1313" w:type="pct"/>
            <w:gridSpan w:val="5"/>
            <w:tcBorders>
              <w:top w:val="double" w:sz="4" w:space="0" w:color="auto"/>
              <w:left w:val="single" w:sz="4" w:space="0" w:color="auto"/>
              <w:bottom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Event rate/100 patients*</w:t>
            </w:r>
          </w:p>
        </w:tc>
        <w:tc>
          <w:tcPr>
            <w:tcW w:w="803" w:type="pct"/>
            <w:gridSpan w:val="2"/>
            <w:vMerge w:val="restart"/>
            <w:tcBorders>
              <w:top w:val="double" w:sz="4" w:space="0" w:color="auto"/>
              <w:left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RD</w:t>
            </w:r>
          </w:p>
          <w:p w:rsidR="005B53D9" w:rsidRPr="00E75A07" w:rsidRDefault="005B53D9" w:rsidP="009F0049">
            <w:pPr>
              <w:keepNext/>
              <w:widowControl/>
              <w:jc w:val="center"/>
              <w:rPr>
                <w:rFonts w:ascii="Arial Narrow" w:hAnsi="Arial Narrow"/>
                <w:b/>
                <w:bCs/>
                <w:color w:val="000000"/>
                <w:sz w:val="20"/>
                <w:szCs w:val="18"/>
              </w:rPr>
            </w:pPr>
            <w:r w:rsidRPr="00E75A07">
              <w:rPr>
                <w:rFonts w:ascii="Arial Narrow" w:hAnsi="Arial Narrow"/>
                <w:b/>
                <w:color w:val="000000"/>
                <w:sz w:val="20"/>
                <w:szCs w:val="18"/>
              </w:rPr>
              <w:t>(95% CI)</w:t>
            </w:r>
          </w:p>
        </w:tc>
      </w:tr>
      <w:tr w:rsidR="000B5BF6" w:rsidRPr="00E2771E" w:rsidTr="000B5BF6">
        <w:tc>
          <w:tcPr>
            <w:tcW w:w="72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B53D9" w:rsidRPr="00E75A07" w:rsidRDefault="005B53D9" w:rsidP="009F0049">
            <w:pPr>
              <w:keepNext/>
              <w:widowControl/>
              <w:rPr>
                <w:rFonts w:ascii="Arial Narrow" w:hAnsi="Arial Narrow"/>
                <w:color w:val="000000"/>
                <w:sz w:val="20"/>
                <w:szCs w:val="18"/>
              </w:rPr>
            </w:pPr>
          </w:p>
        </w:tc>
        <w:tc>
          <w:tcPr>
            <w:tcW w:w="617" w:type="pct"/>
            <w:gridSpan w:val="2"/>
            <w:vMerge/>
            <w:tcBorders>
              <w:top w:val="single" w:sz="4" w:space="0" w:color="auto"/>
              <w:left w:val="single" w:sz="4" w:space="0" w:color="auto"/>
              <w:bottom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color w:val="000000"/>
                <w:sz w:val="20"/>
                <w:szCs w:val="18"/>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color w:val="000000"/>
                <w:sz w:val="20"/>
                <w:szCs w:val="18"/>
              </w:rPr>
            </w:pPr>
          </w:p>
        </w:tc>
        <w:tc>
          <w:tcPr>
            <w:tcW w:w="961" w:type="pct"/>
            <w:gridSpan w:val="3"/>
            <w:vMerge/>
            <w:tcBorders>
              <w:top w:val="single" w:sz="4" w:space="0" w:color="auto"/>
              <w:left w:val="single" w:sz="4" w:space="0" w:color="auto"/>
              <w:bottom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b/>
                <w:bCs/>
                <w:color w:val="000000"/>
                <w:sz w:val="20"/>
                <w:szCs w:val="18"/>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5B53D9" w:rsidRPr="00E75A07" w:rsidRDefault="009D555B"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Dysport</w:t>
            </w:r>
          </w:p>
        </w:tc>
        <w:tc>
          <w:tcPr>
            <w:tcW w:w="635" w:type="pct"/>
            <w:gridSpan w:val="3"/>
            <w:tcBorders>
              <w:top w:val="single" w:sz="4" w:space="0" w:color="auto"/>
              <w:left w:val="single" w:sz="4" w:space="0" w:color="auto"/>
              <w:bottom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PBO</w:t>
            </w:r>
          </w:p>
        </w:tc>
        <w:tc>
          <w:tcPr>
            <w:tcW w:w="803" w:type="pct"/>
            <w:gridSpan w:val="2"/>
            <w:vMerge/>
            <w:tcBorders>
              <w:left w:val="single" w:sz="4" w:space="0" w:color="auto"/>
              <w:bottom w:val="single" w:sz="4" w:space="0" w:color="auto"/>
              <w:right w:val="single" w:sz="4" w:space="0" w:color="auto"/>
            </w:tcBorders>
            <w:vAlign w:val="center"/>
          </w:tcPr>
          <w:p w:rsidR="005B53D9" w:rsidRPr="00E75A07" w:rsidRDefault="005B53D9" w:rsidP="009F0049">
            <w:pPr>
              <w:keepNext/>
              <w:widowControl/>
              <w:jc w:val="center"/>
              <w:rPr>
                <w:rFonts w:ascii="Arial Narrow" w:hAnsi="Arial Narrow"/>
                <w:b/>
                <w:bCs/>
                <w:color w:val="000000"/>
                <w:sz w:val="20"/>
                <w:szCs w:val="18"/>
              </w:rPr>
            </w:pPr>
          </w:p>
        </w:tc>
      </w:tr>
      <w:tr w:rsidR="00664327" w:rsidRPr="00E2771E" w:rsidTr="00664327">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664327" w:rsidRPr="00E75A07" w:rsidRDefault="00664327" w:rsidP="009F0049">
            <w:pPr>
              <w:keepNext/>
              <w:widowControl/>
              <w:jc w:val="left"/>
              <w:rPr>
                <w:rFonts w:ascii="Arial Narrow" w:hAnsi="Arial Narrow"/>
                <w:b/>
                <w:bCs/>
                <w:color w:val="000000"/>
                <w:sz w:val="20"/>
                <w:szCs w:val="18"/>
              </w:rPr>
            </w:pPr>
            <w:r w:rsidRPr="00E75A07">
              <w:rPr>
                <w:rFonts w:ascii="Arial Narrow" w:hAnsi="Arial Narrow"/>
                <w:b/>
                <w:bCs/>
                <w:color w:val="000000"/>
                <w:sz w:val="20"/>
                <w:szCs w:val="18"/>
              </w:rPr>
              <w:t>Study 145: ITT</w:t>
            </w:r>
          </w:p>
        </w:tc>
      </w:tr>
      <w:tr w:rsidR="000B5BF6" w:rsidRPr="00E2771E"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62/79</w:t>
            </w:r>
          </w:p>
        </w:tc>
        <w:tc>
          <w:tcPr>
            <w:tcW w:w="579" w:type="pct"/>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18/79</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bCs/>
                <w:color w:val="000000"/>
                <w:sz w:val="20"/>
                <w:szCs w:val="18"/>
              </w:rPr>
            </w:pPr>
            <w:r w:rsidRPr="00E75A07">
              <w:rPr>
                <w:rFonts w:ascii="Arial Narrow" w:hAnsi="Arial Narrow"/>
                <w:b/>
                <w:bCs/>
                <w:color w:val="000000"/>
                <w:sz w:val="20"/>
                <w:szCs w:val="18"/>
              </w:rPr>
              <w:t>3.44 (2.26, 5.25)</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78.5</w:t>
            </w:r>
          </w:p>
        </w:tc>
        <w:tc>
          <w:tcPr>
            <w:tcW w:w="635" w:type="pct"/>
            <w:gridSpan w:val="3"/>
            <w:vMerge w:val="restart"/>
            <w:tcBorders>
              <w:top w:val="single" w:sz="4" w:space="0" w:color="auto"/>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22.8</w:t>
            </w:r>
          </w:p>
        </w:tc>
        <w:tc>
          <w:tcPr>
            <w:tcW w:w="803"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8823BB" w:rsidP="009F0049">
            <w:pPr>
              <w:keepNext/>
              <w:widowControl/>
              <w:jc w:val="center"/>
              <w:rPr>
                <w:rFonts w:ascii="Arial Narrow" w:hAnsi="Arial Narrow"/>
                <w:b/>
                <w:bCs/>
                <w:color w:val="000000"/>
                <w:sz w:val="20"/>
                <w:szCs w:val="18"/>
              </w:rPr>
            </w:pPr>
            <w:r w:rsidRPr="00E75A07">
              <w:rPr>
                <w:rFonts w:ascii="Arial Narrow" w:hAnsi="Arial Narrow"/>
                <w:b/>
                <w:bCs/>
                <w:color w:val="000000"/>
                <w:sz w:val="20"/>
                <w:szCs w:val="18"/>
              </w:rPr>
              <w:t xml:space="preserve">0.56 </w:t>
            </w:r>
            <w:r w:rsidR="00D91328" w:rsidRPr="00E75A07">
              <w:rPr>
                <w:rFonts w:ascii="Arial Narrow" w:hAnsi="Arial Narrow"/>
                <w:b/>
                <w:bCs/>
                <w:color w:val="000000"/>
                <w:sz w:val="20"/>
                <w:szCs w:val="18"/>
              </w:rPr>
              <w:t>(0.43, 0.69)</w:t>
            </w:r>
          </w:p>
        </w:tc>
      </w:tr>
      <w:tr w:rsidR="000B5BF6" w:rsidRPr="00E2771E"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59/80</w:t>
            </w:r>
          </w:p>
        </w:tc>
        <w:tc>
          <w:tcPr>
            <w:tcW w:w="579" w:type="pct"/>
            <w:vMerge/>
            <w:tcBorders>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961" w:type="pct"/>
            <w:gridSpan w:val="3"/>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b/>
                <w:bCs/>
                <w:color w:val="000000"/>
                <w:sz w:val="20"/>
                <w:szCs w:val="18"/>
              </w:rPr>
            </w:pPr>
            <w:r w:rsidRPr="00E75A07">
              <w:rPr>
                <w:rFonts w:ascii="Arial Narrow" w:hAnsi="Arial Narrow"/>
                <w:b/>
                <w:bCs/>
                <w:color w:val="000000"/>
                <w:sz w:val="20"/>
                <w:szCs w:val="18"/>
              </w:rPr>
              <w:t>3.24</w:t>
            </w:r>
            <w:r w:rsidR="0065498D" w:rsidRPr="00E75A07">
              <w:rPr>
                <w:rFonts w:ascii="Arial Narrow" w:hAnsi="Arial Narrow"/>
                <w:b/>
                <w:bCs/>
                <w:color w:val="000000"/>
                <w:sz w:val="20"/>
                <w:szCs w:val="18"/>
              </w:rPr>
              <w:t xml:space="preserve"> </w:t>
            </w:r>
            <w:r w:rsidRPr="00E75A07">
              <w:rPr>
                <w:rFonts w:ascii="Arial Narrow" w:hAnsi="Arial Narrow"/>
                <w:b/>
                <w:bCs/>
                <w:color w:val="000000"/>
                <w:sz w:val="20"/>
                <w:szCs w:val="18"/>
              </w:rPr>
              <w:t>(2.11, 4.96)</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73.8</w:t>
            </w:r>
          </w:p>
        </w:tc>
        <w:tc>
          <w:tcPr>
            <w:tcW w:w="635" w:type="pct"/>
            <w:gridSpan w:val="3"/>
            <w:vMerge/>
            <w:tcBorders>
              <w:left w:val="single" w:sz="4" w:space="0" w:color="auto"/>
              <w:right w:val="single" w:sz="4" w:space="0" w:color="auto"/>
            </w:tcBorders>
            <w:vAlign w:val="center"/>
          </w:tcPr>
          <w:p w:rsidR="00D91328" w:rsidRPr="00E75A07" w:rsidRDefault="00D91328" w:rsidP="009F0049">
            <w:pPr>
              <w:keepNext/>
              <w:widowControl/>
              <w:jc w:val="center"/>
              <w:rPr>
                <w:rFonts w:ascii="Arial Narrow" w:hAnsi="Arial Narrow"/>
                <w:color w:val="000000"/>
                <w:sz w:val="20"/>
                <w:szCs w:val="18"/>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rsidR="00D91328" w:rsidRPr="00E75A07" w:rsidRDefault="008823BB" w:rsidP="009F0049">
            <w:pPr>
              <w:keepNext/>
              <w:widowControl/>
              <w:jc w:val="center"/>
              <w:rPr>
                <w:rFonts w:ascii="Arial Narrow" w:hAnsi="Arial Narrow"/>
                <w:b/>
                <w:bCs/>
                <w:color w:val="000000"/>
                <w:sz w:val="20"/>
                <w:szCs w:val="18"/>
              </w:rPr>
            </w:pPr>
            <w:r w:rsidRPr="00E75A07">
              <w:rPr>
                <w:rFonts w:ascii="Arial Narrow" w:hAnsi="Arial Narrow"/>
                <w:b/>
                <w:bCs/>
                <w:color w:val="000000"/>
                <w:sz w:val="20"/>
                <w:szCs w:val="18"/>
              </w:rPr>
              <w:t xml:space="preserve">0.51 </w:t>
            </w:r>
            <w:r w:rsidR="00D91328" w:rsidRPr="00E75A07">
              <w:rPr>
                <w:rFonts w:ascii="Arial Narrow" w:hAnsi="Arial Narrow"/>
                <w:b/>
                <w:bCs/>
                <w:color w:val="000000"/>
                <w:sz w:val="20"/>
                <w:szCs w:val="18"/>
              </w:rPr>
              <w:t>(0.38, 0.64)</w:t>
            </w:r>
          </w:p>
        </w:tc>
      </w:tr>
      <w:tr w:rsidR="00D91328" w:rsidRPr="00E2771E" w:rsidTr="00E30A25">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D91328" w:rsidRPr="00E75A07" w:rsidRDefault="00D91328" w:rsidP="009F0049">
            <w:pPr>
              <w:keepNext/>
              <w:widowControl/>
              <w:jc w:val="left"/>
              <w:rPr>
                <w:rFonts w:ascii="Arial Narrow" w:hAnsi="Arial Narrow"/>
                <w:b/>
                <w:bCs/>
                <w:color w:val="000000"/>
                <w:sz w:val="20"/>
                <w:szCs w:val="18"/>
              </w:rPr>
            </w:pPr>
            <w:r w:rsidRPr="00E75A07">
              <w:rPr>
                <w:rFonts w:ascii="Arial Narrow" w:hAnsi="Arial Narrow"/>
                <w:b/>
                <w:bCs/>
                <w:color w:val="000000"/>
                <w:sz w:val="20"/>
                <w:szCs w:val="18"/>
              </w:rPr>
              <w:t>Study 145: TBI subgroup</w:t>
            </w:r>
          </w:p>
        </w:tc>
      </w:tr>
      <w:tr w:rsidR="000B5BF6" w:rsidRPr="00E2771E"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771E1" w:rsidRPr="00E75A07" w:rsidRDefault="00E771E1"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4/6</w:t>
            </w:r>
          </w:p>
        </w:tc>
        <w:tc>
          <w:tcPr>
            <w:tcW w:w="579" w:type="pct"/>
            <w:vMerge w:val="restart"/>
            <w:tcBorders>
              <w:left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2/9</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b/>
                <w:bCs/>
                <w:color w:val="000000"/>
                <w:sz w:val="20"/>
                <w:szCs w:val="18"/>
              </w:rPr>
            </w:pPr>
            <w:r w:rsidRPr="00E75A07">
              <w:rPr>
                <w:rFonts w:ascii="Arial Narrow" w:hAnsi="Arial Narrow"/>
                <w:iCs/>
                <w:color w:val="000000"/>
                <w:sz w:val="20"/>
                <w:szCs w:val="18"/>
              </w:rPr>
              <w:t>3.00 (0.78, 11.54)</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66.7</w:t>
            </w:r>
          </w:p>
        </w:tc>
        <w:tc>
          <w:tcPr>
            <w:tcW w:w="635" w:type="pct"/>
            <w:gridSpan w:val="3"/>
            <w:vMerge w:val="restart"/>
            <w:tcBorders>
              <w:left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22.2</w:t>
            </w:r>
          </w:p>
        </w:tc>
        <w:tc>
          <w:tcPr>
            <w:tcW w:w="803" w:type="pct"/>
            <w:gridSpan w:val="2"/>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iCs/>
                <w:color w:val="000000"/>
                <w:sz w:val="20"/>
                <w:szCs w:val="18"/>
              </w:rPr>
            </w:pPr>
            <w:r w:rsidRPr="00E75A07">
              <w:rPr>
                <w:rFonts w:ascii="Arial Narrow" w:hAnsi="Arial Narrow"/>
                <w:iCs/>
                <w:color w:val="000000"/>
                <w:sz w:val="20"/>
                <w:szCs w:val="18"/>
              </w:rPr>
              <w:t>0.44 (-0.02, 0.91)</w:t>
            </w:r>
          </w:p>
        </w:tc>
      </w:tr>
      <w:tr w:rsidR="000B5BF6" w:rsidRPr="00062340"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771E1" w:rsidRPr="00E75A07" w:rsidRDefault="00E771E1"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617" w:type="pct"/>
            <w:gridSpan w:val="2"/>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5/8</w:t>
            </w:r>
          </w:p>
        </w:tc>
        <w:tc>
          <w:tcPr>
            <w:tcW w:w="579" w:type="pct"/>
            <w:vMerge/>
            <w:tcBorders>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rPr>
            </w:pPr>
          </w:p>
        </w:tc>
        <w:tc>
          <w:tcPr>
            <w:tcW w:w="961" w:type="pct"/>
            <w:gridSpan w:val="3"/>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b/>
                <w:bCs/>
                <w:color w:val="000000"/>
                <w:sz w:val="20"/>
                <w:szCs w:val="18"/>
                <w:lang w:val="fr-FR"/>
              </w:rPr>
            </w:pPr>
            <w:r w:rsidRPr="00E75A07">
              <w:rPr>
                <w:rFonts w:ascii="Arial Narrow" w:hAnsi="Arial Narrow"/>
                <w:iCs/>
                <w:color w:val="000000"/>
                <w:sz w:val="20"/>
                <w:szCs w:val="18"/>
                <w:lang w:val="fr-FR"/>
              </w:rPr>
              <w:t>2.81</w:t>
            </w:r>
            <w:r w:rsidR="00F64E61" w:rsidRPr="00E75A07">
              <w:rPr>
                <w:rFonts w:ascii="Arial Narrow" w:hAnsi="Arial Narrow"/>
                <w:iCs/>
                <w:color w:val="000000"/>
                <w:sz w:val="20"/>
                <w:szCs w:val="18"/>
                <w:lang w:val="fr-FR"/>
              </w:rPr>
              <w:t xml:space="preserve"> </w:t>
            </w:r>
            <w:r w:rsidRPr="00E75A07">
              <w:rPr>
                <w:rFonts w:ascii="Arial Narrow" w:hAnsi="Arial Narrow"/>
                <w:iCs/>
                <w:color w:val="000000"/>
                <w:sz w:val="20"/>
                <w:szCs w:val="18"/>
                <w:lang w:val="fr-FR"/>
              </w:rPr>
              <w:t>(0.74, 10.69)</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lang w:val="fr-FR"/>
              </w:rPr>
            </w:pPr>
            <w:r w:rsidRPr="00E75A07">
              <w:rPr>
                <w:rFonts w:ascii="Arial Narrow" w:hAnsi="Arial Narrow"/>
                <w:color w:val="000000"/>
                <w:sz w:val="20"/>
                <w:szCs w:val="18"/>
                <w:lang w:val="fr-FR"/>
              </w:rPr>
              <w:t>62.5</w:t>
            </w:r>
          </w:p>
        </w:tc>
        <w:tc>
          <w:tcPr>
            <w:tcW w:w="635" w:type="pct"/>
            <w:gridSpan w:val="3"/>
            <w:vMerge/>
            <w:tcBorders>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color w:val="000000"/>
                <w:sz w:val="20"/>
                <w:szCs w:val="18"/>
                <w:lang w:val="fr-FR"/>
              </w:rPr>
            </w:pPr>
          </w:p>
        </w:tc>
        <w:tc>
          <w:tcPr>
            <w:tcW w:w="803" w:type="pct"/>
            <w:gridSpan w:val="2"/>
            <w:tcBorders>
              <w:top w:val="single" w:sz="4" w:space="0" w:color="auto"/>
              <w:left w:val="single" w:sz="4" w:space="0" w:color="auto"/>
              <w:bottom w:val="single" w:sz="4" w:space="0" w:color="auto"/>
              <w:right w:val="single" w:sz="4" w:space="0" w:color="auto"/>
            </w:tcBorders>
            <w:vAlign w:val="center"/>
          </w:tcPr>
          <w:p w:rsidR="00E771E1" w:rsidRPr="00E75A07" w:rsidRDefault="00E771E1" w:rsidP="009F0049">
            <w:pPr>
              <w:keepNext/>
              <w:widowControl/>
              <w:jc w:val="center"/>
              <w:rPr>
                <w:rFonts w:ascii="Arial Narrow" w:hAnsi="Arial Narrow"/>
                <w:iCs/>
                <w:color w:val="000000"/>
                <w:sz w:val="20"/>
                <w:szCs w:val="18"/>
                <w:lang w:val="fr-FR"/>
              </w:rPr>
            </w:pPr>
            <w:r w:rsidRPr="00E75A07">
              <w:rPr>
                <w:rFonts w:ascii="Arial Narrow" w:hAnsi="Arial Narrow"/>
                <w:iCs/>
                <w:color w:val="000000"/>
                <w:sz w:val="20"/>
                <w:szCs w:val="18"/>
                <w:lang w:val="fr-FR"/>
              </w:rPr>
              <w:t>0.40 (-0.03, 0.83)</w:t>
            </w:r>
          </w:p>
        </w:tc>
      </w:tr>
      <w:tr w:rsidR="002C5008" w:rsidRPr="00E2771E" w:rsidTr="001D193C">
        <w:tc>
          <w:tcPr>
            <w:tcW w:w="5000" w:type="pct"/>
            <w:gridSpan w:val="15"/>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5008" w:rsidRPr="00E75A07" w:rsidRDefault="002C5008" w:rsidP="009F0049">
            <w:pPr>
              <w:keepNext/>
              <w:widowControl/>
              <w:rPr>
                <w:rFonts w:ascii="Arial Narrow" w:hAnsi="Arial Narrow"/>
                <w:b/>
                <w:color w:val="000000"/>
                <w:sz w:val="20"/>
                <w:szCs w:val="18"/>
              </w:rPr>
            </w:pPr>
            <w:r w:rsidRPr="00E75A07">
              <w:rPr>
                <w:rFonts w:ascii="Arial Narrow" w:hAnsi="Arial Narrow"/>
                <w:b/>
                <w:color w:val="000000"/>
                <w:sz w:val="20"/>
                <w:szCs w:val="18"/>
              </w:rPr>
              <w:t>Continuous outcome: PGA at Week 4</w:t>
            </w:r>
          </w:p>
        </w:tc>
      </w:tr>
      <w:tr w:rsidR="000B5BF6" w:rsidRPr="00E2771E" w:rsidTr="000B5BF6">
        <w:trPr>
          <w:trHeight w:val="225"/>
        </w:trPr>
        <w:tc>
          <w:tcPr>
            <w:tcW w:w="7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008" w:rsidRPr="00E75A07" w:rsidRDefault="002C5008" w:rsidP="009F0049">
            <w:pPr>
              <w:keepNext/>
              <w:widowControl/>
              <w:rPr>
                <w:rFonts w:ascii="Arial Narrow" w:hAnsi="Arial Narrow"/>
                <w:color w:val="000000"/>
                <w:sz w:val="20"/>
                <w:szCs w:val="18"/>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2C5008" w:rsidRPr="00E75A07" w:rsidRDefault="00E271B2"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Dysport</w:t>
            </w:r>
          </w:p>
        </w:tc>
        <w:tc>
          <w:tcPr>
            <w:tcW w:w="1482" w:type="pct"/>
            <w:gridSpan w:val="6"/>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PBO</w:t>
            </w:r>
          </w:p>
        </w:tc>
        <w:tc>
          <w:tcPr>
            <w:tcW w:w="1203" w:type="pct"/>
            <w:gridSpan w:val="3"/>
            <w:vMerge w:val="restar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sz w:val="20"/>
                <w:szCs w:val="18"/>
              </w:rPr>
            </w:pPr>
            <w:r w:rsidRPr="00E75A07">
              <w:rPr>
                <w:rFonts w:ascii="Arial Narrow" w:hAnsi="Arial Narrow"/>
                <w:b/>
                <w:sz w:val="20"/>
                <w:szCs w:val="18"/>
              </w:rPr>
              <w:t>Mean difference*</w:t>
            </w:r>
            <w:r w:rsidR="00B77A79">
              <w:rPr>
                <w:rFonts w:ascii="Arial Narrow" w:hAnsi="Arial Narrow"/>
                <w:b/>
                <w:sz w:val="20"/>
                <w:szCs w:val="18"/>
              </w:rPr>
              <w:t xml:space="preserve"> </w:t>
            </w:r>
            <w:r w:rsidR="00471FB0" w:rsidRPr="00E75A07">
              <w:rPr>
                <w:rFonts w:ascii="Arial Narrow" w:hAnsi="Arial Narrow"/>
                <w:b/>
                <w:sz w:val="20"/>
                <w:szCs w:val="18"/>
              </w:rPr>
              <w:t>(95% CI)</w:t>
            </w:r>
            <w:r w:rsidRPr="00E75A07">
              <w:rPr>
                <w:rFonts w:ascii="Arial Narrow" w:hAnsi="Arial Narrow"/>
                <w:b/>
                <w:sz w:val="20"/>
                <w:szCs w:val="18"/>
              </w:rPr>
              <w:t xml:space="preserve">: </w:t>
            </w:r>
          </w:p>
          <w:p w:rsidR="002C5008" w:rsidRPr="00E75A07" w:rsidRDefault="00E271B2" w:rsidP="009F0049">
            <w:pPr>
              <w:keepNext/>
              <w:widowControl/>
              <w:jc w:val="center"/>
              <w:rPr>
                <w:rFonts w:ascii="Arial Narrow" w:hAnsi="Arial Narrow"/>
                <w:b/>
                <w:sz w:val="20"/>
                <w:szCs w:val="18"/>
              </w:rPr>
            </w:pPr>
            <w:r w:rsidRPr="00E75A07">
              <w:rPr>
                <w:rFonts w:ascii="Arial Narrow" w:hAnsi="Arial Narrow"/>
                <w:b/>
                <w:sz w:val="20"/>
                <w:szCs w:val="18"/>
              </w:rPr>
              <w:t>Dysport</w:t>
            </w:r>
            <w:r w:rsidR="002C5008" w:rsidRPr="00E75A07">
              <w:rPr>
                <w:rFonts w:ascii="Arial Narrow" w:hAnsi="Arial Narrow"/>
                <w:b/>
                <w:sz w:val="20"/>
                <w:szCs w:val="18"/>
              </w:rPr>
              <w:t xml:space="preserve"> vs. PBO</w:t>
            </w:r>
          </w:p>
        </w:tc>
      </w:tr>
      <w:tr w:rsidR="000B5BF6" w:rsidRPr="00E2771E" w:rsidTr="000B5BF6">
        <w:trPr>
          <w:trHeight w:val="265"/>
        </w:trPr>
        <w:tc>
          <w:tcPr>
            <w:tcW w:w="72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5008" w:rsidRPr="00E75A07" w:rsidRDefault="002C5008" w:rsidP="009F0049">
            <w:pPr>
              <w:keepNext/>
              <w:widowControl/>
              <w:rPr>
                <w:rFonts w:ascii="Arial Narrow" w:hAnsi="Arial Narrow"/>
                <w:color w:val="000000"/>
                <w:sz w:val="20"/>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sz w:val="20"/>
                <w:szCs w:val="18"/>
              </w:rPr>
            </w:pPr>
            <w:r w:rsidRPr="00E75A07">
              <w:rPr>
                <w:rFonts w:ascii="Arial Narrow" w:hAnsi="Arial Narrow"/>
                <w:b/>
                <w:sz w:val="20"/>
                <w:szCs w:val="18"/>
              </w:rPr>
              <w:t>Mean</w:t>
            </w:r>
          </w:p>
        </w:tc>
        <w:tc>
          <w:tcPr>
            <w:tcW w:w="391"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sz w:val="20"/>
                <w:szCs w:val="18"/>
              </w:rPr>
            </w:pPr>
            <w:r w:rsidRPr="00E75A07">
              <w:rPr>
                <w:rFonts w:ascii="Arial Narrow" w:hAnsi="Arial Narrow"/>
                <w:b/>
                <w:sz w:val="20"/>
                <w:szCs w:val="18"/>
              </w:rPr>
              <w:t>SD</w:t>
            </w:r>
          </w:p>
        </w:tc>
        <w:tc>
          <w:tcPr>
            <w:tcW w:w="311"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sz w:val="20"/>
                <w:szCs w:val="18"/>
              </w:rPr>
            </w:pPr>
            <w:r w:rsidRPr="00E75A07">
              <w:rPr>
                <w:rFonts w:ascii="Arial Narrow" w:hAnsi="Arial Narrow"/>
                <w:b/>
                <w:sz w:val="20"/>
                <w:szCs w:val="18"/>
              </w:rPr>
              <w:t xml:space="preserve">Mean </w:t>
            </w:r>
          </w:p>
        </w:tc>
        <w:tc>
          <w:tcPr>
            <w:tcW w:w="386" w:type="pct"/>
            <w:gridSpan w:val="3"/>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sz w:val="20"/>
                <w:szCs w:val="18"/>
              </w:rPr>
            </w:pPr>
            <w:r w:rsidRPr="00E75A07">
              <w:rPr>
                <w:rFonts w:ascii="Arial Narrow" w:hAnsi="Arial Narrow"/>
                <w:b/>
                <w:sz w:val="20"/>
                <w:szCs w:val="18"/>
              </w:rPr>
              <w:t>SD</w:t>
            </w:r>
          </w:p>
        </w:tc>
        <w:tc>
          <w:tcPr>
            <w:tcW w:w="1203" w:type="pct"/>
            <w:gridSpan w:val="3"/>
            <w:vMerge/>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b/>
                <w:sz w:val="20"/>
                <w:szCs w:val="18"/>
              </w:rPr>
            </w:pPr>
          </w:p>
        </w:tc>
      </w:tr>
      <w:tr w:rsidR="002C5008" w:rsidRPr="00E2771E" w:rsidTr="001D193C">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2C5008" w:rsidRPr="00E75A07" w:rsidRDefault="002C5008" w:rsidP="009F0049">
            <w:pPr>
              <w:keepNext/>
              <w:widowControl/>
              <w:jc w:val="left"/>
              <w:rPr>
                <w:rFonts w:ascii="Arial Narrow" w:hAnsi="Arial Narrow"/>
                <w:sz w:val="20"/>
                <w:szCs w:val="18"/>
              </w:rPr>
            </w:pPr>
            <w:r w:rsidRPr="00E75A07">
              <w:rPr>
                <w:rFonts w:ascii="Arial Narrow" w:hAnsi="Arial Narrow"/>
                <w:b/>
                <w:bCs/>
                <w:color w:val="000000"/>
                <w:sz w:val="20"/>
                <w:szCs w:val="18"/>
              </w:rPr>
              <w:t>Study 145: ITT</w:t>
            </w:r>
          </w:p>
        </w:tc>
      </w:tr>
      <w:tr w:rsidR="000B5BF6" w:rsidRPr="00E14D9F"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008" w:rsidRPr="00E75A07" w:rsidRDefault="002C500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319"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79</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1.8</w:t>
            </w:r>
          </w:p>
        </w:tc>
        <w:tc>
          <w:tcPr>
            <w:tcW w:w="391"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1.1</w:t>
            </w:r>
          </w:p>
        </w:tc>
        <w:tc>
          <w:tcPr>
            <w:tcW w:w="311" w:type="pct"/>
            <w:vMerge w:val="restart"/>
            <w:tcBorders>
              <w:top w:val="single" w:sz="4" w:space="0" w:color="auto"/>
              <w:left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79</w:t>
            </w:r>
          </w:p>
        </w:tc>
        <w:tc>
          <w:tcPr>
            <w:tcW w:w="786" w:type="pct"/>
            <w:gridSpan w:val="2"/>
            <w:vMerge w:val="restart"/>
            <w:tcBorders>
              <w:top w:val="single" w:sz="4" w:space="0" w:color="auto"/>
              <w:left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0.6</w:t>
            </w:r>
          </w:p>
        </w:tc>
        <w:tc>
          <w:tcPr>
            <w:tcW w:w="386" w:type="pct"/>
            <w:gridSpan w:val="3"/>
            <w:vMerge w:val="restart"/>
            <w:tcBorders>
              <w:top w:val="single" w:sz="4" w:space="0" w:color="auto"/>
              <w:left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1.0</w:t>
            </w:r>
          </w:p>
        </w:tc>
        <w:tc>
          <w:tcPr>
            <w:tcW w:w="1203" w:type="pct"/>
            <w:gridSpan w:val="3"/>
            <w:tcBorders>
              <w:top w:val="single" w:sz="4" w:space="0" w:color="auto"/>
              <w:left w:val="single" w:sz="4" w:space="0" w:color="auto"/>
              <w:bottom w:val="single" w:sz="4" w:space="0" w:color="auto"/>
              <w:right w:val="single" w:sz="4" w:space="0" w:color="auto"/>
            </w:tcBorders>
            <w:vAlign w:val="center"/>
          </w:tcPr>
          <w:p w:rsidR="002C5008" w:rsidRPr="00E75A07" w:rsidRDefault="009E369F" w:rsidP="009F0049">
            <w:pPr>
              <w:keepNext/>
              <w:widowControl/>
              <w:jc w:val="center"/>
              <w:rPr>
                <w:rFonts w:ascii="Arial Narrow" w:hAnsi="Arial Narrow"/>
                <w:b/>
                <w:bCs/>
                <w:sz w:val="20"/>
                <w:szCs w:val="20"/>
              </w:rPr>
            </w:pPr>
            <w:r w:rsidRPr="00E75A07">
              <w:rPr>
                <w:rFonts w:ascii="Arial Narrow" w:hAnsi="Arial Narrow"/>
                <w:b/>
                <w:bCs/>
                <w:sz w:val="20"/>
                <w:szCs w:val="20"/>
              </w:rPr>
              <w:t>1.1 (0.8, 1.4)</w:t>
            </w:r>
          </w:p>
        </w:tc>
      </w:tr>
      <w:tr w:rsidR="000B5BF6" w:rsidRPr="00E14D9F"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008" w:rsidRPr="00E75A07" w:rsidRDefault="002C500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319"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80</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1.4</w:t>
            </w:r>
          </w:p>
        </w:tc>
        <w:tc>
          <w:tcPr>
            <w:tcW w:w="391"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1.1</w:t>
            </w:r>
          </w:p>
        </w:tc>
        <w:tc>
          <w:tcPr>
            <w:tcW w:w="311" w:type="pct"/>
            <w:vMerge/>
            <w:tcBorders>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p>
        </w:tc>
        <w:tc>
          <w:tcPr>
            <w:tcW w:w="786" w:type="pct"/>
            <w:gridSpan w:val="2"/>
            <w:vMerge/>
            <w:tcBorders>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p>
        </w:tc>
        <w:tc>
          <w:tcPr>
            <w:tcW w:w="386" w:type="pct"/>
            <w:gridSpan w:val="3"/>
            <w:vMerge/>
            <w:tcBorders>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p>
        </w:tc>
        <w:tc>
          <w:tcPr>
            <w:tcW w:w="1203" w:type="pct"/>
            <w:gridSpan w:val="3"/>
            <w:tcBorders>
              <w:top w:val="single" w:sz="4" w:space="0" w:color="auto"/>
              <w:left w:val="single" w:sz="4" w:space="0" w:color="auto"/>
              <w:bottom w:val="single" w:sz="4" w:space="0" w:color="auto"/>
              <w:right w:val="single" w:sz="4" w:space="0" w:color="auto"/>
            </w:tcBorders>
            <w:vAlign w:val="center"/>
          </w:tcPr>
          <w:p w:rsidR="002C5008" w:rsidRPr="00E75A07" w:rsidRDefault="009E369F" w:rsidP="009F0049">
            <w:pPr>
              <w:keepNext/>
              <w:widowControl/>
              <w:jc w:val="center"/>
              <w:rPr>
                <w:rFonts w:ascii="Arial Narrow" w:hAnsi="Arial Narrow"/>
                <w:b/>
                <w:bCs/>
                <w:sz w:val="20"/>
                <w:szCs w:val="20"/>
              </w:rPr>
            </w:pPr>
            <w:r w:rsidRPr="00E75A07">
              <w:rPr>
                <w:rFonts w:ascii="Arial Narrow" w:hAnsi="Arial Narrow"/>
                <w:b/>
                <w:bCs/>
                <w:sz w:val="20"/>
                <w:szCs w:val="20"/>
              </w:rPr>
              <w:t>0.6 (0.3, 1.0)</w:t>
            </w:r>
          </w:p>
        </w:tc>
      </w:tr>
      <w:tr w:rsidR="002C5008" w:rsidRPr="00E14D9F" w:rsidTr="001D193C">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2C5008" w:rsidRPr="00E75A07" w:rsidRDefault="002C5008" w:rsidP="009F0049">
            <w:pPr>
              <w:keepNext/>
              <w:widowControl/>
              <w:jc w:val="left"/>
              <w:rPr>
                <w:rFonts w:ascii="Arial Narrow" w:hAnsi="Arial Narrow"/>
                <w:b/>
                <w:bCs/>
                <w:sz w:val="20"/>
                <w:szCs w:val="18"/>
              </w:rPr>
            </w:pPr>
            <w:r w:rsidRPr="00E75A07">
              <w:rPr>
                <w:rFonts w:ascii="Arial Narrow" w:hAnsi="Arial Narrow"/>
                <w:b/>
                <w:bCs/>
                <w:color w:val="000000"/>
                <w:sz w:val="20"/>
                <w:szCs w:val="18"/>
              </w:rPr>
              <w:t>Study 145: TBI subgroup</w:t>
            </w:r>
          </w:p>
        </w:tc>
      </w:tr>
      <w:tr w:rsidR="000B5BF6" w:rsidRPr="00E14D9F"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008" w:rsidRPr="00E75A07" w:rsidRDefault="002C500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319" w:type="pct"/>
            <w:tcBorders>
              <w:top w:val="single" w:sz="4" w:space="0" w:color="auto"/>
              <w:left w:val="single" w:sz="4" w:space="0" w:color="auto"/>
              <w:bottom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6</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2C5008" w:rsidRPr="00E75A07" w:rsidRDefault="00F167EB"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1.5</w:t>
            </w:r>
          </w:p>
        </w:tc>
        <w:tc>
          <w:tcPr>
            <w:tcW w:w="391" w:type="pct"/>
            <w:tcBorders>
              <w:top w:val="single" w:sz="4" w:space="0" w:color="auto"/>
              <w:left w:val="single" w:sz="4" w:space="0" w:color="auto"/>
              <w:bottom w:val="single" w:sz="4" w:space="0" w:color="auto"/>
              <w:right w:val="single" w:sz="4" w:space="0" w:color="auto"/>
            </w:tcBorders>
            <w:vAlign w:val="center"/>
          </w:tcPr>
          <w:p w:rsidR="002C5008" w:rsidRPr="00E75A07" w:rsidRDefault="00F167EB"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0.5</w:t>
            </w:r>
          </w:p>
        </w:tc>
        <w:tc>
          <w:tcPr>
            <w:tcW w:w="311" w:type="pct"/>
            <w:vMerge w:val="restart"/>
            <w:tcBorders>
              <w:top w:val="single" w:sz="4" w:space="0" w:color="auto"/>
              <w:left w:val="sing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9</w:t>
            </w:r>
          </w:p>
        </w:tc>
        <w:tc>
          <w:tcPr>
            <w:tcW w:w="786" w:type="pct"/>
            <w:gridSpan w:val="2"/>
            <w:vMerge w:val="restart"/>
            <w:tcBorders>
              <w:top w:val="single" w:sz="4" w:space="0" w:color="auto"/>
              <w:left w:val="single" w:sz="4" w:space="0" w:color="auto"/>
              <w:right w:val="single" w:sz="4" w:space="0" w:color="auto"/>
            </w:tcBorders>
            <w:vAlign w:val="center"/>
          </w:tcPr>
          <w:p w:rsidR="002C5008" w:rsidRPr="00E75A07" w:rsidRDefault="00F167EB"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0.6</w:t>
            </w:r>
          </w:p>
        </w:tc>
        <w:tc>
          <w:tcPr>
            <w:tcW w:w="386" w:type="pct"/>
            <w:gridSpan w:val="3"/>
            <w:vMerge w:val="restart"/>
            <w:tcBorders>
              <w:top w:val="single" w:sz="4" w:space="0" w:color="auto"/>
              <w:left w:val="single" w:sz="4" w:space="0" w:color="auto"/>
              <w:right w:val="single" w:sz="4" w:space="0" w:color="auto"/>
            </w:tcBorders>
            <w:vAlign w:val="center"/>
          </w:tcPr>
          <w:p w:rsidR="002C5008" w:rsidRPr="00E75A07" w:rsidRDefault="00F167EB"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1.2</w:t>
            </w:r>
          </w:p>
        </w:tc>
        <w:tc>
          <w:tcPr>
            <w:tcW w:w="1203" w:type="pct"/>
            <w:gridSpan w:val="3"/>
            <w:tcBorders>
              <w:top w:val="single" w:sz="4" w:space="0" w:color="auto"/>
              <w:left w:val="single" w:sz="4" w:space="0" w:color="auto"/>
              <w:bottom w:val="single" w:sz="4" w:space="0" w:color="auto"/>
              <w:right w:val="single" w:sz="4" w:space="0" w:color="auto"/>
            </w:tcBorders>
            <w:vAlign w:val="center"/>
          </w:tcPr>
          <w:p w:rsidR="002C5008" w:rsidRPr="00E75A07" w:rsidRDefault="00E771E1" w:rsidP="009F0049">
            <w:pPr>
              <w:keepNext/>
              <w:widowControl/>
              <w:jc w:val="center"/>
              <w:rPr>
                <w:rFonts w:ascii="Arial Narrow" w:hAnsi="Arial Narrow"/>
                <w:sz w:val="20"/>
                <w:szCs w:val="18"/>
              </w:rPr>
            </w:pPr>
            <w:r w:rsidRPr="00E75A07">
              <w:rPr>
                <w:rFonts w:ascii="Arial Narrow" w:hAnsi="Arial Narrow"/>
                <w:sz w:val="20"/>
                <w:szCs w:val="18"/>
              </w:rPr>
              <w:t>NR</w:t>
            </w:r>
          </w:p>
        </w:tc>
      </w:tr>
      <w:tr w:rsidR="000B5BF6" w:rsidRPr="00E96EEA" w:rsidTr="000B5BF6">
        <w:tc>
          <w:tcPr>
            <w:tcW w:w="727"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2C5008" w:rsidRPr="00E75A07" w:rsidRDefault="002C500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319" w:type="pct"/>
            <w:tcBorders>
              <w:top w:val="single" w:sz="4" w:space="0" w:color="auto"/>
              <w:left w:val="single" w:sz="4" w:space="0" w:color="auto"/>
              <w:bottom w:val="doub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8</w:t>
            </w:r>
          </w:p>
        </w:tc>
        <w:tc>
          <w:tcPr>
            <w:tcW w:w="877" w:type="pct"/>
            <w:gridSpan w:val="2"/>
            <w:tcBorders>
              <w:top w:val="single" w:sz="4" w:space="0" w:color="auto"/>
              <w:left w:val="single" w:sz="4" w:space="0" w:color="auto"/>
              <w:bottom w:val="double" w:sz="4" w:space="0" w:color="auto"/>
              <w:right w:val="single" w:sz="4" w:space="0" w:color="auto"/>
            </w:tcBorders>
            <w:vAlign w:val="center"/>
          </w:tcPr>
          <w:p w:rsidR="002C5008" w:rsidRPr="00E75A07" w:rsidRDefault="00F167EB"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1.5</w:t>
            </w:r>
          </w:p>
        </w:tc>
        <w:tc>
          <w:tcPr>
            <w:tcW w:w="391" w:type="pct"/>
            <w:tcBorders>
              <w:top w:val="single" w:sz="4" w:space="0" w:color="auto"/>
              <w:left w:val="single" w:sz="4" w:space="0" w:color="auto"/>
              <w:bottom w:val="double" w:sz="4" w:space="0" w:color="auto"/>
              <w:right w:val="single" w:sz="4" w:space="0" w:color="auto"/>
            </w:tcBorders>
            <w:vAlign w:val="center"/>
          </w:tcPr>
          <w:p w:rsidR="002C5008" w:rsidRPr="00E75A07" w:rsidRDefault="00F167EB"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1.2</w:t>
            </w:r>
          </w:p>
        </w:tc>
        <w:tc>
          <w:tcPr>
            <w:tcW w:w="311" w:type="pct"/>
            <w:vMerge/>
            <w:tcBorders>
              <w:left w:val="single" w:sz="4" w:space="0" w:color="auto"/>
              <w:bottom w:val="doub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p>
        </w:tc>
        <w:tc>
          <w:tcPr>
            <w:tcW w:w="786" w:type="pct"/>
            <w:gridSpan w:val="2"/>
            <w:vMerge/>
            <w:tcBorders>
              <w:left w:val="single" w:sz="4" w:space="0" w:color="auto"/>
              <w:bottom w:val="doub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p>
        </w:tc>
        <w:tc>
          <w:tcPr>
            <w:tcW w:w="386" w:type="pct"/>
            <w:gridSpan w:val="3"/>
            <w:vMerge/>
            <w:tcBorders>
              <w:left w:val="single" w:sz="4" w:space="0" w:color="auto"/>
              <w:bottom w:val="double" w:sz="4" w:space="0" w:color="auto"/>
              <w:right w:val="single" w:sz="4" w:space="0" w:color="auto"/>
            </w:tcBorders>
            <w:vAlign w:val="center"/>
          </w:tcPr>
          <w:p w:rsidR="002C5008" w:rsidRPr="00E75A07" w:rsidRDefault="002C5008" w:rsidP="009F0049">
            <w:pPr>
              <w:keepNext/>
              <w:widowControl/>
              <w:jc w:val="center"/>
              <w:rPr>
                <w:rFonts w:ascii="Arial Narrow" w:hAnsi="Arial Narrow"/>
                <w:color w:val="000000"/>
                <w:sz w:val="20"/>
                <w:szCs w:val="18"/>
              </w:rPr>
            </w:pPr>
          </w:p>
        </w:tc>
        <w:tc>
          <w:tcPr>
            <w:tcW w:w="1203" w:type="pct"/>
            <w:gridSpan w:val="3"/>
            <w:tcBorders>
              <w:top w:val="single" w:sz="4" w:space="0" w:color="auto"/>
              <w:left w:val="single" w:sz="4" w:space="0" w:color="auto"/>
              <w:bottom w:val="double" w:sz="4" w:space="0" w:color="auto"/>
              <w:right w:val="single" w:sz="4" w:space="0" w:color="auto"/>
            </w:tcBorders>
            <w:vAlign w:val="center"/>
          </w:tcPr>
          <w:p w:rsidR="002C5008" w:rsidRPr="00E75A07" w:rsidRDefault="00E771E1" w:rsidP="009F0049">
            <w:pPr>
              <w:keepNext/>
              <w:widowControl/>
              <w:jc w:val="center"/>
              <w:rPr>
                <w:rFonts w:ascii="Arial Narrow" w:hAnsi="Arial Narrow"/>
                <w:sz w:val="20"/>
                <w:szCs w:val="18"/>
              </w:rPr>
            </w:pPr>
            <w:r w:rsidRPr="00E75A07">
              <w:rPr>
                <w:rFonts w:ascii="Arial Narrow" w:hAnsi="Arial Narrow"/>
                <w:sz w:val="20"/>
                <w:szCs w:val="18"/>
              </w:rPr>
              <w:t>NR</w:t>
            </w:r>
          </w:p>
        </w:tc>
      </w:tr>
      <w:tr w:rsidR="00AA4FEF" w:rsidRPr="00E2771E" w:rsidTr="001D193C">
        <w:tc>
          <w:tcPr>
            <w:tcW w:w="5000" w:type="pct"/>
            <w:gridSpan w:val="15"/>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4FEF" w:rsidRPr="00E75A07" w:rsidRDefault="00AA4FEF" w:rsidP="009F0049">
            <w:pPr>
              <w:keepNext/>
              <w:widowControl/>
              <w:rPr>
                <w:rFonts w:ascii="Arial Narrow" w:hAnsi="Arial Narrow"/>
                <w:b/>
                <w:color w:val="000000"/>
                <w:sz w:val="20"/>
                <w:szCs w:val="18"/>
              </w:rPr>
            </w:pPr>
            <w:r w:rsidRPr="00E75A07">
              <w:rPr>
                <w:rFonts w:ascii="Arial Narrow" w:hAnsi="Arial Narrow"/>
                <w:b/>
                <w:color w:val="000000"/>
                <w:sz w:val="20"/>
                <w:szCs w:val="18"/>
              </w:rPr>
              <w:t>Continuous outcome: change from baseline to Week 4</w:t>
            </w:r>
            <w:r w:rsidR="00CB29C8" w:rsidRPr="00E75A07">
              <w:rPr>
                <w:rFonts w:ascii="Arial Narrow" w:hAnsi="Arial Narrow"/>
                <w:b/>
                <w:color w:val="000000"/>
                <w:sz w:val="20"/>
                <w:szCs w:val="18"/>
              </w:rPr>
              <w:t xml:space="preserve"> in DAS</w:t>
            </w:r>
          </w:p>
        </w:tc>
      </w:tr>
      <w:tr w:rsidR="000B5BF6" w:rsidRPr="00E2771E" w:rsidTr="000B5BF6">
        <w:trPr>
          <w:trHeight w:val="225"/>
        </w:trPr>
        <w:tc>
          <w:tcPr>
            <w:tcW w:w="7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4FEF" w:rsidRPr="00E75A07" w:rsidRDefault="00AA4FEF" w:rsidP="009F0049">
            <w:pPr>
              <w:keepNext/>
              <w:widowControl/>
              <w:rPr>
                <w:rFonts w:ascii="Arial Narrow" w:hAnsi="Arial Narrow"/>
                <w:color w:val="000000"/>
                <w:sz w:val="20"/>
                <w:szCs w:val="18"/>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AA4FEF" w:rsidRPr="00E75A07" w:rsidRDefault="00E271B2"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Dysport</w:t>
            </w:r>
          </w:p>
        </w:tc>
        <w:tc>
          <w:tcPr>
            <w:tcW w:w="1482" w:type="pct"/>
            <w:gridSpan w:val="6"/>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color w:val="000000"/>
                <w:sz w:val="20"/>
                <w:szCs w:val="18"/>
              </w:rPr>
            </w:pPr>
            <w:r w:rsidRPr="00E75A07">
              <w:rPr>
                <w:rFonts w:ascii="Arial Narrow" w:hAnsi="Arial Narrow"/>
                <w:b/>
                <w:color w:val="000000"/>
                <w:sz w:val="20"/>
                <w:szCs w:val="18"/>
              </w:rPr>
              <w:t>PBO</w:t>
            </w:r>
          </w:p>
        </w:tc>
        <w:tc>
          <w:tcPr>
            <w:tcW w:w="1203" w:type="pct"/>
            <w:gridSpan w:val="3"/>
            <w:vMerge w:val="restart"/>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sz w:val="20"/>
                <w:szCs w:val="18"/>
              </w:rPr>
            </w:pPr>
            <w:r w:rsidRPr="00E75A07">
              <w:rPr>
                <w:rFonts w:ascii="Arial Narrow" w:hAnsi="Arial Narrow"/>
                <w:b/>
                <w:sz w:val="20"/>
                <w:szCs w:val="18"/>
              </w:rPr>
              <w:t>Mean difference*</w:t>
            </w:r>
            <w:r w:rsidR="00B77A79">
              <w:rPr>
                <w:rFonts w:ascii="Arial Narrow" w:hAnsi="Arial Narrow"/>
                <w:b/>
                <w:sz w:val="20"/>
                <w:szCs w:val="18"/>
              </w:rPr>
              <w:t xml:space="preserve"> </w:t>
            </w:r>
            <w:r w:rsidR="00471FB0" w:rsidRPr="00E75A07">
              <w:rPr>
                <w:rFonts w:ascii="Arial Narrow" w:hAnsi="Arial Narrow"/>
                <w:b/>
                <w:sz w:val="20"/>
                <w:szCs w:val="18"/>
              </w:rPr>
              <w:t>(95% CI)</w:t>
            </w:r>
            <w:r w:rsidRPr="00E75A07">
              <w:rPr>
                <w:rFonts w:ascii="Arial Narrow" w:hAnsi="Arial Narrow"/>
                <w:b/>
                <w:sz w:val="20"/>
                <w:szCs w:val="18"/>
              </w:rPr>
              <w:t xml:space="preserve">: </w:t>
            </w:r>
          </w:p>
          <w:p w:rsidR="00AA4FEF" w:rsidRPr="00E75A07" w:rsidRDefault="00E271B2" w:rsidP="009F0049">
            <w:pPr>
              <w:keepNext/>
              <w:widowControl/>
              <w:jc w:val="center"/>
              <w:rPr>
                <w:rFonts w:ascii="Arial Narrow" w:hAnsi="Arial Narrow"/>
                <w:b/>
                <w:sz w:val="20"/>
                <w:szCs w:val="18"/>
              </w:rPr>
            </w:pPr>
            <w:r w:rsidRPr="00E75A07">
              <w:rPr>
                <w:rFonts w:ascii="Arial Narrow" w:hAnsi="Arial Narrow"/>
                <w:b/>
                <w:sz w:val="20"/>
                <w:szCs w:val="18"/>
              </w:rPr>
              <w:t>Dysport</w:t>
            </w:r>
            <w:r w:rsidR="00AA4FEF" w:rsidRPr="00E75A07">
              <w:rPr>
                <w:rFonts w:ascii="Arial Narrow" w:hAnsi="Arial Narrow"/>
                <w:b/>
                <w:sz w:val="20"/>
                <w:szCs w:val="18"/>
              </w:rPr>
              <w:t xml:space="preserve"> vs. PBO</w:t>
            </w:r>
          </w:p>
        </w:tc>
      </w:tr>
      <w:tr w:rsidR="000B5BF6" w:rsidRPr="00E2771E" w:rsidTr="000B5BF6">
        <w:trPr>
          <w:trHeight w:val="265"/>
        </w:trPr>
        <w:tc>
          <w:tcPr>
            <w:tcW w:w="727"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A4FEF" w:rsidRPr="00E75A07" w:rsidRDefault="00AA4FEF" w:rsidP="009F0049">
            <w:pPr>
              <w:keepNext/>
              <w:widowControl/>
              <w:rPr>
                <w:rFonts w:ascii="Arial Narrow" w:hAnsi="Arial Narrow"/>
                <w:color w:val="000000"/>
                <w:sz w:val="20"/>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sz w:val="20"/>
                <w:szCs w:val="18"/>
              </w:rPr>
            </w:pPr>
            <w:r w:rsidRPr="00E75A07">
              <w:rPr>
                <w:rFonts w:ascii="Arial Narrow" w:hAnsi="Arial Narrow"/>
                <w:b/>
                <w:sz w:val="20"/>
                <w:szCs w:val="18"/>
              </w:rPr>
              <w:t>Mean ∆ baseline</w:t>
            </w:r>
          </w:p>
        </w:tc>
        <w:tc>
          <w:tcPr>
            <w:tcW w:w="391" w:type="pct"/>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sz w:val="20"/>
                <w:szCs w:val="18"/>
              </w:rPr>
            </w:pPr>
            <w:r w:rsidRPr="00E75A07">
              <w:rPr>
                <w:rFonts w:ascii="Arial Narrow" w:hAnsi="Arial Narrow"/>
                <w:b/>
                <w:sz w:val="20"/>
                <w:szCs w:val="18"/>
              </w:rPr>
              <w:t>SD</w:t>
            </w:r>
          </w:p>
        </w:tc>
        <w:tc>
          <w:tcPr>
            <w:tcW w:w="311" w:type="pct"/>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color w:val="000000"/>
                <w:sz w:val="20"/>
                <w:szCs w:val="18"/>
              </w:rPr>
            </w:pPr>
            <w:r w:rsidRPr="00E75A07">
              <w:rPr>
                <w:rFonts w:ascii="Arial Narrow" w:hAnsi="Arial Narrow"/>
                <w:b/>
                <w:color w:val="000000"/>
                <w:sz w:val="20"/>
                <w:szCs w:val="18"/>
              </w:rPr>
              <w:t>N</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sz w:val="20"/>
                <w:szCs w:val="18"/>
              </w:rPr>
            </w:pPr>
            <w:r w:rsidRPr="00E75A07">
              <w:rPr>
                <w:rFonts w:ascii="Arial Narrow" w:hAnsi="Arial Narrow"/>
                <w:b/>
                <w:sz w:val="20"/>
                <w:szCs w:val="18"/>
              </w:rPr>
              <w:t>Mean ∆ baseline</w:t>
            </w:r>
          </w:p>
        </w:tc>
        <w:tc>
          <w:tcPr>
            <w:tcW w:w="386" w:type="pct"/>
            <w:gridSpan w:val="3"/>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sz w:val="20"/>
                <w:szCs w:val="18"/>
              </w:rPr>
            </w:pPr>
            <w:r w:rsidRPr="00E75A07">
              <w:rPr>
                <w:rFonts w:ascii="Arial Narrow" w:hAnsi="Arial Narrow"/>
                <w:b/>
                <w:sz w:val="20"/>
                <w:szCs w:val="18"/>
              </w:rPr>
              <w:t>SD</w:t>
            </w:r>
          </w:p>
        </w:tc>
        <w:tc>
          <w:tcPr>
            <w:tcW w:w="1203" w:type="pct"/>
            <w:gridSpan w:val="3"/>
            <w:vMerge/>
            <w:tcBorders>
              <w:top w:val="single" w:sz="4" w:space="0" w:color="auto"/>
              <w:left w:val="single" w:sz="4" w:space="0" w:color="auto"/>
              <w:bottom w:val="single" w:sz="4" w:space="0" w:color="auto"/>
              <w:right w:val="single" w:sz="4" w:space="0" w:color="auto"/>
            </w:tcBorders>
            <w:vAlign w:val="center"/>
          </w:tcPr>
          <w:p w:rsidR="00AA4FEF" w:rsidRPr="00E75A07" w:rsidRDefault="00AA4FEF" w:rsidP="009F0049">
            <w:pPr>
              <w:keepNext/>
              <w:widowControl/>
              <w:jc w:val="center"/>
              <w:rPr>
                <w:rFonts w:ascii="Arial Narrow" w:hAnsi="Arial Narrow"/>
                <w:b/>
                <w:sz w:val="20"/>
                <w:szCs w:val="18"/>
              </w:rPr>
            </w:pPr>
          </w:p>
        </w:tc>
      </w:tr>
      <w:tr w:rsidR="00AA4FEF" w:rsidRPr="00E2771E" w:rsidTr="001D193C">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AA4FEF" w:rsidRPr="00E75A07" w:rsidRDefault="00AA4FEF" w:rsidP="009F0049">
            <w:pPr>
              <w:keepNext/>
              <w:widowControl/>
              <w:jc w:val="left"/>
              <w:rPr>
                <w:rFonts w:ascii="Arial Narrow" w:hAnsi="Arial Narrow"/>
                <w:sz w:val="20"/>
                <w:szCs w:val="18"/>
              </w:rPr>
            </w:pPr>
            <w:r w:rsidRPr="00E75A07">
              <w:rPr>
                <w:rFonts w:ascii="Arial Narrow" w:hAnsi="Arial Narrow"/>
                <w:b/>
                <w:bCs/>
                <w:color w:val="000000"/>
                <w:sz w:val="20"/>
                <w:szCs w:val="18"/>
              </w:rPr>
              <w:t>Study 145: ITT</w:t>
            </w:r>
          </w:p>
        </w:tc>
      </w:tr>
      <w:tr w:rsidR="000B5BF6" w:rsidRPr="009E369F"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28" w:rsidRPr="00E75A07" w:rsidRDefault="004C622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319" w:type="pct"/>
            <w:tcBorders>
              <w:top w:val="single" w:sz="4" w:space="0" w:color="auto"/>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79</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-0.7</w:t>
            </w:r>
          </w:p>
        </w:tc>
        <w:tc>
          <w:tcPr>
            <w:tcW w:w="391" w:type="pct"/>
            <w:tcBorders>
              <w:top w:val="single" w:sz="4" w:space="0" w:color="auto"/>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0.7</w:t>
            </w:r>
          </w:p>
        </w:tc>
        <w:tc>
          <w:tcPr>
            <w:tcW w:w="311" w:type="pct"/>
            <w:vMerge w:val="restart"/>
            <w:tcBorders>
              <w:top w:val="single" w:sz="4" w:space="0" w:color="auto"/>
              <w:left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79</w:t>
            </w:r>
          </w:p>
        </w:tc>
        <w:tc>
          <w:tcPr>
            <w:tcW w:w="786" w:type="pct"/>
            <w:gridSpan w:val="2"/>
            <w:vMerge w:val="restart"/>
            <w:tcBorders>
              <w:top w:val="single" w:sz="4" w:space="0" w:color="auto"/>
              <w:left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-0.5</w:t>
            </w:r>
          </w:p>
        </w:tc>
        <w:tc>
          <w:tcPr>
            <w:tcW w:w="386" w:type="pct"/>
            <w:gridSpan w:val="3"/>
            <w:vMerge w:val="restart"/>
            <w:tcBorders>
              <w:top w:val="single" w:sz="4" w:space="0" w:color="auto"/>
              <w:left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0.7</w:t>
            </w:r>
          </w:p>
        </w:tc>
        <w:tc>
          <w:tcPr>
            <w:tcW w:w="1203" w:type="pct"/>
            <w:gridSpan w:val="3"/>
            <w:tcBorders>
              <w:top w:val="single" w:sz="4" w:space="0" w:color="auto"/>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b/>
                <w:bCs/>
                <w:sz w:val="20"/>
                <w:szCs w:val="20"/>
              </w:rPr>
            </w:pPr>
            <w:r w:rsidRPr="00E75A07">
              <w:rPr>
                <w:rFonts w:ascii="Arial Narrow" w:hAnsi="Arial Narrow"/>
                <w:sz w:val="20"/>
                <w:szCs w:val="20"/>
              </w:rPr>
              <w:t>-0.2 (-0.4, 0.00)</w:t>
            </w:r>
          </w:p>
        </w:tc>
      </w:tr>
      <w:tr w:rsidR="000B5BF6" w:rsidRPr="009E369F" w:rsidTr="000B5BF6">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228" w:rsidRPr="00E75A07" w:rsidRDefault="004C622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319" w:type="pct"/>
            <w:tcBorders>
              <w:top w:val="single" w:sz="4" w:space="0" w:color="auto"/>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80</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-0.7</w:t>
            </w:r>
          </w:p>
        </w:tc>
        <w:tc>
          <w:tcPr>
            <w:tcW w:w="391" w:type="pct"/>
            <w:tcBorders>
              <w:top w:val="single" w:sz="4" w:space="0" w:color="auto"/>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0.8</w:t>
            </w:r>
          </w:p>
        </w:tc>
        <w:tc>
          <w:tcPr>
            <w:tcW w:w="311" w:type="pct"/>
            <w:vMerge/>
            <w:tcBorders>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p>
        </w:tc>
        <w:tc>
          <w:tcPr>
            <w:tcW w:w="786" w:type="pct"/>
            <w:gridSpan w:val="2"/>
            <w:vMerge/>
            <w:tcBorders>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p>
        </w:tc>
        <w:tc>
          <w:tcPr>
            <w:tcW w:w="386" w:type="pct"/>
            <w:gridSpan w:val="3"/>
            <w:vMerge/>
            <w:tcBorders>
              <w:left w:val="single" w:sz="4" w:space="0" w:color="auto"/>
              <w:bottom w:val="single" w:sz="4" w:space="0" w:color="auto"/>
              <w:right w:val="single" w:sz="4" w:space="0" w:color="auto"/>
            </w:tcBorders>
            <w:vAlign w:val="center"/>
          </w:tcPr>
          <w:p w:rsidR="004C6228" w:rsidRPr="00E75A07" w:rsidRDefault="004C6228" w:rsidP="009F0049">
            <w:pPr>
              <w:keepNext/>
              <w:widowControl/>
              <w:jc w:val="center"/>
              <w:rPr>
                <w:rFonts w:ascii="Arial Narrow" w:hAnsi="Arial Narrow"/>
                <w:color w:val="000000"/>
                <w:sz w:val="20"/>
                <w:szCs w:val="18"/>
              </w:rPr>
            </w:pPr>
          </w:p>
        </w:tc>
        <w:tc>
          <w:tcPr>
            <w:tcW w:w="1203" w:type="pct"/>
            <w:gridSpan w:val="3"/>
            <w:tcBorders>
              <w:top w:val="single" w:sz="4" w:space="0" w:color="auto"/>
              <w:left w:val="single" w:sz="4" w:space="0" w:color="auto"/>
              <w:bottom w:val="double" w:sz="4" w:space="0" w:color="auto"/>
              <w:right w:val="single" w:sz="4" w:space="0" w:color="auto"/>
            </w:tcBorders>
            <w:vAlign w:val="center"/>
          </w:tcPr>
          <w:p w:rsidR="004C6228" w:rsidRPr="00E75A07" w:rsidRDefault="004C6228" w:rsidP="009F0049">
            <w:pPr>
              <w:keepNext/>
              <w:widowControl/>
              <w:jc w:val="center"/>
              <w:rPr>
                <w:rFonts w:ascii="Arial Narrow" w:hAnsi="Arial Narrow"/>
                <w:b/>
                <w:bCs/>
                <w:sz w:val="20"/>
                <w:szCs w:val="20"/>
              </w:rPr>
            </w:pPr>
            <w:r w:rsidRPr="00E75A07">
              <w:rPr>
                <w:rFonts w:ascii="Arial Narrow" w:hAnsi="Arial Narrow"/>
                <w:sz w:val="20"/>
                <w:szCs w:val="20"/>
              </w:rPr>
              <w:t>-0.1 (-0.4, 0.1)</w:t>
            </w:r>
          </w:p>
        </w:tc>
      </w:tr>
      <w:tr w:rsidR="00CB29C8" w:rsidRPr="00062340" w:rsidTr="006250DE">
        <w:tc>
          <w:tcPr>
            <w:tcW w:w="5000" w:type="pct"/>
            <w:gridSpan w:val="15"/>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9C8" w:rsidRPr="00E75A07" w:rsidRDefault="00CB29C8" w:rsidP="009F0049">
            <w:pPr>
              <w:keepNext/>
              <w:widowControl/>
              <w:rPr>
                <w:rFonts w:ascii="Arial Narrow" w:hAnsi="Arial Narrow"/>
                <w:b/>
                <w:color w:val="000000"/>
                <w:sz w:val="20"/>
                <w:szCs w:val="18"/>
                <w:lang w:val="fr-FR"/>
              </w:rPr>
            </w:pPr>
            <w:proofErr w:type="spellStart"/>
            <w:r w:rsidRPr="00E75A07">
              <w:rPr>
                <w:rFonts w:ascii="Arial Narrow" w:hAnsi="Arial Narrow"/>
                <w:b/>
                <w:color w:val="000000"/>
                <w:sz w:val="20"/>
                <w:szCs w:val="18"/>
                <w:lang w:val="fr-FR"/>
              </w:rPr>
              <w:t>Harms</w:t>
            </w:r>
            <w:proofErr w:type="spellEnd"/>
            <w:r w:rsidR="009060EB" w:rsidRPr="00E75A07">
              <w:rPr>
                <w:rFonts w:ascii="Arial Narrow" w:hAnsi="Arial Narrow"/>
                <w:b/>
                <w:color w:val="000000"/>
                <w:sz w:val="20"/>
                <w:szCs w:val="18"/>
                <w:lang w:val="fr-FR"/>
              </w:rPr>
              <w:t>:</w:t>
            </w:r>
            <w:r w:rsidR="00B6406E" w:rsidRPr="00E75A07">
              <w:rPr>
                <w:rFonts w:ascii="Arial Narrow" w:hAnsi="Arial Narrow"/>
                <w:b/>
                <w:color w:val="000000"/>
                <w:sz w:val="20"/>
                <w:szCs w:val="18"/>
                <w:lang w:val="fr-FR"/>
              </w:rPr>
              <w:t xml:space="preserve"> </w:t>
            </w:r>
            <w:r w:rsidR="009060EB" w:rsidRPr="00E75A07">
              <w:rPr>
                <w:rFonts w:ascii="Arial Narrow" w:hAnsi="Arial Narrow"/>
                <w:b/>
                <w:color w:val="000000"/>
                <w:sz w:val="20"/>
                <w:szCs w:val="18"/>
              </w:rPr>
              <w:t>TEAEs</w:t>
            </w:r>
          </w:p>
        </w:tc>
      </w:tr>
      <w:tr w:rsidR="000B5BF6" w:rsidRPr="00062340" w:rsidTr="000B5BF6">
        <w:trPr>
          <w:trHeight w:val="70"/>
        </w:trPr>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rPr>
                <w:rFonts w:ascii="Arial Narrow" w:hAnsi="Arial Narrow"/>
                <w:b/>
                <w:color w:val="000000"/>
                <w:sz w:val="20"/>
                <w:szCs w:val="18"/>
                <w:lang w:val="fr-FR"/>
              </w:rPr>
            </w:pPr>
          </w:p>
        </w:tc>
        <w:tc>
          <w:tcPr>
            <w:tcW w:w="62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Dysport</w:t>
            </w:r>
          </w:p>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n/N</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PBO</w:t>
            </w:r>
          </w:p>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n/N</w:t>
            </w:r>
          </w:p>
        </w:tc>
        <w:tc>
          <w:tcPr>
            <w:tcW w:w="96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RR</w:t>
            </w:r>
          </w:p>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(95% CI)</w:t>
            </w:r>
          </w:p>
        </w:tc>
        <w:tc>
          <w:tcPr>
            <w:tcW w:w="132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 xml:space="preserve">Event rate/100 patients* </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RD</w:t>
            </w:r>
          </w:p>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(95% CI)</w:t>
            </w:r>
          </w:p>
        </w:tc>
      </w:tr>
      <w:tr w:rsidR="000B5BF6" w:rsidRPr="00062340" w:rsidTr="000B5BF6">
        <w:trPr>
          <w:trHeight w:val="70"/>
        </w:trPr>
        <w:tc>
          <w:tcPr>
            <w:tcW w:w="72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9C8" w:rsidRPr="00E75A07" w:rsidRDefault="00CB29C8" w:rsidP="009F0049">
            <w:pPr>
              <w:keepNext/>
              <w:widowControl/>
              <w:rPr>
                <w:rFonts w:ascii="Arial Narrow" w:hAnsi="Arial Narrow"/>
                <w:b/>
                <w:color w:val="000000"/>
                <w:sz w:val="20"/>
                <w:szCs w:val="18"/>
                <w:lang w:val="fr-FR"/>
              </w:rPr>
            </w:pPr>
          </w:p>
        </w:tc>
        <w:tc>
          <w:tcPr>
            <w:tcW w:w="621" w:type="pct"/>
            <w:gridSpan w:val="3"/>
            <w:vMerge/>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b/>
                <w:color w:val="000000"/>
                <w:sz w:val="20"/>
                <w:szCs w:val="18"/>
                <w:lang w:val="fr-FR"/>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b/>
                <w:color w:val="000000"/>
                <w:sz w:val="20"/>
                <w:szCs w:val="18"/>
                <w:lang w:val="fr-FR"/>
              </w:rPr>
            </w:pPr>
          </w:p>
        </w:tc>
        <w:tc>
          <w:tcPr>
            <w:tcW w:w="961" w:type="pct"/>
            <w:gridSpan w:val="3"/>
            <w:vMerge/>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b/>
                <w:color w:val="000000"/>
                <w:sz w:val="20"/>
                <w:szCs w:val="18"/>
                <w:lang w:val="fr-FR"/>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9D555B"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Dysport</w:t>
            </w:r>
          </w:p>
        </w:tc>
        <w:tc>
          <w:tcPr>
            <w:tcW w:w="6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jc w:val="center"/>
              <w:rPr>
                <w:rFonts w:ascii="Arial Narrow" w:hAnsi="Arial Narrow"/>
                <w:b/>
                <w:color w:val="000000"/>
                <w:sz w:val="20"/>
                <w:szCs w:val="18"/>
                <w:lang w:val="fr-FR"/>
              </w:rPr>
            </w:pPr>
            <w:r w:rsidRPr="00E75A07">
              <w:rPr>
                <w:rFonts w:ascii="Arial Narrow" w:hAnsi="Arial Narrow"/>
                <w:b/>
                <w:color w:val="000000"/>
                <w:sz w:val="20"/>
                <w:szCs w:val="18"/>
                <w:lang w:val="fr-FR"/>
              </w:rPr>
              <w:t>PBO</w:t>
            </w:r>
          </w:p>
        </w:tc>
        <w:tc>
          <w:tcPr>
            <w:tcW w:w="790" w:type="pct"/>
            <w:vMerge/>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b/>
                <w:color w:val="000000"/>
                <w:sz w:val="20"/>
                <w:szCs w:val="18"/>
                <w:lang w:val="fr-FR"/>
              </w:rPr>
            </w:pPr>
          </w:p>
        </w:tc>
      </w:tr>
      <w:tr w:rsidR="00CB29C8" w:rsidRPr="00E2771E" w:rsidTr="001D193C">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jc w:val="left"/>
              <w:rPr>
                <w:rFonts w:ascii="Arial Narrow" w:hAnsi="Arial Narrow"/>
                <w:b/>
                <w:bCs/>
                <w:color w:val="000000"/>
                <w:sz w:val="20"/>
                <w:szCs w:val="18"/>
              </w:rPr>
            </w:pPr>
            <w:r w:rsidRPr="00E75A07">
              <w:rPr>
                <w:rFonts w:ascii="Arial Narrow" w:hAnsi="Arial Narrow"/>
                <w:b/>
                <w:bCs/>
                <w:color w:val="000000"/>
                <w:sz w:val="20"/>
                <w:szCs w:val="18"/>
              </w:rPr>
              <w:t>Study 145: ITT</w:t>
            </w:r>
          </w:p>
        </w:tc>
      </w:tr>
      <w:tr w:rsidR="000B5BF6" w:rsidRPr="00E2771E" w:rsidTr="000B5BF6">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34/81</w:t>
            </w:r>
          </w:p>
        </w:tc>
        <w:tc>
          <w:tcPr>
            <w:tcW w:w="579" w:type="pct"/>
            <w:vMerge w:val="restart"/>
            <w:tcBorders>
              <w:top w:val="single" w:sz="4" w:space="0" w:color="auto"/>
              <w:left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21/81</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iCs/>
                <w:color w:val="000000"/>
                <w:sz w:val="20"/>
                <w:szCs w:val="18"/>
              </w:rPr>
            </w:pPr>
            <w:r w:rsidRPr="00E75A07">
              <w:rPr>
                <w:rFonts w:ascii="Arial Narrow" w:hAnsi="Arial Narrow"/>
                <w:b/>
                <w:bCs/>
                <w:iCs/>
                <w:color w:val="000000"/>
                <w:sz w:val="20"/>
                <w:szCs w:val="18"/>
              </w:rPr>
              <w:t>1.62 (1.03, 2.54)</w:t>
            </w:r>
          </w:p>
        </w:tc>
        <w:tc>
          <w:tcPr>
            <w:tcW w:w="690"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42.0</w:t>
            </w:r>
          </w:p>
        </w:tc>
        <w:tc>
          <w:tcPr>
            <w:tcW w:w="636" w:type="pct"/>
            <w:gridSpan w:val="3"/>
            <w:vMerge w:val="restart"/>
            <w:tcBorders>
              <w:top w:val="single" w:sz="4" w:space="0" w:color="auto"/>
              <w:left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25.9</w:t>
            </w:r>
          </w:p>
        </w:tc>
        <w:tc>
          <w:tcPr>
            <w:tcW w:w="790" w:type="pct"/>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b/>
                <w:bCs/>
                <w:iCs/>
                <w:color w:val="000000"/>
                <w:sz w:val="20"/>
                <w:szCs w:val="18"/>
              </w:rPr>
            </w:pPr>
            <w:r w:rsidRPr="00E75A07">
              <w:rPr>
                <w:rFonts w:ascii="Arial Narrow" w:hAnsi="Arial Narrow"/>
                <w:b/>
                <w:bCs/>
                <w:iCs/>
                <w:color w:val="000000"/>
                <w:sz w:val="20"/>
                <w:szCs w:val="18"/>
              </w:rPr>
              <w:t>0.16 (0.02, 0.30)</w:t>
            </w:r>
          </w:p>
        </w:tc>
      </w:tr>
      <w:tr w:rsidR="000B5BF6" w:rsidRPr="00E2771E" w:rsidTr="000B5BF6">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36/81</w:t>
            </w:r>
          </w:p>
        </w:tc>
        <w:tc>
          <w:tcPr>
            <w:tcW w:w="579" w:type="pct"/>
            <w:vMerge/>
            <w:tcBorders>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p>
        </w:tc>
        <w:tc>
          <w:tcPr>
            <w:tcW w:w="961"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iCs/>
                <w:color w:val="000000"/>
                <w:sz w:val="20"/>
                <w:szCs w:val="18"/>
              </w:rPr>
            </w:pPr>
            <w:r w:rsidRPr="00E75A07">
              <w:rPr>
                <w:rFonts w:ascii="Arial Narrow" w:hAnsi="Arial Narrow"/>
                <w:b/>
                <w:bCs/>
                <w:iCs/>
                <w:color w:val="000000"/>
                <w:sz w:val="20"/>
                <w:szCs w:val="18"/>
              </w:rPr>
              <w:t>1.71 (1.10, 2.67)</w:t>
            </w:r>
          </w:p>
        </w:tc>
        <w:tc>
          <w:tcPr>
            <w:tcW w:w="690"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44.4</w:t>
            </w:r>
          </w:p>
        </w:tc>
        <w:tc>
          <w:tcPr>
            <w:tcW w:w="636" w:type="pct"/>
            <w:gridSpan w:val="3"/>
            <w:vMerge/>
            <w:tcBorders>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p>
        </w:tc>
        <w:tc>
          <w:tcPr>
            <w:tcW w:w="790" w:type="pct"/>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b/>
                <w:bCs/>
                <w:iCs/>
                <w:color w:val="000000"/>
                <w:sz w:val="20"/>
                <w:szCs w:val="18"/>
              </w:rPr>
            </w:pPr>
            <w:r w:rsidRPr="00E75A07">
              <w:rPr>
                <w:rFonts w:ascii="Arial Narrow" w:hAnsi="Arial Narrow"/>
                <w:b/>
                <w:bCs/>
                <w:iCs/>
                <w:color w:val="000000"/>
                <w:sz w:val="20"/>
                <w:szCs w:val="18"/>
              </w:rPr>
              <w:t>0.19 (0.04, 0.33)</w:t>
            </w:r>
          </w:p>
        </w:tc>
      </w:tr>
      <w:tr w:rsidR="00CB29C8" w:rsidRPr="00E2771E" w:rsidTr="001D193C">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rPr>
                <w:rFonts w:ascii="Arial Narrow" w:hAnsi="Arial Narrow"/>
                <w:b/>
                <w:color w:val="000000"/>
                <w:sz w:val="20"/>
                <w:szCs w:val="18"/>
              </w:rPr>
            </w:pPr>
            <w:r w:rsidRPr="00E75A07">
              <w:rPr>
                <w:rFonts w:ascii="Arial Narrow" w:hAnsi="Arial Narrow"/>
                <w:b/>
                <w:bCs/>
                <w:color w:val="000000"/>
                <w:sz w:val="20"/>
                <w:szCs w:val="18"/>
              </w:rPr>
              <w:t>Study 145: TBI subgroup</w:t>
            </w:r>
          </w:p>
        </w:tc>
      </w:tr>
      <w:tr w:rsidR="000B5BF6" w:rsidRPr="00E2771E" w:rsidTr="000B5BF6">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9C8" w:rsidRPr="00E75A07" w:rsidRDefault="00CB29C8" w:rsidP="009F0049">
            <w:pPr>
              <w:keepNext/>
              <w:widowControl/>
              <w:rPr>
                <w:rFonts w:ascii="Arial Narrow" w:hAnsi="Arial Narrow"/>
                <w:color w:val="000000"/>
                <w:sz w:val="20"/>
                <w:szCs w:val="18"/>
              </w:rPr>
            </w:pPr>
            <w:r w:rsidRPr="00E75A07">
              <w:rPr>
                <w:rFonts w:ascii="Arial Narrow" w:hAnsi="Arial Narrow"/>
                <w:color w:val="000000"/>
                <w:sz w:val="20"/>
                <w:szCs w:val="18"/>
              </w:rPr>
              <w:t>Dysport 1000U</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3/6</w:t>
            </w:r>
          </w:p>
        </w:tc>
        <w:tc>
          <w:tcPr>
            <w:tcW w:w="581" w:type="pct"/>
            <w:vMerge w:val="restart"/>
            <w:tcBorders>
              <w:top w:val="single" w:sz="4" w:space="0" w:color="auto"/>
              <w:left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2/9</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2.25 (0.52, 9.70)</w:t>
            </w:r>
          </w:p>
        </w:tc>
        <w:tc>
          <w:tcPr>
            <w:tcW w:w="690" w:type="pct"/>
            <w:gridSpan w:val="3"/>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50.0</w:t>
            </w:r>
          </w:p>
        </w:tc>
        <w:tc>
          <w:tcPr>
            <w:tcW w:w="636" w:type="pct"/>
            <w:gridSpan w:val="3"/>
            <w:vMerge w:val="restart"/>
            <w:tcBorders>
              <w:top w:val="single" w:sz="4" w:space="0" w:color="auto"/>
              <w:left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22.2</w:t>
            </w:r>
          </w:p>
        </w:tc>
        <w:tc>
          <w:tcPr>
            <w:tcW w:w="790" w:type="pct"/>
            <w:tcBorders>
              <w:top w:val="single" w:sz="4" w:space="0" w:color="auto"/>
              <w:left w:val="single" w:sz="4" w:space="0" w:color="auto"/>
              <w:bottom w:val="sing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0.28 (-0.21, 0.76)</w:t>
            </w:r>
          </w:p>
        </w:tc>
      </w:tr>
      <w:tr w:rsidR="000B5BF6" w:rsidRPr="00E2771E" w:rsidTr="000B5BF6">
        <w:tc>
          <w:tcPr>
            <w:tcW w:w="723" w:type="pct"/>
            <w:tcBorders>
              <w:top w:val="single" w:sz="4" w:space="0" w:color="auto"/>
              <w:left w:val="single" w:sz="4" w:space="0" w:color="auto"/>
              <w:bottom w:val="double" w:sz="4" w:space="0" w:color="auto"/>
              <w:right w:val="single" w:sz="4" w:space="0" w:color="auto"/>
            </w:tcBorders>
            <w:shd w:val="clear" w:color="auto" w:fill="auto"/>
            <w:vAlign w:val="center"/>
          </w:tcPr>
          <w:p w:rsidR="00CB29C8" w:rsidRPr="00E75A07" w:rsidRDefault="00CB29C8" w:rsidP="009F0049">
            <w:pPr>
              <w:keepNext/>
              <w:widowControl/>
              <w:rPr>
                <w:rFonts w:ascii="Arial Narrow" w:hAnsi="Arial Narrow"/>
                <w:color w:val="000000"/>
                <w:sz w:val="20"/>
                <w:szCs w:val="18"/>
              </w:rPr>
            </w:pPr>
            <w:r w:rsidRPr="00E75A07">
              <w:rPr>
                <w:rFonts w:ascii="Arial Narrow" w:hAnsi="Arial Narrow"/>
                <w:color w:val="000000"/>
                <w:sz w:val="20"/>
                <w:szCs w:val="18"/>
              </w:rPr>
              <w:t>Dysport 500U</w:t>
            </w:r>
          </w:p>
        </w:tc>
        <w:tc>
          <w:tcPr>
            <w:tcW w:w="619" w:type="pct"/>
            <w:gridSpan w:val="3"/>
            <w:tcBorders>
              <w:top w:val="single" w:sz="4" w:space="0" w:color="auto"/>
              <w:left w:val="single" w:sz="4" w:space="0" w:color="auto"/>
              <w:bottom w:val="doub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2/8</w:t>
            </w:r>
          </w:p>
        </w:tc>
        <w:tc>
          <w:tcPr>
            <w:tcW w:w="581" w:type="pct"/>
            <w:vMerge/>
            <w:tcBorders>
              <w:left w:val="single" w:sz="4" w:space="0" w:color="auto"/>
              <w:bottom w:val="doub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p>
        </w:tc>
        <w:tc>
          <w:tcPr>
            <w:tcW w:w="961" w:type="pct"/>
            <w:gridSpan w:val="3"/>
            <w:tcBorders>
              <w:top w:val="single" w:sz="4" w:space="0" w:color="auto"/>
              <w:left w:val="single" w:sz="4" w:space="0" w:color="auto"/>
              <w:bottom w:val="doub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iCs/>
                <w:color w:val="000000"/>
                <w:sz w:val="20"/>
                <w:szCs w:val="18"/>
              </w:rPr>
              <w:t>1.13(0.20, 6.24)</w:t>
            </w:r>
          </w:p>
        </w:tc>
        <w:tc>
          <w:tcPr>
            <w:tcW w:w="690" w:type="pct"/>
            <w:gridSpan w:val="3"/>
            <w:tcBorders>
              <w:top w:val="single" w:sz="4" w:space="0" w:color="auto"/>
              <w:left w:val="single" w:sz="4" w:space="0" w:color="auto"/>
              <w:bottom w:val="doub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r w:rsidRPr="00E75A07">
              <w:rPr>
                <w:rFonts w:ascii="Arial Narrow" w:hAnsi="Arial Narrow"/>
                <w:color w:val="000000"/>
                <w:sz w:val="20"/>
                <w:szCs w:val="18"/>
              </w:rPr>
              <w:t>25.0</w:t>
            </w:r>
          </w:p>
        </w:tc>
        <w:tc>
          <w:tcPr>
            <w:tcW w:w="636" w:type="pct"/>
            <w:gridSpan w:val="3"/>
            <w:vMerge/>
            <w:tcBorders>
              <w:left w:val="single" w:sz="4" w:space="0" w:color="auto"/>
              <w:bottom w:val="double" w:sz="4" w:space="0" w:color="auto"/>
              <w:right w:val="single" w:sz="4" w:space="0" w:color="auto"/>
            </w:tcBorders>
            <w:vAlign w:val="center"/>
          </w:tcPr>
          <w:p w:rsidR="00CB29C8" w:rsidRPr="00E75A07" w:rsidRDefault="00CB29C8" w:rsidP="009F0049">
            <w:pPr>
              <w:keepNext/>
              <w:widowControl/>
              <w:jc w:val="center"/>
              <w:rPr>
                <w:rFonts w:ascii="Arial Narrow" w:hAnsi="Arial Narrow"/>
                <w:color w:val="000000"/>
                <w:sz w:val="20"/>
                <w:szCs w:val="18"/>
              </w:rPr>
            </w:pPr>
          </w:p>
        </w:tc>
        <w:tc>
          <w:tcPr>
            <w:tcW w:w="790" w:type="pct"/>
            <w:tcBorders>
              <w:top w:val="single" w:sz="4" w:space="0" w:color="auto"/>
              <w:left w:val="single" w:sz="4" w:space="0" w:color="auto"/>
              <w:bottom w:val="double" w:sz="4" w:space="0" w:color="auto"/>
              <w:right w:val="single" w:sz="4" w:space="0" w:color="auto"/>
            </w:tcBorders>
            <w:vAlign w:val="center"/>
          </w:tcPr>
          <w:p w:rsidR="00CB29C8" w:rsidRPr="00E75A07" w:rsidRDefault="00CB29C8" w:rsidP="009F0049">
            <w:pPr>
              <w:keepNext/>
              <w:widowControl/>
              <w:jc w:val="center"/>
              <w:rPr>
                <w:rFonts w:ascii="Arial Narrow" w:hAnsi="Arial Narrow"/>
                <w:iCs/>
                <w:color w:val="000000"/>
                <w:sz w:val="20"/>
                <w:szCs w:val="18"/>
              </w:rPr>
            </w:pPr>
            <w:r w:rsidRPr="00E75A07">
              <w:rPr>
                <w:rFonts w:ascii="Arial Narrow" w:hAnsi="Arial Narrow"/>
                <w:iCs/>
                <w:color w:val="000000"/>
                <w:sz w:val="20"/>
                <w:szCs w:val="18"/>
              </w:rPr>
              <w:t>0.03 (-0.38, 0.43)</w:t>
            </w:r>
          </w:p>
        </w:tc>
      </w:tr>
    </w:tbl>
    <w:p w:rsidR="002C5008" w:rsidRPr="003845DC" w:rsidRDefault="00CB29C8" w:rsidP="009F0049">
      <w:pPr>
        <w:pStyle w:val="TableFooter"/>
        <w:widowControl/>
        <w:rPr>
          <w:rStyle w:val="CommentReference"/>
          <w:b w:val="0"/>
          <w:sz w:val="18"/>
          <w:szCs w:val="18"/>
        </w:rPr>
      </w:pPr>
      <w:r w:rsidRPr="003845DC">
        <w:rPr>
          <w:szCs w:val="18"/>
        </w:rPr>
        <w:t xml:space="preserve">Abbreviations: </w:t>
      </w:r>
      <w:r w:rsidR="00637F98" w:rsidRPr="003845DC">
        <w:rPr>
          <w:szCs w:val="18"/>
        </w:rPr>
        <w:t xml:space="preserve">DAS=Disability Assessment Scale; </w:t>
      </w:r>
      <w:r w:rsidRPr="003845DC">
        <w:rPr>
          <w:szCs w:val="18"/>
        </w:rPr>
        <w:t>MAS=modified Ashworth scale; RD = risk difference; RR = risk ratio;</w:t>
      </w:r>
      <w:r w:rsidR="00637F98" w:rsidRPr="003845DC">
        <w:rPr>
          <w:b/>
          <w:bCs/>
          <w:szCs w:val="18"/>
        </w:rPr>
        <w:t xml:space="preserve"> </w:t>
      </w:r>
      <w:r w:rsidR="00637F98" w:rsidRPr="003845DC">
        <w:rPr>
          <w:szCs w:val="18"/>
        </w:rPr>
        <w:t>PGA=Physician’s Global Assessment;</w:t>
      </w:r>
      <w:r w:rsidR="00637F98" w:rsidRPr="003845DC">
        <w:rPr>
          <w:b/>
          <w:bCs/>
          <w:szCs w:val="18"/>
        </w:rPr>
        <w:t xml:space="preserve"> </w:t>
      </w:r>
      <w:r w:rsidRPr="003845DC">
        <w:rPr>
          <w:szCs w:val="18"/>
        </w:rPr>
        <w:t>PTMG=primary targeted muscle group; TBI=traumatic brain injury; TEAE=t</w:t>
      </w:r>
      <w:r w:rsidR="00E771E1" w:rsidRPr="003845DC">
        <w:rPr>
          <w:szCs w:val="18"/>
        </w:rPr>
        <w:t>reatment emergent adverse event, NR=not reported.</w:t>
      </w:r>
    </w:p>
    <w:p w:rsidR="002C5008" w:rsidRPr="003845DC" w:rsidRDefault="002C5008" w:rsidP="009F0049">
      <w:pPr>
        <w:pStyle w:val="TableFooter"/>
        <w:widowControl/>
        <w:rPr>
          <w:szCs w:val="18"/>
        </w:rPr>
      </w:pPr>
      <w:r w:rsidRPr="003845DC">
        <w:rPr>
          <w:szCs w:val="18"/>
        </w:rPr>
        <w:t>*Median duration of follow-up: Study 145 = 13.0-13.6 weeks.</w:t>
      </w:r>
    </w:p>
    <w:p w:rsidR="002C5008" w:rsidRPr="00B77A79" w:rsidRDefault="00E771E1" w:rsidP="009F0049">
      <w:pPr>
        <w:widowControl/>
        <w:jc w:val="left"/>
        <w:rPr>
          <w:rStyle w:val="CommentReference"/>
          <w:b w:val="0"/>
          <w:bCs/>
          <w:iCs/>
        </w:rPr>
      </w:pPr>
      <w:r w:rsidRPr="00B77A79">
        <w:rPr>
          <w:rStyle w:val="CommentReference"/>
          <w:b w:val="0"/>
          <w:bCs/>
          <w:iCs/>
          <w:sz w:val="18"/>
          <w:szCs w:val="18"/>
        </w:rPr>
        <w:t>Source: compiled during the evaluation based on efficacy results reported in the submission</w:t>
      </w:r>
      <w:r w:rsidRPr="00B77A79">
        <w:rPr>
          <w:rStyle w:val="CommentReference"/>
          <w:b w:val="0"/>
          <w:bCs/>
          <w:iCs/>
        </w:rPr>
        <w:t>.</w:t>
      </w:r>
    </w:p>
    <w:p w:rsidR="00AC2C86" w:rsidRDefault="00AC2C86" w:rsidP="009F0049">
      <w:pPr>
        <w:widowControl/>
        <w:jc w:val="left"/>
        <w:rPr>
          <w:rStyle w:val="CommentReference"/>
        </w:rPr>
      </w:pPr>
    </w:p>
    <w:p w:rsidR="009F4CD8" w:rsidRDefault="00D91328" w:rsidP="009F0049">
      <w:pPr>
        <w:pStyle w:val="ListParagraph"/>
        <w:widowControl/>
        <w:numPr>
          <w:ilvl w:val="1"/>
          <w:numId w:val="1"/>
        </w:numPr>
        <w:spacing w:after="120"/>
      </w:pPr>
      <w:r w:rsidRPr="00CF6EE4">
        <w:t>On the bas</w:t>
      </w:r>
      <w:r>
        <w:t>is of direct</w:t>
      </w:r>
      <w:r w:rsidRPr="00CF6EE4">
        <w:t xml:space="preserve"> evidence presented by the submission</w:t>
      </w:r>
      <w:r w:rsidR="00F64E61">
        <w:t>,</w:t>
      </w:r>
      <w:r>
        <w:t xml:space="preserve"> </w:t>
      </w:r>
      <w:r w:rsidR="0096506C">
        <w:t>treatment with</w:t>
      </w:r>
      <w:r w:rsidR="007F491F">
        <w:t xml:space="preserve"> one dose of</w:t>
      </w:r>
      <w:r w:rsidR="0096506C">
        <w:t xml:space="preserve"> </w:t>
      </w:r>
      <w:r w:rsidR="0096506C" w:rsidRPr="002E05A9">
        <w:rPr>
          <w:u w:val="single"/>
        </w:rPr>
        <w:t>Dysport</w:t>
      </w:r>
      <w:r w:rsidR="0096506C" w:rsidRPr="002E05A9">
        <w:rPr>
          <w:rFonts w:cs="Calibri"/>
          <w:u w:val="single"/>
        </w:rPr>
        <w:t>® 1000U</w:t>
      </w:r>
      <w:r w:rsidR="0096506C">
        <w:t xml:space="preserve"> compared to </w:t>
      </w:r>
      <w:r w:rsidR="001F31D3">
        <w:t>placebo</w:t>
      </w:r>
      <w:r w:rsidR="001F31D3" w:rsidRPr="00CF6EE4">
        <w:t xml:space="preserve"> </w:t>
      </w:r>
      <w:r w:rsidR="009F4CD8">
        <w:t>in</w:t>
      </w:r>
      <w:r w:rsidR="0096506C">
        <w:t xml:space="preserve"> the</w:t>
      </w:r>
      <w:r w:rsidR="009F4CD8">
        <w:t>:</w:t>
      </w:r>
    </w:p>
    <w:p w:rsidR="00D91328" w:rsidRPr="009F4CD8" w:rsidRDefault="009F4CD8" w:rsidP="009F0049">
      <w:pPr>
        <w:widowControl/>
        <w:spacing w:after="120"/>
        <w:ind w:left="709"/>
        <w:rPr>
          <w:b/>
          <w:bCs/>
        </w:rPr>
      </w:pPr>
      <w:r w:rsidRPr="009F4CD8">
        <w:rPr>
          <w:b/>
          <w:bCs/>
        </w:rPr>
        <w:lastRenderedPageBreak/>
        <w:t>A) ITT population of Study 145</w:t>
      </w:r>
      <w:r w:rsidR="00D91328" w:rsidRPr="009F4CD8">
        <w:rPr>
          <w:b/>
          <w:bCs/>
        </w:rPr>
        <w:t xml:space="preserve"> resulted in</w:t>
      </w:r>
      <w:r w:rsidR="00F64E61">
        <w:rPr>
          <w:b/>
          <w:bCs/>
        </w:rPr>
        <w:t xml:space="preserve"> a</w:t>
      </w:r>
      <w:r w:rsidR="00D91328" w:rsidRPr="009F4CD8">
        <w:rPr>
          <w:b/>
          <w:bCs/>
        </w:rPr>
        <w:t>:</w:t>
      </w:r>
    </w:p>
    <w:p w:rsidR="00D91328" w:rsidRPr="009F4CD8" w:rsidRDefault="00D91328" w:rsidP="009F0049">
      <w:pPr>
        <w:pStyle w:val="ListParagraph"/>
        <w:widowControl/>
        <w:numPr>
          <w:ilvl w:val="0"/>
          <w:numId w:val="5"/>
        </w:numPr>
        <w:spacing w:after="120"/>
        <w:ind w:left="1077" w:hanging="357"/>
      </w:pPr>
      <w:r w:rsidRPr="003C487D">
        <w:rPr>
          <w:snapToGrid/>
          <w:lang w:val="en-US" w:eastAsia="en-AU"/>
        </w:rPr>
        <w:t xml:space="preserve">1.1 </w:t>
      </w:r>
      <w:r w:rsidR="00DA341C">
        <w:rPr>
          <w:snapToGrid/>
          <w:lang w:val="en-US" w:eastAsia="en-AU"/>
        </w:rPr>
        <w:t xml:space="preserve">point </w:t>
      </w:r>
      <w:r w:rsidRPr="003C487D">
        <w:rPr>
          <w:snapToGrid/>
          <w:lang w:val="en-US" w:eastAsia="en-AU"/>
        </w:rPr>
        <w:t>reduction in MAS</w:t>
      </w:r>
      <w:r w:rsidR="00A43A20">
        <w:rPr>
          <w:snapToGrid/>
          <w:lang w:val="en-US" w:eastAsia="en-AU"/>
        </w:rPr>
        <w:t xml:space="preserve"> score</w:t>
      </w:r>
      <w:r w:rsidRPr="003C487D">
        <w:rPr>
          <w:snapToGrid/>
          <w:lang w:val="en-US" w:eastAsia="en-AU"/>
        </w:rPr>
        <w:t xml:space="preserve"> </w:t>
      </w:r>
      <w:r w:rsidR="00B77A79">
        <w:rPr>
          <w:snapToGrid/>
          <w:lang w:val="en-US" w:eastAsia="en-AU"/>
        </w:rPr>
        <w:t xml:space="preserve">from baseline </w:t>
      </w:r>
      <w:r w:rsidRPr="003C487D">
        <w:rPr>
          <w:snapToGrid/>
          <w:lang w:val="en-US" w:eastAsia="en-AU"/>
        </w:rPr>
        <w:t xml:space="preserve">in the </w:t>
      </w:r>
      <w:r w:rsidR="00B77A79">
        <w:rPr>
          <w:snapToGrid/>
          <w:lang w:val="en-US" w:eastAsia="en-AU"/>
        </w:rPr>
        <w:t>primary targeted muscle group</w:t>
      </w:r>
      <w:r w:rsidR="00B77A79" w:rsidRPr="003C487D">
        <w:rPr>
          <w:snapToGrid/>
          <w:lang w:val="en-US" w:eastAsia="en-AU"/>
        </w:rPr>
        <w:t xml:space="preserve"> </w:t>
      </w:r>
      <w:r w:rsidR="00A74BF0">
        <w:rPr>
          <w:snapToGrid/>
          <w:lang w:val="en-US" w:eastAsia="en-AU"/>
        </w:rPr>
        <w:t xml:space="preserve">at </w:t>
      </w:r>
      <w:r w:rsidRPr="003C487D">
        <w:rPr>
          <w:snapToGrid/>
          <w:lang w:val="en-US" w:eastAsia="en-AU"/>
        </w:rPr>
        <w:t>Week 4.</w:t>
      </w:r>
      <w:r w:rsidR="00642FE1">
        <w:rPr>
          <w:snapToGrid/>
          <w:lang w:val="en-US" w:eastAsia="en-AU"/>
        </w:rPr>
        <w:t xml:space="preserve"> </w:t>
      </w:r>
      <w:r w:rsidR="00DA341C">
        <w:rPr>
          <w:snapToGrid/>
          <w:lang w:val="en-US" w:eastAsia="en-AU"/>
        </w:rPr>
        <w:t xml:space="preserve"> </w:t>
      </w:r>
    </w:p>
    <w:p w:rsidR="009F4CD8" w:rsidRPr="009F4CD8" w:rsidRDefault="009F4CD8" w:rsidP="009F0049">
      <w:pPr>
        <w:pStyle w:val="ListParagraph"/>
        <w:widowControl/>
        <w:numPr>
          <w:ilvl w:val="0"/>
          <w:numId w:val="5"/>
        </w:numPr>
        <w:spacing w:after="120"/>
        <w:ind w:left="1077" w:hanging="357"/>
      </w:pPr>
      <w:r w:rsidRPr="003C487D">
        <w:rPr>
          <w:snapToGrid/>
          <w:lang w:val="en-US" w:eastAsia="en-AU"/>
        </w:rPr>
        <w:t xml:space="preserve">1.1 </w:t>
      </w:r>
      <w:r>
        <w:rPr>
          <w:snapToGrid/>
          <w:lang w:val="en-US" w:eastAsia="en-AU"/>
        </w:rPr>
        <w:t xml:space="preserve">point mean difference in PGA score at </w:t>
      </w:r>
      <w:r w:rsidRPr="003C487D">
        <w:rPr>
          <w:snapToGrid/>
          <w:lang w:val="en-US" w:eastAsia="en-AU"/>
        </w:rPr>
        <w:t>Week 4</w:t>
      </w:r>
      <w:r>
        <w:rPr>
          <w:snapToGrid/>
          <w:lang w:val="en-US" w:eastAsia="en-AU"/>
        </w:rPr>
        <w:t>. </w:t>
      </w:r>
    </w:p>
    <w:p w:rsidR="009F4CD8" w:rsidRPr="009F4CD8" w:rsidRDefault="009F4CD8" w:rsidP="009F0049">
      <w:pPr>
        <w:widowControl/>
        <w:spacing w:after="120"/>
        <w:ind w:left="709"/>
        <w:rPr>
          <w:b/>
          <w:bCs/>
        </w:rPr>
      </w:pPr>
      <w:r w:rsidRPr="009F4CD8">
        <w:rPr>
          <w:b/>
          <w:bCs/>
        </w:rPr>
        <w:t>B) TBI subgroup of Study 145 resulted in</w:t>
      </w:r>
      <w:r w:rsidR="00F64E61">
        <w:rPr>
          <w:b/>
          <w:bCs/>
        </w:rPr>
        <w:t xml:space="preserve"> a</w:t>
      </w:r>
      <w:r w:rsidRPr="009F4CD8">
        <w:rPr>
          <w:b/>
          <w:bCs/>
        </w:rPr>
        <w:t>:</w:t>
      </w:r>
    </w:p>
    <w:p w:rsidR="009F4CD8" w:rsidRPr="009F4CD8" w:rsidRDefault="009F4CD8" w:rsidP="009F0049">
      <w:pPr>
        <w:pStyle w:val="ListParagraph"/>
        <w:widowControl/>
        <w:numPr>
          <w:ilvl w:val="0"/>
          <w:numId w:val="5"/>
        </w:numPr>
        <w:spacing w:after="120"/>
        <w:ind w:left="1077" w:hanging="357"/>
        <w:rPr>
          <w:lang w:val="en-US"/>
        </w:rPr>
      </w:pPr>
      <w:r w:rsidRPr="001B4AEF">
        <w:rPr>
          <w:snapToGrid/>
          <w:lang w:val="en-US" w:eastAsia="en-AU"/>
        </w:rPr>
        <w:t xml:space="preserve">0.9 </w:t>
      </w:r>
      <w:r>
        <w:rPr>
          <w:snapToGrid/>
          <w:lang w:val="en-US" w:eastAsia="en-AU"/>
        </w:rPr>
        <w:t xml:space="preserve">point </w:t>
      </w:r>
      <w:r w:rsidRPr="001B4AEF">
        <w:rPr>
          <w:snapToGrid/>
          <w:lang w:val="en-US" w:eastAsia="en-AU"/>
        </w:rPr>
        <w:t>reduction in MAS</w:t>
      </w:r>
      <w:r>
        <w:rPr>
          <w:snapToGrid/>
          <w:lang w:val="en-US" w:eastAsia="en-AU"/>
        </w:rPr>
        <w:t xml:space="preserve"> score</w:t>
      </w:r>
      <w:r w:rsidRPr="001B4AEF">
        <w:rPr>
          <w:snapToGrid/>
          <w:lang w:val="en-US" w:eastAsia="en-AU"/>
        </w:rPr>
        <w:t xml:space="preserve"> </w:t>
      </w:r>
      <w:r w:rsidR="00B77A79">
        <w:rPr>
          <w:snapToGrid/>
          <w:lang w:val="en-US" w:eastAsia="en-AU"/>
        </w:rPr>
        <w:t xml:space="preserve">from baseline </w:t>
      </w:r>
      <w:r w:rsidRPr="001B4AEF">
        <w:rPr>
          <w:snapToGrid/>
          <w:lang w:val="en-US" w:eastAsia="en-AU"/>
        </w:rPr>
        <w:t xml:space="preserve">in the </w:t>
      </w:r>
      <w:r w:rsidR="00B77A79">
        <w:rPr>
          <w:snapToGrid/>
          <w:lang w:val="en-US" w:eastAsia="en-AU"/>
        </w:rPr>
        <w:t>primary targeted muscle group</w:t>
      </w:r>
      <w:r w:rsidR="00B77A79" w:rsidRPr="001B4AEF">
        <w:rPr>
          <w:snapToGrid/>
          <w:lang w:val="en-US" w:eastAsia="en-AU"/>
        </w:rPr>
        <w:t xml:space="preserve"> </w:t>
      </w:r>
      <w:r w:rsidR="000F57A6">
        <w:rPr>
          <w:snapToGrid/>
          <w:lang w:val="en-US" w:eastAsia="en-AU"/>
        </w:rPr>
        <w:t>at</w:t>
      </w:r>
      <w:r w:rsidRPr="001B4AEF">
        <w:rPr>
          <w:snapToGrid/>
          <w:lang w:val="en-US" w:eastAsia="en-AU"/>
        </w:rPr>
        <w:t xml:space="preserve"> Week 4.</w:t>
      </w:r>
    </w:p>
    <w:p w:rsidR="009F4CD8" w:rsidRDefault="00D91328" w:rsidP="009F0049">
      <w:pPr>
        <w:pStyle w:val="ListParagraph"/>
        <w:widowControl/>
        <w:numPr>
          <w:ilvl w:val="1"/>
          <w:numId w:val="1"/>
        </w:numPr>
      </w:pPr>
      <w:r w:rsidRPr="00CF6EE4">
        <w:t>On the bas</w:t>
      </w:r>
      <w:r>
        <w:t>is of direct</w:t>
      </w:r>
      <w:r w:rsidRPr="00CF6EE4">
        <w:t xml:space="preserve"> evidence presented by the submission</w:t>
      </w:r>
      <w:r w:rsidR="00F64E61">
        <w:t>,</w:t>
      </w:r>
      <w:r>
        <w:t xml:space="preserve"> </w:t>
      </w:r>
      <w:r w:rsidR="0096506C">
        <w:t xml:space="preserve">treatment with </w:t>
      </w:r>
      <w:r w:rsidR="007F491F">
        <w:t xml:space="preserve">one dose of </w:t>
      </w:r>
      <w:r w:rsidR="0096506C" w:rsidRPr="002E05A9">
        <w:rPr>
          <w:u w:val="single"/>
        </w:rPr>
        <w:t>Dysport</w:t>
      </w:r>
      <w:r w:rsidR="0096506C" w:rsidRPr="002E05A9">
        <w:rPr>
          <w:rFonts w:cs="Calibri"/>
          <w:u w:val="single"/>
        </w:rPr>
        <w:t>® 500U</w:t>
      </w:r>
      <w:r w:rsidR="0096506C">
        <w:t xml:space="preserve"> compared to </w:t>
      </w:r>
      <w:r w:rsidR="00A56751">
        <w:t xml:space="preserve">placebo </w:t>
      </w:r>
      <w:r w:rsidR="009F4CD8">
        <w:t>in</w:t>
      </w:r>
      <w:r w:rsidR="0096506C">
        <w:t xml:space="preserve"> the</w:t>
      </w:r>
      <w:r w:rsidRPr="00CF6EE4">
        <w:t>:</w:t>
      </w:r>
      <w:r w:rsidR="009F4CD8" w:rsidRPr="009F4CD8">
        <w:t xml:space="preserve"> </w:t>
      </w:r>
    </w:p>
    <w:p w:rsidR="00D91328" w:rsidRPr="009F4CD8" w:rsidRDefault="009F4CD8" w:rsidP="009F0049">
      <w:pPr>
        <w:pStyle w:val="ListParagraph"/>
        <w:widowControl/>
        <w:spacing w:after="120"/>
        <w:rPr>
          <w:b/>
          <w:bCs/>
        </w:rPr>
      </w:pPr>
      <w:r w:rsidRPr="009F4CD8">
        <w:rPr>
          <w:b/>
          <w:bCs/>
        </w:rPr>
        <w:t>ITT population of Study 145 resulted in</w:t>
      </w:r>
      <w:r w:rsidR="00F64E61">
        <w:rPr>
          <w:b/>
          <w:bCs/>
        </w:rPr>
        <w:t xml:space="preserve"> a</w:t>
      </w:r>
      <w:r w:rsidRPr="009F4CD8">
        <w:rPr>
          <w:b/>
          <w:bCs/>
        </w:rPr>
        <w:t>:</w:t>
      </w:r>
    </w:p>
    <w:p w:rsidR="00D91328" w:rsidRPr="009F4CD8" w:rsidRDefault="00D91328" w:rsidP="009F0049">
      <w:pPr>
        <w:pStyle w:val="ListParagraph"/>
        <w:widowControl/>
        <w:numPr>
          <w:ilvl w:val="0"/>
          <w:numId w:val="5"/>
        </w:numPr>
        <w:spacing w:after="120"/>
        <w:ind w:left="1134"/>
        <w:rPr>
          <w:lang w:val="en-US"/>
        </w:rPr>
      </w:pPr>
      <w:r w:rsidRPr="001B4AEF">
        <w:rPr>
          <w:snapToGrid/>
          <w:lang w:val="en-US" w:eastAsia="en-AU"/>
        </w:rPr>
        <w:t xml:space="preserve">0.9 </w:t>
      </w:r>
      <w:r w:rsidR="00A43A20">
        <w:rPr>
          <w:snapToGrid/>
          <w:lang w:val="en-US" w:eastAsia="en-AU"/>
        </w:rPr>
        <w:t xml:space="preserve">point </w:t>
      </w:r>
      <w:r w:rsidRPr="001B4AEF">
        <w:rPr>
          <w:snapToGrid/>
          <w:lang w:val="en-US" w:eastAsia="en-AU"/>
        </w:rPr>
        <w:t>reduction in MAS</w:t>
      </w:r>
      <w:r w:rsidR="00A43A20">
        <w:rPr>
          <w:snapToGrid/>
          <w:lang w:val="en-US" w:eastAsia="en-AU"/>
        </w:rPr>
        <w:t xml:space="preserve"> score</w:t>
      </w:r>
      <w:r w:rsidR="000F57A6">
        <w:rPr>
          <w:snapToGrid/>
          <w:lang w:val="en-US" w:eastAsia="en-AU"/>
        </w:rPr>
        <w:t xml:space="preserve"> </w:t>
      </w:r>
      <w:r w:rsidR="00B77A79">
        <w:rPr>
          <w:snapToGrid/>
          <w:lang w:val="en-US" w:eastAsia="en-AU"/>
        </w:rPr>
        <w:t xml:space="preserve">from baseline </w:t>
      </w:r>
      <w:r w:rsidR="000F57A6">
        <w:rPr>
          <w:snapToGrid/>
          <w:lang w:val="en-US" w:eastAsia="en-AU"/>
        </w:rPr>
        <w:t xml:space="preserve">in the </w:t>
      </w:r>
      <w:r w:rsidR="00B77A79">
        <w:rPr>
          <w:snapToGrid/>
          <w:lang w:val="en-US" w:eastAsia="en-AU"/>
        </w:rPr>
        <w:t xml:space="preserve">primary targeted muscle group </w:t>
      </w:r>
      <w:r w:rsidR="000F57A6">
        <w:rPr>
          <w:snapToGrid/>
          <w:lang w:val="en-US" w:eastAsia="en-AU"/>
        </w:rPr>
        <w:t xml:space="preserve">at </w:t>
      </w:r>
      <w:r w:rsidRPr="001B4AEF">
        <w:rPr>
          <w:snapToGrid/>
          <w:lang w:val="en-US" w:eastAsia="en-AU"/>
        </w:rPr>
        <w:t>Week 4.</w:t>
      </w:r>
    </w:p>
    <w:p w:rsidR="009F4CD8" w:rsidRPr="009F4CD8" w:rsidRDefault="009F4CD8" w:rsidP="009F0049">
      <w:pPr>
        <w:pStyle w:val="ListParagraph"/>
        <w:widowControl/>
        <w:numPr>
          <w:ilvl w:val="0"/>
          <w:numId w:val="5"/>
        </w:numPr>
        <w:spacing w:after="120"/>
        <w:ind w:left="1134"/>
      </w:pPr>
      <w:r>
        <w:rPr>
          <w:snapToGrid/>
          <w:lang w:val="en-US" w:eastAsia="en-AU"/>
        </w:rPr>
        <w:t>0.6</w:t>
      </w:r>
      <w:r w:rsidRPr="003C487D">
        <w:rPr>
          <w:snapToGrid/>
          <w:lang w:val="en-US" w:eastAsia="en-AU"/>
        </w:rPr>
        <w:t xml:space="preserve"> </w:t>
      </w:r>
      <w:r>
        <w:rPr>
          <w:snapToGrid/>
          <w:lang w:val="en-US" w:eastAsia="en-AU"/>
        </w:rPr>
        <w:t xml:space="preserve">point mean difference in PGA score at </w:t>
      </w:r>
      <w:r w:rsidRPr="003C487D">
        <w:rPr>
          <w:snapToGrid/>
          <w:lang w:val="en-US" w:eastAsia="en-AU"/>
        </w:rPr>
        <w:t>Week 4</w:t>
      </w:r>
      <w:r>
        <w:rPr>
          <w:snapToGrid/>
          <w:lang w:val="en-US" w:eastAsia="en-AU"/>
        </w:rPr>
        <w:t>. </w:t>
      </w:r>
    </w:p>
    <w:p w:rsidR="00D91328" w:rsidRPr="004C6813" w:rsidRDefault="00D91328" w:rsidP="009F0049">
      <w:pPr>
        <w:pStyle w:val="ListParagraph"/>
        <w:widowControl/>
        <w:numPr>
          <w:ilvl w:val="1"/>
          <w:numId w:val="1"/>
        </w:numPr>
        <w:spacing w:after="0"/>
      </w:pPr>
      <w:r w:rsidRPr="00CF6EE4">
        <w:t>On the bas</w:t>
      </w:r>
      <w:r>
        <w:t>is of direct</w:t>
      </w:r>
      <w:r w:rsidRPr="00CF6EE4">
        <w:t xml:space="preserve"> evidence presented by the submission</w:t>
      </w:r>
      <w:r>
        <w:t xml:space="preserve"> (ITT population of Study 145)</w:t>
      </w:r>
      <w:r w:rsidRPr="00CF6EE4">
        <w:t>, for every 100 patients tr</w:t>
      </w:r>
      <w:r>
        <w:t>eated with</w:t>
      </w:r>
      <w:r w:rsidR="007F491F">
        <w:t xml:space="preserve"> one dose of</w:t>
      </w:r>
      <w:r>
        <w:t xml:space="preserve"> </w:t>
      </w:r>
      <w:r w:rsidRPr="002E05A9">
        <w:rPr>
          <w:u w:val="single"/>
        </w:rPr>
        <w:t>Dysport</w:t>
      </w:r>
      <w:r w:rsidRPr="002E05A9">
        <w:rPr>
          <w:rFonts w:cs="Calibri"/>
          <w:u w:val="single"/>
        </w:rPr>
        <w:t>® 1000U</w:t>
      </w:r>
      <w:r w:rsidRPr="00CF6EE4">
        <w:t xml:space="preserve"> in</w:t>
      </w:r>
      <w:r>
        <w:t xml:space="preserve"> comparison to </w:t>
      </w:r>
      <w:r w:rsidR="00A56751">
        <w:t>placebo</w:t>
      </w:r>
      <w:r>
        <w:t>:</w:t>
      </w:r>
    </w:p>
    <w:p w:rsidR="00D91328" w:rsidRPr="003C487D" w:rsidRDefault="00D91328" w:rsidP="009F0049">
      <w:pPr>
        <w:pStyle w:val="ListParagraph"/>
        <w:widowControl/>
        <w:numPr>
          <w:ilvl w:val="0"/>
          <w:numId w:val="5"/>
        </w:numPr>
        <w:spacing w:after="120"/>
        <w:ind w:left="1134" w:hanging="357"/>
        <w:rPr>
          <w:rFonts w:asciiTheme="minorHAnsi" w:hAnsiTheme="minorHAnsi" w:cstheme="minorHAnsi"/>
          <w:szCs w:val="24"/>
        </w:rPr>
      </w:pPr>
      <w:r w:rsidRPr="00DE54F6">
        <w:rPr>
          <w:snapToGrid/>
          <w:lang w:val="en-US" w:eastAsia="en-AU"/>
        </w:rPr>
        <w:t>Approximately</w:t>
      </w:r>
      <w:r w:rsidRPr="003C487D">
        <w:rPr>
          <w:rFonts w:asciiTheme="minorHAnsi" w:hAnsiTheme="minorHAnsi" w:cstheme="minorHAnsi"/>
          <w:szCs w:val="24"/>
        </w:rPr>
        <w:t xml:space="preserve"> 56 additional patients would have MAS response </w:t>
      </w:r>
      <w:r w:rsidR="002E05A9" w:rsidRPr="003C487D">
        <w:rPr>
          <w:rFonts w:asciiTheme="minorHAnsi" w:hAnsiTheme="minorHAnsi" w:cstheme="minorHAnsi"/>
          <w:color w:val="000000"/>
          <w:szCs w:val="24"/>
        </w:rPr>
        <w:t>(</w:t>
      </w:r>
      <w:r w:rsidR="002E05A9">
        <w:rPr>
          <w:rFonts w:asciiTheme="minorHAnsi" w:hAnsiTheme="minorHAnsi" w:cstheme="minorHAnsi"/>
          <w:szCs w:val="24"/>
        </w:rPr>
        <w:t xml:space="preserve">change </w:t>
      </w:r>
      <w:r w:rsidRPr="00E41AB4">
        <w:rPr>
          <w:rFonts w:asciiTheme="minorHAnsi" w:hAnsiTheme="minorHAnsi" w:cstheme="minorHAnsi"/>
          <w:szCs w:val="24"/>
        </w:rPr>
        <w:t>≥</w:t>
      </w:r>
      <w:r w:rsidR="00B77A79">
        <w:rPr>
          <w:rFonts w:asciiTheme="minorHAnsi" w:hAnsiTheme="minorHAnsi" w:cstheme="minorHAnsi"/>
          <w:szCs w:val="24"/>
        </w:rPr>
        <w:t xml:space="preserve"> </w:t>
      </w:r>
      <w:r w:rsidRPr="003C487D">
        <w:rPr>
          <w:rFonts w:asciiTheme="minorHAnsi" w:hAnsiTheme="minorHAnsi" w:cstheme="minorHAnsi"/>
          <w:szCs w:val="24"/>
        </w:rPr>
        <w:t>1)</w:t>
      </w:r>
      <w:r w:rsidR="006D575A">
        <w:rPr>
          <w:rFonts w:asciiTheme="minorHAnsi" w:hAnsiTheme="minorHAnsi" w:cstheme="minorHAnsi"/>
          <w:szCs w:val="24"/>
        </w:rPr>
        <w:t xml:space="preserve"> at Week 4</w:t>
      </w:r>
      <w:r w:rsidRPr="003C487D">
        <w:rPr>
          <w:rFonts w:asciiTheme="minorHAnsi" w:hAnsiTheme="minorHAnsi" w:cstheme="minorHAnsi"/>
          <w:szCs w:val="24"/>
        </w:rPr>
        <w:t>.</w:t>
      </w:r>
    </w:p>
    <w:p w:rsidR="00D91328" w:rsidRPr="004C6813" w:rsidRDefault="00D91328" w:rsidP="009F0049">
      <w:pPr>
        <w:pStyle w:val="ListParagraph"/>
        <w:widowControl/>
        <w:numPr>
          <w:ilvl w:val="0"/>
          <w:numId w:val="5"/>
        </w:numPr>
        <w:spacing w:after="120"/>
        <w:ind w:left="1134" w:hanging="357"/>
      </w:pPr>
      <w:r w:rsidRPr="00DE54F6">
        <w:rPr>
          <w:snapToGrid/>
          <w:lang w:val="en-US" w:eastAsia="en-AU"/>
        </w:rPr>
        <w:t>Approximately</w:t>
      </w:r>
      <w:r w:rsidRPr="004C6813">
        <w:t xml:space="preserve"> 16 additional </w:t>
      </w:r>
      <w:r w:rsidR="00A56751">
        <w:t xml:space="preserve">patients would experience a </w:t>
      </w:r>
      <w:r w:rsidRPr="004C6813">
        <w:t>treatment emergent adverse event</w:t>
      </w:r>
      <w:r w:rsidR="0044694C">
        <w:t>.</w:t>
      </w:r>
    </w:p>
    <w:p w:rsidR="00D91328" w:rsidRPr="004C6813" w:rsidRDefault="00D91328" w:rsidP="009F0049">
      <w:pPr>
        <w:pStyle w:val="ListParagraph"/>
        <w:widowControl/>
        <w:numPr>
          <w:ilvl w:val="1"/>
          <w:numId w:val="1"/>
        </w:numPr>
        <w:spacing w:after="0"/>
      </w:pPr>
      <w:r w:rsidRPr="00CF6EE4">
        <w:t>On the bas</w:t>
      </w:r>
      <w:r>
        <w:t>is of direct</w:t>
      </w:r>
      <w:r w:rsidRPr="00CF6EE4">
        <w:t xml:space="preserve"> evidence presented by the submission</w:t>
      </w:r>
      <w:r>
        <w:t xml:space="preserve"> (ITT population of Study 145)</w:t>
      </w:r>
      <w:r w:rsidRPr="00CF6EE4">
        <w:t>, for every 100 patients tr</w:t>
      </w:r>
      <w:r>
        <w:t xml:space="preserve">eated with </w:t>
      </w:r>
      <w:r w:rsidR="007F491F">
        <w:t xml:space="preserve">one dose of </w:t>
      </w:r>
      <w:r w:rsidRPr="002E05A9">
        <w:rPr>
          <w:u w:val="single"/>
        </w:rPr>
        <w:t>Dysport</w:t>
      </w:r>
      <w:r w:rsidRPr="002E05A9">
        <w:rPr>
          <w:rFonts w:cs="Calibri"/>
          <w:u w:val="single"/>
        </w:rPr>
        <w:t>® 500U</w:t>
      </w:r>
      <w:r w:rsidRPr="00CF6EE4">
        <w:t xml:space="preserve"> in</w:t>
      </w:r>
      <w:r>
        <w:t xml:space="preserve"> comparison to </w:t>
      </w:r>
      <w:r w:rsidR="00A56751">
        <w:t>placebo</w:t>
      </w:r>
      <w:r w:rsidR="007F491F">
        <w:t>:</w:t>
      </w:r>
    </w:p>
    <w:p w:rsidR="00D91328" w:rsidRPr="003C487D" w:rsidRDefault="00D91328" w:rsidP="009F0049">
      <w:pPr>
        <w:pStyle w:val="ListParagraph"/>
        <w:widowControl/>
        <w:numPr>
          <w:ilvl w:val="0"/>
          <w:numId w:val="5"/>
        </w:numPr>
        <w:spacing w:after="120"/>
        <w:ind w:left="1134" w:hanging="357"/>
        <w:rPr>
          <w:rFonts w:asciiTheme="minorHAnsi" w:hAnsiTheme="minorHAnsi" w:cstheme="minorHAnsi"/>
          <w:szCs w:val="24"/>
        </w:rPr>
      </w:pPr>
      <w:r w:rsidRPr="00DE54F6">
        <w:rPr>
          <w:snapToGrid/>
          <w:lang w:val="en-US" w:eastAsia="en-AU"/>
        </w:rPr>
        <w:t>Approximately</w:t>
      </w:r>
      <w:r w:rsidRPr="003C487D">
        <w:rPr>
          <w:rFonts w:asciiTheme="minorHAnsi" w:hAnsiTheme="minorHAnsi" w:cstheme="minorHAnsi"/>
          <w:szCs w:val="24"/>
        </w:rPr>
        <w:t xml:space="preserve"> 5</w:t>
      </w:r>
      <w:r>
        <w:rPr>
          <w:rFonts w:asciiTheme="minorHAnsi" w:hAnsiTheme="minorHAnsi" w:cstheme="minorHAnsi"/>
          <w:szCs w:val="24"/>
        </w:rPr>
        <w:t>1</w:t>
      </w:r>
      <w:r w:rsidRPr="003C487D">
        <w:rPr>
          <w:rFonts w:asciiTheme="minorHAnsi" w:hAnsiTheme="minorHAnsi" w:cstheme="minorHAnsi"/>
          <w:szCs w:val="24"/>
        </w:rPr>
        <w:t xml:space="preserve"> additional patients would have MAS response </w:t>
      </w:r>
      <w:r w:rsidRPr="003C487D">
        <w:rPr>
          <w:rFonts w:asciiTheme="minorHAnsi" w:hAnsiTheme="minorHAnsi" w:cstheme="minorHAnsi"/>
          <w:color w:val="000000"/>
          <w:szCs w:val="24"/>
        </w:rPr>
        <w:t>(</w:t>
      </w:r>
      <w:r w:rsidR="002E05A9">
        <w:rPr>
          <w:rFonts w:asciiTheme="minorHAnsi" w:hAnsiTheme="minorHAnsi" w:cstheme="minorHAnsi"/>
          <w:color w:val="000000"/>
          <w:szCs w:val="24"/>
        </w:rPr>
        <w:t>change</w:t>
      </w:r>
      <w:r w:rsidR="002E05A9">
        <w:rPr>
          <w:rFonts w:asciiTheme="minorHAnsi" w:hAnsiTheme="minorHAnsi" w:cstheme="minorHAnsi"/>
          <w:szCs w:val="24"/>
        </w:rPr>
        <w:t xml:space="preserve"> </w:t>
      </w:r>
      <w:r w:rsidRPr="00E41AB4">
        <w:rPr>
          <w:rFonts w:asciiTheme="minorHAnsi" w:hAnsiTheme="minorHAnsi" w:cstheme="minorHAnsi"/>
          <w:szCs w:val="24"/>
        </w:rPr>
        <w:t>≥</w:t>
      </w:r>
      <w:r w:rsidR="002E05A9">
        <w:rPr>
          <w:rFonts w:asciiTheme="minorHAnsi" w:hAnsiTheme="minorHAnsi" w:cstheme="minorHAnsi"/>
          <w:szCs w:val="24"/>
        </w:rPr>
        <w:t xml:space="preserve"> </w:t>
      </w:r>
      <w:r w:rsidRPr="003C487D">
        <w:rPr>
          <w:rFonts w:asciiTheme="minorHAnsi" w:hAnsiTheme="minorHAnsi" w:cstheme="minorHAnsi"/>
          <w:szCs w:val="24"/>
        </w:rPr>
        <w:t>1)</w:t>
      </w:r>
      <w:r w:rsidR="006D575A">
        <w:rPr>
          <w:rFonts w:asciiTheme="minorHAnsi" w:hAnsiTheme="minorHAnsi" w:cstheme="minorHAnsi"/>
          <w:szCs w:val="24"/>
        </w:rPr>
        <w:t xml:space="preserve"> at Week 4</w:t>
      </w:r>
      <w:r w:rsidRPr="003C487D">
        <w:rPr>
          <w:rFonts w:asciiTheme="minorHAnsi" w:hAnsiTheme="minorHAnsi" w:cstheme="minorHAnsi"/>
          <w:szCs w:val="24"/>
        </w:rPr>
        <w:t>.</w:t>
      </w:r>
    </w:p>
    <w:p w:rsidR="00D91328" w:rsidRPr="004C6813" w:rsidRDefault="00D91328" w:rsidP="009F0049">
      <w:pPr>
        <w:pStyle w:val="ListParagraph"/>
        <w:widowControl/>
        <w:numPr>
          <w:ilvl w:val="0"/>
          <w:numId w:val="5"/>
        </w:numPr>
        <w:spacing w:after="120"/>
        <w:ind w:left="1134" w:hanging="357"/>
      </w:pPr>
      <w:r w:rsidRPr="00DE54F6">
        <w:rPr>
          <w:snapToGrid/>
          <w:lang w:val="en-US" w:eastAsia="en-AU"/>
        </w:rPr>
        <w:t>Approximately</w:t>
      </w:r>
      <w:r w:rsidRPr="004C6813">
        <w:t xml:space="preserve"> 1</w:t>
      </w:r>
      <w:r>
        <w:t>9</w:t>
      </w:r>
      <w:r w:rsidRPr="004C6813">
        <w:t xml:space="preserve"> additional </w:t>
      </w:r>
      <w:r w:rsidR="00A56751">
        <w:t xml:space="preserve">patients would experience a </w:t>
      </w:r>
      <w:r w:rsidRPr="004C6813">
        <w:t>treatment emergent adverse event.</w:t>
      </w:r>
    </w:p>
    <w:p w:rsidR="00B60939" w:rsidRPr="00C9624D" w:rsidRDefault="00B60939" w:rsidP="009F0049">
      <w:pPr>
        <w:pStyle w:val="Heading2"/>
        <w:widowControl/>
      </w:pPr>
      <w:bookmarkStart w:id="28" w:name="_Toc524461030"/>
      <w:r w:rsidRPr="00D106C4">
        <w:t>Clinical claim</w:t>
      </w:r>
      <w:bookmarkEnd w:id="28"/>
    </w:p>
    <w:p w:rsidR="002406BF" w:rsidRDefault="006E0C02" w:rsidP="009F0049">
      <w:pPr>
        <w:pStyle w:val="ListParagraph"/>
        <w:widowControl/>
        <w:numPr>
          <w:ilvl w:val="1"/>
          <w:numId w:val="1"/>
        </w:numPr>
      </w:pPr>
      <w:r w:rsidRPr="001A74F4">
        <w:t xml:space="preserve">The submission claimed that </w:t>
      </w:r>
      <w:r w:rsidR="00A94B00">
        <w:t xml:space="preserve">the benefits of </w:t>
      </w:r>
      <w:r w:rsidRPr="001A74F4">
        <w:t>Dysport</w:t>
      </w:r>
      <w:r>
        <w:rPr>
          <w:rFonts w:cs="Calibri"/>
        </w:rPr>
        <w:t>®</w:t>
      </w:r>
      <w:r w:rsidRPr="001A74F4">
        <w:t xml:space="preserve"> </w:t>
      </w:r>
      <w:r w:rsidR="00A94B00">
        <w:t xml:space="preserve">treatment extended beyond its current listing for </w:t>
      </w:r>
      <w:r w:rsidR="002E05A9">
        <w:t xml:space="preserve">upper limb focal spasticity </w:t>
      </w:r>
      <w:r w:rsidR="00A94B00">
        <w:t>following stroke</w:t>
      </w:r>
      <w:r w:rsidR="002E05A9">
        <w:t xml:space="preserve">. The submission considered </w:t>
      </w:r>
      <w:r w:rsidR="00A94B00">
        <w:t>that Dysport</w:t>
      </w:r>
      <w:r w:rsidR="00A94B00">
        <w:rPr>
          <w:rFonts w:cs="Calibri"/>
        </w:rPr>
        <w:t>®</w:t>
      </w:r>
      <w:r w:rsidR="00A94B00">
        <w:t xml:space="preserve"> </w:t>
      </w:r>
      <w:r w:rsidRPr="001A74F4">
        <w:t xml:space="preserve">was superior in terms of effectiveness </w:t>
      </w:r>
      <w:r w:rsidR="002E05A9">
        <w:t xml:space="preserve">compared to </w:t>
      </w:r>
      <w:r w:rsidRPr="001A74F4">
        <w:t>placebo/best supportive care</w:t>
      </w:r>
      <w:r w:rsidR="0096506C">
        <w:t xml:space="preserve"> i</w:t>
      </w:r>
      <w:r w:rsidR="00A94B00">
        <w:t xml:space="preserve">n the treatment of </w:t>
      </w:r>
      <w:r w:rsidR="002E05A9">
        <w:t xml:space="preserve">upper limb focal spasticity </w:t>
      </w:r>
      <w:r w:rsidR="002406BF">
        <w:t>following non-stroke acute events, as represented by the subgroup of patients with TBI</w:t>
      </w:r>
      <w:r w:rsidRPr="001A74F4">
        <w:t>.</w:t>
      </w:r>
      <w:r w:rsidR="00642FE1">
        <w:t xml:space="preserve"> </w:t>
      </w:r>
    </w:p>
    <w:p w:rsidR="006E0C02" w:rsidRPr="000F1DF7" w:rsidRDefault="00B93F87" w:rsidP="009F0049">
      <w:pPr>
        <w:pStyle w:val="ListParagraph"/>
        <w:widowControl/>
        <w:numPr>
          <w:ilvl w:val="1"/>
          <w:numId w:val="1"/>
        </w:numPr>
      </w:pPr>
      <w:r w:rsidRPr="00E75A07">
        <w:t xml:space="preserve">The </w:t>
      </w:r>
      <w:r w:rsidR="004D701B" w:rsidRPr="00E75A07">
        <w:t>ESC considered that th</w:t>
      </w:r>
      <w:r w:rsidR="004D701B" w:rsidRPr="00D106C4">
        <w:t>e</w:t>
      </w:r>
      <w:r w:rsidR="004D701B">
        <w:t xml:space="preserve"> </w:t>
      </w:r>
      <w:r w:rsidRPr="000F1DF7">
        <w:t xml:space="preserve">benefit in treating </w:t>
      </w:r>
      <w:r w:rsidR="00417D37">
        <w:t>upper limb focal spasticity</w:t>
      </w:r>
      <w:r w:rsidR="00417D37" w:rsidRPr="000F1DF7">
        <w:t xml:space="preserve"> </w:t>
      </w:r>
      <w:r w:rsidRPr="000F1DF7">
        <w:t>due to non-stroke acute events was uncertain as</w:t>
      </w:r>
      <w:r w:rsidR="006E0C02" w:rsidRPr="000F1DF7">
        <w:t>:</w:t>
      </w:r>
      <w:r w:rsidR="006E0C02" w:rsidRPr="000F1DF7">
        <w:rPr>
          <w:iCs/>
        </w:rPr>
        <w:t xml:space="preserve"> </w:t>
      </w:r>
    </w:p>
    <w:p w:rsidR="006E0C02" w:rsidRPr="000F1DF7" w:rsidRDefault="00B93F87" w:rsidP="009F0049">
      <w:pPr>
        <w:pStyle w:val="ListParagraph"/>
        <w:widowControl/>
        <w:numPr>
          <w:ilvl w:val="0"/>
          <w:numId w:val="4"/>
        </w:numPr>
        <w:spacing w:after="120"/>
        <w:ind w:left="1077" w:hanging="357"/>
      </w:pPr>
      <w:r w:rsidRPr="000F1DF7">
        <w:rPr>
          <w:iCs/>
        </w:rPr>
        <w:lastRenderedPageBreak/>
        <w:t>T</w:t>
      </w:r>
      <w:r w:rsidR="006E0C02" w:rsidRPr="000F1DF7">
        <w:rPr>
          <w:iCs/>
        </w:rPr>
        <w:t>hese patients were poorly represented in the trial evidence</w:t>
      </w:r>
      <w:r w:rsidR="00417D37">
        <w:rPr>
          <w:iCs/>
        </w:rPr>
        <w:t xml:space="preserve">. Ten percent </w:t>
      </w:r>
      <w:r w:rsidR="006E0C02" w:rsidRPr="000F1DF7">
        <w:rPr>
          <w:iCs/>
        </w:rPr>
        <w:t xml:space="preserve">of </w:t>
      </w:r>
      <w:r w:rsidRPr="000F1DF7">
        <w:rPr>
          <w:iCs/>
        </w:rPr>
        <w:t xml:space="preserve">patients from Study 145 </w:t>
      </w:r>
      <w:r w:rsidR="00417D37">
        <w:rPr>
          <w:iCs/>
        </w:rPr>
        <w:t xml:space="preserve">had upper limb spasticity </w:t>
      </w:r>
      <w:r w:rsidR="006E0C02" w:rsidRPr="000F1DF7">
        <w:rPr>
          <w:iCs/>
        </w:rPr>
        <w:t xml:space="preserve">following </w:t>
      </w:r>
      <w:r w:rsidRPr="000F1DF7">
        <w:rPr>
          <w:iCs/>
        </w:rPr>
        <w:t xml:space="preserve">a </w:t>
      </w:r>
      <w:r w:rsidR="006E0C02" w:rsidRPr="000F1DF7">
        <w:rPr>
          <w:iCs/>
        </w:rPr>
        <w:t>TBI</w:t>
      </w:r>
      <w:r w:rsidR="00417D37">
        <w:rPr>
          <w:iCs/>
        </w:rPr>
        <w:t>, but n</w:t>
      </w:r>
      <w:r w:rsidR="006E0C02" w:rsidRPr="000F1DF7">
        <w:rPr>
          <w:iCs/>
        </w:rPr>
        <w:t xml:space="preserve">o evidence was presented </w:t>
      </w:r>
      <w:r w:rsidR="00417D37">
        <w:rPr>
          <w:iCs/>
        </w:rPr>
        <w:t>for</w:t>
      </w:r>
      <w:r w:rsidR="006E0C02" w:rsidRPr="000F1DF7">
        <w:rPr>
          <w:iCs/>
        </w:rPr>
        <w:t xml:space="preserve"> other aetiologies such as hypoxia or infection.</w:t>
      </w:r>
      <w:r w:rsidR="00642FE1">
        <w:rPr>
          <w:iCs/>
        </w:rPr>
        <w:t xml:space="preserve"> </w:t>
      </w:r>
    </w:p>
    <w:p w:rsidR="00D44876" w:rsidRPr="00D44876" w:rsidRDefault="006E0C02" w:rsidP="00D44876">
      <w:pPr>
        <w:pStyle w:val="ListParagraph"/>
        <w:widowControl/>
        <w:numPr>
          <w:ilvl w:val="0"/>
          <w:numId w:val="4"/>
        </w:numPr>
        <w:spacing w:after="120"/>
        <w:ind w:left="1077" w:hanging="357"/>
        <w:rPr>
          <w:iCs/>
        </w:rPr>
      </w:pPr>
      <w:r w:rsidRPr="000F1DF7">
        <w:rPr>
          <w:iCs/>
        </w:rPr>
        <w:t xml:space="preserve">The subgroups of TBI patients from Study 145 </w:t>
      </w:r>
      <w:r w:rsidR="00417D37">
        <w:rPr>
          <w:iCs/>
        </w:rPr>
        <w:t xml:space="preserve">(n = 23) </w:t>
      </w:r>
      <w:r w:rsidRPr="000F1DF7">
        <w:rPr>
          <w:iCs/>
        </w:rPr>
        <w:t xml:space="preserve">and Smith 2000 </w:t>
      </w:r>
      <w:r w:rsidR="00417D37">
        <w:rPr>
          <w:iCs/>
        </w:rPr>
        <w:t xml:space="preserve">(n = 2) </w:t>
      </w:r>
      <w:r w:rsidRPr="000F1DF7">
        <w:rPr>
          <w:iCs/>
        </w:rPr>
        <w:t>were small</w:t>
      </w:r>
      <w:r w:rsidR="00417D37">
        <w:rPr>
          <w:iCs/>
        </w:rPr>
        <w:t xml:space="preserve"> and </w:t>
      </w:r>
      <w:r w:rsidRPr="000F1DF7">
        <w:rPr>
          <w:iCs/>
        </w:rPr>
        <w:t xml:space="preserve">analyses were </w:t>
      </w:r>
      <w:r w:rsidRPr="00417D37">
        <w:rPr>
          <w:i/>
          <w:iCs/>
        </w:rPr>
        <w:t>post-hoc</w:t>
      </w:r>
      <w:r w:rsidRPr="000F1DF7">
        <w:rPr>
          <w:iCs/>
        </w:rPr>
        <w:t xml:space="preserve"> </w:t>
      </w:r>
      <w:r w:rsidR="00D44876">
        <w:rPr>
          <w:iCs/>
        </w:rPr>
        <w:t xml:space="preserve">and </w:t>
      </w:r>
      <w:r w:rsidRPr="000F1DF7">
        <w:rPr>
          <w:iCs/>
        </w:rPr>
        <w:t>not powered to detect statistical significance.</w:t>
      </w:r>
    </w:p>
    <w:p w:rsidR="00487366" w:rsidRPr="00E75A07" w:rsidRDefault="0062203F" w:rsidP="009F0049">
      <w:pPr>
        <w:pStyle w:val="ListParagraph"/>
        <w:widowControl/>
        <w:numPr>
          <w:ilvl w:val="0"/>
          <w:numId w:val="4"/>
        </w:numPr>
        <w:spacing w:after="120"/>
        <w:ind w:left="1077" w:hanging="357"/>
        <w:rPr>
          <w:iCs/>
        </w:rPr>
      </w:pPr>
      <w:r w:rsidRPr="00E75A07">
        <w:rPr>
          <w:iCs/>
        </w:rPr>
        <w:t>The benefit for Dysport</w:t>
      </w:r>
      <w:r w:rsidR="00A46B46" w:rsidRPr="00E75A07">
        <w:rPr>
          <w:iCs/>
        </w:rPr>
        <w:t>®</w:t>
      </w:r>
      <w:r w:rsidRPr="00E75A07">
        <w:rPr>
          <w:iCs/>
        </w:rPr>
        <w:t xml:space="preserve"> versus placebo in terms of </w:t>
      </w:r>
      <w:r w:rsidR="007E0739">
        <w:rPr>
          <w:iCs/>
        </w:rPr>
        <w:t>change in MAS and MAS responders was defined using the ‘derived MAS’ coding convention. Although some MAS responder data was presented in the PSCR which was re-coded using the historical coding convention, no information was presented for the TBI subgroup</w:t>
      </w:r>
      <w:r w:rsidR="0044694C" w:rsidRPr="00E75A07">
        <w:rPr>
          <w:iCs/>
        </w:rPr>
        <w:t>.</w:t>
      </w:r>
      <w:r w:rsidR="00C9595D" w:rsidRPr="00E75A07">
        <w:rPr>
          <w:iCs/>
        </w:rPr>
        <w:t xml:space="preserve"> </w:t>
      </w:r>
    </w:p>
    <w:p w:rsidR="0071446C" w:rsidRDefault="0071446C" w:rsidP="009F0049">
      <w:pPr>
        <w:pStyle w:val="ListParagraph"/>
        <w:widowControl/>
        <w:numPr>
          <w:ilvl w:val="1"/>
          <w:numId w:val="1"/>
        </w:numPr>
        <w:spacing w:after="120"/>
        <w:rPr>
          <w:rFonts w:asciiTheme="minorHAnsi" w:hAnsiTheme="minorHAnsi"/>
          <w:szCs w:val="20"/>
        </w:rPr>
      </w:pPr>
      <w:r w:rsidRPr="00112CB4">
        <w:rPr>
          <w:rFonts w:asciiTheme="minorHAnsi" w:hAnsiTheme="minorHAnsi"/>
          <w:szCs w:val="20"/>
        </w:rPr>
        <w:t xml:space="preserve">The PBAC considered that the claim </w:t>
      </w:r>
      <w:r w:rsidR="00112CB4" w:rsidRPr="00112CB4">
        <w:rPr>
          <w:rFonts w:asciiTheme="minorHAnsi" w:hAnsiTheme="minorHAnsi"/>
          <w:szCs w:val="20"/>
        </w:rPr>
        <w:t>that Dysport</w:t>
      </w:r>
      <w:r w:rsidR="00112CB4" w:rsidRPr="00112CB4">
        <w:rPr>
          <w:rFonts w:asciiTheme="minorHAnsi" w:hAnsiTheme="minorHAnsi" w:cstheme="minorHAnsi"/>
          <w:szCs w:val="20"/>
        </w:rPr>
        <w:t>®</w:t>
      </w:r>
      <w:r w:rsidR="00112CB4" w:rsidRPr="00112CB4">
        <w:rPr>
          <w:rFonts w:asciiTheme="minorHAnsi" w:hAnsiTheme="minorHAnsi"/>
          <w:szCs w:val="20"/>
        </w:rPr>
        <w:t xml:space="preserve"> was</w:t>
      </w:r>
      <w:r w:rsidRPr="00112CB4">
        <w:rPr>
          <w:rFonts w:asciiTheme="minorHAnsi" w:hAnsiTheme="minorHAnsi"/>
          <w:szCs w:val="20"/>
        </w:rPr>
        <w:t xml:space="preserve"> superior </w:t>
      </w:r>
      <w:r w:rsidR="00112CB4" w:rsidRPr="00112CB4">
        <w:rPr>
          <w:rFonts w:asciiTheme="minorHAnsi" w:hAnsiTheme="minorHAnsi"/>
          <w:szCs w:val="20"/>
        </w:rPr>
        <w:t xml:space="preserve">in terms of </w:t>
      </w:r>
      <w:r w:rsidRPr="00112CB4">
        <w:rPr>
          <w:rFonts w:asciiTheme="minorHAnsi" w:hAnsiTheme="minorHAnsi"/>
          <w:szCs w:val="20"/>
        </w:rPr>
        <w:t xml:space="preserve">comparative effectiveness </w:t>
      </w:r>
      <w:r w:rsidR="00112CB4" w:rsidRPr="00112CB4">
        <w:rPr>
          <w:rFonts w:asciiTheme="minorHAnsi" w:hAnsiTheme="minorHAnsi"/>
          <w:szCs w:val="20"/>
        </w:rPr>
        <w:t>to standard of care/placebo in the treatment of patients with upper limb focal spasticity following a</w:t>
      </w:r>
      <w:r w:rsidR="00112CB4">
        <w:rPr>
          <w:rFonts w:asciiTheme="minorHAnsi" w:hAnsiTheme="minorHAnsi"/>
          <w:szCs w:val="20"/>
        </w:rPr>
        <w:t xml:space="preserve"> non-stroke</w:t>
      </w:r>
      <w:r w:rsidR="00112CB4" w:rsidRPr="00112CB4">
        <w:rPr>
          <w:rFonts w:asciiTheme="minorHAnsi" w:hAnsiTheme="minorHAnsi"/>
          <w:szCs w:val="20"/>
        </w:rPr>
        <w:t xml:space="preserve"> acute event </w:t>
      </w:r>
      <w:r w:rsidRPr="00112CB4">
        <w:rPr>
          <w:rFonts w:asciiTheme="minorHAnsi" w:hAnsiTheme="minorHAnsi"/>
          <w:szCs w:val="20"/>
        </w:rPr>
        <w:t>was not adequately supported by the data.</w:t>
      </w:r>
      <w:r w:rsidR="00112CB4">
        <w:rPr>
          <w:rFonts w:asciiTheme="minorHAnsi" w:hAnsiTheme="minorHAnsi"/>
          <w:szCs w:val="20"/>
        </w:rPr>
        <w:t xml:space="preserve"> </w:t>
      </w:r>
    </w:p>
    <w:p w:rsidR="006E0C02" w:rsidRPr="00462CB6" w:rsidRDefault="006E0C02" w:rsidP="009F0049">
      <w:pPr>
        <w:pStyle w:val="ListParagraph"/>
        <w:widowControl/>
        <w:numPr>
          <w:ilvl w:val="1"/>
          <w:numId w:val="1"/>
        </w:numPr>
        <w:spacing w:after="120"/>
      </w:pPr>
      <w:r w:rsidRPr="00112CB4">
        <w:rPr>
          <w:iCs/>
        </w:rPr>
        <w:t xml:space="preserve">The submission did not make a claim </w:t>
      </w:r>
      <w:r w:rsidR="00B80525" w:rsidRPr="00112CB4">
        <w:rPr>
          <w:iCs/>
        </w:rPr>
        <w:t xml:space="preserve">regarding the </w:t>
      </w:r>
      <w:r w:rsidRPr="00112CB4">
        <w:rPr>
          <w:iCs/>
        </w:rPr>
        <w:t>safety of Dysport</w:t>
      </w:r>
      <w:r w:rsidRPr="00112CB4">
        <w:rPr>
          <w:rFonts w:cs="Calibri"/>
          <w:iCs/>
        </w:rPr>
        <w:t xml:space="preserve">® </w:t>
      </w:r>
      <w:r w:rsidRPr="00112CB4">
        <w:rPr>
          <w:iCs/>
        </w:rPr>
        <w:t>compared</w:t>
      </w:r>
      <w:r w:rsidR="001D5B53">
        <w:rPr>
          <w:iCs/>
        </w:rPr>
        <w:t xml:space="preserve"> to</w:t>
      </w:r>
      <w:r w:rsidRPr="00112CB4">
        <w:rPr>
          <w:iCs/>
        </w:rPr>
        <w:t xml:space="preserve"> placebo</w:t>
      </w:r>
      <w:r w:rsidR="00B80525" w:rsidRPr="00112CB4">
        <w:rPr>
          <w:iCs/>
        </w:rPr>
        <w:t xml:space="preserve"> in the treatment of </w:t>
      </w:r>
      <w:r w:rsidR="00D44876" w:rsidRPr="00112CB4">
        <w:rPr>
          <w:iCs/>
        </w:rPr>
        <w:t xml:space="preserve">upper limb focal spasticity </w:t>
      </w:r>
      <w:r w:rsidR="00B80525" w:rsidRPr="00112CB4">
        <w:rPr>
          <w:iCs/>
        </w:rPr>
        <w:t>following an acute event</w:t>
      </w:r>
      <w:r w:rsidRPr="00112CB4">
        <w:rPr>
          <w:iCs/>
        </w:rPr>
        <w:t xml:space="preserve">. </w:t>
      </w:r>
      <w:r w:rsidR="00B80525" w:rsidRPr="00112CB4">
        <w:rPr>
          <w:iCs/>
        </w:rPr>
        <w:t xml:space="preserve">The </w:t>
      </w:r>
      <w:r w:rsidR="00D106C4" w:rsidRPr="00112CB4">
        <w:rPr>
          <w:iCs/>
        </w:rPr>
        <w:t xml:space="preserve">ESC noted that the </w:t>
      </w:r>
      <w:r w:rsidR="00B80525" w:rsidRPr="00112CB4">
        <w:rPr>
          <w:iCs/>
        </w:rPr>
        <w:t xml:space="preserve">PBAC </w:t>
      </w:r>
      <w:r w:rsidR="000838BC" w:rsidRPr="00112CB4">
        <w:rPr>
          <w:iCs/>
        </w:rPr>
        <w:t xml:space="preserve">had </w:t>
      </w:r>
      <w:r w:rsidR="00B80525" w:rsidRPr="00112CB4">
        <w:rPr>
          <w:iCs/>
        </w:rPr>
        <w:t>previously accepted</w:t>
      </w:r>
      <w:r w:rsidR="00D44876" w:rsidRPr="00112CB4">
        <w:rPr>
          <w:iCs/>
        </w:rPr>
        <w:t xml:space="preserve"> that </w:t>
      </w:r>
      <w:r w:rsidR="008A6DC6" w:rsidRPr="00112CB4">
        <w:rPr>
          <w:iCs/>
        </w:rPr>
        <w:t>Dysport® was associated with greater toxicity compared to standard management</w:t>
      </w:r>
      <w:r w:rsidR="001A02B9" w:rsidRPr="00112CB4">
        <w:rPr>
          <w:iCs/>
        </w:rPr>
        <w:t xml:space="preserve"> </w:t>
      </w:r>
      <w:r w:rsidR="003368A6" w:rsidRPr="00112CB4">
        <w:rPr>
          <w:iCs/>
        </w:rPr>
        <w:t>(</w:t>
      </w:r>
      <w:r w:rsidR="00236A55" w:rsidRPr="00112CB4">
        <w:rPr>
          <w:iCs/>
        </w:rPr>
        <w:t>Dysport</w:t>
      </w:r>
      <w:r w:rsidR="00A9679D" w:rsidRPr="000F1DF7">
        <w:rPr>
          <w:snapToGrid/>
        </w:rPr>
        <w:t>®</w:t>
      </w:r>
      <w:r w:rsidR="003368A6" w:rsidRPr="00112CB4">
        <w:rPr>
          <w:iCs/>
        </w:rPr>
        <w:t xml:space="preserve"> </w:t>
      </w:r>
      <w:r w:rsidR="00B80525" w:rsidRPr="00112CB4">
        <w:rPr>
          <w:iCs/>
        </w:rPr>
        <w:t>PSD, November 2007</w:t>
      </w:r>
      <w:r w:rsidR="00166452" w:rsidRPr="00112CB4">
        <w:rPr>
          <w:iCs/>
        </w:rPr>
        <w:t xml:space="preserve"> PBAC</w:t>
      </w:r>
      <w:r w:rsidR="00B80525" w:rsidRPr="00112CB4">
        <w:rPr>
          <w:iCs/>
        </w:rPr>
        <w:t>).</w:t>
      </w:r>
      <w:r w:rsidR="00D57DED" w:rsidRPr="00112CB4">
        <w:rPr>
          <w:iCs/>
        </w:rPr>
        <w:t xml:space="preserve"> </w:t>
      </w:r>
    </w:p>
    <w:p w:rsidR="00462CB6" w:rsidRPr="00D44876" w:rsidRDefault="00462CB6" w:rsidP="004048A1">
      <w:pPr>
        <w:pStyle w:val="ListParagraph"/>
        <w:widowControl/>
        <w:numPr>
          <w:ilvl w:val="1"/>
          <w:numId w:val="1"/>
        </w:numPr>
        <w:spacing w:after="120"/>
        <w:ind w:left="709" w:hanging="709"/>
        <w:rPr>
          <w:rFonts w:asciiTheme="minorHAnsi" w:hAnsiTheme="minorHAnsi"/>
          <w:szCs w:val="20"/>
        </w:rPr>
      </w:pPr>
      <w:r w:rsidRPr="00D44876">
        <w:rPr>
          <w:rFonts w:asciiTheme="minorHAnsi" w:hAnsiTheme="minorHAnsi"/>
          <w:szCs w:val="20"/>
        </w:rPr>
        <w:t xml:space="preserve">The PBAC considered that </w:t>
      </w:r>
      <w:r w:rsidR="00D44876">
        <w:rPr>
          <w:rFonts w:asciiTheme="minorHAnsi" w:hAnsiTheme="minorHAnsi"/>
          <w:szCs w:val="20"/>
        </w:rPr>
        <w:t>Dysport</w:t>
      </w:r>
      <w:r w:rsidR="00D44876">
        <w:rPr>
          <w:rFonts w:asciiTheme="minorHAnsi" w:hAnsiTheme="minorHAnsi" w:cstheme="minorHAnsi"/>
          <w:szCs w:val="20"/>
        </w:rPr>
        <w:t>®</w:t>
      </w:r>
      <w:r w:rsidR="00D44876">
        <w:rPr>
          <w:rFonts w:asciiTheme="minorHAnsi" w:hAnsiTheme="minorHAnsi"/>
          <w:szCs w:val="20"/>
        </w:rPr>
        <w:t xml:space="preserve"> was inferior in terms of</w:t>
      </w:r>
      <w:r w:rsidRPr="00D44876">
        <w:rPr>
          <w:rFonts w:asciiTheme="minorHAnsi" w:hAnsiTheme="minorHAnsi"/>
          <w:szCs w:val="20"/>
        </w:rPr>
        <w:t xml:space="preserve"> comparative safety </w:t>
      </w:r>
      <w:r w:rsidR="00112CB4">
        <w:rPr>
          <w:rFonts w:asciiTheme="minorHAnsi" w:hAnsiTheme="minorHAnsi"/>
          <w:szCs w:val="20"/>
        </w:rPr>
        <w:t>compared to standard of car</w:t>
      </w:r>
      <w:r w:rsidR="00D44876">
        <w:rPr>
          <w:rFonts w:asciiTheme="minorHAnsi" w:hAnsiTheme="minorHAnsi"/>
          <w:szCs w:val="20"/>
        </w:rPr>
        <w:t>e/placebo</w:t>
      </w:r>
      <w:r w:rsidRPr="00D44876">
        <w:rPr>
          <w:rFonts w:asciiTheme="minorHAnsi" w:hAnsiTheme="minorHAnsi"/>
          <w:szCs w:val="20"/>
        </w:rPr>
        <w:t>.</w:t>
      </w:r>
    </w:p>
    <w:p w:rsidR="00B60939" w:rsidRPr="00C9624D" w:rsidRDefault="00B60939" w:rsidP="009F0049">
      <w:pPr>
        <w:pStyle w:val="Heading2"/>
        <w:widowControl/>
      </w:pPr>
      <w:bookmarkStart w:id="29" w:name="_Toc524461031"/>
      <w:r w:rsidRPr="00C9624D">
        <w:t>Economic analysis</w:t>
      </w:r>
      <w:bookmarkEnd w:id="29"/>
      <w:r w:rsidR="00491B3A" w:rsidRPr="00C9624D">
        <w:t xml:space="preserve"> </w:t>
      </w:r>
    </w:p>
    <w:p w:rsidR="00DE0567" w:rsidRPr="000F1DF7" w:rsidRDefault="002D216C" w:rsidP="009F0049">
      <w:pPr>
        <w:pStyle w:val="ListParagraph"/>
        <w:keepNext/>
        <w:widowControl/>
        <w:numPr>
          <w:ilvl w:val="1"/>
          <w:numId w:val="1"/>
        </w:numPr>
        <w:rPr>
          <w:rFonts w:ascii="Arial Narrow" w:hAnsi="Arial Narrow"/>
          <w:b/>
          <w:sz w:val="20"/>
          <w:szCs w:val="16"/>
        </w:rPr>
      </w:pPr>
      <w:r w:rsidRPr="000F1DF7">
        <w:rPr>
          <w:rFonts w:cs="Calibri"/>
          <w:snapToGrid/>
          <w:szCs w:val="24"/>
          <w:lang w:val="en-US" w:eastAsia="en-AU"/>
        </w:rPr>
        <w:t xml:space="preserve">The submission presented a cost </w:t>
      </w:r>
      <w:r w:rsidR="00B63ABB" w:rsidRPr="000F1DF7">
        <w:rPr>
          <w:rFonts w:cs="Calibri"/>
          <w:snapToGrid/>
          <w:szCs w:val="24"/>
          <w:lang w:val="en-US" w:eastAsia="en-AU"/>
        </w:rPr>
        <w:t>effectiveness analysis</w:t>
      </w:r>
      <w:r w:rsidR="00DE0567" w:rsidRPr="000F1DF7">
        <w:rPr>
          <w:rFonts w:cs="Calibri"/>
          <w:snapToGrid/>
          <w:szCs w:val="24"/>
          <w:lang w:val="en-US" w:eastAsia="en-AU"/>
        </w:rPr>
        <w:t>, in the form of a cost per responder, as was p</w:t>
      </w:r>
      <w:r w:rsidR="009B0218" w:rsidRPr="000F1DF7">
        <w:rPr>
          <w:rFonts w:cs="Calibri"/>
          <w:snapToGrid/>
          <w:szCs w:val="24"/>
          <w:lang w:val="en-US" w:eastAsia="en-AU"/>
        </w:rPr>
        <w:t>reviously accepted by the PBAC</w:t>
      </w:r>
      <w:r w:rsidR="009B0218" w:rsidRPr="000F1DF7">
        <w:rPr>
          <w:rStyle w:val="CommentReference"/>
          <w:rFonts w:cs="Times New Roman"/>
        </w:rPr>
        <w:t xml:space="preserve"> </w:t>
      </w:r>
      <w:r w:rsidR="00112CB4">
        <w:rPr>
          <w:rStyle w:val="CommentReference"/>
          <w:rFonts w:cs="Times New Roman"/>
        </w:rPr>
        <w:t>(</w:t>
      </w:r>
      <w:r w:rsidR="00406C90" w:rsidRPr="000F1DF7">
        <w:rPr>
          <w:rFonts w:cs="Calibri"/>
          <w:snapToGrid/>
          <w:szCs w:val="24"/>
          <w:lang w:val="en-US" w:eastAsia="en-AU"/>
        </w:rPr>
        <w:t>November 2007</w:t>
      </w:r>
      <w:r w:rsidR="00A9679D">
        <w:rPr>
          <w:rFonts w:cs="Calibri"/>
          <w:snapToGrid/>
          <w:szCs w:val="24"/>
          <w:lang w:val="en-US" w:eastAsia="en-AU"/>
        </w:rPr>
        <w:t>, Dysport</w:t>
      </w:r>
      <w:r w:rsidR="00A9679D" w:rsidRPr="000F1DF7">
        <w:rPr>
          <w:snapToGrid/>
        </w:rPr>
        <w:t>®</w:t>
      </w:r>
      <w:r w:rsidR="00112CB4">
        <w:rPr>
          <w:rFonts w:cs="Calibri"/>
          <w:snapToGrid/>
          <w:szCs w:val="24"/>
          <w:lang w:val="en-US" w:eastAsia="en-AU"/>
        </w:rPr>
        <w:t xml:space="preserve"> PSD)</w:t>
      </w:r>
      <w:r w:rsidR="00DE0567" w:rsidRPr="000F1DF7">
        <w:rPr>
          <w:rFonts w:cs="Calibri"/>
          <w:snapToGrid/>
          <w:szCs w:val="24"/>
          <w:lang w:val="en-US" w:eastAsia="en-AU"/>
        </w:rPr>
        <w:t>.</w:t>
      </w:r>
      <w:r w:rsidR="00B63ABB" w:rsidRPr="000F1DF7">
        <w:rPr>
          <w:rFonts w:cs="Calibri"/>
          <w:snapToGrid/>
          <w:szCs w:val="24"/>
          <w:lang w:val="en-US" w:eastAsia="en-AU"/>
        </w:rPr>
        <w:t xml:space="preserve"> </w:t>
      </w:r>
      <w:r w:rsidR="00EE0139" w:rsidRPr="000F1DF7">
        <w:rPr>
          <w:rFonts w:cs="Calibri"/>
          <w:iCs/>
          <w:snapToGrid/>
          <w:szCs w:val="24"/>
          <w:lang w:val="en-US" w:eastAsia="en-AU"/>
        </w:rPr>
        <w:t xml:space="preserve">In November 2007 </w:t>
      </w:r>
      <w:r w:rsidR="00EE0139" w:rsidRPr="000F1DF7">
        <w:rPr>
          <w:iCs/>
        </w:rPr>
        <w:t>the cost per responder (defined</w:t>
      </w:r>
      <w:r w:rsidR="00EE0139" w:rsidRPr="000F1DF7">
        <w:t xml:space="preserve"> as a change in MAS of </w:t>
      </w:r>
      <w:r w:rsidR="00EE0139" w:rsidRPr="00112CB4">
        <w:t>greater</w:t>
      </w:r>
      <w:r w:rsidR="00EE0139" w:rsidRPr="000F1DF7">
        <w:t xml:space="preserve"> than one</w:t>
      </w:r>
      <w:r w:rsidR="00112CB4">
        <w:t xml:space="preserve"> (using the historical MAS coding convention)</w:t>
      </w:r>
      <w:r w:rsidR="008B723B" w:rsidRPr="000F1DF7">
        <w:t>, in at least one joint</w:t>
      </w:r>
      <w:r w:rsidR="00B931B7" w:rsidRPr="000F1DF7">
        <w:t xml:space="preserve"> at 20 weeks) </w:t>
      </w:r>
      <w:r w:rsidR="00112CB4">
        <w:t>for Dysport</w:t>
      </w:r>
      <w:r w:rsidR="00112CB4">
        <w:rPr>
          <w:rFonts w:cs="Calibri"/>
        </w:rPr>
        <w:t>®</w:t>
      </w:r>
      <w:r w:rsidR="00112CB4">
        <w:t xml:space="preserve"> in the treatment of upper limb spasticity following a stroke </w:t>
      </w:r>
      <w:r w:rsidR="00B931B7" w:rsidRPr="000F1DF7">
        <w:t>was</w:t>
      </w:r>
      <w:r w:rsidR="00A9679D">
        <w:t xml:space="preserve"> less than $15,000</w:t>
      </w:r>
      <w:r w:rsidR="004143C4" w:rsidRPr="000F1DF7">
        <w:t>.</w:t>
      </w:r>
    </w:p>
    <w:p w:rsidR="00D4616A" w:rsidRPr="000F1DF7" w:rsidRDefault="009B0218" w:rsidP="009F0049">
      <w:pPr>
        <w:pStyle w:val="ListParagraph"/>
        <w:widowControl/>
        <w:numPr>
          <w:ilvl w:val="1"/>
          <w:numId w:val="1"/>
        </w:numPr>
        <w:rPr>
          <w:rFonts w:ascii="Arial Narrow" w:hAnsi="Arial Narrow"/>
          <w:b/>
          <w:sz w:val="20"/>
          <w:szCs w:val="16"/>
        </w:rPr>
      </w:pPr>
      <w:r w:rsidRPr="000F1DF7">
        <w:rPr>
          <w:rFonts w:cs="Calibri"/>
          <w:snapToGrid/>
          <w:szCs w:val="24"/>
          <w:lang w:val="en-US" w:eastAsia="en-AU"/>
        </w:rPr>
        <w:t xml:space="preserve">The </w:t>
      </w:r>
      <w:r w:rsidR="00D70368" w:rsidRPr="000F1DF7">
        <w:rPr>
          <w:rFonts w:cs="Calibri"/>
          <w:snapToGrid/>
          <w:szCs w:val="24"/>
          <w:lang w:val="en-US" w:eastAsia="en-AU"/>
        </w:rPr>
        <w:t xml:space="preserve">aim of the submission’s </w:t>
      </w:r>
      <w:r w:rsidRPr="000F1DF7">
        <w:rPr>
          <w:rFonts w:cs="Calibri"/>
          <w:snapToGrid/>
          <w:szCs w:val="24"/>
          <w:lang w:val="en-US" w:eastAsia="en-AU"/>
        </w:rPr>
        <w:t xml:space="preserve">economic evaluation was </w:t>
      </w:r>
      <w:r w:rsidR="003B2BE2" w:rsidRPr="000F1DF7">
        <w:rPr>
          <w:rFonts w:cs="Calibri"/>
          <w:snapToGrid/>
          <w:szCs w:val="24"/>
          <w:lang w:val="en-US" w:eastAsia="en-AU"/>
        </w:rPr>
        <w:t xml:space="preserve">to estimate </w:t>
      </w:r>
      <w:r w:rsidR="00112CB4">
        <w:rPr>
          <w:rFonts w:cs="Calibri"/>
          <w:snapToGrid/>
          <w:szCs w:val="24"/>
          <w:lang w:val="en-US" w:eastAsia="en-AU"/>
        </w:rPr>
        <w:t xml:space="preserve">the </w:t>
      </w:r>
      <w:r w:rsidR="003B2BE2" w:rsidRPr="000F1DF7">
        <w:rPr>
          <w:rFonts w:cs="Calibri"/>
          <w:snapToGrid/>
          <w:szCs w:val="24"/>
          <w:lang w:val="en-US" w:eastAsia="en-AU"/>
        </w:rPr>
        <w:t xml:space="preserve">cost effectiveness of Dysport® </w:t>
      </w:r>
      <w:r w:rsidR="00112CB4">
        <w:rPr>
          <w:rFonts w:cs="Calibri"/>
          <w:snapToGrid/>
          <w:szCs w:val="24"/>
          <w:lang w:val="en-US" w:eastAsia="en-AU"/>
        </w:rPr>
        <w:t>in the treatment of upper limb focal spasticity</w:t>
      </w:r>
      <w:r w:rsidR="003B2BE2" w:rsidRPr="000F1DF7">
        <w:rPr>
          <w:rFonts w:cs="Calibri"/>
          <w:snapToGrid/>
          <w:szCs w:val="24"/>
          <w:lang w:val="en-US" w:eastAsia="en-AU"/>
        </w:rPr>
        <w:t xml:space="preserve"> following any acute event.</w:t>
      </w:r>
      <w:r w:rsidR="00642FE1">
        <w:rPr>
          <w:rFonts w:cs="Calibri"/>
          <w:snapToGrid/>
          <w:szCs w:val="24"/>
          <w:lang w:val="en-US" w:eastAsia="en-AU"/>
        </w:rPr>
        <w:t xml:space="preserve"> </w:t>
      </w:r>
      <w:r w:rsidR="00112CB4">
        <w:rPr>
          <w:rFonts w:cs="Calibri"/>
          <w:snapToGrid/>
          <w:szCs w:val="24"/>
          <w:lang w:val="en-US" w:eastAsia="en-AU"/>
        </w:rPr>
        <w:t>A</w:t>
      </w:r>
      <w:r w:rsidR="003B2BE2" w:rsidRPr="000F1DF7">
        <w:rPr>
          <w:rFonts w:cs="Calibri"/>
          <w:snapToGrid/>
          <w:szCs w:val="24"/>
          <w:lang w:val="en-US" w:eastAsia="en-AU"/>
        </w:rPr>
        <w:t xml:space="preserve">s </w:t>
      </w:r>
      <w:r w:rsidR="00146E16" w:rsidRPr="000F1DF7">
        <w:rPr>
          <w:iCs/>
        </w:rPr>
        <w:t xml:space="preserve">efficacy </w:t>
      </w:r>
      <w:r w:rsidR="003B2BE2" w:rsidRPr="000F1DF7">
        <w:rPr>
          <w:iCs/>
        </w:rPr>
        <w:t xml:space="preserve">outcomes in the model </w:t>
      </w:r>
      <w:r w:rsidR="00146E16" w:rsidRPr="000F1DF7">
        <w:rPr>
          <w:iCs/>
        </w:rPr>
        <w:t xml:space="preserve">were based on </w:t>
      </w:r>
      <w:r w:rsidR="00112CB4">
        <w:rPr>
          <w:iCs/>
        </w:rPr>
        <w:t xml:space="preserve">the </w:t>
      </w:r>
      <w:r w:rsidR="00D4616A" w:rsidRPr="000F1DF7">
        <w:rPr>
          <w:iCs/>
        </w:rPr>
        <w:t xml:space="preserve">ITT </w:t>
      </w:r>
      <w:r w:rsidR="00146E16" w:rsidRPr="000F1DF7">
        <w:rPr>
          <w:iCs/>
        </w:rPr>
        <w:t xml:space="preserve">results </w:t>
      </w:r>
      <w:r w:rsidR="00112CB4">
        <w:rPr>
          <w:iCs/>
        </w:rPr>
        <w:t>from</w:t>
      </w:r>
      <w:r w:rsidR="003B2BE2" w:rsidRPr="000F1DF7">
        <w:rPr>
          <w:iCs/>
        </w:rPr>
        <w:t xml:space="preserve"> Study 145, </w:t>
      </w:r>
      <w:r w:rsidR="00867EF0" w:rsidRPr="000F1DF7">
        <w:rPr>
          <w:iCs/>
        </w:rPr>
        <w:t xml:space="preserve">the estimated cost effectiveness </w:t>
      </w:r>
      <w:r w:rsidR="002D216C" w:rsidRPr="000F1DF7">
        <w:rPr>
          <w:iCs/>
        </w:rPr>
        <w:t>was</w:t>
      </w:r>
      <w:r w:rsidR="00867EF0" w:rsidRPr="000F1DF7">
        <w:rPr>
          <w:iCs/>
        </w:rPr>
        <w:t xml:space="preserve"> </w:t>
      </w:r>
      <w:r w:rsidR="00112CB4">
        <w:rPr>
          <w:iCs/>
        </w:rPr>
        <w:t xml:space="preserve">primarily </w:t>
      </w:r>
      <w:r w:rsidR="003B2BE2" w:rsidRPr="000F1DF7">
        <w:rPr>
          <w:iCs/>
        </w:rPr>
        <w:t xml:space="preserve">driven by outcomes for patients </w:t>
      </w:r>
      <w:r w:rsidR="00112CB4">
        <w:rPr>
          <w:iCs/>
        </w:rPr>
        <w:t>post</w:t>
      </w:r>
      <w:r w:rsidR="005A492F">
        <w:rPr>
          <w:iCs/>
        </w:rPr>
        <w:t>-</w:t>
      </w:r>
      <w:r w:rsidR="003B2BE2" w:rsidRPr="000F1DF7">
        <w:rPr>
          <w:iCs/>
        </w:rPr>
        <w:t>stroke.</w:t>
      </w:r>
      <w:r w:rsidR="00642FE1">
        <w:rPr>
          <w:iCs/>
        </w:rPr>
        <w:t xml:space="preserve"> </w:t>
      </w:r>
      <w:r w:rsidR="00146E16" w:rsidRPr="000F1DF7">
        <w:rPr>
          <w:iCs/>
        </w:rPr>
        <w:t xml:space="preserve">As </w:t>
      </w:r>
      <w:r w:rsidR="005A492F">
        <w:rPr>
          <w:iCs/>
        </w:rPr>
        <w:t xml:space="preserve">previously </w:t>
      </w:r>
      <w:r w:rsidR="00146E16" w:rsidRPr="000F1DF7">
        <w:rPr>
          <w:iCs/>
        </w:rPr>
        <w:t xml:space="preserve">discussed, </w:t>
      </w:r>
      <w:r w:rsidR="00A1000F" w:rsidRPr="000F1DF7">
        <w:rPr>
          <w:iCs/>
        </w:rPr>
        <w:t xml:space="preserve">90% of the </w:t>
      </w:r>
      <w:r w:rsidR="00D4616A" w:rsidRPr="000F1DF7">
        <w:rPr>
          <w:iCs/>
        </w:rPr>
        <w:t>pati</w:t>
      </w:r>
      <w:r w:rsidR="002D216C" w:rsidRPr="000F1DF7">
        <w:rPr>
          <w:iCs/>
        </w:rPr>
        <w:t xml:space="preserve">ents in Study 145 </w:t>
      </w:r>
      <w:r w:rsidR="005A492F">
        <w:rPr>
          <w:iCs/>
        </w:rPr>
        <w:t>were</w:t>
      </w:r>
      <w:r w:rsidR="002D216C" w:rsidRPr="000F1DF7">
        <w:rPr>
          <w:iCs/>
        </w:rPr>
        <w:t xml:space="preserve"> post-</w:t>
      </w:r>
      <w:r w:rsidR="00D4616A" w:rsidRPr="000F1DF7">
        <w:rPr>
          <w:iCs/>
        </w:rPr>
        <w:t>stroke</w:t>
      </w:r>
      <w:r w:rsidR="005A492F">
        <w:rPr>
          <w:iCs/>
        </w:rPr>
        <w:t>, with approximately 10% suffering from spasticity due to a TBI.</w:t>
      </w:r>
      <w:r w:rsidR="00A1000F" w:rsidRPr="000F1DF7">
        <w:rPr>
          <w:iCs/>
        </w:rPr>
        <w:t xml:space="preserve"> </w:t>
      </w:r>
      <w:r w:rsidR="00146E16" w:rsidRPr="000F1DF7">
        <w:rPr>
          <w:iCs/>
        </w:rPr>
        <w:t xml:space="preserve">The applicability of the modelled results to the </w:t>
      </w:r>
      <w:r w:rsidR="00A1000F" w:rsidRPr="000F1DF7">
        <w:rPr>
          <w:iCs/>
        </w:rPr>
        <w:t>additional population for whom listing was sought</w:t>
      </w:r>
      <w:r w:rsidR="00146E16" w:rsidRPr="000F1DF7">
        <w:rPr>
          <w:iCs/>
        </w:rPr>
        <w:t xml:space="preserve"> </w:t>
      </w:r>
      <w:r w:rsidR="005A492F">
        <w:rPr>
          <w:iCs/>
        </w:rPr>
        <w:t>wa</w:t>
      </w:r>
      <w:r w:rsidR="005A492F" w:rsidRPr="000F1DF7">
        <w:rPr>
          <w:iCs/>
        </w:rPr>
        <w:t xml:space="preserve">s </w:t>
      </w:r>
      <w:r w:rsidR="00146E16" w:rsidRPr="000F1DF7">
        <w:rPr>
          <w:iCs/>
        </w:rPr>
        <w:t>therefore uncertain</w:t>
      </w:r>
      <w:r w:rsidR="00A1000F" w:rsidRPr="000F1DF7">
        <w:rPr>
          <w:iCs/>
        </w:rPr>
        <w:t>.</w:t>
      </w:r>
    </w:p>
    <w:p w:rsidR="0044694C" w:rsidRPr="000F1DF7" w:rsidRDefault="008A487F" w:rsidP="009F0049">
      <w:pPr>
        <w:pStyle w:val="ListParagraph"/>
        <w:widowControl/>
        <w:numPr>
          <w:ilvl w:val="1"/>
          <w:numId w:val="1"/>
        </w:numPr>
      </w:pPr>
      <w:r w:rsidRPr="000F1DF7">
        <w:rPr>
          <w:rFonts w:cs="Calibri"/>
          <w:iCs/>
          <w:snapToGrid/>
          <w:szCs w:val="24"/>
          <w:lang w:val="en-US" w:eastAsia="en-AU"/>
        </w:rPr>
        <w:t>The base case defined a MAS responder</w:t>
      </w:r>
      <w:r w:rsidR="00217228">
        <w:rPr>
          <w:rFonts w:cs="Calibri"/>
          <w:iCs/>
          <w:snapToGrid/>
          <w:szCs w:val="24"/>
          <w:lang w:val="en-US" w:eastAsia="en-AU"/>
        </w:rPr>
        <w:t xml:space="preserve"> using the ‘derived MAS’ coding convention</w:t>
      </w:r>
      <w:r w:rsidRPr="000F1DF7">
        <w:rPr>
          <w:rFonts w:cs="Calibri"/>
          <w:iCs/>
          <w:snapToGrid/>
          <w:szCs w:val="24"/>
          <w:lang w:val="en-US" w:eastAsia="en-AU"/>
        </w:rPr>
        <w:t xml:space="preserve"> as patients with ≥ 1 MAS change from baseline to 12 weeks.</w:t>
      </w:r>
      <w:r w:rsidR="00642FE1">
        <w:rPr>
          <w:rFonts w:cs="Calibri"/>
          <w:iCs/>
          <w:snapToGrid/>
          <w:szCs w:val="24"/>
          <w:lang w:val="en-US" w:eastAsia="en-AU"/>
        </w:rPr>
        <w:t xml:space="preserve"> </w:t>
      </w:r>
      <w:r w:rsidR="00DE0567" w:rsidRPr="000F1DF7">
        <w:rPr>
          <w:rFonts w:cs="Calibri"/>
          <w:iCs/>
          <w:snapToGrid/>
          <w:szCs w:val="24"/>
          <w:lang w:val="en-US" w:eastAsia="en-AU"/>
        </w:rPr>
        <w:t xml:space="preserve">As noted, </w:t>
      </w:r>
      <w:r w:rsidR="00B63ABB" w:rsidRPr="000F1DF7">
        <w:rPr>
          <w:iCs/>
        </w:rPr>
        <w:t xml:space="preserve">this definition differed </w:t>
      </w:r>
      <w:r w:rsidR="001D5B53">
        <w:rPr>
          <w:iCs/>
        </w:rPr>
        <w:t>from</w:t>
      </w:r>
      <w:r w:rsidR="0062184F">
        <w:rPr>
          <w:iCs/>
        </w:rPr>
        <w:t xml:space="preserve"> </w:t>
      </w:r>
      <w:r w:rsidR="00B63ABB" w:rsidRPr="000F1DF7">
        <w:rPr>
          <w:iCs/>
        </w:rPr>
        <w:t>the requested restriction</w:t>
      </w:r>
      <w:r w:rsidR="008E611B">
        <w:rPr>
          <w:iCs/>
        </w:rPr>
        <w:t xml:space="preserve">, </w:t>
      </w:r>
      <w:r w:rsidR="001D5B53">
        <w:rPr>
          <w:iCs/>
        </w:rPr>
        <w:t xml:space="preserve">from </w:t>
      </w:r>
      <w:r w:rsidR="008E611B">
        <w:rPr>
          <w:iCs/>
        </w:rPr>
        <w:t xml:space="preserve">the clinical outcome which assessed </w:t>
      </w:r>
      <w:r w:rsidR="008E611B">
        <w:rPr>
          <w:iCs/>
        </w:rPr>
        <w:lastRenderedPageBreak/>
        <w:t>MAS change at 4 weeks,</w:t>
      </w:r>
      <w:r w:rsidR="00B63ABB" w:rsidRPr="000F1DF7">
        <w:rPr>
          <w:iCs/>
        </w:rPr>
        <w:t xml:space="preserve"> and </w:t>
      </w:r>
      <w:r w:rsidR="001D5B53">
        <w:rPr>
          <w:iCs/>
        </w:rPr>
        <w:t>from</w:t>
      </w:r>
      <w:r w:rsidR="001D5B53" w:rsidRPr="000F1DF7">
        <w:rPr>
          <w:iCs/>
        </w:rPr>
        <w:t xml:space="preserve"> </w:t>
      </w:r>
      <w:r w:rsidR="005A492F">
        <w:rPr>
          <w:iCs/>
        </w:rPr>
        <w:t>th</w:t>
      </w:r>
      <w:r w:rsidR="008E611B">
        <w:rPr>
          <w:iCs/>
        </w:rPr>
        <w:t>e definition</w:t>
      </w:r>
      <w:r w:rsidR="005A492F">
        <w:rPr>
          <w:iCs/>
        </w:rPr>
        <w:t xml:space="preserve"> used in economic evaluation of Dysport</w:t>
      </w:r>
      <w:r w:rsidR="005A492F">
        <w:rPr>
          <w:rFonts w:cs="Calibri"/>
          <w:iCs/>
        </w:rPr>
        <w:t>®</w:t>
      </w:r>
      <w:r w:rsidR="005A492F">
        <w:rPr>
          <w:iCs/>
        </w:rPr>
        <w:t xml:space="preserve"> in the treatment of upper limb spasticity following a stroke</w:t>
      </w:r>
      <w:r w:rsidR="00B63ABB" w:rsidRPr="000F1DF7">
        <w:rPr>
          <w:iCs/>
        </w:rPr>
        <w:t xml:space="preserve">, </w:t>
      </w:r>
      <w:r w:rsidR="005C6A66" w:rsidRPr="000F1DF7">
        <w:rPr>
          <w:iCs/>
        </w:rPr>
        <w:t xml:space="preserve">in which </w:t>
      </w:r>
      <w:r w:rsidR="00B63ABB" w:rsidRPr="000F1DF7">
        <w:rPr>
          <w:iCs/>
        </w:rPr>
        <w:t>a responder was defined</w:t>
      </w:r>
      <w:r w:rsidR="005A492F">
        <w:rPr>
          <w:iCs/>
        </w:rPr>
        <w:t>,</w:t>
      </w:r>
      <w:r w:rsidR="00B63ABB" w:rsidRPr="000F1DF7">
        <w:rPr>
          <w:iCs/>
        </w:rPr>
        <w:t xml:space="preserve"> </w:t>
      </w:r>
      <w:r w:rsidR="005A492F">
        <w:rPr>
          <w:iCs/>
        </w:rPr>
        <w:t xml:space="preserve">using the historical MAS coding convention, </w:t>
      </w:r>
      <w:r w:rsidR="00B63ABB" w:rsidRPr="000F1DF7">
        <w:rPr>
          <w:iCs/>
        </w:rPr>
        <w:t xml:space="preserve">as </w:t>
      </w:r>
      <w:r w:rsidR="005A492F">
        <w:rPr>
          <w:iCs/>
        </w:rPr>
        <w:t xml:space="preserve">having </w:t>
      </w:r>
      <w:r w:rsidR="00B63ABB" w:rsidRPr="000F1DF7">
        <w:rPr>
          <w:iCs/>
        </w:rPr>
        <w:t xml:space="preserve">a mean change in MAS of </w:t>
      </w:r>
      <w:r w:rsidR="00B63ABB" w:rsidRPr="005A492F">
        <w:rPr>
          <w:iCs/>
        </w:rPr>
        <w:t>greater than one</w:t>
      </w:r>
      <w:r w:rsidR="00217228">
        <w:rPr>
          <w:iCs/>
        </w:rPr>
        <w:t xml:space="preserve"> </w:t>
      </w:r>
      <w:r w:rsidR="00B63ABB" w:rsidRPr="000F1DF7">
        <w:rPr>
          <w:iCs/>
        </w:rPr>
        <w:t xml:space="preserve">in at least one of the joints at Week 20 </w:t>
      </w:r>
      <w:r w:rsidR="005A492F">
        <w:rPr>
          <w:iCs/>
        </w:rPr>
        <w:t>(November 2007, Dysport</w:t>
      </w:r>
      <w:r w:rsidR="00A9679D" w:rsidRPr="000F1DF7">
        <w:rPr>
          <w:snapToGrid/>
        </w:rPr>
        <w:t>®</w:t>
      </w:r>
      <w:r w:rsidR="005A492F">
        <w:rPr>
          <w:iCs/>
        </w:rPr>
        <w:t xml:space="preserve"> PSD)</w:t>
      </w:r>
      <w:r w:rsidR="00B63ABB" w:rsidRPr="004975A6">
        <w:rPr>
          <w:i/>
          <w:iCs/>
        </w:rPr>
        <w:t>.</w:t>
      </w:r>
      <w:r w:rsidR="00F15254">
        <w:rPr>
          <w:i/>
          <w:iCs/>
        </w:rPr>
        <w:t xml:space="preserve"> </w:t>
      </w:r>
    </w:p>
    <w:p w:rsidR="00FB1A50" w:rsidRPr="000F1DF7" w:rsidRDefault="00CC3CDF" w:rsidP="009F0049">
      <w:pPr>
        <w:pStyle w:val="ListParagraph"/>
        <w:widowControl/>
        <w:numPr>
          <w:ilvl w:val="1"/>
          <w:numId w:val="1"/>
        </w:numPr>
      </w:pPr>
      <w:r w:rsidRPr="000F1DF7">
        <w:t>I</w:t>
      </w:r>
      <w:r w:rsidR="0044694C" w:rsidRPr="000F1DF7">
        <w:t>ndividual patient data from Study 148</w:t>
      </w:r>
      <w:r w:rsidRPr="000F1DF7">
        <w:t xml:space="preserve"> suggested</w:t>
      </w:r>
      <w:r w:rsidR="00FB1A50" w:rsidRPr="000F1DF7">
        <w:t xml:space="preserve"> </w:t>
      </w:r>
      <w:r w:rsidR="0044694C" w:rsidRPr="000F1DF7">
        <w:t xml:space="preserve">that patients would receive </w:t>
      </w:r>
      <w:r w:rsidR="00FB1A50" w:rsidRPr="000F1DF7">
        <w:t xml:space="preserve">3.86 treatment cycles </w:t>
      </w:r>
      <w:r w:rsidRPr="000F1DF7">
        <w:t>of</w:t>
      </w:r>
      <w:r w:rsidR="00FB1A50" w:rsidRPr="000F1DF7">
        <w:t xml:space="preserve"> Dysport</w:t>
      </w:r>
      <w:r w:rsidR="00FB1A50" w:rsidRPr="000F1DF7">
        <w:rPr>
          <w:rFonts w:cs="Calibri"/>
        </w:rPr>
        <w:t>®</w:t>
      </w:r>
      <w:r w:rsidR="00FB1A50" w:rsidRPr="000F1DF7">
        <w:t>.</w:t>
      </w:r>
      <w:r w:rsidR="00642FE1">
        <w:t xml:space="preserve"> </w:t>
      </w:r>
      <w:r w:rsidR="00F15254">
        <w:t>The submission, a</w:t>
      </w:r>
      <w:r w:rsidR="00FB1A50" w:rsidRPr="000F1DF7">
        <w:t xml:space="preserve">ssuming a non-responder rate of 33.6% at Week 12 </w:t>
      </w:r>
      <w:r w:rsidRPr="000F1DF7">
        <w:t xml:space="preserve">and </w:t>
      </w:r>
      <w:r w:rsidR="00FB1A50" w:rsidRPr="000F1DF7">
        <w:t xml:space="preserve">accounting for non-responders stopping treatment after two injections based on PBS stopping criteria, </w:t>
      </w:r>
      <w:r w:rsidR="00F15254">
        <w:t xml:space="preserve">estimated that patients would receive an average of </w:t>
      </w:r>
      <w:r w:rsidR="00FB1A50" w:rsidRPr="000F1DF7">
        <w:t xml:space="preserve">3.24 treatment cycles </w:t>
      </w:r>
      <w:r w:rsidR="00EF205F" w:rsidRPr="000F1DF7">
        <w:t>(base case)</w:t>
      </w:r>
      <w:r w:rsidR="00FB1A50" w:rsidRPr="000F1DF7">
        <w:t>.</w:t>
      </w:r>
    </w:p>
    <w:p w:rsidR="000C3305" w:rsidRPr="00E75A07" w:rsidRDefault="00B63ABB" w:rsidP="009F0049">
      <w:pPr>
        <w:pStyle w:val="ListParagraph"/>
        <w:widowControl/>
        <w:numPr>
          <w:ilvl w:val="1"/>
          <w:numId w:val="1"/>
        </w:numPr>
        <w:rPr>
          <w:rFonts w:ascii="Arial Narrow" w:hAnsi="Arial Narrow"/>
          <w:b/>
          <w:iCs/>
          <w:sz w:val="20"/>
          <w:szCs w:val="16"/>
        </w:rPr>
      </w:pPr>
      <w:r w:rsidRPr="00D106C4">
        <w:rPr>
          <w:rFonts w:cs="Calibri"/>
          <w:iCs/>
          <w:snapToGrid/>
          <w:szCs w:val="24"/>
          <w:lang w:val="en-US" w:eastAsia="en-AU"/>
        </w:rPr>
        <w:t>There was a mismatch between the 3.24 treatment cycles assumed for costing and the single dose Study 145 from which the incremental responders were derived.</w:t>
      </w:r>
      <w:r w:rsidR="00642FE1">
        <w:rPr>
          <w:rFonts w:cs="Calibri"/>
          <w:iCs/>
          <w:snapToGrid/>
          <w:szCs w:val="24"/>
          <w:lang w:val="en-US" w:eastAsia="en-AU"/>
        </w:rPr>
        <w:t xml:space="preserve"> </w:t>
      </w:r>
      <w:r w:rsidRPr="00D106C4">
        <w:rPr>
          <w:iCs/>
        </w:rPr>
        <w:t>T</w:t>
      </w:r>
      <w:r w:rsidRPr="00D106C4">
        <w:rPr>
          <w:iCs/>
          <w:szCs w:val="20"/>
        </w:rPr>
        <w:t>he submission presumably relied on data from the extension open-label Study 148 to support the maintenance of treatment effect over repeat Dysport</w:t>
      </w:r>
      <w:r w:rsidRPr="00D106C4">
        <w:rPr>
          <w:rFonts w:cs="Calibri"/>
          <w:iCs/>
          <w:szCs w:val="20"/>
        </w:rPr>
        <w:t xml:space="preserve">® </w:t>
      </w:r>
      <w:r w:rsidRPr="00D106C4">
        <w:rPr>
          <w:iCs/>
          <w:szCs w:val="20"/>
        </w:rPr>
        <w:t>dosing.</w:t>
      </w:r>
      <w:r w:rsidR="00642FE1">
        <w:rPr>
          <w:iCs/>
          <w:szCs w:val="20"/>
        </w:rPr>
        <w:t xml:space="preserve"> </w:t>
      </w:r>
      <w:r w:rsidRPr="00D106C4">
        <w:rPr>
          <w:iCs/>
          <w:szCs w:val="20"/>
        </w:rPr>
        <w:t>However, detailed responder analys</w:t>
      </w:r>
      <w:r w:rsidR="00DE0567" w:rsidRPr="00D106C4">
        <w:rPr>
          <w:iCs/>
          <w:szCs w:val="20"/>
        </w:rPr>
        <w:t>e</w:t>
      </w:r>
      <w:r w:rsidRPr="00D106C4">
        <w:rPr>
          <w:iCs/>
          <w:szCs w:val="20"/>
        </w:rPr>
        <w:t>s (estimating response in initial responders) were not presented in the submission to verify continued response rates.</w:t>
      </w:r>
      <w:r w:rsidR="009923BD" w:rsidRPr="00D106C4">
        <w:rPr>
          <w:iCs/>
          <w:szCs w:val="20"/>
        </w:rPr>
        <w:t xml:space="preserve"> </w:t>
      </w:r>
      <w:r w:rsidR="00723DAC">
        <w:rPr>
          <w:iCs/>
          <w:szCs w:val="20"/>
        </w:rPr>
        <w:t>R</w:t>
      </w:r>
      <w:r w:rsidR="009923BD" w:rsidRPr="00E75A07">
        <w:rPr>
          <w:iCs/>
          <w:szCs w:val="20"/>
        </w:rPr>
        <w:t>esponder analyses</w:t>
      </w:r>
      <w:r w:rsidR="00723DAC">
        <w:rPr>
          <w:iCs/>
          <w:szCs w:val="20"/>
        </w:rPr>
        <w:t>,</w:t>
      </w:r>
      <w:r w:rsidR="009923BD" w:rsidRPr="00E75A07">
        <w:rPr>
          <w:iCs/>
          <w:szCs w:val="20"/>
        </w:rPr>
        <w:t xml:space="preserve"> provided in the PSCR </w:t>
      </w:r>
      <w:r w:rsidR="00723DAC">
        <w:rPr>
          <w:iCs/>
          <w:szCs w:val="20"/>
        </w:rPr>
        <w:t xml:space="preserve">and </w:t>
      </w:r>
      <w:r w:rsidR="00217228" w:rsidRPr="00E75A07">
        <w:rPr>
          <w:iCs/>
          <w:szCs w:val="20"/>
        </w:rPr>
        <w:t xml:space="preserve">presented in Table </w:t>
      </w:r>
      <w:r w:rsidR="001B477C" w:rsidRPr="00E75A07">
        <w:rPr>
          <w:iCs/>
          <w:szCs w:val="20"/>
        </w:rPr>
        <w:t>8</w:t>
      </w:r>
      <w:r w:rsidR="00217228" w:rsidRPr="00E75A07">
        <w:rPr>
          <w:iCs/>
          <w:szCs w:val="20"/>
        </w:rPr>
        <w:t xml:space="preserve"> above</w:t>
      </w:r>
      <w:r w:rsidR="00723DAC">
        <w:rPr>
          <w:iCs/>
          <w:szCs w:val="20"/>
        </w:rPr>
        <w:t>, demonstrated that the</w:t>
      </w:r>
      <w:r w:rsidR="009923BD" w:rsidRPr="00E75A07">
        <w:rPr>
          <w:iCs/>
          <w:szCs w:val="20"/>
        </w:rPr>
        <w:t xml:space="preserve"> probability of response in the later treatment cycles wa</w:t>
      </w:r>
      <w:r w:rsidR="00E0471B" w:rsidRPr="00E75A07">
        <w:rPr>
          <w:iCs/>
          <w:szCs w:val="20"/>
        </w:rPr>
        <w:t xml:space="preserve">s greater in </w:t>
      </w:r>
      <w:r w:rsidR="004975A6" w:rsidRPr="00E75A07">
        <w:rPr>
          <w:iCs/>
          <w:szCs w:val="20"/>
        </w:rPr>
        <w:t>t</w:t>
      </w:r>
      <w:r w:rsidR="009923BD" w:rsidRPr="00E75A07">
        <w:rPr>
          <w:iCs/>
          <w:szCs w:val="20"/>
        </w:rPr>
        <w:t>hose who responded in the first two treatment cycles.</w:t>
      </w:r>
    </w:p>
    <w:p w:rsidR="00FB1A50" w:rsidRPr="000F1DF7" w:rsidRDefault="000C3305" w:rsidP="009F0049">
      <w:pPr>
        <w:pStyle w:val="ListParagraph"/>
        <w:widowControl/>
        <w:numPr>
          <w:ilvl w:val="1"/>
          <w:numId w:val="1"/>
        </w:numPr>
        <w:rPr>
          <w:rFonts w:ascii="Arial Narrow" w:hAnsi="Arial Narrow"/>
          <w:b/>
          <w:iCs/>
          <w:sz w:val="20"/>
          <w:szCs w:val="16"/>
        </w:rPr>
      </w:pPr>
      <w:r w:rsidRPr="000F1DF7">
        <w:t xml:space="preserve">The </w:t>
      </w:r>
      <w:r w:rsidRPr="000F1DF7">
        <w:rPr>
          <w:iCs/>
        </w:rPr>
        <w:t xml:space="preserve">dose per treatment </w:t>
      </w:r>
      <w:r w:rsidRPr="000F1DF7">
        <w:t xml:space="preserve">was assumed to be </w:t>
      </w:r>
      <w:r w:rsidR="00E6028B" w:rsidRPr="000F1DF7">
        <w:t>999</w:t>
      </w:r>
      <w:r w:rsidR="00D92702" w:rsidRPr="000F1DF7">
        <w:t>U (i</w:t>
      </w:r>
      <w:r w:rsidR="00CC3CDF" w:rsidRPr="000F1DF7">
        <w:t>.</w:t>
      </w:r>
      <w:r w:rsidR="00D92702" w:rsidRPr="000F1DF7">
        <w:t>e</w:t>
      </w:r>
      <w:r w:rsidR="00CC3CDF" w:rsidRPr="000F1DF7">
        <w:t>.</w:t>
      </w:r>
      <w:r w:rsidR="00D92702" w:rsidRPr="000F1DF7">
        <w:t xml:space="preserve"> </w:t>
      </w:r>
      <w:r w:rsidRPr="000F1DF7">
        <w:t>1.998</w:t>
      </w:r>
      <w:r w:rsidR="00D92702" w:rsidRPr="000F1DF7">
        <w:t xml:space="preserve"> vials of the 500U dose form)</w:t>
      </w:r>
      <w:r w:rsidRPr="000F1DF7">
        <w:t>.</w:t>
      </w:r>
      <w:r w:rsidR="00642FE1">
        <w:t xml:space="preserve"> </w:t>
      </w:r>
      <w:r w:rsidRPr="000F1DF7">
        <w:t>This was based on the 1000U arm being the most frequently used dose in the open label extension Study 148.</w:t>
      </w:r>
      <w:r w:rsidR="00642FE1">
        <w:t xml:space="preserve"> </w:t>
      </w:r>
      <w:r w:rsidRPr="000F1DF7">
        <w:rPr>
          <w:iCs/>
        </w:rPr>
        <w:t xml:space="preserve">This appeared reasonable; 1000U is the maximum recommended dose </w:t>
      </w:r>
      <w:r w:rsidR="00D92702" w:rsidRPr="000F1DF7">
        <w:rPr>
          <w:iCs/>
        </w:rPr>
        <w:t xml:space="preserve">per treatment cycle </w:t>
      </w:r>
      <w:r w:rsidRPr="000F1DF7">
        <w:rPr>
          <w:iCs/>
        </w:rPr>
        <w:t>for upper limb spasticity.</w:t>
      </w:r>
    </w:p>
    <w:p w:rsidR="00B63ABB" w:rsidRPr="000F1DF7" w:rsidRDefault="00B63ABB" w:rsidP="009F0049">
      <w:pPr>
        <w:pStyle w:val="ListParagraph"/>
        <w:widowControl/>
        <w:numPr>
          <w:ilvl w:val="1"/>
          <w:numId w:val="1"/>
        </w:numPr>
        <w:rPr>
          <w:iCs/>
        </w:rPr>
      </w:pPr>
      <w:r w:rsidRPr="000F1DF7">
        <w:t>The results of the economic evaluation</w:t>
      </w:r>
      <w:r w:rsidR="00723DAC">
        <w:t>, which were based on changes in the ‘derived MAS’,</w:t>
      </w:r>
      <w:r w:rsidRPr="000F1DF7">
        <w:t xml:space="preserve"> are presented in</w:t>
      </w:r>
      <w:r w:rsidR="003845DC">
        <w:t xml:space="preserve"> Table 1</w:t>
      </w:r>
      <w:r w:rsidR="009F0049">
        <w:t>2</w:t>
      </w:r>
      <w:r w:rsidRPr="000F1DF7">
        <w:rPr>
          <w:iCs/>
        </w:rPr>
        <w:t>.</w:t>
      </w:r>
      <w:r w:rsidR="00642FE1">
        <w:rPr>
          <w:iCs/>
        </w:rPr>
        <w:t xml:space="preserve"> </w:t>
      </w:r>
      <w:r w:rsidR="00825B1E" w:rsidRPr="000F1DF7">
        <w:rPr>
          <w:iCs/>
        </w:rPr>
        <w:t>The DPMQ for Dysport</w:t>
      </w:r>
      <w:r w:rsidR="00825B1E" w:rsidRPr="000F1DF7">
        <w:rPr>
          <w:rFonts w:cs="Calibri"/>
          <w:iCs/>
        </w:rPr>
        <w:t>®</w:t>
      </w:r>
      <w:r w:rsidR="00825B1E" w:rsidRPr="000F1DF7">
        <w:rPr>
          <w:iCs/>
        </w:rPr>
        <w:t xml:space="preserve"> 500</w:t>
      </w:r>
      <w:r w:rsidR="00723DAC">
        <w:rPr>
          <w:iCs/>
        </w:rPr>
        <w:t>U</w:t>
      </w:r>
      <w:r w:rsidR="00825B1E" w:rsidRPr="000F1DF7">
        <w:rPr>
          <w:iCs/>
        </w:rPr>
        <w:t xml:space="preserve"> of $</w:t>
      </w:r>
      <w:r w:rsidR="00825B1E" w:rsidRPr="00A6285F">
        <w:rPr>
          <w:iCs/>
        </w:rPr>
        <w:t>1,094.79</w:t>
      </w:r>
      <w:r w:rsidR="00825B1E" w:rsidRPr="000F1DF7">
        <w:rPr>
          <w:iCs/>
        </w:rPr>
        <w:t xml:space="preserve"> (based on PBS mark-ups from 1 July 2018), and the corrected MBS cost of $124.85 per administration, were used. </w:t>
      </w:r>
    </w:p>
    <w:p w:rsidR="00B63ABB" w:rsidRPr="00877905" w:rsidRDefault="00877905" w:rsidP="009F0049">
      <w:pPr>
        <w:pStyle w:val="TableHeading0"/>
      </w:pPr>
      <w:bookmarkStart w:id="30" w:name="_Ref526510005"/>
      <w:r>
        <w:t xml:space="preserve">Table </w:t>
      </w:r>
      <w:bookmarkEnd w:id="30"/>
      <w:r w:rsidR="003845DC">
        <w:t>1</w:t>
      </w:r>
      <w:r w:rsidR="003E3C88">
        <w:t>2</w:t>
      </w:r>
      <w:r w:rsidR="00B63ABB" w:rsidRPr="00877905">
        <w:t>: Results of the economic evaluation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72"/>
        <w:gridCol w:w="1408"/>
        <w:gridCol w:w="1426"/>
        <w:gridCol w:w="1509"/>
      </w:tblGrid>
      <w:tr w:rsidR="00B63ABB" w:rsidRPr="00597BF9" w:rsidTr="000F57A6">
        <w:trPr>
          <w:tblHeader/>
        </w:trPr>
        <w:tc>
          <w:tcPr>
            <w:tcW w:w="2591" w:type="pct"/>
            <w:vAlign w:val="center"/>
          </w:tcPr>
          <w:p w:rsidR="00B63ABB" w:rsidRPr="00E75A07" w:rsidRDefault="00B63ABB" w:rsidP="004048A1">
            <w:pPr>
              <w:pStyle w:val="Tabletext"/>
              <w:keepNext/>
              <w:keepLines/>
              <w:rPr>
                <w:b/>
              </w:rPr>
            </w:pPr>
            <w:r w:rsidRPr="00E75A07">
              <w:rPr>
                <w:b/>
              </w:rPr>
              <w:t>Component</w:t>
            </w:r>
          </w:p>
        </w:tc>
        <w:tc>
          <w:tcPr>
            <w:tcW w:w="781" w:type="pct"/>
            <w:vAlign w:val="center"/>
          </w:tcPr>
          <w:p w:rsidR="00B63ABB" w:rsidRPr="00E75A07" w:rsidRDefault="003A6EC4" w:rsidP="004048A1">
            <w:pPr>
              <w:pStyle w:val="Tabletext"/>
              <w:keepNext/>
              <w:keepLines/>
              <w:jc w:val="center"/>
              <w:rPr>
                <w:b/>
              </w:rPr>
            </w:pPr>
            <w:r w:rsidRPr="00E75A07">
              <w:rPr>
                <w:b/>
              </w:rPr>
              <w:t>Dysport</w:t>
            </w:r>
          </w:p>
        </w:tc>
        <w:tc>
          <w:tcPr>
            <w:tcW w:w="791" w:type="pct"/>
            <w:vAlign w:val="center"/>
          </w:tcPr>
          <w:p w:rsidR="00B63ABB" w:rsidRPr="00E75A07" w:rsidRDefault="00B63ABB" w:rsidP="004048A1">
            <w:pPr>
              <w:pStyle w:val="Tabletext"/>
              <w:keepNext/>
              <w:keepLines/>
              <w:jc w:val="center"/>
              <w:rPr>
                <w:b/>
              </w:rPr>
            </w:pPr>
            <w:r w:rsidRPr="00E75A07">
              <w:rPr>
                <w:b/>
              </w:rPr>
              <w:t>Placebo</w:t>
            </w:r>
          </w:p>
        </w:tc>
        <w:tc>
          <w:tcPr>
            <w:tcW w:w="837" w:type="pct"/>
            <w:vAlign w:val="center"/>
          </w:tcPr>
          <w:p w:rsidR="00B63ABB" w:rsidRPr="00E75A07" w:rsidRDefault="00B63ABB" w:rsidP="004048A1">
            <w:pPr>
              <w:pStyle w:val="Tabletext"/>
              <w:keepNext/>
              <w:keepLines/>
              <w:jc w:val="center"/>
              <w:rPr>
                <w:b/>
              </w:rPr>
            </w:pPr>
            <w:r w:rsidRPr="00E75A07">
              <w:rPr>
                <w:b/>
              </w:rPr>
              <w:t>Increment</w:t>
            </w:r>
          </w:p>
        </w:tc>
      </w:tr>
      <w:tr w:rsidR="00B63ABB" w:rsidRPr="00036EF7" w:rsidTr="000F57A6">
        <w:tc>
          <w:tcPr>
            <w:tcW w:w="2591" w:type="pct"/>
            <w:shd w:val="clear" w:color="auto" w:fill="auto"/>
            <w:vAlign w:val="center"/>
          </w:tcPr>
          <w:p w:rsidR="00B63ABB" w:rsidRPr="00E75A07" w:rsidRDefault="00B63ABB" w:rsidP="004048A1">
            <w:pPr>
              <w:pStyle w:val="Tabletext"/>
              <w:keepNext/>
              <w:keepLines/>
              <w:rPr>
                <w:rFonts w:ascii="Times" w:hAnsi="Times"/>
              </w:rPr>
            </w:pPr>
            <w:r w:rsidRPr="00E75A07">
              <w:t>Costs</w:t>
            </w:r>
          </w:p>
        </w:tc>
        <w:tc>
          <w:tcPr>
            <w:tcW w:w="781" w:type="pct"/>
            <w:vAlign w:val="center"/>
          </w:tcPr>
          <w:p w:rsidR="00B63ABB" w:rsidRPr="00E75A07" w:rsidRDefault="00B63ABB" w:rsidP="004048A1">
            <w:pPr>
              <w:pStyle w:val="Tabletext"/>
              <w:keepNext/>
              <w:keepLines/>
              <w:jc w:val="center"/>
              <w:rPr>
                <w:rFonts w:ascii="Times" w:hAnsi="Times"/>
              </w:rPr>
            </w:pPr>
            <w:r w:rsidRPr="00E75A07">
              <w:rPr>
                <w:iCs/>
              </w:rPr>
              <w:t>$</w:t>
            </w:r>
            <w:r w:rsidR="00926D2B">
              <w:rPr>
                <w:iCs/>
                <w:noProof/>
                <w:color w:val="000000"/>
                <w:highlight w:val="black"/>
              </w:rPr>
              <w:t>'''''''''''''''''''''</w:t>
            </w:r>
            <w:r w:rsidR="007327A2" w:rsidRPr="00E75A07">
              <w:rPr>
                <w:iCs/>
              </w:rPr>
              <w:t xml:space="preserve"> </w:t>
            </w:r>
            <w:proofErr w:type="spellStart"/>
            <w:r w:rsidR="007327A2" w:rsidRPr="00E75A07">
              <w:rPr>
                <w:iCs/>
                <w:vertAlign w:val="superscript"/>
              </w:rPr>
              <w:t>a,b</w:t>
            </w:r>
            <w:proofErr w:type="spellEnd"/>
          </w:p>
        </w:tc>
        <w:tc>
          <w:tcPr>
            <w:tcW w:w="791" w:type="pct"/>
            <w:vAlign w:val="center"/>
          </w:tcPr>
          <w:p w:rsidR="00B63ABB" w:rsidRPr="00E75A07" w:rsidRDefault="00B63ABB" w:rsidP="004048A1">
            <w:pPr>
              <w:pStyle w:val="Tabletext"/>
              <w:keepNext/>
              <w:keepLines/>
              <w:jc w:val="center"/>
              <w:rPr>
                <w:rFonts w:ascii="Times" w:hAnsi="Times"/>
              </w:rPr>
            </w:pPr>
            <w:r w:rsidRPr="00E75A07">
              <w:t>$</w:t>
            </w:r>
            <w:r w:rsidR="00926D2B">
              <w:rPr>
                <w:noProof/>
                <w:color w:val="000000"/>
                <w:highlight w:val="black"/>
              </w:rPr>
              <w:t>'''</w:t>
            </w:r>
          </w:p>
        </w:tc>
        <w:tc>
          <w:tcPr>
            <w:tcW w:w="837" w:type="pct"/>
            <w:vAlign w:val="center"/>
          </w:tcPr>
          <w:p w:rsidR="00B63ABB" w:rsidRPr="00E75A07" w:rsidRDefault="00B63ABB" w:rsidP="004048A1">
            <w:pPr>
              <w:pStyle w:val="Tabletext"/>
              <w:keepNext/>
              <w:keepLines/>
              <w:jc w:val="center"/>
              <w:rPr>
                <w:rFonts w:ascii="Times" w:hAnsi="Times"/>
              </w:rPr>
            </w:pPr>
            <w:r w:rsidRPr="00E75A07">
              <w:rPr>
                <w:iCs/>
              </w:rPr>
              <w:t>$</w:t>
            </w:r>
            <w:r w:rsidR="00926D2B">
              <w:rPr>
                <w:iCs/>
                <w:noProof/>
                <w:color w:val="000000"/>
                <w:highlight w:val="black"/>
              </w:rPr>
              <w:t>'''''''''''''''''''''</w:t>
            </w:r>
          </w:p>
        </w:tc>
      </w:tr>
      <w:tr w:rsidR="00B63ABB" w:rsidRPr="00036EF7" w:rsidTr="000F57A6">
        <w:tc>
          <w:tcPr>
            <w:tcW w:w="2591" w:type="pct"/>
            <w:shd w:val="clear" w:color="auto" w:fill="auto"/>
            <w:vAlign w:val="center"/>
          </w:tcPr>
          <w:p w:rsidR="00B63ABB" w:rsidRPr="00E75A07" w:rsidRDefault="00B63ABB" w:rsidP="004048A1">
            <w:pPr>
              <w:pStyle w:val="Tabletext"/>
              <w:keepNext/>
              <w:keepLines/>
              <w:rPr>
                <w:rFonts w:ascii="Times" w:hAnsi="Times"/>
              </w:rPr>
            </w:pPr>
            <w:r w:rsidRPr="00E75A07">
              <w:t>MAS responder (</w:t>
            </w:r>
            <w:r w:rsidRPr="00E75A07">
              <w:rPr>
                <w:b/>
                <w:szCs w:val="18"/>
              </w:rPr>
              <w:t>∆</w:t>
            </w:r>
            <w:r w:rsidR="00723DAC">
              <w:rPr>
                <w:b/>
                <w:szCs w:val="18"/>
              </w:rPr>
              <w:t xml:space="preserve"> </w:t>
            </w:r>
            <w:r w:rsidRPr="00E75A07">
              <w:t>≥</w:t>
            </w:r>
            <w:r w:rsidR="00723DAC">
              <w:t xml:space="preserve"> </w:t>
            </w:r>
            <w:r w:rsidRPr="00E75A07">
              <w:t>1) at 12 weeks</w:t>
            </w:r>
          </w:p>
        </w:tc>
        <w:tc>
          <w:tcPr>
            <w:tcW w:w="781" w:type="pct"/>
            <w:vAlign w:val="center"/>
          </w:tcPr>
          <w:p w:rsidR="00B63ABB" w:rsidRPr="00E75A07" w:rsidRDefault="00B63ABB" w:rsidP="004048A1">
            <w:pPr>
              <w:pStyle w:val="Tabletext"/>
              <w:keepNext/>
              <w:keepLines/>
              <w:jc w:val="center"/>
              <w:rPr>
                <w:rFonts w:ascii="Times" w:hAnsi="Times"/>
              </w:rPr>
            </w:pPr>
            <w:r w:rsidRPr="00E75A07">
              <w:rPr>
                <w:iCs/>
              </w:rPr>
              <w:t>0.481</w:t>
            </w:r>
          </w:p>
        </w:tc>
        <w:tc>
          <w:tcPr>
            <w:tcW w:w="791" w:type="pct"/>
            <w:vAlign w:val="center"/>
          </w:tcPr>
          <w:p w:rsidR="00B63ABB" w:rsidRPr="00E75A07" w:rsidRDefault="00B63ABB" w:rsidP="004048A1">
            <w:pPr>
              <w:pStyle w:val="Tabletext"/>
              <w:keepNext/>
              <w:keepLines/>
              <w:jc w:val="center"/>
              <w:rPr>
                <w:rFonts w:ascii="Times" w:hAnsi="Times"/>
              </w:rPr>
            </w:pPr>
            <w:r w:rsidRPr="00E75A07">
              <w:rPr>
                <w:iCs/>
              </w:rPr>
              <w:t>0.139</w:t>
            </w:r>
          </w:p>
        </w:tc>
        <w:tc>
          <w:tcPr>
            <w:tcW w:w="837" w:type="pct"/>
            <w:vAlign w:val="center"/>
          </w:tcPr>
          <w:p w:rsidR="00B63ABB" w:rsidRPr="00E75A07" w:rsidRDefault="00B63ABB" w:rsidP="004048A1">
            <w:pPr>
              <w:pStyle w:val="Tabletext"/>
              <w:keepNext/>
              <w:keepLines/>
              <w:jc w:val="center"/>
            </w:pPr>
            <w:r w:rsidRPr="00E75A07">
              <w:rPr>
                <w:iCs/>
              </w:rPr>
              <w:t>0.34</w:t>
            </w:r>
            <w:r w:rsidR="00E95BB8" w:rsidRPr="00E75A07">
              <w:rPr>
                <w:iCs/>
              </w:rPr>
              <w:t>2</w:t>
            </w:r>
            <w:r w:rsidR="00804302" w:rsidRPr="00E75A07">
              <w:rPr>
                <w:iCs/>
                <w:vertAlign w:val="superscript"/>
              </w:rPr>
              <w:t>c</w:t>
            </w:r>
          </w:p>
        </w:tc>
      </w:tr>
      <w:tr w:rsidR="00B63ABB" w:rsidRPr="00217228" w:rsidTr="00EB1C71">
        <w:trPr>
          <w:trHeight w:val="58"/>
        </w:trPr>
        <w:tc>
          <w:tcPr>
            <w:tcW w:w="4163" w:type="pct"/>
            <w:gridSpan w:val="3"/>
            <w:shd w:val="clear" w:color="auto" w:fill="auto"/>
            <w:vAlign w:val="center"/>
          </w:tcPr>
          <w:p w:rsidR="00B63ABB" w:rsidRPr="00E75A07" w:rsidRDefault="00B63ABB" w:rsidP="004048A1">
            <w:pPr>
              <w:pStyle w:val="Tabletext"/>
              <w:keepNext/>
              <w:keepLines/>
              <w:rPr>
                <w:rFonts w:ascii="Times" w:hAnsi="Times"/>
                <w:b/>
              </w:rPr>
            </w:pPr>
            <w:r w:rsidRPr="00E75A07">
              <w:rPr>
                <w:b/>
              </w:rPr>
              <w:t>Incremental cost/extra MAS responder (</w:t>
            </w:r>
            <w:r w:rsidRPr="00E75A07">
              <w:rPr>
                <w:b/>
                <w:szCs w:val="18"/>
              </w:rPr>
              <w:t>∆</w:t>
            </w:r>
            <w:r w:rsidR="00723DAC">
              <w:rPr>
                <w:b/>
                <w:szCs w:val="18"/>
              </w:rPr>
              <w:t xml:space="preserve"> </w:t>
            </w:r>
            <w:r w:rsidRPr="00E75A07">
              <w:rPr>
                <w:b/>
              </w:rPr>
              <w:t>≥</w:t>
            </w:r>
            <w:r w:rsidR="00723DAC">
              <w:rPr>
                <w:b/>
              </w:rPr>
              <w:t xml:space="preserve"> </w:t>
            </w:r>
            <w:r w:rsidRPr="00E75A07">
              <w:rPr>
                <w:b/>
              </w:rPr>
              <w:t>1) at 12 weeks</w:t>
            </w:r>
          </w:p>
        </w:tc>
        <w:tc>
          <w:tcPr>
            <w:tcW w:w="837" w:type="pct"/>
            <w:shd w:val="clear" w:color="auto" w:fill="auto"/>
            <w:vAlign w:val="center"/>
          </w:tcPr>
          <w:p w:rsidR="00B63ABB" w:rsidRPr="00E75A07" w:rsidRDefault="00B63ABB" w:rsidP="004048A1">
            <w:pPr>
              <w:pStyle w:val="Tabletext"/>
              <w:keepNext/>
              <w:keepLines/>
              <w:jc w:val="center"/>
              <w:rPr>
                <w:rFonts w:ascii="Times" w:hAnsi="Times"/>
                <w:b/>
                <w:bCs/>
                <w:iCs/>
              </w:rPr>
            </w:pPr>
            <w:r w:rsidRPr="00E75A07">
              <w:rPr>
                <w:b/>
                <w:bCs/>
                <w:iCs/>
              </w:rPr>
              <w:t>$</w:t>
            </w:r>
            <w:r w:rsidR="00926D2B">
              <w:rPr>
                <w:b/>
                <w:bCs/>
                <w:iCs/>
                <w:noProof/>
                <w:color w:val="000000"/>
                <w:highlight w:val="black"/>
              </w:rPr>
              <w:t>'''''''''''''''</w:t>
            </w:r>
          </w:p>
        </w:tc>
      </w:tr>
      <w:tr w:rsidR="00555181" w:rsidRPr="00217228" w:rsidTr="00555181">
        <w:tc>
          <w:tcPr>
            <w:tcW w:w="5000" w:type="pct"/>
            <w:gridSpan w:val="4"/>
            <w:shd w:val="clear" w:color="auto" w:fill="auto"/>
            <w:vAlign w:val="center"/>
          </w:tcPr>
          <w:p w:rsidR="00555181" w:rsidRPr="00E75A07" w:rsidRDefault="00555181" w:rsidP="004048A1">
            <w:pPr>
              <w:pStyle w:val="Tabletext"/>
              <w:keepNext/>
              <w:keepLines/>
              <w:rPr>
                <w:b/>
              </w:rPr>
            </w:pPr>
            <w:r w:rsidRPr="00E75A07">
              <w:rPr>
                <w:b/>
              </w:rPr>
              <w:t>Sensitivity analyses</w:t>
            </w:r>
          </w:p>
        </w:tc>
      </w:tr>
      <w:tr w:rsidR="00B63ABB" w:rsidRPr="00036EF7" w:rsidTr="000F57A6">
        <w:tc>
          <w:tcPr>
            <w:tcW w:w="2591" w:type="pct"/>
            <w:shd w:val="clear" w:color="auto" w:fill="auto"/>
            <w:vAlign w:val="center"/>
          </w:tcPr>
          <w:p w:rsidR="00B63ABB" w:rsidRPr="00E75A07" w:rsidRDefault="00B63ABB" w:rsidP="004048A1">
            <w:pPr>
              <w:pStyle w:val="Tabletext"/>
              <w:keepNext/>
              <w:keepLines/>
              <w:rPr>
                <w:rFonts w:ascii="Times" w:hAnsi="Times"/>
              </w:rPr>
            </w:pPr>
            <w:r w:rsidRPr="00E75A07">
              <w:t>MAS responder (</w:t>
            </w:r>
            <w:r w:rsidRPr="00E75A07">
              <w:rPr>
                <w:b/>
                <w:szCs w:val="18"/>
              </w:rPr>
              <w:t>∆</w:t>
            </w:r>
            <w:r w:rsidR="00723DAC">
              <w:rPr>
                <w:b/>
                <w:szCs w:val="18"/>
              </w:rPr>
              <w:t xml:space="preserve"> </w:t>
            </w:r>
            <w:r w:rsidRPr="00E75A07">
              <w:t>≥</w:t>
            </w:r>
            <w:r w:rsidR="00723DAC">
              <w:t xml:space="preserve"> </w:t>
            </w:r>
            <w:r w:rsidRPr="00E75A07">
              <w:t xml:space="preserve">1) at </w:t>
            </w:r>
            <w:r w:rsidR="00DE0567" w:rsidRPr="00E75A07">
              <w:t>4</w:t>
            </w:r>
            <w:r w:rsidRPr="00E75A07">
              <w:t xml:space="preserve"> weeks</w:t>
            </w:r>
          </w:p>
        </w:tc>
        <w:tc>
          <w:tcPr>
            <w:tcW w:w="781" w:type="pct"/>
            <w:shd w:val="clear" w:color="auto" w:fill="auto"/>
            <w:vAlign w:val="center"/>
          </w:tcPr>
          <w:p w:rsidR="00B63ABB" w:rsidRPr="00E75A07" w:rsidRDefault="00B63ABB" w:rsidP="004048A1">
            <w:pPr>
              <w:pStyle w:val="Tabletext"/>
              <w:keepNext/>
              <w:keepLines/>
              <w:jc w:val="center"/>
              <w:rPr>
                <w:rFonts w:ascii="Times" w:hAnsi="Times"/>
              </w:rPr>
            </w:pPr>
            <w:r w:rsidRPr="00E75A07">
              <w:t>0.785</w:t>
            </w:r>
          </w:p>
        </w:tc>
        <w:tc>
          <w:tcPr>
            <w:tcW w:w="791" w:type="pct"/>
            <w:shd w:val="clear" w:color="auto" w:fill="auto"/>
            <w:vAlign w:val="center"/>
          </w:tcPr>
          <w:p w:rsidR="00B63ABB" w:rsidRPr="00E75A07" w:rsidRDefault="00B63ABB" w:rsidP="004048A1">
            <w:pPr>
              <w:pStyle w:val="Tabletext"/>
              <w:keepNext/>
              <w:keepLines/>
              <w:jc w:val="center"/>
              <w:rPr>
                <w:rFonts w:ascii="Times" w:hAnsi="Times"/>
              </w:rPr>
            </w:pPr>
            <w:r w:rsidRPr="00E75A07">
              <w:t>0.228</w:t>
            </w:r>
          </w:p>
        </w:tc>
        <w:tc>
          <w:tcPr>
            <w:tcW w:w="837" w:type="pct"/>
            <w:vAlign w:val="center"/>
          </w:tcPr>
          <w:p w:rsidR="00B63ABB" w:rsidRPr="00E75A07" w:rsidRDefault="00B63ABB" w:rsidP="004048A1">
            <w:pPr>
              <w:pStyle w:val="Tabletext"/>
              <w:keepNext/>
              <w:keepLines/>
              <w:jc w:val="center"/>
            </w:pPr>
            <w:r w:rsidRPr="00E75A07">
              <w:t>0.557</w:t>
            </w:r>
          </w:p>
        </w:tc>
      </w:tr>
      <w:tr w:rsidR="00B63ABB" w:rsidRPr="00036EF7" w:rsidTr="00036EF7">
        <w:tc>
          <w:tcPr>
            <w:tcW w:w="4163" w:type="pct"/>
            <w:gridSpan w:val="3"/>
            <w:shd w:val="clear" w:color="auto" w:fill="auto"/>
            <w:vAlign w:val="center"/>
          </w:tcPr>
          <w:p w:rsidR="00B63ABB" w:rsidRPr="00E75A07" w:rsidRDefault="00B63ABB" w:rsidP="004048A1">
            <w:pPr>
              <w:pStyle w:val="Tabletext"/>
              <w:keepNext/>
              <w:keepLines/>
              <w:rPr>
                <w:rFonts w:ascii="Times" w:hAnsi="Times"/>
              </w:rPr>
            </w:pPr>
            <w:r w:rsidRPr="00E75A07">
              <w:t>Incremental cost/extra MAS responder (</w:t>
            </w:r>
            <w:r w:rsidRPr="00E75A07">
              <w:rPr>
                <w:b/>
                <w:szCs w:val="18"/>
              </w:rPr>
              <w:t>∆</w:t>
            </w:r>
            <w:r w:rsidR="00183DF2">
              <w:rPr>
                <w:b/>
                <w:szCs w:val="18"/>
              </w:rPr>
              <w:t xml:space="preserve"> </w:t>
            </w:r>
            <w:r w:rsidRPr="00E75A07">
              <w:t>≥</w:t>
            </w:r>
            <w:r w:rsidR="00183DF2">
              <w:t xml:space="preserve"> </w:t>
            </w:r>
            <w:r w:rsidRPr="00E75A07">
              <w:t xml:space="preserve">1) at </w:t>
            </w:r>
            <w:r w:rsidR="00DE0567" w:rsidRPr="00E75A07">
              <w:t>4</w:t>
            </w:r>
            <w:r w:rsidRPr="00E75A07">
              <w:t xml:space="preserve"> weeks</w:t>
            </w:r>
          </w:p>
        </w:tc>
        <w:tc>
          <w:tcPr>
            <w:tcW w:w="837" w:type="pct"/>
            <w:shd w:val="clear" w:color="auto" w:fill="auto"/>
            <w:vAlign w:val="center"/>
          </w:tcPr>
          <w:p w:rsidR="00B63ABB" w:rsidRPr="00E75A07" w:rsidRDefault="00B63ABB" w:rsidP="004048A1">
            <w:pPr>
              <w:pStyle w:val="Tabletext"/>
              <w:keepNext/>
              <w:keepLines/>
              <w:jc w:val="center"/>
              <w:rPr>
                <w:rFonts w:ascii="Times" w:hAnsi="Times"/>
                <w:bCs/>
                <w:iCs/>
              </w:rPr>
            </w:pPr>
            <w:r w:rsidRPr="00E75A07">
              <w:rPr>
                <w:bCs/>
                <w:iCs/>
              </w:rPr>
              <w:t>$</w:t>
            </w:r>
            <w:r w:rsidR="00926D2B">
              <w:rPr>
                <w:bCs/>
                <w:iCs/>
                <w:noProof/>
                <w:color w:val="000000"/>
                <w:highlight w:val="black"/>
              </w:rPr>
              <w:t>''''''''''''</w:t>
            </w:r>
          </w:p>
        </w:tc>
      </w:tr>
      <w:tr w:rsidR="00036EF7" w:rsidRPr="00036EF7" w:rsidTr="000F57A6">
        <w:tc>
          <w:tcPr>
            <w:tcW w:w="2591" w:type="pct"/>
            <w:shd w:val="clear" w:color="auto" w:fill="auto"/>
            <w:vAlign w:val="center"/>
          </w:tcPr>
          <w:p w:rsidR="00036EF7" w:rsidRPr="00E75A07" w:rsidRDefault="00036EF7" w:rsidP="004048A1">
            <w:pPr>
              <w:pStyle w:val="Tabletext"/>
              <w:keepNext/>
              <w:keepLines/>
              <w:rPr>
                <w:rFonts w:ascii="Times" w:hAnsi="Times"/>
              </w:rPr>
            </w:pPr>
            <w:r w:rsidRPr="00E75A07">
              <w:t>MAS responder (</w:t>
            </w:r>
            <w:r w:rsidRPr="00E75A07">
              <w:rPr>
                <w:b/>
                <w:szCs w:val="18"/>
              </w:rPr>
              <w:t>∆</w:t>
            </w:r>
            <w:r w:rsidR="00723DAC">
              <w:rPr>
                <w:b/>
                <w:szCs w:val="18"/>
              </w:rPr>
              <w:t xml:space="preserve"> </w:t>
            </w:r>
            <w:r w:rsidRPr="00E75A07">
              <w:t>≥</w:t>
            </w:r>
            <w:r w:rsidR="00723DAC">
              <w:t xml:space="preserve"> </w:t>
            </w:r>
            <w:r w:rsidRPr="00E75A07">
              <w:t>2) at 12 weeks</w:t>
            </w:r>
          </w:p>
        </w:tc>
        <w:tc>
          <w:tcPr>
            <w:tcW w:w="781" w:type="pct"/>
            <w:shd w:val="clear" w:color="auto" w:fill="auto"/>
            <w:vAlign w:val="center"/>
          </w:tcPr>
          <w:p w:rsidR="00036EF7" w:rsidRPr="00E75A07" w:rsidRDefault="00036EF7" w:rsidP="004048A1">
            <w:pPr>
              <w:pStyle w:val="Tabletext"/>
              <w:keepNext/>
              <w:keepLines/>
              <w:jc w:val="center"/>
              <w:rPr>
                <w:rFonts w:ascii="Times" w:hAnsi="Times"/>
              </w:rPr>
            </w:pPr>
            <w:r w:rsidRPr="00E75A07">
              <w:t>0.177</w:t>
            </w:r>
          </w:p>
        </w:tc>
        <w:tc>
          <w:tcPr>
            <w:tcW w:w="791" w:type="pct"/>
            <w:shd w:val="clear" w:color="auto" w:fill="auto"/>
            <w:vAlign w:val="center"/>
          </w:tcPr>
          <w:p w:rsidR="00036EF7" w:rsidRPr="00E75A07" w:rsidRDefault="00036EF7" w:rsidP="004048A1">
            <w:pPr>
              <w:pStyle w:val="Tabletext"/>
              <w:keepNext/>
              <w:keepLines/>
              <w:jc w:val="center"/>
              <w:rPr>
                <w:rFonts w:ascii="Times" w:hAnsi="Times"/>
              </w:rPr>
            </w:pPr>
            <w:r w:rsidRPr="00E75A07">
              <w:t>0.038</w:t>
            </w:r>
          </w:p>
        </w:tc>
        <w:tc>
          <w:tcPr>
            <w:tcW w:w="837" w:type="pct"/>
            <w:vAlign w:val="center"/>
          </w:tcPr>
          <w:p w:rsidR="00036EF7" w:rsidRPr="00E75A07" w:rsidRDefault="00036EF7" w:rsidP="004048A1">
            <w:pPr>
              <w:pStyle w:val="Tabletext"/>
              <w:keepNext/>
              <w:keepLines/>
              <w:jc w:val="center"/>
            </w:pPr>
            <w:r w:rsidRPr="00E75A07">
              <w:t>0.139</w:t>
            </w:r>
          </w:p>
        </w:tc>
      </w:tr>
      <w:tr w:rsidR="00036EF7" w:rsidRPr="00036EF7" w:rsidTr="00036EF7">
        <w:tc>
          <w:tcPr>
            <w:tcW w:w="4163" w:type="pct"/>
            <w:gridSpan w:val="3"/>
            <w:shd w:val="clear" w:color="auto" w:fill="auto"/>
            <w:vAlign w:val="center"/>
          </w:tcPr>
          <w:p w:rsidR="00036EF7" w:rsidRPr="00E75A07" w:rsidRDefault="00036EF7" w:rsidP="004048A1">
            <w:pPr>
              <w:pStyle w:val="Tabletext"/>
              <w:keepNext/>
              <w:keepLines/>
            </w:pPr>
            <w:r w:rsidRPr="00E75A07">
              <w:t>Incremental cost/extra MAS responder (</w:t>
            </w:r>
            <w:r w:rsidRPr="00E75A07">
              <w:rPr>
                <w:b/>
                <w:szCs w:val="18"/>
              </w:rPr>
              <w:t>∆</w:t>
            </w:r>
            <w:r w:rsidR="00183DF2">
              <w:rPr>
                <w:b/>
                <w:szCs w:val="18"/>
              </w:rPr>
              <w:t xml:space="preserve"> </w:t>
            </w:r>
            <w:r w:rsidRPr="00E75A07">
              <w:t>≥</w:t>
            </w:r>
            <w:r w:rsidR="00183DF2">
              <w:t xml:space="preserve"> </w:t>
            </w:r>
            <w:r w:rsidRPr="00E75A07">
              <w:t>2) at 12 weeks</w:t>
            </w:r>
          </w:p>
        </w:tc>
        <w:tc>
          <w:tcPr>
            <w:tcW w:w="837" w:type="pct"/>
            <w:shd w:val="clear" w:color="auto" w:fill="auto"/>
            <w:vAlign w:val="center"/>
          </w:tcPr>
          <w:p w:rsidR="00036EF7" w:rsidRPr="00E75A07" w:rsidRDefault="00036EF7" w:rsidP="004048A1">
            <w:pPr>
              <w:pStyle w:val="Tabletext"/>
              <w:keepNext/>
              <w:keepLines/>
              <w:jc w:val="center"/>
              <w:rPr>
                <w:bCs/>
                <w:iCs/>
              </w:rPr>
            </w:pPr>
            <w:r w:rsidRPr="00E75A07">
              <w:rPr>
                <w:bCs/>
                <w:iCs/>
              </w:rPr>
              <w:t>$</w:t>
            </w:r>
            <w:r w:rsidR="00926D2B">
              <w:rPr>
                <w:bCs/>
                <w:iCs/>
                <w:noProof/>
                <w:color w:val="000000"/>
                <w:highlight w:val="black"/>
              </w:rPr>
              <w:t>''''''''''''''''</w:t>
            </w:r>
          </w:p>
        </w:tc>
      </w:tr>
    </w:tbl>
    <w:p w:rsidR="007327A2" w:rsidRPr="00E75A07" w:rsidRDefault="007327A2" w:rsidP="009F0049">
      <w:pPr>
        <w:pStyle w:val="TableFooter"/>
        <w:widowControl/>
        <w:rPr>
          <w:iCs/>
        </w:rPr>
      </w:pPr>
      <w:r w:rsidRPr="00E75A07">
        <w:rPr>
          <w:iCs/>
          <w:vertAlign w:val="superscript"/>
        </w:rPr>
        <w:t>a</w:t>
      </w:r>
      <w:r w:rsidRPr="00E75A07">
        <w:rPr>
          <w:iCs/>
          <w:vertAlign w:val="superscript"/>
        </w:rPr>
        <w:tab/>
      </w:r>
      <w:r w:rsidRPr="00E75A07">
        <w:rPr>
          <w:iCs/>
        </w:rPr>
        <w:t>The DPMQ of $</w:t>
      </w:r>
      <w:r w:rsidRPr="00A6285F">
        <w:rPr>
          <w:iCs/>
        </w:rPr>
        <w:t>1,094.79</w:t>
      </w:r>
      <w:r w:rsidRPr="00E75A07">
        <w:rPr>
          <w:iCs/>
        </w:rPr>
        <w:t xml:space="preserve"> for the Dysport® 500 unit (2</w:t>
      </w:r>
      <w:r w:rsidR="00CC3CDF" w:rsidRPr="00E75A07">
        <w:rPr>
          <w:iCs/>
        </w:rPr>
        <w:t xml:space="preserve"> vials</w:t>
      </w:r>
      <w:r w:rsidRPr="00E75A07">
        <w:rPr>
          <w:iCs/>
        </w:rPr>
        <w:t>) preparation estimated during the evaluation using the requested AEMP of $</w:t>
      </w:r>
      <w:r w:rsidRPr="00A6285F">
        <w:rPr>
          <w:iCs/>
        </w:rPr>
        <w:t>523.75</w:t>
      </w:r>
      <w:r w:rsidRPr="00E75A07">
        <w:rPr>
          <w:iCs/>
        </w:rPr>
        <w:t xml:space="preserve"> per vial was used.</w:t>
      </w:r>
      <w:r w:rsidR="00642FE1" w:rsidRPr="00E75A07">
        <w:rPr>
          <w:iCs/>
        </w:rPr>
        <w:t xml:space="preserve"> </w:t>
      </w:r>
      <w:r w:rsidRPr="00E75A07">
        <w:rPr>
          <w:iCs/>
        </w:rPr>
        <w:t>This corresponds to the price in the July 2018 PBS schedule for the current post-stroke spasticity listing.</w:t>
      </w:r>
    </w:p>
    <w:p w:rsidR="007327A2" w:rsidRPr="00E75A07" w:rsidRDefault="007327A2" w:rsidP="009F0049">
      <w:pPr>
        <w:pStyle w:val="TableFooter"/>
        <w:widowControl/>
        <w:rPr>
          <w:iCs/>
        </w:rPr>
      </w:pPr>
      <w:r w:rsidRPr="00E75A07">
        <w:rPr>
          <w:iCs/>
          <w:vertAlign w:val="superscript"/>
        </w:rPr>
        <w:t>b</w:t>
      </w:r>
      <w:r w:rsidRPr="00E75A07">
        <w:rPr>
          <w:iCs/>
        </w:rPr>
        <w:tab/>
        <w:t>The submission applied a</w:t>
      </w:r>
      <w:r w:rsidR="002B57D8" w:rsidRPr="00E75A07">
        <w:rPr>
          <w:iCs/>
        </w:rPr>
        <w:t>n administration cost of $124.9</w:t>
      </w:r>
      <w:r w:rsidRPr="00E75A07">
        <w:rPr>
          <w:iCs/>
        </w:rPr>
        <w:t>5 for MBS item number 18360 for patients receiving Botox®</w:t>
      </w:r>
      <w:r w:rsidR="002B57D8" w:rsidRPr="00E75A07">
        <w:rPr>
          <w:iCs/>
        </w:rPr>
        <w:t xml:space="preserve"> for spasticity.</w:t>
      </w:r>
      <w:r w:rsidR="00642FE1" w:rsidRPr="00E75A07">
        <w:rPr>
          <w:iCs/>
        </w:rPr>
        <w:t xml:space="preserve"> </w:t>
      </w:r>
      <w:r w:rsidRPr="00E75A07">
        <w:rPr>
          <w:iCs/>
        </w:rPr>
        <w:t>The correct cost of $124.85</w:t>
      </w:r>
      <w:r w:rsidR="00CA511C" w:rsidRPr="00E75A07">
        <w:rPr>
          <w:iCs/>
        </w:rPr>
        <w:t xml:space="preserve"> was</w:t>
      </w:r>
      <w:r w:rsidR="002B57D8" w:rsidRPr="00E75A07">
        <w:rPr>
          <w:iCs/>
        </w:rPr>
        <w:t xml:space="preserve"> used</w:t>
      </w:r>
      <w:r w:rsidR="00CA511C" w:rsidRPr="00E75A07">
        <w:rPr>
          <w:iCs/>
        </w:rPr>
        <w:t xml:space="preserve"> in the evaluation</w:t>
      </w:r>
      <w:r w:rsidR="002B57D8" w:rsidRPr="00E75A07">
        <w:rPr>
          <w:iCs/>
        </w:rPr>
        <w:t>.</w:t>
      </w:r>
    </w:p>
    <w:p w:rsidR="00804302" w:rsidRPr="00E75A07" w:rsidRDefault="00804302" w:rsidP="009F0049">
      <w:pPr>
        <w:pStyle w:val="TableFooter"/>
        <w:widowControl/>
        <w:rPr>
          <w:iCs/>
        </w:rPr>
      </w:pPr>
      <w:proofErr w:type="gramStart"/>
      <w:r w:rsidRPr="00E75A07">
        <w:rPr>
          <w:iCs/>
          <w:vertAlign w:val="superscript"/>
        </w:rPr>
        <w:t>c</w:t>
      </w:r>
      <w:proofErr w:type="gramEnd"/>
      <w:r w:rsidRPr="00E75A07">
        <w:rPr>
          <w:iCs/>
          <w:vertAlign w:val="superscript"/>
        </w:rPr>
        <w:tab/>
      </w:r>
      <w:r w:rsidRPr="00E75A07">
        <w:rPr>
          <w:iCs/>
        </w:rPr>
        <w:t>In the submission, the risk differences have been calculated using the numbers of patients evaluated at Week 12.</w:t>
      </w:r>
      <w:r w:rsidR="00642FE1" w:rsidRPr="00E75A07">
        <w:rPr>
          <w:iCs/>
        </w:rPr>
        <w:t xml:space="preserve"> </w:t>
      </w:r>
      <w:r w:rsidRPr="00E75A07">
        <w:rPr>
          <w:iCs/>
        </w:rPr>
        <w:t>The risk differences have been recalculated using the “ITT” patient numbers as denominators in the evaluation.</w:t>
      </w:r>
    </w:p>
    <w:p w:rsidR="00B63ABB" w:rsidRPr="00E75A07" w:rsidRDefault="00B63ABB" w:rsidP="009F0049">
      <w:pPr>
        <w:pStyle w:val="TableFooter"/>
        <w:widowControl/>
        <w:rPr>
          <w:iCs/>
        </w:rPr>
      </w:pPr>
      <w:r w:rsidRPr="00E75A07">
        <w:rPr>
          <w:iCs/>
        </w:rPr>
        <w:t>Source: constructed during the evaluation.</w:t>
      </w:r>
    </w:p>
    <w:p w:rsidR="00877905" w:rsidRPr="00A53E38" w:rsidRDefault="00A53E38" w:rsidP="00A53E38">
      <w:pPr>
        <w:pStyle w:val="TableFooter"/>
        <w:widowControl/>
        <w:spacing w:before="120" w:after="120"/>
        <w:rPr>
          <w:rFonts w:asciiTheme="minorHAnsi" w:hAnsiTheme="minorHAnsi" w:cstheme="minorHAnsi"/>
          <w:iCs/>
          <w:sz w:val="24"/>
          <w:szCs w:val="24"/>
        </w:rPr>
      </w:pPr>
      <w:r>
        <w:rPr>
          <w:rFonts w:asciiTheme="minorHAnsi" w:hAnsiTheme="minorHAnsi" w:cstheme="minorHAnsi"/>
          <w:iCs/>
          <w:sz w:val="24"/>
          <w:szCs w:val="24"/>
        </w:rPr>
        <w:lastRenderedPageBreak/>
        <w:t>The redacted table shows ICERs in the range of less than $15,000 per extra MAS responder to $15,000 - $45,000 per extra MAS responder.</w:t>
      </w:r>
    </w:p>
    <w:p w:rsidR="00F871D9" w:rsidRPr="00E75A07" w:rsidRDefault="00F871D9" w:rsidP="009F0049">
      <w:pPr>
        <w:pStyle w:val="ListParagraph"/>
        <w:widowControl/>
        <w:numPr>
          <w:ilvl w:val="1"/>
          <w:numId w:val="1"/>
        </w:numPr>
      </w:pPr>
      <w:r w:rsidRPr="00E75A07">
        <w:t>The PSCR</w:t>
      </w:r>
      <w:r w:rsidR="00217228" w:rsidRPr="00E75A07">
        <w:t xml:space="preserve"> </w:t>
      </w:r>
      <w:r w:rsidRPr="00E75A07">
        <w:t>provided re-estimated cost-effectiveness calculations</w:t>
      </w:r>
      <w:r w:rsidR="00723DAC">
        <w:t xml:space="preserve"> which were</w:t>
      </w:r>
      <w:r w:rsidRPr="00E75A07">
        <w:t xml:space="preserve"> based on the histo</w:t>
      </w:r>
      <w:r w:rsidR="00146A7B" w:rsidRPr="00E75A07">
        <w:t xml:space="preserve">rical </w:t>
      </w:r>
      <w:r w:rsidR="00723DAC">
        <w:t xml:space="preserve">MAS </w:t>
      </w:r>
      <w:r w:rsidR="00146A7B" w:rsidRPr="00E75A07">
        <w:t>coding</w:t>
      </w:r>
      <w:r w:rsidR="00217228" w:rsidRPr="00E75A07">
        <w:t xml:space="preserve"> convention</w:t>
      </w:r>
      <w:r w:rsidR="00723DAC">
        <w:t xml:space="preserve"> and </w:t>
      </w:r>
      <w:r w:rsidR="00146A7B" w:rsidRPr="00E75A07">
        <w:t>in which a respon</w:t>
      </w:r>
      <w:r w:rsidR="00723DAC">
        <w:t xml:space="preserve">se </w:t>
      </w:r>
      <w:r w:rsidRPr="00E75A07">
        <w:t>was defined as a cha</w:t>
      </w:r>
      <w:r w:rsidR="00146A7B" w:rsidRPr="00E75A07">
        <w:t>n</w:t>
      </w:r>
      <w:r w:rsidRPr="00E75A07">
        <w:t>ge in MAS of greater than 1 (see Table</w:t>
      </w:r>
      <w:r w:rsidR="009068DB" w:rsidRPr="00E75A07">
        <w:t>s</w:t>
      </w:r>
      <w:r w:rsidRPr="00E75A07">
        <w:t xml:space="preserve"> 1</w:t>
      </w:r>
      <w:r w:rsidR="009F0049" w:rsidRPr="00E75A07">
        <w:t>3</w:t>
      </w:r>
      <w:r w:rsidR="009068DB" w:rsidRPr="00E75A07">
        <w:t xml:space="preserve"> and 1</w:t>
      </w:r>
      <w:r w:rsidR="009F0049" w:rsidRPr="00E75A07">
        <w:t>4</w:t>
      </w:r>
      <w:r w:rsidRPr="00E75A07">
        <w:t>)</w:t>
      </w:r>
      <w:r w:rsidR="00B36193">
        <w:t>, which was consistent with the November 2007 submission</w:t>
      </w:r>
      <w:r w:rsidRPr="00E75A07">
        <w:t xml:space="preserve">. These analyses </w:t>
      </w:r>
      <w:r w:rsidR="00400C35">
        <w:t>indicated</w:t>
      </w:r>
      <w:r w:rsidR="00400C35" w:rsidRPr="00E75A07">
        <w:t xml:space="preserve"> </w:t>
      </w:r>
      <w:r w:rsidRPr="00E75A07">
        <w:t xml:space="preserve">that 70.9% of patients did not </w:t>
      </w:r>
      <w:r w:rsidR="00400C35">
        <w:t xml:space="preserve">respond to either of the first two treatment cycles (MAS &gt; 1), </w:t>
      </w:r>
      <w:r w:rsidRPr="00E75A07">
        <w:t xml:space="preserve">and the response rate </w:t>
      </w:r>
      <w:r w:rsidR="00555181" w:rsidRPr="00E75A07">
        <w:t>(as per Table 7</w:t>
      </w:r>
      <w:r w:rsidR="00217228" w:rsidRPr="00E75A07">
        <w:t xml:space="preserve"> above</w:t>
      </w:r>
      <w:r w:rsidR="00555181" w:rsidRPr="00E75A07">
        <w:t xml:space="preserve">) </w:t>
      </w:r>
      <w:r w:rsidRPr="00E75A07">
        <w:t>was estimated to be 13.1% (95% CI: 3.5, 22.7)</w:t>
      </w:r>
      <w:r w:rsidR="00400C35">
        <w:t>.</w:t>
      </w:r>
    </w:p>
    <w:p w:rsidR="00877905" w:rsidRPr="00877905" w:rsidRDefault="00877905" w:rsidP="009F0049">
      <w:pPr>
        <w:pStyle w:val="TableHeading0"/>
      </w:pPr>
      <w:bookmarkStart w:id="31" w:name="_Ref526510017"/>
      <w:r>
        <w:t>Table</w:t>
      </w:r>
      <w:bookmarkEnd w:id="31"/>
      <w:r w:rsidR="003845DC">
        <w:t xml:space="preserve"> 1</w:t>
      </w:r>
      <w:r w:rsidR="003E3C88">
        <w:t>3</w:t>
      </w:r>
      <w:r w:rsidRPr="00877905">
        <w:t xml:space="preserve">: </w:t>
      </w:r>
      <w:r>
        <w:t>R</w:t>
      </w:r>
      <w:r w:rsidR="00660CAD">
        <w:t xml:space="preserve">e-estimated </w:t>
      </w:r>
      <w:r w:rsidR="00280A5B">
        <w:t xml:space="preserve">inputs for cost per responder analysis </w:t>
      </w:r>
    </w:p>
    <w:tbl>
      <w:tblPr>
        <w:tblStyle w:val="TableGrid"/>
        <w:tblW w:w="4942" w:type="pct"/>
        <w:tblInd w:w="108" w:type="dxa"/>
        <w:tblLook w:val="04A0" w:firstRow="1" w:lastRow="0" w:firstColumn="1" w:lastColumn="0" w:noHBand="0" w:noVBand="1"/>
        <w:tblCaption w:val="Re-estimated inputs for cost per responder analysis "/>
      </w:tblPr>
      <w:tblGrid>
        <w:gridCol w:w="3734"/>
        <w:gridCol w:w="1107"/>
        <w:gridCol w:w="4071"/>
      </w:tblGrid>
      <w:tr w:rsidR="0005452D" w:rsidRPr="00E75A07" w:rsidTr="00DF2EBD">
        <w:trPr>
          <w:cantSplit/>
          <w:tblHeader/>
        </w:trPr>
        <w:tc>
          <w:tcPr>
            <w:tcW w:w="2095"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Average number of treatment cycles</w:t>
            </w:r>
          </w:p>
        </w:tc>
        <w:tc>
          <w:tcPr>
            <w:tcW w:w="621"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3.86</w:t>
            </w:r>
          </w:p>
        </w:tc>
        <w:tc>
          <w:tcPr>
            <w:tcW w:w="2284" w:type="pct"/>
          </w:tcPr>
          <w:p w:rsidR="0005452D" w:rsidRPr="00E75A07" w:rsidRDefault="00903AA1" w:rsidP="009F0049">
            <w:pPr>
              <w:pStyle w:val="TableFooter"/>
              <w:keepNext/>
              <w:widowControl/>
              <w:jc w:val="left"/>
              <w:rPr>
                <w:rStyle w:val="CommentReference"/>
                <w:b w:val="0"/>
                <w:iCs/>
              </w:rPr>
            </w:pPr>
            <w:r w:rsidRPr="00E75A07">
              <w:rPr>
                <w:rStyle w:val="CommentReference"/>
                <w:b w:val="0"/>
                <w:iCs/>
              </w:rPr>
              <w:t>Study 148</w:t>
            </w:r>
          </w:p>
        </w:tc>
      </w:tr>
      <w:tr w:rsidR="0005452D" w:rsidRPr="00E75A07" w:rsidTr="00D106C4">
        <w:tc>
          <w:tcPr>
            <w:tcW w:w="2095"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Total received before stopping rule applied</w:t>
            </w:r>
          </w:p>
        </w:tc>
        <w:tc>
          <w:tcPr>
            <w:tcW w:w="621"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2</w:t>
            </w:r>
          </w:p>
        </w:tc>
        <w:tc>
          <w:tcPr>
            <w:tcW w:w="2284" w:type="pct"/>
          </w:tcPr>
          <w:p w:rsidR="0005452D" w:rsidRPr="00E75A07" w:rsidRDefault="00903AA1" w:rsidP="009F0049">
            <w:pPr>
              <w:pStyle w:val="TableFooter"/>
              <w:keepNext/>
              <w:widowControl/>
              <w:jc w:val="left"/>
              <w:rPr>
                <w:rStyle w:val="CommentReference"/>
                <w:b w:val="0"/>
                <w:iCs/>
              </w:rPr>
            </w:pPr>
            <w:r w:rsidRPr="00E75A07">
              <w:rPr>
                <w:rStyle w:val="CommentReference"/>
                <w:b w:val="0"/>
                <w:iCs/>
              </w:rPr>
              <w:t>Proposed PBS restriction</w:t>
            </w:r>
          </w:p>
        </w:tc>
      </w:tr>
      <w:tr w:rsidR="0005452D" w:rsidRPr="00E75A07" w:rsidTr="00D106C4">
        <w:tc>
          <w:tcPr>
            <w:tcW w:w="2095"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Average number of cycles to be adjusted</w:t>
            </w:r>
          </w:p>
        </w:tc>
        <w:tc>
          <w:tcPr>
            <w:tcW w:w="621"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1.86</w:t>
            </w:r>
          </w:p>
        </w:tc>
        <w:tc>
          <w:tcPr>
            <w:tcW w:w="2284" w:type="pct"/>
          </w:tcPr>
          <w:p w:rsidR="0005452D" w:rsidRPr="00E75A07" w:rsidRDefault="00427CD1" w:rsidP="009F0049">
            <w:pPr>
              <w:pStyle w:val="TableFooter"/>
              <w:keepNext/>
              <w:widowControl/>
              <w:jc w:val="left"/>
              <w:rPr>
                <w:rStyle w:val="CommentReference"/>
                <w:b w:val="0"/>
                <w:iCs/>
              </w:rPr>
            </w:pPr>
            <w:r w:rsidRPr="00E75A07">
              <w:rPr>
                <w:rStyle w:val="CommentReference"/>
                <w:b w:val="0"/>
                <w:iCs/>
              </w:rPr>
              <w:t>-</w:t>
            </w:r>
          </w:p>
        </w:tc>
      </w:tr>
      <w:tr w:rsidR="0005452D" w:rsidRPr="00E75A07" w:rsidTr="00D106C4">
        <w:tc>
          <w:tcPr>
            <w:tcW w:w="2095"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Corrected number of cycles beyond stopping rule</w:t>
            </w:r>
          </w:p>
        </w:tc>
        <w:tc>
          <w:tcPr>
            <w:tcW w:w="621"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0.56</w:t>
            </w:r>
          </w:p>
        </w:tc>
        <w:tc>
          <w:tcPr>
            <w:tcW w:w="2284"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 xml:space="preserve">At Week 12 in Study 148, after 2 treatment cycles, 186/258 (70.9%) of patients did not </w:t>
            </w:r>
            <w:r w:rsidR="00903AA1" w:rsidRPr="00E75A07">
              <w:rPr>
                <w:rStyle w:val="CommentReference"/>
                <w:b w:val="0"/>
                <w:iCs/>
              </w:rPr>
              <w:t>respond to either o</w:t>
            </w:r>
            <w:r w:rsidRPr="00E75A07">
              <w:rPr>
                <w:rStyle w:val="CommentReference"/>
                <w:b w:val="0"/>
                <w:iCs/>
              </w:rPr>
              <w:t>f the 2 treatment cycles, based on a MAS &gt;1.</w:t>
            </w:r>
          </w:p>
        </w:tc>
      </w:tr>
      <w:tr w:rsidR="0005452D" w:rsidRPr="00E75A07" w:rsidTr="00D106C4">
        <w:tc>
          <w:tcPr>
            <w:tcW w:w="2095"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Corrected number of cycles with stopping rule</w:t>
            </w:r>
          </w:p>
        </w:tc>
        <w:tc>
          <w:tcPr>
            <w:tcW w:w="621"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2.54</w:t>
            </w:r>
          </w:p>
        </w:tc>
        <w:tc>
          <w:tcPr>
            <w:tcW w:w="2284" w:type="pct"/>
          </w:tcPr>
          <w:p w:rsidR="0005452D" w:rsidRPr="00E75A07" w:rsidRDefault="00427CD1" w:rsidP="009F0049">
            <w:pPr>
              <w:pStyle w:val="TableFooter"/>
              <w:keepNext/>
              <w:widowControl/>
              <w:jc w:val="left"/>
              <w:rPr>
                <w:rStyle w:val="CommentReference"/>
                <w:b w:val="0"/>
                <w:iCs/>
              </w:rPr>
            </w:pPr>
            <w:r w:rsidRPr="00E75A07">
              <w:rPr>
                <w:rStyle w:val="CommentReference"/>
                <w:b w:val="0"/>
                <w:iCs/>
              </w:rPr>
              <w:t>-</w:t>
            </w:r>
          </w:p>
        </w:tc>
      </w:tr>
      <w:tr w:rsidR="0005452D" w:rsidRPr="00E75A07" w:rsidTr="00D106C4">
        <w:tc>
          <w:tcPr>
            <w:tcW w:w="2095"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Corrected total cost per treatment</w:t>
            </w:r>
          </w:p>
        </w:tc>
        <w:tc>
          <w:tcPr>
            <w:tcW w:w="621"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w:t>
            </w:r>
            <w:r w:rsidR="00926D2B">
              <w:rPr>
                <w:rStyle w:val="CommentReference"/>
                <w:b w:val="0"/>
                <w:iCs/>
                <w:noProof/>
                <w:color w:val="000000"/>
                <w:highlight w:val="black"/>
              </w:rPr>
              <w:t>'''''''''''''''''''''</w:t>
            </w:r>
          </w:p>
        </w:tc>
        <w:tc>
          <w:tcPr>
            <w:tcW w:w="2284"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Based on evaluators comments</w:t>
            </w:r>
          </w:p>
        </w:tc>
      </w:tr>
      <w:tr w:rsidR="0005452D" w:rsidRPr="00E75A07" w:rsidTr="00D106C4">
        <w:tc>
          <w:tcPr>
            <w:tcW w:w="2095"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Overall cost of treatment</w:t>
            </w:r>
          </w:p>
        </w:tc>
        <w:tc>
          <w:tcPr>
            <w:tcW w:w="621" w:type="pct"/>
          </w:tcPr>
          <w:p w:rsidR="0005452D" w:rsidRPr="00E75A07" w:rsidRDefault="0005452D" w:rsidP="009F0049">
            <w:pPr>
              <w:pStyle w:val="TableFooter"/>
              <w:keepNext/>
              <w:widowControl/>
              <w:jc w:val="left"/>
              <w:rPr>
                <w:rStyle w:val="CommentReference"/>
                <w:b w:val="0"/>
                <w:iCs/>
              </w:rPr>
            </w:pPr>
            <w:r w:rsidRPr="00E75A07">
              <w:rPr>
                <w:rStyle w:val="CommentReference"/>
                <w:b w:val="0"/>
                <w:iCs/>
              </w:rPr>
              <w:t>$</w:t>
            </w:r>
            <w:r w:rsidR="00926D2B">
              <w:rPr>
                <w:rStyle w:val="CommentReference"/>
                <w:b w:val="0"/>
                <w:iCs/>
                <w:noProof/>
                <w:color w:val="000000"/>
                <w:highlight w:val="black"/>
              </w:rPr>
              <w:t>''''''''''''''''''''</w:t>
            </w:r>
          </w:p>
        </w:tc>
        <w:tc>
          <w:tcPr>
            <w:tcW w:w="2284" w:type="pct"/>
          </w:tcPr>
          <w:p w:rsidR="0005452D" w:rsidRPr="00E75A07" w:rsidRDefault="00427CD1" w:rsidP="009F0049">
            <w:pPr>
              <w:pStyle w:val="TableFooter"/>
              <w:keepNext/>
              <w:widowControl/>
              <w:jc w:val="left"/>
              <w:rPr>
                <w:rStyle w:val="CommentReference"/>
                <w:b w:val="0"/>
                <w:iCs/>
              </w:rPr>
            </w:pPr>
            <w:r w:rsidRPr="00E75A07">
              <w:rPr>
                <w:rStyle w:val="CommentReference"/>
                <w:b w:val="0"/>
                <w:iCs/>
              </w:rPr>
              <w:t>-</w:t>
            </w:r>
          </w:p>
        </w:tc>
      </w:tr>
    </w:tbl>
    <w:p w:rsidR="00280A5B" w:rsidRDefault="00280A5B" w:rsidP="009F0049">
      <w:pPr>
        <w:pStyle w:val="TableFooter"/>
        <w:widowControl/>
        <w:rPr>
          <w:rStyle w:val="CommentReference"/>
          <w:b w:val="0"/>
          <w:sz w:val="18"/>
          <w:szCs w:val="22"/>
        </w:rPr>
      </w:pPr>
      <w:r>
        <w:rPr>
          <w:rStyle w:val="CommentReference"/>
          <w:b w:val="0"/>
          <w:sz w:val="18"/>
          <w:szCs w:val="22"/>
        </w:rPr>
        <w:t>MAS = Modified Ashworth Scale</w:t>
      </w:r>
    </w:p>
    <w:p w:rsidR="0005452D" w:rsidRDefault="00DA2305" w:rsidP="009F0049">
      <w:pPr>
        <w:pStyle w:val="TableFooter"/>
        <w:widowControl/>
        <w:rPr>
          <w:rStyle w:val="CommentReference"/>
          <w:b w:val="0"/>
          <w:sz w:val="18"/>
          <w:szCs w:val="22"/>
        </w:rPr>
      </w:pPr>
      <w:r w:rsidRPr="00877905">
        <w:rPr>
          <w:rStyle w:val="CommentReference"/>
          <w:b w:val="0"/>
          <w:sz w:val="18"/>
          <w:szCs w:val="22"/>
        </w:rPr>
        <w:t>Source: Table 3, p5 of the PSCR</w:t>
      </w:r>
      <w:r w:rsidR="00712975">
        <w:rPr>
          <w:rStyle w:val="CommentReference"/>
          <w:b w:val="0"/>
          <w:sz w:val="18"/>
          <w:szCs w:val="22"/>
        </w:rPr>
        <w:t xml:space="preserve"> </w:t>
      </w:r>
    </w:p>
    <w:p w:rsidR="003845DC" w:rsidRDefault="003845DC" w:rsidP="009F0049">
      <w:pPr>
        <w:pStyle w:val="TableFooter"/>
        <w:widowControl/>
        <w:rPr>
          <w:rStyle w:val="CommentReference"/>
          <w:b w:val="0"/>
          <w:sz w:val="18"/>
          <w:szCs w:val="22"/>
        </w:rPr>
      </w:pPr>
    </w:p>
    <w:p w:rsidR="00280A5B" w:rsidRPr="00280A5B" w:rsidRDefault="003845DC" w:rsidP="009F0049">
      <w:pPr>
        <w:pStyle w:val="TableHeading0"/>
        <w:rPr>
          <w:rStyle w:val="CommentReference"/>
          <w:b/>
          <w:sz w:val="24"/>
          <w:szCs w:val="24"/>
        </w:rPr>
      </w:pPr>
      <w:r>
        <w:rPr>
          <w:rStyle w:val="CommentReference"/>
          <w:b/>
          <w:szCs w:val="20"/>
        </w:rPr>
        <w:t>Table 1</w:t>
      </w:r>
      <w:r w:rsidR="003E3C88">
        <w:rPr>
          <w:rStyle w:val="CommentReference"/>
          <w:b/>
          <w:szCs w:val="20"/>
        </w:rPr>
        <w:t>4</w:t>
      </w:r>
      <w:r w:rsidRPr="00280A5B">
        <w:rPr>
          <w:rStyle w:val="CommentReference"/>
          <w:b/>
          <w:szCs w:val="20"/>
        </w:rPr>
        <w:t>: Re-estimated cost per responder analyses based on historical coding convention for MAS</w:t>
      </w:r>
    </w:p>
    <w:tbl>
      <w:tblPr>
        <w:tblStyle w:val="TableGrid"/>
        <w:tblW w:w="0" w:type="auto"/>
        <w:tblInd w:w="28" w:type="dxa"/>
        <w:tblLook w:val="04A0" w:firstRow="1" w:lastRow="0" w:firstColumn="1" w:lastColumn="0" w:noHBand="0" w:noVBand="1"/>
        <w:tblCaption w:val="Re-estimated cost per responder analyses based on historical coding convention for MAS"/>
      </w:tblPr>
      <w:tblGrid>
        <w:gridCol w:w="2526"/>
        <w:gridCol w:w="992"/>
        <w:gridCol w:w="992"/>
        <w:gridCol w:w="2248"/>
        <w:gridCol w:w="2231"/>
      </w:tblGrid>
      <w:tr w:rsidR="00D106C4" w:rsidTr="00DF2EBD">
        <w:trPr>
          <w:cantSplit/>
          <w:tblHeader/>
        </w:trPr>
        <w:tc>
          <w:tcPr>
            <w:tcW w:w="2552" w:type="dxa"/>
            <w:tcMar>
              <w:left w:w="28" w:type="dxa"/>
              <w:right w:w="28" w:type="dxa"/>
            </w:tcMar>
          </w:tcPr>
          <w:p w:rsidR="009068DB" w:rsidRPr="00E75A07" w:rsidRDefault="009068DB" w:rsidP="009F0049">
            <w:pPr>
              <w:pStyle w:val="TableText0"/>
              <w:spacing w:before="0" w:after="0"/>
            </w:pPr>
          </w:p>
        </w:tc>
        <w:tc>
          <w:tcPr>
            <w:tcW w:w="992" w:type="dxa"/>
            <w:tcMar>
              <w:left w:w="28" w:type="dxa"/>
              <w:right w:w="28" w:type="dxa"/>
            </w:tcMar>
          </w:tcPr>
          <w:p w:rsidR="009068DB" w:rsidRPr="00E75A07" w:rsidRDefault="00280A5B" w:rsidP="009F0049">
            <w:pPr>
              <w:pStyle w:val="TableText0"/>
              <w:spacing w:before="0" w:after="0"/>
              <w:jc w:val="center"/>
              <w:rPr>
                <w:b/>
              </w:rPr>
            </w:pPr>
            <w:r w:rsidRPr="00E75A07">
              <w:rPr>
                <w:b/>
              </w:rPr>
              <w:t>Incremental cost</w:t>
            </w:r>
          </w:p>
        </w:tc>
        <w:tc>
          <w:tcPr>
            <w:tcW w:w="992" w:type="dxa"/>
            <w:tcMar>
              <w:left w:w="28" w:type="dxa"/>
              <w:right w:w="28" w:type="dxa"/>
            </w:tcMar>
          </w:tcPr>
          <w:p w:rsidR="009068DB" w:rsidRPr="00E75A07" w:rsidRDefault="00280A5B" w:rsidP="009F0049">
            <w:pPr>
              <w:pStyle w:val="TableText0"/>
              <w:spacing w:before="0" w:after="0"/>
              <w:jc w:val="center"/>
              <w:rPr>
                <w:b/>
              </w:rPr>
            </w:pPr>
            <w:r w:rsidRPr="00E75A07">
              <w:rPr>
                <w:b/>
              </w:rPr>
              <w:t>Incremental benefit</w:t>
            </w:r>
          </w:p>
        </w:tc>
        <w:tc>
          <w:tcPr>
            <w:tcW w:w="2268" w:type="dxa"/>
            <w:tcMar>
              <w:left w:w="28" w:type="dxa"/>
              <w:right w:w="28" w:type="dxa"/>
            </w:tcMar>
          </w:tcPr>
          <w:p w:rsidR="009068DB" w:rsidRPr="00E75A07" w:rsidRDefault="00280A5B" w:rsidP="009F0049">
            <w:pPr>
              <w:pStyle w:val="TableText0"/>
              <w:spacing w:before="0" w:after="0"/>
              <w:jc w:val="center"/>
              <w:rPr>
                <w:b/>
              </w:rPr>
            </w:pPr>
            <w:r w:rsidRPr="00E75A07">
              <w:rPr>
                <w:b/>
              </w:rPr>
              <w:t>Cost</w:t>
            </w:r>
            <w:r w:rsidR="00903AA1" w:rsidRPr="00E75A07">
              <w:rPr>
                <w:b/>
              </w:rPr>
              <w:t xml:space="preserve"> per </w:t>
            </w:r>
            <w:r w:rsidRPr="00E75A07">
              <w:rPr>
                <w:b/>
              </w:rPr>
              <w:t>responder</w:t>
            </w:r>
            <w:r w:rsidR="00903AA1" w:rsidRPr="00E75A07">
              <w:rPr>
                <w:b/>
              </w:rPr>
              <w:t xml:space="preserve"> </w:t>
            </w:r>
            <w:r w:rsidR="00903AA1" w:rsidRPr="00E75A07">
              <w:rPr>
                <w:b/>
              </w:rPr>
              <w:br/>
              <w:t>(95% CI)</w:t>
            </w:r>
          </w:p>
        </w:tc>
        <w:tc>
          <w:tcPr>
            <w:tcW w:w="2251" w:type="dxa"/>
            <w:tcMar>
              <w:left w:w="28" w:type="dxa"/>
              <w:right w:w="28" w:type="dxa"/>
            </w:tcMar>
          </w:tcPr>
          <w:p w:rsidR="009068DB" w:rsidRPr="00E75A07" w:rsidRDefault="00400C35" w:rsidP="009F0049">
            <w:pPr>
              <w:pStyle w:val="TableText0"/>
              <w:spacing w:before="0" w:after="0"/>
              <w:jc w:val="center"/>
              <w:rPr>
                <w:b/>
              </w:rPr>
            </w:pPr>
            <w:r>
              <w:rPr>
                <w:b/>
              </w:rPr>
              <w:t>Cost per responder</w:t>
            </w:r>
            <w:r w:rsidR="00280A5B" w:rsidRPr="00E75A07">
              <w:rPr>
                <w:b/>
              </w:rPr>
              <w:t xml:space="preserve"> </w:t>
            </w:r>
            <w:r>
              <w:rPr>
                <w:b/>
              </w:rPr>
              <w:br/>
            </w:r>
            <w:r w:rsidR="00280A5B" w:rsidRPr="00E75A07">
              <w:rPr>
                <w:b/>
              </w:rPr>
              <w:t>Nov 2007</w:t>
            </w:r>
            <w:r w:rsidR="00903AA1" w:rsidRPr="00E75A07">
              <w:rPr>
                <w:b/>
              </w:rPr>
              <w:t xml:space="preserve"> (95% CI)</w:t>
            </w:r>
          </w:p>
        </w:tc>
      </w:tr>
      <w:tr w:rsidR="00D106C4" w:rsidTr="000F57A6">
        <w:tc>
          <w:tcPr>
            <w:tcW w:w="2552" w:type="dxa"/>
            <w:tcMar>
              <w:left w:w="28" w:type="dxa"/>
              <w:right w:w="28" w:type="dxa"/>
            </w:tcMar>
          </w:tcPr>
          <w:p w:rsidR="00280A5B" w:rsidRPr="00E75A07" w:rsidRDefault="00280A5B" w:rsidP="009F0049">
            <w:pPr>
              <w:pStyle w:val="TableText0"/>
              <w:spacing w:before="0" w:after="0"/>
            </w:pPr>
            <w:r w:rsidRPr="00E75A07">
              <w:rPr>
                <w:rStyle w:val="CommentReference"/>
                <w:iCs/>
              </w:rPr>
              <w:t>MAS &gt;</w:t>
            </w:r>
            <w:r w:rsidR="00723DAC">
              <w:rPr>
                <w:rStyle w:val="CommentReference"/>
                <w:iCs/>
              </w:rPr>
              <w:t xml:space="preserve"> </w:t>
            </w:r>
            <w:r w:rsidR="00F05424" w:rsidRPr="00E75A07">
              <w:rPr>
                <w:rStyle w:val="CommentReference"/>
                <w:iCs/>
              </w:rPr>
              <w:t>1</w:t>
            </w:r>
            <w:r w:rsidR="00642FE1" w:rsidRPr="00E75A07">
              <w:rPr>
                <w:rStyle w:val="CommentReference"/>
                <w:iCs/>
              </w:rPr>
              <w:t xml:space="preserve"> </w:t>
            </w:r>
            <w:r w:rsidRPr="00E75A07">
              <w:rPr>
                <w:rStyle w:val="CommentReference"/>
                <w:iCs/>
              </w:rPr>
              <w:t>(base case)</w:t>
            </w:r>
          </w:p>
        </w:tc>
        <w:tc>
          <w:tcPr>
            <w:tcW w:w="992" w:type="dxa"/>
            <w:tcMar>
              <w:left w:w="28" w:type="dxa"/>
              <w:right w:w="28" w:type="dxa"/>
            </w:tcMar>
          </w:tcPr>
          <w:p w:rsidR="00280A5B" w:rsidRPr="00E75A07" w:rsidRDefault="00280A5B" w:rsidP="009F0049">
            <w:pPr>
              <w:pStyle w:val="TableText0"/>
              <w:spacing w:before="0" w:after="0"/>
              <w:jc w:val="center"/>
              <w:rPr>
                <w:b/>
              </w:rPr>
            </w:pPr>
            <w:r w:rsidRPr="00E75A07">
              <w:rPr>
                <w:b/>
              </w:rPr>
              <w:t>$</w:t>
            </w:r>
            <w:r w:rsidR="00926D2B">
              <w:rPr>
                <w:b/>
                <w:noProof/>
                <w:color w:val="000000"/>
                <w:highlight w:val="black"/>
              </w:rPr>
              <w:t>''''''''''''''''</w:t>
            </w:r>
          </w:p>
        </w:tc>
        <w:tc>
          <w:tcPr>
            <w:tcW w:w="992" w:type="dxa"/>
            <w:tcMar>
              <w:left w:w="28" w:type="dxa"/>
              <w:right w:w="28" w:type="dxa"/>
            </w:tcMar>
          </w:tcPr>
          <w:p w:rsidR="00280A5B" w:rsidRPr="00E75A07" w:rsidRDefault="00280A5B" w:rsidP="009F0049">
            <w:pPr>
              <w:pStyle w:val="TableText0"/>
              <w:spacing w:before="0" w:after="0"/>
              <w:jc w:val="center"/>
              <w:rPr>
                <w:b/>
              </w:rPr>
            </w:pPr>
            <w:r w:rsidRPr="00E75A07">
              <w:rPr>
                <w:b/>
              </w:rPr>
              <w:t>0.131</w:t>
            </w:r>
          </w:p>
        </w:tc>
        <w:tc>
          <w:tcPr>
            <w:tcW w:w="2268" w:type="dxa"/>
            <w:tcMar>
              <w:left w:w="28" w:type="dxa"/>
              <w:right w:w="28" w:type="dxa"/>
            </w:tcMar>
          </w:tcPr>
          <w:p w:rsidR="00280A5B" w:rsidRPr="00E75A07" w:rsidRDefault="00280A5B" w:rsidP="009F0049">
            <w:pPr>
              <w:pStyle w:val="TableText0"/>
              <w:spacing w:before="0" w:after="0"/>
              <w:jc w:val="center"/>
            </w:pPr>
            <w:r w:rsidRPr="00E75A07">
              <w:rPr>
                <w:rStyle w:val="CommentReference"/>
                <w:iCs/>
              </w:rPr>
              <w:t>$</w:t>
            </w:r>
            <w:r w:rsidR="00926D2B">
              <w:rPr>
                <w:rStyle w:val="CommentReference"/>
                <w:iCs/>
                <w:noProof/>
                <w:color w:val="000000"/>
                <w:highlight w:val="black"/>
              </w:rPr>
              <w:t>'''''''''''''</w:t>
            </w:r>
            <w:r w:rsidRPr="00E75A07">
              <w:rPr>
                <w:rStyle w:val="CommentReference"/>
                <w:iCs/>
              </w:rPr>
              <w:t xml:space="preserve"> ($</w:t>
            </w:r>
            <w:r w:rsidR="00926D2B">
              <w:rPr>
                <w:rStyle w:val="CommentReference"/>
                <w:iCs/>
                <w:noProof/>
                <w:color w:val="000000"/>
                <w:highlight w:val="black"/>
              </w:rPr>
              <w:t>''''''''''''</w:t>
            </w:r>
            <w:r w:rsidRPr="00E75A07">
              <w:rPr>
                <w:rStyle w:val="CommentReference"/>
                <w:iCs/>
              </w:rPr>
              <w:t>, $</w:t>
            </w:r>
            <w:r w:rsidR="00926D2B">
              <w:rPr>
                <w:rStyle w:val="CommentReference"/>
                <w:iCs/>
                <w:noProof/>
                <w:color w:val="000000"/>
                <w:highlight w:val="black"/>
              </w:rPr>
              <w:t>''''''''''''</w:t>
            </w:r>
            <w:r w:rsidRPr="00E75A07">
              <w:rPr>
                <w:rStyle w:val="CommentReference"/>
                <w:iCs/>
              </w:rPr>
              <w:t>)</w:t>
            </w:r>
          </w:p>
        </w:tc>
        <w:tc>
          <w:tcPr>
            <w:tcW w:w="2251" w:type="dxa"/>
            <w:tcMar>
              <w:left w:w="28" w:type="dxa"/>
              <w:right w:w="28" w:type="dxa"/>
            </w:tcMar>
          </w:tcPr>
          <w:p w:rsidR="00280A5B" w:rsidRPr="00E75A07" w:rsidRDefault="00280A5B" w:rsidP="009F0049">
            <w:pPr>
              <w:pStyle w:val="TableText0"/>
              <w:spacing w:before="0" w:after="0"/>
              <w:jc w:val="center"/>
            </w:pPr>
            <w:r w:rsidRPr="00E75A07">
              <w:rPr>
                <w:rStyle w:val="CommentReference"/>
                <w:iCs/>
              </w:rPr>
              <w:t>$</w:t>
            </w:r>
            <w:r w:rsidR="00926D2B">
              <w:rPr>
                <w:rStyle w:val="CommentReference"/>
                <w:iCs/>
                <w:noProof/>
                <w:color w:val="000000"/>
                <w:highlight w:val="black"/>
              </w:rPr>
              <w:t>''''''''''''''</w:t>
            </w:r>
            <w:r w:rsidRPr="00E75A07">
              <w:rPr>
                <w:rStyle w:val="CommentReference"/>
                <w:iCs/>
              </w:rPr>
              <w:t xml:space="preserve"> ($</w:t>
            </w:r>
            <w:r w:rsidR="00926D2B">
              <w:rPr>
                <w:rStyle w:val="CommentReference"/>
                <w:iCs/>
                <w:noProof/>
                <w:color w:val="000000"/>
                <w:highlight w:val="black"/>
              </w:rPr>
              <w:t>'''''''''''</w:t>
            </w:r>
            <w:r w:rsidRPr="00E75A07">
              <w:rPr>
                <w:rStyle w:val="CommentReference"/>
                <w:iCs/>
              </w:rPr>
              <w:t>, $</w:t>
            </w:r>
            <w:r w:rsidR="00926D2B">
              <w:rPr>
                <w:rStyle w:val="CommentReference"/>
                <w:iCs/>
                <w:noProof/>
                <w:color w:val="000000"/>
                <w:highlight w:val="black"/>
              </w:rPr>
              <w:t>''''''''''''''</w:t>
            </w:r>
            <w:r w:rsidRPr="00E75A07">
              <w:rPr>
                <w:rStyle w:val="CommentReference"/>
                <w:iCs/>
              </w:rPr>
              <w:t>)</w:t>
            </w:r>
          </w:p>
        </w:tc>
      </w:tr>
      <w:tr w:rsidR="00D106C4" w:rsidTr="000F57A6">
        <w:tc>
          <w:tcPr>
            <w:tcW w:w="2552" w:type="dxa"/>
            <w:tcMar>
              <w:left w:w="28" w:type="dxa"/>
              <w:right w:w="28" w:type="dxa"/>
            </w:tcMar>
          </w:tcPr>
          <w:p w:rsidR="00280A5B" w:rsidRPr="00E75A07" w:rsidRDefault="00903AA1" w:rsidP="009F0049">
            <w:pPr>
              <w:pStyle w:val="TableText0"/>
              <w:spacing w:before="0" w:after="0"/>
            </w:pPr>
            <w:r w:rsidRPr="00E75A07">
              <w:rPr>
                <w:rStyle w:val="CommentReference"/>
                <w:b w:val="0"/>
                <w:iCs/>
              </w:rPr>
              <w:t>MAS ≥</w:t>
            </w:r>
            <w:r w:rsidR="00723DAC">
              <w:rPr>
                <w:rStyle w:val="CommentReference"/>
                <w:b w:val="0"/>
                <w:iCs/>
              </w:rPr>
              <w:t xml:space="preserve"> </w:t>
            </w:r>
            <w:r w:rsidR="00280A5B" w:rsidRPr="00E75A07">
              <w:rPr>
                <w:rStyle w:val="CommentReference"/>
                <w:b w:val="0"/>
                <w:iCs/>
              </w:rPr>
              <w:t>1</w:t>
            </w:r>
          </w:p>
        </w:tc>
        <w:tc>
          <w:tcPr>
            <w:tcW w:w="992" w:type="dxa"/>
            <w:tcMar>
              <w:left w:w="28" w:type="dxa"/>
              <w:right w:w="28" w:type="dxa"/>
            </w:tcMar>
          </w:tcPr>
          <w:p w:rsidR="00280A5B" w:rsidRPr="00E75A07" w:rsidRDefault="00280A5B" w:rsidP="009F0049">
            <w:pPr>
              <w:pStyle w:val="TableText0"/>
              <w:spacing w:before="0" w:after="0"/>
              <w:jc w:val="center"/>
            </w:pPr>
            <w:r w:rsidRPr="00E75A07">
              <w:t>$</w:t>
            </w:r>
            <w:r w:rsidR="00926D2B">
              <w:rPr>
                <w:noProof/>
                <w:color w:val="000000"/>
                <w:highlight w:val="black"/>
              </w:rPr>
              <w:t>''''''''''''''''''''''</w:t>
            </w:r>
          </w:p>
        </w:tc>
        <w:tc>
          <w:tcPr>
            <w:tcW w:w="992" w:type="dxa"/>
            <w:tcMar>
              <w:left w:w="28" w:type="dxa"/>
              <w:right w:w="28" w:type="dxa"/>
            </w:tcMar>
          </w:tcPr>
          <w:p w:rsidR="00280A5B" w:rsidRPr="00E75A07" w:rsidRDefault="00280A5B" w:rsidP="009F0049">
            <w:pPr>
              <w:pStyle w:val="TableText0"/>
              <w:spacing w:before="0" w:after="0"/>
              <w:jc w:val="center"/>
            </w:pPr>
            <w:r w:rsidRPr="00E75A07">
              <w:rPr>
                <w:rStyle w:val="CommentReference"/>
                <w:b w:val="0"/>
                <w:iCs/>
              </w:rPr>
              <w:t>0.354</w:t>
            </w:r>
          </w:p>
        </w:tc>
        <w:tc>
          <w:tcPr>
            <w:tcW w:w="2268" w:type="dxa"/>
            <w:tcMar>
              <w:left w:w="28" w:type="dxa"/>
              <w:right w:w="28" w:type="dxa"/>
            </w:tcMar>
          </w:tcPr>
          <w:p w:rsidR="00280A5B" w:rsidRPr="00E75A07" w:rsidRDefault="00280A5B" w:rsidP="009F0049">
            <w:pPr>
              <w:pStyle w:val="TableText0"/>
              <w:spacing w:before="0" w:after="0"/>
              <w:jc w:val="center"/>
            </w:pPr>
            <w:r w:rsidRPr="00E75A07">
              <w:rPr>
                <w:rStyle w:val="CommentReference"/>
                <w:b w:val="0"/>
                <w:iCs/>
              </w:rPr>
              <w:t>$</w:t>
            </w:r>
            <w:r w:rsidR="00926D2B">
              <w:rPr>
                <w:rStyle w:val="CommentReference"/>
                <w:b w:val="0"/>
                <w:iCs/>
                <w:noProof/>
                <w:color w:val="000000"/>
                <w:highlight w:val="black"/>
              </w:rPr>
              <w:t>'''''''''''''''</w:t>
            </w:r>
            <w:r w:rsidRPr="00E75A07">
              <w:rPr>
                <w:rStyle w:val="CommentReference"/>
                <w:b w:val="0"/>
                <w:iCs/>
              </w:rPr>
              <w:t xml:space="preserve"> ($</w:t>
            </w:r>
            <w:r w:rsidR="00926D2B">
              <w:rPr>
                <w:rStyle w:val="CommentReference"/>
                <w:b w:val="0"/>
                <w:iCs/>
                <w:noProof/>
                <w:color w:val="000000"/>
                <w:highlight w:val="black"/>
              </w:rPr>
              <w:t>''''''''''''''</w:t>
            </w:r>
            <w:r w:rsidRPr="00E75A07">
              <w:rPr>
                <w:rStyle w:val="CommentReference"/>
                <w:b w:val="0"/>
                <w:iCs/>
              </w:rPr>
              <w:t>, $</w:t>
            </w:r>
            <w:r w:rsidR="00926D2B">
              <w:rPr>
                <w:rStyle w:val="CommentReference"/>
                <w:b w:val="0"/>
                <w:iCs/>
                <w:noProof/>
                <w:color w:val="000000"/>
                <w:highlight w:val="black"/>
              </w:rPr>
              <w:t>''''''''''''''''</w:t>
            </w:r>
            <w:r w:rsidRPr="00E75A07">
              <w:rPr>
                <w:rStyle w:val="CommentReference"/>
                <w:b w:val="0"/>
                <w:iCs/>
              </w:rPr>
              <w:t>)</w:t>
            </w:r>
          </w:p>
        </w:tc>
        <w:tc>
          <w:tcPr>
            <w:tcW w:w="2251" w:type="dxa"/>
            <w:tcMar>
              <w:left w:w="28" w:type="dxa"/>
              <w:right w:w="28" w:type="dxa"/>
            </w:tcMar>
          </w:tcPr>
          <w:p w:rsidR="00280A5B" w:rsidRPr="00E75A07" w:rsidRDefault="00280A5B" w:rsidP="009F0049">
            <w:pPr>
              <w:pStyle w:val="TableText0"/>
              <w:spacing w:before="0" w:after="0"/>
              <w:jc w:val="center"/>
            </w:pPr>
            <w:r w:rsidRPr="00E75A07">
              <w:rPr>
                <w:rStyle w:val="CommentReference"/>
                <w:b w:val="0"/>
                <w:iCs/>
              </w:rPr>
              <w:t>$</w:t>
            </w:r>
            <w:r w:rsidR="00926D2B">
              <w:rPr>
                <w:rStyle w:val="CommentReference"/>
                <w:b w:val="0"/>
                <w:iCs/>
                <w:noProof/>
                <w:color w:val="000000"/>
                <w:highlight w:val="black"/>
              </w:rPr>
              <w:t>''''''''''''</w:t>
            </w:r>
            <w:r w:rsidRPr="00E75A07">
              <w:rPr>
                <w:rStyle w:val="CommentReference"/>
                <w:b w:val="0"/>
                <w:iCs/>
              </w:rPr>
              <w:t xml:space="preserve"> ($</w:t>
            </w:r>
            <w:r w:rsidR="00926D2B">
              <w:rPr>
                <w:rStyle w:val="CommentReference"/>
                <w:b w:val="0"/>
                <w:iCs/>
                <w:noProof/>
                <w:color w:val="000000"/>
                <w:highlight w:val="black"/>
              </w:rPr>
              <w:t>''''''''''''</w:t>
            </w:r>
            <w:r w:rsidRPr="00E75A07">
              <w:rPr>
                <w:rStyle w:val="CommentReference"/>
                <w:b w:val="0"/>
                <w:iCs/>
              </w:rPr>
              <w:t>, $</w:t>
            </w:r>
            <w:r w:rsidR="00926D2B">
              <w:rPr>
                <w:rStyle w:val="CommentReference"/>
                <w:b w:val="0"/>
                <w:iCs/>
                <w:noProof/>
                <w:color w:val="000000"/>
                <w:highlight w:val="black"/>
              </w:rPr>
              <w:t>'''''''''''''''''</w:t>
            </w:r>
            <w:r w:rsidRPr="00E75A07">
              <w:rPr>
                <w:rStyle w:val="CommentReference"/>
                <w:b w:val="0"/>
                <w:iCs/>
              </w:rPr>
              <w:t>)</w:t>
            </w:r>
          </w:p>
        </w:tc>
      </w:tr>
      <w:tr w:rsidR="00D106C4" w:rsidTr="000F57A6">
        <w:tc>
          <w:tcPr>
            <w:tcW w:w="2552" w:type="dxa"/>
            <w:tcMar>
              <w:left w:w="28" w:type="dxa"/>
              <w:right w:w="28" w:type="dxa"/>
            </w:tcMar>
          </w:tcPr>
          <w:p w:rsidR="00280A5B" w:rsidRPr="00E75A07" w:rsidRDefault="00280A5B" w:rsidP="009F0049">
            <w:pPr>
              <w:pStyle w:val="TableText0"/>
              <w:spacing w:before="0" w:after="0"/>
            </w:pPr>
            <w:r w:rsidRPr="00E75A07">
              <w:rPr>
                <w:rStyle w:val="CommentReference"/>
                <w:b w:val="0"/>
                <w:iCs/>
              </w:rPr>
              <w:t>MAS ≥</w:t>
            </w:r>
            <w:r w:rsidR="00723DAC">
              <w:rPr>
                <w:rStyle w:val="CommentReference"/>
                <w:b w:val="0"/>
                <w:iCs/>
              </w:rPr>
              <w:t xml:space="preserve"> </w:t>
            </w:r>
            <w:r w:rsidRPr="00E75A07">
              <w:rPr>
                <w:rStyle w:val="CommentReference"/>
                <w:b w:val="0"/>
                <w:iCs/>
              </w:rPr>
              <w:t>2</w:t>
            </w:r>
          </w:p>
        </w:tc>
        <w:tc>
          <w:tcPr>
            <w:tcW w:w="992" w:type="dxa"/>
            <w:tcMar>
              <w:left w:w="28" w:type="dxa"/>
              <w:right w:w="28" w:type="dxa"/>
            </w:tcMar>
          </w:tcPr>
          <w:p w:rsidR="00280A5B" w:rsidRPr="00E75A07" w:rsidRDefault="00280A5B" w:rsidP="009F0049">
            <w:pPr>
              <w:pStyle w:val="TableText0"/>
              <w:spacing w:before="0" w:after="0"/>
              <w:jc w:val="center"/>
            </w:pPr>
            <w:r w:rsidRPr="00E75A07">
              <w:t>$</w:t>
            </w:r>
            <w:r w:rsidR="00926D2B">
              <w:rPr>
                <w:noProof/>
                <w:color w:val="000000"/>
                <w:highlight w:val="black"/>
              </w:rPr>
              <w:t>'''''''''''''''''''''</w:t>
            </w:r>
          </w:p>
        </w:tc>
        <w:tc>
          <w:tcPr>
            <w:tcW w:w="992" w:type="dxa"/>
            <w:tcMar>
              <w:left w:w="28" w:type="dxa"/>
              <w:right w:w="28" w:type="dxa"/>
            </w:tcMar>
          </w:tcPr>
          <w:p w:rsidR="00280A5B" w:rsidRPr="00E75A07" w:rsidRDefault="00280A5B" w:rsidP="009F0049">
            <w:pPr>
              <w:pStyle w:val="TableText0"/>
              <w:spacing w:before="0" w:after="0"/>
              <w:jc w:val="center"/>
            </w:pPr>
            <w:r w:rsidRPr="00E75A07">
              <w:rPr>
                <w:rStyle w:val="CommentReference"/>
                <w:b w:val="0"/>
                <w:iCs/>
              </w:rPr>
              <w:t>0.039</w:t>
            </w:r>
          </w:p>
        </w:tc>
        <w:tc>
          <w:tcPr>
            <w:tcW w:w="2268" w:type="dxa"/>
            <w:tcMar>
              <w:left w:w="28" w:type="dxa"/>
              <w:right w:w="28" w:type="dxa"/>
            </w:tcMar>
          </w:tcPr>
          <w:p w:rsidR="00280A5B" w:rsidRPr="00E75A07" w:rsidRDefault="00280A5B" w:rsidP="009F0049">
            <w:pPr>
              <w:pStyle w:val="TableText0"/>
              <w:spacing w:before="0" w:after="0"/>
              <w:jc w:val="center"/>
            </w:pPr>
            <w:r w:rsidRPr="00E75A07">
              <w:rPr>
                <w:rStyle w:val="CommentReference"/>
                <w:b w:val="0"/>
                <w:iCs/>
              </w:rPr>
              <w:t>$</w:t>
            </w:r>
            <w:r w:rsidR="00926D2B">
              <w:rPr>
                <w:rStyle w:val="CommentReference"/>
                <w:b w:val="0"/>
                <w:iCs/>
                <w:noProof/>
                <w:color w:val="000000"/>
                <w:highlight w:val="black"/>
              </w:rPr>
              <w:t>'''''''''''''''</w:t>
            </w:r>
            <w:r w:rsidRPr="00E75A07">
              <w:rPr>
                <w:rStyle w:val="CommentReference"/>
                <w:b w:val="0"/>
                <w:iCs/>
              </w:rPr>
              <w:t xml:space="preserve"> ($</w:t>
            </w:r>
            <w:r w:rsidR="00926D2B">
              <w:rPr>
                <w:rStyle w:val="CommentReference"/>
                <w:b w:val="0"/>
                <w:iCs/>
                <w:noProof/>
                <w:color w:val="000000"/>
                <w:highlight w:val="black"/>
              </w:rPr>
              <w:t>'''''''''''''''''</w:t>
            </w:r>
            <w:r w:rsidRPr="00E75A07">
              <w:rPr>
                <w:rStyle w:val="CommentReference"/>
                <w:b w:val="0"/>
                <w:iCs/>
              </w:rPr>
              <w:t>, NE)</w:t>
            </w:r>
          </w:p>
        </w:tc>
        <w:tc>
          <w:tcPr>
            <w:tcW w:w="2251" w:type="dxa"/>
            <w:tcMar>
              <w:left w:w="28" w:type="dxa"/>
              <w:right w:w="28" w:type="dxa"/>
            </w:tcMar>
          </w:tcPr>
          <w:p w:rsidR="00280A5B" w:rsidRPr="00E75A07" w:rsidRDefault="00280A5B" w:rsidP="009F0049">
            <w:pPr>
              <w:pStyle w:val="TableText0"/>
              <w:spacing w:before="0" w:after="0"/>
              <w:jc w:val="center"/>
            </w:pPr>
            <w:r w:rsidRPr="00E75A07">
              <w:rPr>
                <w:rStyle w:val="CommentReference"/>
                <w:b w:val="0"/>
                <w:iCs/>
              </w:rPr>
              <w:t>$</w:t>
            </w:r>
            <w:r w:rsidR="00926D2B">
              <w:rPr>
                <w:rStyle w:val="CommentReference"/>
                <w:b w:val="0"/>
                <w:iCs/>
                <w:noProof/>
                <w:color w:val="000000"/>
                <w:highlight w:val="black"/>
              </w:rPr>
              <w:t>''''''''''''''''</w:t>
            </w:r>
            <w:r w:rsidRPr="00E75A07">
              <w:rPr>
                <w:rStyle w:val="CommentReference"/>
                <w:b w:val="0"/>
                <w:iCs/>
              </w:rPr>
              <w:t xml:space="preserve"> ($</w:t>
            </w:r>
            <w:r w:rsidR="00926D2B">
              <w:rPr>
                <w:rStyle w:val="CommentReference"/>
                <w:b w:val="0"/>
                <w:iCs/>
                <w:noProof/>
                <w:color w:val="000000"/>
                <w:highlight w:val="black"/>
              </w:rPr>
              <w:t>''''''''''''''''</w:t>
            </w:r>
            <w:r w:rsidRPr="00E75A07">
              <w:rPr>
                <w:rStyle w:val="CommentReference"/>
                <w:b w:val="0"/>
                <w:iCs/>
              </w:rPr>
              <w:t>, NE)</w:t>
            </w:r>
          </w:p>
        </w:tc>
      </w:tr>
      <w:tr w:rsidR="00280A5B" w:rsidRPr="00903AA1" w:rsidTr="000F57A6">
        <w:tc>
          <w:tcPr>
            <w:tcW w:w="9055" w:type="dxa"/>
            <w:gridSpan w:val="5"/>
            <w:tcMar>
              <w:left w:w="28" w:type="dxa"/>
              <w:right w:w="28" w:type="dxa"/>
            </w:tcMar>
          </w:tcPr>
          <w:p w:rsidR="00280A5B" w:rsidRPr="00E75A07" w:rsidRDefault="00280A5B" w:rsidP="009F0049">
            <w:pPr>
              <w:pStyle w:val="TableText0"/>
              <w:spacing w:before="0" w:after="0"/>
              <w:rPr>
                <w:b/>
              </w:rPr>
            </w:pPr>
            <w:r w:rsidRPr="00E75A07">
              <w:rPr>
                <w:b/>
              </w:rPr>
              <w:t>Sensitivity analyses</w:t>
            </w:r>
          </w:p>
        </w:tc>
      </w:tr>
      <w:tr w:rsidR="00D106C4" w:rsidTr="000F57A6">
        <w:tc>
          <w:tcPr>
            <w:tcW w:w="2552" w:type="dxa"/>
            <w:tcMar>
              <w:left w:w="28" w:type="dxa"/>
              <w:right w:w="28" w:type="dxa"/>
            </w:tcMar>
          </w:tcPr>
          <w:p w:rsidR="009068DB" w:rsidRPr="00E75A07" w:rsidRDefault="00280A5B" w:rsidP="009F0049">
            <w:pPr>
              <w:pStyle w:val="TableText0"/>
              <w:spacing w:before="0" w:after="0"/>
            </w:pPr>
            <w:r w:rsidRPr="00E75A07">
              <w:rPr>
                <w:rStyle w:val="CommentReference"/>
                <w:b w:val="0"/>
                <w:iCs/>
              </w:rPr>
              <w:t>3.24 cycles; MAS &gt;</w:t>
            </w:r>
            <w:r w:rsidR="00723DAC">
              <w:rPr>
                <w:rStyle w:val="CommentReference"/>
                <w:b w:val="0"/>
                <w:iCs/>
              </w:rPr>
              <w:t xml:space="preserve"> </w:t>
            </w:r>
            <w:r w:rsidRPr="00E75A07">
              <w:rPr>
                <w:rStyle w:val="CommentReference"/>
                <w:b w:val="0"/>
                <w:iCs/>
              </w:rPr>
              <w:t>1 (historical coding)</w:t>
            </w:r>
          </w:p>
        </w:tc>
        <w:tc>
          <w:tcPr>
            <w:tcW w:w="992" w:type="dxa"/>
            <w:tcMar>
              <w:left w:w="28" w:type="dxa"/>
              <w:right w:w="28" w:type="dxa"/>
            </w:tcMar>
            <w:vAlign w:val="center"/>
          </w:tcPr>
          <w:p w:rsidR="009068DB" w:rsidRPr="00E75A07" w:rsidRDefault="00280A5B" w:rsidP="009F0049">
            <w:pPr>
              <w:pStyle w:val="TableText0"/>
              <w:spacing w:before="0" w:after="0"/>
              <w:jc w:val="center"/>
            </w:pPr>
            <w:r w:rsidRPr="00E75A07">
              <w:rPr>
                <w:iCs/>
              </w:rPr>
              <w:t>$</w:t>
            </w:r>
            <w:r w:rsidR="00926D2B">
              <w:rPr>
                <w:iCs/>
                <w:noProof/>
                <w:color w:val="000000"/>
                <w:highlight w:val="black"/>
              </w:rPr>
              <w:t>'''''''''''''''''''''</w:t>
            </w:r>
          </w:p>
        </w:tc>
        <w:tc>
          <w:tcPr>
            <w:tcW w:w="992" w:type="dxa"/>
            <w:tcMar>
              <w:left w:w="28" w:type="dxa"/>
              <w:right w:w="28" w:type="dxa"/>
            </w:tcMar>
            <w:vAlign w:val="center"/>
          </w:tcPr>
          <w:p w:rsidR="009068DB" w:rsidRPr="00E75A07" w:rsidRDefault="00280A5B" w:rsidP="009F0049">
            <w:pPr>
              <w:pStyle w:val="TableText0"/>
              <w:spacing w:before="0" w:after="0"/>
              <w:jc w:val="center"/>
            </w:pPr>
            <w:r w:rsidRPr="00E75A07">
              <w:rPr>
                <w:rStyle w:val="CommentReference"/>
                <w:b w:val="0"/>
                <w:iCs/>
              </w:rPr>
              <w:t>0.131</w:t>
            </w:r>
          </w:p>
        </w:tc>
        <w:tc>
          <w:tcPr>
            <w:tcW w:w="2268" w:type="dxa"/>
            <w:tcMar>
              <w:left w:w="28" w:type="dxa"/>
              <w:right w:w="28" w:type="dxa"/>
            </w:tcMar>
            <w:vAlign w:val="center"/>
          </w:tcPr>
          <w:p w:rsidR="009068DB" w:rsidRPr="00E75A07" w:rsidRDefault="00280A5B" w:rsidP="009F0049">
            <w:pPr>
              <w:pStyle w:val="TableText0"/>
              <w:spacing w:before="0" w:after="0"/>
              <w:jc w:val="center"/>
            </w:pPr>
            <w:r w:rsidRPr="00E75A07">
              <w:rPr>
                <w:rStyle w:val="CommentReference"/>
                <w:b w:val="0"/>
                <w:iCs/>
              </w:rPr>
              <w:t>$</w:t>
            </w:r>
            <w:r w:rsidR="00926D2B">
              <w:rPr>
                <w:rStyle w:val="CommentReference"/>
                <w:b w:val="0"/>
                <w:iCs/>
                <w:noProof/>
                <w:color w:val="000000"/>
                <w:highlight w:val="black"/>
              </w:rPr>
              <w:t>''''''''''''''''</w:t>
            </w:r>
            <w:r w:rsidRPr="00E75A07">
              <w:rPr>
                <w:rStyle w:val="CommentReference"/>
                <w:b w:val="0"/>
                <w:iCs/>
              </w:rPr>
              <w:t xml:space="preserve"> ($</w:t>
            </w:r>
            <w:r w:rsidR="00926D2B">
              <w:rPr>
                <w:rStyle w:val="CommentReference"/>
                <w:b w:val="0"/>
                <w:iCs/>
                <w:noProof/>
                <w:color w:val="000000"/>
                <w:highlight w:val="black"/>
              </w:rPr>
              <w:t>''''''''''''''''</w:t>
            </w:r>
            <w:r w:rsidRPr="00E75A07">
              <w:rPr>
                <w:rStyle w:val="CommentReference"/>
                <w:b w:val="0"/>
                <w:iCs/>
              </w:rPr>
              <w:t>, $</w:t>
            </w:r>
            <w:r w:rsidR="00926D2B">
              <w:rPr>
                <w:rStyle w:val="CommentReference"/>
                <w:b w:val="0"/>
                <w:iCs/>
                <w:noProof/>
                <w:color w:val="000000"/>
                <w:highlight w:val="black"/>
              </w:rPr>
              <w:t>'''''''''''''''''''''</w:t>
            </w:r>
            <w:r w:rsidRPr="00E75A07">
              <w:rPr>
                <w:rStyle w:val="CommentReference"/>
                <w:b w:val="0"/>
                <w:iCs/>
              </w:rPr>
              <w:t>)</w:t>
            </w:r>
          </w:p>
        </w:tc>
        <w:tc>
          <w:tcPr>
            <w:tcW w:w="2251" w:type="dxa"/>
            <w:tcMar>
              <w:left w:w="28" w:type="dxa"/>
              <w:right w:w="28" w:type="dxa"/>
            </w:tcMar>
          </w:tcPr>
          <w:p w:rsidR="009068DB" w:rsidRPr="00E75A07" w:rsidRDefault="00280A5B" w:rsidP="009F0049">
            <w:pPr>
              <w:pStyle w:val="TableText0"/>
              <w:spacing w:before="0" w:after="0"/>
              <w:jc w:val="center"/>
            </w:pPr>
            <w:r w:rsidRPr="00E75A07">
              <w:t>-</w:t>
            </w:r>
          </w:p>
        </w:tc>
      </w:tr>
      <w:tr w:rsidR="00D106C4" w:rsidTr="000F57A6">
        <w:tc>
          <w:tcPr>
            <w:tcW w:w="2552" w:type="dxa"/>
            <w:tcMar>
              <w:left w:w="28" w:type="dxa"/>
              <w:right w:w="28" w:type="dxa"/>
            </w:tcMar>
          </w:tcPr>
          <w:p w:rsidR="00280A5B" w:rsidRPr="00E75A07" w:rsidRDefault="00280A5B" w:rsidP="009F0049">
            <w:pPr>
              <w:pStyle w:val="TableText0"/>
              <w:spacing w:before="0" w:after="0"/>
              <w:rPr>
                <w:rStyle w:val="CommentReference"/>
                <w:b w:val="0"/>
                <w:iCs/>
              </w:rPr>
            </w:pPr>
            <w:r w:rsidRPr="00E75A07">
              <w:rPr>
                <w:rStyle w:val="CommentReference"/>
                <w:b w:val="0"/>
                <w:iCs/>
              </w:rPr>
              <w:t>2.54 cycles; MAS ≥</w:t>
            </w:r>
            <w:r w:rsidR="00723DAC">
              <w:rPr>
                <w:rStyle w:val="CommentReference"/>
                <w:b w:val="0"/>
                <w:iCs/>
              </w:rPr>
              <w:t xml:space="preserve"> </w:t>
            </w:r>
            <w:r w:rsidRPr="00E75A07">
              <w:rPr>
                <w:rStyle w:val="CommentReference"/>
                <w:b w:val="0"/>
                <w:iCs/>
              </w:rPr>
              <w:t>1 (‘derived MAS</w:t>
            </w:r>
            <w:r w:rsidR="00903AA1" w:rsidRPr="00E75A07">
              <w:rPr>
                <w:rStyle w:val="CommentReference"/>
                <w:b w:val="0"/>
                <w:iCs/>
              </w:rPr>
              <w:t>’</w:t>
            </w:r>
            <w:r w:rsidRPr="00E75A07">
              <w:rPr>
                <w:rStyle w:val="CommentReference"/>
                <w:b w:val="0"/>
                <w:iCs/>
              </w:rPr>
              <w:t xml:space="preserve"> coding)</w:t>
            </w:r>
          </w:p>
        </w:tc>
        <w:tc>
          <w:tcPr>
            <w:tcW w:w="992" w:type="dxa"/>
            <w:tcMar>
              <w:left w:w="28" w:type="dxa"/>
              <w:right w:w="28" w:type="dxa"/>
            </w:tcMar>
            <w:vAlign w:val="center"/>
          </w:tcPr>
          <w:p w:rsidR="00280A5B" w:rsidRPr="00E75A07" w:rsidRDefault="00280A5B" w:rsidP="009F0049">
            <w:pPr>
              <w:pStyle w:val="TableText0"/>
              <w:spacing w:before="0" w:after="0"/>
              <w:jc w:val="center"/>
              <w:rPr>
                <w:iCs/>
              </w:rPr>
            </w:pPr>
            <w:r w:rsidRPr="00E75A07">
              <w:t>$</w:t>
            </w:r>
            <w:r w:rsidR="00926D2B">
              <w:rPr>
                <w:noProof/>
                <w:color w:val="000000"/>
                <w:highlight w:val="black"/>
              </w:rPr>
              <w:t>''''''''''''''''''''''</w:t>
            </w:r>
          </w:p>
        </w:tc>
        <w:tc>
          <w:tcPr>
            <w:tcW w:w="992" w:type="dxa"/>
            <w:tcMar>
              <w:left w:w="28" w:type="dxa"/>
              <w:right w:w="28" w:type="dxa"/>
            </w:tcMar>
            <w:vAlign w:val="center"/>
          </w:tcPr>
          <w:p w:rsidR="00280A5B" w:rsidRPr="00E75A07" w:rsidRDefault="00280A5B" w:rsidP="009F0049">
            <w:pPr>
              <w:pStyle w:val="TableText0"/>
              <w:spacing w:before="0" w:after="0"/>
              <w:jc w:val="center"/>
              <w:rPr>
                <w:rStyle w:val="CommentReference"/>
                <w:b w:val="0"/>
                <w:iCs/>
              </w:rPr>
            </w:pPr>
            <w:r w:rsidRPr="00E75A07">
              <w:rPr>
                <w:rStyle w:val="CommentReference"/>
                <w:b w:val="0"/>
                <w:iCs/>
              </w:rPr>
              <w:t>0.353</w:t>
            </w:r>
          </w:p>
        </w:tc>
        <w:tc>
          <w:tcPr>
            <w:tcW w:w="2268" w:type="dxa"/>
            <w:tcMar>
              <w:left w:w="28" w:type="dxa"/>
              <w:right w:w="28" w:type="dxa"/>
            </w:tcMar>
            <w:vAlign w:val="center"/>
          </w:tcPr>
          <w:p w:rsidR="00280A5B" w:rsidRPr="00E75A07" w:rsidRDefault="00280A5B" w:rsidP="009F0049">
            <w:pPr>
              <w:pStyle w:val="TableText0"/>
              <w:spacing w:before="0" w:after="0"/>
              <w:jc w:val="center"/>
              <w:rPr>
                <w:rStyle w:val="CommentReference"/>
                <w:b w:val="0"/>
                <w:iCs/>
              </w:rPr>
            </w:pPr>
            <w:r w:rsidRPr="00E75A07">
              <w:rPr>
                <w:rStyle w:val="CommentReference"/>
                <w:b w:val="0"/>
                <w:iCs/>
              </w:rPr>
              <w:t>$</w:t>
            </w:r>
            <w:r w:rsidR="00926D2B">
              <w:rPr>
                <w:rStyle w:val="CommentReference"/>
                <w:b w:val="0"/>
                <w:iCs/>
                <w:noProof/>
                <w:color w:val="000000"/>
                <w:highlight w:val="black"/>
              </w:rPr>
              <w:t>''''''''''''''</w:t>
            </w:r>
            <w:r w:rsidRPr="00E75A07">
              <w:rPr>
                <w:rStyle w:val="CommentReference"/>
                <w:b w:val="0"/>
                <w:iCs/>
              </w:rPr>
              <w:t xml:space="preserve"> ($</w:t>
            </w:r>
            <w:r w:rsidR="00926D2B">
              <w:rPr>
                <w:rStyle w:val="CommentReference"/>
                <w:b w:val="0"/>
                <w:iCs/>
                <w:noProof/>
                <w:color w:val="000000"/>
                <w:highlight w:val="black"/>
              </w:rPr>
              <w:t>''''''''''''</w:t>
            </w:r>
            <w:r w:rsidRPr="00E75A07">
              <w:rPr>
                <w:rStyle w:val="CommentReference"/>
                <w:b w:val="0"/>
                <w:iCs/>
              </w:rPr>
              <w:t>, $</w:t>
            </w:r>
            <w:r w:rsidR="00926D2B">
              <w:rPr>
                <w:rStyle w:val="CommentReference"/>
                <w:b w:val="0"/>
                <w:iCs/>
                <w:noProof/>
                <w:color w:val="000000"/>
                <w:highlight w:val="black"/>
              </w:rPr>
              <w:t>'''''''''''''''''</w:t>
            </w:r>
            <w:r w:rsidRPr="00E75A07">
              <w:rPr>
                <w:rStyle w:val="CommentReference"/>
                <w:b w:val="0"/>
                <w:iCs/>
              </w:rPr>
              <w:t>)</w:t>
            </w:r>
          </w:p>
        </w:tc>
        <w:tc>
          <w:tcPr>
            <w:tcW w:w="2251" w:type="dxa"/>
            <w:tcMar>
              <w:left w:w="28" w:type="dxa"/>
              <w:right w:w="28" w:type="dxa"/>
            </w:tcMar>
          </w:tcPr>
          <w:p w:rsidR="00280A5B" w:rsidRPr="00E75A07" w:rsidRDefault="00903AA1" w:rsidP="009F0049">
            <w:pPr>
              <w:pStyle w:val="TableText0"/>
              <w:spacing w:before="0" w:after="0"/>
              <w:jc w:val="center"/>
            </w:pPr>
            <w:r w:rsidRPr="00E75A07">
              <w:t>-</w:t>
            </w:r>
          </w:p>
        </w:tc>
      </w:tr>
      <w:tr w:rsidR="00D106C4" w:rsidTr="000F57A6">
        <w:tc>
          <w:tcPr>
            <w:tcW w:w="2552" w:type="dxa"/>
            <w:tcMar>
              <w:left w:w="28" w:type="dxa"/>
              <w:right w:w="28" w:type="dxa"/>
            </w:tcMar>
          </w:tcPr>
          <w:p w:rsidR="00280A5B" w:rsidRPr="00E75A07" w:rsidRDefault="00280A5B" w:rsidP="009F0049">
            <w:pPr>
              <w:pStyle w:val="TableText0"/>
              <w:spacing w:before="0" w:after="0"/>
              <w:rPr>
                <w:rStyle w:val="CommentReference"/>
                <w:b w:val="0"/>
                <w:iCs/>
              </w:rPr>
            </w:pPr>
            <w:r w:rsidRPr="00E75A07">
              <w:rPr>
                <w:rStyle w:val="CommentReference"/>
                <w:b w:val="0"/>
                <w:iCs/>
              </w:rPr>
              <w:t>2.54 cycles; MAS ≥</w:t>
            </w:r>
            <w:r w:rsidR="00723DAC">
              <w:rPr>
                <w:rStyle w:val="CommentReference"/>
                <w:b w:val="0"/>
                <w:iCs/>
              </w:rPr>
              <w:t xml:space="preserve"> </w:t>
            </w:r>
            <w:r w:rsidRPr="00E75A07">
              <w:rPr>
                <w:rStyle w:val="CommentReference"/>
                <w:b w:val="0"/>
                <w:iCs/>
              </w:rPr>
              <w:t>2 (‘derived MAS</w:t>
            </w:r>
            <w:r w:rsidR="00903AA1" w:rsidRPr="00E75A07">
              <w:rPr>
                <w:rStyle w:val="CommentReference"/>
                <w:b w:val="0"/>
                <w:iCs/>
              </w:rPr>
              <w:t>’</w:t>
            </w:r>
            <w:r w:rsidRPr="00E75A07">
              <w:rPr>
                <w:rStyle w:val="CommentReference"/>
                <w:b w:val="0"/>
                <w:iCs/>
              </w:rPr>
              <w:t xml:space="preserve"> coding)</w:t>
            </w:r>
          </w:p>
        </w:tc>
        <w:tc>
          <w:tcPr>
            <w:tcW w:w="992" w:type="dxa"/>
            <w:tcMar>
              <w:left w:w="28" w:type="dxa"/>
              <w:right w:w="28" w:type="dxa"/>
            </w:tcMar>
            <w:vAlign w:val="center"/>
          </w:tcPr>
          <w:p w:rsidR="00280A5B" w:rsidRPr="00E75A07" w:rsidRDefault="00280A5B" w:rsidP="009F0049">
            <w:pPr>
              <w:pStyle w:val="TableText0"/>
              <w:spacing w:before="0" w:after="0"/>
              <w:jc w:val="center"/>
            </w:pPr>
            <w:r w:rsidRPr="00E75A07">
              <w:t>$</w:t>
            </w:r>
            <w:r w:rsidR="00926D2B">
              <w:rPr>
                <w:noProof/>
                <w:color w:val="000000"/>
                <w:highlight w:val="black"/>
              </w:rPr>
              <w:t>'''''''''''''''''''''</w:t>
            </w:r>
          </w:p>
        </w:tc>
        <w:tc>
          <w:tcPr>
            <w:tcW w:w="992" w:type="dxa"/>
            <w:tcMar>
              <w:left w:w="28" w:type="dxa"/>
              <w:right w:w="28" w:type="dxa"/>
            </w:tcMar>
            <w:vAlign w:val="center"/>
          </w:tcPr>
          <w:p w:rsidR="00280A5B" w:rsidRPr="00E75A07" w:rsidRDefault="00280A5B" w:rsidP="009F0049">
            <w:pPr>
              <w:pStyle w:val="TableText0"/>
              <w:spacing w:before="0" w:after="0"/>
              <w:jc w:val="center"/>
              <w:rPr>
                <w:rStyle w:val="CommentReference"/>
                <w:b w:val="0"/>
                <w:iCs/>
              </w:rPr>
            </w:pPr>
            <w:r w:rsidRPr="00E75A07">
              <w:rPr>
                <w:rStyle w:val="CommentReference"/>
                <w:b w:val="0"/>
                <w:iCs/>
              </w:rPr>
              <w:t>0.144</w:t>
            </w:r>
          </w:p>
        </w:tc>
        <w:tc>
          <w:tcPr>
            <w:tcW w:w="2268" w:type="dxa"/>
            <w:tcMar>
              <w:left w:w="28" w:type="dxa"/>
              <w:right w:w="28" w:type="dxa"/>
            </w:tcMar>
            <w:vAlign w:val="center"/>
          </w:tcPr>
          <w:p w:rsidR="00280A5B" w:rsidRPr="00E75A07" w:rsidRDefault="00280A5B" w:rsidP="009F0049">
            <w:pPr>
              <w:pStyle w:val="TableText0"/>
              <w:spacing w:before="0" w:after="0"/>
              <w:jc w:val="center"/>
              <w:rPr>
                <w:rStyle w:val="CommentReference"/>
                <w:b w:val="0"/>
                <w:iCs/>
              </w:rPr>
            </w:pPr>
            <w:r w:rsidRPr="00E75A07">
              <w:rPr>
                <w:rStyle w:val="CommentReference"/>
                <w:b w:val="0"/>
                <w:iCs/>
              </w:rPr>
              <w:t>$</w:t>
            </w:r>
            <w:r w:rsidR="00926D2B">
              <w:rPr>
                <w:rStyle w:val="CommentReference"/>
                <w:b w:val="0"/>
                <w:iCs/>
                <w:noProof/>
                <w:color w:val="000000"/>
                <w:highlight w:val="black"/>
              </w:rPr>
              <w:t>''''''''''''''''</w:t>
            </w:r>
            <w:r w:rsidRPr="00E75A07">
              <w:rPr>
                <w:rStyle w:val="CommentReference"/>
                <w:b w:val="0"/>
                <w:iCs/>
              </w:rPr>
              <w:t xml:space="preserve"> ($</w:t>
            </w:r>
            <w:r w:rsidR="00926D2B">
              <w:rPr>
                <w:rStyle w:val="CommentReference"/>
                <w:b w:val="0"/>
                <w:iCs/>
                <w:noProof/>
                <w:color w:val="000000"/>
                <w:highlight w:val="black"/>
              </w:rPr>
              <w:t>''''''''''''''''</w:t>
            </w:r>
            <w:r w:rsidRPr="00E75A07">
              <w:rPr>
                <w:rStyle w:val="CommentReference"/>
                <w:b w:val="0"/>
                <w:iCs/>
              </w:rPr>
              <w:t>, $</w:t>
            </w:r>
            <w:r w:rsidR="00926D2B">
              <w:rPr>
                <w:rStyle w:val="CommentReference"/>
                <w:b w:val="0"/>
                <w:iCs/>
                <w:noProof/>
                <w:color w:val="000000"/>
                <w:highlight w:val="black"/>
              </w:rPr>
              <w:t>''''''''''''''''</w:t>
            </w:r>
            <w:r w:rsidRPr="00E75A07">
              <w:rPr>
                <w:rStyle w:val="CommentReference"/>
                <w:b w:val="0"/>
                <w:iCs/>
              </w:rPr>
              <w:t>)</w:t>
            </w:r>
          </w:p>
        </w:tc>
        <w:tc>
          <w:tcPr>
            <w:tcW w:w="2251" w:type="dxa"/>
            <w:tcMar>
              <w:left w:w="28" w:type="dxa"/>
              <w:right w:w="28" w:type="dxa"/>
            </w:tcMar>
          </w:tcPr>
          <w:p w:rsidR="00280A5B" w:rsidRPr="00E75A07" w:rsidRDefault="00903AA1" w:rsidP="009F0049">
            <w:pPr>
              <w:pStyle w:val="TableText0"/>
              <w:spacing w:before="0" w:after="0"/>
              <w:jc w:val="center"/>
            </w:pPr>
            <w:r w:rsidRPr="00E75A07">
              <w:t>-</w:t>
            </w:r>
          </w:p>
        </w:tc>
      </w:tr>
    </w:tbl>
    <w:p w:rsidR="00280A5B" w:rsidRDefault="00D106C4" w:rsidP="009F0049">
      <w:pPr>
        <w:pStyle w:val="TableFooter"/>
        <w:widowControl/>
        <w:rPr>
          <w:rStyle w:val="CommentReference"/>
          <w:b w:val="0"/>
          <w:sz w:val="18"/>
          <w:szCs w:val="22"/>
        </w:rPr>
      </w:pPr>
      <w:r>
        <w:rPr>
          <w:rStyle w:val="CommentReference"/>
          <w:b w:val="0"/>
          <w:sz w:val="18"/>
          <w:szCs w:val="22"/>
        </w:rPr>
        <w:t>C</w:t>
      </w:r>
      <w:r w:rsidR="000F57A6">
        <w:rPr>
          <w:rStyle w:val="CommentReference"/>
          <w:b w:val="0"/>
          <w:sz w:val="18"/>
          <w:szCs w:val="22"/>
        </w:rPr>
        <w:t>I</w:t>
      </w:r>
      <w:r>
        <w:rPr>
          <w:rStyle w:val="CommentReference"/>
          <w:b w:val="0"/>
          <w:sz w:val="18"/>
          <w:szCs w:val="22"/>
        </w:rPr>
        <w:t xml:space="preserve"> = confidence interval; </w:t>
      </w:r>
      <w:r w:rsidR="00280A5B">
        <w:rPr>
          <w:rStyle w:val="CommentReference"/>
          <w:b w:val="0"/>
          <w:sz w:val="18"/>
          <w:szCs w:val="22"/>
        </w:rPr>
        <w:t>MAS = Modified Ashworth Scale</w:t>
      </w:r>
      <w:r>
        <w:rPr>
          <w:rStyle w:val="CommentReference"/>
          <w:b w:val="0"/>
          <w:sz w:val="18"/>
          <w:szCs w:val="22"/>
        </w:rPr>
        <w:t>; NE = not estimable</w:t>
      </w:r>
    </w:p>
    <w:p w:rsidR="00F871D9" w:rsidRDefault="00280A5B" w:rsidP="00723DAC">
      <w:pPr>
        <w:pStyle w:val="PBACHeading1"/>
        <w:numPr>
          <w:ilvl w:val="0"/>
          <w:numId w:val="0"/>
        </w:numPr>
        <w:ind w:left="720" w:hanging="720"/>
        <w:rPr>
          <w:rStyle w:val="CommentReference"/>
          <w:sz w:val="18"/>
          <w:szCs w:val="22"/>
        </w:rPr>
      </w:pPr>
      <w:r w:rsidRPr="00280A5B">
        <w:rPr>
          <w:rStyle w:val="CommentReference"/>
          <w:sz w:val="18"/>
          <w:szCs w:val="22"/>
        </w:rPr>
        <w:t>Source: Table 3, p5 of the PSCR</w:t>
      </w:r>
    </w:p>
    <w:p w:rsidR="00B63ABB" w:rsidRPr="00E75A07" w:rsidRDefault="00B63ABB" w:rsidP="009F0049">
      <w:pPr>
        <w:pStyle w:val="ListParagraph"/>
        <w:widowControl/>
        <w:numPr>
          <w:ilvl w:val="1"/>
          <w:numId w:val="1"/>
        </w:numPr>
      </w:pPr>
      <w:r w:rsidRPr="00E75A07">
        <w:rPr>
          <w:bCs/>
          <w:iCs/>
          <w:szCs w:val="24"/>
        </w:rPr>
        <w:t>The incremental cost per responder was sensitive to the definition of a MAS responder</w:t>
      </w:r>
      <w:r w:rsidR="00770EB4" w:rsidRPr="00E75A07">
        <w:rPr>
          <w:bCs/>
          <w:iCs/>
          <w:szCs w:val="24"/>
        </w:rPr>
        <w:t xml:space="preserve">. </w:t>
      </w:r>
      <w:r w:rsidR="00EB56C7" w:rsidRPr="00E75A07">
        <w:rPr>
          <w:bCs/>
          <w:iCs/>
          <w:szCs w:val="24"/>
        </w:rPr>
        <w:t xml:space="preserve">Using </w:t>
      </w:r>
      <w:r w:rsidR="00903AA1" w:rsidRPr="00E75A07">
        <w:rPr>
          <w:bCs/>
          <w:iCs/>
          <w:szCs w:val="24"/>
        </w:rPr>
        <w:t>data from Study 145 and Study 148</w:t>
      </w:r>
      <w:r w:rsidR="00400C35">
        <w:rPr>
          <w:bCs/>
          <w:iCs/>
          <w:szCs w:val="24"/>
        </w:rPr>
        <w:t xml:space="preserve"> and</w:t>
      </w:r>
      <w:r w:rsidR="00903AA1" w:rsidRPr="00E75A07">
        <w:rPr>
          <w:bCs/>
          <w:iCs/>
          <w:szCs w:val="24"/>
        </w:rPr>
        <w:t xml:space="preserve"> </w:t>
      </w:r>
      <w:r w:rsidR="00400C35">
        <w:rPr>
          <w:bCs/>
          <w:iCs/>
          <w:szCs w:val="24"/>
        </w:rPr>
        <w:t xml:space="preserve">a definition of response of MAS &gt; 1 which was </w:t>
      </w:r>
      <w:r w:rsidR="00EB56C7" w:rsidRPr="00E75A07">
        <w:rPr>
          <w:bCs/>
          <w:iCs/>
          <w:szCs w:val="24"/>
        </w:rPr>
        <w:t>re-coded</w:t>
      </w:r>
      <w:r w:rsidR="00903AA1" w:rsidRPr="00E75A07">
        <w:rPr>
          <w:bCs/>
          <w:iCs/>
          <w:szCs w:val="24"/>
        </w:rPr>
        <w:t xml:space="preserve"> using the historical coding convention</w:t>
      </w:r>
      <w:r w:rsidR="00400C35">
        <w:rPr>
          <w:bCs/>
          <w:iCs/>
          <w:szCs w:val="24"/>
        </w:rPr>
        <w:t>,</w:t>
      </w:r>
      <w:r w:rsidR="00903AA1" w:rsidRPr="00E75A07">
        <w:rPr>
          <w:bCs/>
          <w:iCs/>
          <w:szCs w:val="24"/>
        </w:rPr>
        <w:t xml:space="preserve"> </w:t>
      </w:r>
      <w:r w:rsidR="00EB56C7" w:rsidRPr="00E75A07">
        <w:rPr>
          <w:bCs/>
          <w:iCs/>
          <w:szCs w:val="24"/>
        </w:rPr>
        <w:t xml:space="preserve">resulted in </w:t>
      </w:r>
      <w:r w:rsidR="00903AA1" w:rsidRPr="00E75A07">
        <w:rPr>
          <w:bCs/>
          <w:iCs/>
          <w:szCs w:val="24"/>
        </w:rPr>
        <w:t xml:space="preserve">a </w:t>
      </w:r>
      <w:r w:rsidR="00EB56C7" w:rsidRPr="00E75A07">
        <w:rPr>
          <w:bCs/>
          <w:iCs/>
          <w:szCs w:val="24"/>
        </w:rPr>
        <w:t xml:space="preserve">cost </w:t>
      </w:r>
      <w:r w:rsidR="00903AA1" w:rsidRPr="00E75A07">
        <w:rPr>
          <w:bCs/>
          <w:iCs/>
          <w:szCs w:val="24"/>
        </w:rPr>
        <w:t xml:space="preserve">per responder analysis </w:t>
      </w:r>
      <w:r w:rsidR="00400C35">
        <w:rPr>
          <w:bCs/>
          <w:iCs/>
          <w:szCs w:val="24"/>
        </w:rPr>
        <w:t xml:space="preserve">of </w:t>
      </w:r>
      <w:r w:rsidR="00A53E38">
        <w:rPr>
          <w:bCs/>
          <w:iCs/>
          <w:szCs w:val="24"/>
        </w:rPr>
        <w:t>$15,000 - $45,000</w:t>
      </w:r>
      <w:r w:rsidR="00400C35">
        <w:rPr>
          <w:bCs/>
          <w:iCs/>
          <w:szCs w:val="24"/>
        </w:rPr>
        <w:t xml:space="preserve">. This was considerably </w:t>
      </w:r>
      <w:r w:rsidR="00EB56C7" w:rsidRPr="00E75A07">
        <w:rPr>
          <w:bCs/>
          <w:iCs/>
          <w:szCs w:val="24"/>
        </w:rPr>
        <w:t xml:space="preserve">higher than the </w:t>
      </w:r>
      <w:r w:rsidR="00400C35">
        <w:rPr>
          <w:bCs/>
          <w:iCs/>
          <w:szCs w:val="24"/>
        </w:rPr>
        <w:t xml:space="preserve">corresponding cost per responder </w:t>
      </w:r>
      <w:r w:rsidR="00EB56C7" w:rsidRPr="00E75A07">
        <w:rPr>
          <w:bCs/>
          <w:iCs/>
          <w:szCs w:val="24"/>
        </w:rPr>
        <w:t>estimated in November 2007</w:t>
      </w:r>
      <w:r w:rsidR="00400C35">
        <w:rPr>
          <w:bCs/>
          <w:iCs/>
          <w:szCs w:val="24"/>
        </w:rPr>
        <w:t xml:space="preserve"> of </w:t>
      </w:r>
      <w:r w:rsidR="00A53E38">
        <w:rPr>
          <w:bCs/>
          <w:iCs/>
          <w:szCs w:val="24"/>
        </w:rPr>
        <w:t>less than $15,000</w:t>
      </w:r>
      <w:r w:rsidR="00EB56C7" w:rsidRPr="00E75A07">
        <w:rPr>
          <w:bCs/>
          <w:iCs/>
          <w:szCs w:val="24"/>
        </w:rPr>
        <w:t xml:space="preserve">. The PSCR noted that the 95% confidence intervals were narrower, and sat inside those previously estimated. </w:t>
      </w:r>
      <w:r w:rsidR="00903AA1" w:rsidRPr="00E75A07">
        <w:rPr>
          <w:bCs/>
          <w:iCs/>
          <w:szCs w:val="24"/>
        </w:rPr>
        <w:t xml:space="preserve">The ESC noted that </w:t>
      </w:r>
      <w:r w:rsidR="00FA0A3B" w:rsidRPr="00E75A07">
        <w:rPr>
          <w:bCs/>
          <w:iCs/>
          <w:szCs w:val="24"/>
        </w:rPr>
        <w:t xml:space="preserve">the </w:t>
      </w:r>
      <w:r w:rsidR="00903AA1" w:rsidRPr="00E75A07">
        <w:rPr>
          <w:bCs/>
          <w:iCs/>
          <w:szCs w:val="24"/>
        </w:rPr>
        <w:t xml:space="preserve">2007 </w:t>
      </w:r>
      <w:r w:rsidR="00FA0A3B" w:rsidRPr="00E75A07">
        <w:rPr>
          <w:bCs/>
          <w:iCs/>
          <w:szCs w:val="24"/>
        </w:rPr>
        <w:t>analyses</w:t>
      </w:r>
      <w:r w:rsidR="00903AA1" w:rsidRPr="00E75A07">
        <w:rPr>
          <w:bCs/>
          <w:iCs/>
          <w:szCs w:val="24"/>
        </w:rPr>
        <w:t xml:space="preserve"> were not updated to reflect 2018</w:t>
      </w:r>
      <w:r w:rsidR="00FA0A3B" w:rsidRPr="00E75A07">
        <w:rPr>
          <w:bCs/>
          <w:iCs/>
          <w:szCs w:val="24"/>
        </w:rPr>
        <w:t xml:space="preserve"> costs. </w:t>
      </w:r>
      <w:r w:rsidR="00D00021">
        <w:rPr>
          <w:bCs/>
          <w:iCs/>
          <w:szCs w:val="24"/>
        </w:rPr>
        <w:t xml:space="preserve">The </w:t>
      </w:r>
      <w:r w:rsidR="00C37C41">
        <w:rPr>
          <w:bCs/>
          <w:iCs/>
          <w:szCs w:val="24"/>
        </w:rPr>
        <w:t>p</w:t>
      </w:r>
      <w:r w:rsidR="00D00021">
        <w:rPr>
          <w:bCs/>
          <w:iCs/>
          <w:szCs w:val="24"/>
        </w:rPr>
        <w:t xml:space="preserve">re-PBAC </w:t>
      </w:r>
      <w:r w:rsidR="001E4CA7">
        <w:rPr>
          <w:bCs/>
          <w:iCs/>
          <w:szCs w:val="24"/>
        </w:rPr>
        <w:t>R</w:t>
      </w:r>
      <w:r w:rsidR="00D00021">
        <w:rPr>
          <w:bCs/>
          <w:iCs/>
          <w:szCs w:val="24"/>
        </w:rPr>
        <w:t>esponse updated the 2007 cost per responder analyses to reflect the 2018 PBS costs for Dysport</w:t>
      </w:r>
      <w:r w:rsidR="00465D7D">
        <w:rPr>
          <w:rFonts w:cs="Calibri"/>
          <w:bCs/>
          <w:iCs/>
          <w:szCs w:val="24"/>
        </w:rPr>
        <w:t>® and including analogous MBS costs</w:t>
      </w:r>
      <w:r w:rsidR="00FA327D">
        <w:rPr>
          <w:bCs/>
          <w:iCs/>
          <w:szCs w:val="24"/>
        </w:rPr>
        <w:t xml:space="preserve">, </w:t>
      </w:r>
      <w:r w:rsidR="00465D7D">
        <w:rPr>
          <w:bCs/>
          <w:iCs/>
          <w:szCs w:val="24"/>
        </w:rPr>
        <w:t xml:space="preserve">resulting in an incremental cost of </w:t>
      </w:r>
      <w:r w:rsidR="00D45A4A">
        <w:rPr>
          <w:bCs/>
          <w:iCs/>
          <w:szCs w:val="24"/>
        </w:rPr>
        <w:t>less than $15,000</w:t>
      </w:r>
      <w:r w:rsidR="003545BB">
        <w:rPr>
          <w:bCs/>
          <w:iCs/>
          <w:szCs w:val="24"/>
        </w:rPr>
        <w:t xml:space="preserve"> (</w:t>
      </w:r>
      <w:r w:rsidR="00D00021">
        <w:rPr>
          <w:bCs/>
          <w:iCs/>
          <w:szCs w:val="24"/>
        </w:rPr>
        <w:t xml:space="preserve">95% CI: </w:t>
      </w:r>
      <w:r w:rsidR="00D45A4A">
        <w:rPr>
          <w:bCs/>
          <w:iCs/>
          <w:szCs w:val="24"/>
        </w:rPr>
        <w:t>less than $15,000</w:t>
      </w:r>
      <w:r w:rsidR="00D00021">
        <w:rPr>
          <w:bCs/>
          <w:iCs/>
          <w:szCs w:val="24"/>
        </w:rPr>
        <w:t xml:space="preserve"> to </w:t>
      </w:r>
      <w:r w:rsidR="00D45A4A">
        <w:rPr>
          <w:bCs/>
          <w:iCs/>
          <w:szCs w:val="24"/>
        </w:rPr>
        <w:t>$75,000 - $105,000</w:t>
      </w:r>
      <w:r w:rsidR="003545BB">
        <w:rPr>
          <w:bCs/>
          <w:iCs/>
          <w:szCs w:val="24"/>
        </w:rPr>
        <w:t>)</w:t>
      </w:r>
      <w:r w:rsidR="00D00021">
        <w:rPr>
          <w:bCs/>
          <w:iCs/>
          <w:szCs w:val="24"/>
        </w:rPr>
        <w:t xml:space="preserve">. </w:t>
      </w:r>
    </w:p>
    <w:p w:rsidR="00C25D9C" w:rsidRPr="002C2775" w:rsidRDefault="00D036D3" w:rsidP="009F0049">
      <w:pPr>
        <w:pStyle w:val="Heading2"/>
        <w:widowControl/>
      </w:pPr>
      <w:bookmarkStart w:id="32" w:name="_Toc524461032"/>
      <w:r>
        <w:lastRenderedPageBreak/>
        <w:t>Drug cost/patient/</w:t>
      </w:r>
      <w:r w:rsidR="00C25D9C" w:rsidRPr="002C2775">
        <w:t>cours</w:t>
      </w:r>
      <w:r>
        <w:t>e: $</w:t>
      </w:r>
      <w:r w:rsidRPr="00A6285F">
        <w:t>1,094.79</w:t>
      </w:r>
      <w:r>
        <w:t xml:space="preserve"> (Dysport</w:t>
      </w:r>
      <w:r>
        <w:rPr>
          <w:rFonts w:cs="Calibri"/>
        </w:rPr>
        <w:t>®</w:t>
      </w:r>
      <w:r w:rsidR="00660CAD">
        <w:rPr>
          <w:rFonts w:cs="Calibri"/>
        </w:rPr>
        <w:t xml:space="preserve"> </w:t>
      </w:r>
      <w:r>
        <w:t>1000U)</w:t>
      </w:r>
      <w:bookmarkEnd w:id="32"/>
    </w:p>
    <w:p w:rsidR="00760D30" w:rsidRPr="005878A1" w:rsidRDefault="00465D7D" w:rsidP="009F0049">
      <w:pPr>
        <w:pStyle w:val="ListParagraph"/>
        <w:keepNext/>
        <w:widowControl/>
        <w:numPr>
          <w:ilvl w:val="1"/>
          <w:numId w:val="1"/>
        </w:numPr>
      </w:pPr>
      <w:r>
        <w:t>Assuming a Dysport</w:t>
      </w:r>
      <w:r>
        <w:rPr>
          <w:rFonts w:cs="Calibri"/>
        </w:rPr>
        <w:t>®</w:t>
      </w:r>
      <w:r>
        <w:t xml:space="preserve"> dose of 1000U, </w:t>
      </w:r>
      <w:r w:rsidRPr="00A6285F">
        <w:t>u</w:t>
      </w:r>
      <w:r w:rsidR="00760D30" w:rsidRPr="00A6285F">
        <w:t xml:space="preserve">sing the requested </w:t>
      </w:r>
      <w:r w:rsidRPr="00A6285F">
        <w:t xml:space="preserve">approved ex-manufacturer price for the 500U vial </w:t>
      </w:r>
      <w:r w:rsidR="003368A6" w:rsidRPr="00A6285F">
        <w:t xml:space="preserve">and PBS mark ups from 1 July </w:t>
      </w:r>
      <w:r w:rsidR="00760D30" w:rsidRPr="00A6285F">
        <w:t>2</w:t>
      </w:r>
      <w:r w:rsidR="003368A6" w:rsidRPr="00A6285F">
        <w:t>0</w:t>
      </w:r>
      <w:r w:rsidR="00760D30" w:rsidRPr="00A6285F">
        <w:t>18</w:t>
      </w:r>
      <w:r w:rsidR="00760D30">
        <w:t xml:space="preserve">, the </w:t>
      </w:r>
      <w:r>
        <w:t>drug cost per patient per treatment cycle was estimated to be $</w:t>
      </w:r>
      <w:r w:rsidRPr="00A6285F">
        <w:t>1,094.79</w:t>
      </w:r>
      <w:r>
        <w:t xml:space="preserve">. This was the </w:t>
      </w:r>
      <w:r w:rsidR="00760D30">
        <w:t xml:space="preserve">DPMQ </w:t>
      </w:r>
      <w:r>
        <w:t xml:space="preserve">for two 500U vials </w:t>
      </w:r>
      <w:r w:rsidRPr="00A6285F">
        <w:t xml:space="preserve">and was </w:t>
      </w:r>
      <w:r w:rsidR="00760D30" w:rsidRPr="00A6285F">
        <w:t xml:space="preserve">consistent with the July 2018 </w:t>
      </w:r>
      <w:r w:rsidRPr="00A6285F">
        <w:t xml:space="preserve">PBS </w:t>
      </w:r>
      <w:r w:rsidR="00760D30" w:rsidRPr="00A6285F">
        <w:t>DPMQ for post-stroke patients</w:t>
      </w:r>
      <w:r>
        <w:t xml:space="preserve">. </w:t>
      </w:r>
    </w:p>
    <w:p w:rsidR="001B477C" w:rsidRPr="001B477C" w:rsidRDefault="00760D30" w:rsidP="009F0049">
      <w:pPr>
        <w:pStyle w:val="ListParagraph"/>
        <w:keepNext/>
        <w:widowControl/>
        <w:numPr>
          <w:ilvl w:val="1"/>
          <w:numId w:val="1"/>
        </w:numPr>
      </w:pPr>
      <w:r w:rsidRPr="000F1DF7">
        <w:rPr>
          <w:iCs/>
        </w:rPr>
        <w:t xml:space="preserve">The </w:t>
      </w:r>
      <w:r w:rsidR="00465D7D">
        <w:rPr>
          <w:iCs/>
        </w:rPr>
        <w:t xml:space="preserve">DUSC considered that, on average, patients would receive three to four treatment cycles of botulinum toxin per lifetime </w:t>
      </w:r>
      <w:r w:rsidRPr="000F1DF7">
        <w:rPr>
          <w:iCs/>
        </w:rPr>
        <w:t>(</w:t>
      </w:r>
      <w:r w:rsidR="00465D7D">
        <w:rPr>
          <w:iCs/>
        </w:rPr>
        <w:t xml:space="preserve">Item 10.6, July 2018, </w:t>
      </w:r>
      <w:r w:rsidRPr="000F1DF7">
        <w:rPr>
          <w:iCs/>
        </w:rPr>
        <w:t>DUSC advice to PBAC on botulinum toxin</w:t>
      </w:r>
      <w:r w:rsidR="00465D7D">
        <w:rPr>
          <w:iCs/>
        </w:rPr>
        <w:t>)</w:t>
      </w:r>
      <w:r w:rsidRPr="000F1DF7">
        <w:rPr>
          <w:iCs/>
        </w:rPr>
        <w:t xml:space="preserve">. </w:t>
      </w:r>
    </w:p>
    <w:p w:rsidR="00760D30" w:rsidRPr="00E75A07" w:rsidRDefault="00660CAD" w:rsidP="009F0049">
      <w:pPr>
        <w:pStyle w:val="ListParagraph"/>
        <w:keepNext/>
        <w:widowControl/>
        <w:numPr>
          <w:ilvl w:val="1"/>
          <w:numId w:val="1"/>
        </w:numPr>
      </w:pPr>
      <w:r w:rsidRPr="00E75A07">
        <w:rPr>
          <w:iCs/>
        </w:rPr>
        <w:t xml:space="preserve">The ESC </w:t>
      </w:r>
      <w:r w:rsidR="00FA0A3B" w:rsidRPr="00E75A07">
        <w:rPr>
          <w:iCs/>
        </w:rPr>
        <w:t>considered</w:t>
      </w:r>
      <w:r w:rsidRPr="00E75A07">
        <w:rPr>
          <w:iCs/>
        </w:rPr>
        <w:t xml:space="preserve"> that the number of treatment cycles per patient per </w:t>
      </w:r>
      <w:r w:rsidR="00FA0A3B" w:rsidRPr="00E75A07">
        <w:rPr>
          <w:iCs/>
        </w:rPr>
        <w:t>lifetime</w:t>
      </w:r>
      <w:r w:rsidRPr="00E75A07">
        <w:rPr>
          <w:iCs/>
        </w:rPr>
        <w:t xml:space="preserve"> </w:t>
      </w:r>
      <w:r w:rsidR="00D22314" w:rsidRPr="00E75A07">
        <w:rPr>
          <w:iCs/>
        </w:rPr>
        <w:t xml:space="preserve">for the proposed population </w:t>
      </w:r>
      <w:r w:rsidRPr="00E75A07">
        <w:rPr>
          <w:iCs/>
        </w:rPr>
        <w:t>was uncertain.</w:t>
      </w:r>
    </w:p>
    <w:p w:rsidR="00B60939" w:rsidRPr="00C9624D" w:rsidRDefault="00B60939" w:rsidP="009F0049">
      <w:pPr>
        <w:pStyle w:val="Heading2"/>
        <w:widowControl/>
      </w:pPr>
      <w:bookmarkStart w:id="33" w:name="_Toc524461033"/>
      <w:r w:rsidRPr="00C9624D">
        <w:t>Estimated PBS usage &amp; financial implications</w:t>
      </w:r>
      <w:bookmarkEnd w:id="33"/>
    </w:p>
    <w:p w:rsidR="000F1DF7" w:rsidRPr="00E75A07" w:rsidRDefault="00FA327D" w:rsidP="009F0049">
      <w:pPr>
        <w:pStyle w:val="ListParagraph"/>
        <w:widowControl/>
        <w:numPr>
          <w:ilvl w:val="1"/>
          <w:numId w:val="1"/>
        </w:numPr>
      </w:pPr>
      <w:r>
        <w:t xml:space="preserve">The </w:t>
      </w:r>
      <w:r w:rsidR="00465D7D">
        <w:t>estimated extent of use and financial implications were</w:t>
      </w:r>
      <w:r>
        <w:t xml:space="preserve"> considered by </w:t>
      </w:r>
      <w:r w:rsidR="00465D7D">
        <w:t xml:space="preserve">the </w:t>
      </w:r>
      <w:r>
        <w:t>DUSC.</w:t>
      </w:r>
    </w:p>
    <w:p w:rsidR="00E75A07" w:rsidRDefault="00E75A07" w:rsidP="00E75A07">
      <w:pPr>
        <w:pStyle w:val="ListParagraph"/>
        <w:widowControl/>
        <w:numPr>
          <w:ilvl w:val="1"/>
          <w:numId w:val="1"/>
        </w:numPr>
      </w:pPr>
      <w:r>
        <w:t xml:space="preserve">A mixed </w:t>
      </w:r>
      <w:r w:rsidRPr="00FB1CA5">
        <w:t xml:space="preserve">approach </w:t>
      </w:r>
      <w:r>
        <w:t xml:space="preserve">was used to estimate the </w:t>
      </w:r>
      <w:r w:rsidR="00D833E0">
        <w:t>utilisation</w:t>
      </w:r>
      <w:r>
        <w:t xml:space="preserve"> </w:t>
      </w:r>
      <w:r w:rsidR="00D833E0">
        <w:t xml:space="preserve">and financial impact </w:t>
      </w:r>
      <w:r>
        <w:t>of</w:t>
      </w:r>
      <w:r w:rsidR="00D833E0">
        <w:t xml:space="preserve"> listing</w:t>
      </w:r>
      <w:r>
        <w:t xml:space="preserve"> </w:t>
      </w:r>
      <w:r w:rsidR="00D833E0">
        <w:t>Dysport</w:t>
      </w:r>
      <w:r w:rsidR="00D833E0">
        <w:rPr>
          <w:rFonts w:cs="Calibri"/>
        </w:rPr>
        <w:t>®</w:t>
      </w:r>
      <w:r w:rsidR="00D833E0">
        <w:t xml:space="preserve"> for the treatment of upper limb spasticity following an acute event. The submission used an epidemiological approach to </w:t>
      </w:r>
      <w:r>
        <w:t xml:space="preserve">estimate </w:t>
      </w:r>
      <w:r w:rsidR="00D833E0">
        <w:t xml:space="preserve">Population 1, </w:t>
      </w:r>
      <w:r>
        <w:t xml:space="preserve">the number of patients with non-stroke related </w:t>
      </w:r>
      <w:r w:rsidR="00D833E0">
        <w:t xml:space="preserve">upper limb </w:t>
      </w:r>
      <w:r>
        <w:t xml:space="preserve">spasticity; and </w:t>
      </w:r>
      <w:r w:rsidR="00D833E0">
        <w:t xml:space="preserve">a market share approach to estimate </w:t>
      </w:r>
      <w:r w:rsidRPr="006552A3">
        <w:t>Population 2</w:t>
      </w:r>
      <w:r w:rsidR="00D833E0">
        <w:t>, the</w:t>
      </w:r>
      <w:r w:rsidRPr="006552A3">
        <w:t xml:space="preserve"> increased lifetime use of </w:t>
      </w:r>
      <w:r w:rsidR="00D833E0">
        <w:t>Dysport</w:t>
      </w:r>
      <w:r w:rsidR="00D833E0">
        <w:rPr>
          <w:rFonts w:cs="Calibri"/>
        </w:rPr>
        <w:t>®</w:t>
      </w:r>
      <w:r w:rsidRPr="006552A3">
        <w:t xml:space="preserve"> by pat</w:t>
      </w:r>
      <w:r>
        <w:t xml:space="preserve">ients with </w:t>
      </w:r>
      <w:r w:rsidR="00D833E0">
        <w:t xml:space="preserve">upper limb </w:t>
      </w:r>
      <w:r>
        <w:t>spasticity due to stroke and non-stroke</w:t>
      </w:r>
      <w:r w:rsidR="00D833E0">
        <w:t xml:space="preserve"> events</w:t>
      </w:r>
      <w:r>
        <w:t>,</w:t>
      </w:r>
      <w:r w:rsidRPr="006552A3">
        <w:t xml:space="preserve"> due to </w:t>
      </w:r>
      <w:r w:rsidR="00D833E0">
        <w:t xml:space="preserve">the </w:t>
      </w:r>
      <w:r w:rsidRPr="006552A3">
        <w:t xml:space="preserve">removal of the </w:t>
      </w:r>
      <w:r w:rsidR="00D833E0">
        <w:t xml:space="preserve">four </w:t>
      </w:r>
      <w:r w:rsidRPr="006552A3">
        <w:t>treatment lifetime limit</w:t>
      </w:r>
      <w:r w:rsidR="00D833E0">
        <w:t xml:space="preserve"> (see Table 15)</w:t>
      </w:r>
      <w:r w:rsidRPr="006552A3">
        <w:t xml:space="preserve">. </w:t>
      </w:r>
      <w:r>
        <w:t xml:space="preserve"> </w:t>
      </w:r>
      <w:r w:rsidR="00D833E0">
        <w:t xml:space="preserve">Australian Institute of Health and Welfare (AIHW) </w:t>
      </w:r>
      <w:r>
        <w:t xml:space="preserve">hospital separation data for TBI, and data from the Australian Spinal Cord Injury Register were used to estimate the number of TBI and </w:t>
      </w:r>
      <w:r w:rsidR="00C52153">
        <w:t xml:space="preserve">spinal cord injury </w:t>
      </w:r>
      <w:r>
        <w:t xml:space="preserve">patients respectively, who </w:t>
      </w:r>
      <w:r w:rsidR="00C52153">
        <w:t xml:space="preserve">would be </w:t>
      </w:r>
      <w:r>
        <w:t>eligible for treatment.  The incidence of ‘other’ patients (</w:t>
      </w:r>
      <w:r w:rsidR="00C52153">
        <w:t xml:space="preserve">i.e. spasticity due to </w:t>
      </w:r>
      <w:r>
        <w:t>hypoxia, infection, surgery</w:t>
      </w:r>
      <w:r w:rsidR="00C52153">
        <w:t>, etc</w:t>
      </w:r>
      <w:r w:rsidR="0062184F">
        <w:t>.</w:t>
      </w:r>
      <w:r>
        <w:t>) was obtained from clinician feedback at a 2018 Australian advisory board meeting held by the Sponsor.</w:t>
      </w:r>
    </w:p>
    <w:p w:rsidR="00E75A07" w:rsidRPr="00243C93" w:rsidRDefault="00E75A07" w:rsidP="00E75A07">
      <w:pPr>
        <w:pStyle w:val="TableHeading0"/>
      </w:pPr>
      <w:bookmarkStart w:id="34" w:name="_Toc524429287"/>
      <w:r w:rsidRPr="00243C93">
        <w:rPr>
          <w:rStyle w:val="CommentReference"/>
          <w:b/>
          <w:bCs/>
        </w:rPr>
        <w:lastRenderedPageBreak/>
        <w:t xml:space="preserve">Table </w:t>
      </w:r>
      <w:r w:rsidR="002A137F">
        <w:rPr>
          <w:rStyle w:val="CommentReference"/>
          <w:b/>
          <w:bCs/>
        </w:rPr>
        <w:t>1</w:t>
      </w:r>
      <w:r w:rsidR="00FA327D">
        <w:rPr>
          <w:rStyle w:val="CommentReference"/>
          <w:b/>
          <w:bCs/>
        </w:rPr>
        <w:t>5</w:t>
      </w:r>
      <w:r w:rsidRPr="00243C93">
        <w:rPr>
          <w:rStyle w:val="CommentReference"/>
          <w:b/>
          <w:bCs/>
        </w:rPr>
        <w:t>: Estimated use and financial implications</w:t>
      </w:r>
      <w:bookmarkEnd w:id="34"/>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95"/>
        <w:gridCol w:w="1005"/>
        <w:gridCol w:w="1024"/>
        <w:gridCol w:w="1132"/>
        <w:gridCol w:w="1132"/>
        <w:gridCol w:w="1132"/>
        <w:gridCol w:w="1119"/>
      </w:tblGrid>
      <w:tr w:rsidR="00E75A07" w:rsidRPr="00D1078F" w:rsidTr="00C52153">
        <w:trPr>
          <w:tblHeader/>
        </w:trPr>
        <w:tc>
          <w:tcPr>
            <w:tcW w:w="1344" w:type="pct"/>
            <w:shd w:val="clear" w:color="auto" w:fill="auto"/>
            <w:vAlign w:val="center"/>
          </w:tcPr>
          <w:p w:rsidR="00E75A07" w:rsidRPr="00E75A07" w:rsidRDefault="00E75A07" w:rsidP="00E75A07">
            <w:pPr>
              <w:pStyle w:val="Tabletext"/>
              <w:keepNext/>
              <w:keepLines/>
              <w:rPr>
                <w:szCs w:val="20"/>
              </w:rPr>
            </w:pPr>
          </w:p>
        </w:tc>
        <w:tc>
          <w:tcPr>
            <w:tcW w:w="538" w:type="pct"/>
            <w:shd w:val="clear" w:color="auto" w:fill="auto"/>
            <w:vAlign w:val="center"/>
          </w:tcPr>
          <w:p w:rsidR="00E75A07" w:rsidRPr="00E75A07" w:rsidRDefault="00E75A07" w:rsidP="00E75A07">
            <w:pPr>
              <w:pStyle w:val="Tabletext"/>
              <w:keepNext/>
              <w:keepLines/>
              <w:jc w:val="center"/>
              <w:rPr>
                <w:b/>
                <w:szCs w:val="20"/>
              </w:rPr>
            </w:pPr>
            <w:r w:rsidRPr="00E75A07">
              <w:rPr>
                <w:b/>
                <w:szCs w:val="20"/>
              </w:rPr>
              <w:t>2019</w:t>
            </w:r>
          </w:p>
        </w:tc>
        <w:tc>
          <w:tcPr>
            <w:tcW w:w="577" w:type="pct"/>
            <w:shd w:val="clear" w:color="auto" w:fill="auto"/>
            <w:vAlign w:val="center"/>
          </w:tcPr>
          <w:p w:rsidR="00E75A07" w:rsidRPr="00E75A07" w:rsidRDefault="00E75A07" w:rsidP="00E75A07">
            <w:pPr>
              <w:pStyle w:val="Tabletext"/>
              <w:keepNext/>
              <w:keepLines/>
              <w:jc w:val="center"/>
              <w:rPr>
                <w:b/>
                <w:szCs w:val="20"/>
              </w:rPr>
            </w:pPr>
            <w:r w:rsidRPr="00E75A07">
              <w:rPr>
                <w:b/>
                <w:szCs w:val="20"/>
              </w:rPr>
              <w:t>2020</w:t>
            </w:r>
          </w:p>
        </w:tc>
        <w:tc>
          <w:tcPr>
            <w:tcW w:w="637" w:type="pct"/>
            <w:shd w:val="clear" w:color="auto" w:fill="auto"/>
            <w:vAlign w:val="center"/>
          </w:tcPr>
          <w:p w:rsidR="00E75A07" w:rsidRPr="00E75A07" w:rsidRDefault="00E75A07" w:rsidP="00E75A07">
            <w:pPr>
              <w:pStyle w:val="Tabletext"/>
              <w:keepNext/>
              <w:keepLines/>
              <w:jc w:val="center"/>
              <w:rPr>
                <w:b/>
                <w:szCs w:val="20"/>
              </w:rPr>
            </w:pPr>
            <w:r w:rsidRPr="00E75A07">
              <w:rPr>
                <w:b/>
                <w:szCs w:val="20"/>
              </w:rPr>
              <w:t>2021</w:t>
            </w:r>
          </w:p>
        </w:tc>
        <w:tc>
          <w:tcPr>
            <w:tcW w:w="637" w:type="pct"/>
            <w:shd w:val="clear" w:color="auto" w:fill="auto"/>
            <w:vAlign w:val="center"/>
          </w:tcPr>
          <w:p w:rsidR="00E75A07" w:rsidRPr="00E75A07" w:rsidRDefault="00E75A07" w:rsidP="00E75A07">
            <w:pPr>
              <w:pStyle w:val="Tabletext"/>
              <w:keepNext/>
              <w:keepLines/>
              <w:jc w:val="center"/>
              <w:rPr>
                <w:b/>
                <w:szCs w:val="20"/>
              </w:rPr>
            </w:pPr>
            <w:r w:rsidRPr="00E75A07">
              <w:rPr>
                <w:b/>
                <w:szCs w:val="20"/>
              </w:rPr>
              <w:t>2022</w:t>
            </w:r>
          </w:p>
        </w:tc>
        <w:tc>
          <w:tcPr>
            <w:tcW w:w="637" w:type="pct"/>
            <w:shd w:val="clear" w:color="auto" w:fill="auto"/>
            <w:vAlign w:val="center"/>
          </w:tcPr>
          <w:p w:rsidR="00E75A07" w:rsidRPr="00E75A07" w:rsidRDefault="00E75A07" w:rsidP="00E75A07">
            <w:pPr>
              <w:pStyle w:val="Tabletext"/>
              <w:keepNext/>
              <w:keepLines/>
              <w:jc w:val="center"/>
              <w:rPr>
                <w:b/>
                <w:szCs w:val="20"/>
              </w:rPr>
            </w:pPr>
            <w:r w:rsidRPr="00E75A07">
              <w:rPr>
                <w:b/>
                <w:szCs w:val="20"/>
              </w:rPr>
              <w:t>2023</w:t>
            </w:r>
          </w:p>
        </w:tc>
        <w:tc>
          <w:tcPr>
            <w:tcW w:w="630" w:type="pct"/>
          </w:tcPr>
          <w:p w:rsidR="00E75A07" w:rsidRPr="00E75A07" w:rsidRDefault="00E75A07" w:rsidP="00E75A07">
            <w:pPr>
              <w:pStyle w:val="Tabletext"/>
              <w:keepNext/>
              <w:keepLines/>
              <w:jc w:val="center"/>
              <w:rPr>
                <w:b/>
                <w:szCs w:val="20"/>
              </w:rPr>
            </w:pPr>
            <w:r w:rsidRPr="00E75A07">
              <w:rPr>
                <w:b/>
                <w:szCs w:val="20"/>
              </w:rPr>
              <w:t>2024</w:t>
            </w:r>
          </w:p>
        </w:tc>
      </w:tr>
      <w:tr w:rsidR="00E75A07" w:rsidRPr="00D1078F" w:rsidTr="00E75A07">
        <w:tc>
          <w:tcPr>
            <w:tcW w:w="5000" w:type="pct"/>
            <w:gridSpan w:val="7"/>
            <w:shd w:val="clear" w:color="auto" w:fill="auto"/>
            <w:vAlign w:val="center"/>
          </w:tcPr>
          <w:p w:rsidR="00E75A07" w:rsidRPr="00E75A07" w:rsidRDefault="00E75A07" w:rsidP="00E75A07">
            <w:pPr>
              <w:pStyle w:val="Tabletext"/>
              <w:keepNext/>
              <w:keepLines/>
              <w:rPr>
                <w:b/>
                <w:bCs/>
                <w:color w:val="000000"/>
                <w:szCs w:val="20"/>
              </w:rPr>
            </w:pPr>
            <w:r w:rsidRPr="00E75A07">
              <w:rPr>
                <w:b/>
                <w:bCs/>
                <w:color w:val="000000"/>
                <w:szCs w:val="20"/>
              </w:rPr>
              <w:t>Estimated extent of use</w:t>
            </w:r>
          </w:p>
        </w:tc>
      </w:tr>
      <w:tr w:rsidR="00E75A07" w:rsidRPr="003639A6" w:rsidTr="00E75A07">
        <w:tc>
          <w:tcPr>
            <w:tcW w:w="5000" w:type="pct"/>
            <w:gridSpan w:val="7"/>
            <w:shd w:val="clear" w:color="auto" w:fill="auto"/>
            <w:vAlign w:val="center"/>
          </w:tcPr>
          <w:p w:rsidR="00E75A07" w:rsidRPr="00E75A07" w:rsidRDefault="00E75A07" w:rsidP="00E75A07">
            <w:pPr>
              <w:pStyle w:val="Tabletext"/>
              <w:keepNext/>
              <w:keepLines/>
              <w:rPr>
                <w:iCs/>
                <w:szCs w:val="20"/>
              </w:rPr>
            </w:pPr>
            <w:r w:rsidRPr="00E75A07">
              <w:rPr>
                <w:b/>
                <w:bCs/>
                <w:szCs w:val="20"/>
              </w:rPr>
              <w:t>Population 1 (new patients with non-stroke spasticity)</w:t>
            </w:r>
          </w:p>
        </w:tc>
      </w:tr>
      <w:tr w:rsidR="00E75A07" w:rsidRPr="003639A6" w:rsidTr="00C52153">
        <w:tc>
          <w:tcPr>
            <w:tcW w:w="1344" w:type="pct"/>
            <w:shd w:val="clear" w:color="auto" w:fill="auto"/>
            <w:vAlign w:val="center"/>
          </w:tcPr>
          <w:p w:rsidR="00E75A07" w:rsidRPr="00E75A07" w:rsidRDefault="00E75A07" w:rsidP="00C52153">
            <w:pPr>
              <w:pStyle w:val="Tabletext"/>
              <w:keepNext/>
              <w:keepLines/>
              <w:rPr>
                <w:szCs w:val="20"/>
              </w:rPr>
            </w:pPr>
            <w:r w:rsidRPr="00E75A07">
              <w:rPr>
                <w:szCs w:val="20"/>
              </w:rPr>
              <w:t xml:space="preserve">Number of incident patients </w:t>
            </w:r>
          </w:p>
        </w:tc>
        <w:tc>
          <w:tcPr>
            <w:tcW w:w="538" w:type="pct"/>
            <w:vAlign w:val="center"/>
          </w:tcPr>
          <w:p w:rsidR="00E75A07" w:rsidRPr="00926D2B" w:rsidRDefault="00926D2B" w:rsidP="00E75A07">
            <w:pPr>
              <w:pStyle w:val="Tabletext"/>
              <w:keepNext/>
              <w:keepLines/>
              <w:jc w:val="center"/>
              <w:rPr>
                <w:bCs/>
                <w:color w:val="000000"/>
                <w:szCs w:val="20"/>
                <w:highlight w:val="black"/>
              </w:rPr>
            </w:pPr>
            <w:r>
              <w:rPr>
                <w:iCs/>
                <w:noProof/>
                <w:color w:val="000000"/>
                <w:szCs w:val="20"/>
                <w:highlight w:val="black"/>
              </w:rPr>
              <w:t>'''''''''</w:t>
            </w:r>
          </w:p>
        </w:tc>
        <w:tc>
          <w:tcPr>
            <w:tcW w:w="577" w:type="pct"/>
            <w:vAlign w:val="center"/>
          </w:tcPr>
          <w:p w:rsidR="00E75A07" w:rsidRPr="00926D2B" w:rsidRDefault="00926D2B" w:rsidP="00E75A07">
            <w:pPr>
              <w:pStyle w:val="Tabletext"/>
              <w:keepNext/>
              <w:keepLines/>
              <w:jc w:val="center"/>
              <w:rPr>
                <w:bCs/>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bCs/>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bCs/>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bCs/>
                <w:color w:val="000000"/>
                <w:szCs w:val="20"/>
                <w:highlight w:val="black"/>
              </w:rPr>
            </w:pPr>
            <w:r>
              <w:rPr>
                <w:iCs/>
                <w:noProof/>
                <w:color w:val="000000"/>
                <w:szCs w:val="20"/>
                <w:highlight w:val="black"/>
              </w:rPr>
              <w:t>''''''''''</w:t>
            </w:r>
          </w:p>
        </w:tc>
        <w:tc>
          <w:tcPr>
            <w:tcW w:w="630" w:type="pct"/>
            <w:vAlign w:val="center"/>
          </w:tcPr>
          <w:p w:rsidR="00E75A07" w:rsidRPr="00926D2B" w:rsidRDefault="00926D2B" w:rsidP="00E75A07">
            <w:pPr>
              <w:pStyle w:val="Tabletext"/>
              <w:keepNext/>
              <w:keepLines/>
              <w:jc w:val="center"/>
              <w:rPr>
                <w:bCs/>
                <w:color w:val="000000"/>
                <w:szCs w:val="20"/>
                <w:highlight w:val="black"/>
              </w:rPr>
            </w:pPr>
            <w:r>
              <w:rPr>
                <w:iCs/>
                <w:noProof/>
                <w:color w:val="000000"/>
                <w:szCs w:val="20"/>
                <w:highlight w:val="black"/>
              </w:rPr>
              <w:t>''''''''''</w:t>
            </w:r>
          </w:p>
        </w:tc>
      </w:tr>
      <w:tr w:rsidR="00E75A07" w:rsidRPr="003639A6" w:rsidTr="00C52153">
        <w:tc>
          <w:tcPr>
            <w:tcW w:w="1344" w:type="pct"/>
            <w:vAlign w:val="center"/>
          </w:tcPr>
          <w:p w:rsidR="00E75A07" w:rsidRPr="00E75A07" w:rsidRDefault="00C52153" w:rsidP="00C52153">
            <w:pPr>
              <w:pStyle w:val="Tabletext"/>
              <w:keepNext/>
              <w:keepLines/>
              <w:rPr>
                <w:szCs w:val="20"/>
              </w:rPr>
            </w:pPr>
            <w:r>
              <w:rPr>
                <w:iCs/>
                <w:szCs w:val="20"/>
              </w:rPr>
              <w:t>Number of p</w:t>
            </w:r>
            <w:r w:rsidR="00E75A07" w:rsidRPr="00E75A07">
              <w:rPr>
                <w:iCs/>
                <w:szCs w:val="20"/>
              </w:rPr>
              <w:t xml:space="preserve">revalent patients </w:t>
            </w:r>
          </w:p>
        </w:tc>
        <w:tc>
          <w:tcPr>
            <w:tcW w:w="538" w:type="pct"/>
            <w:vAlign w:val="center"/>
          </w:tcPr>
          <w:p w:rsidR="00E75A07" w:rsidRPr="00926D2B" w:rsidRDefault="00926D2B" w:rsidP="00E75A07">
            <w:pPr>
              <w:pStyle w:val="Tabletext"/>
              <w:keepNext/>
              <w:keepLines/>
              <w:jc w:val="center"/>
              <w:rPr>
                <w:iCs/>
                <w:szCs w:val="20"/>
                <w:highlight w:val="black"/>
              </w:rPr>
            </w:pPr>
            <w:r>
              <w:rPr>
                <w:iCs/>
                <w:noProof/>
                <w:color w:val="000000"/>
                <w:szCs w:val="20"/>
                <w:highlight w:val="black"/>
              </w:rPr>
              <w:t>''''''''''''</w:t>
            </w:r>
          </w:p>
        </w:tc>
        <w:tc>
          <w:tcPr>
            <w:tcW w:w="577" w:type="pct"/>
            <w:vAlign w:val="center"/>
          </w:tcPr>
          <w:p w:rsidR="00E75A07" w:rsidRPr="00926D2B" w:rsidRDefault="00926D2B" w:rsidP="00E75A07">
            <w:pPr>
              <w:pStyle w:val="Tabletext"/>
              <w:keepNext/>
              <w:keepLines/>
              <w:jc w:val="center"/>
              <w:rPr>
                <w:iCs/>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iCs/>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iCs/>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iCs/>
                <w:szCs w:val="20"/>
                <w:highlight w:val="black"/>
              </w:rPr>
            </w:pPr>
            <w:r>
              <w:rPr>
                <w:iCs/>
                <w:noProof/>
                <w:color w:val="000000"/>
                <w:szCs w:val="20"/>
                <w:highlight w:val="black"/>
              </w:rPr>
              <w:t>''''</w:t>
            </w:r>
          </w:p>
        </w:tc>
        <w:tc>
          <w:tcPr>
            <w:tcW w:w="630" w:type="pct"/>
            <w:vAlign w:val="center"/>
          </w:tcPr>
          <w:p w:rsidR="00E75A07" w:rsidRPr="00926D2B" w:rsidRDefault="00926D2B" w:rsidP="00E75A07">
            <w:pPr>
              <w:pStyle w:val="Tabletext"/>
              <w:keepNext/>
              <w:keepLines/>
              <w:jc w:val="center"/>
              <w:rPr>
                <w:iCs/>
                <w:szCs w:val="20"/>
                <w:highlight w:val="black"/>
              </w:rPr>
            </w:pPr>
            <w:r>
              <w:rPr>
                <w:iCs/>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 xml:space="preserve">Number of treatment </w:t>
            </w:r>
            <w:proofErr w:type="spellStart"/>
            <w:r w:rsidRPr="00E75A07">
              <w:rPr>
                <w:szCs w:val="20"/>
              </w:rPr>
              <w:t>cycles</w:t>
            </w:r>
            <w:r w:rsidRPr="00E75A07">
              <w:rPr>
                <w:szCs w:val="20"/>
                <w:vertAlign w:val="superscript"/>
              </w:rPr>
              <w:t>a</w:t>
            </w:r>
            <w:proofErr w:type="spellEnd"/>
            <w:r w:rsidRPr="00E75A07">
              <w:rPr>
                <w:szCs w:val="20"/>
                <w:vertAlign w:val="superscript"/>
              </w:rPr>
              <w:t xml:space="preserve">  </w:t>
            </w:r>
          </w:p>
        </w:tc>
        <w:tc>
          <w:tcPr>
            <w:tcW w:w="538" w:type="pct"/>
            <w:shd w:val="clear" w:color="auto" w:fill="auto"/>
            <w:vAlign w:val="center"/>
          </w:tcPr>
          <w:p w:rsidR="00E75A07" w:rsidRPr="00926D2B" w:rsidRDefault="00926D2B" w:rsidP="00E75A07">
            <w:pPr>
              <w:pStyle w:val="Tabletext"/>
              <w:keepNext/>
              <w:keepLines/>
              <w:jc w:val="center"/>
              <w:rPr>
                <w:bCs/>
                <w:color w:val="000000"/>
                <w:szCs w:val="20"/>
                <w:highlight w:val="black"/>
              </w:rPr>
            </w:pPr>
            <w:r>
              <w:rPr>
                <w:bCs/>
                <w:noProof/>
                <w:color w:val="000000"/>
                <w:szCs w:val="20"/>
                <w:highlight w:val="black"/>
              </w:rPr>
              <w:t>''''''''''''</w:t>
            </w:r>
          </w:p>
        </w:tc>
        <w:tc>
          <w:tcPr>
            <w:tcW w:w="577" w:type="pct"/>
            <w:shd w:val="clear" w:color="auto" w:fill="auto"/>
            <w:vAlign w:val="center"/>
          </w:tcPr>
          <w:p w:rsidR="00E75A07" w:rsidRPr="00926D2B" w:rsidRDefault="00926D2B" w:rsidP="00E75A07">
            <w:pPr>
              <w:pStyle w:val="Tabletext"/>
              <w:keepNext/>
              <w:keepLines/>
              <w:jc w:val="center"/>
              <w:rPr>
                <w:bCs/>
                <w:color w:val="000000"/>
                <w:szCs w:val="20"/>
                <w:highlight w:val="black"/>
              </w:rPr>
            </w:pPr>
            <w:r>
              <w:rPr>
                <w:bCs/>
                <w:noProof/>
                <w:color w:val="000000"/>
                <w:szCs w:val="20"/>
                <w:highlight w:val="black"/>
              </w:rPr>
              <w:t>'''''''''''''</w:t>
            </w:r>
          </w:p>
        </w:tc>
        <w:tc>
          <w:tcPr>
            <w:tcW w:w="637" w:type="pct"/>
            <w:shd w:val="clear" w:color="auto" w:fill="auto"/>
            <w:vAlign w:val="center"/>
          </w:tcPr>
          <w:p w:rsidR="00E75A07" w:rsidRPr="00926D2B" w:rsidRDefault="00926D2B" w:rsidP="00E75A07">
            <w:pPr>
              <w:pStyle w:val="Tabletext"/>
              <w:keepNext/>
              <w:keepLines/>
              <w:jc w:val="center"/>
              <w:rPr>
                <w:bCs/>
                <w:color w:val="000000"/>
                <w:szCs w:val="20"/>
                <w:highlight w:val="black"/>
              </w:rPr>
            </w:pPr>
            <w:r>
              <w:rPr>
                <w:bCs/>
                <w:noProof/>
                <w:color w:val="000000"/>
                <w:szCs w:val="20"/>
                <w:highlight w:val="black"/>
              </w:rPr>
              <w:t>''''''''''''''</w:t>
            </w:r>
          </w:p>
        </w:tc>
        <w:tc>
          <w:tcPr>
            <w:tcW w:w="637" w:type="pct"/>
            <w:shd w:val="clear" w:color="auto" w:fill="auto"/>
            <w:vAlign w:val="center"/>
          </w:tcPr>
          <w:p w:rsidR="00E75A07" w:rsidRPr="00926D2B" w:rsidRDefault="00926D2B" w:rsidP="00E75A07">
            <w:pPr>
              <w:pStyle w:val="Tabletext"/>
              <w:keepNext/>
              <w:keepLines/>
              <w:jc w:val="center"/>
              <w:rPr>
                <w:bCs/>
                <w:color w:val="000000"/>
                <w:szCs w:val="20"/>
                <w:highlight w:val="black"/>
              </w:rPr>
            </w:pPr>
            <w:r>
              <w:rPr>
                <w:bCs/>
                <w:noProof/>
                <w:color w:val="000000"/>
                <w:szCs w:val="20"/>
                <w:highlight w:val="black"/>
              </w:rPr>
              <w:t>'''''''''''''''</w:t>
            </w:r>
          </w:p>
        </w:tc>
        <w:tc>
          <w:tcPr>
            <w:tcW w:w="637" w:type="pct"/>
            <w:shd w:val="clear" w:color="auto" w:fill="auto"/>
            <w:vAlign w:val="center"/>
          </w:tcPr>
          <w:p w:rsidR="00E75A07" w:rsidRPr="00926D2B" w:rsidRDefault="00926D2B" w:rsidP="00E75A07">
            <w:pPr>
              <w:pStyle w:val="Tabletext"/>
              <w:keepNext/>
              <w:keepLines/>
              <w:jc w:val="center"/>
              <w:rPr>
                <w:bCs/>
                <w:color w:val="000000"/>
                <w:szCs w:val="20"/>
                <w:highlight w:val="black"/>
              </w:rPr>
            </w:pPr>
            <w:r>
              <w:rPr>
                <w:bCs/>
                <w:noProof/>
                <w:color w:val="000000"/>
                <w:szCs w:val="20"/>
                <w:highlight w:val="black"/>
              </w:rPr>
              <w:t>'''''''''''''</w:t>
            </w:r>
          </w:p>
        </w:tc>
        <w:tc>
          <w:tcPr>
            <w:tcW w:w="630" w:type="pct"/>
            <w:vAlign w:val="center"/>
          </w:tcPr>
          <w:p w:rsidR="00E75A07" w:rsidRPr="00926D2B" w:rsidRDefault="00926D2B" w:rsidP="00E75A07">
            <w:pPr>
              <w:pStyle w:val="Tabletext"/>
              <w:keepNext/>
              <w:keepLines/>
              <w:jc w:val="center"/>
              <w:rPr>
                <w:bCs/>
                <w:color w:val="000000"/>
                <w:szCs w:val="20"/>
                <w:highlight w:val="black"/>
              </w:rPr>
            </w:pPr>
            <w:r>
              <w:rPr>
                <w:bCs/>
                <w:noProof/>
                <w:color w:val="000000"/>
                <w:szCs w:val="20"/>
                <w:highlight w:val="black"/>
              </w:rPr>
              <w:t>'''''''''''''</w:t>
            </w:r>
          </w:p>
        </w:tc>
      </w:tr>
      <w:tr w:rsidR="00E75A07" w:rsidRPr="003639A6" w:rsidTr="00E75A07">
        <w:tc>
          <w:tcPr>
            <w:tcW w:w="5000" w:type="pct"/>
            <w:gridSpan w:val="7"/>
            <w:shd w:val="clear" w:color="auto" w:fill="auto"/>
            <w:vAlign w:val="center"/>
          </w:tcPr>
          <w:p w:rsidR="00E75A07" w:rsidRPr="00E75A07" w:rsidRDefault="00E75A07" w:rsidP="00E75A07">
            <w:pPr>
              <w:pStyle w:val="Tabletext"/>
              <w:keepNext/>
              <w:keepLines/>
              <w:rPr>
                <w:bCs/>
                <w:color w:val="000000"/>
                <w:szCs w:val="20"/>
              </w:rPr>
            </w:pPr>
            <w:r w:rsidRPr="00E75A07">
              <w:rPr>
                <w:b/>
                <w:bCs/>
                <w:szCs w:val="20"/>
              </w:rPr>
              <w:t>Population 2 (effect of removal of lifetime limit)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Additional number of treatment cycles (non-stroke)</w:t>
            </w:r>
          </w:p>
        </w:tc>
        <w:tc>
          <w:tcPr>
            <w:tcW w:w="538"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57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0"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Increased number of treatment cycles (current stroke)</w:t>
            </w:r>
          </w:p>
        </w:tc>
        <w:tc>
          <w:tcPr>
            <w:tcW w:w="538"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57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c>
          <w:tcPr>
            <w:tcW w:w="630" w:type="pct"/>
            <w:vAlign w:val="center"/>
          </w:tcPr>
          <w:p w:rsidR="00E75A07" w:rsidRPr="00926D2B" w:rsidRDefault="00926D2B" w:rsidP="00E75A07">
            <w:pPr>
              <w:pStyle w:val="Tabletext"/>
              <w:keepNext/>
              <w:keepLines/>
              <w:jc w:val="center"/>
              <w:rPr>
                <w:color w:val="000000"/>
                <w:szCs w:val="20"/>
                <w:highlight w:val="black"/>
              </w:rPr>
            </w:pPr>
            <w:r>
              <w:rPr>
                <w:iCs/>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b/>
                <w:bCs/>
                <w:szCs w:val="20"/>
              </w:rPr>
            </w:pPr>
            <w:r w:rsidRPr="00E75A07">
              <w:rPr>
                <w:b/>
                <w:bCs/>
                <w:szCs w:val="20"/>
              </w:rPr>
              <w:t>Total number of treatment cycles</w:t>
            </w:r>
          </w:p>
        </w:tc>
        <w:tc>
          <w:tcPr>
            <w:tcW w:w="538" w:type="pct"/>
            <w:vAlign w:val="center"/>
          </w:tcPr>
          <w:p w:rsidR="00E75A07" w:rsidRPr="00926D2B" w:rsidRDefault="00926D2B" w:rsidP="00E75A07">
            <w:pPr>
              <w:pStyle w:val="Tabletext"/>
              <w:keepNext/>
              <w:keepLines/>
              <w:jc w:val="center"/>
              <w:rPr>
                <w:b/>
                <w:bCs/>
                <w:iCs/>
                <w:szCs w:val="20"/>
                <w:highlight w:val="black"/>
              </w:rPr>
            </w:pPr>
            <w:r>
              <w:rPr>
                <w:b/>
                <w:bCs/>
                <w:iCs/>
                <w:noProof/>
                <w:color w:val="000000"/>
                <w:szCs w:val="20"/>
                <w:highlight w:val="black"/>
              </w:rPr>
              <w:t>''''''''''''''</w:t>
            </w:r>
          </w:p>
        </w:tc>
        <w:tc>
          <w:tcPr>
            <w:tcW w:w="577" w:type="pct"/>
            <w:vAlign w:val="center"/>
          </w:tcPr>
          <w:p w:rsidR="00E75A07" w:rsidRPr="00926D2B" w:rsidRDefault="00926D2B" w:rsidP="00E75A07">
            <w:pPr>
              <w:pStyle w:val="Tabletext"/>
              <w:keepNext/>
              <w:keepLines/>
              <w:jc w:val="center"/>
              <w:rPr>
                <w:b/>
                <w:bCs/>
                <w:iCs/>
                <w:szCs w:val="20"/>
                <w:highlight w:val="black"/>
              </w:rPr>
            </w:pPr>
            <w:r>
              <w:rPr>
                <w:b/>
                <w:bCs/>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b/>
                <w:bCs/>
                <w:iCs/>
                <w:szCs w:val="20"/>
                <w:highlight w:val="black"/>
              </w:rPr>
            </w:pPr>
            <w:r>
              <w:rPr>
                <w:b/>
                <w:bCs/>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b/>
                <w:bCs/>
                <w:iCs/>
                <w:szCs w:val="20"/>
                <w:highlight w:val="black"/>
              </w:rPr>
            </w:pPr>
            <w:r>
              <w:rPr>
                <w:b/>
                <w:bCs/>
                <w:iCs/>
                <w:noProof/>
                <w:color w:val="000000"/>
                <w:szCs w:val="20"/>
                <w:highlight w:val="black"/>
              </w:rPr>
              <w:t>''''''''''</w:t>
            </w:r>
          </w:p>
        </w:tc>
        <w:tc>
          <w:tcPr>
            <w:tcW w:w="637" w:type="pct"/>
            <w:vAlign w:val="center"/>
          </w:tcPr>
          <w:p w:rsidR="00E75A07" w:rsidRPr="00926D2B" w:rsidRDefault="00926D2B" w:rsidP="00E75A07">
            <w:pPr>
              <w:pStyle w:val="Tabletext"/>
              <w:keepNext/>
              <w:keepLines/>
              <w:jc w:val="center"/>
              <w:rPr>
                <w:b/>
                <w:bCs/>
                <w:iCs/>
                <w:szCs w:val="20"/>
                <w:highlight w:val="black"/>
              </w:rPr>
            </w:pPr>
            <w:r>
              <w:rPr>
                <w:b/>
                <w:bCs/>
                <w:iCs/>
                <w:noProof/>
                <w:color w:val="000000"/>
                <w:szCs w:val="20"/>
                <w:highlight w:val="black"/>
              </w:rPr>
              <w:t>'''''''''''</w:t>
            </w:r>
          </w:p>
        </w:tc>
        <w:tc>
          <w:tcPr>
            <w:tcW w:w="630" w:type="pct"/>
            <w:vAlign w:val="center"/>
          </w:tcPr>
          <w:p w:rsidR="00E75A07" w:rsidRPr="00926D2B" w:rsidRDefault="00926D2B" w:rsidP="00E75A07">
            <w:pPr>
              <w:pStyle w:val="Tabletext"/>
              <w:keepNext/>
              <w:keepLines/>
              <w:jc w:val="center"/>
              <w:rPr>
                <w:b/>
                <w:bCs/>
                <w:iCs/>
                <w:szCs w:val="20"/>
                <w:highlight w:val="black"/>
              </w:rPr>
            </w:pPr>
            <w:r>
              <w:rPr>
                <w:b/>
                <w:bCs/>
                <w:iCs/>
                <w:noProof/>
                <w:color w:val="000000"/>
                <w:szCs w:val="20"/>
                <w:highlight w:val="black"/>
              </w:rPr>
              <w:t>'''''''''''</w:t>
            </w:r>
          </w:p>
        </w:tc>
      </w:tr>
      <w:tr w:rsidR="00E75A07" w:rsidRPr="00D1078F" w:rsidTr="00E75A07">
        <w:tc>
          <w:tcPr>
            <w:tcW w:w="5000" w:type="pct"/>
            <w:gridSpan w:val="7"/>
            <w:shd w:val="clear" w:color="auto" w:fill="auto"/>
            <w:vAlign w:val="center"/>
          </w:tcPr>
          <w:p w:rsidR="00E75A07" w:rsidRPr="00E75A07" w:rsidRDefault="00E75A07" w:rsidP="00C52153">
            <w:pPr>
              <w:pStyle w:val="Tabletext"/>
              <w:keepNext/>
              <w:keepLines/>
              <w:rPr>
                <w:b/>
                <w:bCs/>
                <w:color w:val="000000"/>
                <w:szCs w:val="20"/>
              </w:rPr>
            </w:pPr>
            <w:r w:rsidRPr="00E75A07">
              <w:rPr>
                <w:b/>
                <w:bCs/>
                <w:color w:val="000000"/>
                <w:szCs w:val="20"/>
              </w:rPr>
              <w:t>Estimated financial implications of Dysport</w:t>
            </w:r>
          </w:p>
        </w:tc>
      </w:tr>
      <w:tr w:rsidR="00C52153" w:rsidRPr="003639A6" w:rsidTr="00C52153">
        <w:tc>
          <w:tcPr>
            <w:tcW w:w="5000" w:type="pct"/>
            <w:gridSpan w:val="7"/>
            <w:shd w:val="clear" w:color="auto" w:fill="auto"/>
            <w:vAlign w:val="center"/>
          </w:tcPr>
          <w:p w:rsidR="00C52153" w:rsidRPr="00E75A07" w:rsidRDefault="00C52153" w:rsidP="00C52153">
            <w:pPr>
              <w:pStyle w:val="Tabletext"/>
              <w:keepNext/>
              <w:keepLines/>
              <w:rPr>
                <w:bCs/>
                <w:color w:val="000000"/>
                <w:szCs w:val="20"/>
              </w:rPr>
            </w:pPr>
            <w:r w:rsidRPr="00E75A07">
              <w:rPr>
                <w:b/>
                <w:bCs/>
                <w:szCs w:val="20"/>
              </w:rPr>
              <w:t>Population 1</w:t>
            </w:r>
            <w:r>
              <w:rPr>
                <w:b/>
                <w:bCs/>
                <w:szCs w:val="20"/>
              </w:rPr>
              <w:t xml:space="preserve"> (</w:t>
            </w:r>
            <w:r w:rsidRPr="00E75A07">
              <w:rPr>
                <w:b/>
                <w:bCs/>
                <w:szCs w:val="20"/>
              </w:rPr>
              <w:t>new patients with non-stroke spasticity)</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Cost to PBS/RPBS</w:t>
            </w:r>
          </w:p>
        </w:tc>
        <w:tc>
          <w:tcPr>
            <w:tcW w:w="538"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57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0"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Copayments</w:t>
            </w:r>
          </w:p>
        </w:tc>
        <w:tc>
          <w:tcPr>
            <w:tcW w:w="538"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57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0"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C52153" w:rsidP="00C52153">
            <w:pPr>
              <w:pStyle w:val="Tabletext"/>
              <w:keepNext/>
              <w:keepLines/>
              <w:rPr>
                <w:szCs w:val="20"/>
              </w:rPr>
            </w:pPr>
            <w:r>
              <w:rPr>
                <w:szCs w:val="20"/>
              </w:rPr>
              <w:t>Net c</w:t>
            </w:r>
            <w:r w:rsidR="00E75A07" w:rsidRPr="00E75A07">
              <w:rPr>
                <w:szCs w:val="20"/>
              </w:rPr>
              <w:t xml:space="preserve">ost to PBS/RPBS </w:t>
            </w:r>
          </w:p>
        </w:tc>
        <w:tc>
          <w:tcPr>
            <w:tcW w:w="538"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57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0"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r>
      <w:tr w:rsidR="00C52153" w:rsidRPr="003639A6" w:rsidTr="00C52153">
        <w:tc>
          <w:tcPr>
            <w:tcW w:w="5000" w:type="pct"/>
            <w:gridSpan w:val="7"/>
            <w:shd w:val="clear" w:color="auto" w:fill="auto"/>
            <w:vAlign w:val="center"/>
          </w:tcPr>
          <w:p w:rsidR="00C52153" w:rsidRPr="00E75A07" w:rsidRDefault="00C52153" w:rsidP="00C52153">
            <w:pPr>
              <w:pStyle w:val="Tabletext"/>
              <w:keepNext/>
              <w:keepLines/>
              <w:rPr>
                <w:bCs/>
                <w:color w:val="000000"/>
                <w:szCs w:val="20"/>
              </w:rPr>
            </w:pPr>
            <w:r w:rsidRPr="00E75A07">
              <w:rPr>
                <w:b/>
                <w:bCs/>
                <w:szCs w:val="20"/>
              </w:rPr>
              <w:t>Population 2</w:t>
            </w:r>
            <w:r>
              <w:rPr>
                <w:b/>
                <w:bCs/>
                <w:szCs w:val="20"/>
              </w:rPr>
              <w:t xml:space="preserve"> </w:t>
            </w:r>
            <w:r w:rsidRPr="00E75A07">
              <w:rPr>
                <w:b/>
                <w:bCs/>
                <w:szCs w:val="20"/>
              </w:rPr>
              <w:t>(effect of removal of lifetime limit)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b/>
                <w:bCs/>
                <w:szCs w:val="20"/>
              </w:rPr>
            </w:pPr>
            <w:r w:rsidRPr="00E75A07">
              <w:rPr>
                <w:szCs w:val="20"/>
              </w:rPr>
              <w:t>Cost to PBS/RPBS</w:t>
            </w:r>
          </w:p>
        </w:tc>
        <w:tc>
          <w:tcPr>
            <w:tcW w:w="538"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57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c>
          <w:tcPr>
            <w:tcW w:w="630" w:type="pct"/>
            <w:vAlign w:val="center"/>
          </w:tcPr>
          <w:p w:rsidR="00E75A07" w:rsidRPr="00E75A07" w:rsidRDefault="00E75A07" w:rsidP="00E75A07">
            <w:pPr>
              <w:pStyle w:val="Tabletext"/>
              <w:keepNext/>
              <w:keepLines/>
              <w:jc w:val="center"/>
              <w:rPr>
                <w:bCs/>
                <w:color w:val="000000"/>
                <w:szCs w:val="20"/>
              </w:rPr>
            </w:pPr>
            <w:r w:rsidRPr="00E75A07">
              <w:rPr>
                <w:szCs w:val="20"/>
              </w:rPr>
              <w:t>$</w:t>
            </w:r>
            <w:r w:rsidR="00926D2B">
              <w:rPr>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b/>
                <w:bCs/>
                <w:szCs w:val="20"/>
              </w:rPr>
            </w:pPr>
            <w:r w:rsidRPr="00E75A07">
              <w:rPr>
                <w:szCs w:val="20"/>
              </w:rPr>
              <w:t>Copayments</w:t>
            </w:r>
          </w:p>
        </w:tc>
        <w:tc>
          <w:tcPr>
            <w:tcW w:w="538"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57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0" w:type="pct"/>
            <w:vAlign w:val="center"/>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C52153" w:rsidP="00C52153">
            <w:pPr>
              <w:pStyle w:val="Tabletext"/>
              <w:keepNext/>
              <w:keepLines/>
              <w:rPr>
                <w:b/>
                <w:bCs/>
                <w:szCs w:val="20"/>
              </w:rPr>
            </w:pPr>
            <w:r>
              <w:rPr>
                <w:szCs w:val="20"/>
              </w:rPr>
              <w:t>Net cost</w:t>
            </w:r>
            <w:r w:rsidR="00E75A07" w:rsidRPr="00E75A07">
              <w:rPr>
                <w:szCs w:val="20"/>
              </w:rPr>
              <w:t xml:space="preserve"> to PBS/RPBS </w:t>
            </w:r>
          </w:p>
        </w:tc>
        <w:tc>
          <w:tcPr>
            <w:tcW w:w="538"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57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7"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c>
          <w:tcPr>
            <w:tcW w:w="630" w:type="pct"/>
            <w:vAlign w:val="center"/>
          </w:tcPr>
          <w:p w:rsidR="00E75A07" w:rsidRPr="00E75A07" w:rsidRDefault="00E75A07" w:rsidP="00E75A07">
            <w:pPr>
              <w:pStyle w:val="Tabletext"/>
              <w:keepNext/>
              <w:keepLines/>
              <w:jc w:val="center"/>
              <w:rPr>
                <w:bCs/>
                <w:color w:val="000000"/>
                <w:szCs w:val="20"/>
              </w:rPr>
            </w:pPr>
            <w:r w:rsidRPr="00E75A07">
              <w:rPr>
                <w:b/>
                <w:bCs/>
                <w:szCs w:val="20"/>
              </w:rPr>
              <w:t>$</w:t>
            </w:r>
            <w:r w:rsidR="00926D2B">
              <w:rPr>
                <w:b/>
                <w:bCs/>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C52153">
            <w:pPr>
              <w:pStyle w:val="Tabletext"/>
              <w:keepNext/>
              <w:keepLines/>
              <w:rPr>
                <w:b/>
                <w:bCs/>
                <w:szCs w:val="20"/>
              </w:rPr>
            </w:pPr>
            <w:r w:rsidRPr="00E75A07">
              <w:rPr>
                <w:b/>
                <w:bCs/>
                <w:szCs w:val="20"/>
              </w:rPr>
              <w:t xml:space="preserve">Total </w:t>
            </w:r>
            <w:r w:rsidR="00C52153">
              <w:rPr>
                <w:b/>
                <w:bCs/>
                <w:szCs w:val="20"/>
              </w:rPr>
              <w:t>c</w:t>
            </w:r>
            <w:r w:rsidRPr="00E75A07">
              <w:rPr>
                <w:b/>
                <w:bCs/>
                <w:szCs w:val="20"/>
              </w:rPr>
              <w:t xml:space="preserve">ost to PBS/RPBS </w:t>
            </w:r>
          </w:p>
        </w:tc>
        <w:tc>
          <w:tcPr>
            <w:tcW w:w="538" w:type="pct"/>
            <w:shd w:val="clear" w:color="auto" w:fill="auto"/>
            <w:vAlign w:val="center"/>
          </w:tcPr>
          <w:p w:rsidR="00E75A07" w:rsidRPr="00E75A07" w:rsidRDefault="00E75A07" w:rsidP="00E75A07">
            <w:pPr>
              <w:pStyle w:val="Tabletext"/>
              <w:keepNext/>
              <w:keepLines/>
              <w:jc w:val="center"/>
              <w:rPr>
                <w:b/>
                <w:bCs/>
                <w:color w:val="000000"/>
                <w:szCs w:val="20"/>
              </w:rPr>
            </w:pPr>
            <w:r w:rsidRPr="00E75A07">
              <w:rPr>
                <w:b/>
                <w:bCs/>
                <w:szCs w:val="20"/>
              </w:rPr>
              <w:t>$</w:t>
            </w:r>
            <w:r w:rsidR="00926D2B">
              <w:rPr>
                <w:b/>
                <w:bCs/>
                <w:noProof/>
                <w:color w:val="000000"/>
                <w:szCs w:val="20"/>
                <w:highlight w:val="black"/>
              </w:rPr>
              <w:t>'''''''''''''''''''</w:t>
            </w:r>
          </w:p>
        </w:tc>
        <w:tc>
          <w:tcPr>
            <w:tcW w:w="577" w:type="pct"/>
            <w:shd w:val="clear" w:color="auto" w:fill="auto"/>
            <w:vAlign w:val="center"/>
          </w:tcPr>
          <w:p w:rsidR="00E75A07" w:rsidRPr="00E75A07" w:rsidRDefault="00E75A07" w:rsidP="00E75A07">
            <w:pPr>
              <w:pStyle w:val="Tabletext"/>
              <w:keepNext/>
              <w:keepLines/>
              <w:jc w:val="center"/>
              <w:rPr>
                <w:b/>
                <w:bCs/>
                <w:color w:val="000000"/>
                <w:szCs w:val="20"/>
              </w:rPr>
            </w:pPr>
            <w:r w:rsidRPr="00E75A07">
              <w:rPr>
                <w:b/>
                <w:bCs/>
                <w:szCs w:val="20"/>
              </w:rPr>
              <w:t>$</w:t>
            </w:r>
            <w:r w:rsidR="00926D2B">
              <w:rPr>
                <w:b/>
                <w:bCs/>
                <w:noProof/>
                <w:color w:val="000000"/>
                <w:szCs w:val="20"/>
                <w:highlight w:val="black"/>
              </w:rPr>
              <w:t>''''''''''''''''''''</w:t>
            </w:r>
          </w:p>
        </w:tc>
        <w:tc>
          <w:tcPr>
            <w:tcW w:w="637" w:type="pct"/>
            <w:shd w:val="clear" w:color="auto" w:fill="auto"/>
            <w:vAlign w:val="center"/>
          </w:tcPr>
          <w:p w:rsidR="00E75A07" w:rsidRPr="00E75A07" w:rsidRDefault="00E75A07" w:rsidP="00E75A07">
            <w:pPr>
              <w:pStyle w:val="Tabletext"/>
              <w:keepNext/>
              <w:keepLines/>
              <w:jc w:val="center"/>
              <w:rPr>
                <w:b/>
                <w:bCs/>
                <w:color w:val="000000"/>
                <w:szCs w:val="20"/>
              </w:rPr>
            </w:pPr>
            <w:r w:rsidRPr="00E75A07">
              <w:rPr>
                <w:b/>
                <w:bCs/>
                <w:szCs w:val="20"/>
              </w:rPr>
              <w:t>$</w:t>
            </w:r>
            <w:r w:rsidR="00926D2B">
              <w:rPr>
                <w:b/>
                <w:bCs/>
                <w:noProof/>
                <w:color w:val="000000"/>
                <w:szCs w:val="20"/>
                <w:highlight w:val="black"/>
              </w:rPr>
              <w:t>''''''''''''''''''</w:t>
            </w:r>
          </w:p>
        </w:tc>
        <w:tc>
          <w:tcPr>
            <w:tcW w:w="637" w:type="pct"/>
            <w:shd w:val="clear" w:color="auto" w:fill="auto"/>
            <w:vAlign w:val="center"/>
          </w:tcPr>
          <w:p w:rsidR="00E75A07" w:rsidRPr="00E75A07" w:rsidRDefault="00E75A07" w:rsidP="00E75A07">
            <w:pPr>
              <w:pStyle w:val="Tabletext"/>
              <w:keepNext/>
              <w:keepLines/>
              <w:jc w:val="center"/>
              <w:rPr>
                <w:b/>
                <w:bCs/>
                <w:color w:val="000000"/>
                <w:szCs w:val="20"/>
              </w:rPr>
            </w:pPr>
            <w:r w:rsidRPr="00E75A07">
              <w:rPr>
                <w:b/>
                <w:bCs/>
                <w:szCs w:val="20"/>
              </w:rPr>
              <w:t>$</w:t>
            </w:r>
            <w:r w:rsidR="00926D2B">
              <w:rPr>
                <w:b/>
                <w:bCs/>
                <w:noProof/>
                <w:color w:val="000000"/>
                <w:szCs w:val="20"/>
                <w:highlight w:val="black"/>
              </w:rPr>
              <w:t>''''''''''''''''''</w:t>
            </w:r>
          </w:p>
        </w:tc>
        <w:tc>
          <w:tcPr>
            <w:tcW w:w="637" w:type="pct"/>
            <w:shd w:val="clear" w:color="auto" w:fill="auto"/>
            <w:vAlign w:val="center"/>
          </w:tcPr>
          <w:p w:rsidR="00E75A07" w:rsidRPr="00E75A07" w:rsidRDefault="00E75A07" w:rsidP="00E75A07">
            <w:pPr>
              <w:pStyle w:val="Tabletext"/>
              <w:keepNext/>
              <w:keepLines/>
              <w:jc w:val="center"/>
              <w:rPr>
                <w:b/>
                <w:bCs/>
                <w:color w:val="000000"/>
                <w:szCs w:val="20"/>
              </w:rPr>
            </w:pPr>
            <w:r w:rsidRPr="00E75A07">
              <w:rPr>
                <w:b/>
                <w:bCs/>
                <w:szCs w:val="20"/>
              </w:rPr>
              <w:t>$</w:t>
            </w:r>
            <w:r w:rsidR="00926D2B">
              <w:rPr>
                <w:b/>
                <w:bCs/>
                <w:noProof/>
                <w:color w:val="000000"/>
                <w:szCs w:val="20"/>
                <w:highlight w:val="black"/>
              </w:rPr>
              <w:t>'''''''''''''''''''''</w:t>
            </w:r>
          </w:p>
        </w:tc>
        <w:tc>
          <w:tcPr>
            <w:tcW w:w="630" w:type="pct"/>
            <w:shd w:val="clear" w:color="auto" w:fill="auto"/>
            <w:vAlign w:val="center"/>
          </w:tcPr>
          <w:p w:rsidR="00E75A07" w:rsidRPr="00E75A07" w:rsidRDefault="00E75A07" w:rsidP="00E75A07">
            <w:pPr>
              <w:pStyle w:val="Tabletext"/>
              <w:keepNext/>
              <w:keepLines/>
              <w:jc w:val="center"/>
              <w:rPr>
                <w:b/>
                <w:bCs/>
                <w:color w:val="000000"/>
                <w:szCs w:val="20"/>
              </w:rPr>
            </w:pPr>
            <w:r w:rsidRPr="00E75A07">
              <w:rPr>
                <w:b/>
                <w:bCs/>
                <w:szCs w:val="20"/>
              </w:rPr>
              <w:t>$</w:t>
            </w:r>
            <w:r w:rsidR="00926D2B">
              <w:rPr>
                <w:b/>
                <w:bCs/>
                <w:noProof/>
                <w:color w:val="000000"/>
                <w:szCs w:val="20"/>
                <w:highlight w:val="black"/>
              </w:rPr>
              <w:t>''''''''''''''''''</w:t>
            </w:r>
          </w:p>
        </w:tc>
      </w:tr>
      <w:tr w:rsidR="00E75A07" w:rsidRPr="00FC22AB" w:rsidTr="00E75A07">
        <w:tc>
          <w:tcPr>
            <w:tcW w:w="5000" w:type="pct"/>
            <w:gridSpan w:val="7"/>
            <w:shd w:val="clear" w:color="auto" w:fill="auto"/>
            <w:vAlign w:val="center"/>
          </w:tcPr>
          <w:p w:rsidR="00E75A07" w:rsidRPr="00E75A07" w:rsidRDefault="00E75A07" w:rsidP="00E75A07">
            <w:pPr>
              <w:pStyle w:val="Tabletext"/>
              <w:keepNext/>
              <w:keepLines/>
              <w:rPr>
                <w:b/>
                <w:bCs/>
                <w:color w:val="000000"/>
                <w:szCs w:val="20"/>
              </w:rPr>
            </w:pPr>
            <w:r w:rsidRPr="00E75A07">
              <w:rPr>
                <w:b/>
                <w:bCs/>
                <w:color w:val="000000"/>
                <w:szCs w:val="20"/>
              </w:rPr>
              <w:t>Net financial implications</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Net cost to PBS/RPBS</w:t>
            </w:r>
          </w:p>
        </w:tc>
        <w:tc>
          <w:tcPr>
            <w:tcW w:w="538" w:type="pct"/>
            <w:shd w:val="clear" w:color="auto" w:fill="auto"/>
            <w:vAlign w:val="center"/>
          </w:tcPr>
          <w:p w:rsidR="00E75A07" w:rsidRPr="00E75A07" w:rsidRDefault="00E75A07" w:rsidP="00E75A07">
            <w:pPr>
              <w:pStyle w:val="Tabletext"/>
              <w:keepNext/>
              <w:keepLines/>
              <w:jc w:val="center"/>
              <w:rPr>
                <w:color w:val="000000"/>
                <w:szCs w:val="20"/>
              </w:rPr>
            </w:pPr>
            <w:r w:rsidRPr="00E75A07">
              <w:rPr>
                <w:szCs w:val="20"/>
              </w:rPr>
              <w:t>$</w:t>
            </w:r>
            <w:r w:rsidR="00926D2B">
              <w:rPr>
                <w:noProof/>
                <w:color w:val="000000"/>
                <w:szCs w:val="20"/>
                <w:highlight w:val="black"/>
              </w:rPr>
              <w:t>'''''''''''''''''''''''''''</w:t>
            </w:r>
          </w:p>
        </w:tc>
        <w:tc>
          <w:tcPr>
            <w:tcW w:w="577" w:type="pct"/>
            <w:shd w:val="clear" w:color="auto" w:fill="auto"/>
            <w:vAlign w:val="center"/>
          </w:tcPr>
          <w:p w:rsidR="00E75A07" w:rsidRPr="00E75A07" w:rsidRDefault="00E75A07" w:rsidP="00E75A07">
            <w:pPr>
              <w:pStyle w:val="Tabletext"/>
              <w:keepNext/>
              <w:keepLines/>
              <w:jc w:val="center"/>
              <w:rPr>
                <w:color w:val="000000"/>
                <w:szCs w:val="20"/>
              </w:rPr>
            </w:pPr>
            <w:r w:rsidRPr="00E75A07">
              <w:rPr>
                <w:szCs w:val="20"/>
              </w:rPr>
              <w:t>$</w:t>
            </w:r>
            <w:r w:rsidR="00926D2B">
              <w:rPr>
                <w:noProof/>
                <w:color w:val="000000"/>
                <w:szCs w:val="20"/>
                <w:highlight w:val="black"/>
              </w:rPr>
              <w:t>''''''''''''''''''''''''</w:t>
            </w:r>
          </w:p>
        </w:tc>
        <w:tc>
          <w:tcPr>
            <w:tcW w:w="637" w:type="pct"/>
            <w:shd w:val="clear" w:color="auto" w:fill="auto"/>
            <w:vAlign w:val="center"/>
          </w:tcPr>
          <w:p w:rsidR="00E75A07" w:rsidRPr="00E75A07" w:rsidRDefault="00E75A07" w:rsidP="00E75A07">
            <w:pPr>
              <w:pStyle w:val="Tabletext"/>
              <w:keepNext/>
              <w:keepLines/>
              <w:jc w:val="center"/>
              <w:rPr>
                <w:color w:val="000000"/>
                <w:szCs w:val="20"/>
              </w:rPr>
            </w:pPr>
            <w:r w:rsidRPr="00E75A07">
              <w:rPr>
                <w:szCs w:val="20"/>
              </w:rPr>
              <w:t>$</w:t>
            </w:r>
            <w:r w:rsidR="00926D2B">
              <w:rPr>
                <w:noProof/>
                <w:color w:val="000000"/>
                <w:szCs w:val="20"/>
                <w:highlight w:val="black"/>
              </w:rPr>
              <w:t>'''''''''''''''''''''''''</w:t>
            </w:r>
          </w:p>
        </w:tc>
        <w:tc>
          <w:tcPr>
            <w:tcW w:w="637" w:type="pct"/>
            <w:shd w:val="clear" w:color="auto" w:fill="auto"/>
            <w:vAlign w:val="center"/>
          </w:tcPr>
          <w:p w:rsidR="00E75A07" w:rsidRPr="00E75A07" w:rsidRDefault="00E75A07" w:rsidP="00E75A07">
            <w:pPr>
              <w:pStyle w:val="Tabletext"/>
              <w:keepNext/>
              <w:keepLines/>
              <w:jc w:val="center"/>
              <w:rPr>
                <w:color w:val="000000"/>
                <w:szCs w:val="20"/>
              </w:rPr>
            </w:pPr>
            <w:r w:rsidRPr="00E75A07">
              <w:rPr>
                <w:szCs w:val="20"/>
              </w:rPr>
              <w:t>$</w:t>
            </w:r>
            <w:r w:rsidR="00926D2B">
              <w:rPr>
                <w:noProof/>
                <w:color w:val="000000"/>
                <w:szCs w:val="20"/>
                <w:highlight w:val="black"/>
              </w:rPr>
              <w:t>''''''''''''''''''''''''</w:t>
            </w:r>
          </w:p>
        </w:tc>
        <w:tc>
          <w:tcPr>
            <w:tcW w:w="637" w:type="pct"/>
            <w:shd w:val="clear" w:color="auto" w:fill="auto"/>
            <w:vAlign w:val="center"/>
          </w:tcPr>
          <w:p w:rsidR="00E75A07" w:rsidRPr="00E75A07" w:rsidRDefault="00E75A07" w:rsidP="00E75A07">
            <w:pPr>
              <w:pStyle w:val="Tabletext"/>
              <w:keepNext/>
              <w:keepLines/>
              <w:jc w:val="center"/>
              <w:rPr>
                <w:color w:val="000000"/>
                <w:szCs w:val="20"/>
              </w:rPr>
            </w:pPr>
            <w:r w:rsidRPr="00E75A07">
              <w:rPr>
                <w:szCs w:val="20"/>
              </w:rPr>
              <w:t>$</w:t>
            </w:r>
            <w:r w:rsidR="00926D2B">
              <w:rPr>
                <w:noProof/>
                <w:color w:val="000000"/>
                <w:szCs w:val="20"/>
                <w:highlight w:val="black"/>
              </w:rPr>
              <w:t>'''''''''''''''''''''''''</w:t>
            </w:r>
          </w:p>
        </w:tc>
        <w:tc>
          <w:tcPr>
            <w:tcW w:w="630" w:type="pct"/>
            <w:shd w:val="clear" w:color="auto" w:fill="auto"/>
            <w:vAlign w:val="center"/>
          </w:tcPr>
          <w:p w:rsidR="00E75A07" w:rsidRPr="00E75A07" w:rsidRDefault="00E75A07" w:rsidP="00E75A07">
            <w:pPr>
              <w:pStyle w:val="Tabletext"/>
              <w:keepNext/>
              <w:keepLines/>
              <w:jc w:val="center"/>
              <w:rPr>
                <w:color w:val="000000"/>
                <w:szCs w:val="20"/>
              </w:rPr>
            </w:pPr>
            <w:r w:rsidRPr="00E75A07">
              <w:rPr>
                <w:szCs w:val="20"/>
              </w:rPr>
              <w:t>$</w:t>
            </w:r>
            <w:r w:rsidR="00926D2B">
              <w:rPr>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Net cost to MBS</w:t>
            </w:r>
          </w:p>
        </w:tc>
        <w:tc>
          <w:tcPr>
            <w:tcW w:w="538" w:type="pct"/>
            <w:tcBorders>
              <w:top w:val="single" w:sz="4" w:space="0" w:color="auto"/>
              <w:bottom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577" w:type="pct"/>
            <w:tcBorders>
              <w:top w:val="single" w:sz="4" w:space="0" w:color="auto"/>
              <w:bottom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tcBorders>
              <w:top w:val="single" w:sz="4" w:space="0" w:color="auto"/>
              <w:bottom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tcBorders>
              <w:top w:val="single" w:sz="4" w:space="0" w:color="auto"/>
              <w:bottom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7" w:type="pct"/>
            <w:tcBorders>
              <w:top w:val="single" w:sz="4" w:space="0" w:color="auto"/>
              <w:bottom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c>
          <w:tcPr>
            <w:tcW w:w="630" w:type="pct"/>
            <w:tcBorders>
              <w:top w:val="single" w:sz="4" w:space="0" w:color="auto"/>
              <w:bottom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iCs/>
                <w:szCs w:val="20"/>
              </w:rPr>
              <w:t>$</w:t>
            </w:r>
            <w:r w:rsidR="00926D2B">
              <w:rPr>
                <w:iCs/>
                <w:noProof/>
                <w:color w:val="000000"/>
                <w:szCs w:val="20"/>
                <w:highlight w:val="black"/>
              </w:rPr>
              <w:t>'''''''''''''''''''</w:t>
            </w:r>
          </w:p>
        </w:tc>
      </w:tr>
      <w:tr w:rsidR="00E75A07" w:rsidRPr="003639A6" w:rsidTr="00C52153">
        <w:tc>
          <w:tcPr>
            <w:tcW w:w="1344" w:type="pct"/>
            <w:shd w:val="clear" w:color="auto" w:fill="auto"/>
            <w:vAlign w:val="center"/>
          </w:tcPr>
          <w:p w:rsidR="00E75A07" w:rsidRPr="00E75A07" w:rsidRDefault="00E75A07" w:rsidP="00E75A07">
            <w:pPr>
              <w:pStyle w:val="Tabletext"/>
              <w:keepNext/>
              <w:keepLines/>
              <w:rPr>
                <w:szCs w:val="20"/>
              </w:rPr>
            </w:pPr>
            <w:r w:rsidRPr="00E75A07">
              <w:rPr>
                <w:szCs w:val="20"/>
              </w:rPr>
              <w:t>Net cost to PBS/RPBS/MBS</w:t>
            </w:r>
          </w:p>
        </w:tc>
        <w:tc>
          <w:tcPr>
            <w:tcW w:w="538" w:type="pct"/>
            <w:tcBorders>
              <w:top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b/>
                <w:bCs/>
                <w:iCs/>
                <w:szCs w:val="20"/>
              </w:rPr>
              <w:t>$</w:t>
            </w:r>
            <w:r w:rsidR="00926D2B">
              <w:rPr>
                <w:b/>
                <w:bCs/>
                <w:iCs/>
                <w:noProof/>
                <w:color w:val="000000"/>
                <w:szCs w:val="20"/>
                <w:highlight w:val="black"/>
              </w:rPr>
              <w:t>'''''''''''''''''''''</w:t>
            </w:r>
          </w:p>
        </w:tc>
        <w:tc>
          <w:tcPr>
            <w:tcW w:w="577" w:type="pct"/>
            <w:tcBorders>
              <w:top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b/>
                <w:bCs/>
                <w:iCs/>
                <w:szCs w:val="20"/>
              </w:rPr>
              <w:t>$</w:t>
            </w:r>
            <w:r w:rsidR="00926D2B">
              <w:rPr>
                <w:b/>
                <w:bCs/>
                <w:iCs/>
                <w:noProof/>
                <w:color w:val="000000"/>
                <w:szCs w:val="20"/>
                <w:highlight w:val="black"/>
              </w:rPr>
              <w:t>'''''''''''''''''''''</w:t>
            </w:r>
          </w:p>
        </w:tc>
        <w:tc>
          <w:tcPr>
            <w:tcW w:w="637" w:type="pct"/>
            <w:tcBorders>
              <w:top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b/>
                <w:bCs/>
                <w:iCs/>
                <w:szCs w:val="20"/>
              </w:rPr>
              <w:t>$</w:t>
            </w:r>
            <w:r w:rsidR="00926D2B">
              <w:rPr>
                <w:b/>
                <w:bCs/>
                <w:iCs/>
                <w:noProof/>
                <w:color w:val="000000"/>
                <w:szCs w:val="20"/>
                <w:highlight w:val="black"/>
              </w:rPr>
              <w:t>''''''''''''''''''</w:t>
            </w:r>
          </w:p>
        </w:tc>
        <w:tc>
          <w:tcPr>
            <w:tcW w:w="637" w:type="pct"/>
            <w:tcBorders>
              <w:top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b/>
                <w:bCs/>
                <w:iCs/>
                <w:szCs w:val="20"/>
              </w:rPr>
              <w:t>$</w:t>
            </w:r>
            <w:r w:rsidR="00926D2B">
              <w:rPr>
                <w:b/>
                <w:bCs/>
                <w:iCs/>
                <w:noProof/>
                <w:color w:val="000000"/>
                <w:szCs w:val="20"/>
                <w:highlight w:val="black"/>
              </w:rPr>
              <w:t>''''''''''''''''''</w:t>
            </w:r>
          </w:p>
        </w:tc>
        <w:tc>
          <w:tcPr>
            <w:tcW w:w="637" w:type="pct"/>
            <w:tcBorders>
              <w:top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b/>
                <w:bCs/>
                <w:iCs/>
                <w:szCs w:val="20"/>
              </w:rPr>
              <w:t>$</w:t>
            </w:r>
            <w:r w:rsidR="00926D2B">
              <w:rPr>
                <w:b/>
                <w:bCs/>
                <w:iCs/>
                <w:noProof/>
                <w:color w:val="000000"/>
                <w:szCs w:val="20"/>
                <w:highlight w:val="black"/>
              </w:rPr>
              <w:t>''''''''''''''''''</w:t>
            </w:r>
          </w:p>
        </w:tc>
        <w:tc>
          <w:tcPr>
            <w:tcW w:w="630" w:type="pct"/>
            <w:tcBorders>
              <w:top w:val="single" w:sz="4" w:space="0" w:color="auto"/>
            </w:tcBorders>
            <w:vAlign w:val="bottom"/>
          </w:tcPr>
          <w:p w:rsidR="00E75A07" w:rsidRPr="00E75A07" w:rsidRDefault="00E75A07" w:rsidP="00E75A07">
            <w:pPr>
              <w:pStyle w:val="Tabletext"/>
              <w:keepNext/>
              <w:keepLines/>
              <w:jc w:val="center"/>
              <w:rPr>
                <w:bCs/>
                <w:color w:val="000000"/>
                <w:szCs w:val="20"/>
              </w:rPr>
            </w:pPr>
            <w:r w:rsidRPr="00E75A07">
              <w:rPr>
                <w:b/>
                <w:bCs/>
                <w:iCs/>
                <w:szCs w:val="20"/>
              </w:rPr>
              <w:t>$</w:t>
            </w:r>
            <w:r w:rsidR="00926D2B">
              <w:rPr>
                <w:b/>
                <w:bCs/>
                <w:iCs/>
                <w:noProof/>
                <w:color w:val="000000"/>
                <w:szCs w:val="20"/>
                <w:highlight w:val="black"/>
              </w:rPr>
              <w:t>''''''''''''''''''</w:t>
            </w:r>
          </w:p>
        </w:tc>
      </w:tr>
    </w:tbl>
    <w:p w:rsidR="00E75A07" w:rsidRPr="00243C93" w:rsidRDefault="00E75A07" w:rsidP="00E75A07">
      <w:pPr>
        <w:pStyle w:val="TableFooter"/>
      </w:pPr>
      <w:bookmarkStart w:id="35" w:name="_Toc524429288"/>
      <w:proofErr w:type="spellStart"/>
      <w:proofErr w:type="gramStart"/>
      <w:r w:rsidRPr="00243C93">
        <w:rPr>
          <w:vertAlign w:val="superscript"/>
        </w:rPr>
        <w:t>a</w:t>
      </w:r>
      <w:proofErr w:type="spellEnd"/>
      <w:proofErr w:type="gramEnd"/>
      <w:r w:rsidRPr="00243C93">
        <w:tab/>
        <w:t>Assuming 2.42 treatment cycles per patient per year; 3.13 treatment cycles per patient per lifetime as estimated by the submission.</w:t>
      </w:r>
      <w:bookmarkEnd w:id="35"/>
    </w:p>
    <w:p w:rsidR="00E75A07" w:rsidRPr="00243C93" w:rsidRDefault="00E75A07" w:rsidP="00E75A07">
      <w:pPr>
        <w:pStyle w:val="TableFooter"/>
      </w:pPr>
      <w:bookmarkStart w:id="36" w:name="_Toc524429289"/>
      <w:r w:rsidRPr="00243C93">
        <w:t>Source: Table 4.12, Table 4.14, Table 4.15, Table 4.20; pp. 163-169 of the submission.</w:t>
      </w:r>
      <w:bookmarkEnd w:id="36"/>
      <w:r w:rsidRPr="00243C93">
        <w:t xml:space="preserve"> </w:t>
      </w:r>
    </w:p>
    <w:p w:rsidR="00E75A07" w:rsidRPr="00D45A4A" w:rsidRDefault="00D45A4A" w:rsidP="00D45A4A">
      <w:pPr>
        <w:pStyle w:val="TableFooter"/>
        <w:spacing w:before="120" w:after="120"/>
        <w:rPr>
          <w:rFonts w:asciiTheme="minorHAnsi" w:hAnsiTheme="minorHAnsi" w:cstheme="minorHAnsi"/>
          <w:sz w:val="24"/>
          <w:szCs w:val="24"/>
        </w:rPr>
      </w:pPr>
      <w:r>
        <w:rPr>
          <w:rFonts w:asciiTheme="minorHAnsi" w:hAnsiTheme="minorHAnsi" w:cstheme="minorHAnsi"/>
          <w:sz w:val="24"/>
          <w:szCs w:val="24"/>
        </w:rPr>
        <w:t xml:space="preserve">The redacted table shows that at Year 6 the estimated </w:t>
      </w:r>
      <w:r w:rsidR="004C616B">
        <w:rPr>
          <w:rFonts w:asciiTheme="minorHAnsi" w:hAnsiTheme="minorHAnsi" w:cstheme="minorHAnsi"/>
          <w:sz w:val="24"/>
          <w:szCs w:val="24"/>
        </w:rPr>
        <w:t>total number of treatment cycles was less than 10,000 per year, and the net cost to the PBS/MBS would be less than $10 million per year.</w:t>
      </w:r>
    </w:p>
    <w:p w:rsidR="00E75A07" w:rsidRPr="00E75A07" w:rsidRDefault="00E75A07" w:rsidP="00E75A07">
      <w:pPr>
        <w:pStyle w:val="ListParagraph"/>
        <w:widowControl/>
        <w:numPr>
          <w:ilvl w:val="1"/>
          <w:numId w:val="1"/>
        </w:numPr>
        <w:spacing w:after="0"/>
      </w:pPr>
      <w:r w:rsidRPr="00E75A07">
        <w:t xml:space="preserve">The total cost to government over the first </w:t>
      </w:r>
      <w:r w:rsidR="00C52153">
        <w:t>six</w:t>
      </w:r>
      <w:r w:rsidR="00C52153" w:rsidRPr="00E75A07">
        <w:t xml:space="preserve"> </w:t>
      </w:r>
      <w:r w:rsidRPr="00E75A07">
        <w:t xml:space="preserve">years of listing was estimated to be </w:t>
      </w:r>
      <w:r w:rsidR="00C52153">
        <w:t xml:space="preserve">approximately </w:t>
      </w:r>
      <w:r w:rsidR="00D45A4A">
        <w:t>$30 - $60</w:t>
      </w:r>
      <w:r w:rsidR="00C52153">
        <w:t xml:space="preserve"> million</w:t>
      </w:r>
      <w:r w:rsidRPr="00E75A07">
        <w:t xml:space="preserve">.  The key drivers of the results were uptake rates and prevalence of spasticity.  </w:t>
      </w:r>
      <w:r w:rsidR="00C7325A">
        <w:t xml:space="preserve">DUSC considered the </w:t>
      </w:r>
      <w:r w:rsidRPr="00E75A07">
        <w:t>estimates may be under-estimated for the following reasons:</w:t>
      </w:r>
    </w:p>
    <w:p w:rsidR="00E75A07" w:rsidRPr="00E75A07" w:rsidRDefault="00E75A07" w:rsidP="00C7325A">
      <w:pPr>
        <w:pStyle w:val="ListParagraph"/>
        <w:widowControl/>
        <w:numPr>
          <w:ilvl w:val="0"/>
          <w:numId w:val="29"/>
        </w:numPr>
        <w:spacing w:after="40"/>
        <w:ind w:left="1134" w:hanging="425"/>
        <w:rPr>
          <w:iCs/>
        </w:rPr>
      </w:pPr>
      <w:r w:rsidRPr="00E75A07">
        <w:rPr>
          <w:iCs/>
        </w:rPr>
        <w:t xml:space="preserve">the number of </w:t>
      </w:r>
      <w:r w:rsidR="00284C1A">
        <w:rPr>
          <w:iCs/>
        </w:rPr>
        <w:t xml:space="preserve">prevalent </w:t>
      </w:r>
      <w:r w:rsidRPr="00E75A07">
        <w:rPr>
          <w:iCs/>
        </w:rPr>
        <w:t>TBI patients with spasticity may be under-estimated</w:t>
      </w:r>
      <w:r w:rsidR="00C7325A">
        <w:rPr>
          <w:iCs/>
        </w:rPr>
        <w:t>;</w:t>
      </w:r>
      <w:r w:rsidRPr="00E75A07">
        <w:rPr>
          <w:iCs/>
        </w:rPr>
        <w:t xml:space="preserve"> a number of conflicting sources informed this input and the lower estimate was used in the base case analysis; </w:t>
      </w:r>
    </w:p>
    <w:p w:rsidR="00E75A07" w:rsidRPr="00C7325A" w:rsidRDefault="00E75A07" w:rsidP="00C7325A">
      <w:pPr>
        <w:pStyle w:val="ListParagraph"/>
        <w:widowControl/>
        <w:numPr>
          <w:ilvl w:val="0"/>
          <w:numId w:val="29"/>
        </w:numPr>
        <w:spacing w:after="40"/>
        <w:ind w:left="1134" w:hanging="425"/>
      </w:pPr>
      <w:r w:rsidRPr="00E75A07">
        <w:rPr>
          <w:iCs/>
        </w:rPr>
        <w:t>relatively low uptake rates for Dysport® was assumed in the financial estimates</w:t>
      </w:r>
      <w:r w:rsidR="00C7325A">
        <w:rPr>
          <w:iCs/>
        </w:rPr>
        <w:t xml:space="preserve"> and</w:t>
      </w:r>
      <w:r w:rsidRPr="00E75A07">
        <w:rPr>
          <w:iCs/>
        </w:rPr>
        <w:t xml:space="preserve"> utilisation could be higher in clinical practice</w:t>
      </w:r>
      <w:r w:rsidR="00C52153">
        <w:rPr>
          <w:iCs/>
        </w:rPr>
        <w:t>; and</w:t>
      </w:r>
    </w:p>
    <w:p w:rsidR="00C7325A" w:rsidRPr="00C7325A" w:rsidRDefault="00C52153" w:rsidP="00C7325A">
      <w:pPr>
        <w:pStyle w:val="ListParagraph"/>
        <w:numPr>
          <w:ilvl w:val="0"/>
          <w:numId w:val="29"/>
        </w:numPr>
        <w:ind w:left="1134" w:hanging="425"/>
      </w:pPr>
      <w:proofErr w:type="gramStart"/>
      <w:r>
        <w:t>t</w:t>
      </w:r>
      <w:r w:rsidR="00C7325A" w:rsidRPr="00C7325A">
        <w:t>he</w:t>
      </w:r>
      <w:proofErr w:type="gramEnd"/>
      <w:r w:rsidR="00C7325A" w:rsidRPr="00C7325A">
        <w:t xml:space="preserve"> post-stroke population in the requested restriction has expanded relative to the current listing (MAS </w:t>
      </w:r>
      <w:r>
        <w:rPr>
          <w:rFonts w:cs="Calibri"/>
        </w:rPr>
        <w:t xml:space="preserve">score of </w:t>
      </w:r>
      <w:r w:rsidR="00C7325A" w:rsidRPr="00C7325A">
        <w:t>3</w:t>
      </w:r>
      <w:r>
        <w:t xml:space="preserve"> or more</w:t>
      </w:r>
      <w:r w:rsidR="00C7325A" w:rsidRPr="00C7325A">
        <w:t xml:space="preserve">), by including patients with </w:t>
      </w:r>
      <w:r>
        <w:t xml:space="preserve">a </w:t>
      </w:r>
      <w:r w:rsidR="00C7325A" w:rsidRPr="00C7325A">
        <w:t xml:space="preserve">MAS </w:t>
      </w:r>
      <w:r>
        <w:t xml:space="preserve">score of </w:t>
      </w:r>
      <w:r w:rsidR="00C7325A" w:rsidRPr="00C7325A">
        <w:t>2</w:t>
      </w:r>
      <w:r>
        <w:t xml:space="preserve"> or more</w:t>
      </w:r>
      <w:r w:rsidR="00C7325A" w:rsidRPr="00C7325A">
        <w:t xml:space="preserve">. These extra patients </w:t>
      </w:r>
      <w:r>
        <w:t>were</w:t>
      </w:r>
      <w:r w:rsidR="00C7325A" w:rsidRPr="00C7325A">
        <w:t xml:space="preserve"> not included in the estimates.</w:t>
      </w:r>
    </w:p>
    <w:p w:rsidR="00C7325A" w:rsidRPr="00C7325A" w:rsidRDefault="00C7325A" w:rsidP="00E5546E">
      <w:pPr>
        <w:pStyle w:val="ListParagraph"/>
        <w:widowControl/>
        <w:numPr>
          <w:ilvl w:val="1"/>
          <w:numId w:val="1"/>
        </w:numPr>
        <w:spacing w:after="0"/>
        <w:rPr>
          <w:rFonts w:asciiTheme="minorHAnsi" w:hAnsiTheme="minorHAnsi"/>
          <w:szCs w:val="24"/>
        </w:rPr>
      </w:pPr>
      <w:r w:rsidRPr="00C7325A">
        <w:rPr>
          <w:rFonts w:asciiTheme="minorHAnsi" w:hAnsiTheme="minorHAnsi"/>
          <w:szCs w:val="24"/>
        </w:rPr>
        <w:t xml:space="preserve">The </w:t>
      </w:r>
      <w:r w:rsidR="002A137F">
        <w:rPr>
          <w:rFonts w:asciiTheme="minorHAnsi" w:hAnsiTheme="minorHAnsi"/>
          <w:szCs w:val="24"/>
        </w:rPr>
        <w:t xml:space="preserve">PSCR and </w:t>
      </w:r>
      <w:r>
        <w:rPr>
          <w:rFonts w:asciiTheme="minorHAnsi" w:hAnsiTheme="minorHAnsi"/>
          <w:szCs w:val="24"/>
        </w:rPr>
        <w:t xml:space="preserve">pre-PBAC </w:t>
      </w:r>
      <w:r w:rsidR="001E4CA7">
        <w:rPr>
          <w:rFonts w:asciiTheme="minorHAnsi" w:hAnsiTheme="minorHAnsi"/>
          <w:szCs w:val="24"/>
        </w:rPr>
        <w:t>R</w:t>
      </w:r>
      <w:r>
        <w:rPr>
          <w:rFonts w:asciiTheme="minorHAnsi" w:hAnsiTheme="minorHAnsi"/>
          <w:szCs w:val="24"/>
        </w:rPr>
        <w:t xml:space="preserve">esponse </w:t>
      </w:r>
      <w:r w:rsidR="002A137F">
        <w:rPr>
          <w:rFonts w:asciiTheme="minorHAnsi" w:hAnsiTheme="minorHAnsi"/>
          <w:szCs w:val="24"/>
        </w:rPr>
        <w:t xml:space="preserve">acknowledged the difficulty in obtaining </w:t>
      </w:r>
      <w:r>
        <w:rPr>
          <w:rFonts w:asciiTheme="minorHAnsi" w:hAnsiTheme="minorHAnsi"/>
          <w:szCs w:val="24"/>
        </w:rPr>
        <w:t>data for the proportion of TBI patients</w:t>
      </w:r>
      <w:r w:rsidR="002A137F">
        <w:rPr>
          <w:rFonts w:asciiTheme="minorHAnsi" w:hAnsiTheme="minorHAnsi"/>
          <w:szCs w:val="24"/>
        </w:rPr>
        <w:t xml:space="preserve"> with spasticity and noted that the submissi</w:t>
      </w:r>
      <w:r w:rsidR="00072E55">
        <w:rPr>
          <w:rFonts w:asciiTheme="minorHAnsi" w:hAnsiTheme="minorHAnsi"/>
          <w:szCs w:val="24"/>
        </w:rPr>
        <w:t>on presented sensitivity analyse</w:t>
      </w:r>
      <w:r w:rsidR="002A137F">
        <w:rPr>
          <w:rFonts w:asciiTheme="minorHAnsi" w:hAnsiTheme="minorHAnsi"/>
          <w:szCs w:val="24"/>
        </w:rPr>
        <w:t xml:space="preserve">s to account for the uncertainty around this subgroup population. </w:t>
      </w:r>
    </w:p>
    <w:p w:rsidR="00E75A07" w:rsidRPr="00C9624D" w:rsidRDefault="00E75A07" w:rsidP="00E75A07">
      <w:pPr>
        <w:pStyle w:val="Heading2"/>
        <w:widowControl/>
      </w:pPr>
      <w:bookmarkStart w:id="37" w:name="_Toc524461035"/>
      <w:r w:rsidRPr="00C9624D">
        <w:lastRenderedPageBreak/>
        <w:t>Financial Management – Risk Sharing Arrangements</w:t>
      </w:r>
      <w:bookmarkEnd w:id="37"/>
    </w:p>
    <w:p w:rsidR="00E75A07" w:rsidRDefault="00E75A07" w:rsidP="00E75A07">
      <w:pPr>
        <w:pStyle w:val="ListParagraph"/>
        <w:widowControl/>
        <w:numPr>
          <w:ilvl w:val="1"/>
          <w:numId w:val="1"/>
        </w:numPr>
      </w:pPr>
      <w:r>
        <w:t xml:space="preserve">The submission stated that the Sponsor </w:t>
      </w:r>
      <w:r w:rsidR="00EF514A">
        <w:t xml:space="preserve">would be </w:t>
      </w:r>
      <w:r>
        <w:t xml:space="preserve">willing to enter into a </w:t>
      </w:r>
      <w:r w:rsidR="00EF514A">
        <w:t>R</w:t>
      </w:r>
      <w:r>
        <w:t>isk</w:t>
      </w:r>
      <w:r w:rsidR="00EF514A">
        <w:t xml:space="preserve"> S</w:t>
      </w:r>
      <w:r>
        <w:t xml:space="preserve">haring </w:t>
      </w:r>
      <w:r w:rsidR="00EF514A">
        <w:t>A</w:t>
      </w:r>
      <w:r>
        <w:t>rrangement</w:t>
      </w:r>
      <w:r w:rsidR="00EF514A">
        <w:t xml:space="preserve"> to minimise </w:t>
      </w:r>
      <w:r w:rsidRPr="00EE6F4F">
        <w:t>the risk of leakage into populations where the cost-effectiveness of Dysport</w:t>
      </w:r>
      <w:r>
        <w:rPr>
          <w:rFonts w:cs="Calibri"/>
        </w:rPr>
        <w:t>®</w:t>
      </w:r>
      <w:r w:rsidRPr="00EE6F4F">
        <w:t xml:space="preserve"> has not been established by the PBAC (e.g. non-acute aetiologies of spasticity of multiple sclerosis and cerebral palsy).</w:t>
      </w:r>
    </w:p>
    <w:p w:rsidR="00F05424" w:rsidRDefault="00F05424" w:rsidP="009F0049">
      <w:pPr>
        <w:pStyle w:val="Heading2"/>
        <w:widowControl/>
      </w:pPr>
      <w:r>
        <w:t>Quality use of medicines</w:t>
      </w:r>
    </w:p>
    <w:p w:rsidR="00F05424" w:rsidRDefault="00F05424" w:rsidP="009F0049">
      <w:pPr>
        <w:pStyle w:val="ListParagraph"/>
        <w:widowControl/>
        <w:numPr>
          <w:ilvl w:val="1"/>
          <w:numId w:val="1"/>
        </w:numPr>
      </w:pPr>
      <w:r w:rsidRPr="00E75A07">
        <w:t>The ESC acknowledged that sub-optimal targeting of botulinum toxin injections to the affected muscles may occur in clinical practice.</w:t>
      </w:r>
    </w:p>
    <w:p w:rsidR="00E75A07" w:rsidRDefault="00E75A07" w:rsidP="00E75A07">
      <w:pPr>
        <w:pStyle w:val="ListParagraph"/>
        <w:widowControl/>
        <w:rPr>
          <w:i/>
        </w:rPr>
      </w:pPr>
      <w:r w:rsidRPr="00E75A07">
        <w:rPr>
          <w:i/>
        </w:rPr>
        <w:t>For more detail on PBAC’s view, see Section 7 PBAC outcome.</w:t>
      </w:r>
    </w:p>
    <w:p w:rsidR="00462CB6" w:rsidRPr="00501170" w:rsidRDefault="00462CB6" w:rsidP="00611D60">
      <w:pPr>
        <w:pStyle w:val="Heading1"/>
      </w:pPr>
      <w:r w:rsidRPr="00501170">
        <w:t>PBAC Outcome</w:t>
      </w:r>
    </w:p>
    <w:p w:rsidR="00FF4006" w:rsidRPr="001645DE" w:rsidRDefault="005F3A53" w:rsidP="005F3A53">
      <w:pPr>
        <w:numPr>
          <w:ilvl w:val="1"/>
          <w:numId w:val="1"/>
        </w:numPr>
        <w:spacing w:after="120"/>
        <w:rPr>
          <w:rFonts w:asciiTheme="minorHAnsi" w:hAnsiTheme="minorHAnsi"/>
          <w:bCs/>
          <w:lang w:val="en-GB"/>
        </w:rPr>
      </w:pPr>
      <w:r>
        <w:rPr>
          <w:rFonts w:asciiTheme="minorHAnsi" w:hAnsiTheme="minorHAnsi"/>
          <w:bCs/>
          <w:lang w:val="en-GB"/>
        </w:rPr>
        <w:t xml:space="preserve">The PBAC did not recommend an extension of the current </w:t>
      </w:r>
      <w:r w:rsidR="00FF4006">
        <w:t>PBS</w:t>
      </w:r>
      <w:r>
        <w:t xml:space="preserve"> listing for </w:t>
      </w:r>
      <w:r w:rsidR="00EF514A">
        <w:t>C</w:t>
      </w:r>
      <w:r>
        <w:t xml:space="preserve">lostridium botulinum type A toxin-haemagglutinin complex (Dysport®) for treatment of moderate to severe focal spasticity of the upper limb following a stroke, to include </w:t>
      </w:r>
      <w:r w:rsidR="00EF514A">
        <w:t>spasticity</w:t>
      </w:r>
      <w:r>
        <w:t xml:space="preserve"> following an acute event</w:t>
      </w:r>
      <w:r w:rsidR="00EF514A">
        <w:t xml:space="preserve"> other than stroke</w:t>
      </w:r>
      <w:r w:rsidR="00FF4006">
        <w:t>,</w:t>
      </w:r>
      <w:r>
        <w:t xml:space="preserve"> on the basis of </w:t>
      </w:r>
      <w:r w:rsidR="00567139">
        <w:t xml:space="preserve">uncertain clinical benefit, </w:t>
      </w:r>
      <w:r>
        <w:t>uncertain cost-effectiveness</w:t>
      </w:r>
      <w:r w:rsidR="001645DE">
        <w:t>,</w:t>
      </w:r>
      <w:r>
        <w:t xml:space="preserve"> and </w:t>
      </w:r>
      <w:r w:rsidR="00B56A5D">
        <w:t xml:space="preserve">high and </w:t>
      </w:r>
      <w:r>
        <w:t>uncertain financial impact</w:t>
      </w:r>
      <w:r w:rsidR="001645DE">
        <w:t>.</w:t>
      </w:r>
    </w:p>
    <w:p w:rsidR="002F26F7" w:rsidRPr="002F26F7" w:rsidRDefault="00EF514A" w:rsidP="001645DE">
      <w:pPr>
        <w:numPr>
          <w:ilvl w:val="1"/>
          <w:numId w:val="1"/>
        </w:numPr>
        <w:spacing w:after="120"/>
        <w:rPr>
          <w:rFonts w:asciiTheme="minorHAnsi" w:hAnsiTheme="minorHAnsi"/>
          <w:bCs/>
          <w:lang w:val="en-GB"/>
        </w:rPr>
      </w:pPr>
      <w:r>
        <w:rPr>
          <w:rFonts w:asciiTheme="minorHAnsi" w:hAnsiTheme="minorHAnsi"/>
          <w:bCs/>
          <w:lang w:val="en-GB"/>
        </w:rPr>
        <w:t>The PBAC acknowledged the input from two health professionals which were supportive of extending the listing for Dysport</w:t>
      </w:r>
      <w:r>
        <w:rPr>
          <w:rFonts w:asciiTheme="minorHAnsi" w:hAnsiTheme="minorHAnsi" w:cstheme="minorHAnsi"/>
          <w:bCs/>
          <w:lang w:val="en-GB"/>
        </w:rPr>
        <w:t>® and considered the advice received during the sponsor hearing to be informative. The PBAC concluded that there was a clinical need for treatment</w:t>
      </w:r>
      <w:r w:rsidR="009A78CB">
        <w:rPr>
          <w:rFonts w:asciiTheme="minorHAnsi" w:hAnsiTheme="minorHAnsi" w:cstheme="minorHAnsi"/>
          <w:bCs/>
          <w:lang w:val="en-GB"/>
        </w:rPr>
        <w:t>s of upper limb focal spasticity following an acute event.</w:t>
      </w:r>
    </w:p>
    <w:p w:rsidR="002F26F7" w:rsidRPr="008E611B" w:rsidRDefault="002F26F7" w:rsidP="002F26F7">
      <w:pPr>
        <w:numPr>
          <w:ilvl w:val="1"/>
          <w:numId w:val="1"/>
        </w:numPr>
        <w:spacing w:after="120"/>
        <w:rPr>
          <w:rFonts w:asciiTheme="minorHAnsi" w:hAnsiTheme="minorHAnsi"/>
          <w:bCs/>
          <w:lang w:val="en-GB"/>
        </w:rPr>
      </w:pPr>
      <w:r>
        <w:t>The PBAC noted that the TGA, in its decision to grant market authorisation, accepted a favourable benefit to risk ratio for Dysport</w:t>
      </w:r>
      <w:r>
        <w:rPr>
          <w:rFonts w:cs="Calibri"/>
        </w:rPr>
        <w:t>®</w:t>
      </w:r>
      <w:r>
        <w:t xml:space="preserve">, based on spasticity being a common endpoint reached by damage to central motor pathways, and that the underlying aetiology was not particularly important in determining responsiveness to treatment. </w:t>
      </w:r>
      <w:r w:rsidRPr="00E75A07">
        <w:rPr>
          <w:iCs/>
        </w:rPr>
        <w:t xml:space="preserve">While the TGA’s conclusion may be reasonable for determining a </w:t>
      </w:r>
      <w:r>
        <w:rPr>
          <w:iCs/>
        </w:rPr>
        <w:t xml:space="preserve">benefit to </w:t>
      </w:r>
      <w:r w:rsidRPr="00E75A07">
        <w:rPr>
          <w:iCs/>
        </w:rPr>
        <w:t xml:space="preserve">risk ratio, when determining cost effectiveness and particularly when predicting longer term outcomes such as functional improvements, </w:t>
      </w:r>
      <w:r>
        <w:rPr>
          <w:iCs/>
        </w:rPr>
        <w:t xml:space="preserve">the PBAC considered that </w:t>
      </w:r>
      <w:r w:rsidRPr="00E75A07">
        <w:rPr>
          <w:iCs/>
        </w:rPr>
        <w:t>the lack of evidence regarding the effectiveness of Dysport</w:t>
      </w:r>
      <w:r w:rsidRPr="00E75A07">
        <w:rPr>
          <w:rFonts w:cs="Calibri"/>
          <w:iCs/>
        </w:rPr>
        <w:t>®</w:t>
      </w:r>
      <w:r w:rsidRPr="00E75A07">
        <w:rPr>
          <w:iCs/>
        </w:rPr>
        <w:t xml:space="preserve"> in treating </w:t>
      </w:r>
      <w:r>
        <w:rPr>
          <w:iCs/>
        </w:rPr>
        <w:t xml:space="preserve">upper limb focal spasticity </w:t>
      </w:r>
      <w:r w:rsidRPr="00E75A07">
        <w:rPr>
          <w:iCs/>
        </w:rPr>
        <w:t>due to aetiologies</w:t>
      </w:r>
      <w:r w:rsidR="001D5B53">
        <w:rPr>
          <w:iCs/>
        </w:rPr>
        <w:t xml:space="preserve"> other than stroke</w:t>
      </w:r>
      <w:r w:rsidRPr="00E75A07">
        <w:rPr>
          <w:iCs/>
        </w:rPr>
        <w:t xml:space="preserve"> create</w:t>
      </w:r>
      <w:r>
        <w:rPr>
          <w:iCs/>
        </w:rPr>
        <w:t>d</w:t>
      </w:r>
      <w:r w:rsidRPr="00E75A07">
        <w:rPr>
          <w:iCs/>
        </w:rPr>
        <w:t xml:space="preserve"> uncertainty. In addition, patients with </w:t>
      </w:r>
      <w:r>
        <w:rPr>
          <w:iCs/>
        </w:rPr>
        <w:t>upper limb spasticity</w:t>
      </w:r>
      <w:r w:rsidRPr="00E75A07">
        <w:rPr>
          <w:iCs/>
        </w:rPr>
        <w:t xml:space="preserve"> of differing aetiologies </w:t>
      </w:r>
      <w:r>
        <w:rPr>
          <w:iCs/>
        </w:rPr>
        <w:t xml:space="preserve">were considered </w:t>
      </w:r>
      <w:r w:rsidRPr="00E75A07">
        <w:rPr>
          <w:iCs/>
        </w:rPr>
        <w:t xml:space="preserve">likely to have different prospects for rehabilitation and </w:t>
      </w:r>
      <w:r>
        <w:rPr>
          <w:iCs/>
        </w:rPr>
        <w:t>varied</w:t>
      </w:r>
      <w:r w:rsidRPr="00E75A07">
        <w:rPr>
          <w:iCs/>
        </w:rPr>
        <w:t xml:space="preserve"> goals </w:t>
      </w:r>
      <w:r>
        <w:rPr>
          <w:iCs/>
        </w:rPr>
        <w:t>for</w:t>
      </w:r>
      <w:r w:rsidRPr="00E75A07">
        <w:rPr>
          <w:iCs/>
        </w:rPr>
        <w:t xml:space="preserve"> treatment; this also affects the assessment of whether it is reasonable to extrapolate benefits to the broader </w:t>
      </w:r>
      <w:r>
        <w:rPr>
          <w:iCs/>
        </w:rPr>
        <w:t>upper limb</w:t>
      </w:r>
      <w:r w:rsidRPr="00E75A07">
        <w:rPr>
          <w:iCs/>
        </w:rPr>
        <w:t xml:space="preserve"> population, and determination of cost effectiveness.</w:t>
      </w:r>
    </w:p>
    <w:p w:rsidR="009A78CB" w:rsidRPr="002F26F7" w:rsidRDefault="00EF514A" w:rsidP="001645DE">
      <w:pPr>
        <w:numPr>
          <w:ilvl w:val="1"/>
          <w:numId w:val="1"/>
        </w:numPr>
        <w:spacing w:after="120"/>
        <w:rPr>
          <w:rFonts w:asciiTheme="minorHAnsi" w:hAnsiTheme="minorHAnsi"/>
          <w:bCs/>
          <w:lang w:val="en-GB"/>
        </w:rPr>
      </w:pPr>
      <w:r w:rsidRPr="002F26F7">
        <w:rPr>
          <w:rFonts w:asciiTheme="minorHAnsi" w:hAnsiTheme="minorHAnsi"/>
          <w:bCs/>
          <w:lang w:val="en-GB"/>
        </w:rPr>
        <w:t xml:space="preserve"> </w:t>
      </w:r>
      <w:r w:rsidR="009A78CB" w:rsidRPr="002F26F7">
        <w:rPr>
          <w:rFonts w:asciiTheme="minorHAnsi" w:hAnsiTheme="minorHAnsi"/>
          <w:bCs/>
          <w:lang w:val="en-GB"/>
        </w:rPr>
        <w:t>The PBAC noted that the key trial, Study 145, consisted of a single injection during a randomised, double-blind phase, followed by up to four treatments in an open label extension, Study 148. The PBAC considered that there was a lack of comparative evidence beyond the first injection, and insufficient evidence to inform the benefit of treatment, particularly beyond the first year of treatment. The PBAC also noted that there was limited dat</w:t>
      </w:r>
      <w:r w:rsidR="00CB0FE0">
        <w:rPr>
          <w:rFonts w:asciiTheme="minorHAnsi" w:hAnsiTheme="minorHAnsi"/>
          <w:bCs/>
          <w:lang w:val="en-GB"/>
        </w:rPr>
        <w:t>a</w:t>
      </w:r>
      <w:r w:rsidR="00E72C85">
        <w:rPr>
          <w:rFonts w:asciiTheme="minorHAnsi" w:hAnsiTheme="minorHAnsi"/>
          <w:bCs/>
          <w:lang w:val="en-GB"/>
        </w:rPr>
        <w:t xml:space="preserve"> and, accordingly, a high level of uncertainty surrounding the treatment effect,</w:t>
      </w:r>
      <w:r w:rsidR="009A78CB" w:rsidRPr="002F26F7">
        <w:rPr>
          <w:rFonts w:asciiTheme="minorHAnsi" w:hAnsiTheme="minorHAnsi"/>
          <w:bCs/>
          <w:lang w:val="en-GB"/>
        </w:rPr>
        <w:t xml:space="preserve"> for the treatment of spasticity resulting from events other than </w:t>
      </w:r>
      <w:r w:rsidR="009A78CB" w:rsidRPr="002F26F7">
        <w:rPr>
          <w:rFonts w:asciiTheme="minorHAnsi" w:hAnsiTheme="minorHAnsi"/>
          <w:bCs/>
          <w:lang w:val="en-GB"/>
        </w:rPr>
        <w:lastRenderedPageBreak/>
        <w:t>stroke.</w:t>
      </w:r>
    </w:p>
    <w:p w:rsidR="001645DE" w:rsidRDefault="001645DE" w:rsidP="001645DE">
      <w:pPr>
        <w:numPr>
          <w:ilvl w:val="1"/>
          <w:numId w:val="1"/>
        </w:numPr>
        <w:spacing w:after="120"/>
        <w:rPr>
          <w:rFonts w:asciiTheme="minorHAnsi" w:hAnsiTheme="minorHAnsi"/>
          <w:bCs/>
          <w:lang w:val="en-GB"/>
        </w:rPr>
      </w:pPr>
      <w:r w:rsidRPr="00617DFF">
        <w:rPr>
          <w:rFonts w:asciiTheme="minorHAnsi" w:hAnsiTheme="minorHAnsi"/>
          <w:bCs/>
          <w:lang w:val="en-GB"/>
        </w:rPr>
        <w:t xml:space="preserve">The PBAC considered that the nominated comparator of </w:t>
      </w:r>
      <w:r w:rsidR="009A78CB">
        <w:rPr>
          <w:rFonts w:asciiTheme="minorHAnsi" w:hAnsiTheme="minorHAnsi"/>
          <w:bCs/>
          <w:lang w:val="en-GB"/>
        </w:rPr>
        <w:t>standard of care/</w:t>
      </w:r>
      <w:r w:rsidRPr="00617DFF">
        <w:rPr>
          <w:rFonts w:asciiTheme="minorHAnsi" w:hAnsiTheme="minorHAnsi"/>
          <w:bCs/>
          <w:lang w:val="en-GB"/>
        </w:rPr>
        <w:t xml:space="preserve">placebo was appropriate.  </w:t>
      </w:r>
    </w:p>
    <w:p w:rsidR="005659BD" w:rsidRPr="00617DFF" w:rsidRDefault="005659BD" w:rsidP="001645DE">
      <w:pPr>
        <w:numPr>
          <w:ilvl w:val="1"/>
          <w:numId w:val="1"/>
        </w:numPr>
        <w:spacing w:after="120"/>
        <w:rPr>
          <w:rFonts w:asciiTheme="minorHAnsi" w:hAnsiTheme="minorHAnsi"/>
          <w:bCs/>
          <w:lang w:val="en-GB"/>
        </w:rPr>
      </w:pPr>
      <w:r>
        <w:rPr>
          <w:rFonts w:asciiTheme="minorHAnsi" w:hAnsiTheme="minorHAnsi"/>
          <w:bCs/>
          <w:lang w:val="en-GB"/>
        </w:rPr>
        <w:t xml:space="preserve">The PBAC noted that the primary outcome of the key trial </w:t>
      </w:r>
      <w:r w:rsidR="00D271B9">
        <w:rPr>
          <w:rFonts w:asciiTheme="minorHAnsi" w:hAnsiTheme="minorHAnsi"/>
          <w:bCs/>
          <w:lang w:val="en-GB"/>
        </w:rPr>
        <w:t xml:space="preserve">was </w:t>
      </w:r>
      <w:r w:rsidR="00551623">
        <w:rPr>
          <w:rFonts w:asciiTheme="minorHAnsi" w:hAnsiTheme="minorHAnsi"/>
          <w:bCs/>
          <w:lang w:val="en-GB"/>
        </w:rPr>
        <w:t xml:space="preserve">change </w:t>
      </w:r>
      <w:r w:rsidR="007634A1">
        <w:rPr>
          <w:rFonts w:asciiTheme="minorHAnsi" w:hAnsiTheme="minorHAnsi"/>
          <w:bCs/>
          <w:lang w:val="en-GB"/>
        </w:rPr>
        <w:t xml:space="preserve">in </w:t>
      </w:r>
      <w:r w:rsidR="00D271B9">
        <w:rPr>
          <w:rFonts w:asciiTheme="minorHAnsi" w:hAnsiTheme="minorHAnsi"/>
          <w:bCs/>
          <w:lang w:val="en-GB"/>
        </w:rPr>
        <w:t xml:space="preserve">spasticity, measured by the Modified Ashworth Score (MAS). The nominated minimal clinically important difference (MCID) </w:t>
      </w:r>
      <w:r>
        <w:rPr>
          <w:rFonts w:asciiTheme="minorHAnsi" w:hAnsiTheme="minorHAnsi"/>
          <w:bCs/>
          <w:lang w:val="en-GB"/>
        </w:rPr>
        <w:t>was a reduction in MAS score of at least one</w:t>
      </w:r>
      <w:r w:rsidR="00D271B9">
        <w:rPr>
          <w:rFonts w:asciiTheme="minorHAnsi" w:hAnsiTheme="minorHAnsi"/>
          <w:bCs/>
          <w:lang w:val="en-GB"/>
        </w:rPr>
        <w:t>,</w:t>
      </w:r>
      <w:r>
        <w:rPr>
          <w:rFonts w:asciiTheme="minorHAnsi" w:hAnsiTheme="minorHAnsi"/>
          <w:bCs/>
          <w:lang w:val="en-GB"/>
        </w:rPr>
        <w:t xml:space="preserve"> using the ‘derived MAS’ coding convention</w:t>
      </w:r>
      <w:r w:rsidR="00D271B9">
        <w:rPr>
          <w:rFonts w:asciiTheme="minorHAnsi" w:hAnsiTheme="minorHAnsi"/>
          <w:bCs/>
          <w:lang w:val="en-GB"/>
        </w:rPr>
        <w:t>, at Week 4</w:t>
      </w:r>
      <w:r>
        <w:rPr>
          <w:rFonts w:asciiTheme="minorHAnsi" w:hAnsiTheme="minorHAnsi"/>
          <w:bCs/>
          <w:lang w:val="en-GB"/>
        </w:rPr>
        <w:t xml:space="preserve">. The </w:t>
      </w:r>
      <w:r w:rsidR="00D271B9">
        <w:rPr>
          <w:rFonts w:asciiTheme="minorHAnsi" w:hAnsiTheme="minorHAnsi"/>
          <w:bCs/>
          <w:lang w:val="en-GB"/>
        </w:rPr>
        <w:t xml:space="preserve">PBAC noted that the </w:t>
      </w:r>
      <w:r>
        <w:rPr>
          <w:rFonts w:asciiTheme="minorHAnsi" w:hAnsiTheme="minorHAnsi"/>
          <w:bCs/>
          <w:lang w:val="en-GB"/>
        </w:rPr>
        <w:t>use of th</w:t>
      </w:r>
      <w:r w:rsidR="00D271B9">
        <w:rPr>
          <w:rFonts w:asciiTheme="minorHAnsi" w:hAnsiTheme="minorHAnsi"/>
          <w:bCs/>
          <w:lang w:val="en-GB"/>
        </w:rPr>
        <w:t>e</w:t>
      </w:r>
      <w:r>
        <w:rPr>
          <w:rFonts w:asciiTheme="minorHAnsi" w:hAnsiTheme="minorHAnsi"/>
          <w:bCs/>
          <w:lang w:val="en-GB"/>
        </w:rPr>
        <w:t xml:space="preserve"> </w:t>
      </w:r>
      <w:r w:rsidR="00D271B9">
        <w:rPr>
          <w:rFonts w:asciiTheme="minorHAnsi" w:hAnsiTheme="minorHAnsi"/>
          <w:bCs/>
          <w:lang w:val="en-GB"/>
        </w:rPr>
        <w:t xml:space="preserve">‘derived MAS’ </w:t>
      </w:r>
      <w:r>
        <w:rPr>
          <w:rFonts w:asciiTheme="minorHAnsi" w:hAnsiTheme="minorHAnsi"/>
          <w:bCs/>
          <w:lang w:val="en-GB"/>
        </w:rPr>
        <w:t>coding convention was not consistent with the historical coding convention which was used in the November 2007 submission for Dysport</w:t>
      </w:r>
      <w:r>
        <w:rPr>
          <w:rFonts w:asciiTheme="minorHAnsi" w:hAnsiTheme="minorHAnsi" w:cstheme="minorHAnsi"/>
          <w:bCs/>
          <w:lang w:val="en-GB"/>
        </w:rPr>
        <w:t>®</w:t>
      </w:r>
      <w:r>
        <w:rPr>
          <w:rFonts w:asciiTheme="minorHAnsi" w:hAnsiTheme="minorHAnsi"/>
          <w:bCs/>
          <w:lang w:val="en-GB"/>
        </w:rPr>
        <w:t xml:space="preserve"> in the treatment of upper limb spasticity following a stroke or the current PBS listing.</w:t>
      </w:r>
      <w:r w:rsidR="00D271B9">
        <w:rPr>
          <w:rFonts w:asciiTheme="minorHAnsi" w:hAnsiTheme="minorHAnsi"/>
          <w:bCs/>
          <w:lang w:val="en-GB"/>
        </w:rPr>
        <w:t xml:space="preserve"> The PBAC considered that a change in MAS of at least two using the ‘derived MAS’ convention, when accompanied by other functional outcomes such as goal attainment, would likely represent a clinically meaningful response. </w:t>
      </w:r>
      <w:r w:rsidR="00E72C85">
        <w:rPr>
          <w:rFonts w:asciiTheme="minorHAnsi" w:hAnsiTheme="minorHAnsi"/>
          <w:bCs/>
          <w:lang w:val="en-GB"/>
        </w:rPr>
        <w:t>The PBAC considered that further clinical input surrounding the use of the historical coding convention and the ‘derived MAS’ scale in clinical practice would be beneficial.</w:t>
      </w:r>
    </w:p>
    <w:p w:rsidR="008E611B" w:rsidRPr="009C7142" w:rsidRDefault="00551623" w:rsidP="005E7EF2">
      <w:pPr>
        <w:numPr>
          <w:ilvl w:val="1"/>
          <w:numId w:val="1"/>
        </w:numPr>
        <w:spacing w:after="120"/>
        <w:rPr>
          <w:rFonts w:asciiTheme="minorHAnsi" w:hAnsiTheme="minorHAnsi"/>
          <w:bCs/>
          <w:lang w:val="en-GB"/>
        </w:rPr>
      </w:pPr>
      <w:r>
        <w:t xml:space="preserve">The PBAC considered that </w:t>
      </w:r>
      <w:r w:rsidR="008E611B">
        <w:t xml:space="preserve">the benefit of </w:t>
      </w:r>
      <w:r>
        <w:t>Dysport</w:t>
      </w:r>
      <w:r>
        <w:rPr>
          <w:rFonts w:cs="Calibri"/>
        </w:rPr>
        <w:t>®</w:t>
      </w:r>
      <w:r>
        <w:t xml:space="preserve"> </w:t>
      </w:r>
      <w:r w:rsidR="00D130AC">
        <w:t>compare</w:t>
      </w:r>
      <w:r>
        <w:t>d to placebo in the treatment of focal spasticity of the upper limb following an acute event other than stroke</w:t>
      </w:r>
      <w:r w:rsidR="008E611B">
        <w:t xml:space="preserve"> </w:t>
      </w:r>
      <w:r w:rsidR="00D130AC">
        <w:t xml:space="preserve">could not be assessed as these patients were poorly represented in the </w:t>
      </w:r>
      <w:r w:rsidR="007430E5">
        <w:t xml:space="preserve">key </w:t>
      </w:r>
      <w:r w:rsidR="00D130AC">
        <w:t xml:space="preserve">trial. The PBAC considered that the subgroups of patients with spasticity following a traumatic brain injury were very small and analyses were </w:t>
      </w:r>
      <w:r w:rsidR="00D130AC" w:rsidRPr="00EF5B2D">
        <w:rPr>
          <w:i/>
        </w:rPr>
        <w:t>post-hoc</w:t>
      </w:r>
      <w:r w:rsidR="00D130AC">
        <w:t xml:space="preserve"> and not powered to detect statistical significance. The PBAC noted that no evidence was presented for upper limb spasticity due to other aetiologies such as spinal cord injury, hypoxia or infection.</w:t>
      </w:r>
      <w:r>
        <w:t xml:space="preserve"> </w:t>
      </w:r>
    </w:p>
    <w:p w:rsidR="00551623" w:rsidRDefault="00D130AC" w:rsidP="005E7EF2">
      <w:pPr>
        <w:numPr>
          <w:ilvl w:val="1"/>
          <w:numId w:val="1"/>
        </w:numPr>
        <w:spacing w:after="120"/>
        <w:rPr>
          <w:rFonts w:asciiTheme="minorHAnsi" w:hAnsiTheme="minorHAnsi"/>
          <w:bCs/>
          <w:lang w:val="en-GB"/>
        </w:rPr>
      </w:pPr>
      <w:r>
        <w:rPr>
          <w:rFonts w:asciiTheme="minorHAnsi" w:hAnsiTheme="minorHAnsi"/>
          <w:bCs/>
          <w:lang w:val="en-GB"/>
        </w:rPr>
        <w:t>The PBAC, not</w:t>
      </w:r>
      <w:r w:rsidR="00EF5B2D">
        <w:rPr>
          <w:rFonts w:asciiTheme="minorHAnsi" w:hAnsiTheme="minorHAnsi"/>
          <w:bCs/>
          <w:lang w:val="en-GB"/>
        </w:rPr>
        <w:t>ing</w:t>
      </w:r>
      <w:r>
        <w:rPr>
          <w:rFonts w:asciiTheme="minorHAnsi" w:hAnsiTheme="minorHAnsi"/>
          <w:bCs/>
          <w:lang w:val="en-GB"/>
        </w:rPr>
        <w:t xml:space="preserve"> that the submission did not make a claim regarding the safety of Dysport</w:t>
      </w:r>
      <w:r>
        <w:rPr>
          <w:rFonts w:asciiTheme="minorHAnsi" w:hAnsiTheme="minorHAnsi" w:cstheme="minorHAnsi"/>
          <w:bCs/>
          <w:lang w:val="en-GB"/>
        </w:rPr>
        <w:t>®</w:t>
      </w:r>
      <w:r w:rsidR="00073868">
        <w:rPr>
          <w:rFonts w:asciiTheme="minorHAnsi" w:hAnsiTheme="minorHAnsi"/>
          <w:bCs/>
          <w:lang w:val="en-GB"/>
        </w:rPr>
        <w:t>, considered that</w:t>
      </w:r>
      <w:r>
        <w:rPr>
          <w:rFonts w:asciiTheme="minorHAnsi" w:hAnsiTheme="minorHAnsi"/>
          <w:bCs/>
          <w:lang w:val="en-GB"/>
        </w:rPr>
        <w:t xml:space="preserve"> Dysport</w:t>
      </w:r>
      <w:r>
        <w:rPr>
          <w:rFonts w:asciiTheme="minorHAnsi" w:hAnsiTheme="minorHAnsi" w:cstheme="minorHAnsi"/>
          <w:bCs/>
          <w:lang w:val="en-GB"/>
        </w:rPr>
        <w:t>®</w:t>
      </w:r>
      <w:r>
        <w:rPr>
          <w:rFonts w:asciiTheme="minorHAnsi" w:hAnsiTheme="minorHAnsi"/>
          <w:bCs/>
          <w:lang w:val="en-GB"/>
        </w:rPr>
        <w:t xml:space="preserve"> was inferior compared to standard of care/placebo.</w:t>
      </w:r>
    </w:p>
    <w:p w:rsidR="003A61FC" w:rsidRDefault="00ED3E5D" w:rsidP="00073868">
      <w:pPr>
        <w:numPr>
          <w:ilvl w:val="1"/>
          <w:numId w:val="1"/>
        </w:numPr>
        <w:spacing w:after="120"/>
        <w:rPr>
          <w:rFonts w:asciiTheme="minorHAnsi" w:hAnsiTheme="minorHAnsi"/>
          <w:bCs/>
          <w:lang w:val="en-GB"/>
        </w:rPr>
      </w:pPr>
      <w:r>
        <w:rPr>
          <w:rFonts w:asciiTheme="minorHAnsi" w:hAnsiTheme="minorHAnsi"/>
          <w:bCs/>
          <w:lang w:val="en-GB"/>
        </w:rPr>
        <w:t>The PBAC recalled that it accepted a cost per responder analysis of less than $15,000 when considering Dysport</w:t>
      </w:r>
      <w:r>
        <w:rPr>
          <w:rFonts w:asciiTheme="minorHAnsi" w:hAnsiTheme="minorHAnsi" w:cstheme="minorHAnsi"/>
          <w:bCs/>
          <w:lang w:val="en-GB"/>
        </w:rPr>
        <w:t>®</w:t>
      </w:r>
      <w:r>
        <w:rPr>
          <w:rFonts w:asciiTheme="minorHAnsi" w:hAnsiTheme="minorHAnsi"/>
          <w:bCs/>
          <w:lang w:val="en-GB"/>
        </w:rPr>
        <w:t xml:space="preserve"> for the treatment of upper limb focal spasticity following a stroke (November 2007, Dysport</w:t>
      </w:r>
      <w:r>
        <w:rPr>
          <w:rFonts w:asciiTheme="minorHAnsi" w:hAnsiTheme="minorHAnsi" w:cstheme="minorHAnsi"/>
          <w:bCs/>
          <w:lang w:val="en-GB"/>
        </w:rPr>
        <w:t>®</w:t>
      </w:r>
      <w:r>
        <w:rPr>
          <w:rFonts w:asciiTheme="minorHAnsi" w:hAnsiTheme="minorHAnsi"/>
          <w:bCs/>
          <w:lang w:val="en-GB"/>
        </w:rPr>
        <w:t xml:space="preserve"> PSD). The PBAC noted that the cost per responder, when response was defined as a MAS improvement of greater than one and re-estimated using the historical MAS coding convention, was considerably higher</w:t>
      </w:r>
      <w:r w:rsidR="002F26F7">
        <w:rPr>
          <w:rFonts w:asciiTheme="minorHAnsi" w:hAnsiTheme="minorHAnsi"/>
          <w:bCs/>
          <w:lang w:val="en-GB"/>
        </w:rPr>
        <w:t>. The PBAC also noted that as efficacy outcomes were based on Study 145, the estimated cost per responder was driven by response in stroke patients and the applicability of the results to patients with upper limb spasticity following an acute event other than stroke was uncertain.</w:t>
      </w:r>
    </w:p>
    <w:p w:rsidR="003A61FC" w:rsidRPr="009006BF" w:rsidRDefault="003A61FC" w:rsidP="003A61FC">
      <w:pPr>
        <w:numPr>
          <w:ilvl w:val="1"/>
          <w:numId w:val="1"/>
        </w:numPr>
        <w:spacing w:after="120"/>
        <w:rPr>
          <w:rFonts w:asciiTheme="minorHAnsi" w:hAnsiTheme="minorHAnsi"/>
          <w:bCs/>
          <w:lang w:val="en-GB"/>
        </w:rPr>
      </w:pPr>
      <w:r>
        <w:rPr>
          <w:rFonts w:asciiTheme="minorHAnsi" w:hAnsiTheme="minorHAnsi"/>
          <w:bCs/>
          <w:lang w:val="en-GB"/>
        </w:rPr>
        <w:t xml:space="preserve">The PBAC accepted the mixed approach </w:t>
      </w:r>
      <w:r>
        <w:t xml:space="preserve">used to estimate the </w:t>
      </w:r>
      <w:r w:rsidRPr="00AD7389">
        <w:t>financia</w:t>
      </w:r>
      <w:r>
        <w:t xml:space="preserve">l implications of the proposed extension to listing, but agreed with the DUSC that the financial estimates may have been under-estimated given the number of TBI patients were obtained from conflicting data sources and lower estimates were used in the base case analysis. The PBAC considered that the estimated </w:t>
      </w:r>
      <w:r w:rsidR="004C616B">
        <w:t>$30 - $60</w:t>
      </w:r>
      <w:r>
        <w:t xml:space="preserve"> million additional cost to government over the first six years of extending the current listing was uncertain. </w:t>
      </w:r>
      <w:r w:rsidR="00E72C85">
        <w:t xml:space="preserve">Given the uncertainty, the PBAC considered that any future submission for upper limb </w:t>
      </w:r>
      <w:r w:rsidR="00E72C85">
        <w:lastRenderedPageBreak/>
        <w:t xml:space="preserve">focal spasticity following an acute event should consider proposing an </w:t>
      </w:r>
      <w:r w:rsidR="00E72C85" w:rsidRPr="00543A63">
        <w:t>utilisation cap</w:t>
      </w:r>
      <w:r w:rsidR="00E72C85">
        <w:t>.</w:t>
      </w:r>
    </w:p>
    <w:p w:rsidR="008F2BAC" w:rsidRDefault="003A61FC" w:rsidP="003A61FC">
      <w:pPr>
        <w:numPr>
          <w:ilvl w:val="1"/>
          <w:numId w:val="1"/>
        </w:numPr>
        <w:spacing w:after="120"/>
        <w:rPr>
          <w:rFonts w:asciiTheme="minorHAnsi" w:hAnsiTheme="minorHAnsi"/>
          <w:bCs/>
          <w:lang w:val="en-GB"/>
        </w:rPr>
      </w:pPr>
      <w:r>
        <w:rPr>
          <w:rFonts w:asciiTheme="minorHAnsi" w:hAnsiTheme="minorHAnsi"/>
          <w:bCs/>
          <w:lang w:val="en-GB"/>
        </w:rPr>
        <w:t>The PBAC considered that the uncertainty surrounding the treatment effect of Dysport</w:t>
      </w:r>
      <w:r>
        <w:rPr>
          <w:rFonts w:asciiTheme="minorHAnsi" w:hAnsiTheme="minorHAnsi" w:cstheme="minorHAnsi"/>
          <w:bCs/>
          <w:lang w:val="en-GB"/>
        </w:rPr>
        <w:t>®</w:t>
      </w:r>
      <w:r>
        <w:rPr>
          <w:rFonts w:asciiTheme="minorHAnsi" w:hAnsiTheme="minorHAnsi"/>
          <w:bCs/>
          <w:lang w:val="en-GB"/>
        </w:rPr>
        <w:t xml:space="preserve"> in patients with spasticity due to aetiologies other than stroke was unlikely to be </w:t>
      </w:r>
      <w:r w:rsidR="00E72C85">
        <w:rPr>
          <w:rFonts w:asciiTheme="minorHAnsi" w:hAnsiTheme="minorHAnsi"/>
          <w:bCs/>
          <w:lang w:val="en-GB"/>
        </w:rPr>
        <w:t xml:space="preserve">substantially </w:t>
      </w:r>
      <w:r>
        <w:rPr>
          <w:rFonts w:asciiTheme="minorHAnsi" w:hAnsiTheme="minorHAnsi"/>
          <w:bCs/>
          <w:lang w:val="en-GB"/>
        </w:rPr>
        <w:t xml:space="preserve">reduced by future high quality data </w:t>
      </w:r>
      <w:r w:rsidR="00E72C85">
        <w:rPr>
          <w:rFonts w:asciiTheme="minorHAnsi" w:hAnsiTheme="minorHAnsi"/>
          <w:bCs/>
          <w:lang w:val="en-GB"/>
        </w:rPr>
        <w:t xml:space="preserve">and that such high quality data were not likely to become available. These uncertainty issues could be </w:t>
      </w:r>
      <w:r>
        <w:rPr>
          <w:rFonts w:asciiTheme="minorHAnsi" w:hAnsiTheme="minorHAnsi"/>
          <w:bCs/>
          <w:lang w:val="en-GB"/>
        </w:rPr>
        <w:t xml:space="preserve">mitigated through </w:t>
      </w:r>
      <w:r w:rsidR="00E72C85">
        <w:rPr>
          <w:rFonts w:asciiTheme="minorHAnsi" w:hAnsiTheme="minorHAnsi"/>
          <w:bCs/>
          <w:lang w:val="en-GB"/>
        </w:rPr>
        <w:t xml:space="preserve">adjustment of </w:t>
      </w:r>
      <w:r>
        <w:rPr>
          <w:rFonts w:asciiTheme="minorHAnsi" w:hAnsiTheme="minorHAnsi"/>
          <w:bCs/>
          <w:lang w:val="en-GB"/>
        </w:rPr>
        <w:t xml:space="preserve">the requested price </w:t>
      </w:r>
      <w:r w:rsidR="00E72C85">
        <w:rPr>
          <w:rFonts w:asciiTheme="minorHAnsi" w:hAnsiTheme="minorHAnsi"/>
          <w:bCs/>
          <w:lang w:val="en-GB"/>
        </w:rPr>
        <w:t>to deliver a lower incremental cost-effectiveness ratio</w:t>
      </w:r>
      <w:r>
        <w:rPr>
          <w:rFonts w:asciiTheme="minorHAnsi" w:hAnsiTheme="minorHAnsi"/>
          <w:bCs/>
          <w:lang w:val="en-GB"/>
        </w:rPr>
        <w:t>.</w:t>
      </w:r>
      <w:r w:rsidR="00C52F7B">
        <w:rPr>
          <w:rFonts w:asciiTheme="minorHAnsi" w:hAnsiTheme="minorHAnsi"/>
          <w:bCs/>
          <w:lang w:val="en-GB"/>
        </w:rPr>
        <w:t xml:space="preserve"> </w:t>
      </w:r>
    </w:p>
    <w:p w:rsidR="00033BF5" w:rsidRPr="003A61FC" w:rsidRDefault="00072E55" w:rsidP="00462CB6">
      <w:pPr>
        <w:numPr>
          <w:ilvl w:val="1"/>
          <w:numId w:val="1"/>
        </w:numPr>
        <w:spacing w:after="120"/>
        <w:rPr>
          <w:rFonts w:asciiTheme="minorHAnsi" w:hAnsiTheme="minorHAnsi"/>
          <w:bCs/>
          <w:lang w:val="en-GB"/>
        </w:rPr>
      </w:pPr>
      <w:r w:rsidRPr="003A61FC">
        <w:rPr>
          <w:rFonts w:asciiTheme="minorHAnsi" w:hAnsiTheme="minorHAnsi"/>
          <w:bCs/>
          <w:lang w:val="en-GB"/>
        </w:rPr>
        <w:t xml:space="preserve">The PBAC noted that this submission is not eligible for an </w:t>
      </w:r>
      <w:r w:rsidR="003A61FC" w:rsidRPr="003A61FC">
        <w:rPr>
          <w:rFonts w:asciiTheme="minorHAnsi" w:hAnsiTheme="minorHAnsi"/>
          <w:bCs/>
          <w:lang w:val="en-GB"/>
        </w:rPr>
        <w:t>I</w:t>
      </w:r>
      <w:r w:rsidRPr="003A61FC">
        <w:rPr>
          <w:rFonts w:asciiTheme="minorHAnsi" w:hAnsiTheme="minorHAnsi"/>
          <w:bCs/>
          <w:lang w:val="en-GB"/>
        </w:rPr>
        <w:t xml:space="preserve">ndependent </w:t>
      </w:r>
      <w:r w:rsidR="003A61FC" w:rsidRPr="003A61FC">
        <w:rPr>
          <w:rFonts w:asciiTheme="minorHAnsi" w:hAnsiTheme="minorHAnsi"/>
          <w:bCs/>
          <w:lang w:val="en-GB"/>
        </w:rPr>
        <w:t>R</w:t>
      </w:r>
      <w:r w:rsidRPr="003A61FC">
        <w:rPr>
          <w:rFonts w:asciiTheme="minorHAnsi" w:hAnsiTheme="minorHAnsi"/>
          <w:bCs/>
          <w:lang w:val="en-GB"/>
        </w:rPr>
        <w:t xml:space="preserve">eview as it </w:t>
      </w:r>
      <w:r w:rsidR="003A61FC" w:rsidRPr="003A61FC">
        <w:rPr>
          <w:rFonts w:asciiTheme="minorHAnsi" w:hAnsiTheme="minorHAnsi"/>
          <w:bCs/>
          <w:lang w:val="en-GB"/>
        </w:rPr>
        <w:t>was</w:t>
      </w:r>
      <w:r w:rsidRPr="003A61FC">
        <w:rPr>
          <w:rFonts w:asciiTheme="minorHAnsi" w:hAnsiTheme="minorHAnsi"/>
          <w:bCs/>
          <w:lang w:val="en-GB"/>
        </w:rPr>
        <w:t xml:space="preserve"> a request to extend an existing listing. </w:t>
      </w:r>
    </w:p>
    <w:p w:rsidR="00462CB6" w:rsidRPr="00072E55" w:rsidRDefault="00462CB6" w:rsidP="00462CB6">
      <w:pPr>
        <w:spacing w:before="240"/>
        <w:rPr>
          <w:rFonts w:asciiTheme="minorHAnsi" w:hAnsiTheme="minorHAnsi"/>
          <w:b/>
          <w:bCs/>
          <w:lang w:val="en-GB"/>
        </w:rPr>
      </w:pPr>
      <w:r w:rsidRPr="00072E55">
        <w:rPr>
          <w:rFonts w:asciiTheme="minorHAnsi" w:hAnsiTheme="minorHAnsi"/>
          <w:b/>
          <w:bCs/>
          <w:lang w:val="en-GB"/>
        </w:rPr>
        <w:t>Outcome:</w:t>
      </w:r>
    </w:p>
    <w:p w:rsidR="00462CB6" w:rsidRPr="00072E55" w:rsidRDefault="00462CB6" w:rsidP="00462CB6">
      <w:pPr>
        <w:rPr>
          <w:rFonts w:asciiTheme="minorHAnsi" w:hAnsiTheme="minorHAnsi"/>
          <w:b/>
          <w:bCs/>
        </w:rPr>
      </w:pPr>
      <w:r w:rsidRPr="00072E55">
        <w:rPr>
          <w:rFonts w:asciiTheme="minorHAnsi" w:hAnsiTheme="minorHAnsi"/>
          <w:bCs/>
          <w:lang w:val="en-GB"/>
        </w:rPr>
        <w:t>Reje</w:t>
      </w:r>
      <w:r w:rsidR="00072E55" w:rsidRPr="00072E55">
        <w:rPr>
          <w:rFonts w:asciiTheme="minorHAnsi" w:hAnsiTheme="minorHAnsi"/>
          <w:bCs/>
          <w:lang w:val="en-GB"/>
        </w:rPr>
        <w:t xml:space="preserve">cted </w:t>
      </w:r>
    </w:p>
    <w:p w:rsidR="00543A63" w:rsidRPr="00C07617" w:rsidRDefault="00543A63" w:rsidP="00543A63">
      <w:pPr>
        <w:pStyle w:val="Heading1"/>
        <w:ind w:left="709" w:hanging="709"/>
        <w:rPr>
          <w:rFonts w:asciiTheme="minorHAnsi" w:hAnsiTheme="minorHAnsi"/>
          <w:b w:val="0"/>
        </w:rPr>
      </w:pPr>
      <w:r w:rsidRPr="00C07617">
        <w:rPr>
          <w:rFonts w:asciiTheme="minorHAnsi" w:hAnsiTheme="minorHAnsi"/>
        </w:rPr>
        <w:t>Context for Decision</w:t>
      </w:r>
    </w:p>
    <w:p w:rsidR="00543A63" w:rsidRPr="00C07617" w:rsidRDefault="00543A63" w:rsidP="00543A63">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43A63" w:rsidRPr="00C07617" w:rsidRDefault="00543A63" w:rsidP="00543A63">
      <w:pPr>
        <w:pStyle w:val="Heading1"/>
        <w:ind w:left="709" w:hanging="709"/>
        <w:rPr>
          <w:rFonts w:asciiTheme="minorHAnsi" w:hAnsiTheme="minorHAnsi"/>
          <w:b w:val="0"/>
        </w:rPr>
      </w:pPr>
      <w:r>
        <w:rPr>
          <w:rFonts w:asciiTheme="minorHAnsi" w:hAnsiTheme="minorHAnsi"/>
        </w:rPr>
        <w:t>Sponsor’s Comment</w:t>
      </w:r>
    </w:p>
    <w:p w:rsidR="00D271E8" w:rsidRDefault="00D271E8" w:rsidP="00D271E8">
      <w:pPr>
        <w:pStyle w:val="BodyText"/>
        <w:jc w:val="both"/>
        <w:rPr>
          <w:lang w:val="en-GB"/>
        </w:rPr>
      </w:pPr>
      <w:proofErr w:type="spellStart"/>
      <w:r>
        <w:rPr>
          <w:lang w:val="en-GB"/>
        </w:rPr>
        <w:t>Ipsen</w:t>
      </w:r>
      <w:proofErr w:type="spellEnd"/>
      <w:r>
        <w:rPr>
          <w:lang w:val="en-GB"/>
        </w:rPr>
        <w:t xml:space="preserve"> is committed to working with the PBAC and Department of Health to ensure that patients with spasticity have access to Dysport at the earliest opportunity.</w:t>
      </w:r>
    </w:p>
    <w:p w:rsidR="00CD7E8E" w:rsidRDefault="00CD7E8E" w:rsidP="00D271E8">
      <w:pPr>
        <w:widowControl/>
        <w:autoSpaceDE w:val="0"/>
        <w:autoSpaceDN w:val="0"/>
        <w:adjustRightInd w:val="0"/>
        <w:rPr>
          <w:rFonts w:cs="Calibri"/>
          <w:b/>
          <w:bCs/>
          <w:sz w:val="20"/>
          <w:szCs w:val="20"/>
          <w:lang w:val="en"/>
        </w:rPr>
      </w:pPr>
    </w:p>
    <w:sectPr w:rsidR="00CD7E8E" w:rsidSect="00E2135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2B" w:rsidRDefault="00926D2B" w:rsidP="00124A51">
      <w:r>
        <w:separator/>
      </w:r>
    </w:p>
    <w:p w:rsidR="00926D2B" w:rsidRDefault="00926D2B"/>
  </w:endnote>
  <w:endnote w:type="continuationSeparator" w:id="0">
    <w:p w:rsidR="00926D2B" w:rsidRDefault="00926D2B" w:rsidP="00124A51">
      <w:r>
        <w:continuationSeparator/>
      </w:r>
    </w:p>
    <w:p w:rsidR="00926D2B" w:rsidRDefault="00926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2B" w:rsidRDefault="0092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86829"/>
      <w:docPartObj>
        <w:docPartGallery w:val="Page Numbers (Bottom of Page)"/>
        <w:docPartUnique/>
      </w:docPartObj>
    </w:sdtPr>
    <w:sdtEndPr>
      <w:rPr>
        <w:noProof/>
      </w:rPr>
    </w:sdtEndPr>
    <w:sdtContent>
      <w:p w:rsidR="001A3334" w:rsidRPr="003D1D82" w:rsidRDefault="001A3334" w:rsidP="003D1D82">
        <w:pPr>
          <w:pStyle w:val="Footer"/>
          <w:jc w:val="center"/>
          <w:rPr>
            <w:b/>
          </w:rPr>
        </w:pPr>
        <w:r w:rsidRPr="003D1D82">
          <w:fldChar w:fldCharType="begin"/>
        </w:r>
        <w:r w:rsidRPr="003D1D82">
          <w:instrText xml:space="preserve"> PAGE   \* MERGEFORMAT </w:instrText>
        </w:r>
        <w:r w:rsidRPr="003D1D82">
          <w:fldChar w:fldCharType="separate"/>
        </w:r>
        <w:r w:rsidR="00DF2EBD">
          <w:rPr>
            <w:noProof/>
          </w:rPr>
          <w:t>1</w:t>
        </w:r>
        <w:r w:rsidRPr="003D1D8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2B" w:rsidRDefault="0092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2B" w:rsidRDefault="00926D2B" w:rsidP="00124A51">
      <w:r>
        <w:separator/>
      </w:r>
    </w:p>
    <w:p w:rsidR="00926D2B" w:rsidRDefault="00926D2B"/>
  </w:footnote>
  <w:footnote w:type="continuationSeparator" w:id="0">
    <w:p w:rsidR="00926D2B" w:rsidRDefault="00926D2B" w:rsidP="00124A51">
      <w:r>
        <w:continuationSeparator/>
      </w:r>
    </w:p>
    <w:p w:rsidR="00926D2B" w:rsidRDefault="00926D2B"/>
  </w:footnote>
  <w:footnote w:id="1">
    <w:p w:rsidR="001A3334" w:rsidRDefault="001A3334" w:rsidP="004C073A">
      <w:pPr>
        <w:pStyle w:val="FootnoteText"/>
      </w:pPr>
      <w:r>
        <w:rPr>
          <w:rStyle w:val="FootnoteReference"/>
        </w:rPr>
        <w:footnoteRef/>
      </w:r>
      <w:r>
        <w:t xml:space="preserve"> Royal College of Physicians, 2018. Spasticity in adults: management using botulinum toxin. National guidelines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2B" w:rsidRDefault="00926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34" w:rsidRPr="003A533C" w:rsidRDefault="001A3334" w:rsidP="003A533C">
    <w:pPr>
      <w:tabs>
        <w:tab w:val="left" w:pos="142"/>
        <w:tab w:val="right" w:pos="9027"/>
      </w:tabs>
      <w:ind w:right="480"/>
      <w:jc w:val="center"/>
      <w:rPr>
        <w:i/>
        <w:szCs w:val="24"/>
      </w:rPr>
    </w:pPr>
    <w:r>
      <w:rPr>
        <w:i/>
        <w:szCs w:val="24"/>
      </w:rPr>
      <w:t>Public Summary Document</w:t>
    </w:r>
    <w:r w:rsidRPr="003A533C">
      <w:rPr>
        <w:i/>
        <w:szCs w:val="24"/>
      </w:rPr>
      <w:t xml:space="preserve"> – November 2018 PBAC Meeting</w:t>
    </w:r>
  </w:p>
  <w:p w:rsidR="001A3334" w:rsidRDefault="001A3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2B" w:rsidRDefault="00926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C46"/>
    <w:multiLevelType w:val="hybridMultilevel"/>
    <w:tmpl w:val="199E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94F23"/>
    <w:multiLevelType w:val="hybridMultilevel"/>
    <w:tmpl w:val="6A96876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2F2ED8"/>
    <w:multiLevelType w:val="hybridMultilevel"/>
    <w:tmpl w:val="639024B2"/>
    <w:lvl w:ilvl="0" w:tplc="109EF362">
      <w:start w:val="1"/>
      <w:numFmt w:val="decimal"/>
      <w:lvlText w:val="%1)"/>
      <w:lvlJc w:val="left"/>
      <w:pPr>
        <w:ind w:left="720" w:hanging="360"/>
      </w:pPr>
      <w:rPr>
        <w:rFonts w:asciiTheme="minorHAnsi" w:eastAsiaTheme="minorEastAsia"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F5507"/>
    <w:multiLevelType w:val="multilevel"/>
    <w:tmpl w:val="67745F3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40254"/>
    <w:multiLevelType w:val="hybridMultilevel"/>
    <w:tmpl w:val="E65CDFF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79378E"/>
    <w:multiLevelType w:val="multilevel"/>
    <w:tmpl w:val="F0383A3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FF6237"/>
    <w:multiLevelType w:val="hybridMultilevel"/>
    <w:tmpl w:val="308CB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7C34E2"/>
    <w:multiLevelType w:val="hybridMultilevel"/>
    <w:tmpl w:val="52C49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16FC8"/>
    <w:multiLevelType w:val="hybridMultilevel"/>
    <w:tmpl w:val="4BECF02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44442297"/>
    <w:multiLevelType w:val="hybridMultilevel"/>
    <w:tmpl w:val="38D25FBE"/>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F0ECE"/>
    <w:multiLevelType w:val="hybridMultilevel"/>
    <w:tmpl w:val="390E50A6"/>
    <w:lvl w:ilvl="0" w:tplc="0C090001">
      <w:start w:val="1"/>
      <w:numFmt w:val="bullet"/>
      <w:lvlText w:val=""/>
      <w:lvlJc w:val="left"/>
      <w:pPr>
        <w:ind w:left="227" w:hanging="227"/>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502F4B"/>
    <w:multiLevelType w:val="hybridMultilevel"/>
    <w:tmpl w:val="A168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02AEA"/>
    <w:multiLevelType w:val="hybridMultilevel"/>
    <w:tmpl w:val="F864E160"/>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2962F1"/>
    <w:multiLevelType w:val="hybridMultilevel"/>
    <w:tmpl w:val="158E3E82"/>
    <w:lvl w:ilvl="0" w:tplc="52D2A984">
      <w:start w:val="1"/>
      <w:numFmt w:val="bullet"/>
      <w:lvlText w:val="•"/>
      <w:lvlJc w:val="left"/>
      <w:pPr>
        <w:tabs>
          <w:tab w:val="num" w:pos="720"/>
        </w:tabs>
        <w:ind w:left="720" w:hanging="360"/>
      </w:pPr>
      <w:rPr>
        <w:rFonts w:ascii="Times New Roman" w:hAnsi="Times New Roman" w:hint="default"/>
      </w:rPr>
    </w:lvl>
    <w:lvl w:ilvl="1" w:tplc="D49AB786">
      <w:start w:val="1018"/>
      <w:numFmt w:val="bullet"/>
      <w:lvlText w:val="–"/>
      <w:lvlJc w:val="left"/>
      <w:pPr>
        <w:tabs>
          <w:tab w:val="num" w:pos="1440"/>
        </w:tabs>
        <w:ind w:left="1440" w:hanging="360"/>
      </w:pPr>
      <w:rPr>
        <w:rFonts w:ascii="Times New Roman" w:hAnsi="Times New Roman" w:hint="default"/>
      </w:rPr>
    </w:lvl>
    <w:lvl w:ilvl="2" w:tplc="1C0652A4" w:tentative="1">
      <w:start w:val="1"/>
      <w:numFmt w:val="bullet"/>
      <w:lvlText w:val="•"/>
      <w:lvlJc w:val="left"/>
      <w:pPr>
        <w:tabs>
          <w:tab w:val="num" w:pos="2160"/>
        </w:tabs>
        <w:ind w:left="2160" w:hanging="360"/>
      </w:pPr>
      <w:rPr>
        <w:rFonts w:ascii="Times New Roman" w:hAnsi="Times New Roman" w:hint="default"/>
      </w:rPr>
    </w:lvl>
    <w:lvl w:ilvl="3" w:tplc="AFDE6892" w:tentative="1">
      <w:start w:val="1"/>
      <w:numFmt w:val="bullet"/>
      <w:lvlText w:val="•"/>
      <w:lvlJc w:val="left"/>
      <w:pPr>
        <w:tabs>
          <w:tab w:val="num" w:pos="2880"/>
        </w:tabs>
        <w:ind w:left="2880" w:hanging="360"/>
      </w:pPr>
      <w:rPr>
        <w:rFonts w:ascii="Times New Roman" w:hAnsi="Times New Roman" w:hint="default"/>
      </w:rPr>
    </w:lvl>
    <w:lvl w:ilvl="4" w:tplc="3990A666" w:tentative="1">
      <w:start w:val="1"/>
      <w:numFmt w:val="bullet"/>
      <w:lvlText w:val="•"/>
      <w:lvlJc w:val="left"/>
      <w:pPr>
        <w:tabs>
          <w:tab w:val="num" w:pos="3600"/>
        </w:tabs>
        <w:ind w:left="3600" w:hanging="360"/>
      </w:pPr>
      <w:rPr>
        <w:rFonts w:ascii="Times New Roman" w:hAnsi="Times New Roman" w:hint="default"/>
      </w:rPr>
    </w:lvl>
    <w:lvl w:ilvl="5" w:tplc="0BC289C6" w:tentative="1">
      <w:start w:val="1"/>
      <w:numFmt w:val="bullet"/>
      <w:lvlText w:val="•"/>
      <w:lvlJc w:val="left"/>
      <w:pPr>
        <w:tabs>
          <w:tab w:val="num" w:pos="4320"/>
        </w:tabs>
        <w:ind w:left="4320" w:hanging="360"/>
      </w:pPr>
      <w:rPr>
        <w:rFonts w:ascii="Times New Roman" w:hAnsi="Times New Roman" w:hint="default"/>
      </w:rPr>
    </w:lvl>
    <w:lvl w:ilvl="6" w:tplc="04E05012" w:tentative="1">
      <w:start w:val="1"/>
      <w:numFmt w:val="bullet"/>
      <w:lvlText w:val="•"/>
      <w:lvlJc w:val="left"/>
      <w:pPr>
        <w:tabs>
          <w:tab w:val="num" w:pos="5040"/>
        </w:tabs>
        <w:ind w:left="5040" w:hanging="360"/>
      </w:pPr>
      <w:rPr>
        <w:rFonts w:ascii="Times New Roman" w:hAnsi="Times New Roman" w:hint="default"/>
      </w:rPr>
    </w:lvl>
    <w:lvl w:ilvl="7" w:tplc="31B4215C" w:tentative="1">
      <w:start w:val="1"/>
      <w:numFmt w:val="bullet"/>
      <w:lvlText w:val="•"/>
      <w:lvlJc w:val="left"/>
      <w:pPr>
        <w:tabs>
          <w:tab w:val="num" w:pos="5760"/>
        </w:tabs>
        <w:ind w:left="5760" w:hanging="360"/>
      </w:pPr>
      <w:rPr>
        <w:rFonts w:ascii="Times New Roman" w:hAnsi="Times New Roman" w:hint="default"/>
      </w:rPr>
    </w:lvl>
    <w:lvl w:ilvl="8" w:tplc="0C2420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32B2551"/>
    <w:multiLevelType w:val="hybridMultilevel"/>
    <w:tmpl w:val="B53AEE00"/>
    <w:lvl w:ilvl="0" w:tplc="AEEAF2C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52D43"/>
    <w:multiLevelType w:val="hybridMultilevel"/>
    <w:tmpl w:val="AA42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52C57"/>
    <w:multiLevelType w:val="hybridMultilevel"/>
    <w:tmpl w:val="7D50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E72F96"/>
    <w:multiLevelType w:val="hybridMultilevel"/>
    <w:tmpl w:val="7250D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B0544A"/>
    <w:multiLevelType w:val="hybridMultilevel"/>
    <w:tmpl w:val="B330D9EC"/>
    <w:lvl w:ilvl="0" w:tplc="0C090001">
      <w:start w:val="1"/>
      <w:numFmt w:val="bullet"/>
      <w:lvlText w:val=""/>
      <w:lvlJc w:val="left"/>
      <w:pPr>
        <w:ind w:left="227" w:hanging="227"/>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16873C1"/>
    <w:multiLevelType w:val="hybridMultilevel"/>
    <w:tmpl w:val="D9308DE8"/>
    <w:lvl w:ilvl="0" w:tplc="5B02DF94">
      <w:start w:val="1"/>
      <w:numFmt w:val="lowerRoman"/>
      <w:lvlText w:val="%1)"/>
      <w:lvlJc w:val="left"/>
      <w:pPr>
        <w:ind w:left="227" w:hanging="22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4D033C"/>
    <w:multiLevelType w:val="multilevel"/>
    <w:tmpl w:val="73A628B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6202E6"/>
    <w:multiLevelType w:val="hybridMultilevel"/>
    <w:tmpl w:val="E004B9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600E05"/>
    <w:multiLevelType w:val="hybridMultilevel"/>
    <w:tmpl w:val="1B3ADDB4"/>
    <w:lvl w:ilvl="0" w:tplc="0C090001">
      <w:start w:val="1"/>
      <w:numFmt w:val="bullet"/>
      <w:lvlText w:val=""/>
      <w:lvlJc w:val="left"/>
      <w:pPr>
        <w:ind w:left="227" w:hanging="227"/>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FAE1857"/>
    <w:multiLevelType w:val="hybridMultilevel"/>
    <w:tmpl w:val="CCAEA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6"/>
  </w:num>
  <w:num w:numId="4">
    <w:abstractNumId w:val="0"/>
  </w:num>
  <w:num w:numId="5">
    <w:abstractNumId w:val="20"/>
  </w:num>
  <w:num w:numId="6">
    <w:abstractNumId w:val="26"/>
  </w:num>
  <w:num w:numId="7">
    <w:abstractNumId w:val="4"/>
  </w:num>
  <w:num w:numId="8">
    <w:abstractNumId w:val="19"/>
  </w:num>
  <w:num w:numId="9">
    <w:abstractNumId w:val="9"/>
  </w:num>
  <w:num w:numId="10">
    <w:abstractNumId w:val="21"/>
  </w:num>
  <w:num w:numId="11">
    <w:abstractNumId w:val="12"/>
  </w:num>
  <w:num w:numId="12">
    <w:abstractNumId w:val="17"/>
  </w:num>
  <w:num w:numId="13">
    <w:abstractNumId w:val="23"/>
  </w:num>
  <w:num w:numId="14">
    <w:abstractNumId w:val="14"/>
  </w:num>
  <w:num w:numId="15">
    <w:abstractNumId w:val="10"/>
  </w:num>
  <w:num w:numId="16">
    <w:abstractNumId w:val="24"/>
  </w:num>
  <w:num w:numId="17">
    <w:abstractNumId w:val="27"/>
  </w:num>
  <w:num w:numId="18">
    <w:abstractNumId w:val="6"/>
  </w:num>
  <w:num w:numId="19">
    <w:abstractNumId w:val="18"/>
  </w:num>
  <w:num w:numId="20">
    <w:abstractNumId w:val="8"/>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2"/>
  </w:num>
  <w:num w:numId="29">
    <w:abstractNumId w:val="2"/>
  </w:num>
  <w:num w:numId="30">
    <w:abstractNumId w:val="15"/>
  </w:num>
  <w:num w:numId="31">
    <w:abstractNumId w:val="3"/>
  </w:num>
  <w:num w:numId="32">
    <w:abstractNumId w:val="1"/>
  </w:num>
  <w:num w:numId="33">
    <w:abstractNumId w:val="7"/>
  </w:num>
  <w:num w:numId="34">
    <w:abstractNumId w:val="28"/>
  </w:num>
  <w:num w:numId="35">
    <w:abstractNumId w:val="5"/>
  </w:num>
  <w:num w:numId="3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901"/>
    <w:rsid w:val="0000110B"/>
    <w:rsid w:val="000011F2"/>
    <w:rsid w:val="00001E02"/>
    <w:rsid w:val="000022AA"/>
    <w:rsid w:val="00003499"/>
    <w:rsid w:val="000037FA"/>
    <w:rsid w:val="00003991"/>
    <w:rsid w:val="000039B7"/>
    <w:rsid w:val="00004492"/>
    <w:rsid w:val="0000451B"/>
    <w:rsid w:val="00004975"/>
    <w:rsid w:val="00005414"/>
    <w:rsid w:val="0000567B"/>
    <w:rsid w:val="00006486"/>
    <w:rsid w:val="000065EA"/>
    <w:rsid w:val="00006D6B"/>
    <w:rsid w:val="000075FB"/>
    <w:rsid w:val="000077E3"/>
    <w:rsid w:val="00007968"/>
    <w:rsid w:val="00010305"/>
    <w:rsid w:val="0001241D"/>
    <w:rsid w:val="000128C9"/>
    <w:rsid w:val="00012955"/>
    <w:rsid w:val="00013247"/>
    <w:rsid w:val="00015383"/>
    <w:rsid w:val="00015886"/>
    <w:rsid w:val="00015DAC"/>
    <w:rsid w:val="000162EF"/>
    <w:rsid w:val="0001631E"/>
    <w:rsid w:val="00016D6A"/>
    <w:rsid w:val="00017534"/>
    <w:rsid w:val="000206E3"/>
    <w:rsid w:val="00020827"/>
    <w:rsid w:val="00020C75"/>
    <w:rsid w:val="0002225F"/>
    <w:rsid w:val="000227D0"/>
    <w:rsid w:val="00023763"/>
    <w:rsid w:val="00023CFE"/>
    <w:rsid w:val="00024152"/>
    <w:rsid w:val="0002438D"/>
    <w:rsid w:val="00024A87"/>
    <w:rsid w:val="00025A40"/>
    <w:rsid w:val="00025D8D"/>
    <w:rsid w:val="0002626C"/>
    <w:rsid w:val="00027CD6"/>
    <w:rsid w:val="00027F10"/>
    <w:rsid w:val="000300C9"/>
    <w:rsid w:val="00030509"/>
    <w:rsid w:val="00030A29"/>
    <w:rsid w:val="00030E34"/>
    <w:rsid w:val="00031966"/>
    <w:rsid w:val="00032807"/>
    <w:rsid w:val="000329C1"/>
    <w:rsid w:val="00032A9A"/>
    <w:rsid w:val="00032BC8"/>
    <w:rsid w:val="00033863"/>
    <w:rsid w:val="00033BF5"/>
    <w:rsid w:val="000341FB"/>
    <w:rsid w:val="000345E4"/>
    <w:rsid w:val="000347AF"/>
    <w:rsid w:val="00035151"/>
    <w:rsid w:val="00035DC0"/>
    <w:rsid w:val="00036829"/>
    <w:rsid w:val="00036C43"/>
    <w:rsid w:val="00036EF7"/>
    <w:rsid w:val="00037069"/>
    <w:rsid w:val="0003790B"/>
    <w:rsid w:val="000406CC"/>
    <w:rsid w:val="00040895"/>
    <w:rsid w:val="00040A47"/>
    <w:rsid w:val="000413E9"/>
    <w:rsid w:val="00041BEB"/>
    <w:rsid w:val="00041D1F"/>
    <w:rsid w:val="00042568"/>
    <w:rsid w:val="00043C37"/>
    <w:rsid w:val="00043E38"/>
    <w:rsid w:val="00043EA9"/>
    <w:rsid w:val="00043EAA"/>
    <w:rsid w:val="0004419E"/>
    <w:rsid w:val="000449AA"/>
    <w:rsid w:val="00044D91"/>
    <w:rsid w:val="00045017"/>
    <w:rsid w:val="00045409"/>
    <w:rsid w:val="0004561D"/>
    <w:rsid w:val="00045A2B"/>
    <w:rsid w:val="0004698F"/>
    <w:rsid w:val="000469DF"/>
    <w:rsid w:val="00047531"/>
    <w:rsid w:val="0005074D"/>
    <w:rsid w:val="0005159F"/>
    <w:rsid w:val="00051851"/>
    <w:rsid w:val="00051BD8"/>
    <w:rsid w:val="00051FD1"/>
    <w:rsid w:val="0005254E"/>
    <w:rsid w:val="00052C61"/>
    <w:rsid w:val="00052FC4"/>
    <w:rsid w:val="0005319F"/>
    <w:rsid w:val="000539D0"/>
    <w:rsid w:val="00053BA5"/>
    <w:rsid w:val="0005418A"/>
    <w:rsid w:val="000541FC"/>
    <w:rsid w:val="0005452D"/>
    <w:rsid w:val="00054621"/>
    <w:rsid w:val="000546D7"/>
    <w:rsid w:val="00054C8C"/>
    <w:rsid w:val="000556D9"/>
    <w:rsid w:val="00055CAB"/>
    <w:rsid w:val="0005666B"/>
    <w:rsid w:val="0005737C"/>
    <w:rsid w:val="00060940"/>
    <w:rsid w:val="00060ABF"/>
    <w:rsid w:val="00061615"/>
    <w:rsid w:val="000616DC"/>
    <w:rsid w:val="00061CC1"/>
    <w:rsid w:val="000625AA"/>
    <w:rsid w:val="00062BBB"/>
    <w:rsid w:val="000632CE"/>
    <w:rsid w:val="00063B57"/>
    <w:rsid w:val="00063B72"/>
    <w:rsid w:val="00064304"/>
    <w:rsid w:val="0006438F"/>
    <w:rsid w:val="000647DF"/>
    <w:rsid w:val="000647EC"/>
    <w:rsid w:val="00064D13"/>
    <w:rsid w:val="000650F5"/>
    <w:rsid w:val="00065FE5"/>
    <w:rsid w:val="000660E9"/>
    <w:rsid w:val="00066360"/>
    <w:rsid w:val="000668B1"/>
    <w:rsid w:val="00067096"/>
    <w:rsid w:val="00067CC7"/>
    <w:rsid w:val="00070144"/>
    <w:rsid w:val="000709C7"/>
    <w:rsid w:val="000710A5"/>
    <w:rsid w:val="00071248"/>
    <w:rsid w:val="00071FBF"/>
    <w:rsid w:val="000720B9"/>
    <w:rsid w:val="00072874"/>
    <w:rsid w:val="000729C3"/>
    <w:rsid w:val="00072E55"/>
    <w:rsid w:val="00073008"/>
    <w:rsid w:val="000731EC"/>
    <w:rsid w:val="000737BA"/>
    <w:rsid w:val="000737F7"/>
    <w:rsid w:val="00073868"/>
    <w:rsid w:val="00073F9E"/>
    <w:rsid w:val="00074942"/>
    <w:rsid w:val="0007672F"/>
    <w:rsid w:val="00076EE9"/>
    <w:rsid w:val="000770DC"/>
    <w:rsid w:val="000774F0"/>
    <w:rsid w:val="00077532"/>
    <w:rsid w:val="0007756E"/>
    <w:rsid w:val="00077659"/>
    <w:rsid w:val="00077CD3"/>
    <w:rsid w:val="00080909"/>
    <w:rsid w:val="00080E8B"/>
    <w:rsid w:val="000812CA"/>
    <w:rsid w:val="0008150F"/>
    <w:rsid w:val="0008258D"/>
    <w:rsid w:val="000826CA"/>
    <w:rsid w:val="00083240"/>
    <w:rsid w:val="0008366F"/>
    <w:rsid w:val="000838BC"/>
    <w:rsid w:val="00083D85"/>
    <w:rsid w:val="00083E99"/>
    <w:rsid w:val="000856C5"/>
    <w:rsid w:val="00085912"/>
    <w:rsid w:val="00085D83"/>
    <w:rsid w:val="000906CC"/>
    <w:rsid w:val="00090838"/>
    <w:rsid w:val="000908F1"/>
    <w:rsid w:val="00090C7E"/>
    <w:rsid w:val="00091B08"/>
    <w:rsid w:val="00092600"/>
    <w:rsid w:val="0009262B"/>
    <w:rsid w:val="00092881"/>
    <w:rsid w:val="00093310"/>
    <w:rsid w:val="0009333F"/>
    <w:rsid w:val="00093A8B"/>
    <w:rsid w:val="00093E41"/>
    <w:rsid w:val="0009445C"/>
    <w:rsid w:val="00094F2D"/>
    <w:rsid w:val="00094FDB"/>
    <w:rsid w:val="000951C0"/>
    <w:rsid w:val="00095543"/>
    <w:rsid w:val="000957B3"/>
    <w:rsid w:val="000959CA"/>
    <w:rsid w:val="000959E6"/>
    <w:rsid w:val="00095FE5"/>
    <w:rsid w:val="00096284"/>
    <w:rsid w:val="00097BB1"/>
    <w:rsid w:val="000A06DE"/>
    <w:rsid w:val="000A07CB"/>
    <w:rsid w:val="000A15B2"/>
    <w:rsid w:val="000A1A9C"/>
    <w:rsid w:val="000A1D55"/>
    <w:rsid w:val="000A38B6"/>
    <w:rsid w:val="000A4B58"/>
    <w:rsid w:val="000A56F5"/>
    <w:rsid w:val="000A595B"/>
    <w:rsid w:val="000A63D4"/>
    <w:rsid w:val="000A6D3D"/>
    <w:rsid w:val="000A7D08"/>
    <w:rsid w:val="000A7F1D"/>
    <w:rsid w:val="000B0461"/>
    <w:rsid w:val="000B0670"/>
    <w:rsid w:val="000B0E6B"/>
    <w:rsid w:val="000B0E75"/>
    <w:rsid w:val="000B0EBF"/>
    <w:rsid w:val="000B20D3"/>
    <w:rsid w:val="000B28B7"/>
    <w:rsid w:val="000B3275"/>
    <w:rsid w:val="000B36C3"/>
    <w:rsid w:val="000B3F0D"/>
    <w:rsid w:val="000B5B6F"/>
    <w:rsid w:val="000B5BF6"/>
    <w:rsid w:val="000B60ED"/>
    <w:rsid w:val="000B64A2"/>
    <w:rsid w:val="000B6CAC"/>
    <w:rsid w:val="000B73FD"/>
    <w:rsid w:val="000B7612"/>
    <w:rsid w:val="000C02E4"/>
    <w:rsid w:val="000C0F94"/>
    <w:rsid w:val="000C1125"/>
    <w:rsid w:val="000C1A9F"/>
    <w:rsid w:val="000C24C8"/>
    <w:rsid w:val="000C2639"/>
    <w:rsid w:val="000C2C38"/>
    <w:rsid w:val="000C2F22"/>
    <w:rsid w:val="000C3176"/>
    <w:rsid w:val="000C3305"/>
    <w:rsid w:val="000C3417"/>
    <w:rsid w:val="000C3463"/>
    <w:rsid w:val="000C3DF9"/>
    <w:rsid w:val="000C44A6"/>
    <w:rsid w:val="000C4EE7"/>
    <w:rsid w:val="000C5555"/>
    <w:rsid w:val="000C55F6"/>
    <w:rsid w:val="000C6713"/>
    <w:rsid w:val="000C7DDA"/>
    <w:rsid w:val="000D0B82"/>
    <w:rsid w:val="000D1838"/>
    <w:rsid w:val="000D1BFC"/>
    <w:rsid w:val="000D2119"/>
    <w:rsid w:val="000D281A"/>
    <w:rsid w:val="000D2E52"/>
    <w:rsid w:val="000D326A"/>
    <w:rsid w:val="000D37D7"/>
    <w:rsid w:val="000D3FA7"/>
    <w:rsid w:val="000D4E70"/>
    <w:rsid w:val="000D51FB"/>
    <w:rsid w:val="000D5466"/>
    <w:rsid w:val="000D6CB5"/>
    <w:rsid w:val="000E0E07"/>
    <w:rsid w:val="000E0EA3"/>
    <w:rsid w:val="000E135D"/>
    <w:rsid w:val="000E18D5"/>
    <w:rsid w:val="000E1AE0"/>
    <w:rsid w:val="000E2586"/>
    <w:rsid w:val="000E26AE"/>
    <w:rsid w:val="000E2C0B"/>
    <w:rsid w:val="000E2C9E"/>
    <w:rsid w:val="000E30F0"/>
    <w:rsid w:val="000E33FD"/>
    <w:rsid w:val="000E369B"/>
    <w:rsid w:val="000E42F3"/>
    <w:rsid w:val="000E47F9"/>
    <w:rsid w:val="000E5155"/>
    <w:rsid w:val="000E71E2"/>
    <w:rsid w:val="000E782D"/>
    <w:rsid w:val="000E7CC9"/>
    <w:rsid w:val="000F00BA"/>
    <w:rsid w:val="000F0595"/>
    <w:rsid w:val="000F1DF7"/>
    <w:rsid w:val="000F25C5"/>
    <w:rsid w:val="000F316A"/>
    <w:rsid w:val="000F356E"/>
    <w:rsid w:val="000F3932"/>
    <w:rsid w:val="000F3C74"/>
    <w:rsid w:val="000F3F80"/>
    <w:rsid w:val="000F466C"/>
    <w:rsid w:val="000F4BB8"/>
    <w:rsid w:val="000F53CD"/>
    <w:rsid w:val="000F56E0"/>
    <w:rsid w:val="000F57A6"/>
    <w:rsid w:val="000F631A"/>
    <w:rsid w:val="000F7127"/>
    <w:rsid w:val="000F7DA7"/>
    <w:rsid w:val="000F7FE8"/>
    <w:rsid w:val="00100F8A"/>
    <w:rsid w:val="00101E69"/>
    <w:rsid w:val="00102A26"/>
    <w:rsid w:val="00102ED6"/>
    <w:rsid w:val="0010327E"/>
    <w:rsid w:val="0010397B"/>
    <w:rsid w:val="001054C5"/>
    <w:rsid w:val="00105ABD"/>
    <w:rsid w:val="00105AE2"/>
    <w:rsid w:val="00105B05"/>
    <w:rsid w:val="001064F4"/>
    <w:rsid w:val="001065D5"/>
    <w:rsid w:val="00106B80"/>
    <w:rsid w:val="0011032E"/>
    <w:rsid w:val="00110E18"/>
    <w:rsid w:val="001115E8"/>
    <w:rsid w:val="001117BF"/>
    <w:rsid w:val="00111E29"/>
    <w:rsid w:val="00112668"/>
    <w:rsid w:val="00112AD5"/>
    <w:rsid w:val="00112CB4"/>
    <w:rsid w:val="0011348B"/>
    <w:rsid w:val="00113695"/>
    <w:rsid w:val="001136C1"/>
    <w:rsid w:val="00113B2F"/>
    <w:rsid w:val="0011410D"/>
    <w:rsid w:val="00114EA5"/>
    <w:rsid w:val="00115982"/>
    <w:rsid w:val="00116262"/>
    <w:rsid w:val="0011682F"/>
    <w:rsid w:val="00116C53"/>
    <w:rsid w:val="00116D1D"/>
    <w:rsid w:val="00117081"/>
    <w:rsid w:val="0012076A"/>
    <w:rsid w:val="00120914"/>
    <w:rsid w:val="001215A1"/>
    <w:rsid w:val="0012175A"/>
    <w:rsid w:val="00121799"/>
    <w:rsid w:val="001222FC"/>
    <w:rsid w:val="00122545"/>
    <w:rsid w:val="0012260D"/>
    <w:rsid w:val="00123FD1"/>
    <w:rsid w:val="0012449A"/>
    <w:rsid w:val="00124651"/>
    <w:rsid w:val="00124A51"/>
    <w:rsid w:val="001259F4"/>
    <w:rsid w:val="00126621"/>
    <w:rsid w:val="00127F3C"/>
    <w:rsid w:val="0013007F"/>
    <w:rsid w:val="001301E9"/>
    <w:rsid w:val="001309BB"/>
    <w:rsid w:val="00130A0F"/>
    <w:rsid w:val="00130A69"/>
    <w:rsid w:val="00130DF5"/>
    <w:rsid w:val="00130EF4"/>
    <w:rsid w:val="0013139F"/>
    <w:rsid w:val="00131837"/>
    <w:rsid w:val="00131D82"/>
    <w:rsid w:val="00133C94"/>
    <w:rsid w:val="00133D36"/>
    <w:rsid w:val="001341A4"/>
    <w:rsid w:val="001344A7"/>
    <w:rsid w:val="00134896"/>
    <w:rsid w:val="00134BF4"/>
    <w:rsid w:val="00134C15"/>
    <w:rsid w:val="00135530"/>
    <w:rsid w:val="00135AFF"/>
    <w:rsid w:val="001361CE"/>
    <w:rsid w:val="00137399"/>
    <w:rsid w:val="00137645"/>
    <w:rsid w:val="0014015A"/>
    <w:rsid w:val="00140E99"/>
    <w:rsid w:val="00141611"/>
    <w:rsid w:val="00142298"/>
    <w:rsid w:val="001422CE"/>
    <w:rsid w:val="00142D5A"/>
    <w:rsid w:val="00143B45"/>
    <w:rsid w:val="00143B82"/>
    <w:rsid w:val="00144C61"/>
    <w:rsid w:val="00145526"/>
    <w:rsid w:val="00145540"/>
    <w:rsid w:val="001456B0"/>
    <w:rsid w:val="00145F43"/>
    <w:rsid w:val="001460A8"/>
    <w:rsid w:val="0014626B"/>
    <w:rsid w:val="001462A2"/>
    <w:rsid w:val="00146A7B"/>
    <w:rsid w:val="00146C18"/>
    <w:rsid w:val="00146E16"/>
    <w:rsid w:val="00147885"/>
    <w:rsid w:val="00150F46"/>
    <w:rsid w:val="0015192B"/>
    <w:rsid w:val="00151A1C"/>
    <w:rsid w:val="00152848"/>
    <w:rsid w:val="0015298C"/>
    <w:rsid w:val="00152D9C"/>
    <w:rsid w:val="00152E3F"/>
    <w:rsid w:val="00152E59"/>
    <w:rsid w:val="0015341F"/>
    <w:rsid w:val="00153496"/>
    <w:rsid w:val="00153753"/>
    <w:rsid w:val="001541D8"/>
    <w:rsid w:val="001543E2"/>
    <w:rsid w:val="00154EC8"/>
    <w:rsid w:val="00154F36"/>
    <w:rsid w:val="00155763"/>
    <w:rsid w:val="00155BD5"/>
    <w:rsid w:val="00156763"/>
    <w:rsid w:val="00157130"/>
    <w:rsid w:val="001576B1"/>
    <w:rsid w:val="001577B5"/>
    <w:rsid w:val="00157A2C"/>
    <w:rsid w:val="00157D42"/>
    <w:rsid w:val="001605A6"/>
    <w:rsid w:val="00160A4C"/>
    <w:rsid w:val="001611A2"/>
    <w:rsid w:val="00161E1D"/>
    <w:rsid w:val="001624A1"/>
    <w:rsid w:val="00162913"/>
    <w:rsid w:val="00163145"/>
    <w:rsid w:val="00163149"/>
    <w:rsid w:val="00163EFF"/>
    <w:rsid w:val="00163FC8"/>
    <w:rsid w:val="001642DE"/>
    <w:rsid w:val="00164322"/>
    <w:rsid w:val="001645DE"/>
    <w:rsid w:val="00164F70"/>
    <w:rsid w:val="00165117"/>
    <w:rsid w:val="001661FB"/>
    <w:rsid w:val="00166452"/>
    <w:rsid w:val="00166D5E"/>
    <w:rsid w:val="001678E6"/>
    <w:rsid w:val="00170889"/>
    <w:rsid w:val="00171F7B"/>
    <w:rsid w:val="00171F86"/>
    <w:rsid w:val="0017267E"/>
    <w:rsid w:val="00172C9F"/>
    <w:rsid w:val="00173477"/>
    <w:rsid w:val="00173565"/>
    <w:rsid w:val="00173B07"/>
    <w:rsid w:val="00173B8E"/>
    <w:rsid w:val="001740C5"/>
    <w:rsid w:val="001749FE"/>
    <w:rsid w:val="001753E3"/>
    <w:rsid w:val="00175F46"/>
    <w:rsid w:val="001764C8"/>
    <w:rsid w:val="00176B30"/>
    <w:rsid w:val="001770D2"/>
    <w:rsid w:val="00177BDB"/>
    <w:rsid w:val="00177ED4"/>
    <w:rsid w:val="00181D9C"/>
    <w:rsid w:val="0018226F"/>
    <w:rsid w:val="0018233D"/>
    <w:rsid w:val="00182924"/>
    <w:rsid w:val="00183DF2"/>
    <w:rsid w:val="00185E2F"/>
    <w:rsid w:val="00185E6B"/>
    <w:rsid w:val="00185EDE"/>
    <w:rsid w:val="00186047"/>
    <w:rsid w:val="0018752F"/>
    <w:rsid w:val="00191160"/>
    <w:rsid w:val="0019270C"/>
    <w:rsid w:val="001931FA"/>
    <w:rsid w:val="00193DEF"/>
    <w:rsid w:val="001941CF"/>
    <w:rsid w:val="00194737"/>
    <w:rsid w:val="00195222"/>
    <w:rsid w:val="0019546F"/>
    <w:rsid w:val="001966EE"/>
    <w:rsid w:val="00196854"/>
    <w:rsid w:val="00196EB9"/>
    <w:rsid w:val="001975D8"/>
    <w:rsid w:val="001A02B9"/>
    <w:rsid w:val="001A0814"/>
    <w:rsid w:val="001A11F7"/>
    <w:rsid w:val="001A122D"/>
    <w:rsid w:val="001A13BC"/>
    <w:rsid w:val="001A1A7D"/>
    <w:rsid w:val="001A1DDC"/>
    <w:rsid w:val="001A2429"/>
    <w:rsid w:val="001A26F1"/>
    <w:rsid w:val="001A2835"/>
    <w:rsid w:val="001A2C7E"/>
    <w:rsid w:val="001A3334"/>
    <w:rsid w:val="001A43FA"/>
    <w:rsid w:val="001A4AC7"/>
    <w:rsid w:val="001A4FD0"/>
    <w:rsid w:val="001A54FD"/>
    <w:rsid w:val="001A59FB"/>
    <w:rsid w:val="001A6354"/>
    <w:rsid w:val="001A75F0"/>
    <w:rsid w:val="001A7AE8"/>
    <w:rsid w:val="001B04B5"/>
    <w:rsid w:val="001B0903"/>
    <w:rsid w:val="001B12F8"/>
    <w:rsid w:val="001B1453"/>
    <w:rsid w:val="001B15A8"/>
    <w:rsid w:val="001B1D0E"/>
    <w:rsid w:val="001B204E"/>
    <w:rsid w:val="001B217F"/>
    <w:rsid w:val="001B3443"/>
    <w:rsid w:val="001B422B"/>
    <w:rsid w:val="001B42E8"/>
    <w:rsid w:val="001B469A"/>
    <w:rsid w:val="001B477C"/>
    <w:rsid w:val="001B4D20"/>
    <w:rsid w:val="001B58AC"/>
    <w:rsid w:val="001B64A9"/>
    <w:rsid w:val="001B7469"/>
    <w:rsid w:val="001B7506"/>
    <w:rsid w:val="001B7E50"/>
    <w:rsid w:val="001C0AA7"/>
    <w:rsid w:val="001C273E"/>
    <w:rsid w:val="001C2A9B"/>
    <w:rsid w:val="001C3463"/>
    <w:rsid w:val="001C3C67"/>
    <w:rsid w:val="001C4299"/>
    <w:rsid w:val="001C4316"/>
    <w:rsid w:val="001C4701"/>
    <w:rsid w:val="001C5AF4"/>
    <w:rsid w:val="001C5DF1"/>
    <w:rsid w:val="001C5F94"/>
    <w:rsid w:val="001C6C67"/>
    <w:rsid w:val="001C6E66"/>
    <w:rsid w:val="001C781A"/>
    <w:rsid w:val="001D0235"/>
    <w:rsid w:val="001D0567"/>
    <w:rsid w:val="001D193C"/>
    <w:rsid w:val="001D1F46"/>
    <w:rsid w:val="001D2730"/>
    <w:rsid w:val="001D2914"/>
    <w:rsid w:val="001D2DB7"/>
    <w:rsid w:val="001D2ECC"/>
    <w:rsid w:val="001D2FA6"/>
    <w:rsid w:val="001D312C"/>
    <w:rsid w:val="001D4165"/>
    <w:rsid w:val="001D4F81"/>
    <w:rsid w:val="001D5B53"/>
    <w:rsid w:val="001D5E95"/>
    <w:rsid w:val="001D68DD"/>
    <w:rsid w:val="001D6B7F"/>
    <w:rsid w:val="001D71A3"/>
    <w:rsid w:val="001D7934"/>
    <w:rsid w:val="001D7D65"/>
    <w:rsid w:val="001D7FC0"/>
    <w:rsid w:val="001E0DAF"/>
    <w:rsid w:val="001E10D9"/>
    <w:rsid w:val="001E238E"/>
    <w:rsid w:val="001E2483"/>
    <w:rsid w:val="001E27B1"/>
    <w:rsid w:val="001E289A"/>
    <w:rsid w:val="001E2B1E"/>
    <w:rsid w:val="001E30D4"/>
    <w:rsid w:val="001E31B4"/>
    <w:rsid w:val="001E3D9E"/>
    <w:rsid w:val="001E4C25"/>
    <w:rsid w:val="001E4CA7"/>
    <w:rsid w:val="001E4F73"/>
    <w:rsid w:val="001E52EB"/>
    <w:rsid w:val="001E61D2"/>
    <w:rsid w:val="001E631A"/>
    <w:rsid w:val="001E672D"/>
    <w:rsid w:val="001E740C"/>
    <w:rsid w:val="001E7C14"/>
    <w:rsid w:val="001E7FD2"/>
    <w:rsid w:val="001F09C1"/>
    <w:rsid w:val="001F0C29"/>
    <w:rsid w:val="001F0D22"/>
    <w:rsid w:val="001F1221"/>
    <w:rsid w:val="001F1235"/>
    <w:rsid w:val="001F1CB3"/>
    <w:rsid w:val="001F25D5"/>
    <w:rsid w:val="001F31D3"/>
    <w:rsid w:val="001F3282"/>
    <w:rsid w:val="001F38B5"/>
    <w:rsid w:val="001F3967"/>
    <w:rsid w:val="001F46CD"/>
    <w:rsid w:val="001F5727"/>
    <w:rsid w:val="001F581B"/>
    <w:rsid w:val="001F5936"/>
    <w:rsid w:val="001F7361"/>
    <w:rsid w:val="001F73FB"/>
    <w:rsid w:val="001F765E"/>
    <w:rsid w:val="002008CC"/>
    <w:rsid w:val="002011B0"/>
    <w:rsid w:val="002014DB"/>
    <w:rsid w:val="0020173E"/>
    <w:rsid w:val="0020195E"/>
    <w:rsid w:val="00201986"/>
    <w:rsid w:val="00201FE6"/>
    <w:rsid w:val="00203181"/>
    <w:rsid w:val="00203783"/>
    <w:rsid w:val="0020385F"/>
    <w:rsid w:val="002039DA"/>
    <w:rsid w:val="0020469D"/>
    <w:rsid w:val="0020688D"/>
    <w:rsid w:val="00206F6E"/>
    <w:rsid w:val="00207021"/>
    <w:rsid w:val="0020732F"/>
    <w:rsid w:val="00207CFE"/>
    <w:rsid w:val="00207D00"/>
    <w:rsid w:val="00210425"/>
    <w:rsid w:val="002105C1"/>
    <w:rsid w:val="0021064D"/>
    <w:rsid w:val="00210F65"/>
    <w:rsid w:val="00211AF2"/>
    <w:rsid w:val="002129AA"/>
    <w:rsid w:val="00212C3D"/>
    <w:rsid w:val="00212D96"/>
    <w:rsid w:val="00213CCB"/>
    <w:rsid w:val="00213E56"/>
    <w:rsid w:val="00214540"/>
    <w:rsid w:val="0021520D"/>
    <w:rsid w:val="00215930"/>
    <w:rsid w:val="00215E85"/>
    <w:rsid w:val="002162C8"/>
    <w:rsid w:val="0021644A"/>
    <w:rsid w:val="002164C5"/>
    <w:rsid w:val="00217095"/>
    <w:rsid w:val="00217228"/>
    <w:rsid w:val="00217474"/>
    <w:rsid w:val="002175A5"/>
    <w:rsid w:val="00217C9E"/>
    <w:rsid w:val="00220122"/>
    <w:rsid w:val="002204B8"/>
    <w:rsid w:val="00220B01"/>
    <w:rsid w:val="00221480"/>
    <w:rsid w:val="00221F79"/>
    <w:rsid w:val="00222AEF"/>
    <w:rsid w:val="00223B49"/>
    <w:rsid w:val="00223F50"/>
    <w:rsid w:val="0022433C"/>
    <w:rsid w:val="00224DD4"/>
    <w:rsid w:val="0022525C"/>
    <w:rsid w:val="00225669"/>
    <w:rsid w:val="00225C26"/>
    <w:rsid w:val="00225D1B"/>
    <w:rsid w:val="00226E08"/>
    <w:rsid w:val="00227821"/>
    <w:rsid w:val="00230018"/>
    <w:rsid w:val="002302D2"/>
    <w:rsid w:val="002305EF"/>
    <w:rsid w:val="0023063C"/>
    <w:rsid w:val="002309CC"/>
    <w:rsid w:val="002317D7"/>
    <w:rsid w:val="0023209F"/>
    <w:rsid w:val="002324BF"/>
    <w:rsid w:val="00232BF6"/>
    <w:rsid w:val="002333C9"/>
    <w:rsid w:val="00233DF7"/>
    <w:rsid w:val="002349D5"/>
    <w:rsid w:val="0023629D"/>
    <w:rsid w:val="00236A55"/>
    <w:rsid w:val="00237255"/>
    <w:rsid w:val="00237BB0"/>
    <w:rsid w:val="0024004D"/>
    <w:rsid w:val="002406BF"/>
    <w:rsid w:val="0024083F"/>
    <w:rsid w:val="00240C3D"/>
    <w:rsid w:val="002410B6"/>
    <w:rsid w:val="00241124"/>
    <w:rsid w:val="00241C52"/>
    <w:rsid w:val="00241D6A"/>
    <w:rsid w:val="002420BE"/>
    <w:rsid w:val="00242311"/>
    <w:rsid w:val="002424A8"/>
    <w:rsid w:val="002424AF"/>
    <w:rsid w:val="002427FD"/>
    <w:rsid w:val="002430B7"/>
    <w:rsid w:val="00243253"/>
    <w:rsid w:val="00243570"/>
    <w:rsid w:val="00243878"/>
    <w:rsid w:val="002439DC"/>
    <w:rsid w:val="00244837"/>
    <w:rsid w:val="00244933"/>
    <w:rsid w:val="00244DC8"/>
    <w:rsid w:val="00244EC0"/>
    <w:rsid w:val="00245123"/>
    <w:rsid w:val="002458BA"/>
    <w:rsid w:val="00245F1C"/>
    <w:rsid w:val="00246091"/>
    <w:rsid w:val="0024636C"/>
    <w:rsid w:val="0024772B"/>
    <w:rsid w:val="00247925"/>
    <w:rsid w:val="00252BCC"/>
    <w:rsid w:val="00252D4D"/>
    <w:rsid w:val="0025300D"/>
    <w:rsid w:val="0025436E"/>
    <w:rsid w:val="002548BB"/>
    <w:rsid w:val="00254950"/>
    <w:rsid w:val="00254DCF"/>
    <w:rsid w:val="0025534B"/>
    <w:rsid w:val="00255780"/>
    <w:rsid w:val="00255978"/>
    <w:rsid w:val="00255BB7"/>
    <w:rsid w:val="00257541"/>
    <w:rsid w:val="00257AAF"/>
    <w:rsid w:val="00260125"/>
    <w:rsid w:val="00260500"/>
    <w:rsid w:val="00261638"/>
    <w:rsid w:val="00261CDE"/>
    <w:rsid w:val="0026239C"/>
    <w:rsid w:val="00262A1A"/>
    <w:rsid w:val="00262A87"/>
    <w:rsid w:val="00262CFC"/>
    <w:rsid w:val="00263DFF"/>
    <w:rsid w:val="00264413"/>
    <w:rsid w:val="00264D26"/>
    <w:rsid w:val="002651FF"/>
    <w:rsid w:val="00266338"/>
    <w:rsid w:val="002669AF"/>
    <w:rsid w:val="00267642"/>
    <w:rsid w:val="00267AEA"/>
    <w:rsid w:val="00267C36"/>
    <w:rsid w:val="002700BD"/>
    <w:rsid w:val="002700E6"/>
    <w:rsid w:val="0027043E"/>
    <w:rsid w:val="0027069B"/>
    <w:rsid w:val="00270FB0"/>
    <w:rsid w:val="00271273"/>
    <w:rsid w:val="00271335"/>
    <w:rsid w:val="0027173B"/>
    <w:rsid w:val="0027294B"/>
    <w:rsid w:val="002731D8"/>
    <w:rsid w:val="0027330E"/>
    <w:rsid w:val="002737D4"/>
    <w:rsid w:val="00273A1D"/>
    <w:rsid w:val="00275C5A"/>
    <w:rsid w:val="00280A5B"/>
    <w:rsid w:val="00281014"/>
    <w:rsid w:val="00281B8C"/>
    <w:rsid w:val="00282187"/>
    <w:rsid w:val="00282469"/>
    <w:rsid w:val="0028259E"/>
    <w:rsid w:val="002837E3"/>
    <w:rsid w:val="00283F99"/>
    <w:rsid w:val="00284C1A"/>
    <w:rsid w:val="0028652C"/>
    <w:rsid w:val="00286D1D"/>
    <w:rsid w:val="00286E06"/>
    <w:rsid w:val="002873EA"/>
    <w:rsid w:val="0028782D"/>
    <w:rsid w:val="002900DD"/>
    <w:rsid w:val="00291943"/>
    <w:rsid w:val="00291E87"/>
    <w:rsid w:val="002925DF"/>
    <w:rsid w:val="00293A34"/>
    <w:rsid w:val="002945B7"/>
    <w:rsid w:val="002946C1"/>
    <w:rsid w:val="00294B24"/>
    <w:rsid w:val="00294BE9"/>
    <w:rsid w:val="002956BB"/>
    <w:rsid w:val="002967F5"/>
    <w:rsid w:val="00296B1F"/>
    <w:rsid w:val="002971DB"/>
    <w:rsid w:val="002A019F"/>
    <w:rsid w:val="002A137F"/>
    <w:rsid w:val="002A14AB"/>
    <w:rsid w:val="002A18BA"/>
    <w:rsid w:val="002A25E6"/>
    <w:rsid w:val="002A2982"/>
    <w:rsid w:val="002A2F50"/>
    <w:rsid w:val="002A5577"/>
    <w:rsid w:val="002A6087"/>
    <w:rsid w:val="002A6482"/>
    <w:rsid w:val="002A676E"/>
    <w:rsid w:val="002A6FAB"/>
    <w:rsid w:val="002A71C5"/>
    <w:rsid w:val="002A754C"/>
    <w:rsid w:val="002A796E"/>
    <w:rsid w:val="002A7B18"/>
    <w:rsid w:val="002A7F61"/>
    <w:rsid w:val="002B09A4"/>
    <w:rsid w:val="002B0EC1"/>
    <w:rsid w:val="002B1C1F"/>
    <w:rsid w:val="002B1D5F"/>
    <w:rsid w:val="002B2506"/>
    <w:rsid w:val="002B29F7"/>
    <w:rsid w:val="002B432F"/>
    <w:rsid w:val="002B4C50"/>
    <w:rsid w:val="002B57D8"/>
    <w:rsid w:val="002B60F7"/>
    <w:rsid w:val="002B62B3"/>
    <w:rsid w:val="002B643C"/>
    <w:rsid w:val="002B6754"/>
    <w:rsid w:val="002B6CCE"/>
    <w:rsid w:val="002B7AB8"/>
    <w:rsid w:val="002B7ABF"/>
    <w:rsid w:val="002C0678"/>
    <w:rsid w:val="002C0786"/>
    <w:rsid w:val="002C08BC"/>
    <w:rsid w:val="002C0D70"/>
    <w:rsid w:val="002C0DAA"/>
    <w:rsid w:val="002C1665"/>
    <w:rsid w:val="002C171E"/>
    <w:rsid w:val="002C1D14"/>
    <w:rsid w:val="002C2510"/>
    <w:rsid w:val="002C2775"/>
    <w:rsid w:val="002C27C1"/>
    <w:rsid w:val="002C2DB0"/>
    <w:rsid w:val="002C3084"/>
    <w:rsid w:val="002C331F"/>
    <w:rsid w:val="002C338A"/>
    <w:rsid w:val="002C371E"/>
    <w:rsid w:val="002C4214"/>
    <w:rsid w:val="002C5008"/>
    <w:rsid w:val="002C5099"/>
    <w:rsid w:val="002C5240"/>
    <w:rsid w:val="002C5889"/>
    <w:rsid w:val="002C5C25"/>
    <w:rsid w:val="002C5F20"/>
    <w:rsid w:val="002C6058"/>
    <w:rsid w:val="002C61F7"/>
    <w:rsid w:val="002C6F91"/>
    <w:rsid w:val="002C71CE"/>
    <w:rsid w:val="002C7C82"/>
    <w:rsid w:val="002C7F0C"/>
    <w:rsid w:val="002D00E2"/>
    <w:rsid w:val="002D04F8"/>
    <w:rsid w:val="002D216C"/>
    <w:rsid w:val="002D230D"/>
    <w:rsid w:val="002D2609"/>
    <w:rsid w:val="002D323A"/>
    <w:rsid w:val="002D32E5"/>
    <w:rsid w:val="002D33E3"/>
    <w:rsid w:val="002D5447"/>
    <w:rsid w:val="002D577C"/>
    <w:rsid w:val="002D5AA7"/>
    <w:rsid w:val="002D65AD"/>
    <w:rsid w:val="002D6946"/>
    <w:rsid w:val="002D6A9F"/>
    <w:rsid w:val="002D6C3C"/>
    <w:rsid w:val="002D6C9E"/>
    <w:rsid w:val="002D77CB"/>
    <w:rsid w:val="002D78BF"/>
    <w:rsid w:val="002E00CE"/>
    <w:rsid w:val="002E04BE"/>
    <w:rsid w:val="002E05A9"/>
    <w:rsid w:val="002E06E8"/>
    <w:rsid w:val="002E10AD"/>
    <w:rsid w:val="002E126E"/>
    <w:rsid w:val="002E1392"/>
    <w:rsid w:val="002E14C9"/>
    <w:rsid w:val="002E15B9"/>
    <w:rsid w:val="002E2158"/>
    <w:rsid w:val="002E2834"/>
    <w:rsid w:val="002E284F"/>
    <w:rsid w:val="002E37A5"/>
    <w:rsid w:val="002E383A"/>
    <w:rsid w:val="002E3B5E"/>
    <w:rsid w:val="002E4A75"/>
    <w:rsid w:val="002E4BDC"/>
    <w:rsid w:val="002E4C18"/>
    <w:rsid w:val="002E5275"/>
    <w:rsid w:val="002E64E4"/>
    <w:rsid w:val="002E6647"/>
    <w:rsid w:val="002E6F79"/>
    <w:rsid w:val="002E74B0"/>
    <w:rsid w:val="002E7722"/>
    <w:rsid w:val="002F07BA"/>
    <w:rsid w:val="002F0DA9"/>
    <w:rsid w:val="002F11F0"/>
    <w:rsid w:val="002F1873"/>
    <w:rsid w:val="002F1E44"/>
    <w:rsid w:val="002F1EB1"/>
    <w:rsid w:val="002F26DA"/>
    <w:rsid w:val="002F26F7"/>
    <w:rsid w:val="002F3187"/>
    <w:rsid w:val="002F4C18"/>
    <w:rsid w:val="002F58DF"/>
    <w:rsid w:val="002F6235"/>
    <w:rsid w:val="002F643C"/>
    <w:rsid w:val="002F691C"/>
    <w:rsid w:val="002F71C0"/>
    <w:rsid w:val="002F72C1"/>
    <w:rsid w:val="002F74F2"/>
    <w:rsid w:val="00301017"/>
    <w:rsid w:val="00301536"/>
    <w:rsid w:val="0030155F"/>
    <w:rsid w:val="00302290"/>
    <w:rsid w:val="0030231A"/>
    <w:rsid w:val="00302B33"/>
    <w:rsid w:val="003030C4"/>
    <w:rsid w:val="00303A59"/>
    <w:rsid w:val="00303B7C"/>
    <w:rsid w:val="00303BBA"/>
    <w:rsid w:val="003046E0"/>
    <w:rsid w:val="0030473F"/>
    <w:rsid w:val="00304800"/>
    <w:rsid w:val="00304D92"/>
    <w:rsid w:val="00304EB2"/>
    <w:rsid w:val="003050EB"/>
    <w:rsid w:val="0030587B"/>
    <w:rsid w:val="00306D98"/>
    <w:rsid w:val="0030786C"/>
    <w:rsid w:val="00307D14"/>
    <w:rsid w:val="0031031A"/>
    <w:rsid w:val="00310981"/>
    <w:rsid w:val="00311645"/>
    <w:rsid w:val="00311952"/>
    <w:rsid w:val="00312E24"/>
    <w:rsid w:val="003146BC"/>
    <w:rsid w:val="00315495"/>
    <w:rsid w:val="00315498"/>
    <w:rsid w:val="00315FED"/>
    <w:rsid w:val="0031787B"/>
    <w:rsid w:val="0032039F"/>
    <w:rsid w:val="0032061E"/>
    <w:rsid w:val="003209D5"/>
    <w:rsid w:val="00320D88"/>
    <w:rsid w:val="00320FE0"/>
    <w:rsid w:val="003215E1"/>
    <w:rsid w:val="00322107"/>
    <w:rsid w:val="00322846"/>
    <w:rsid w:val="00322902"/>
    <w:rsid w:val="0032299C"/>
    <w:rsid w:val="00323CDC"/>
    <w:rsid w:val="00324675"/>
    <w:rsid w:val="00324B69"/>
    <w:rsid w:val="00325B0C"/>
    <w:rsid w:val="00325B67"/>
    <w:rsid w:val="00326378"/>
    <w:rsid w:val="00326801"/>
    <w:rsid w:val="00326849"/>
    <w:rsid w:val="00326DA7"/>
    <w:rsid w:val="00326FED"/>
    <w:rsid w:val="003270E4"/>
    <w:rsid w:val="0032765B"/>
    <w:rsid w:val="00330DB8"/>
    <w:rsid w:val="00330F5C"/>
    <w:rsid w:val="00331099"/>
    <w:rsid w:val="00331819"/>
    <w:rsid w:val="0033192E"/>
    <w:rsid w:val="00332405"/>
    <w:rsid w:val="00332443"/>
    <w:rsid w:val="0033245E"/>
    <w:rsid w:val="00332655"/>
    <w:rsid w:val="00332A10"/>
    <w:rsid w:val="00332D8F"/>
    <w:rsid w:val="00334303"/>
    <w:rsid w:val="00334F49"/>
    <w:rsid w:val="003366C9"/>
    <w:rsid w:val="003368A6"/>
    <w:rsid w:val="00336E2A"/>
    <w:rsid w:val="00337077"/>
    <w:rsid w:val="0033709D"/>
    <w:rsid w:val="003371B0"/>
    <w:rsid w:val="00337399"/>
    <w:rsid w:val="00337441"/>
    <w:rsid w:val="00337D61"/>
    <w:rsid w:val="003400EE"/>
    <w:rsid w:val="0034052C"/>
    <w:rsid w:val="00340649"/>
    <w:rsid w:val="00340DF1"/>
    <w:rsid w:val="00340F70"/>
    <w:rsid w:val="00341284"/>
    <w:rsid w:val="00341A99"/>
    <w:rsid w:val="003428C0"/>
    <w:rsid w:val="003429B0"/>
    <w:rsid w:val="00344854"/>
    <w:rsid w:val="00345B61"/>
    <w:rsid w:val="00346968"/>
    <w:rsid w:val="003469BF"/>
    <w:rsid w:val="00346D85"/>
    <w:rsid w:val="003472F3"/>
    <w:rsid w:val="0034747F"/>
    <w:rsid w:val="00347ECE"/>
    <w:rsid w:val="00347F0A"/>
    <w:rsid w:val="0035024A"/>
    <w:rsid w:val="003503A4"/>
    <w:rsid w:val="00350E17"/>
    <w:rsid w:val="003517F9"/>
    <w:rsid w:val="00351BFB"/>
    <w:rsid w:val="00351C4E"/>
    <w:rsid w:val="0035242C"/>
    <w:rsid w:val="00353608"/>
    <w:rsid w:val="00354322"/>
    <w:rsid w:val="003545BB"/>
    <w:rsid w:val="00354C5C"/>
    <w:rsid w:val="00354E56"/>
    <w:rsid w:val="0035620E"/>
    <w:rsid w:val="003563DF"/>
    <w:rsid w:val="00357064"/>
    <w:rsid w:val="003573A5"/>
    <w:rsid w:val="003579D8"/>
    <w:rsid w:val="00357BCF"/>
    <w:rsid w:val="003600EC"/>
    <w:rsid w:val="00360A23"/>
    <w:rsid w:val="00361282"/>
    <w:rsid w:val="00361D4E"/>
    <w:rsid w:val="00361E4E"/>
    <w:rsid w:val="00361F7F"/>
    <w:rsid w:val="003624C4"/>
    <w:rsid w:val="00363D1E"/>
    <w:rsid w:val="0036425E"/>
    <w:rsid w:val="003654AC"/>
    <w:rsid w:val="00365BAB"/>
    <w:rsid w:val="00365DB1"/>
    <w:rsid w:val="0036626D"/>
    <w:rsid w:val="00366FC5"/>
    <w:rsid w:val="00367841"/>
    <w:rsid w:val="0037025D"/>
    <w:rsid w:val="003710CF"/>
    <w:rsid w:val="00371A02"/>
    <w:rsid w:val="00371A46"/>
    <w:rsid w:val="0037289C"/>
    <w:rsid w:val="00372AF6"/>
    <w:rsid w:val="0037349D"/>
    <w:rsid w:val="0037358A"/>
    <w:rsid w:val="00373CB0"/>
    <w:rsid w:val="003749C9"/>
    <w:rsid w:val="00374B3D"/>
    <w:rsid w:val="003750F6"/>
    <w:rsid w:val="003754E3"/>
    <w:rsid w:val="00375F66"/>
    <w:rsid w:val="003760F7"/>
    <w:rsid w:val="003760FC"/>
    <w:rsid w:val="00377377"/>
    <w:rsid w:val="003776A6"/>
    <w:rsid w:val="003801FE"/>
    <w:rsid w:val="00380B3E"/>
    <w:rsid w:val="00381372"/>
    <w:rsid w:val="003819CE"/>
    <w:rsid w:val="00382CAE"/>
    <w:rsid w:val="003832FC"/>
    <w:rsid w:val="0038365C"/>
    <w:rsid w:val="0038369B"/>
    <w:rsid w:val="00383B78"/>
    <w:rsid w:val="00383C6A"/>
    <w:rsid w:val="003845DC"/>
    <w:rsid w:val="00385626"/>
    <w:rsid w:val="00385A9D"/>
    <w:rsid w:val="00386863"/>
    <w:rsid w:val="00387C69"/>
    <w:rsid w:val="00387D14"/>
    <w:rsid w:val="0039005C"/>
    <w:rsid w:val="003902B1"/>
    <w:rsid w:val="0039113B"/>
    <w:rsid w:val="003923B3"/>
    <w:rsid w:val="003925C3"/>
    <w:rsid w:val="00392655"/>
    <w:rsid w:val="00392EE8"/>
    <w:rsid w:val="003932AB"/>
    <w:rsid w:val="00393CC9"/>
    <w:rsid w:val="00394279"/>
    <w:rsid w:val="0039561A"/>
    <w:rsid w:val="00396896"/>
    <w:rsid w:val="00396FD0"/>
    <w:rsid w:val="00397C68"/>
    <w:rsid w:val="003A1A7A"/>
    <w:rsid w:val="003A2392"/>
    <w:rsid w:val="003A2831"/>
    <w:rsid w:val="003A2E2B"/>
    <w:rsid w:val="003A3ED1"/>
    <w:rsid w:val="003A469A"/>
    <w:rsid w:val="003A4BF7"/>
    <w:rsid w:val="003A533C"/>
    <w:rsid w:val="003A61FC"/>
    <w:rsid w:val="003A6EC4"/>
    <w:rsid w:val="003A77C8"/>
    <w:rsid w:val="003A7DDD"/>
    <w:rsid w:val="003B0DE5"/>
    <w:rsid w:val="003B12E1"/>
    <w:rsid w:val="003B144B"/>
    <w:rsid w:val="003B1878"/>
    <w:rsid w:val="003B1C55"/>
    <w:rsid w:val="003B1E50"/>
    <w:rsid w:val="003B2939"/>
    <w:rsid w:val="003B2BE2"/>
    <w:rsid w:val="003B3104"/>
    <w:rsid w:val="003B364A"/>
    <w:rsid w:val="003B3E06"/>
    <w:rsid w:val="003B4561"/>
    <w:rsid w:val="003B4F39"/>
    <w:rsid w:val="003B4FD5"/>
    <w:rsid w:val="003B532E"/>
    <w:rsid w:val="003B537F"/>
    <w:rsid w:val="003B59B9"/>
    <w:rsid w:val="003B5B61"/>
    <w:rsid w:val="003B70A0"/>
    <w:rsid w:val="003B7CBA"/>
    <w:rsid w:val="003B7EC9"/>
    <w:rsid w:val="003C09DD"/>
    <w:rsid w:val="003C0B02"/>
    <w:rsid w:val="003C0B93"/>
    <w:rsid w:val="003C121D"/>
    <w:rsid w:val="003C1243"/>
    <w:rsid w:val="003C1557"/>
    <w:rsid w:val="003C1654"/>
    <w:rsid w:val="003C1A01"/>
    <w:rsid w:val="003C1CD1"/>
    <w:rsid w:val="003C20C5"/>
    <w:rsid w:val="003C2980"/>
    <w:rsid w:val="003C3328"/>
    <w:rsid w:val="003C5A20"/>
    <w:rsid w:val="003C6018"/>
    <w:rsid w:val="003C62DB"/>
    <w:rsid w:val="003C6B9F"/>
    <w:rsid w:val="003C6DD3"/>
    <w:rsid w:val="003C7D19"/>
    <w:rsid w:val="003D003E"/>
    <w:rsid w:val="003D0567"/>
    <w:rsid w:val="003D0A7D"/>
    <w:rsid w:val="003D0F84"/>
    <w:rsid w:val="003D1828"/>
    <w:rsid w:val="003D1D82"/>
    <w:rsid w:val="003D1DE4"/>
    <w:rsid w:val="003D2422"/>
    <w:rsid w:val="003D3129"/>
    <w:rsid w:val="003D39A1"/>
    <w:rsid w:val="003D3FBF"/>
    <w:rsid w:val="003D43DA"/>
    <w:rsid w:val="003D4A30"/>
    <w:rsid w:val="003D4B3B"/>
    <w:rsid w:val="003D4E46"/>
    <w:rsid w:val="003D52B2"/>
    <w:rsid w:val="003D79BB"/>
    <w:rsid w:val="003D7C98"/>
    <w:rsid w:val="003E006E"/>
    <w:rsid w:val="003E009A"/>
    <w:rsid w:val="003E010F"/>
    <w:rsid w:val="003E019F"/>
    <w:rsid w:val="003E0543"/>
    <w:rsid w:val="003E1969"/>
    <w:rsid w:val="003E1DF8"/>
    <w:rsid w:val="003E3C88"/>
    <w:rsid w:val="003E3DBD"/>
    <w:rsid w:val="003E5A7C"/>
    <w:rsid w:val="003E5B31"/>
    <w:rsid w:val="003E5C77"/>
    <w:rsid w:val="003E6591"/>
    <w:rsid w:val="003E6946"/>
    <w:rsid w:val="003E6C2C"/>
    <w:rsid w:val="003E7324"/>
    <w:rsid w:val="003E789C"/>
    <w:rsid w:val="003E7FD3"/>
    <w:rsid w:val="003F00B5"/>
    <w:rsid w:val="003F0692"/>
    <w:rsid w:val="003F0B3C"/>
    <w:rsid w:val="003F0E14"/>
    <w:rsid w:val="003F1203"/>
    <w:rsid w:val="003F14DD"/>
    <w:rsid w:val="003F1659"/>
    <w:rsid w:val="003F1941"/>
    <w:rsid w:val="003F1AFA"/>
    <w:rsid w:val="003F1F64"/>
    <w:rsid w:val="003F2C9D"/>
    <w:rsid w:val="003F31AA"/>
    <w:rsid w:val="003F322F"/>
    <w:rsid w:val="003F3528"/>
    <w:rsid w:val="003F37F9"/>
    <w:rsid w:val="003F388C"/>
    <w:rsid w:val="003F3EFC"/>
    <w:rsid w:val="003F3F27"/>
    <w:rsid w:val="003F4156"/>
    <w:rsid w:val="003F4F31"/>
    <w:rsid w:val="003F578E"/>
    <w:rsid w:val="003F5CD5"/>
    <w:rsid w:val="003F5DCE"/>
    <w:rsid w:val="003F622E"/>
    <w:rsid w:val="003F6E6D"/>
    <w:rsid w:val="003F71B1"/>
    <w:rsid w:val="00400B29"/>
    <w:rsid w:val="00400C35"/>
    <w:rsid w:val="00401199"/>
    <w:rsid w:val="004019C9"/>
    <w:rsid w:val="004019F8"/>
    <w:rsid w:val="004027E9"/>
    <w:rsid w:val="004030A2"/>
    <w:rsid w:val="004048A1"/>
    <w:rsid w:val="0040504B"/>
    <w:rsid w:val="00405061"/>
    <w:rsid w:val="004050E1"/>
    <w:rsid w:val="0040542F"/>
    <w:rsid w:val="00406C90"/>
    <w:rsid w:val="00410708"/>
    <w:rsid w:val="00410EC7"/>
    <w:rsid w:val="004119E4"/>
    <w:rsid w:val="00411B39"/>
    <w:rsid w:val="00411F25"/>
    <w:rsid w:val="00412C31"/>
    <w:rsid w:val="00413A1E"/>
    <w:rsid w:val="004141A8"/>
    <w:rsid w:val="004143C4"/>
    <w:rsid w:val="00414476"/>
    <w:rsid w:val="00414C2E"/>
    <w:rsid w:val="004151CF"/>
    <w:rsid w:val="00415A7E"/>
    <w:rsid w:val="00415D4E"/>
    <w:rsid w:val="00416364"/>
    <w:rsid w:val="00416DE9"/>
    <w:rsid w:val="00417668"/>
    <w:rsid w:val="00417C85"/>
    <w:rsid w:val="00417CDC"/>
    <w:rsid w:val="00417D37"/>
    <w:rsid w:val="00417DE3"/>
    <w:rsid w:val="004204BC"/>
    <w:rsid w:val="00420AA6"/>
    <w:rsid w:val="00420B9F"/>
    <w:rsid w:val="00421913"/>
    <w:rsid w:val="004220C1"/>
    <w:rsid w:val="00422260"/>
    <w:rsid w:val="00422C30"/>
    <w:rsid w:val="00423A8E"/>
    <w:rsid w:val="0042413F"/>
    <w:rsid w:val="004241DC"/>
    <w:rsid w:val="004246F7"/>
    <w:rsid w:val="00424B5A"/>
    <w:rsid w:val="0042563B"/>
    <w:rsid w:val="00425F2F"/>
    <w:rsid w:val="00425F79"/>
    <w:rsid w:val="004269D5"/>
    <w:rsid w:val="0042785A"/>
    <w:rsid w:val="00427CD1"/>
    <w:rsid w:val="00427E5D"/>
    <w:rsid w:val="00430B3F"/>
    <w:rsid w:val="00430BD8"/>
    <w:rsid w:val="004318D4"/>
    <w:rsid w:val="004319B8"/>
    <w:rsid w:val="004319F8"/>
    <w:rsid w:val="00431B14"/>
    <w:rsid w:val="00431E55"/>
    <w:rsid w:val="004321F6"/>
    <w:rsid w:val="00433044"/>
    <w:rsid w:val="004366FE"/>
    <w:rsid w:val="004375B9"/>
    <w:rsid w:val="00437C59"/>
    <w:rsid w:val="0044033F"/>
    <w:rsid w:val="0044063D"/>
    <w:rsid w:val="0044187F"/>
    <w:rsid w:val="004428D0"/>
    <w:rsid w:val="004441A5"/>
    <w:rsid w:val="004443A7"/>
    <w:rsid w:val="0044442C"/>
    <w:rsid w:val="0044483F"/>
    <w:rsid w:val="00444D35"/>
    <w:rsid w:val="00445877"/>
    <w:rsid w:val="00445941"/>
    <w:rsid w:val="004459CB"/>
    <w:rsid w:val="004464EB"/>
    <w:rsid w:val="0044694C"/>
    <w:rsid w:val="00447D26"/>
    <w:rsid w:val="00450550"/>
    <w:rsid w:val="0045179B"/>
    <w:rsid w:val="004529A8"/>
    <w:rsid w:val="00452CCD"/>
    <w:rsid w:val="0045331D"/>
    <w:rsid w:val="0045340F"/>
    <w:rsid w:val="00455D45"/>
    <w:rsid w:val="00455E61"/>
    <w:rsid w:val="0045610E"/>
    <w:rsid w:val="00457060"/>
    <w:rsid w:val="004570B0"/>
    <w:rsid w:val="00457D94"/>
    <w:rsid w:val="004611AA"/>
    <w:rsid w:val="00461812"/>
    <w:rsid w:val="00462CB6"/>
    <w:rsid w:val="00463606"/>
    <w:rsid w:val="00463B63"/>
    <w:rsid w:val="00463BD5"/>
    <w:rsid w:val="00463E00"/>
    <w:rsid w:val="00464595"/>
    <w:rsid w:val="0046496E"/>
    <w:rsid w:val="004654D7"/>
    <w:rsid w:val="00465593"/>
    <w:rsid w:val="004657E0"/>
    <w:rsid w:val="00465A2D"/>
    <w:rsid w:val="00465D7D"/>
    <w:rsid w:val="00466141"/>
    <w:rsid w:val="0046614A"/>
    <w:rsid w:val="004664BB"/>
    <w:rsid w:val="00466667"/>
    <w:rsid w:val="00466716"/>
    <w:rsid w:val="00466831"/>
    <w:rsid w:val="00467DEB"/>
    <w:rsid w:val="004709BF"/>
    <w:rsid w:val="00470F74"/>
    <w:rsid w:val="004711FC"/>
    <w:rsid w:val="00471528"/>
    <w:rsid w:val="00471FB0"/>
    <w:rsid w:val="0047243F"/>
    <w:rsid w:val="00472A79"/>
    <w:rsid w:val="00472B1E"/>
    <w:rsid w:val="00473C32"/>
    <w:rsid w:val="00473F19"/>
    <w:rsid w:val="00474E97"/>
    <w:rsid w:val="00475414"/>
    <w:rsid w:val="004758F9"/>
    <w:rsid w:val="00475E22"/>
    <w:rsid w:val="00476143"/>
    <w:rsid w:val="00476C11"/>
    <w:rsid w:val="0047723B"/>
    <w:rsid w:val="00477BE5"/>
    <w:rsid w:val="00477E40"/>
    <w:rsid w:val="0048011E"/>
    <w:rsid w:val="00480327"/>
    <w:rsid w:val="0048049F"/>
    <w:rsid w:val="0048088E"/>
    <w:rsid w:val="004818EC"/>
    <w:rsid w:val="004821C3"/>
    <w:rsid w:val="00482513"/>
    <w:rsid w:val="00482720"/>
    <w:rsid w:val="00482DD0"/>
    <w:rsid w:val="004835E7"/>
    <w:rsid w:val="00483B28"/>
    <w:rsid w:val="00484461"/>
    <w:rsid w:val="0048490F"/>
    <w:rsid w:val="004854D3"/>
    <w:rsid w:val="004857CB"/>
    <w:rsid w:val="004867E2"/>
    <w:rsid w:val="00487366"/>
    <w:rsid w:val="004876AE"/>
    <w:rsid w:val="00491B3A"/>
    <w:rsid w:val="00491D9A"/>
    <w:rsid w:val="004921EB"/>
    <w:rsid w:val="00492397"/>
    <w:rsid w:val="00492CFD"/>
    <w:rsid w:val="00492D1B"/>
    <w:rsid w:val="004930AC"/>
    <w:rsid w:val="004931D8"/>
    <w:rsid w:val="00493DA7"/>
    <w:rsid w:val="00494DD5"/>
    <w:rsid w:val="0049566D"/>
    <w:rsid w:val="004961CB"/>
    <w:rsid w:val="004962D2"/>
    <w:rsid w:val="00496BF8"/>
    <w:rsid w:val="004974CA"/>
    <w:rsid w:val="004975A6"/>
    <w:rsid w:val="004977FF"/>
    <w:rsid w:val="00497C84"/>
    <w:rsid w:val="004A061C"/>
    <w:rsid w:val="004A0DA1"/>
    <w:rsid w:val="004A0DCD"/>
    <w:rsid w:val="004A1BFD"/>
    <w:rsid w:val="004A296B"/>
    <w:rsid w:val="004A2BE9"/>
    <w:rsid w:val="004A2F87"/>
    <w:rsid w:val="004A48FD"/>
    <w:rsid w:val="004A52E9"/>
    <w:rsid w:val="004A6597"/>
    <w:rsid w:val="004A7247"/>
    <w:rsid w:val="004A7555"/>
    <w:rsid w:val="004A7848"/>
    <w:rsid w:val="004A7B24"/>
    <w:rsid w:val="004B0CED"/>
    <w:rsid w:val="004B18E3"/>
    <w:rsid w:val="004B1CB4"/>
    <w:rsid w:val="004B2806"/>
    <w:rsid w:val="004B2EA7"/>
    <w:rsid w:val="004B2F18"/>
    <w:rsid w:val="004B3488"/>
    <w:rsid w:val="004B3977"/>
    <w:rsid w:val="004B3DDB"/>
    <w:rsid w:val="004B401D"/>
    <w:rsid w:val="004B4312"/>
    <w:rsid w:val="004B44FD"/>
    <w:rsid w:val="004B4A7F"/>
    <w:rsid w:val="004B4E19"/>
    <w:rsid w:val="004B5CFC"/>
    <w:rsid w:val="004B774D"/>
    <w:rsid w:val="004C073A"/>
    <w:rsid w:val="004C0A9C"/>
    <w:rsid w:val="004C21CD"/>
    <w:rsid w:val="004C3AF1"/>
    <w:rsid w:val="004C4810"/>
    <w:rsid w:val="004C4AED"/>
    <w:rsid w:val="004C5908"/>
    <w:rsid w:val="004C5F84"/>
    <w:rsid w:val="004C6078"/>
    <w:rsid w:val="004C616B"/>
    <w:rsid w:val="004C6228"/>
    <w:rsid w:val="004C63BC"/>
    <w:rsid w:val="004C6E43"/>
    <w:rsid w:val="004C7919"/>
    <w:rsid w:val="004C7D5B"/>
    <w:rsid w:val="004D0D3E"/>
    <w:rsid w:val="004D0F30"/>
    <w:rsid w:val="004D1E38"/>
    <w:rsid w:val="004D243B"/>
    <w:rsid w:val="004D2C2D"/>
    <w:rsid w:val="004D30EA"/>
    <w:rsid w:val="004D3D4C"/>
    <w:rsid w:val="004D48D5"/>
    <w:rsid w:val="004D4A9D"/>
    <w:rsid w:val="004D4CB8"/>
    <w:rsid w:val="004D5EBB"/>
    <w:rsid w:val="004D6667"/>
    <w:rsid w:val="004D701B"/>
    <w:rsid w:val="004D7227"/>
    <w:rsid w:val="004D72F8"/>
    <w:rsid w:val="004E0E7F"/>
    <w:rsid w:val="004E0EB8"/>
    <w:rsid w:val="004E0F63"/>
    <w:rsid w:val="004E1361"/>
    <w:rsid w:val="004E18B2"/>
    <w:rsid w:val="004E2ADC"/>
    <w:rsid w:val="004E2FC2"/>
    <w:rsid w:val="004E306C"/>
    <w:rsid w:val="004E40B0"/>
    <w:rsid w:val="004E43B2"/>
    <w:rsid w:val="004E43F5"/>
    <w:rsid w:val="004E445F"/>
    <w:rsid w:val="004E44DB"/>
    <w:rsid w:val="004E4622"/>
    <w:rsid w:val="004E47BD"/>
    <w:rsid w:val="004E5404"/>
    <w:rsid w:val="004E6DA5"/>
    <w:rsid w:val="004F02E8"/>
    <w:rsid w:val="004F0816"/>
    <w:rsid w:val="004F0D55"/>
    <w:rsid w:val="004F166A"/>
    <w:rsid w:val="004F1B70"/>
    <w:rsid w:val="004F1D02"/>
    <w:rsid w:val="004F2679"/>
    <w:rsid w:val="004F2695"/>
    <w:rsid w:val="004F2BFD"/>
    <w:rsid w:val="004F2D7B"/>
    <w:rsid w:val="004F2F21"/>
    <w:rsid w:val="004F3882"/>
    <w:rsid w:val="004F4C24"/>
    <w:rsid w:val="004F4CF9"/>
    <w:rsid w:val="004F5363"/>
    <w:rsid w:val="004F5A33"/>
    <w:rsid w:val="004F65DA"/>
    <w:rsid w:val="004F6913"/>
    <w:rsid w:val="004F6C47"/>
    <w:rsid w:val="004F7865"/>
    <w:rsid w:val="00500742"/>
    <w:rsid w:val="005007DD"/>
    <w:rsid w:val="00501170"/>
    <w:rsid w:val="00501256"/>
    <w:rsid w:val="00501575"/>
    <w:rsid w:val="00501730"/>
    <w:rsid w:val="00501D7F"/>
    <w:rsid w:val="0050219B"/>
    <w:rsid w:val="005028B7"/>
    <w:rsid w:val="00503F17"/>
    <w:rsid w:val="005041A5"/>
    <w:rsid w:val="00504427"/>
    <w:rsid w:val="00504479"/>
    <w:rsid w:val="00504528"/>
    <w:rsid w:val="00504F5A"/>
    <w:rsid w:val="00505717"/>
    <w:rsid w:val="005064FE"/>
    <w:rsid w:val="00506928"/>
    <w:rsid w:val="005072C5"/>
    <w:rsid w:val="0051104C"/>
    <w:rsid w:val="00511D4A"/>
    <w:rsid w:val="0051218D"/>
    <w:rsid w:val="00512221"/>
    <w:rsid w:val="005139BC"/>
    <w:rsid w:val="00514569"/>
    <w:rsid w:val="00514641"/>
    <w:rsid w:val="00514852"/>
    <w:rsid w:val="00514B2F"/>
    <w:rsid w:val="005152B5"/>
    <w:rsid w:val="005156C0"/>
    <w:rsid w:val="00516A0A"/>
    <w:rsid w:val="00516DCD"/>
    <w:rsid w:val="00517712"/>
    <w:rsid w:val="00517A50"/>
    <w:rsid w:val="00520200"/>
    <w:rsid w:val="00521243"/>
    <w:rsid w:val="00521319"/>
    <w:rsid w:val="00521334"/>
    <w:rsid w:val="0052191D"/>
    <w:rsid w:val="005221C6"/>
    <w:rsid w:val="00522798"/>
    <w:rsid w:val="00522BC8"/>
    <w:rsid w:val="00522E62"/>
    <w:rsid w:val="005234B4"/>
    <w:rsid w:val="00523C28"/>
    <w:rsid w:val="00524FEA"/>
    <w:rsid w:val="00525315"/>
    <w:rsid w:val="00525D5C"/>
    <w:rsid w:val="005265DF"/>
    <w:rsid w:val="005276A2"/>
    <w:rsid w:val="00527CD0"/>
    <w:rsid w:val="0053192E"/>
    <w:rsid w:val="00532A8B"/>
    <w:rsid w:val="00532EAA"/>
    <w:rsid w:val="00533639"/>
    <w:rsid w:val="00533A25"/>
    <w:rsid w:val="00534588"/>
    <w:rsid w:val="00534613"/>
    <w:rsid w:val="0053522D"/>
    <w:rsid w:val="00535457"/>
    <w:rsid w:val="00535C52"/>
    <w:rsid w:val="00536F42"/>
    <w:rsid w:val="00537182"/>
    <w:rsid w:val="005372BE"/>
    <w:rsid w:val="00537961"/>
    <w:rsid w:val="00537BDC"/>
    <w:rsid w:val="00541786"/>
    <w:rsid w:val="005417C1"/>
    <w:rsid w:val="0054261B"/>
    <w:rsid w:val="00542743"/>
    <w:rsid w:val="00542C2D"/>
    <w:rsid w:val="00542F77"/>
    <w:rsid w:val="00543534"/>
    <w:rsid w:val="005437C0"/>
    <w:rsid w:val="00543884"/>
    <w:rsid w:val="00543A63"/>
    <w:rsid w:val="00543E98"/>
    <w:rsid w:val="00544337"/>
    <w:rsid w:val="005447FF"/>
    <w:rsid w:val="005448B7"/>
    <w:rsid w:val="00544937"/>
    <w:rsid w:val="005453E9"/>
    <w:rsid w:val="005455A6"/>
    <w:rsid w:val="00545617"/>
    <w:rsid w:val="00545D38"/>
    <w:rsid w:val="0054778C"/>
    <w:rsid w:val="00547892"/>
    <w:rsid w:val="00547B3F"/>
    <w:rsid w:val="00550899"/>
    <w:rsid w:val="00550C72"/>
    <w:rsid w:val="00550FAA"/>
    <w:rsid w:val="00551623"/>
    <w:rsid w:val="00551985"/>
    <w:rsid w:val="00552194"/>
    <w:rsid w:val="00552BD3"/>
    <w:rsid w:val="005540C0"/>
    <w:rsid w:val="00554D44"/>
    <w:rsid w:val="00555109"/>
    <w:rsid w:val="00555181"/>
    <w:rsid w:val="0055541E"/>
    <w:rsid w:val="0055694C"/>
    <w:rsid w:val="00557158"/>
    <w:rsid w:val="00557A15"/>
    <w:rsid w:val="00557F4F"/>
    <w:rsid w:val="00560FE3"/>
    <w:rsid w:val="00562113"/>
    <w:rsid w:val="00562314"/>
    <w:rsid w:val="00563171"/>
    <w:rsid w:val="00563DDC"/>
    <w:rsid w:val="00563EA1"/>
    <w:rsid w:val="005649F9"/>
    <w:rsid w:val="005659BD"/>
    <w:rsid w:val="00566408"/>
    <w:rsid w:val="0056696F"/>
    <w:rsid w:val="00566EBA"/>
    <w:rsid w:val="00567139"/>
    <w:rsid w:val="0056784B"/>
    <w:rsid w:val="005679FF"/>
    <w:rsid w:val="00570595"/>
    <w:rsid w:val="0057090A"/>
    <w:rsid w:val="005713B1"/>
    <w:rsid w:val="00572269"/>
    <w:rsid w:val="0057244A"/>
    <w:rsid w:val="00573B02"/>
    <w:rsid w:val="00575B8A"/>
    <w:rsid w:val="00575D8D"/>
    <w:rsid w:val="00576972"/>
    <w:rsid w:val="00577480"/>
    <w:rsid w:val="0058016E"/>
    <w:rsid w:val="005803A7"/>
    <w:rsid w:val="0058115F"/>
    <w:rsid w:val="0058140E"/>
    <w:rsid w:val="005833FA"/>
    <w:rsid w:val="00583699"/>
    <w:rsid w:val="00583F2D"/>
    <w:rsid w:val="005846EB"/>
    <w:rsid w:val="00585972"/>
    <w:rsid w:val="00585BEE"/>
    <w:rsid w:val="00585C3E"/>
    <w:rsid w:val="00585CDD"/>
    <w:rsid w:val="00585ED1"/>
    <w:rsid w:val="00587058"/>
    <w:rsid w:val="00587938"/>
    <w:rsid w:val="005907A2"/>
    <w:rsid w:val="00590E15"/>
    <w:rsid w:val="00591461"/>
    <w:rsid w:val="00591957"/>
    <w:rsid w:val="00591AB4"/>
    <w:rsid w:val="00591F49"/>
    <w:rsid w:val="005920EA"/>
    <w:rsid w:val="0059213C"/>
    <w:rsid w:val="00592278"/>
    <w:rsid w:val="005945D0"/>
    <w:rsid w:val="005947AA"/>
    <w:rsid w:val="0059509B"/>
    <w:rsid w:val="00595394"/>
    <w:rsid w:val="00595B77"/>
    <w:rsid w:val="00596E20"/>
    <w:rsid w:val="00597BF9"/>
    <w:rsid w:val="005A02C7"/>
    <w:rsid w:val="005A07F3"/>
    <w:rsid w:val="005A1BBF"/>
    <w:rsid w:val="005A373D"/>
    <w:rsid w:val="005A42DF"/>
    <w:rsid w:val="005A4691"/>
    <w:rsid w:val="005A46EE"/>
    <w:rsid w:val="005A492F"/>
    <w:rsid w:val="005A502A"/>
    <w:rsid w:val="005A5130"/>
    <w:rsid w:val="005A54DB"/>
    <w:rsid w:val="005A6642"/>
    <w:rsid w:val="005A6A20"/>
    <w:rsid w:val="005A6F87"/>
    <w:rsid w:val="005A74AC"/>
    <w:rsid w:val="005A7EAD"/>
    <w:rsid w:val="005B0069"/>
    <w:rsid w:val="005B11FB"/>
    <w:rsid w:val="005B1269"/>
    <w:rsid w:val="005B1B3B"/>
    <w:rsid w:val="005B29C8"/>
    <w:rsid w:val="005B2F6B"/>
    <w:rsid w:val="005B40AC"/>
    <w:rsid w:val="005B41EB"/>
    <w:rsid w:val="005B51CC"/>
    <w:rsid w:val="005B53D9"/>
    <w:rsid w:val="005B5857"/>
    <w:rsid w:val="005B59DC"/>
    <w:rsid w:val="005B5B4D"/>
    <w:rsid w:val="005B6AED"/>
    <w:rsid w:val="005B6C77"/>
    <w:rsid w:val="005B7498"/>
    <w:rsid w:val="005B7799"/>
    <w:rsid w:val="005B7F66"/>
    <w:rsid w:val="005C0530"/>
    <w:rsid w:val="005C0606"/>
    <w:rsid w:val="005C0C02"/>
    <w:rsid w:val="005C0C4A"/>
    <w:rsid w:val="005C1050"/>
    <w:rsid w:val="005C1B83"/>
    <w:rsid w:val="005C1C42"/>
    <w:rsid w:val="005C1D31"/>
    <w:rsid w:val="005C2307"/>
    <w:rsid w:val="005C2AFD"/>
    <w:rsid w:val="005C2D55"/>
    <w:rsid w:val="005C346B"/>
    <w:rsid w:val="005C4DB9"/>
    <w:rsid w:val="005C59C0"/>
    <w:rsid w:val="005C6715"/>
    <w:rsid w:val="005C6A66"/>
    <w:rsid w:val="005C7E00"/>
    <w:rsid w:val="005D044D"/>
    <w:rsid w:val="005D0ABD"/>
    <w:rsid w:val="005D154B"/>
    <w:rsid w:val="005D18AD"/>
    <w:rsid w:val="005D26B4"/>
    <w:rsid w:val="005D2CF5"/>
    <w:rsid w:val="005D2D1F"/>
    <w:rsid w:val="005D2F28"/>
    <w:rsid w:val="005D2F2B"/>
    <w:rsid w:val="005D62B5"/>
    <w:rsid w:val="005D68AF"/>
    <w:rsid w:val="005D6B64"/>
    <w:rsid w:val="005E021C"/>
    <w:rsid w:val="005E22C4"/>
    <w:rsid w:val="005E24F3"/>
    <w:rsid w:val="005E28EA"/>
    <w:rsid w:val="005E2AF5"/>
    <w:rsid w:val="005E2BBA"/>
    <w:rsid w:val="005E2F1D"/>
    <w:rsid w:val="005E3F61"/>
    <w:rsid w:val="005E49E2"/>
    <w:rsid w:val="005E5751"/>
    <w:rsid w:val="005E581C"/>
    <w:rsid w:val="005E5886"/>
    <w:rsid w:val="005E5CA6"/>
    <w:rsid w:val="005E677F"/>
    <w:rsid w:val="005E6CBC"/>
    <w:rsid w:val="005E70B6"/>
    <w:rsid w:val="005E73C0"/>
    <w:rsid w:val="005E781F"/>
    <w:rsid w:val="005E7E77"/>
    <w:rsid w:val="005E7EF2"/>
    <w:rsid w:val="005F048B"/>
    <w:rsid w:val="005F0C2D"/>
    <w:rsid w:val="005F0F9C"/>
    <w:rsid w:val="005F1929"/>
    <w:rsid w:val="005F232B"/>
    <w:rsid w:val="005F2706"/>
    <w:rsid w:val="005F3A53"/>
    <w:rsid w:val="005F3E59"/>
    <w:rsid w:val="005F415F"/>
    <w:rsid w:val="005F4F92"/>
    <w:rsid w:val="005F5207"/>
    <w:rsid w:val="005F55F6"/>
    <w:rsid w:val="005F5A27"/>
    <w:rsid w:val="005F66C4"/>
    <w:rsid w:val="005F6A8F"/>
    <w:rsid w:val="005F6D8B"/>
    <w:rsid w:val="005F74CD"/>
    <w:rsid w:val="005F7809"/>
    <w:rsid w:val="006014CD"/>
    <w:rsid w:val="006018C0"/>
    <w:rsid w:val="006023FB"/>
    <w:rsid w:val="00602A8E"/>
    <w:rsid w:val="00602B3B"/>
    <w:rsid w:val="00602B71"/>
    <w:rsid w:val="00602F55"/>
    <w:rsid w:val="00603DB9"/>
    <w:rsid w:val="0060455F"/>
    <w:rsid w:val="006049AC"/>
    <w:rsid w:val="006049D5"/>
    <w:rsid w:val="00604A74"/>
    <w:rsid w:val="00604C76"/>
    <w:rsid w:val="00604F18"/>
    <w:rsid w:val="006050DF"/>
    <w:rsid w:val="00605B5C"/>
    <w:rsid w:val="00605C6A"/>
    <w:rsid w:val="00607295"/>
    <w:rsid w:val="00607669"/>
    <w:rsid w:val="00607AFD"/>
    <w:rsid w:val="00607F97"/>
    <w:rsid w:val="006116D1"/>
    <w:rsid w:val="00611C27"/>
    <w:rsid w:val="00611D60"/>
    <w:rsid w:val="00612218"/>
    <w:rsid w:val="00612A0F"/>
    <w:rsid w:val="00612C18"/>
    <w:rsid w:val="00612F97"/>
    <w:rsid w:val="0061345D"/>
    <w:rsid w:val="00613D69"/>
    <w:rsid w:val="00614994"/>
    <w:rsid w:val="00614BB6"/>
    <w:rsid w:val="00614F77"/>
    <w:rsid w:val="0061538C"/>
    <w:rsid w:val="00615BAE"/>
    <w:rsid w:val="00615DEA"/>
    <w:rsid w:val="00616802"/>
    <w:rsid w:val="00616CD1"/>
    <w:rsid w:val="00616F35"/>
    <w:rsid w:val="00617CEE"/>
    <w:rsid w:val="00617DFF"/>
    <w:rsid w:val="00617E12"/>
    <w:rsid w:val="0062056A"/>
    <w:rsid w:val="00621477"/>
    <w:rsid w:val="0062184F"/>
    <w:rsid w:val="00621CD4"/>
    <w:rsid w:val="0062203F"/>
    <w:rsid w:val="006231A4"/>
    <w:rsid w:val="006235AB"/>
    <w:rsid w:val="00624DC2"/>
    <w:rsid w:val="006250DE"/>
    <w:rsid w:val="006252B3"/>
    <w:rsid w:val="006274FA"/>
    <w:rsid w:val="00627592"/>
    <w:rsid w:val="00630433"/>
    <w:rsid w:val="0063158F"/>
    <w:rsid w:val="0063187B"/>
    <w:rsid w:val="00631D6B"/>
    <w:rsid w:val="0063289C"/>
    <w:rsid w:val="00632AC3"/>
    <w:rsid w:val="00632AE1"/>
    <w:rsid w:val="00632BB3"/>
    <w:rsid w:val="00632C48"/>
    <w:rsid w:val="006330A1"/>
    <w:rsid w:val="00633603"/>
    <w:rsid w:val="00633F2D"/>
    <w:rsid w:val="0063474B"/>
    <w:rsid w:val="0063479F"/>
    <w:rsid w:val="006347AD"/>
    <w:rsid w:val="00634A79"/>
    <w:rsid w:val="00634F3B"/>
    <w:rsid w:val="00635184"/>
    <w:rsid w:val="006353F0"/>
    <w:rsid w:val="006364A1"/>
    <w:rsid w:val="00636DF2"/>
    <w:rsid w:val="00637609"/>
    <w:rsid w:val="00637B3A"/>
    <w:rsid w:val="00637BFD"/>
    <w:rsid w:val="00637F68"/>
    <w:rsid w:val="00637F98"/>
    <w:rsid w:val="00640588"/>
    <w:rsid w:val="00640631"/>
    <w:rsid w:val="00641C4E"/>
    <w:rsid w:val="006422F8"/>
    <w:rsid w:val="006425EB"/>
    <w:rsid w:val="00642959"/>
    <w:rsid w:val="00642FE1"/>
    <w:rsid w:val="006433E2"/>
    <w:rsid w:val="006435BE"/>
    <w:rsid w:val="006438B7"/>
    <w:rsid w:val="00643C52"/>
    <w:rsid w:val="00643DDE"/>
    <w:rsid w:val="0064410A"/>
    <w:rsid w:val="006459D1"/>
    <w:rsid w:val="00645E4C"/>
    <w:rsid w:val="00645F8B"/>
    <w:rsid w:val="006471CC"/>
    <w:rsid w:val="00647526"/>
    <w:rsid w:val="00647E3E"/>
    <w:rsid w:val="0065037B"/>
    <w:rsid w:val="0065079F"/>
    <w:rsid w:val="00650A02"/>
    <w:rsid w:val="00650FDA"/>
    <w:rsid w:val="006512AE"/>
    <w:rsid w:val="00651336"/>
    <w:rsid w:val="00651730"/>
    <w:rsid w:val="006528DE"/>
    <w:rsid w:val="00653085"/>
    <w:rsid w:val="0065379F"/>
    <w:rsid w:val="00653B76"/>
    <w:rsid w:val="00653CEA"/>
    <w:rsid w:val="0065498D"/>
    <w:rsid w:val="00655E01"/>
    <w:rsid w:val="00656414"/>
    <w:rsid w:val="00656DA0"/>
    <w:rsid w:val="006573C2"/>
    <w:rsid w:val="0065761A"/>
    <w:rsid w:val="00660075"/>
    <w:rsid w:val="00660143"/>
    <w:rsid w:val="0066016B"/>
    <w:rsid w:val="00660CAD"/>
    <w:rsid w:val="00660F12"/>
    <w:rsid w:val="00661409"/>
    <w:rsid w:val="00661C6B"/>
    <w:rsid w:val="00661CE0"/>
    <w:rsid w:val="0066212D"/>
    <w:rsid w:val="0066222D"/>
    <w:rsid w:val="006629EF"/>
    <w:rsid w:val="00664327"/>
    <w:rsid w:val="00665BAD"/>
    <w:rsid w:val="00666AB9"/>
    <w:rsid w:val="00667649"/>
    <w:rsid w:val="0066774D"/>
    <w:rsid w:val="006679A9"/>
    <w:rsid w:val="00667BD0"/>
    <w:rsid w:val="00667BF7"/>
    <w:rsid w:val="00667DB4"/>
    <w:rsid w:val="006735C5"/>
    <w:rsid w:val="0067453F"/>
    <w:rsid w:val="00674984"/>
    <w:rsid w:val="00674E42"/>
    <w:rsid w:val="00674FE9"/>
    <w:rsid w:val="00675AF9"/>
    <w:rsid w:val="00675C7B"/>
    <w:rsid w:val="00675E61"/>
    <w:rsid w:val="00675F57"/>
    <w:rsid w:val="0067644A"/>
    <w:rsid w:val="00676F98"/>
    <w:rsid w:val="00677624"/>
    <w:rsid w:val="006803B0"/>
    <w:rsid w:val="00680AD0"/>
    <w:rsid w:val="006816A8"/>
    <w:rsid w:val="00682112"/>
    <w:rsid w:val="00682606"/>
    <w:rsid w:val="00682A77"/>
    <w:rsid w:val="00683739"/>
    <w:rsid w:val="00683A48"/>
    <w:rsid w:val="00684680"/>
    <w:rsid w:val="0068516C"/>
    <w:rsid w:val="00685717"/>
    <w:rsid w:val="0068609F"/>
    <w:rsid w:val="00686957"/>
    <w:rsid w:val="006872BA"/>
    <w:rsid w:val="0068763C"/>
    <w:rsid w:val="00687A6A"/>
    <w:rsid w:val="0069061F"/>
    <w:rsid w:val="00690739"/>
    <w:rsid w:val="00690766"/>
    <w:rsid w:val="00691172"/>
    <w:rsid w:val="00691648"/>
    <w:rsid w:val="006917D7"/>
    <w:rsid w:val="00691A53"/>
    <w:rsid w:val="00691D88"/>
    <w:rsid w:val="006922CB"/>
    <w:rsid w:val="00692545"/>
    <w:rsid w:val="0069269F"/>
    <w:rsid w:val="00692980"/>
    <w:rsid w:val="00692D59"/>
    <w:rsid w:val="00692FB9"/>
    <w:rsid w:val="006939F6"/>
    <w:rsid w:val="00694F44"/>
    <w:rsid w:val="00696437"/>
    <w:rsid w:val="00696E75"/>
    <w:rsid w:val="006978B6"/>
    <w:rsid w:val="006979ED"/>
    <w:rsid w:val="00697B8D"/>
    <w:rsid w:val="006A0241"/>
    <w:rsid w:val="006A0468"/>
    <w:rsid w:val="006A0744"/>
    <w:rsid w:val="006A26E2"/>
    <w:rsid w:val="006A27C5"/>
    <w:rsid w:val="006A53E5"/>
    <w:rsid w:val="006A5D51"/>
    <w:rsid w:val="006A5D5E"/>
    <w:rsid w:val="006A67A7"/>
    <w:rsid w:val="006A67CA"/>
    <w:rsid w:val="006A6EC4"/>
    <w:rsid w:val="006A7686"/>
    <w:rsid w:val="006A7E5F"/>
    <w:rsid w:val="006B0614"/>
    <w:rsid w:val="006B0CFA"/>
    <w:rsid w:val="006B16AA"/>
    <w:rsid w:val="006B184B"/>
    <w:rsid w:val="006B2302"/>
    <w:rsid w:val="006B24B6"/>
    <w:rsid w:val="006B261B"/>
    <w:rsid w:val="006B26BA"/>
    <w:rsid w:val="006B2B95"/>
    <w:rsid w:val="006B2C90"/>
    <w:rsid w:val="006B3006"/>
    <w:rsid w:val="006B359E"/>
    <w:rsid w:val="006B3614"/>
    <w:rsid w:val="006B4719"/>
    <w:rsid w:val="006B5053"/>
    <w:rsid w:val="006B5725"/>
    <w:rsid w:val="006B5AAD"/>
    <w:rsid w:val="006B5B23"/>
    <w:rsid w:val="006B5CDB"/>
    <w:rsid w:val="006B5F88"/>
    <w:rsid w:val="006B6200"/>
    <w:rsid w:val="006B6472"/>
    <w:rsid w:val="006B6C50"/>
    <w:rsid w:val="006B6DD0"/>
    <w:rsid w:val="006B70A6"/>
    <w:rsid w:val="006B7461"/>
    <w:rsid w:val="006C07DD"/>
    <w:rsid w:val="006C0DAF"/>
    <w:rsid w:val="006C12FC"/>
    <w:rsid w:val="006C1DBB"/>
    <w:rsid w:val="006C1FCC"/>
    <w:rsid w:val="006C27A0"/>
    <w:rsid w:val="006C2A8E"/>
    <w:rsid w:val="006C2F14"/>
    <w:rsid w:val="006C30C0"/>
    <w:rsid w:val="006C33CD"/>
    <w:rsid w:val="006C3C78"/>
    <w:rsid w:val="006C430D"/>
    <w:rsid w:val="006C454C"/>
    <w:rsid w:val="006C4570"/>
    <w:rsid w:val="006C4AD5"/>
    <w:rsid w:val="006C51E7"/>
    <w:rsid w:val="006C5874"/>
    <w:rsid w:val="006C5B30"/>
    <w:rsid w:val="006C649C"/>
    <w:rsid w:val="006C686E"/>
    <w:rsid w:val="006C6AF1"/>
    <w:rsid w:val="006C748D"/>
    <w:rsid w:val="006C7974"/>
    <w:rsid w:val="006D0267"/>
    <w:rsid w:val="006D1103"/>
    <w:rsid w:val="006D239A"/>
    <w:rsid w:val="006D30A3"/>
    <w:rsid w:val="006D3475"/>
    <w:rsid w:val="006D3C77"/>
    <w:rsid w:val="006D3C7D"/>
    <w:rsid w:val="006D575A"/>
    <w:rsid w:val="006D5D5F"/>
    <w:rsid w:val="006D5F15"/>
    <w:rsid w:val="006D5F66"/>
    <w:rsid w:val="006D6143"/>
    <w:rsid w:val="006D766D"/>
    <w:rsid w:val="006D77CF"/>
    <w:rsid w:val="006D7FC4"/>
    <w:rsid w:val="006E0002"/>
    <w:rsid w:val="006E0451"/>
    <w:rsid w:val="006E0482"/>
    <w:rsid w:val="006E051A"/>
    <w:rsid w:val="006E06EF"/>
    <w:rsid w:val="006E0C02"/>
    <w:rsid w:val="006E1154"/>
    <w:rsid w:val="006E1CD1"/>
    <w:rsid w:val="006E22AD"/>
    <w:rsid w:val="006E27E7"/>
    <w:rsid w:val="006E2BD8"/>
    <w:rsid w:val="006E2EC1"/>
    <w:rsid w:val="006E327E"/>
    <w:rsid w:val="006E39CA"/>
    <w:rsid w:val="006E6713"/>
    <w:rsid w:val="006E67AC"/>
    <w:rsid w:val="006E6A26"/>
    <w:rsid w:val="006E6C22"/>
    <w:rsid w:val="006E7DE8"/>
    <w:rsid w:val="006F0638"/>
    <w:rsid w:val="006F2038"/>
    <w:rsid w:val="006F306C"/>
    <w:rsid w:val="006F3B13"/>
    <w:rsid w:val="006F3C83"/>
    <w:rsid w:val="006F3EAF"/>
    <w:rsid w:val="006F45A8"/>
    <w:rsid w:val="006F46E8"/>
    <w:rsid w:val="006F481C"/>
    <w:rsid w:val="006F5427"/>
    <w:rsid w:val="006F614E"/>
    <w:rsid w:val="006F6178"/>
    <w:rsid w:val="006F63A5"/>
    <w:rsid w:val="006F7C45"/>
    <w:rsid w:val="006F7C72"/>
    <w:rsid w:val="00700198"/>
    <w:rsid w:val="00700896"/>
    <w:rsid w:val="00700A18"/>
    <w:rsid w:val="00700CFE"/>
    <w:rsid w:val="0070142B"/>
    <w:rsid w:val="007014DB"/>
    <w:rsid w:val="00701536"/>
    <w:rsid w:val="007020DD"/>
    <w:rsid w:val="0070276E"/>
    <w:rsid w:val="00702937"/>
    <w:rsid w:val="00702A7D"/>
    <w:rsid w:val="00702F8F"/>
    <w:rsid w:val="00703D19"/>
    <w:rsid w:val="0070423B"/>
    <w:rsid w:val="007048EF"/>
    <w:rsid w:val="00704908"/>
    <w:rsid w:val="00704992"/>
    <w:rsid w:val="007056FD"/>
    <w:rsid w:val="00705F93"/>
    <w:rsid w:val="0070716A"/>
    <w:rsid w:val="00707A26"/>
    <w:rsid w:val="00707A34"/>
    <w:rsid w:val="00707A91"/>
    <w:rsid w:val="007107D5"/>
    <w:rsid w:val="00711A36"/>
    <w:rsid w:val="00711BE6"/>
    <w:rsid w:val="00711F83"/>
    <w:rsid w:val="007126A4"/>
    <w:rsid w:val="0071295E"/>
    <w:rsid w:val="00712975"/>
    <w:rsid w:val="00712C2C"/>
    <w:rsid w:val="0071356E"/>
    <w:rsid w:val="00713616"/>
    <w:rsid w:val="00713F20"/>
    <w:rsid w:val="0071446C"/>
    <w:rsid w:val="007145FE"/>
    <w:rsid w:val="007146B8"/>
    <w:rsid w:val="0071529C"/>
    <w:rsid w:val="00715695"/>
    <w:rsid w:val="00715855"/>
    <w:rsid w:val="007165C5"/>
    <w:rsid w:val="00716740"/>
    <w:rsid w:val="007172AD"/>
    <w:rsid w:val="00717689"/>
    <w:rsid w:val="0072066F"/>
    <w:rsid w:val="00720CA1"/>
    <w:rsid w:val="00721473"/>
    <w:rsid w:val="007215AA"/>
    <w:rsid w:val="00722B1B"/>
    <w:rsid w:val="00723DAC"/>
    <w:rsid w:val="0072416F"/>
    <w:rsid w:val="00724661"/>
    <w:rsid w:val="00724B62"/>
    <w:rsid w:val="00726880"/>
    <w:rsid w:val="007270CC"/>
    <w:rsid w:val="00727253"/>
    <w:rsid w:val="00727C94"/>
    <w:rsid w:val="00727CA4"/>
    <w:rsid w:val="0073011A"/>
    <w:rsid w:val="00730371"/>
    <w:rsid w:val="00730906"/>
    <w:rsid w:val="00731460"/>
    <w:rsid w:val="00731D0F"/>
    <w:rsid w:val="00731DC0"/>
    <w:rsid w:val="00731EAE"/>
    <w:rsid w:val="00731F18"/>
    <w:rsid w:val="007327A2"/>
    <w:rsid w:val="007337AF"/>
    <w:rsid w:val="00733E1B"/>
    <w:rsid w:val="0073480F"/>
    <w:rsid w:val="00735033"/>
    <w:rsid w:val="00735328"/>
    <w:rsid w:val="00735544"/>
    <w:rsid w:val="00735AD6"/>
    <w:rsid w:val="0073685B"/>
    <w:rsid w:val="00736B02"/>
    <w:rsid w:val="0073708B"/>
    <w:rsid w:val="007374AF"/>
    <w:rsid w:val="007412C2"/>
    <w:rsid w:val="0074222A"/>
    <w:rsid w:val="00742F01"/>
    <w:rsid w:val="007430E5"/>
    <w:rsid w:val="00743A28"/>
    <w:rsid w:val="007442AE"/>
    <w:rsid w:val="00745152"/>
    <w:rsid w:val="00745841"/>
    <w:rsid w:val="00746197"/>
    <w:rsid w:val="00746833"/>
    <w:rsid w:val="007475AC"/>
    <w:rsid w:val="007477FB"/>
    <w:rsid w:val="00747D8F"/>
    <w:rsid w:val="0075069B"/>
    <w:rsid w:val="00751EE0"/>
    <w:rsid w:val="00752142"/>
    <w:rsid w:val="007523F9"/>
    <w:rsid w:val="00752EF3"/>
    <w:rsid w:val="007531BC"/>
    <w:rsid w:val="00753D5C"/>
    <w:rsid w:val="00753DBB"/>
    <w:rsid w:val="00754031"/>
    <w:rsid w:val="00754544"/>
    <w:rsid w:val="00754D40"/>
    <w:rsid w:val="00754F08"/>
    <w:rsid w:val="00756722"/>
    <w:rsid w:val="00756A03"/>
    <w:rsid w:val="007573E8"/>
    <w:rsid w:val="007577F4"/>
    <w:rsid w:val="00760003"/>
    <w:rsid w:val="00760B5D"/>
    <w:rsid w:val="00760C4E"/>
    <w:rsid w:val="00760D30"/>
    <w:rsid w:val="0076112D"/>
    <w:rsid w:val="00761426"/>
    <w:rsid w:val="007617B1"/>
    <w:rsid w:val="00762B95"/>
    <w:rsid w:val="007634A1"/>
    <w:rsid w:val="0076418C"/>
    <w:rsid w:val="00765197"/>
    <w:rsid w:val="00765B1A"/>
    <w:rsid w:val="00766087"/>
    <w:rsid w:val="00767C6C"/>
    <w:rsid w:val="00770EB4"/>
    <w:rsid w:val="007728F4"/>
    <w:rsid w:val="00772B26"/>
    <w:rsid w:val="00772E4B"/>
    <w:rsid w:val="00773BD2"/>
    <w:rsid w:val="00774E53"/>
    <w:rsid w:val="00777C6B"/>
    <w:rsid w:val="00777D96"/>
    <w:rsid w:val="00777E63"/>
    <w:rsid w:val="00780EE8"/>
    <w:rsid w:val="00781D0F"/>
    <w:rsid w:val="00782141"/>
    <w:rsid w:val="00782917"/>
    <w:rsid w:val="00782FAE"/>
    <w:rsid w:val="00783068"/>
    <w:rsid w:val="0078346E"/>
    <w:rsid w:val="007843F2"/>
    <w:rsid w:val="0078481E"/>
    <w:rsid w:val="00785043"/>
    <w:rsid w:val="00785BC5"/>
    <w:rsid w:val="00786924"/>
    <w:rsid w:val="007869F9"/>
    <w:rsid w:val="00786EB5"/>
    <w:rsid w:val="0078709E"/>
    <w:rsid w:val="007870B0"/>
    <w:rsid w:val="0078773A"/>
    <w:rsid w:val="00792068"/>
    <w:rsid w:val="0079275B"/>
    <w:rsid w:val="00792DD9"/>
    <w:rsid w:val="00795244"/>
    <w:rsid w:val="00795C22"/>
    <w:rsid w:val="0079715E"/>
    <w:rsid w:val="007A08EB"/>
    <w:rsid w:val="007A0A12"/>
    <w:rsid w:val="007A132D"/>
    <w:rsid w:val="007A35ED"/>
    <w:rsid w:val="007A3643"/>
    <w:rsid w:val="007A4C9F"/>
    <w:rsid w:val="007A5A38"/>
    <w:rsid w:val="007A64D1"/>
    <w:rsid w:val="007A7E6F"/>
    <w:rsid w:val="007B056E"/>
    <w:rsid w:val="007B05FB"/>
    <w:rsid w:val="007B0D68"/>
    <w:rsid w:val="007B117D"/>
    <w:rsid w:val="007B1693"/>
    <w:rsid w:val="007B1916"/>
    <w:rsid w:val="007B1D88"/>
    <w:rsid w:val="007B251D"/>
    <w:rsid w:val="007B2CC4"/>
    <w:rsid w:val="007B2D92"/>
    <w:rsid w:val="007B4084"/>
    <w:rsid w:val="007B408E"/>
    <w:rsid w:val="007B42D8"/>
    <w:rsid w:val="007B4789"/>
    <w:rsid w:val="007B4A66"/>
    <w:rsid w:val="007B4B85"/>
    <w:rsid w:val="007B4BE6"/>
    <w:rsid w:val="007B4F58"/>
    <w:rsid w:val="007B4F9E"/>
    <w:rsid w:val="007B528D"/>
    <w:rsid w:val="007B57F9"/>
    <w:rsid w:val="007B5E51"/>
    <w:rsid w:val="007B6451"/>
    <w:rsid w:val="007B68D3"/>
    <w:rsid w:val="007B77D1"/>
    <w:rsid w:val="007C0615"/>
    <w:rsid w:val="007C0678"/>
    <w:rsid w:val="007C0DF8"/>
    <w:rsid w:val="007C1A3D"/>
    <w:rsid w:val="007C1B40"/>
    <w:rsid w:val="007C1CD9"/>
    <w:rsid w:val="007C2460"/>
    <w:rsid w:val="007C2D76"/>
    <w:rsid w:val="007C361D"/>
    <w:rsid w:val="007C3ED4"/>
    <w:rsid w:val="007C4B84"/>
    <w:rsid w:val="007C5712"/>
    <w:rsid w:val="007C5F63"/>
    <w:rsid w:val="007C5FDF"/>
    <w:rsid w:val="007C639C"/>
    <w:rsid w:val="007C6B57"/>
    <w:rsid w:val="007C7134"/>
    <w:rsid w:val="007D004F"/>
    <w:rsid w:val="007D0B38"/>
    <w:rsid w:val="007D0CBD"/>
    <w:rsid w:val="007D16CC"/>
    <w:rsid w:val="007D170A"/>
    <w:rsid w:val="007D1CDC"/>
    <w:rsid w:val="007D2BFA"/>
    <w:rsid w:val="007D3391"/>
    <w:rsid w:val="007D3405"/>
    <w:rsid w:val="007D3721"/>
    <w:rsid w:val="007D5440"/>
    <w:rsid w:val="007D5EE4"/>
    <w:rsid w:val="007D61B1"/>
    <w:rsid w:val="007D7685"/>
    <w:rsid w:val="007E02ED"/>
    <w:rsid w:val="007E0739"/>
    <w:rsid w:val="007E0E80"/>
    <w:rsid w:val="007E1155"/>
    <w:rsid w:val="007E15FB"/>
    <w:rsid w:val="007E1C74"/>
    <w:rsid w:val="007E2089"/>
    <w:rsid w:val="007E28AA"/>
    <w:rsid w:val="007E41A8"/>
    <w:rsid w:val="007E48B3"/>
    <w:rsid w:val="007E5456"/>
    <w:rsid w:val="007E5B9C"/>
    <w:rsid w:val="007E6E90"/>
    <w:rsid w:val="007E76D9"/>
    <w:rsid w:val="007F1017"/>
    <w:rsid w:val="007F1C53"/>
    <w:rsid w:val="007F29E7"/>
    <w:rsid w:val="007F2D3B"/>
    <w:rsid w:val="007F2F59"/>
    <w:rsid w:val="007F4059"/>
    <w:rsid w:val="007F48DC"/>
    <w:rsid w:val="007F491F"/>
    <w:rsid w:val="007F4A3F"/>
    <w:rsid w:val="007F4A61"/>
    <w:rsid w:val="007F51EC"/>
    <w:rsid w:val="007F5D23"/>
    <w:rsid w:val="007F5DE9"/>
    <w:rsid w:val="007F61C2"/>
    <w:rsid w:val="007F6465"/>
    <w:rsid w:val="007F6684"/>
    <w:rsid w:val="007F69E6"/>
    <w:rsid w:val="007F7970"/>
    <w:rsid w:val="007F7DE5"/>
    <w:rsid w:val="00800D4B"/>
    <w:rsid w:val="00800F66"/>
    <w:rsid w:val="008012D2"/>
    <w:rsid w:val="00801ADA"/>
    <w:rsid w:val="00801E0C"/>
    <w:rsid w:val="008020D8"/>
    <w:rsid w:val="0080327B"/>
    <w:rsid w:val="00804302"/>
    <w:rsid w:val="008043E7"/>
    <w:rsid w:val="00805142"/>
    <w:rsid w:val="00805DB4"/>
    <w:rsid w:val="00805F9C"/>
    <w:rsid w:val="00806FA8"/>
    <w:rsid w:val="008070BB"/>
    <w:rsid w:val="008076A9"/>
    <w:rsid w:val="00807A8B"/>
    <w:rsid w:val="00807C39"/>
    <w:rsid w:val="00807D2C"/>
    <w:rsid w:val="0081057C"/>
    <w:rsid w:val="008105FE"/>
    <w:rsid w:val="00811015"/>
    <w:rsid w:val="00811383"/>
    <w:rsid w:val="008113A9"/>
    <w:rsid w:val="00811FC7"/>
    <w:rsid w:val="00812149"/>
    <w:rsid w:val="0081297B"/>
    <w:rsid w:val="00812CAC"/>
    <w:rsid w:val="00813C5D"/>
    <w:rsid w:val="00814B81"/>
    <w:rsid w:val="008152BF"/>
    <w:rsid w:val="008155B4"/>
    <w:rsid w:val="00815A43"/>
    <w:rsid w:val="00815D46"/>
    <w:rsid w:val="0081612A"/>
    <w:rsid w:val="008166EF"/>
    <w:rsid w:val="00816C21"/>
    <w:rsid w:val="00817AC3"/>
    <w:rsid w:val="00817DB3"/>
    <w:rsid w:val="008204C2"/>
    <w:rsid w:val="008205BA"/>
    <w:rsid w:val="008213AE"/>
    <w:rsid w:val="008219B1"/>
    <w:rsid w:val="00821F10"/>
    <w:rsid w:val="00822620"/>
    <w:rsid w:val="00822E96"/>
    <w:rsid w:val="0082368A"/>
    <w:rsid w:val="00825751"/>
    <w:rsid w:val="00825B1E"/>
    <w:rsid w:val="00825DB8"/>
    <w:rsid w:val="008262EB"/>
    <w:rsid w:val="008264EB"/>
    <w:rsid w:val="00826A1C"/>
    <w:rsid w:val="00826B8E"/>
    <w:rsid w:val="00827B07"/>
    <w:rsid w:val="0083079C"/>
    <w:rsid w:val="008313E9"/>
    <w:rsid w:val="00832015"/>
    <w:rsid w:val="00832442"/>
    <w:rsid w:val="00833B05"/>
    <w:rsid w:val="00833C14"/>
    <w:rsid w:val="00834352"/>
    <w:rsid w:val="00834977"/>
    <w:rsid w:val="00834BE7"/>
    <w:rsid w:val="00835D07"/>
    <w:rsid w:val="008362B4"/>
    <w:rsid w:val="00837270"/>
    <w:rsid w:val="00837628"/>
    <w:rsid w:val="00837780"/>
    <w:rsid w:val="0083790F"/>
    <w:rsid w:val="00837AAF"/>
    <w:rsid w:val="00837B9E"/>
    <w:rsid w:val="008403B0"/>
    <w:rsid w:val="00840473"/>
    <w:rsid w:val="00840812"/>
    <w:rsid w:val="00840CA2"/>
    <w:rsid w:val="0084257B"/>
    <w:rsid w:val="00842664"/>
    <w:rsid w:val="00843297"/>
    <w:rsid w:val="008436EC"/>
    <w:rsid w:val="0084374F"/>
    <w:rsid w:val="00845423"/>
    <w:rsid w:val="00845D44"/>
    <w:rsid w:val="00845D89"/>
    <w:rsid w:val="00846130"/>
    <w:rsid w:val="0084793F"/>
    <w:rsid w:val="00847DF5"/>
    <w:rsid w:val="00851373"/>
    <w:rsid w:val="0085154F"/>
    <w:rsid w:val="0085190C"/>
    <w:rsid w:val="00851E15"/>
    <w:rsid w:val="00852902"/>
    <w:rsid w:val="0085309D"/>
    <w:rsid w:val="008538D8"/>
    <w:rsid w:val="00855BA1"/>
    <w:rsid w:val="00856897"/>
    <w:rsid w:val="00856DE1"/>
    <w:rsid w:val="00856E9A"/>
    <w:rsid w:val="00857484"/>
    <w:rsid w:val="008601EE"/>
    <w:rsid w:val="00860480"/>
    <w:rsid w:val="008604B8"/>
    <w:rsid w:val="0086063E"/>
    <w:rsid w:val="0086075D"/>
    <w:rsid w:val="00861E67"/>
    <w:rsid w:val="00862038"/>
    <w:rsid w:val="00862234"/>
    <w:rsid w:val="00862502"/>
    <w:rsid w:val="00862CFF"/>
    <w:rsid w:val="00863D05"/>
    <w:rsid w:val="00864C66"/>
    <w:rsid w:val="00864CC1"/>
    <w:rsid w:val="008660D4"/>
    <w:rsid w:val="00866700"/>
    <w:rsid w:val="00867EF0"/>
    <w:rsid w:val="00870846"/>
    <w:rsid w:val="00870EF6"/>
    <w:rsid w:val="008714E2"/>
    <w:rsid w:val="00871566"/>
    <w:rsid w:val="00871FA9"/>
    <w:rsid w:val="008728E9"/>
    <w:rsid w:val="008729C1"/>
    <w:rsid w:val="00872A33"/>
    <w:rsid w:val="008734BD"/>
    <w:rsid w:val="00873896"/>
    <w:rsid w:val="008749FE"/>
    <w:rsid w:val="00875234"/>
    <w:rsid w:val="00875948"/>
    <w:rsid w:val="008762F8"/>
    <w:rsid w:val="00877087"/>
    <w:rsid w:val="00877905"/>
    <w:rsid w:val="00880077"/>
    <w:rsid w:val="008823BB"/>
    <w:rsid w:val="00882874"/>
    <w:rsid w:val="00882F6D"/>
    <w:rsid w:val="00883446"/>
    <w:rsid w:val="00883787"/>
    <w:rsid w:val="00883CE1"/>
    <w:rsid w:val="0088549E"/>
    <w:rsid w:val="00885897"/>
    <w:rsid w:val="00885B00"/>
    <w:rsid w:val="00885E70"/>
    <w:rsid w:val="008863B8"/>
    <w:rsid w:val="00886CD2"/>
    <w:rsid w:val="00886CE9"/>
    <w:rsid w:val="008907BE"/>
    <w:rsid w:val="008908BD"/>
    <w:rsid w:val="00892A36"/>
    <w:rsid w:val="00892CD8"/>
    <w:rsid w:val="00892F04"/>
    <w:rsid w:val="00893239"/>
    <w:rsid w:val="008939BD"/>
    <w:rsid w:val="00894257"/>
    <w:rsid w:val="00894489"/>
    <w:rsid w:val="00894E5F"/>
    <w:rsid w:val="0089515F"/>
    <w:rsid w:val="00895233"/>
    <w:rsid w:val="008955E3"/>
    <w:rsid w:val="00895E59"/>
    <w:rsid w:val="008963A5"/>
    <w:rsid w:val="00896412"/>
    <w:rsid w:val="00896E72"/>
    <w:rsid w:val="008971B3"/>
    <w:rsid w:val="008A0F01"/>
    <w:rsid w:val="008A1400"/>
    <w:rsid w:val="008A1F61"/>
    <w:rsid w:val="008A28B2"/>
    <w:rsid w:val="008A2C1C"/>
    <w:rsid w:val="008A3363"/>
    <w:rsid w:val="008A3371"/>
    <w:rsid w:val="008A363D"/>
    <w:rsid w:val="008A3C3E"/>
    <w:rsid w:val="008A3E45"/>
    <w:rsid w:val="008A3E70"/>
    <w:rsid w:val="008A487F"/>
    <w:rsid w:val="008A5F38"/>
    <w:rsid w:val="008A60E5"/>
    <w:rsid w:val="008A61B0"/>
    <w:rsid w:val="008A6817"/>
    <w:rsid w:val="008A6DC6"/>
    <w:rsid w:val="008A70BF"/>
    <w:rsid w:val="008A73BB"/>
    <w:rsid w:val="008A7886"/>
    <w:rsid w:val="008A79DE"/>
    <w:rsid w:val="008A7BEB"/>
    <w:rsid w:val="008B0E24"/>
    <w:rsid w:val="008B120D"/>
    <w:rsid w:val="008B15D5"/>
    <w:rsid w:val="008B1757"/>
    <w:rsid w:val="008B2088"/>
    <w:rsid w:val="008B2E04"/>
    <w:rsid w:val="008B4145"/>
    <w:rsid w:val="008B5131"/>
    <w:rsid w:val="008B51C3"/>
    <w:rsid w:val="008B6BCB"/>
    <w:rsid w:val="008B723B"/>
    <w:rsid w:val="008B7324"/>
    <w:rsid w:val="008B7D7E"/>
    <w:rsid w:val="008C0489"/>
    <w:rsid w:val="008C0A1A"/>
    <w:rsid w:val="008C0DA7"/>
    <w:rsid w:val="008C1D83"/>
    <w:rsid w:val="008C1FCE"/>
    <w:rsid w:val="008C2C83"/>
    <w:rsid w:val="008C2DA7"/>
    <w:rsid w:val="008C3291"/>
    <w:rsid w:val="008C3F76"/>
    <w:rsid w:val="008C4075"/>
    <w:rsid w:val="008C43E9"/>
    <w:rsid w:val="008C4520"/>
    <w:rsid w:val="008C5F6D"/>
    <w:rsid w:val="008C63E9"/>
    <w:rsid w:val="008C684F"/>
    <w:rsid w:val="008C7ECB"/>
    <w:rsid w:val="008D0798"/>
    <w:rsid w:val="008D17AE"/>
    <w:rsid w:val="008D2DF7"/>
    <w:rsid w:val="008D4012"/>
    <w:rsid w:val="008D4755"/>
    <w:rsid w:val="008D4BEF"/>
    <w:rsid w:val="008D4C3D"/>
    <w:rsid w:val="008D5813"/>
    <w:rsid w:val="008D5A46"/>
    <w:rsid w:val="008D5B73"/>
    <w:rsid w:val="008D5CD6"/>
    <w:rsid w:val="008D60A8"/>
    <w:rsid w:val="008D6AAD"/>
    <w:rsid w:val="008D6E4D"/>
    <w:rsid w:val="008E0D3C"/>
    <w:rsid w:val="008E1B9E"/>
    <w:rsid w:val="008E27A3"/>
    <w:rsid w:val="008E32F5"/>
    <w:rsid w:val="008E36FA"/>
    <w:rsid w:val="008E4116"/>
    <w:rsid w:val="008E42D8"/>
    <w:rsid w:val="008E4FAF"/>
    <w:rsid w:val="008E55AB"/>
    <w:rsid w:val="008E5B8A"/>
    <w:rsid w:val="008E611B"/>
    <w:rsid w:val="008E652C"/>
    <w:rsid w:val="008E65E9"/>
    <w:rsid w:val="008E6A6C"/>
    <w:rsid w:val="008E6C88"/>
    <w:rsid w:val="008E6CF0"/>
    <w:rsid w:val="008E6D96"/>
    <w:rsid w:val="008F029D"/>
    <w:rsid w:val="008F0455"/>
    <w:rsid w:val="008F0FF0"/>
    <w:rsid w:val="008F120A"/>
    <w:rsid w:val="008F133A"/>
    <w:rsid w:val="008F1DFB"/>
    <w:rsid w:val="008F27E0"/>
    <w:rsid w:val="008F2B11"/>
    <w:rsid w:val="008F2BAC"/>
    <w:rsid w:val="008F2E77"/>
    <w:rsid w:val="008F3C42"/>
    <w:rsid w:val="008F41C2"/>
    <w:rsid w:val="008F4369"/>
    <w:rsid w:val="008F48EB"/>
    <w:rsid w:val="008F4C64"/>
    <w:rsid w:val="008F4DCE"/>
    <w:rsid w:val="008F4F0B"/>
    <w:rsid w:val="008F501A"/>
    <w:rsid w:val="008F51B5"/>
    <w:rsid w:val="008F65E0"/>
    <w:rsid w:val="008F6625"/>
    <w:rsid w:val="008F6CC9"/>
    <w:rsid w:val="008F6D4B"/>
    <w:rsid w:val="009000AC"/>
    <w:rsid w:val="009006BF"/>
    <w:rsid w:val="00900EBC"/>
    <w:rsid w:val="00901EBC"/>
    <w:rsid w:val="009024B5"/>
    <w:rsid w:val="009027BE"/>
    <w:rsid w:val="009032BB"/>
    <w:rsid w:val="009035B0"/>
    <w:rsid w:val="00903AA1"/>
    <w:rsid w:val="00903F6B"/>
    <w:rsid w:val="009046C4"/>
    <w:rsid w:val="00905A8F"/>
    <w:rsid w:val="009060EB"/>
    <w:rsid w:val="009062A5"/>
    <w:rsid w:val="009068DB"/>
    <w:rsid w:val="00906EA9"/>
    <w:rsid w:val="00906F09"/>
    <w:rsid w:val="0090770A"/>
    <w:rsid w:val="00910808"/>
    <w:rsid w:val="00911272"/>
    <w:rsid w:val="009119C6"/>
    <w:rsid w:val="00911C00"/>
    <w:rsid w:val="00911F25"/>
    <w:rsid w:val="009125E6"/>
    <w:rsid w:val="00912708"/>
    <w:rsid w:val="00912AD1"/>
    <w:rsid w:val="00912D2B"/>
    <w:rsid w:val="00913340"/>
    <w:rsid w:val="009135D6"/>
    <w:rsid w:val="00914980"/>
    <w:rsid w:val="00914C77"/>
    <w:rsid w:val="00914D1D"/>
    <w:rsid w:val="00915598"/>
    <w:rsid w:val="00915699"/>
    <w:rsid w:val="009158C4"/>
    <w:rsid w:val="009164F2"/>
    <w:rsid w:val="009171B6"/>
    <w:rsid w:val="009173F9"/>
    <w:rsid w:val="009175C4"/>
    <w:rsid w:val="009175DA"/>
    <w:rsid w:val="00917699"/>
    <w:rsid w:val="00920099"/>
    <w:rsid w:val="0092032F"/>
    <w:rsid w:val="009204CB"/>
    <w:rsid w:val="00921B00"/>
    <w:rsid w:val="00922746"/>
    <w:rsid w:val="00922755"/>
    <w:rsid w:val="009228D6"/>
    <w:rsid w:val="00922985"/>
    <w:rsid w:val="00922D85"/>
    <w:rsid w:val="0092369B"/>
    <w:rsid w:val="00924CC1"/>
    <w:rsid w:val="00924DA1"/>
    <w:rsid w:val="00924E77"/>
    <w:rsid w:val="0092535D"/>
    <w:rsid w:val="00925F03"/>
    <w:rsid w:val="00926157"/>
    <w:rsid w:val="00926D2B"/>
    <w:rsid w:val="009273EB"/>
    <w:rsid w:val="00927BF9"/>
    <w:rsid w:val="00930F2D"/>
    <w:rsid w:val="0093228F"/>
    <w:rsid w:val="00932BF8"/>
    <w:rsid w:val="009335E7"/>
    <w:rsid w:val="00933DE7"/>
    <w:rsid w:val="00934E1D"/>
    <w:rsid w:val="009357E5"/>
    <w:rsid w:val="00935BF4"/>
    <w:rsid w:val="0093608D"/>
    <w:rsid w:val="00936C20"/>
    <w:rsid w:val="00940447"/>
    <w:rsid w:val="0094074B"/>
    <w:rsid w:val="00941434"/>
    <w:rsid w:val="00941475"/>
    <w:rsid w:val="0094281A"/>
    <w:rsid w:val="00943EEB"/>
    <w:rsid w:val="0094466A"/>
    <w:rsid w:val="009447BC"/>
    <w:rsid w:val="009454D2"/>
    <w:rsid w:val="0094559A"/>
    <w:rsid w:val="0094625F"/>
    <w:rsid w:val="00946CDE"/>
    <w:rsid w:val="00947362"/>
    <w:rsid w:val="00947817"/>
    <w:rsid w:val="009503BF"/>
    <w:rsid w:val="009507E6"/>
    <w:rsid w:val="009510A2"/>
    <w:rsid w:val="009517A7"/>
    <w:rsid w:val="00951A80"/>
    <w:rsid w:val="00951C58"/>
    <w:rsid w:val="00952B04"/>
    <w:rsid w:val="00952BD3"/>
    <w:rsid w:val="0095318F"/>
    <w:rsid w:val="009531DB"/>
    <w:rsid w:val="00953257"/>
    <w:rsid w:val="0095357E"/>
    <w:rsid w:val="009536B3"/>
    <w:rsid w:val="00954CBB"/>
    <w:rsid w:val="00955036"/>
    <w:rsid w:val="009550BE"/>
    <w:rsid w:val="00955B86"/>
    <w:rsid w:val="00955C33"/>
    <w:rsid w:val="00955D18"/>
    <w:rsid w:val="0095691A"/>
    <w:rsid w:val="00956D8E"/>
    <w:rsid w:val="00957026"/>
    <w:rsid w:val="009571BA"/>
    <w:rsid w:val="009606DC"/>
    <w:rsid w:val="009608B9"/>
    <w:rsid w:val="009611DA"/>
    <w:rsid w:val="00961985"/>
    <w:rsid w:val="0096207D"/>
    <w:rsid w:val="00962156"/>
    <w:rsid w:val="00962522"/>
    <w:rsid w:val="00962A4A"/>
    <w:rsid w:val="00962A8C"/>
    <w:rsid w:val="00962C45"/>
    <w:rsid w:val="00962C96"/>
    <w:rsid w:val="00962CB9"/>
    <w:rsid w:val="00963B63"/>
    <w:rsid w:val="00964312"/>
    <w:rsid w:val="009644C2"/>
    <w:rsid w:val="00964646"/>
    <w:rsid w:val="00964B5A"/>
    <w:rsid w:val="00964D80"/>
    <w:rsid w:val="0096506C"/>
    <w:rsid w:val="00965B04"/>
    <w:rsid w:val="00965B8A"/>
    <w:rsid w:val="00965C85"/>
    <w:rsid w:val="0096613C"/>
    <w:rsid w:val="009663EE"/>
    <w:rsid w:val="00967497"/>
    <w:rsid w:val="00967704"/>
    <w:rsid w:val="00967D54"/>
    <w:rsid w:val="00967F99"/>
    <w:rsid w:val="00970CF3"/>
    <w:rsid w:val="009714E9"/>
    <w:rsid w:val="009717AC"/>
    <w:rsid w:val="00972D6A"/>
    <w:rsid w:val="00973162"/>
    <w:rsid w:val="009732D2"/>
    <w:rsid w:val="009733FC"/>
    <w:rsid w:val="009735F3"/>
    <w:rsid w:val="00973E7E"/>
    <w:rsid w:val="009752F5"/>
    <w:rsid w:val="00975B58"/>
    <w:rsid w:val="00975E9D"/>
    <w:rsid w:val="00976250"/>
    <w:rsid w:val="00976C36"/>
    <w:rsid w:val="00977767"/>
    <w:rsid w:val="00981B21"/>
    <w:rsid w:val="00982F2E"/>
    <w:rsid w:val="00983E57"/>
    <w:rsid w:val="009852B8"/>
    <w:rsid w:val="009866D2"/>
    <w:rsid w:val="0098675D"/>
    <w:rsid w:val="00986DAD"/>
    <w:rsid w:val="00986F45"/>
    <w:rsid w:val="009871C5"/>
    <w:rsid w:val="00987A69"/>
    <w:rsid w:val="00987F2A"/>
    <w:rsid w:val="00990D60"/>
    <w:rsid w:val="009923BD"/>
    <w:rsid w:val="00992560"/>
    <w:rsid w:val="00992A42"/>
    <w:rsid w:val="009935F3"/>
    <w:rsid w:val="00995162"/>
    <w:rsid w:val="009955F6"/>
    <w:rsid w:val="0099591F"/>
    <w:rsid w:val="00996357"/>
    <w:rsid w:val="00996383"/>
    <w:rsid w:val="00996B1A"/>
    <w:rsid w:val="00996DC6"/>
    <w:rsid w:val="0099750B"/>
    <w:rsid w:val="00997BAA"/>
    <w:rsid w:val="009A021E"/>
    <w:rsid w:val="009A08D4"/>
    <w:rsid w:val="009A1209"/>
    <w:rsid w:val="009A197B"/>
    <w:rsid w:val="009A2084"/>
    <w:rsid w:val="009A30B6"/>
    <w:rsid w:val="009A33C2"/>
    <w:rsid w:val="009A3486"/>
    <w:rsid w:val="009A3710"/>
    <w:rsid w:val="009A3CC7"/>
    <w:rsid w:val="009A49A7"/>
    <w:rsid w:val="009A5FD1"/>
    <w:rsid w:val="009A6AE9"/>
    <w:rsid w:val="009A7628"/>
    <w:rsid w:val="009A78CB"/>
    <w:rsid w:val="009A7F0B"/>
    <w:rsid w:val="009A7F10"/>
    <w:rsid w:val="009B0218"/>
    <w:rsid w:val="009B0EB9"/>
    <w:rsid w:val="009B1242"/>
    <w:rsid w:val="009B2307"/>
    <w:rsid w:val="009B28A5"/>
    <w:rsid w:val="009B2B68"/>
    <w:rsid w:val="009B2C68"/>
    <w:rsid w:val="009B3716"/>
    <w:rsid w:val="009B3C81"/>
    <w:rsid w:val="009B3E26"/>
    <w:rsid w:val="009B3F9D"/>
    <w:rsid w:val="009B4187"/>
    <w:rsid w:val="009B42EE"/>
    <w:rsid w:val="009B4B53"/>
    <w:rsid w:val="009B50E7"/>
    <w:rsid w:val="009B5704"/>
    <w:rsid w:val="009B5898"/>
    <w:rsid w:val="009B5DBD"/>
    <w:rsid w:val="009B6A49"/>
    <w:rsid w:val="009B73EF"/>
    <w:rsid w:val="009C02AA"/>
    <w:rsid w:val="009C10F3"/>
    <w:rsid w:val="009C1750"/>
    <w:rsid w:val="009C1C0D"/>
    <w:rsid w:val="009C1DCD"/>
    <w:rsid w:val="009C2094"/>
    <w:rsid w:val="009C2642"/>
    <w:rsid w:val="009C26E9"/>
    <w:rsid w:val="009C2C60"/>
    <w:rsid w:val="009C30C6"/>
    <w:rsid w:val="009C41BF"/>
    <w:rsid w:val="009C59F7"/>
    <w:rsid w:val="009C5D03"/>
    <w:rsid w:val="009C6824"/>
    <w:rsid w:val="009C6CEA"/>
    <w:rsid w:val="009C6E1F"/>
    <w:rsid w:val="009C7142"/>
    <w:rsid w:val="009C756A"/>
    <w:rsid w:val="009C7603"/>
    <w:rsid w:val="009C7B85"/>
    <w:rsid w:val="009D0776"/>
    <w:rsid w:val="009D1491"/>
    <w:rsid w:val="009D1528"/>
    <w:rsid w:val="009D2266"/>
    <w:rsid w:val="009D2844"/>
    <w:rsid w:val="009D2939"/>
    <w:rsid w:val="009D2D97"/>
    <w:rsid w:val="009D35B6"/>
    <w:rsid w:val="009D3B61"/>
    <w:rsid w:val="009D44A3"/>
    <w:rsid w:val="009D50AE"/>
    <w:rsid w:val="009D555B"/>
    <w:rsid w:val="009D5839"/>
    <w:rsid w:val="009D5B91"/>
    <w:rsid w:val="009D5DDE"/>
    <w:rsid w:val="009D6016"/>
    <w:rsid w:val="009D727A"/>
    <w:rsid w:val="009D789C"/>
    <w:rsid w:val="009D792E"/>
    <w:rsid w:val="009E0BD4"/>
    <w:rsid w:val="009E0DFE"/>
    <w:rsid w:val="009E11EC"/>
    <w:rsid w:val="009E11FC"/>
    <w:rsid w:val="009E1332"/>
    <w:rsid w:val="009E1632"/>
    <w:rsid w:val="009E17CB"/>
    <w:rsid w:val="009E1B7E"/>
    <w:rsid w:val="009E2E1C"/>
    <w:rsid w:val="009E369F"/>
    <w:rsid w:val="009E44A5"/>
    <w:rsid w:val="009E49B6"/>
    <w:rsid w:val="009E4B7A"/>
    <w:rsid w:val="009E4BB8"/>
    <w:rsid w:val="009E4C07"/>
    <w:rsid w:val="009E4C40"/>
    <w:rsid w:val="009E66C1"/>
    <w:rsid w:val="009E6DCB"/>
    <w:rsid w:val="009E7497"/>
    <w:rsid w:val="009E78E5"/>
    <w:rsid w:val="009E7EE0"/>
    <w:rsid w:val="009F0049"/>
    <w:rsid w:val="009F0A82"/>
    <w:rsid w:val="009F1630"/>
    <w:rsid w:val="009F2080"/>
    <w:rsid w:val="009F279F"/>
    <w:rsid w:val="009F3571"/>
    <w:rsid w:val="009F385E"/>
    <w:rsid w:val="009F3A33"/>
    <w:rsid w:val="009F3C0C"/>
    <w:rsid w:val="009F4394"/>
    <w:rsid w:val="009F4CD8"/>
    <w:rsid w:val="009F66A0"/>
    <w:rsid w:val="009F6DCD"/>
    <w:rsid w:val="009F79E7"/>
    <w:rsid w:val="009F7AB8"/>
    <w:rsid w:val="00A00946"/>
    <w:rsid w:val="00A01184"/>
    <w:rsid w:val="00A012AA"/>
    <w:rsid w:val="00A0161F"/>
    <w:rsid w:val="00A031B4"/>
    <w:rsid w:val="00A0350F"/>
    <w:rsid w:val="00A03C62"/>
    <w:rsid w:val="00A03D43"/>
    <w:rsid w:val="00A04380"/>
    <w:rsid w:val="00A052A8"/>
    <w:rsid w:val="00A05335"/>
    <w:rsid w:val="00A05B9D"/>
    <w:rsid w:val="00A07327"/>
    <w:rsid w:val="00A1000F"/>
    <w:rsid w:val="00A104F0"/>
    <w:rsid w:val="00A115BC"/>
    <w:rsid w:val="00A11CD0"/>
    <w:rsid w:val="00A11F2D"/>
    <w:rsid w:val="00A13645"/>
    <w:rsid w:val="00A13948"/>
    <w:rsid w:val="00A13E17"/>
    <w:rsid w:val="00A14A30"/>
    <w:rsid w:val="00A14C45"/>
    <w:rsid w:val="00A1555B"/>
    <w:rsid w:val="00A155C5"/>
    <w:rsid w:val="00A15A25"/>
    <w:rsid w:val="00A15B31"/>
    <w:rsid w:val="00A1665B"/>
    <w:rsid w:val="00A16AD8"/>
    <w:rsid w:val="00A171DE"/>
    <w:rsid w:val="00A1761E"/>
    <w:rsid w:val="00A17A63"/>
    <w:rsid w:val="00A20289"/>
    <w:rsid w:val="00A2037C"/>
    <w:rsid w:val="00A20425"/>
    <w:rsid w:val="00A21CF3"/>
    <w:rsid w:val="00A21DB5"/>
    <w:rsid w:val="00A2249E"/>
    <w:rsid w:val="00A22D9B"/>
    <w:rsid w:val="00A23957"/>
    <w:rsid w:val="00A23F1C"/>
    <w:rsid w:val="00A247EA"/>
    <w:rsid w:val="00A24A25"/>
    <w:rsid w:val="00A25249"/>
    <w:rsid w:val="00A26406"/>
    <w:rsid w:val="00A26C03"/>
    <w:rsid w:val="00A26DB2"/>
    <w:rsid w:val="00A26FA4"/>
    <w:rsid w:val="00A2706E"/>
    <w:rsid w:val="00A27192"/>
    <w:rsid w:val="00A275DD"/>
    <w:rsid w:val="00A27AEC"/>
    <w:rsid w:val="00A27CEC"/>
    <w:rsid w:val="00A320DB"/>
    <w:rsid w:val="00A3247D"/>
    <w:rsid w:val="00A34DEF"/>
    <w:rsid w:val="00A35579"/>
    <w:rsid w:val="00A3580D"/>
    <w:rsid w:val="00A35ACF"/>
    <w:rsid w:val="00A35D16"/>
    <w:rsid w:val="00A35DD1"/>
    <w:rsid w:val="00A35E08"/>
    <w:rsid w:val="00A36766"/>
    <w:rsid w:val="00A36EF6"/>
    <w:rsid w:val="00A375BF"/>
    <w:rsid w:val="00A37BCD"/>
    <w:rsid w:val="00A4065D"/>
    <w:rsid w:val="00A40A88"/>
    <w:rsid w:val="00A40F1B"/>
    <w:rsid w:val="00A41FB6"/>
    <w:rsid w:val="00A43821"/>
    <w:rsid w:val="00A43A20"/>
    <w:rsid w:val="00A43C59"/>
    <w:rsid w:val="00A44076"/>
    <w:rsid w:val="00A45475"/>
    <w:rsid w:val="00A462FD"/>
    <w:rsid w:val="00A4651D"/>
    <w:rsid w:val="00A46AFD"/>
    <w:rsid w:val="00A46B46"/>
    <w:rsid w:val="00A46CDF"/>
    <w:rsid w:val="00A474F7"/>
    <w:rsid w:val="00A50508"/>
    <w:rsid w:val="00A507F1"/>
    <w:rsid w:val="00A50ECD"/>
    <w:rsid w:val="00A518F3"/>
    <w:rsid w:val="00A5193A"/>
    <w:rsid w:val="00A51CF1"/>
    <w:rsid w:val="00A52729"/>
    <w:rsid w:val="00A52A3E"/>
    <w:rsid w:val="00A53656"/>
    <w:rsid w:val="00A53675"/>
    <w:rsid w:val="00A53E38"/>
    <w:rsid w:val="00A54285"/>
    <w:rsid w:val="00A54815"/>
    <w:rsid w:val="00A5486D"/>
    <w:rsid w:val="00A54A48"/>
    <w:rsid w:val="00A54C6E"/>
    <w:rsid w:val="00A564D7"/>
    <w:rsid w:val="00A56751"/>
    <w:rsid w:val="00A56B6A"/>
    <w:rsid w:val="00A5773F"/>
    <w:rsid w:val="00A578DC"/>
    <w:rsid w:val="00A600DF"/>
    <w:rsid w:val="00A609AA"/>
    <w:rsid w:val="00A60A79"/>
    <w:rsid w:val="00A60D74"/>
    <w:rsid w:val="00A61621"/>
    <w:rsid w:val="00A61702"/>
    <w:rsid w:val="00A623C8"/>
    <w:rsid w:val="00A627B4"/>
    <w:rsid w:val="00A6285F"/>
    <w:rsid w:val="00A628BF"/>
    <w:rsid w:val="00A6300A"/>
    <w:rsid w:val="00A6302F"/>
    <w:rsid w:val="00A63193"/>
    <w:rsid w:val="00A6359C"/>
    <w:rsid w:val="00A635F5"/>
    <w:rsid w:val="00A647CE"/>
    <w:rsid w:val="00A6508D"/>
    <w:rsid w:val="00A67045"/>
    <w:rsid w:val="00A6725B"/>
    <w:rsid w:val="00A67620"/>
    <w:rsid w:val="00A67DEB"/>
    <w:rsid w:val="00A70605"/>
    <w:rsid w:val="00A729B5"/>
    <w:rsid w:val="00A73134"/>
    <w:rsid w:val="00A73451"/>
    <w:rsid w:val="00A73552"/>
    <w:rsid w:val="00A736C4"/>
    <w:rsid w:val="00A74655"/>
    <w:rsid w:val="00A74BF0"/>
    <w:rsid w:val="00A74E77"/>
    <w:rsid w:val="00A7507E"/>
    <w:rsid w:val="00A750E9"/>
    <w:rsid w:val="00A76249"/>
    <w:rsid w:val="00A76756"/>
    <w:rsid w:val="00A7692F"/>
    <w:rsid w:val="00A76B36"/>
    <w:rsid w:val="00A7718A"/>
    <w:rsid w:val="00A777B2"/>
    <w:rsid w:val="00A77BAE"/>
    <w:rsid w:val="00A8115F"/>
    <w:rsid w:val="00A8136A"/>
    <w:rsid w:val="00A823CA"/>
    <w:rsid w:val="00A82822"/>
    <w:rsid w:val="00A82A6F"/>
    <w:rsid w:val="00A84E2F"/>
    <w:rsid w:val="00A85293"/>
    <w:rsid w:val="00A85605"/>
    <w:rsid w:val="00A858FA"/>
    <w:rsid w:val="00A85982"/>
    <w:rsid w:val="00A863ED"/>
    <w:rsid w:val="00A86C7E"/>
    <w:rsid w:val="00A86E8B"/>
    <w:rsid w:val="00A87164"/>
    <w:rsid w:val="00A908DC"/>
    <w:rsid w:val="00A90EEE"/>
    <w:rsid w:val="00A91C56"/>
    <w:rsid w:val="00A91F93"/>
    <w:rsid w:val="00A92E41"/>
    <w:rsid w:val="00A92E4F"/>
    <w:rsid w:val="00A92E7E"/>
    <w:rsid w:val="00A93072"/>
    <w:rsid w:val="00A93953"/>
    <w:rsid w:val="00A93AE3"/>
    <w:rsid w:val="00A93E8B"/>
    <w:rsid w:val="00A93FC2"/>
    <w:rsid w:val="00A94B00"/>
    <w:rsid w:val="00A9509B"/>
    <w:rsid w:val="00A95503"/>
    <w:rsid w:val="00A959D8"/>
    <w:rsid w:val="00A9679D"/>
    <w:rsid w:val="00A976A5"/>
    <w:rsid w:val="00AA034C"/>
    <w:rsid w:val="00AA113D"/>
    <w:rsid w:val="00AA1631"/>
    <w:rsid w:val="00AA1FF7"/>
    <w:rsid w:val="00AA2920"/>
    <w:rsid w:val="00AA2978"/>
    <w:rsid w:val="00AA2B88"/>
    <w:rsid w:val="00AA4BC9"/>
    <w:rsid w:val="00AA4FEF"/>
    <w:rsid w:val="00AA6244"/>
    <w:rsid w:val="00AA63D8"/>
    <w:rsid w:val="00AA6B3D"/>
    <w:rsid w:val="00AA6C7D"/>
    <w:rsid w:val="00AA71EC"/>
    <w:rsid w:val="00AA751C"/>
    <w:rsid w:val="00AA7D9F"/>
    <w:rsid w:val="00AA7FD6"/>
    <w:rsid w:val="00AB042A"/>
    <w:rsid w:val="00AB0EEB"/>
    <w:rsid w:val="00AB2613"/>
    <w:rsid w:val="00AB2D34"/>
    <w:rsid w:val="00AB2F49"/>
    <w:rsid w:val="00AB3430"/>
    <w:rsid w:val="00AB3AF2"/>
    <w:rsid w:val="00AB4AD1"/>
    <w:rsid w:val="00AB66B3"/>
    <w:rsid w:val="00AB679A"/>
    <w:rsid w:val="00AB6DD2"/>
    <w:rsid w:val="00AB7BD6"/>
    <w:rsid w:val="00AB7CFA"/>
    <w:rsid w:val="00AC0AC0"/>
    <w:rsid w:val="00AC15EC"/>
    <w:rsid w:val="00AC1CD9"/>
    <w:rsid w:val="00AC264B"/>
    <w:rsid w:val="00AC2985"/>
    <w:rsid w:val="00AC2C86"/>
    <w:rsid w:val="00AC2FBB"/>
    <w:rsid w:val="00AC3F78"/>
    <w:rsid w:val="00AC5348"/>
    <w:rsid w:val="00AC5849"/>
    <w:rsid w:val="00AC5B48"/>
    <w:rsid w:val="00AC5EF4"/>
    <w:rsid w:val="00AC7177"/>
    <w:rsid w:val="00AC7D61"/>
    <w:rsid w:val="00AD2524"/>
    <w:rsid w:val="00AD2E95"/>
    <w:rsid w:val="00AD330A"/>
    <w:rsid w:val="00AD3E72"/>
    <w:rsid w:val="00AD4071"/>
    <w:rsid w:val="00AD5C16"/>
    <w:rsid w:val="00AD5CDA"/>
    <w:rsid w:val="00AD5DCB"/>
    <w:rsid w:val="00AD6502"/>
    <w:rsid w:val="00AD74C2"/>
    <w:rsid w:val="00AD7828"/>
    <w:rsid w:val="00AD7A43"/>
    <w:rsid w:val="00AE05D8"/>
    <w:rsid w:val="00AE11C9"/>
    <w:rsid w:val="00AE1972"/>
    <w:rsid w:val="00AE2897"/>
    <w:rsid w:val="00AE29DE"/>
    <w:rsid w:val="00AE32DA"/>
    <w:rsid w:val="00AE3915"/>
    <w:rsid w:val="00AE3EBA"/>
    <w:rsid w:val="00AE56DB"/>
    <w:rsid w:val="00AE5A25"/>
    <w:rsid w:val="00AE6EE5"/>
    <w:rsid w:val="00AE7D59"/>
    <w:rsid w:val="00AF0663"/>
    <w:rsid w:val="00AF1176"/>
    <w:rsid w:val="00AF1315"/>
    <w:rsid w:val="00AF19BF"/>
    <w:rsid w:val="00AF2DC3"/>
    <w:rsid w:val="00AF338F"/>
    <w:rsid w:val="00AF3A5D"/>
    <w:rsid w:val="00AF3D37"/>
    <w:rsid w:val="00AF4A55"/>
    <w:rsid w:val="00AF4ACE"/>
    <w:rsid w:val="00AF5C08"/>
    <w:rsid w:val="00AF640A"/>
    <w:rsid w:val="00AF651E"/>
    <w:rsid w:val="00AF70A7"/>
    <w:rsid w:val="00AF73FC"/>
    <w:rsid w:val="00AF7DF0"/>
    <w:rsid w:val="00B002E0"/>
    <w:rsid w:val="00B005B1"/>
    <w:rsid w:val="00B01395"/>
    <w:rsid w:val="00B01A4E"/>
    <w:rsid w:val="00B01EFD"/>
    <w:rsid w:val="00B023A0"/>
    <w:rsid w:val="00B02934"/>
    <w:rsid w:val="00B033E5"/>
    <w:rsid w:val="00B035E0"/>
    <w:rsid w:val="00B038F4"/>
    <w:rsid w:val="00B03A63"/>
    <w:rsid w:val="00B04522"/>
    <w:rsid w:val="00B0622C"/>
    <w:rsid w:val="00B06D09"/>
    <w:rsid w:val="00B06E5C"/>
    <w:rsid w:val="00B06FD2"/>
    <w:rsid w:val="00B07C0E"/>
    <w:rsid w:val="00B10171"/>
    <w:rsid w:val="00B103F2"/>
    <w:rsid w:val="00B10F89"/>
    <w:rsid w:val="00B11EE3"/>
    <w:rsid w:val="00B122B2"/>
    <w:rsid w:val="00B13877"/>
    <w:rsid w:val="00B14EA4"/>
    <w:rsid w:val="00B15EE0"/>
    <w:rsid w:val="00B16078"/>
    <w:rsid w:val="00B160D8"/>
    <w:rsid w:val="00B16142"/>
    <w:rsid w:val="00B16402"/>
    <w:rsid w:val="00B164CE"/>
    <w:rsid w:val="00B17283"/>
    <w:rsid w:val="00B1763F"/>
    <w:rsid w:val="00B177E6"/>
    <w:rsid w:val="00B17D1D"/>
    <w:rsid w:val="00B17F7D"/>
    <w:rsid w:val="00B201A4"/>
    <w:rsid w:val="00B201D0"/>
    <w:rsid w:val="00B203AE"/>
    <w:rsid w:val="00B206FD"/>
    <w:rsid w:val="00B20906"/>
    <w:rsid w:val="00B213A6"/>
    <w:rsid w:val="00B215AD"/>
    <w:rsid w:val="00B22AED"/>
    <w:rsid w:val="00B22EF0"/>
    <w:rsid w:val="00B22F5A"/>
    <w:rsid w:val="00B23127"/>
    <w:rsid w:val="00B24DF6"/>
    <w:rsid w:val="00B25B5A"/>
    <w:rsid w:val="00B25CE9"/>
    <w:rsid w:val="00B26201"/>
    <w:rsid w:val="00B26A21"/>
    <w:rsid w:val="00B26ACE"/>
    <w:rsid w:val="00B30760"/>
    <w:rsid w:val="00B307D1"/>
    <w:rsid w:val="00B3085E"/>
    <w:rsid w:val="00B3088C"/>
    <w:rsid w:val="00B30CF2"/>
    <w:rsid w:val="00B30E27"/>
    <w:rsid w:val="00B30EBD"/>
    <w:rsid w:val="00B3145E"/>
    <w:rsid w:val="00B31DE0"/>
    <w:rsid w:val="00B31FFA"/>
    <w:rsid w:val="00B32CF1"/>
    <w:rsid w:val="00B32E6A"/>
    <w:rsid w:val="00B336ED"/>
    <w:rsid w:val="00B3394F"/>
    <w:rsid w:val="00B33E7E"/>
    <w:rsid w:val="00B341B7"/>
    <w:rsid w:val="00B3474D"/>
    <w:rsid w:val="00B34FE2"/>
    <w:rsid w:val="00B357D8"/>
    <w:rsid w:val="00B36188"/>
    <w:rsid w:val="00B36193"/>
    <w:rsid w:val="00B3658F"/>
    <w:rsid w:val="00B36BE3"/>
    <w:rsid w:val="00B376F3"/>
    <w:rsid w:val="00B37BFC"/>
    <w:rsid w:val="00B40267"/>
    <w:rsid w:val="00B40358"/>
    <w:rsid w:val="00B41614"/>
    <w:rsid w:val="00B4212C"/>
    <w:rsid w:val="00B42851"/>
    <w:rsid w:val="00B42F80"/>
    <w:rsid w:val="00B435CB"/>
    <w:rsid w:val="00B43EC9"/>
    <w:rsid w:val="00B43EE5"/>
    <w:rsid w:val="00B43F70"/>
    <w:rsid w:val="00B43FAD"/>
    <w:rsid w:val="00B449C4"/>
    <w:rsid w:val="00B44A2C"/>
    <w:rsid w:val="00B45019"/>
    <w:rsid w:val="00B457F3"/>
    <w:rsid w:val="00B4664D"/>
    <w:rsid w:val="00B46C61"/>
    <w:rsid w:val="00B472D3"/>
    <w:rsid w:val="00B47426"/>
    <w:rsid w:val="00B47585"/>
    <w:rsid w:val="00B50DB8"/>
    <w:rsid w:val="00B5123F"/>
    <w:rsid w:val="00B5262B"/>
    <w:rsid w:val="00B5280C"/>
    <w:rsid w:val="00B53654"/>
    <w:rsid w:val="00B537AC"/>
    <w:rsid w:val="00B53905"/>
    <w:rsid w:val="00B54B5B"/>
    <w:rsid w:val="00B54FA8"/>
    <w:rsid w:val="00B5562E"/>
    <w:rsid w:val="00B56A5D"/>
    <w:rsid w:val="00B57000"/>
    <w:rsid w:val="00B60939"/>
    <w:rsid w:val="00B60AFD"/>
    <w:rsid w:val="00B6131E"/>
    <w:rsid w:val="00B61752"/>
    <w:rsid w:val="00B61ECE"/>
    <w:rsid w:val="00B623C1"/>
    <w:rsid w:val="00B62715"/>
    <w:rsid w:val="00B62A27"/>
    <w:rsid w:val="00B63114"/>
    <w:rsid w:val="00B63ABB"/>
    <w:rsid w:val="00B6406E"/>
    <w:rsid w:val="00B64535"/>
    <w:rsid w:val="00B64C33"/>
    <w:rsid w:val="00B66629"/>
    <w:rsid w:val="00B66731"/>
    <w:rsid w:val="00B6687F"/>
    <w:rsid w:val="00B671F6"/>
    <w:rsid w:val="00B7046B"/>
    <w:rsid w:val="00B71111"/>
    <w:rsid w:val="00B71575"/>
    <w:rsid w:val="00B7168E"/>
    <w:rsid w:val="00B71A7B"/>
    <w:rsid w:val="00B71D27"/>
    <w:rsid w:val="00B72065"/>
    <w:rsid w:val="00B73682"/>
    <w:rsid w:val="00B76BEA"/>
    <w:rsid w:val="00B7710A"/>
    <w:rsid w:val="00B77A79"/>
    <w:rsid w:val="00B77B40"/>
    <w:rsid w:val="00B80525"/>
    <w:rsid w:val="00B818A4"/>
    <w:rsid w:val="00B8250D"/>
    <w:rsid w:val="00B82EC1"/>
    <w:rsid w:val="00B83199"/>
    <w:rsid w:val="00B8336A"/>
    <w:rsid w:val="00B8395C"/>
    <w:rsid w:val="00B84117"/>
    <w:rsid w:val="00B844E8"/>
    <w:rsid w:val="00B84CAE"/>
    <w:rsid w:val="00B85AA2"/>
    <w:rsid w:val="00B8649C"/>
    <w:rsid w:val="00B86860"/>
    <w:rsid w:val="00B86D4E"/>
    <w:rsid w:val="00B870AC"/>
    <w:rsid w:val="00B8734D"/>
    <w:rsid w:val="00B87866"/>
    <w:rsid w:val="00B87F0A"/>
    <w:rsid w:val="00B9120D"/>
    <w:rsid w:val="00B925B0"/>
    <w:rsid w:val="00B928A2"/>
    <w:rsid w:val="00B92B6B"/>
    <w:rsid w:val="00B92D0B"/>
    <w:rsid w:val="00B931B7"/>
    <w:rsid w:val="00B93C67"/>
    <w:rsid w:val="00B93F1A"/>
    <w:rsid w:val="00B93F87"/>
    <w:rsid w:val="00B94945"/>
    <w:rsid w:val="00B94ADD"/>
    <w:rsid w:val="00B94E40"/>
    <w:rsid w:val="00B9577A"/>
    <w:rsid w:val="00B962AE"/>
    <w:rsid w:val="00B96441"/>
    <w:rsid w:val="00B9647B"/>
    <w:rsid w:val="00B96C54"/>
    <w:rsid w:val="00B9774E"/>
    <w:rsid w:val="00BA0154"/>
    <w:rsid w:val="00BA0465"/>
    <w:rsid w:val="00BA2093"/>
    <w:rsid w:val="00BA2298"/>
    <w:rsid w:val="00BA322D"/>
    <w:rsid w:val="00BA34A3"/>
    <w:rsid w:val="00BA3888"/>
    <w:rsid w:val="00BA401C"/>
    <w:rsid w:val="00BA4B4F"/>
    <w:rsid w:val="00BA4BF1"/>
    <w:rsid w:val="00BA64C5"/>
    <w:rsid w:val="00BA77F3"/>
    <w:rsid w:val="00BA7DEF"/>
    <w:rsid w:val="00BB052F"/>
    <w:rsid w:val="00BB082D"/>
    <w:rsid w:val="00BB0AF3"/>
    <w:rsid w:val="00BB0BDD"/>
    <w:rsid w:val="00BB1297"/>
    <w:rsid w:val="00BB1FB0"/>
    <w:rsid w:val="00BB275D"/>
    <w:rsid w:val="00BB2A73"/>
    <w:rsid w:val="00BB2C61"/>
    <w:rsid w:val="00BB2FFF"/>
    <w:rsid w:val="00BB3237"/>
    <w:rsid w:val="00BB3C8A"/>
    <w:rsid w:val="00BB3CDC"/>
    <w:rsid w:val="00BB3D5D"/>
    <w:rsid w:val="00BB424E"/>
    <w:rsid w:val="00BB4ACC"/>
    <w:rsid w:val="00BB53B8"/>
    <w:rsid w:val="00BB5573"/>
    <w:rsid w:val="00BB5DD8"/>
    <w:rsid w:val="00BB703E"/>
    <w:rsid w:val="00BB7236"/>
    <w:rsid w:val="00BB7405"/>
    <w:rsid w:val="00BB7901"/>
    <w:rsid w:val="00BC024D"/>
    <w:rsid w:val="00BC06C1"/>
    <w:rsid w:val="00BC10EA"/>
    <w:rsid w:val="00BC1395"/>
    <w:rsid w:val="00BC1615"/>
    <w:rsid w:val="00BC2764"/>
    <w:rsid w:val="00BC2969"/>
    <w:rsid w:val="00BC2C3D"/>
    <w:rsid w:val="00BC2DA8"/>
    <w:rsid w:val="00BC2F53"/>
    <w:rsid w:val="00BC30CE"/>
    <w:rsid w:val="00BC3631"/>
    <w:rsid w:val="00BC40D0"/>
    <w:rsid w:val="00BC7CE2"/>
    <w:rsid w:val="00BD00F0"/>
    <w:rsid w:val="00BD02A9"/>
    <w:rsid w:val="00BD0435"/>
    <w:rsid w:val="00BD0926"/>
    <w:rsid w:val="00BD0ADF"/>
    <w:rsid w:val="00BD272A"/>
    <w:rsid w:val="00BD2C39"/>
    <w:rsid w:val="00BD49FE"/>
    <w:rsid w:val="00BD5908"/>
    <w:rsid w:val="00BD5E6D"/>
    <w:rsid w:val="00BD68A3"/>
    <w:rsid w:val="00BD6938"/>
    <w:rsid w:val="00BD6CF3"/>
    <w:rsid w:val="00BD6FAF"/>
    <w:rsid w:val="00BE04EF"/>
    <w:rsid w:val="00BE1D31"/>
    <w:rsid w:val="00BE2180"/>
    <w:rsid w:val="00BE21F2"/>
    <w:rsid w:val="00BE2EDE"/>
    <w:rsid w:val="00BE321C"/>
    <w:rsid w:val="00BE3612"/>
    <w:rsid w:val="00BE4166"/>
    <w:rsid w:val="00BE4275"/>
    <w:rsid w:val="00BE479F"/>
    <w:rsid w:val="00BE51B2"/>
    <w:rsid w:val="00BE596F"/>
    <w:rsid w:val="00BE6B29"/>
    <w:rsid w:val="00BE6F5F"/>
    <w:rsid w:val="00BE73D3"/>
    <w:rsid w:val="00BE7B58"/>
    <w:rsid w:val="00BE7CF7"/>
    <w:rsid w:val="00BF01A9"/>
    <w:rsid w:val="00BF0832"/>
    <w:rsid w:val="00BF0CDB"/>
    <w:rsid w:val="00BF0F95"/>
    <w:rsid w:val="00BF1036"/>
    <w:rsid w:val="00BF1A9D"/>
    <w:rsid w:val="00BF2433"/>
    <w:rsid w:val="00BF3C93"/>
    <w:rsid w:val="00BF4AB3"/>
    <w:rsid w:val="00BF4C92"/>
    <w:rsid w:val="00BF5880"/>
    <w:rsid w:val="00BF5CA0"/>
    <w:rsid w:val="00BF61C9"/>
    <w:rsid w:val="00BF6236"/>
    <w:rsid w:val="00BF6265"/>
    <w:rsid w:val="00BF6C94"/>
    <w:rsid w:val="00BF7368"/>
    <w:rsid w:val="00BF738C"/>
    <w:rsid w:val="00BF73A6"/>
    <w:rsid w:val="00BF7C56"/>
    <w:rsid w:val="00C00424"/>
    <w:rsid w:val="00C01416"/>
    <w:rsid w:val="00C018BA"/>
    <w:rsid w:val="00C02190"/>
    <w:rsid w:val="00C02813"/>
    <w:rsid w:val="00C02F23"/>
    <w:rsid w:val="00C02FFB"/>
    <w:rsid w:val="00C03098"/>
    <w:rsid w:val="00C03553"/>
    <w:rsid w:val="00C04307"/>
    <w:rsid w:val="00C04420"/>
    <w:rsid w:val="00C046A0"/>
    <w:rsid w:val="00C04842"/>
    <w:rsid w:val="00C06336"/>
    <w:rsid w:val="00C0638C"/>
    <w:rsid w:val="00C073DE"/>
    <w:rsid w:val="00C101E8"/>
    <w:rsid w:val="00C10769"/>
    <w:rsid w:val="00C116E7"/>
    <w:rsid w:val="00C11A0E"/>
    <w:rsid w:val="00C12C14"/>
    <w:rsid w:val="00C13DBC"/>
    <w:rsid w:val="00C140C9"/>
    <w:rsid w:val="00C15309"/>
    <w:rsid w:val="00C15838"/>
    <w:rsid w:val="00C16432"/>
    <w:rsid w:val="00C16557"/>
    <w:rsid w:val="00C165C5"/>
    <w:rsid w:val="00C16D75"/>
    <w:rsid w:val="00C16DB7"/>
    <w:rsid w:val="00C17A33"/>
    <w:rsid w:val="00C17DEE"/>
    <w:rsid w:val="00C200AA"/>
    <w:rsid w:val="00C20329"/>
    <w:rsid w:val="00C2136B"/>
    <w:rsid w:val="00C2187E"/>
    <w:rsid w:val="00C2233D"/>
    <w:rsid w:val="00C224C4"/>
    <w:rsid w:val="00C2335B"/>
    <w:rsid w:val="00C237ED"/>
    <w:rsid w:val="00C23CD2"/>
    <w:rsid w:val="00C242DE"/>
    <w:rsid w:val="00C242F9"/>
    <w:rsid w:val="00C2436F"/>
    <w:rsid w:val="00C24632"/>
    <w:rsid w:val="00C249BA"/>
    <w:rsid w:val="00C24E24"/>
    <w:rsid w:val="00C24F75"/>
    <w:rsid w:val="00C25418"/>
    <w:rsid w:val="00C254F5"/>
    <w:rsid w:val="00C25D9C"/>
    <w:rsid w:val="00C25DF6"/>
    <w:rsid w:val="00C2636A"/>
    <w:rsid w:val="00C263B5"/>
    <w:rsid w:val="00C2773F"/>
    <w:rsid w:val="00C2778B"/>
    <w:rsid w:val="00C27F2F"/>
    <w:rsid w:val="00C303B0"/>
    <w:rsid w:val="00C3154A"/>
    <w:rsid w:val="00C31649"/>
    <w:rsid w:val="00C318AA"/>
    <w:rsid w:val="00C3243A"/>
    <w:rsid w:val="00C33A4D"/>
    <w:rsid w:val="00C33DDA"/>
    <w:rsid w:val="00C34B00"/>
    <w:rsid w:val="00C34F10"/>
    <w:rsid w:val="00C3522D"/>
    <w:rsid w:val="00C3558A"/>
    <w:rsid w:val="00C355D7"/>
    <w:rsid w:val="00C36734"/>
    <w:rsid w:val="00C3727C"/>
    <w:rsid w:val="00C37C41"/>
    <w:rsid w:val="00C4013A"/>
    <w:rsid w:val="00C40385"/>
    <w:rsid w:val="00C40934"/>
    <w:rsid w:val="00C409B0"/>
    <w:rsid w:val="00C4159F"/>
    <w:rsid w:val="00C41A86"/>
    <w:rsid w:val="00C41C69"/>
    <w:rsid w:val="00C42540"/>
    <w:rsid w:val="00C426FE"/>
    <w:rsid w:val="00C42768"/>
    <w:rsid w:val="00C42D33"/>
    <w:rsid w:val="00C43FB5"/>
    <w:rsid w:val="00C4411C"/>
    <w:rsid w:val="00C4470F"/>
    <w:rsid w:val="00C4518A"/>
    <w:rsid w:val="00C462B5"/>
    <w:rsid w:val="00C47169"/>
    <w:rsid w:val="00C475AA"/>
    <w:rsid w:val="00C5048B"/>
    <w:rsid w:val="00C506D4"/>
    <w:rsid w:val="00C50939"/>
    <w:rsid w:val="00C50EE7"/>
    <w:rsid w:val="00C51464"/>
    <w:rsid w:val="00C51CDD"/>
    <w:rsid w:val="00C51FC7"/>
    <w:rsid w:val="00C52153"/>
    <w:rsid w:val="00C52587"/>
    <w:rsid w:val="00C5259F"/>
    <w:rsid w:val="00C52F7B"/>
    <w:rsid w:val="00C53769"/>
    <w:rsid w:val="00C54676"/>
    <w:rsid w:val="00C54D34"/>
    <w:rsid w:val="00C563D9"/>
    <w:rsid w:val="00C564AB"/>
    <w:rsid w:val="00C568B9"/>
    <w:rsid w:val="00C56941"/>
    <w:rsid w:val="00C60F49"/>
    <w:rsid w:val="00C617B7"/>
    <w:rsid w:val="00C6191E"/>
    <w:rsid w:val="00C62554"/>
    <w:rsid w:val="00C62CB6"/>
    <w:rsid w:val="00C62E11"/>
    <w:rsid w:val="00C62EBD"/>
    <w:rsid w:val="00C63112"/>
    <w:rsid w:val="00C63214"/>
    <w:rsid w:val="00C6348C"/>
    <w:rsid w:val="00C64286"/>
    <w:rsid w:val="00C64D95"/>
    <w:rsid w:val="00C65152"/>
    <w:rsid w:val="00C65576"/>
    <w:rsid w:val="00C6569A"/>
    <w:rsid w:val="00C6589D"/>
    <w:rsid w:val="00C66165"/>
    <w:rsid w:val="00C67569"/>
    <w:rsid w:val="00C70083"/>
    <w:rsid w:val="00C71455"/>
    <w:rsid w:val="00C7151A"/>
    <w:rsid w:val="00C71F60"/>
    <w:rsid w:val="00C72241"/>
    <w:rsid w:val="00C7325A"/>
    <w:rsid w:val="00C73C24"/>
    <w:rsid w:val="00C74B6F"/>
    <w:rsid w:val="00C750C8"/>
    <w:rsid w:val="00C7560F"/>
    <w:rsid w:val="00C75C18"/>
    <w:rsid w:val="00C765C8"/>
    <w:rsid w:val="00C76D5A"/>
    <w:rsid w:val="00C77657"/>
    <w:rsid w:val="00C80A0E"/>
    <w:rsid w:val="00C82102"/>
    <w:rsid w:val="00C8213F"/>
    <w:rsid w:val="00C8247D"/>
    <w:rsid w:val="00C82F5E"/>
    <w:rsid w:val="00C839C5"/>
    <w:rsid w:val="00C84E5A"/>
    <w:rsid w:val="00C862C9"/>
    <w:rsid w:val="00C8652C"/>
    <w:rsid w:val="00C86568"/>
    <w:rsid w:val="00C86D01"/>
    <w:rsid w:val="00C8797A"/>
    <w:rsid w:val="00C87B7F"/>
    <w:rsid w:val="00C87E09"/>
    <w:rsid w:val="00C87E13"/>
    <w:rsid w:val="00C900B8"/>
    <w:rsid w:val="00C903CB"/>
    <w:rsid w:val="00C90B3D"/>
    <w:rsid w:val="00C90C71"/>
    <w:rsid w:val="00C91509"/>
    <w:rsid w:val="00C9158A"/>
    <w:rsid w:val="00C92FCF"/>
    <w:rsid w:val="00C93105"/>
    <w:rsid w:val="00C93138"/>
    <w:rsid w:val="00C931CF"/>
    <w:rsid w:val="00C9354D"/>
    <w:rsid w:val="00C938CF"/>
    <w:rsid w:val="00C94150"/>
    <w:rsid w:val="00C9595D"/>
    <w:rsid w:val="00C9597D"/>
    <w:rsid w:val="00C9624D"/>
    <w:rsid w:val="00C969DA"/>
    <w:rsid w:val="00CA0138"/>
    <w:rsid w:val="00CA0A5F"/>
    <w:rsid w:val="00CA0C21"/>
    <w:rsid w:val="00CA0CFB"/>
    <w:rsid w:val="00CA2B69"/>
    <w:rsid w:val="00CA2C77"/>
    <w:rsid w:val="00CA3879"/>
    <w:rsid w:val="00CA422F"/>
    <w:rsid w:val="00CA444F"/>
    <w:rsid w:val="00CA511C"/>
    <w:rsid w:val="00CA5245"/>
    <w:rsid w:val="00CA5D63"/>
    <w:rsid w:val="00CA6425"/>
    <w:rsid w:val="00CA65E6"/>
    <w:rsid w:val="00CA71F4"/>
    <w:rsid w:val="00CA727D"/>
    <w:rsid w:val="00CA74FC"/>
    <w:rsid w:val="00CA797F"/>
    <w:rsid w:val="00CA7B09"/>
    <w:rsid w:val="00CA7D3D"/>
    <w:rsid w:val="00CB0FE0"/>
    <w:rsid w:val="00CB1585"/>
    <w:rsid w:val="00CB2082"/>
    <w:rsid w:val="00CB29C8"/>
    <w:rsid w:val="00CB2A0F"/>
    <w:rsid w:val="00CB2F00"/>
    <w:rsid w:val="00CB2F2A"/>
    <w:rsid w:val="00CB3321"/>
    <w:rsid w:val="00CB386E"/>
    <w:rsid w:val="00CB38C3"/>
    <w:rsid w:val="00CB39DF"/>
    <w:rsid w:val="00CB48A2"/>
    <w:rsid w:val="00CB4B36"/>
    <w:rsid w:val="00CB51F7"/>
    <w:rsid w:val="00CB5B1A"/>
    <w:rsid w:val="00CB6B22"/>
    <w:rsid w:val="00CB7A4F"/>
    <w:rsid w:val="00CB7A90"/>
    <w:rsid w:val="00CB7F5F"/>
    <w:rsid w:val="00CC09CF"/>
    <w:rsid w:val="00CC1099"/>
    <w:rsid w:val="00CC13CB"/>
    <w:rsid w:val="00CC1963"/>
    <w:rsid w:val="00CC1B39"/>
    <w:rsid w:val="00CC251B"/>
    <w:rsid w:val="00CC2B75"/>
    <w:rsid w:val="00CC2FFE"/>
    <w:rsid w:val="00CC3CDF"/>
    <w:rsid w:val="00CC45D6"/>
    <w:rsid w:val="00CC4909"/>
    <w:rsid w:val="00CC5430"/>
    <w:rsid w:val="00CC55E4"/>
    <w:rsid w:val="00CC6154"/>
    <w:rsid w:val="00CC68D7"/>
    <w:rsid w:val="00CC77BC"/>
    <w:rsid w:val="00CC7F4C"/>
    <w:rsid w:val="00CD052A"/>
    <w:rsid w:val="00CD08C1"/>
    <w:rsid w:val="00CD0C13"/>
    <w:rsid w:val="00CD0E0D"/>
    <w:rsid w:val="00CD16EE"/>
    <w:rsid w:val="00CD1900"/>
    <w:rsid w:val="00CD215B"/>
    <w:rsid w:val="00CD294A"/>
    <w:rsid w:val="00CD3019"/>
    <w:rsid w:val="00CD585C"/>
    <w:rsid w:val="00CD5F89"/>
    <w:rsid w:val="00CD659F"/>
    <w:rsid w:val="00CD68FB"/>
    <w:rsid w:val="00CD69E4"/>
    <w:rsid w:val="00CD6ADC"/>
    <w:rsid w:val="00CD6CE1"/>
    <w:rsid w:val="00CD7037"/>
    <w:rsid w:val="00CD75A3"/>
    <w:rsid w:val="00CD76C7"/>
    <w:rsid w:val="00CD7E8E"/>
    <w:rsid w:val="00CD7EF2"/>
    <w:rsid w:val="00CE0935"/>
    <w:rsid w:val="00CE116F"/>
    <w:rsid w:val="00CE1C69"/>
    <w:rsid w:val="00CE3A77"/>
    <w:rsid w:val="00CE3F84"/>
    <w:rsid w:val="00CE540C"/>
    <w:rsid w:val="00CE6274"/>
    <w:rsid w:val="00CE732C"/>
    <w:rsid w:val="00CE749D"/>
    <w:rsid w:val="00CE76B9"/>
    <w:rsid w:val="00CE789D"/>
    <w:rsid w:val="00CF0212"/>
    <w:rsid w:val="00CF102B"/>
    <w:rsid w:val="00CF2721"/>
    <w:rsid w:val="00CF2B8D"/>
    <w:rsid w:val="00CF456B"/>
    <w:rsid w:val="00CF5A22"/>
    <w:rsid w:val="00CF5AFC"/>
    <w:rsid w:val="00CF6C4D"/>
    <w:rsid w:val="00CF6F7D"/>
    <w:rsid w:val="00CF7998"/>
    <w:rsid w:val="00D00021"/>
    <w:rsid w:val="00D00040"/>
    <w:rsid w:val="00D00E53"/>
    <w:rsid w:val="00D0108E"/>
    <w:rsid w:val="00D0127B"/>
    <w:rsid w:val="00D01572"/>
    <w:rsid w:val="00D018D9"/>
    <w:rsid w:val="00D01A89"/>
    <w:rsid w:val="00D02543"/>
    <w:rsid w:val="00D0262E"/>
    <w:rsid w:val="00D03369"/>
    <w:rsid w:val="00D036D3"/>
    <w:rsid w:val="00D03F30"/>
    <w:rsid w:val="00D0420D"/>
    <w:rsid w:val="00D04BD3"/>
    <w:rsid w:val="00D0520E"/>
    <w:rsid w:val="00D05675"/>
    <w:rsid w:val="00D0592A"/>
    <w:rsid w:val="00D06139"/>
    <w:rsid w:val="00D06A59"/>
    <w:rsid w:val="00D07925"/>
    <w:rsid w:val="00D07DF6"/>
    <w:rsid w:val="00D106C4"/>
    <w:rsid w:val="00D10CBF"/>
    <w:rsid w:val="00D1106E"/>
    <w:rsid w:val="00D110BD"/>
    <w:rsid w:val="00D11A8B"/>
    <w:rsid w:val="00D1227A"/>
    <w:rsid w:val="00D129A3"/>
    <w:rsid w:val="00D130AC"/>
    <w:rsid w:val="00D13675"/>
    <w:rsid w:val="00D141E1"/>
    <w:rsid w:val="00D14266"/>
    <w:rsid w:val="00D14318"/>
    <w:rsid w:val="00D144DA"/>
    <w:rsid w:val="00D1460E"/>
    <w:rsid w:val="00D14C02"/>
    <w:rsid w:val="00D15729"/>
    <w:rsid w:val="00D16206"/>
    <w:rsid w:val="00D17D6C"/>
    <w:rsid w:val="00D17F39"/>
    <w:rsid w:val="00D20527"/>
    <w:rsid w:val="00D206A3"/>
    <w:rsid w:val="00D20C64"/>
    <w:rsid w:val="00D21D33"/>
    <w:rsid w:val="00D22314"/>
    <w:rsid w:val="00D2331E"/>
    <w:rsid w:val="00D24CF8"/>
    <w:rsid w:val="00D26A6C"/>
    <w:rsid w:val="00D271B9"/>
    <w:rsid w:val="00D271E8"/>
    <w:rsid w:val="00D2727B"/>
    <w:rsid w:val="00D2754D"/>
    <w:rsid w:val="00D27B27"/>
    <w:rsid w:val="00D31983"/>
    <w:rsid w:val="00D32F05"/>
    <w:rsid w:val="00D3369C"/>
    <w:rsid w:val="00D33BE9"/>
    <w:rsid w:val="00D34D62"/>
    <w:rsid w:val="00D34E39"/>
    <w:rsid w:val="00D3548D"/>
    <w:rsid w:val="00D357B9"/>
    <w:rsid w:val="00D357FF"/>
    <w:rsid w:val="00D35F4F"/>
    <w:rsid w:val="00D37907"/>
    <w:rsid w:val="00D37ADD"/>
    <w:rsid w:val="00D40639"/>
    <w:rsid w:val="00D408E6"/>
    <w:rsid w:val="00D412B0"/>
    <w:rsid w:val="00D421C5"/>
    <w:rsid w:val="00D424C7"/>
    <w:rsid w:val="00D42AAD"/>
    <w:rsid w:val="00D43B2A"/>
    <w:rsid w:val="00D44876"/>
    <w:rsid w:val="00D45A4A"/>
    <w:rsid w:val="00D45D2F"/>
    <w:rsid w:val="00D4616A"/>
    <w:rsid w:val="00D46854"/>
    <w:rsid w:val="00D46935"/>
    <w:rsid w:val="00D46DD8"/>
    <w:rsid w:val="00D4715A"/>
    <w:rsid w:val="00D47575"/>
    <w:rsid w:val="00D50339"/>
    <w:rsid w:val="00D50A74"/>
    <w:rsid w:val="00D51148"/>
    <w:rsid w:val="00D51C5F"/>
    <w:rsid w:val="00D52A6E"/>
    <w:rsid w:val="00D52D7E"/>
    <w:rsid w:val="00D52D99"/>
    <w:rsid w:val="00D52F3E"/>
    <w:rsid w:val="00D53D12"/>
    <w:rsid w:val="00D5496E"/>
    <w:rsid w:val="00D54B60"/>
    <w:rsid w:val="00D55138"/>
    <w:rsid w:val="00D55DC1"/>
    <w:rsid w:val="00D567B8"/>
    <w:rsid w:val="00D56A6A"/>
    <w:rsid w:val="00D57014"/>
    <w:rsid w:val="00D577F2"/>
    <w:rsid w:val="00D57DED"/>
    <w:rsid w:val="00D60317"/>
    <w:rsid w:val="00D608BF"/>
    <w:rsid w:val="00D6109E"/>
    <w:rsid w:val="00D62015"/>
    <w:rsid w:val="00D62DC0"/>
    <w:rsid w:val="00D63253"/>
    <w:rsid w:val="00D63652"/>
    <w:rsid w:val="00D6384C"/>
    <w:rsid w:val="00D64793"/>
    <w:rsid w:val="00D6549E"/>
    <w:rsid w:val="00D6612F"/>
    <w:rsid w:val="00D661A1"/>
    <w:rsid w:val="00D70368"/>
    <w:rsid w:val="00D7049B"/>
    <w:rsid w:val="00D7052E"/>
    <w:rsid w:val="00D70F16"/>
    <w:rsid w:val="00D7172F"/>
    <w:rsid w:val="00D71AFB"/>
    <w:rsid w:val="00D71E09"/>
    <w:rsid w:val="00D72581"/>
    <w:rsid w:val="00D73120"/>
    <w:rsid w:val="00D733FC"/>
    <w:rsid w:val="00D73726"/>
    <w:rsid w:val="00D73A53"/>
    <w:rsid w:val="00D75181"/>
    <w:rsid w:val="00D7534A"/>
    <w:rsid w:val="00D75E33"/>
    <w:rsid w:val="00D76A44"/>
    <w:rsid w:val="00D76C3C"/>
    <w:rsid w:val="00D76F34"/>
    <w:rsid w:val="00D779DF"/>
    <w:rsid w:val="00D80080"/>
    <w:rsid w:val="00D80D40"/>
    <w:rsid w:val="00D815EF"/>
    <w:rsid w:val="00D81AD1"/>
    <w:rsid w:val="00D82348"/>
    <w:rsid w:val="00D833E0"/>
    <w:rsid w:val="00D83621"/>
    <w:rsid w:val="00D83CCC"/>
    <w:rsid w:val="00D84CA1"/>
    <w:rsid w:val="00D84F88"/>
    <w:rsid w:val="00D85B45"/>
    <w:rsid w:val="00D863BE"/>
    <w:rsid w:val="00D86667"/>
    <w:rsid w:val="00D87C8B"/>
    <w:rsid w:val="00D87E6F"/>
    <w:rsid w:val="00D90556"/>
    <w:rsid w:val="00D90F8A"/>
    <w:rsid w:val="00D90FF2"/>
    <w:rsid w:val="00D91328"/>
    <w:rsid w:val="00D9154F"/>
    <w:rsid w:val="00D91923"/>
    <w:rsid w:val="00D92681"/>
    <w:rsid w:val="00D92702"/>
    <w:rsid w:val="00D92A66"/>
    <w:rsid w:val="00D93753"/>
    <w:rsid w:val="00D9558A"/>
    <w:rsid w:val="00D96271"/>
    <w:rsid w:val="00D96375"/>
    <w:rsid w:val="00D963CC"/>
    <w:rsid w:val="00D97976"/>
    <w:rsid w:val="00D97BE1"/>
    <w:rsid w:val="00DA0B35"/>
    <w:rsid w:val="00DA0CE6"/>
    <w:rsid w:val="00DA2069"/>
    <w:rsid w:val="00DA2305"/>
    <w:rsid w:val="00DA234E"/>
    <w:rsid w:val="00DA3167"/>
    <w:rsid w:val="00DA31C2"/>
    <w:rsid w:val="00DA31E3"/>
    <w:rsid w:val="00DA341C"/>
    <w:rsid w:val="00DA4DC3"/>
    <w:rsid w:val="00DA5274"/>
    <w:rsid w:val="00DA57A5"/>
    <w:rsid w:val="00DA58E0"/>
    <w:rsid w:val="00DA6265"/>
    <w:rsid w:val="00DA77A5"/>
    <w:rsid w:val="00DA7989"/>
    <w:rsid w:val="00DA7BBA"/>
    <w:rsid w:val="00DA7D05"/>
    <w:rsid w:val="00DA7DE4"/>
    <w:rsid w:val="00DA7F2B"/>
    <w:rsid w:val="00DB01FA"/>
    <w:rsid w:val="00DB0745"/>
    <w:rsid w:val="00DB1506"/>
    <w:rsid w:val="00DB1A22"/>
    <w:rsid w:val="00DB2870"/>
    <w:rsid w:val="00DB2A44"/>
    <w:rsid w:val="00DB41CF"/>
    <w:rsid w:val="00DB484F"/>
    <w:rsid w:val="00DB4C00"/>
    <w:rsid w:val="00DB5531"/>
    <w:rsid w:val="00DB5DA7"/>
    <w:rsid w:val="00DB61BB"/>
    <w:rsid w:val="00DB6332"/>
    <w:rsid w:val="00DB688D"/>
    <w:rsid w:val="00DB6DEC"/>
    <w:rsid w:val="00DB78AF"/>
    <w:rsid w:val="00DC0280"/>
    <w:rsid w:val="00DC04F6"/>
    <w:rsid w:val="00DC0775"/>
    <w:rsid w:val="00DC0DD2"/>
    <w:rsid w:val="00DC13F3"/>
    <w:rsid w:val="00DC2BA6"/>
    <w:rsid w:val="00DC2CFE"/>
    <w:rsid w:val="00DC32EC"/>
    <w:rsid w:val="00DC3458"/>
    <w:rsid w:val="00DC35B6"/>
    <w:rsid w:val="00DC3991"/>
    <w:rsid w:val="00DC3C57"/>
    <w:rsid w:val="00DC5178"/>
    <w:rsid w:val="00DC5501"/>
    <w:rsid w:val="00DC6410"/>
    <w:rsid w:val="00DD016D"/>
    <w:rsid w:val="00DD056D"/>
    <w:rsid w:val="00DD0922"/>
    <w:rsid w:val="00DD1644"/>
    <w:rsid w:val="00DD2321"/>
    <w:rsid w:val="00DD273C"/>
    <w:rsid w:val="00DD29E5"/>
    <w:rsid w:val="00DD3122"/>
    <w:rsid w:val="00DD33B8"/>
    <w:rsid w:val="00DD347B"/>
    <w:rsid w:val="00DD392A"/>
    <w:rsid w:val="00DD3F28"/>
    <w:rsid w:val="00DD4537"/>
    <w:rsid w:val="00DD4D74"/>
    <w:rsid w:val="00DD4E15"/>
    <w:rsid w:val="00DD5B1D"/>
    <w:rsid w:val="00DD5F04"/>
    <w:rsid w:val="00DD5F84"/>
    <w:rsid w:val="00DD65BA"/>
    <w:rsid w:val="00DD6DC0"/>
    <w:rsid w:val="00DD6E6C"/>
    <w:rsid w:val="00DE0008"/>
    <w:rsid w:val="00DE0260"/>
    <w:rsid w:val="00DE043A"/>
    <w:rsid w:val="00DE0567"/>
    <w:rsid w:val="00DE0670"/>
    <w:rsid w:val="00DE075A"/>
    <w:rsid w:val="00DE1597"/>
    <w:rsid w:val="00DE17FE"/>
    <w:rsid w:val="00DE2067"/>
    <w:rsid w:val="00DE2C2E"/>
    <w:rsid w:val="00DE2D25"/>
    <w:rsid w:val="00DE2F57"/>
    <w:rsid w:val="00DE3138"/>
    <w:rsid w:val="00DE362A"/>
    <w:rsid w:val="00DE37F8"/>
    <w:rsid w:val="00DE3904"/>
    <w:rsid w:val="00DE3A7F"/>
    <w:rsid w:val="00DE4183"/>
    <w:rsid w:val="00DE4FCB"/>
    <w:rsid w:val="00DE5268"/>
    <w:rsid w:val="00DE5453"/>
    <w:rsid w:val="00DE54D8"/>
    <w:rsid w:val="00DE54F6"/>
    <w:rsid w:val="00DE6511"/>
    <w:rsid w:val="00DE6BA0"/>
    <w:rsid w:val="00DE7832"/>
    <w:rsid w:val="00DE7E44"/>
    <w:rsid w:val="00DF0CE6"/>
    <w:rsid w:val="00DF114A"/>
    <w:rsid w:val="00DF18FC"/>
    <w:rsid w:val="00DF1FEB"/>
    <w:rsid w:val="00DF2078"/>
    <w:rsid w:val="00DF2496"/>
    <w:rsid w:val="00DF2EBD"/>
    <w:rsid w:val="00DF43E4"/>
    <w:rsid w:val="00DF4870"/>
    <w:rsid w:val="00DF4E97"/>
    <w:rsid w:val="00DF530F"/>
    <w:rsid w:val="00DF534F"/>
    <w:rsid w:val="00DF5C7D"/>
    <w:rsid w:val="00DF5D2B"/>
    <w:rsid w:val="00DF6613"/>
    <w:rsid w:val="00DF7185"/>
    <w:rsid w:val="00DF7451"/>
    <w:rsid w:val="00DF771B"/>
    <w:rsid w:val="00E00E8E"/>
    <w:rsid w:val="00E01132"/>
    <w:rsid w:val="00E01785"/>
    <w:rsid w:val="00E017DF"/>
    <w:rsid w:val="00E027B4"/>
    <w:rsid w:val="00E03021"/>
    <w:rsid w:val="00E0312C"/>
    <w:rsid w:val="00E0329A"/>
    <w:rsid w:val="00E0471B"/>
    <w:rsid w:val="00E05630"/>
    <w:rsid w:val="00E05C7F"/>
    <w:rsid w:val="00E06339"/>
    <w:rsid w:val="00E06414"/>
    <w:rsid w:val="00E06DBB"/>
    <w:rsid w:val="00E071EC"/>
    <w:rsid w:val="00E072FE"/>
    <w:rsid w:val="00E07C56"/>
    <w:rsid w:val="00E10149"/>
    <w:rsid w:val="00E10498"/>
    <w:rsid w:val="00E10750"/>
    <w:rsid w:val="00E10FA9"/>
    <w:rsid w:val="00E1116E"/>
    <w:rsid w:val="00E11194"/>
    <w:rsid w:val="00E11C5C"/>
    <w:rsid w:val="00E128C2"/>
    <w:rsid w:val="00E13045"/>
    <w:rsid w:val="00E13FC7"/>
    <w:rsid w:val="00E14624"/>
    <w:rsid w:val="00E14681"/>
    <w:rsid w:val="00E16372"/>
    <w:rsid w:val="00E16DAC"/>
    <w:rsid w:val="00E179BF"/>
    <w:rsid w:val="00E17C86"/>
    <w:rsid w:val="00E17D83"/>
    <w:rsid w:val="00E20521"/>
    <w:rsid w:val="00E20E4D"/>
    <w:rsid w:val="00E20ED6"/>
    <w:rsid w:val="00E21358"/>
    <w:rsid w:val="00E2249B"/>
    <w:rsid w:val="00E22A0D"/>
    <w:rsid w:val="00E23B0B"/>
    <w:rsid w:val="00E2456A"/>
    <w:rsid w:val="00E24FE9"/>
    <w:rsid w:val="00E2534A"/>
    <w:rsid w:val="00E25756"/>
    <w:rsid w:val="00E25C2A"/>
    <w:rsid w:val="00E266B9"/>
    <w:rsid w:val="00E271B2"/>
    <w:rsid w:val="00E2771E"/>
    <w:rsid w:val="00E27C57"/>
    <w:rsid w:val="00E27D93"/>
    <w:rsid w:val="00E30A25"/>
    <w:rsid w:val="00E34058"/>
    <w:rsid w:val="00E34063"/>
    <w:rsid w:val="00E34948"/>
    <w:rsid w:val="00E34D63"/>
    <w:rsid w:val="00E3524D"/>
    <w:rsid w:val="00E362DD"/>
    <w:rsid w:val="00E36302"/>
    <w:rsid w:val="00E3635B"/>
    <w:rsid w:val="00E36444"/>
    <w:rsid w:val="00E365F8"/>
    <w:rsid w:val="00E366EE"/>
    <w:rsid w:val="00E369D8"/>
    <w:rsid w:val="00E37569"/>
    <w:rsid w:val="00E37E7A"/>
    <w:rsid w:val="00E40CF2"/>
    <w:rsid w:val="00E41245"/>
    <w:rsid w:val="00E4124E"/>
    <w:rsid w:val="00E41A23"/>
    <w:rsid w:val="00E41AB4"/>
    <w:rsid w:val="00E41B97"/>
    <w:rsid w:val="00E41DA8"/>
    <w:rsid w:val="00E41E30"/>
    <w:rsid w:val="00E41E96"/>
    <w:rsid w:val="00E423C0"/>
    <w:rsid w:val="00E42883"/>
    <w:rsid w:val="00E43667"/>
    <w:rsid w:val="00E43D70"/>
    <w:rsid w:val="00E448C1"/>
    <w:rsid w:val="00E454DB"/>
    <w:rsid w:val="00E4625E"/>
    <w:rsid w:val="00E46661"/>
    <w:rsid w:val="00E466F3"/>
    <w:rsid w:val="00E470B7"/>
    <w:rsid w:val="00E47672"/>
    <w:rsid w:val="00E47B2C"/>
    <w:rsid w:val="00E50067"/>
    <w:rsid w:val="00E50237"/>
    <w:rsid w:val="00E5125A"/>
    <w:rsid w:val="00E51560"/>
    <w:rsid w:val="00E51B62"/>
    <w:rsid w:val="00E526B4"/>
    <w:rsid w:val="00E52A57"/>
    <w:rsid w:val="00E54347"/>
    <w:rsid w:val="00E5447C"/>
    <w:rsid w:val="00E54850"/>
    <w:rsid w:val="00E55424"/>
    <w:rsid w:val="00E5546E"/>
    <w:rsid w:val="00E55BB5"/>
    <w:rsid w:val="00E5667B"/>
    <w:rsid w:val="00E56BAC"/>
    <w:rsid w:val="00E57FE3"/>
    <w:rsid w:val="00E6028B"/>
    <w:rsid w:val="00E6081C"/>
    <w:rsid w:val="00E60B5A"/>
    <w:rsid w:val="00E60CB2"/>
    <w:rsid w:val="00E61512"/>
    <w:rsid w:val="00E619D3"/>
    <w:rsid w:val="00E61C7C"/>
    <w:rsid w:val="00E62400"/>
    <w:rsid w:val="00E631A5"/>
    <w:rsid w:val="00E63248"/>
    <w:rsid w:val="00E63297"/>
    <w:rsid w:val="00E63C96"/>
    <w:rsid w:val="00E64F89"/>
    <w:rsid w:val="00E65E79"/>
    <w:rsid w:val="00E65F2E"/>
    <w:rsid w:val="00E6682B"/>
    <w:rsid w:val="00E66878"/>
    <w:rsid w:val="00E66BA2"/>
    <w:rsid w:val="00E67416"/>
    <w:rsid w:val="00E67435"/>
    <w:rsid w:val="00E6759A"/>
    <w:rsid w:val="00E676D0"/>
    <w:rsid w:val="00E67862"/>
    <w:rsid w:val="00E67D88"/>
    <w:rsid w:val="00E67F5E"/>
    <w:rsid w:val="00E718B6"/>
    <w:rsid w:val="00E723BA"/>
    <w:rsid w:val="00E72C85"/>
    <w:rsid w:val="00E73246"/>
    <w:rsid w:val="00E73581"/>
    <w:rsid w:val="00E74AF5"/>
    <w:rsid w:val="00E74E49"/>
    <w:rsid w:val="00E7563A"/>
    <w:rsid w:val="00E75A07"/>
    <w:rsid w:val="00E75BF7"/>
    <w:rsid w:val="00E7696A"/>
    <w:rsid w:val="00E771E1"/>
    <w:rsid w:val="00E77996"/>
    <w:rsid w:val="00E808E0"/>
    <w:rsid w:val="00E8197B"/>
    <w:rsid w:val="00E833F7"/>
    <w:rsid w:val="00E836CF"/>
    <w:rsid w:val="00E83A66"/>
    <w:rsid w:val="00E83BDF"/>
    <w:rsid w:val="00E83F04"/>
    <w:rsid w:val="00E8471C"/>
    <w:rsid w:val="00E850C4"/>
    <w:rsid w:val="00E852DB"/>
    <w:rsid w:val="00E8530D"/>
    <w:rsid w:val="00E86531"/>
    <w:rsid w:val="00E86AFC"/>
    <w:rsid w:val="00E877A7"/>
    <w:rsid w:val="00E87A1D"/>
    <w:rsid w:val="00E87E5C"/>
    <w:rsid w:val="00E90609"/>
    <w:rsid w:val="00E91321"/>
    <w:rsid w:val="00E918C4"/>
    <w:rsid w:val="00E9204F"/>
    <w:rsid w:val="00E9247E"/>
    <w:rsid w:val="00E926A5"/>
    <w:rsid w:val="00E928F0"/>
    <w:rsid w:val="00E92A70"/>
    <w:rsid w:val="00E92DE5"/>
    <w:rsid w:val="00E95372"/>
    <w:rsid w:val="00E95449"/>
    <w:rsid w:val="00E95576"/>
    <w:rsid w:val="00E95A52"/>
    <w:rsid w:val="00E95BB8"/>
    <w:rsid w:val="00E95C4B"/>
    <w:rsid w:val="00E9603E"/>
    <w:rsid w:val="00E96BC7"/>
    <w:rsid w:val="00E96EA4"/>
    <w:rsid w:val="00E96ECD"/>
    <w:rsid w:val="00EA0748"/>
    <w:rsid w:val="00EA0930"/>
    <w:rsid w:val="00EA0AF9"/>
    <w:rsid w:val="00EA0F6D"/>
    <w:rsid w:val="00EA116A"/>
    <w:rsid w:val="00EA17C3"/>
    <w:rsid w:val="00EA1857"/>
    <w:rsid w:val="00EA2AD1"/>
    <w:rsid w:val="00EA2B89"/>
    <w:rsid w:val="00EA2CAA"/>
    <w:rsid w:val="00EA3497"/>
    <w:rsid w:val="00EA3525"/>
    <w:rsid w:val="00EA3864"/>
    <w:rsid w:val="00EA4867"/>
    <w:rsid w:val="00EA5545"/>
    <w:rsid w:val="00EA772D"/>
    <w:rsid w:val="00EA7732"/>
    <w:rsid w:val="00EB0F53"/>
    <w:rsid w:val="00EB148C"/>
    <w:rsid w:val="00EB15B6"/>
    <w:rsid w:val="00EB1C71"/>
    <w:rsid w:val="00EB2F63"/>
    <w:rsid w:val="00EB2F68"/>
    <w:rsid w:val="00EB317E"/>
    <w:rsid w:val="00EB3360"/>
    <w:rsid w:val="00EB362F"/>
    <w:rsid w:val="00EB3779"/>
    <w:rsid w:val="00EB3978"/>
    <w:rsid w:val="00EB3CAD"/>
    <w:rsid w:val="00EB4916"/>
    <w:rsid w:val="00EB4929"/>
    <w:rsid w:val="00EB4E84"/>
    <w:rsid w:val="00EB50E0"/>
    <w:rsid w:val="00EB533E"/>
    <w:rsid w:val="00EB56C7"/>
    <w:rsid w:val="00EB5F12"/>
    <w:rsid w:val="00EB64A8"/>
    <w:rsid w:val="00EB68EF"/>
    <w:rsid w:val="00EB6E05"/>
    <w:rsid w:val="00EB78E6"/>
    <w:rsid w:val="00EB7FC4"/>
    <w:rsid w:val="00EC00C9"/>
    <w:rsid w:val="00EC02E3"/>
    <w:rsid w:val="00EC068A"/>
    <w:rsid w:val="00EC06A7"/>
    <w:rsid w:val="00EC0821"/>
    <w:rsid w:val="00EC0824"/>
    <w:rsid w:val="00EC12EC"/>
    <w:rsid w:val="00EC13E3"/>
    <w:rsid w:val="00EC2170"/>
    <w:rsid w:val="00EC2649"/>
    <w:rsid w:val="00EC35AE"/>
    <w:rsid w:val="00EC45ED"/>
    <w:rsid w:val="00EC4CEF"/>
    <w:rsid w:val="00EC5920"/>
    <w:rsid w:val="00EC63AE"/>
    <w:rsid w:val="00EC7C00"/>
    <w:rsid w:val="00ED0464"/>
    <w:rsid w:val="00ED0ACF"/>
    <w:rsid w:val="00ED0CDA"/>
    <w:rsid w:val="00ED12B3"/>
    <w:rsid w:val="00ED15C6"/>
    <w:rsid w:val="00ED224E"/>
    <w:rsid w:val="00ED27F0"/>
    <w:rsid w:val="00ED28C2"/>
    <w:rsid w:val="00ED2D29"/>
    <w:rsid w:val="00ED3473"/>
    <w:rsid w:val="00ED3E5D"/>
    <w:rsid w:val="00ED57EA"/>
    <w:rsid w:val="00ED5A64"/>
    <w:rsid w:val="00ED5B8A"/>
    <w:rsid w:val="00ED6A00"/>
    <w:rsid w:val="00ED6B49"/>
    <w:rsid w:val="00ED6C07"/>
    <w:rsid w:val="00ED6CC6"/>
    <w:rsid w:val="00ED738D"/>
    <w:rsid w:val="00ED77AC"/>
    <w:rsid w:val="00ED7CB1"/>
    <w:rsid w:val="00ED7D71"/>
    <w:rsid w:val="00EE0139"/>
    <w:rsid w:val="00EE018D"/>
    <w:rsid w:val="00EE07D3"/>
    <w:rsid w:val="00EE0C0D"/>
    <w:rsid w:val="00EE0C39"/>
    <w:rsid w:val="00EE1B69"/>
    <w:rsid w:val="00EE1BDC"/>
    <w:rsid w:val="00EE2217"/>
    <w:rsid w:val="00EE22AF"/>
    <w:rsid w:val="00EE2C8F"/>
    <w:rsid w:val="00EE3025"/>
    <w:rsid w:val="00EE307F"/>
    <w:rsid w:val="00EE425B"/>
    <w:rsid w:val="00EE4FE0"/>
    <w:rsid w:val="00EE64F8"/>
    <w:rsid w:val="00EE664B"/>
    <w:rsid w:val="00EE6AE1"/>
    <w:rsid w:val="00EE6F4F"/>
    <w:rsid w:val="00EE71BC"/>
    <w:rsid w:val="00EE7328"/>
    <w:rsid w:val="00EE7EEF"/>
    <w:rsid w:val="00EF0171"/>
    <w:rsid w:val="00EF08E4"/>
    <w:rsid w:val="00EF14F2"/>
    <w:rsid w:val="00EF1B25"/>
    <w:rsid w:val="00EF1C9F"/>
    <w:rsid w:val="00EF205F"/>
    <w:rsid w:val="00EF243E"/>
    <w:rsid w:val="00EF2838"/>
    <w:rsid w:val="00EF29BF"/>
    <w:rsid w:val="00EF2A7C"/>
    <w:rsid w:val="00EF31F9"/>
    <w:rsid w:val="00EF33FC"/>
    <w:rsid w:val="00EF4747"/>
    <w:rsid w:val="00EF4BF8"/>
    <w:rsid w:val="00EF4C16"/>
    <w:rsid w:val="00EF514A"/>
    <w:rsid w:val="00EF5ADB"/>
    <w:rsid w:val="00EF5B2D"/>
    <w:rsid w:val="00EF5CA6"/>
    <w:rsid w:val="00EF6DB6"/>
    <w:rsid w:val="00EF7620"/>
    <w:rsid w:val="00EF7A59"/>
    <w:rsid w:val="00EF7DDE"/>
    <w:rsid w:val="00F002DC"/>
    <w:rsid w:val="00F00339"/>
    <w:rsid w:val="00F00693"/>
    <w:rsid w:val="00F01179"/>
    <w:rsid w:val="00F01319"/>
    <w:rsid w:val="00F01D66"/>
    <w:rsid w:val="00F0221A"/>
    <w:rsid w:val="00F02253"/>
    <w:rsid w:val="00F02B3F"/>
    <w:rsid w:val="00F02BAA"/>
    <w:rsid w:val="00F02BC5"/>
    <w:rsid w:val="00F02C5E"/>
    <w:rsid w:val="00F02F53"/>
    <w:rsid w:val="00F03C2E"/>
    <w:rsid w:val="00F04A66"/>
    <w:rsid w:val="00F0516C"/>
    <w:rsid w:val="00F05424"/>
    <w:rsid w:val="00F0555E"/>
    <w:rsid w:val="00F067A2"/>
    <w:rsid w:val="00F06ABB"/>
    <w:rsid w:val="00F071A7"/>
    <w:rsid w:val="00F07326"/>
    <w:rsid w:val="00F07370"/>
    <w:rsid w:val="00F10772"/>
    <w:rsid w:val="00F11756"/>
    <w:rsid w:val="00F1263A"/>
    <w:rsid w:val="00F12B5B"/>
    <w:rsid w:val="00F12DEA"/>
    <w:rsid w:val="00F13085"/>
    <w:rsid w:val="00F13325"/>
    <w:rsid w:val="00F14CA8"/>
    <w:rsid w:val="00F15254"/>
    <w:rsid w:val="00F167EB"/>
    <w:rsid w:val="00F171AD"/>
    <w:rsid w:val="00F1733B"/>
    <w:rsid w:val="00F17E4E"/>
    <w:rsid w:val="00F17F6C"/>
    <w:rsid w:val="00F2070C"/>
    <w:rsid w:val="00F219A4"/>
    <w:rsid w:val="00F21BCB"/>
    <w:rsid w:val="00F21C46"/>
    <w:rsid w:val="00F21F0E"/>
    <w:rsid w:val="00F224D5"/>
    <w:rsid w:val="00F23F1C"/>
    <w:rsid w:val="00F24837"/>
    <w:rsid w:val="00F24DEB"/>
    <w:rsid w:val="00F2508F"/>
    <w:rsid w:val="00F2575F"/>
    <w:rsid w:val="00F25AB6"/>
    <w:rsid w:val="00F26ABB"/>
    <w:rsid w:val="00F26B87"/>
    <w:rsid w:val="00F26E41"/>
    <w:rsid w:val="00F273AD"/>
    <w:rsid w:val="00F27565"/>
    <w:rsid w:val="00F30CEF"/>
    <w:rsid w:val="00F310D4"/>
    <w:rsid w:val="00F31D5A"/>
    <w:rsid w:val="00F32D33"/>
    <w:rsid w:val="00F334AE"/>
    <w:rsid w:val="00F33799"/>
    <w:rsid w:val="00F33881"/>
    <w:rsid w:val="00F3392F"/>
    <w:rsid w:val="00F33C5F"/>
    <w:rsid w:val="00F33DE9"/>
    <w:rsid w:val="00F35F40"/>
    <w:rsid w:val="00F3619A"/>
    <w:rsid w:val="00F361E2"/>
    <w:rsid w:val="00F37664"/>
    <w:rsid w:val="00F377F2"/>
    <w:rsid w:val="00F40696"/>
    <w:rsid w:val="00F40AAA"/>
    <w:rsid w:val="00F40BA7"/>
    <w:rsid w:val="00F411A5"/>
    <w:rsid w:val="00F42986"/>
    <w:rsid w:val="00F4323D"/>
    <w:rsid w:val="00F43C82"/>
    <w:rsid w:val="00F450D4"/>
    <w:rsid w:val="00F452D5"/>
    <w:rsid w:val="00F456D4"/>
    <w:rsid w:val="00F45993"/>
    <w:rsid w:val="00F46299"/>
    <w:rsid w:val="00F46CB6"/>
    <w:rsid w:val="00F47DE8"/>
    <w:rsid w:val="00F50A1D"/>
    <w:rsid w:val="00F516DB"/>
    <w:rsid w:val="00F517CB"/>
    <w:rsid w:val="00F52069"/>
    <w:rsid w:val="00F52193"/>
    <w:rsid w:val="00F528F7"/>
    <w:rsid w:val="00F53974"/>
    <w:rsid w:val="00F5429D"/>
    <w:rsid w:val="00F542C1"/>
    <w:rsid w:val="00F54735"/>
    <w:rsid w:val="00F54AFC"/>
    <w:rsid w:val="00F554E5"/>
    <w:rsid w:val="00F55A2F"/>
    <w:rsid w:val="00F55E73"/>
    <w:rsid w:val="00F55EB9"/>
    <w:rsid w:val="00F55EDA"/>
    <w:rsid w:val="00F56208"/>
    <w:rsid w:val="00F56E4A"/>
    <w:rsid w:val="00F57D09"/>
    <w:rsid w:val="00F60092"/>
    <w:rsid w:val="00F60480"/>
    <w:rsid w:val="00F60945"/>
    <w:rsid w:val="00F6122A"/>
    <w:rsid w:val="00F61398"/>
    <w:rsid w:val="00F61448"/>
    <w:rsid w:val="00F620EC"/>
    <w:rsid w:val="00F627AB"/>
    <w:rsid w:val="00F63EF0"/>
    <w:rsid w:val="00F641A8"/>
    <w:rsid w:val="00F649B6"/>
    <w:rsid w:val="00F64E61"/>
    <w:rsid w:val="00F6576D"/>
    <w:rsid w:val="00F65F4B"/>
    <w:rsid w:val="00F667F3"/>
    <w:rsid w:val="00F668AF"/>
    <w:rsid w:val="00F672B9"/>
    <w:rsid w:val="00F678E5"/>
    <w:rsid w:val="00F708DA"/>
    <w:rsid w:val="00F70C9D"/>
    <w:rsid w:val="00F71358"/>
    <w:rsid w:val="00F71C4B"/>
    <w:rsid w:val="00F71E08"/>
    <w:rsid w:val="00F731EC"/>
    <w:rsid w:val="00F734EC"/>
    <w:rsid w:val="00F74CD9"/>
    <w:rsid w:val="00F75EBD"/>
    <w:rsid w:val="00F76FE3"/>
    <w:rsid w:val="00F7706D"/>
    <w:rsid w:val="00F7769E"/>
    <w:rsid w:val="00F80A7B"/>
    <w:rsid w:val="00F80E5D"/>
    <w:rsid w:val="00F811F9"/>
    <w:rsid w:val="00F82E06"/>
    <w:rsid w:val="00F82F86"/>
    <w:rsid w:val="00F83497"/>
    <w:rsid w:val="00F83A88"/>
    <w:rsid w:val="00F83F52"/>
    <w:rsid w:val="00F84321"/>
    <w:rsid w:val="00F84F12"/>
    <w:rsid w:val="00F851CE"/>
    <w:rsid w:val="00F856AD"/>
    <w:rsid w:val="00F85C60"/>
    <w:rsid w:val="00F868F8"/>
    <w:rsid w:val="00F871D9"/>
    <w:rsid w:val="00F87F2E"/>
    <w:rsid w:val="00F903E4"/>
    <w:rsid w:val="00F90B8B"/>
    <w:rsid w:val="00F90BA6"/>
    <w:rsid w:val="00F91219"/>
    <w:rsid w:val="00F91749"/>
    <w:rsid w:val="00F927E1"/>
    <w:rsid w:val="00F9298F"/>
    <w:rsid w:val="00F932D4"/>
    <w:rsid w:val="00F936A8"/>
    <w:rsid w:val="00F949EA"/>
    <w:rsid w:val="00F9519D"/>
    <w:rsid w:val="00F95672"/>
    <w:rsid w:val="00F95EBB"/>
    <w:rsid w:val="00F95EC1"/>
    <w:rsid w:val="00F964AD"/>
    <w:rsid w:val="00F976EC"/>
    <w:rsid w:val="00F97836"/>
    <w:rsid w:val="00F97A78"/>
    <w:rsid w:val="00FA006D"/>
    <w:rsid w:val="00FA0191"/>
    <w:rsid w:val="00FA0A3B"/>
    <w:rsid w:val="00FA0B20"/>
    <w:rsid w:val="00FA12F4"/>
    <w:rsid w:val="00FA2034"/>
    <w:rsid w:val="00FA24E7"/>
    <w:rsid w:val="00FA327D"/>
    <w:rsid w:val="00FA3348"/>
    <w:rsid w:val="00FA337E"/>
    <w:rsid w:val="00FA40D8"/>
    <w:rsid w:val="00FA48C3"/>
    <w:rsid w:val="00FA5488"/>
    <w:rsid w:val="00FA5D57"/>
    <w:rsid w:val="00FA65D8"/>
    <w:rsid w:val="00FA689E"/>
    <w:rsid w:val="00FA728E"/>
    <w:rsid w:val="00FA7BEF"/>
    <w:rsid w:val="00FB0788"/>
    <w:rsid w:val="00FB0955"/>
    <w:rsid w:val="00FB12FE"/>
    <w:rsid w:val="00FB1A50"/>
    <w:rsid w:val="00FB26CE"/>
    <w:rsid w:val="00FB2837"/>
    <w:rsid w:val="00FB2FCB"/>
    <w:rsid w:val="00FB378F"/>
    <w:rsid w:val="00FB4742"/>
    <w:rsid w:val="00FB4DCD"/>
    <w:rsid w:val="00FB5C8C"/>
    <w:rsid w:val="00FB72E9"/>
    <w:rsid w:val="00FC08AB"/>
    <w:rsid w:val="00FC0A3E"/>
    <w:rsid w:val="00FC1074"/>
    <w:rsid w:val="00FC1185"/>
    <w:rsid w:val="00FC1426"/>
    <w:rsid w:val="00FC1532"/>
    <w:rsid w:val="00FC1884"/>
    <w:rsid w:val="00FC1F6B"/>
    <w:rsid w:val="00FC27CB"/>
    <w:rsid w:val="00FC29E5"/>
    <w:rsid w:val="00FC2F27"/>
    <w:rsid w:val="00FC30AE"/>
    <w:rsid w:val="00FC310E"/>
    <w:rsid w:val="00FC3693"/>
    <w:rsid w:val="00FC371D"/>
    <w:rsid w:val="00FC4E6F"/>
    <w:rsid w:val="00FC4EAD"/>
    <w:rsid w:val="00FC4EF4"/>
    <w:rsid w:val="00FC5731"/>
    <w:rsid w:val="00FC5F0B"/>
    <w:rsid w:val="00FC6291"/>
    <w:rsid w:val="00FC6592"/>
    <w:rsid w:val="00FC6DB0"/>
    <w:rsid w:val="00FC6FED"/>
    <w:rsid w:val="00FC749E"/>
    <w:rsid w:val="00FC796A"/>
    <w:rsid w:val="00FC7B20"/>
    <w:rsid w:val="00FD03D0"/>
    <w:rsid w:val="00FD0B83"/>
    <w:rsid w:val="00FD0CBE"/>
    <w:rsid w:val="00FD1F05"/>
    <w:rsid w:val="00FD2100"/>
    <w:rsid w:val="00FD2147"/>
    <w:rsid w:val="00FD2428"/>
    <w:rsid w:val="00FD2452"/>
    <w:rsid w:val="00FD28B9"/>
    <w:rsid w:val="00FD2F29"/>
    <w:rsid w:val="00FD34D2"/>
    <w:rsid w:val="00FD3D0F"/>
    <w:rsid w:val="00FD436C"/>
    <w:rsid w:val="00FD446D"/>
    <w:rsid w:val="00FD44C3"/>
    <w:rsid w:val="00FD4B41"/>
    <w:rsid w:val="00FD5197"/>
    <w:rsid w:val="00FD6394"/>
    <w:rsid w:val="00FD73B3"/>
    <w:rsid w:val="00FD7469"/>
    <w:rsid w:val="00FD7980"/>
    <w:rsid w:val="00FE0262"/>
    <w:rsid w:val="00FE0E6C"/>
    <w:rsid w:val="00FE1CF8"/>
    <w:rsid w:val="00FE2583"/>
    <w:rsid w:val="00FE2643"/>
    <w:rsid w:val="00FE315C"/>
    <w:rsid w:val="00FE357D"/>
    <w:rsid w:val="00FE4355"/>
    <w:rsid w:val="00FE4956"/>
    <w:rsid w:val="00FE5114"/>
    <w:rsid w:val="00FE51D7"/>
    <w:rsid w:val="00FE572D"/>
    <w:rsid w:val="00FE70C3"/>
    <w:rsid w:val="00FE733C"/>
    <w:rsid w:val="00FF0201"/>
    <w:rsid w:val="00FF0D09"/>
    <w:rsid w:val="00FF1934"/>
    <w:rsid w:val="00FF1D18"/>
    <w:rsid w:val="00FF2E01"/>
    <w:rsid w:val="00FF2F8A"/>
    <w:rsid w:val="00FF3D58"/>
    <w:rsid w:val="00FF3DCF"/>
    <w:rsid w:val="00FF4006"/>
    <w:rsid w:val="00FF492C"/>
    <w:rsid w:val="00FF4A21"/>
    <w:rsid w:val="00FF4DF9"/>
    <w:rsid w:val="00FF4ECA"/>
    <w:rsid w:val="00FF58FB"/>
    <w:rsid w:val="00FF5A30"/>
    <w:rsid w:val="00FF5AA3"/>
    <w:rsid w:val="00FF5AD8"/>
    <w:rsid w:val="00FF5C94"/>
    <w:rsid w:val="00FF5EC8"/>
    <w:rsid w:val="00FF625F"/>
    <w:rsid w:val="00FF6A18"/>
    <w:rsid w:val="00FF6F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611D60"/>
    <w:pPr>
      <w:spacing w:before="240"/>
      <w:outlineLvl w:val="0"/>
    </w:pPr>
  </w:style>
  <w:style w:type="paragraph" w:styleId="Heading2">
    <w:name w:val="heading 2"/>
    <w:basedOn w:val="Normal"/>
    <w:next w:val="Normal"/>
    <w:link w:val="Heading2Char"/>
    <w:qFormat/>
    <w:rsid w:val="009F0049"/>
    <w:pPr>
      <w:keepNext/>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F0049"/>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Bayer Caption,IB Caption,Medical Caption,- H17,CSR Caption,Char,Caption2,Caption Char1 Char Char Char,Caption Char Char Char Char Char,Caption Char Char1 Char,Caption Char1 Char1,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Bayer Caption Char,IB Caption Char,Medical Caption Char,- H17 Char,CSR Caption Char,Char Char,Caption2 Char,Caption Char1 Char Char Char Char,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Styl moj,Akapit z listą1,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Styl moj Char,Akapit z listą1 Char,Akapit z listą11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B60F7"/>
    <w:pPr>
      <w:keepNext/>
      <w:numPr>
        <w:numId w:val="1"/>
      </w:numPr>
      <w:spacing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Small">
    <w:name w:val="Small"/>
    <w:basedOn w:val="DefaultParagraphFont"/>
    <w:uiPriority w:val="4"/>
    <w:qFormat/>
    <w:rsid w:val="000731EC"/>
    <w:rPr>
      <w:rFonts w:ascii="Calibri" w:hAnsi="Calibri"/>
      <w:sz w:val="20"/>
    </w:rPr>
  </w:style>
  <w:style w:type="paragraph" w:customStyle="1" w:styleId="TableText0">
    <w:name w:val="Table Text"/>
    <w:basedOn w:val="Normal"/>
    <w:link w:val="TableTextChar0"/>
    <w:qFormat/>
    <w:rsid w:val="00690739"/>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basedOn w:val="DefaultParagraphFont"/>
    <w:link w:val="TableText0"/>
    <w:rsid w:val="00690739"/>
    <w:rPr>
      <w:rFonts w:ascii="Arial Narrow" w:eastAsiaTheme="minorHAnsi" w:hAnsi="Arial Narrow" w:cstheme="minorBidi"/>
      <w:szCs w:val="22"/>
      <w:lang w:eastAsia="en-US"/>
    </w:rPr>
  </w:style>
  <w:style w:type="paragraph" w:customStyle="1" w:styleId="TextCharCharChar">
    <w:name w:val="Text Char Char Char"/>
    <w:basedOn w:val="Normal"/>
    <w:rsid w:val="00E5447C"/>
    <w:pPr>
      <w:widowControl/>
      <w:suppressAutoHyphens/>
      <w:spacing w:before="60" w:after="60"/>
      <w:ind w:left="936"/>
    </w:pPr>
    <w:rPr>
      <w:rFonts w:ascii="Times New Roman" w:hAnsi="Times New Roman" w:cs="Times New Roman"/>
      <w:snapToGrid/>
      <w:szCs w:val="24"/>
      <w:lang w:val="en-GB" w:eastAsia="en-GB"/>
    </w:rPr>
  </w:style>
  <w:style w:type="paragraph" w:customStyle="1" w:styleId="Text">
    <w:name w:val="Text"/>
    <w:basedOn w:val="Normal"/>
    <w:rsid w:val="00E5447C"/>
    <w:pPr>
      <w:widowControl/>
      <w:spacing w:before="60" w:after="60"/>
      <w:jc w:val="left"/>
    </w:pPr>
    <w:rPr>
      <w:rFonts w:ascii="Garamond" w:hAnsi="Garamond" w:cs="Times New Roman"/>
      <w:snapToGrid/>
      <w:szCs w:val="20"/>
    </w:rPr>
  </w:style>
  <w:style w:type="paragraph" w:customStyle="1" w:styleId="TextCharChar">
    <w:name w:val="Text Char Char"/>
    <w:basedOn w:val="Normal"/>
    <w:rsid w:val="00E5447C"/>
    <w:pPr>
      <w:widowControl/>
      <w:suppressAutoHyphens/>
      <w:spacing w:before="60" w:after="60"/>
      <w:ind w:left="936"/>
    </w:pPr>
    <w:rPr>
      <w:rFonts w:ascii="Times New Roman" w:hAnsi="Times New Roman" w:cs="Times New Roman"/>
      <w:snapToGrid/>
      <w:szCs w:val="24"/>
      <w:lang w:val="en-GB" w:eastAsia="en-GB"/>
    </w:rPr>
  </w:style>
  <w:style w:type="paragraph" w:styleId="BodyText3">
    <w:name w:val="Body Text 3"/>
    <w:basedOn w:val="Normal"/>
    <w:link w:val="BodyText3Char"/>
    <w:rsid w:val="00E5447C"/>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E5447C"/>
    <w:rPr>
      <w:snapToGrid w:val="0"/>
      <w:sz w:val="16"/>
      <w:szCs w:val="16"/>
      <w:lang w:eastAsia="en-US"/>
    </w:rPr>
  </w:style>
  <w:style w:type="paragraph" w:customStyle="1" w:styleId="TableHeading0">
    <w:name w:val="Table Heading"/>
    <w:basedOn w:val="Normal"/>
    <w:qFormat/>
    <w:rsid w:val="00525315"/>
    <w:pPr>
      <w:keepNext/>
      <w:widowControl/>
      <w:spacing w:after="60"/>
      <w:jc w:val="left"/>
    </w:pPr>
    <w:rPr>
      <w:rFonts w:ascii="Arial Narrow" w:eastAsiaTheme="minorHAnsi" w:hAnsi="Arial Narrow" w:cstheme="minorBidi"/>
      <w:b/>
      <w:snapToGrid/>
      <w:sz w:val="20"/>
    </w:rPr>
  </w:style>
  <w:style w:type="table" w:customStyle="1" w:styleId="TableGridLight111">
    <w:name w:val="Table Grid Light111"/>
    <w:basedOn w:val="TableNormal"/>
    <w:uiPriority w:val="40"/>
    <w:rsid w:val="00E96EA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rsid w:val="002E126E"/>
    <w:rPr>
      <w:sz w:val="20"/>
      <w:szCs w:val="20"/>
    </w:rPr>
  </w:style>
  <w:style w:type="character" w:customStyle="1" w:styleId="FootnoteTextChar">
    <w:name w:val="Footnote Text Char"/>
    <w:basedOn w:val="DefaultParagraphFont"/>
    <w:link w:val="FootnoteText"/>
    <w:semiHidden/>
    <w:rsid w:val="002E126E"/>
    <w:rPr>
      <w:rFonts w:ascii="Calibri" w:hAnsi="Calibri" w:cs="Arial"/>
      <w:snapToGrid w:val="0"/>
      <w:lang w:eastAsia="en-US"/>
    </w:rPr>
  </w:style>
  <w:style w:type="character" w:styleId="FootnoteReference">
    <w:name w:val="footnote reference"/>
    <w:basedOn w:val="DefaultParagraphFont"/>
    <w:semiHidden/>
    <w:unhideWhenUsed/>
    <w:rsid w:val="002E126E"/>
    <w:rPr>
      <w:vertAlign w:val="superscript"/>
    </w:rPr>
  </w:style>
  <w:style w:type="paragraph" w:customStyle="1" w:styleId="V50Instructions">
    <w:name w:val="V5.0 Instructions"/>
    <w:basedOn w:val="Normal"/>
    <w:link w:val="V50InstructionsChar"/>
    <w:qFormat/>
    <w:rsid w:val="00DE2C2E"/>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DE2C2E"/>
    <w:rPr>
      <w:rFonts w:asciiTheme="minorHAnsi" w:eastAsiaTheme="minorHAnsi" w:hAnsiTheme="minorHAnsi" w:cstheme="minorBidi"/>
      <w:color w:val="4BACC6" w:themeColor="accent5"/>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0336">
      <w:bodyDiv w:val="1"/>
      <w:marLeft w:val="0"/>
      <w:marRight w:val="0"/>
      <w:marTop w:val="0"/>
      <w:marBottom w:val="0"/>
      <w:divBdr>
        <w:top w:val="none" w:sz="0" w:space="0" w:color="auto"/>
        <w:left w:val="none" w:sz="0" w:space="0" w:color="auto"/>
        <w:bottom w:val="none" w:sz="0" w:space="0" w:color="auto"/>
        <w:right w:val="none" w:sz="0" w:space="0" w:color="auto"/>
      </w:divBdr>
      <w:divsChild>
        <w:div w:id="38626645">
          <w:marLeft w:val="547"/>
          <w:marRight w:val="0"/>
          <w:marTop w:val="115"/>
          <w:marBottom w:val="0"/>
          <w:divBdr>
            <w:top w:val="none" w:sz="0" w:space="0" w:color="auto"/>
            <w:left w:val="none" w:sz="0" w:space="0" w:color="auto"/>
            <w:bottom w:val="none" w:sz="0" w:space="0" w:color="auto"/>
            <w:right w:val="none" w:sz="0" w:space="0" w:color="auto"/>
          </w:divBdr>
        </w:div>
        <w:div w:id="53434960">
          <w:marLeft w:val="1166"/>
          <w:marRight w:val="0"/>
          <w:marTop w:val="96"/>
          <w:marBottom w:val="0"/>
          <w:divBdr>
            <w:top w:val="none" w:sz="0" w:space="0" w:color="auto"/>
            <w:left w:val="none" w:sz="0" w:space="0" w:color="auto"/>
            <w:bottom w:val="none" w:sz="0" w:space="0" w:color="auto"/>
            <w:right w:val="none" w:sz="0" w:space="0" w:color="auto"/>
          </w:divBdr>
        </w:div>
        <w:div w:id="1257399777">
          <w:marLeft w:val="547"/>
          <w:marRight w:val="0"/>
          <w:marTop w:val="134"/>
          <w:marBottom w:val="0"/>
          <w:divBdr>
            <w:top w:val="none" w:sz="0" w:space="0" w:color="auto"/>
            <w:left w:val="none" w:sz="0" w:space="0" w:color="auto"/>
            <w:bottom w:val="none" w:sz="0" w:space="0" w:color="auto"/>
            <w:right w:val="none" w:sz="0" w:space="0" w:color="auto"/>
          </w:divBdr>
        </w:div>
      </w:divsChild>
    </w:div>
    <w:div w:id="1170757188">
      <w:bodyDiv w:val="1"/>
      <w:marLeft w:val="0"/>
      <w:marRight w:val="0"/>
      <w:marTop w:val="0"/>
      <w:marBottom w:val="0"/>
      <w:divBdr>
        <w:top w:val="none" w:sz="0" w:space="0" w:color="auto"/>
        <w:left w:val="none" w:sz="0" w:space="0" w:color="auto"/>
        <w:bottom w:val="none" w:sz="0" w:space="0" w:color="auto"/>
        <w:right w:val="none" w:sz="0" w:space="0" w:color="auto"/>
      </w:divBdr>
      <w:divsChild>
        <w:div w:id="19727102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Mar14</b:Tag>
    <b:SourceType>JournalArticle</b:SourceType>
    <b:Guid>{62967DC3-A721-4963-88B0-036435B331C3}</b:Guid>
    <b:Author>
      <b:Author>
        <b:NameList>
          <b:Person>
            <b:Last>Martin A</b:Last>
            <b:First>Abogunrin</b:First>
            <b:Middle>S, Kurth H, Dinet J.</b:Middle>
          </b:Person>
        </b:NameList>
      </b:Author>
    </b:Author>
    <b:Title> Epidemiological, humanistic, and economic burden of illness of lower limb spasticity in adults: a systematic review. </b:Title>
    <b:JournalName>Neuropsychiatric disease and treatment</b:JournalName>
    <b:Year>2014</b:Year>
    <b:Pages>10:111-122.</b:Pages>
    <b:RefOrder>7</b:RefOrder>
  </b:Source>
  <b:Source>
    <b:Tag>Mil10</b:Tag>
    <b:SourceType>JournalArticle</b:SourceType>
    <b:Guid>{73BD8192-6E9B-4CC2-99F7-67FD77DD300C}</b:Guid>
    <b:Author>
      <b:Author>
        <b:NameList>
          <b:Person>
            <b:Last>Miller EL</b:Last>
            <b:First>Murray</b:First>
            <b:Middle>L, Richards L, et al.</b:Middle>
          </b:Person>
        </b:NameList>
      </b:Author>
    </b:Author>
    <b:Title>Comprehensive overview of nursing and interdisciplinary rehabilitation care of the stroke patient: a scientific statement from the American Heart Association.</b:Title>
    <b:JournalName>Stroke; a journal of cerebral circulation</b:JournalName>
    <b:Year>2010</b:Year>
    <b:Pages>41(10):2</b:Pages>
    <b:RefOrder>8</b:RefOrder>
  </b:Source>
  <b:Source>
    <b:Tag>Reh17</b:Tag>
    <b:SourceType>JournalArticle</b:SourceType>
    <b:Guid>{8236F677-8615-458D-A581-16873B911138}</b:Guid>
    <b:Author>
      <b:Author>
        <b:Corporate>Rehabilitation Society of Australia and New Zealand</b:Corporate>
      </b:Author>
    </b:Author>
    <b:Title>Position Statement on the Therapeutic Use of Botulinum Toxin in Rehabilitation Medicine for spasticity and dystonia.</b:Title>
    <b:Year>2017</b:Year>
    <b:RefOrder>9</b:RefOrder>
  </b:Source>
</b:Sources>
</file>

<file path=customXml/itemProps1.xml><?xml version="1.0" encoding="utf-8"?>
<ds:datastoreItem xmlns:ds="http://schemas.openxmlformats.org/officeDocument/2006/customXml" ds:itemID="{9BCEC3AC-3726-4B9B-B08C-B1E4E6C6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10478</Words>
  <Characters>56477</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2019-02-21T03:13:00Z</dcterms:created>
  <dcterms:modified xsi:type="dcterms:W3CDTF">2019-02-26T00:48:00Z</dcterms:modified>
</cp:coreProperties>
</file>